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E11" w:rsidRDefault="00CC5319" w:rsidP="00E91A5E">
      <w:pPr>
        <w:jc w:val="center"/>
        <w:rPr>
          <w:b/>
        </w:rPr>
      </w:pPr>
      <w:r>
        <w:rPr>
          <w:b/>
        </w:rPr>
        <w:t>SUPPORTING STATEMENT FOR</w:t>
      </w:r>
      <w:r w:rsidR="00927DF8">
        <w:rPr>
          <w:b/>
        </w:rPr>
        <w:t xml:space="preserve"> PROPOSED RULES UNDER THE </w:t>
      </w:r>
      <w:r w:rsidR="000628D4">
        <w:rPr>
          <w:b/>
        </w:rPr>
        <w:t xml:space="preserve">SECURITIES EXCHANGE ACT OF 1934 </w:t>
      </w:r>
    </w:p>
    <w:p w:rsidR="00EB3830" w:rsidRDefault="00EB3830" w:rsidP="00EB3830"/>
    <w:p w:rsidR="00EB3830" w:rsidRDefault="00EB3830" w:rsidP="00EB3830">
      <w:r>
        <w:tab/>
        <w:t xml:space="preserve">This supporting statement is part of a submission under the Paperwork Reduction Act of 1995, 44 U.S.C. §3501, </w:t>
      </w:r>
      <w:r w:rsidRPr="008838A5">
        <w:rPr>
          <w:u w:val="single"/>
        </w:rPr>
        <w:t>et seq</w:t>
      </w:r>
      <w:r>
        <w:t>.</w:t>
      </w:r>
    </w:p>
    <w:p w:rsidR="00EB3830" w:rsidRDefault="00EB3830" w:rsidP="00EB3830"/>
    <w:p w:rsidR="00EB3830" w:rsidRPr="00320621" w:rsidRDefault="00EB3830" w:rsidP="00EB3830">
      <w:pPr>
        <w:rPr>
          <w:b/>
        </w:rPr>
      </w:pPr>
      <w:r w:rsidRPr="00320621">
        <w:rPr>
          <w:b/>
        </w:rPr>
        <w:t>A.</w:t>
      </w:r>
      <w:r w:rsidRPr="00320621">
        <w:rPr>
          <w:b/>
        </w:rPr>
        <w:tab/>
      </w:r>
      <w:r w:rsidR="00320621" w:rsidRPr="00320621">
        <w:rPr>
          <w:b/>
          <w:u w:val="single"/>
        </w:rPr>
        <w:t>JUSTIFICATION</w:t>
      </w:r>
    </w:p>
    <w:p w:rsidR="00EB3830" w:rsidRDefault="00EB3830" w:rsidP="00EB3830"/>
    <w:p w:rsidR="00EB3830" w:rsidRDefault="00EB3830" w:rsidP="00EB3830">
      <w:pPr>
        <w:rPr>
          <w:b/>
        </w:rPr>
      </w:pPr>
      <w:r w:rsidRPr="00597DEE">
        <w:rPr>
          <w:b/>
        </w:rPr>
        <w:t>1.</w:t>
      </w:r>
      <w:r w:rsidRPr="00597DEE">
        <w:rPr>
          <w:b/>
        </w:rPr>
        <w:tab/>
      </w:r>
      <w:r w:rsidRPr="00320621">
        <w:rPr>
          <w:b/>
        </w:rPr>
        <w:t>NECESSITY OF INFORMATION COLLECTION</w:t>
      </w:r>
    </w:p>
    <w:p w:rsidR="00AE4A47" w:rsidRDefault="008214EE" w:rsidP="00EB3830">
      <w:r>
        <w:tab/>
      </w:r>
    </w:p>
    <w:p w:rsidR="00430202" w:rsidRDefault="008214EE" w:rsidP="00EB3830">
      <w:r>
        <w:tab/>
        <w:t xml:space="preserve">In </w:t>
      </w:r>
      <w:r w:rsidR="00EE5A8C">
        <w:t>Securities Act Release 33</w:t>
      </w:r>
      <w:r>
        <w:t>-</w:t>
      </w:r>
      <w:r w:rsidR="00B13012">
        <w:t>9073</w:t>
      </w:r>
      <w:r>
        <w:t>,</w:t>
      </w:r>
      <w:r w:rsidR="005615E4">
        <w:rPr>
          <w:rStyle w:val="FootnoteReference"/>
        </w:rPr>
        <w:footnoteReference w:id="1"/>
      </w:r>
      <w:r>
        <w:t xml:space="preserve"> the </w:t>
      </w:r>
      <w:r w:rsidR="00597DEE">
        <w:t xml:space="preserve">Securities and Exchange </w:t>
      </w:r>
      <w:r>
        <w:t xml:space="preserve">Commission </w:t>
      </w:r>
      <w:r w:rsidR="00597DEE">
        <w:t xml:space="preserve">(the “Commission”) </w:t>
      </w:r>
      <w:r>
        <w:t xml:space="preserve">proposed amendments to the </w:t>
      </w:r>
      <w:r w:rsidR="00597DEE">
        <w:t>F</w:t>
      </w:r>
      <w:r>
        <w:t>ederal p</w:t>
      </w:r>
      <w:r w:rsidR="00B13012">
        <w:t xml:space="preserve">roxy rules and related rules </w:t>
      </w:r>
      <w:r w:rsidR="005615E4">
        <w:t>under the Securities Exchange Act of 1934 (the “Exchange Act”)</w:t>
      </w:r>
      <w:r w:rsidR="005615E4">
        <w:rPr>
          <w:rStyle w:val="FootnoteReference"/>
        </w:rPr>
        <w:footnoteReference w:id="2"/>
      </w:r>
      <w:r w:rsidR="005615E4">
        <w:t xml:space="preserve"> </w:t>
      </w:r>
      <w:r w:rsidR="00B13012">
        <w:t>to</w:t>
      </w:r>
      <w:r w:rsidR="00B13012" w:rsidRPr="00930062">
        <w:t xml:space="preserve"> improve the notice and access model for furnishing proxy materials to shareholders</w:t>
      </w:r>
      <w:r>
        <w:t>.</w:t>
      </w:r>
      <w:r w:rsidR="005615E4">
        <w:t xml:space="preserve">  </w:t>
      </w:r>
      <w:r w:rsidR="00430202">
        <w:t>Regulation 14A (Commission Rules 1</w:t>
      </w:r>
      <w:r w:rsidR="00C01100">
        <w:t>4a-1</w:t>
      </w:r>
      <w:r w:rsidR="00430202">
        <w:t xml:space="preserve"> through </w:t>
      </w:r>
      <w:r w:rsidR="00C01100">
        <w:t>14a-</w:t>
      </w:r>
      <w:r w:rsidR="00597DEE">
        <w:t>17</w:t>
      </w:r>
      <w:r w:rsidR="00C01100">
        <w:t xml:space="preserve"> and Schedule 14A</w:t>
      </w:r>
      <w:r w:rsidR="00430202">
        <w:t>)</w:t>
      </w:r>
      <w:r w:rsidR="005615E4">
        <w:rPr>
          <w:rStyle w:val="FootnoteReference"/>
        </w:rPr>
        <w:footnoteReference w:id="3"/>
      </w:r>
      <w:r w:rsidR="00430202">
        <w:t xml:space="preserve"> governs the</w:t>
      </w:r>
      <w:r w:rsidR="00E05891">
        <w:t xml:space="preserve"> solicitation of proxies and</w:t>
      </w:r>
      <w:r w:rsidR="00430202">
        <w:t xml:space="preserve"> information </w:t>
      </w:r>
      <w:r w:rsidR="005615E4">
        <w:t>pursuant to Section 14</w:t>
      </w:r>
      <w:r w:rsidR="00F43227">
        <w:t>(a)</w:t>
      </w:r>
      <w:r w:rsidR="005615E4">
        <w:t xml:space="preserve"> of the Exchange Act</w:t>
      </w:r>
      <w:r w:rsidR="00430202">
        <w:t xml:space="preserve">.  </w:t>
      </w:r>
      <w:r w:rsidR="00C01100">
        <w:t>Regulation 14C (</w:t>
      </w:r>
      <w:r w:rsidR="00C01100" w:rsidRPr="00C01100">
        <w:t>Commission Rules 14c-1 through 14c-7 and Schedule 14C</w:t>
      </w:r>
      <w:r w:rsidR="00C01100">
        <w:t>)</w:t>
      </w:r>
      <w:r w:rsidR="005615E4">
        <w:rPr>
          <w:rStyle w:val="FootnoteReference"/>
        </w:rPr>
        <w:footnoteReference w:id="4"/>
      </w:r>
      <w:r w:rsidR="00C01100">
        <w:t xml:space="preserve"> governs the </w:t>
      </w:r>
      <w:r w:rsidR="00E05891">
        <w:t xml:space="preserve">distribution of information statements pursuant to Section 14(c) of the Exchange Act.  </w:t>
      </w:r>
      <w:r w:rsidR="00B13012">
        <w:t xml:space="preserve">Rule 20a-1 under the Investment Company Act </w:t>
      </w:r>
      <w:r w:rsidR="00D2030B">
        <w:t>of 1940</w:t>
      </w:r>
      <w:r w:rsidR="00D2030B">
        <w:rPr>
          <w:rStyle w:val="FootnoteReference"/>
        </w:rPr>
        <w:footnoteReference w:id="5"/>
      </w:r>
      <w:r w:rsidR="00D2030B">
        <w:t xml:space="preserve"> </w:t>
      </w:r>
      <w:r w:rsidR="00597DEE">
        <w:t xml:space="preserve">(the “Investment Company Act”) </w:t>
      </w:r>
      <w:r w:rsidR="00B13012" w:rsidRPr="00857713">
        <w:t xml:space="preserve">requires that the solicitation of a proxy, consent, or authorization with respect to a security issued by an investment company be in compliance with </w:t>
      </w:r>
      <w:r w:rsidR="00597DEE">
        <w:t>Regulation 14A, Schedule 14A</w:t>
      </w:r>
      <w:r w:rsidR="001622F8">
        <w:t>,</w:t>
      </w:r>
      <w:r w:rsidR="00597DEE">
        <w:t xml:space="preserve"> and all </w:t>
      </w:r>
      <w:r w:rsidR="00B13012">
        <w:t>the</w:t>
      </w:r>
      <w:r w:rsidR="001622F8">
        <w:t xml:space="preserve"> other</w:t>
      </w:r>
      <w:r w:rsidR="00B13012">
        <w:t xml:space="preserve"> </w:t>
      </w:r>
      <w:r w:rsidR="00B13012" w:rsidRPr="00857713">
        <w:t xml:space="preserve">rules and regulations adopted under </w:t>
      </w:r>
      <w:r w:rsidR="00B13012">
        <w:t>S</w:t>
      </w:r>
      <w:r w:rsidR="00B13012" w:rsidRPr="00857713">
        <w:t>ection 14</w:t>
      </w:r>
      <w:r w:rsidR="00597DEE">
        <w:t>(a)</w:t>
      </w:r>
      <w:r w:rsidR="00B13012" w:rsidRPr="00857713">
        <w:t xml:space="preserve"> of the Exchange Act.</w:t>
      </w:r>
      <w:r w:rsidR="00C01100">
        <w:t xml:space="preserve"> </w:t>
      </w:r>
    </w:p>
    <w:p w:rsidR="001939B5" w:rsidRDefault="001939B5" w:rsidP="00EB3830"/>
    <w:p w:rsidR="001939B5" w:rsidRDefault="001939B5" w:rsidP="00EB3830">
      <w:r>
        <w:tab/>
        <w:t xml:space="preserve">Securities Act Release 33-9073 proposes amendments that would affect Regulation 14A, Regulation 14C and Investment Company Act Rule 20a-1.  Changes to our Paperwork Reduction Act estimates are separately under review relating to Regulation 14A, Regulation 14C and Investment Company Act Rule 20a-1.  This supporting statement only addresses the changes to Regulation 14A, and does not address the related changes to Regulation 14C and Investment Company Act Rule 20a-1.  As part of the submission under the Paperwork Reduction Act for Securities Act Release 33-9073, we have provided separate supporting statements addressing the changes to Regulation 14C and Investment Company Act Rule 20a-1.    </w:t>
      </w:r>
    </w:p>
    <w:p w:rsidR="001939B5" w:rsidRDefault="001939B5">
      <w:r>
        <w:br w:type="page"/>
      </w:r>
    </w:p>
    <w:p w:rsidR="00EB3830" w:rsidRDefault="008B1CFB" w:rsidP="00EB3830">
      <w:r>
        <w:lastRenderedPageBreak/>
        <w:tab/>
      </w:r>
    </w:p>
    <w:p w:rsidR="00EB3830" w:rsidRDefault="00EB3830" w:rsidP="00EB3830">
      <w:r w:rsidRPr="00E230A6">
        <w:rPr>
          <w:b/>
        </w:rPr>
        <w:t>2.</w:t>
      </w:r>
      <w:r>
        <w:tab/>
      </w:r>
      <w:r w:rsidRPr="00E230A6">
        <w:rPr>
          <w:b/>
        </w:rPr>
        <w:t>PURPOSE OF THE INFORMATION COLLECTION</w:t>
      </w:r>
    </w:p>
    <w:p w:rsidR="00E230A6" w:rsidRDefault="00E230A6" w:rsidP="00EB3830"/>
    <w:p w:rsidR="00597DEE" w:rsidRDefault="00132751" w:rsidP="005615E4">
      <w:r>
        <w:tab/>
      </w:r>
      <w:r w:rsidR="00927DF8">
        <w:t xml:space="preserve">The purpose of the information collection in the </w:t>
      </w:r>
      <w:r w:rsidR="005615E4">
        <w:t xml:space="preserve">proposed </w:t>
      </w:r>
      <w:r w:rsidR="00927DF8">
        <w:t xml:space="preserve">amendments is to permit, but not require, </w:t>
      </w:r>
      <w:r w:rsidR="005615E4">
        <w:t xml:space="preserve">an issuer or other </w:t>
      </w:r>
      <w:r w:rsidR="005615E4" w:rsidRPr="00E222F3">
        <w:t xml:space="preserve">soliciting person to include </w:t>
      </w:r>
      <w:r w:rsidR="005615E4">
        <w:t>explanatory</w:t>
      </w:r>
      <w:r w:rsidR="005615E4" w:rsidRPr="00E222F3">
        <w:t xml:space="preserve"> materials with the Notice.</w:t>
      </w:r>
      <w:r w:rsidR="00B743C0">
        <w:rPr>
          <w:rStyle w:val="FootnoteReference"/>
        </w:rPr>
        <w:footnoteReference w:id="6"/>
      </w:r>
      <w:r w:rsidR="005615E4">
        <w:t xml:space="preserve">  </w:t>
      </w:r>
    </w:p>
    <w:p w:rsidR="00597DEE" w:rsidRDefault="00597DEE" w:rsidP="00597DEE">
      <w:pPr>
        <w:ind w:firstLine="720"/>
      </w:pPr>
    </w:p>
    <w:p w:rsidR="00E91A5E" w:rsidRDefault="00E91A5E" w:rsidP="00597DEE">
      <w:pPr>
        <w:ind w:left="720" w:hanging="720"/>
        <w:rPr>
          <w:b/>
        </w:rPr>
      </w:pPr>
    </w:p>
    <w:p w:rsidR="00EB3830" w:rsidRPr="0017404E" w:rsidRDefault="00EB3830" w:rsidP="00597DEE">
      <w:pPr>
        <w:ind w:left="720" w:hanging="720"/>
        <w:rPr>
          <w:b/>
        </w:rPr>
      </w:pPr>
      <w:r w:rsidRPr="0017404E">
        <w:rPr>
          <w:b/>
        </w:rPr>
        <w:t>3.</w:t>
      </w:r>
      <w:r w:rsidRPr="0017404E">
        <w:rPr>
          <w:b/>
        </w:rPr>
        <w:tab/>
        <w:t>ROLE OF IMPROVED TECHNOLOGY AND OBSTACLES TO REDUCING BURDEN</w:t>
      </w:r>
    </w:p>
    <w:p w:rsidR="00EB3830" w:rsidRDefault="00EB3830" w:rsidP="00EB3830"/>
    <w:p w:rsidR="0038021B" w:rsidRDefault="0038021B" w:rsidP="00EB3830">
      <w:r>
        <w:tab/>
        <w:t>All of the above forms are filed electronically with the Commission using the Commission’s Electronic Data Gathering and Retrieval (EDGAR) system.</w:t>
      </w:r>
    </w:p>
    <w:p w:rsidR="00927DF8" w:rsidRDefault="00927DF8" w:rsidP="00EB3830"/>
    <w:p w:rsidR="0017404E" w:rsidRDefault="00EB3830" w:rsidP="0017404E">
      <w:pPr>
        <w:numPr>
          <w:ilvl w:val="0"/>
          <w:numId w:val="1"/>
        </w:numPr>
        <w:tabs>
          <w:tab w:val="clear" w:pos="1080"/>
          <w:tab w:val="num" w:pos="0"/>
          <w:tab w:val="left" w:pos="720"/>
        </w:tabs>
        <w:ind w:left="0" w:firstLine="0"/>
        <w:rPr>
          <w:b/>
        </w:rPr>
      </w:pPr>
      <w:r w:rsidRPr="0017404E">
        <w:rPr>
          <w:b/>
        </w:rPr>
        <w:t>EFFORTS TO IDENTIFY DUPLICATION</w:t>
      </w:r>
    </w:p>
    <w:p w:rsidR="0017404E" w:rsidRPr="0017404E" w:rsidRDefault="0017404E" w:rsidP="0017404E">
      <w:pPr>
        <w:tabs>
          <w:tab w:val="left" w:pos="720"/>
        </w:tabs>
        <w:rPr>
          <w:b/>
        </w:rPr>
      </w:pPr>
    </w:p>
    <w:p w:rsidR="0038021B" w:rsidRDefault="0038021B" w:rsidP="0038021B">
      <w:pPr>
        <w:tabs>
          <w:tab w:val="left" w:pos="720"/>
        </w:tabs>
      </w:pPr>
      <w:r>
        <w:tab/>
        <w:t>We are not aware of any rules that conflict with or substantially duplicate the proposed rules.</w:t>
      </w:r>
    </w:p>
    <w:p w:rsidR="00EB3830" w:rsidRDefault="00EB3830" w:rsidP="00EB3830">
      <w:pPr>
        <w:tabs>
          <w:tab w:val="left" w:pos="720"/>
        </w:tabs>
      </w:pPr>
    </w:p>
    <w:p w:rsidR="00EB3830" w:rsidRPr="0017404E" w:rsidRDefault="00EB3830" w:rsidP="00EB3830">
      <w:pPr>
        <w:numPr>
          <w:ilvl w:val="0"/>
          <w:numId w:val="1"/>
        </w:numPr>
        <w:tabs>
          <w:tab w:val="clear" w:pos="1080"/>
        </w:tabs>
        <w:ind w:left="0" w:firstLine="0"/>
        <w:rPr>
          <w:b/>
        </w:rPr>
      </w:pPr>
      <w:r w:rsidRPr="0017404E">
        <w:rPr>
          <w:b/>
        </w:rPr>
        <w:t>EFFECT ON SMALL ENTITIES</w:t>
      </w:r>
    </w:p>
    <w:p w:rsidR="00E374A9" w:rsidRDefault="00E374A9" w:rsidP="00E374A9"/>
    <w:p w:rsidR="00597DEE" w:rsidRDefault="00E374A9" w:rsidP="00597DEE">
      <w:pPr>
        <w:ind w:firstLine="720"/>
      </w:pPr>
      <w:r>
        <w:t xml:space="preserve">The proposed amendments would apply to all companies subject to the proxy rules, including small entities.  </w:t>
      </w:r>
      <w:r w:rsidR="00927DF8">
        <w:t xml:space="preserve">The proposed amendments would permit, but not require, an issuer or other </w:t>
      </w:r>
      <w:r w:rsidR="00927DF8" w:rsidRPr="00E222F3">
        <w:t xml:space="preserve">soliciting person to include </w:t>
      </w:r>
      <w:r w:rsidR="00927DF8">
        <w:t>explanatory</w:t>
      </w:r>
      <w:r w:rsidR="00927DF8" w:rsidRPr="00E222F3">
        <w:t xml:space="preserve"> materials with the Notice.</w:t>
      </w:r>
      <w:r>
        <w:t xml:space="preserve">  </w:t>
      </w:r>
      <w:r w:rsidR="00ED1BD0">
        <w:t xml:space="preserve">The disclosure standards do not vary based on the size of the issuer.  </w:t>
      </w:r>
      <w:r>
        <w:t xml:space="preserve">The proposed amendments </w:t>
      </w:r>
      <w:r w:rsidR="00ED1BD0">
        <w:t xml:space="preserve">are intended to provide flexibility to soliciting persons and enhance their ability to use the notice and access model effectively. </w:t>
      </w:r>
      <w:r w:rsidR="00597DEE">
        <w:t xml:space="preserve"> </w:t>
      </w:r>
    </w:p>
    <w:p w:rsidR="00597DEE" w:rsidRDefault="00597DEE" w:rsidP="00597DEE">
      <w:pPr>
        <w:ind w:firstLine="720"/>
      </w:pPr>
    </w:p>
    <w:p w:rsidR="00EB3830" w:rsidRPr="0017404E" w:rsidRDefault="00EB3830" w:rsidP="00EB3830">
      <w:pPr>
        <w:numPr>
          <w:ilvl w:val="0"/>
          <w:numId w:val="1"/>
        </w:numPr>
        <w:tabs>
          <w:tab w:val="clear" w:pos="1080"/>
        </w:tabs>
        <w:ind w:left="0" w:firstLine="0"/>
        <w:rPr>
          <w:b/>
        </w:rPr>
      </w:pPr>
      <w:r w:rsidRPr="0017404E">
        <w:rPr>
          <w:b/>
        </w:rPr>
        <w:t>CONSEQUENCES OF LESS FREQUENT COLLECTION</w:t>
      </w:r>
    </w:p>
    <w:p w:rsidR="00EB3830" w:rsidRDefault="00EB3830" w:rsidP="00EB3830"/>
    <w:p w:rsidR="00597DEE" w:rsidRDefault="00ED1BD0" w:rsidP="00E91A5E">
      <w:pPr>
        <w:ind w:firstLine="720"/>
      </w:pPr>
      <w:r w:rsidRPr="001A3F11">
        <w:rPr>
          <w:bCs/>
          <w:color w:val="000000"/>
        </w:rPr>
        <w:t>The Notice is designed to briefly notify shareholders that proxy materials are electronically available on the Internet.  Without the Notice, there is danger that some shareholders may not be aware of how to access those materials</w:t>
      </w:r>
      <w:r>
        <w:rPr>
          <w:bCs/>
          <w:color w:val="000000"/>
        </w:rPr>
        <w:t>, which could l</w:t>
      </w:r>
      <w:r w:rsidRPr="001A3F11">
        <w:rPr>
          <w:bCs/>
          <w:color w:val="000000"/>
        </w:rPr>
        <w:t>ead to solicitation of proxies without full and adequate disclosure by the soliciting party of the matters for which proxy authority is being sought</w:t>
      </w:r>
      <w:r>
        <w:rPr>
          <w:bCs/>
          <w:color w:val="000000"/>
        </w:rPr>
        <w:t xml:space="preserve"> resulting in </w:t>
      </w:r>
      <w:r w:rsidRPr="001A3F11">
        <w:rPr>
          <w:bCs/>
          <w:color w:val="000000"/>
        </w:rPr>
        <w:t>uninformed voting decisions</w:t>
      </w:r>
      <w:r>
        <w:rPr>
          <w:bCs/>
          <w:color w:val="000000"/>
        </w:rPr>
        <w:t xml:space="preserve"> and </w:t>
      </w:r>
      <w:r w:rsidRPr="001A3F11">
        <w:rPr>
          <w:bCs/>
          <w:color w:val="000000"/>
        </w:rPr>
        <w:t>possible abuses in the voting process.</w:t>
      </w:r>
      <w:r w:rsidR="00597DEE">
        <w:rPr>
          <w:bCs/>
          <w:color w:val="000000"/>
        </w:rPr>
        <w:t xml:space="preserve">  </w:t>
      </w:r>
      <w:r w:rsidR="00597DEE" w:rsidRPr="001E3080">
        <w:t xml:space="preserve">Not requiring disclosure of the information required by </w:t>
      </w:r>
      <w:r w:rsidR="003E51A2">
        <w:t>Regulation</w:t>
      </w:r>
      <w:r w:rsidR="00597DEE" w:rsidRPr="001E3080">
        <w:t xml:space="preserve"> 14A in proxy statements would harm investors by denying them information that may be useful in making decisions, such as with regard to the election of directors.</w:t>
      </w:r>
    </w:p>
    <w:p w:rsidR="00ED1BD0" w:rsidRDefault="00ED1BD0" w:rsidP="00ED1BD0">
      <w:pPr>
        <w:ind w:firstLine="720"/>
        <w:rPr>
          <w:bCs/>
          <w:color w:val="000000"/>
        </w:rPr>
      </w:pPr>
    </w:p>
    <w:p w:rsidR="00ED1BD0" w:rsidRDefault="00ED1BD0" w:rsidP="00ED1BD0">
      <w:pPr>
        <w:ind w:firstLine="720"/>
      </w:pPr>
      <w:r>
        <w:rPr>
          <w:bCs/>
          <w:color w:val="000000"/>
        </w:rPr>
        <w:t xml:space="preserve">The proposed amendments seek to </w:t>
      </w:r>
      <w:r w:rsidRPr="00930062">
        <w:t>improve the notice and access model for furnishing proxy materials to shareholders</w:t>
      </w:r>
      <w:r>
        <w:t xml:space="preserve">.  The change that would affect burden estimates relates to the permission </w:t>
      </w:r>
      <w:r w:rsidR="00F43227">
        <w:t xml:space="preserve">that would be </w:t>
      </w:r>
      <w:r>
        <w:t xml:space="preserve">provided </w:t>
      </w:r>
      <w:r w:rsidR="00F43227">
        <w:t xml:space="preserve">by </w:t>
      </w:r>
      <w:r>
        <w:t xml:space="preserve">proposed amendments to </w:t>
      </w:r>
      <w:r>
        <w:lastRenderedPageBreak/>
        <w:t>include explanatory materials.  These materials would not be required, but may help improve investors understanding of the Notice</w:t>
      </w:r>
      <w:r w:rsidR="007E0276">
        <w:t xml:space="preserve"> that they are receiving by providing an explanation of </w:t>
      </w:r>
      <w:r w:rsidR="00F43227">
        <w:t xml:space="preserve">the </w:t>
      </w:r>
      <w:r w:rsidR="007E0276">
        <w:t>process of how they can receive and review the proxy materials and vote.</w:t>
      </w:r>
    </w:p>
    <w:p w:rsidR="0005316B" w:rsidRDefault="0005316B" w:rsidP="00EB3830"/>
    <w:p w:rsidR="00EB3830" w:rsidRPr="0017404E" w:rsidRDefault="00EB3830" w:rsidP="00EB3830">
      <w:pPr>
        <w:numPr>
          <w:ilvl w:val="0"/>
          <w:numId w:val="1"/>
        </w:numPr>
        <w:tabs>
          <w:tab w:val="clear" w:pos="1080"/>
        </w:tabs>
        <w:ind w:left="0" w:firstLine="0"/>
        <w:rPr>
          <w:b/>
        </w:rPr>
      </w:pPr>
      <w:r w:rsidRPr="0017404E">
        <w:rPr>
          <w:b/>
        </w:rPr>
        <w:t>INCONSISTENCIES WITH GUIDELINES IN 5 C.F.R. 1320.5(d)(2)</w:t>
      </w:r>
    </w:p>
    <w:p w:rsidR="00EB3830" w:rsidRDefault="00EB3830" w:rsidP="00EB3830"/>
    <w:p w:rsidR="00C428FD" w:rsidRDefault="00C428FD" w:rsidP="00C428FD">
      <w:pPr>
        <w:ind w:left="720"/>
      </w:pPr>
      <w:r>
        <w:t>None.</w:t>
      </w:r>
    </w:p>
    <w:p w:rsidR="00DA4141" w:rsidRDefault="00DA4141" w:rsidP="00EB3830"/>
    <w:p w:rsidR="00EB3830" w:rsidRPr="0017404E" w:rsidRDefault="00EB3830" w:rsidP="00EB3830">
      <w:pPr>
        <w:numPr>
          <w:ilvl w:val="0"/>
          <w:numId w:val="1"/>
        </w:numPr>
        <w:tabs>
          <w:tab w:val="clear" w:pos="1080"/>
        </w:tabs>
        <w:ind w:left="0" w:firstLine="0"/>
        <w:rPr>
          <w:b/>
        </w:rPr>
      </w:pPr>
      <w:r w:rsidRPr="0017404E">
        <w:rPr>
          <w:b/>
        </w:rPr>
        <w:t>CONSULTATION OUTSIDE THE AGENCY</w:t>
      </w:r>
    </w:p>
    <w:p w:rsidR="00C428FD" w:rsidRDefault="00C428FD" w:rsidP="00C428FD"/>
    <w:p w:rsidR="00C428FD" w:rsidRDefault="00C428FD" w:rsidP="003E2479">
      <w:pPr>
        <w:ind w:firstLine="720"/>
      </w:pPr>
      <w:r>
        <w:t xml:space="preserve">The Commission has issued a release soliciting comment on the new “collection of information” requirements and the associated paperwork burdens.  A copy of </w:t>
      </w:r>
      <w:r w:rsidR="0017404E">
        <w:t>this release is attached.  Comme</w:t>
      </w:r>
      <w:r>
        <w:t xml:space="preserve">nts on Commission releases are generally received from registrants, investors and other market participants.  In addition, the Commission and staff of the Division of Corporation Finance </w:t>
      </w:r>
      <w:r w:rsidR="00597DEE">
        <w:t xml:space="preserve">and the Division of Investment Management </w:t>
      </w:r>
      <w:r>
        <w:t>participate in an ongoing dialogue with representatives of various market participants through public conferences, meetings, and informal exchanges.  The Commission will consider all comments received.</w:t>
      </w:r>
    </w:p>
    <w:p w:rsidR="00EB3830" w:rsidRDefault="00EB3830" w:rsidP="00EB3830"/>
    <w:p w:rsidR="00EB3830" w:rsidRPr="0017404E" w:rsidRDefault="00EB3830" w:rsidP="00EB3830">
      <w:pPr>
        <w:numPr>
          <w:ilvl w:val="0"/>
          <w:numId w:val="1"/>
        </w:numPr>
        <w:tabs>
          <w:tab w:val="clear" w:pos="1080"/>
        </w:tabs>
        <w:ind w:left="0" w:firstLine="0"/>
        <w:rPr>
          <w:b/>
        </w:rPr>
      </w:pPr>
      <w:r w:rsidRPr="0017404E">
        <w:rPr>
          <w:b/>
        </w:rPr>
        <w:t>PAYMENT OR GIFTS TO RESPONDENTS</w:t>
      </w:r>
    </w:p>
    <w:p w:rsidR="00C428FD" w:rsidRDefault="00C428FD" w:rsidP="00C428FD"/>
    <w:p w:rsidR="00C428FD" w:rsidRDefault="00C428FD" w:rsidP="00C428FD">
      <w:pPr>
        <w:ind w:left="720"/>
      </w:pPr>
      <w:r>
        <w:t>Not applicable.</w:t>
      </w:r>
    </w:p>
    <w:p w:rsidR="00EB3830" w:rsidRDefault="00EB3830" w:rsidP="00EB3830"/>
    <w:p w:rsidR="00EB3830" w:rsidRPr="0017404E" w:rsidRDefault="00EB3830" w:rsidP="00EB3830">
      <w:pPr>
        <w:numPr>
          <w:ilvl w:val="0"/>
          <w:numId w:val="1"/>
        </w:numPr>
        <w:tabs>
          <w:tab w:val="clear" w:pos="1080"/>
        </w:tabs>
        <w:ind w:left="0" w:firstLine="0"/>
        <w:rPr>
          <w:b/>
        </w:rPr>
      </w:pPr>
      <w:r w:rsidRPr="0017404E">
        <w:rPr>
          <w:b/>
        </w:rPr>
        <w:t>ASSURANCE OF CONFIDENTIALITY</w:t>
      </w:r>
    </w:p>
    <w:p w:rsidR="00C428FD" w:rsidRDefault="00C428FD" w:rsidP="00C428FD">
      <w:pPr>
        <w:ind w:left="720"/>
      </w:pPr>
    </w:p>
    <w:p w:rsidR="003E2479" w:rsidRDefault="003E2479" w:rsidP="003E2479">
      <w:pPr>
        <w:ind w:firstLine="720"/>
      </w:pPr>
      <w:r>
        <w:t>The information in each of the collections of information discussed above is made publicly available.</w:t>
      </w:r>
    </w:p>
    <w:p w:rsidR="00EB3830" w:rsidRDefault="00EB3830" w:rsidP="00EB3830"/>
    <w:p w:rsidR="00EB3830" w:rsidRPr="0017404E" w:rsidRDefault="00EB3830" w:rsidP="00EB3830">
      <w:pPr>
        <w:numPr>
          <w:ilvl w:val="0"/>
          <w:numId w:val="1"/>
        </w:numPr>
        <w:tabs>
          <w:tab w:val="clear" w:pos="1080"/>
        </w:tabs>
        <w:ind w:left="0" w:firstLine="0"/>
        <w:rPr>
          <w:b/>
        </w:rPr>
      </w:pPr>
      <w:r w:rsidRPr="0017404E">
        <w:rPr>
          <w:b/>
        </w:rPr>
        <w:t>JUSTIFICATION FOR SENSITIVE QUESTIONS</w:t>
      </w:r>
    </w:p>
    <w:p w:rsidR="003E2479" w:rsidRDefault="003E2479" w:rsidP="003E2479"/>
    <w:p w:rsidR="003E2479" w:rsidRDefault="003E2479" w:rsidP="003E2479">
      <w:pPr>
        <w:ind w:left="720"/>
      </w:pPr>
      <w:r>
        <w:t>Not applicable.</w:t>
      </w:r>
    </w:p>
    <w:p w:rsidR="00EB3830" w:rsidRDefault="00EB3830" w:rsidP="00EB3830"/>
    <w:p w:rsidR="00EB3830" w:rsidRPr="0017404E" w:rsidRDefault="00854ABC" w:rsidP="00854ABC">
      <w:pPr>
        <w:rPr>
          <w:b/>
        </w:rPr>
      </w:pPr>
      <w:r w:rsidRPr="0017404E">
        <w:rPr>
          <w:b/>
        </w:rPr>
        <w:t>12/13.</w:t>
      </w:r>
      <w:r w:rsidRPr="0017404E">
        <w:rPr>
          <w:b/>
        </w:rPr>
        <w:tab/>
      </w:r>
      <w:r w:rsidR="005C156C" w:rsidRPr="0017404E">
        <w:rPr>
          <w:b/>
        </w:rPr>
        <w:t>E</w:t>
      </w:r>
      <w:r w:rsidR="00EB3830" w:rsidRPr="0017404E">
        <w:rPr>
          <w:b/>
        </w:rPr>
        <w:t>STIMATES OF HOUR AND COST BURDENS</w:t>
      </w:r>
    </w:p>
    <w:p w:rsidR="003E2479" w:rsidRDefault="003E2479" w:rsidP="00854ABC"/>
    <w:p w:rsidR="003E2479" w:rsidRDefault="003E2479" w:rsidP="00B743C0">
      <w:r>
        <w:tab/>
        <w:t xml:space="preserve">The paperwork burden estimates associated with the proposal include the </w:t>
      </w:r>
      <w:r w:rsidR="007E0276">
        <w:t>burdens attributable to preparing and reporting information to the Commission</w:t>
      </w:r>
      <w:r>
        <w:t xml:space="preserve"> and retaining records</w:t>
      </w:r>
      <w:r w:rsidR="007E0276">
        <w:t>, but do not include the burden associated with using such information for other purposes</w:t>
      </w:r>
      <w:r>
        <w:t>.  These estimates represent the average burden for all companies, both large and small.</w:t>
      </w:r>
      <w:r w:rsidR="00E630A6">
        <w:t xml:space="preserve">  For each estimate, we calculate that a portion of the burden will be carried by the company internally, and the other portion will be carried by outside professionals retained by the company.  The portion of the burden carried by the company internally is reflected in hour</w:t>
      </w:r>
      <w:r w:rsidR="00224AD7">
        <w:t>s</w:t>
      </w:r>
      <w:r w:rsidR="00E630A6">
        <w:t xml:space="preserve">, while the portion of the burden carried by outside professionals </w:t>
      </w:r>
      <w:r w:rsidR="000F7914">
        <w:t xml:space="preserve">retained by the company </w:t>
      </w:r>
      <w:r w:rsidR="00E630A6">
        <w:t>is reflected as a cost</w:t>
      </w:r>
      <w:r w:rsidR="000F7914">
        <w:t xml:space="preserve">.  </w:t>
      </w:r>
      <w:r w:rsidR="00AE4BC2">
        <w:t xml:space="preserve">The burdens have been calculated by multiplying the estimated number of annual responses we believe will be generated by </w:t>
      </w:r>
      <w:r w:rsidR="00AE4BC2">
        <w:lastRenderedPageBreak/>
        <w:t xml:space="preserve">the estimated average number of hours each entity will spend complying with the requirements of the rules.  </w:t>
      </w:r>
    </w:p>
    <w:p w:rsidR="003E2479" w:rsidRDefault="003E2479" w:rsidP="00854ABC"/>
    <w:p w:rsidR="00CA7DA1" w:rsidRDefault="00CA7DA1" w:rsidP="00B743C0">
      <w:r>
        <w:tab/>
        <w:t xml:space="preserve">We estimate that </w:t>
      </w:r>
      <w:r w:rsidR="00400F2C">
        <w:t xml:space="preserve">the burden hours associated with Regulation 14A are carried </w:t>
      </w:r>
      <w:r>
        <w:t>75% by the company internally, and that 25% of the burden of preparation is carried by outside professionals retained by the company at an average cost of $400 per hour.</w:t>
      </w:r>
    </w:p>
    <w:p w:rsidR="00CA7DA1" w:rsidRDefault="00570BE8" w:rsidP="00B743C0">
      <w:r>
        <w:tab/>
      </w:r>
    </w:p>
    <w:p w:rsidR="00B743C0" w:rsidRDefault="00B743C0" w:rsidP="00B743C0">
      <w:pPr>
        <w:ind w:firstLine="720"/>
      </w:pPr>
      <w:r>
        <w:t xml:space="preserve">The proposed amendments would permit, but not require, an issuer or other </w:t>
      </w:r>
      <w:r w:rsidRPr="00E222F3">
        <w:t xml:space="preserve">soliciting person to include </w:t>
      </w:r>
      <w:r>
        <w:t>explanatory</w:t>
      </w:r>
      <w:r w:rsidRPr="00E222F3">
        <w:t xml:space="preserve"> materials with the Notice.  We expect </w:t>
      </w:r>
      <w:r>
        <w:t xml:space="preserve">that </w:t>
      </w:r>
      <w:r w:rsidRPr="00E222F3">
        <w:t xml:space="preserve">this information will </w:t>
      </w:r>
      <w:r>
        <w:t xml:space="preserve">generally consist of approximately </w:t>
      </w:r>
      <w:r w:rsidRPr="00E222F3">
        <w:t>one or two paragraphs</w:t>
      </w:r>
      <w:r>
        <w:t xml:space="preserve"> of text</w:t>
      </w:r>
      <w:r w:rsidR="004864E3">
        <w:t>.  For purposes of the Paperwork Reduction Act</w:t>
      </w:r>
      <w:r w:rsidRPr="00E222F3">
        <w:t xml:space="preserve">, we estimate the annual burden </w:t>
      </w:r>
      <w:r>
        <w:t>if a soliciting person chooses</w:t>
      </w:r>
      <w:r w:rsidRPr="00E222F3">
        <w:t xml:space="preserve"> to prepare the </w:t>
      </w:r>
      <w:r>
        <w:t>explanatory</w:t>
      </w:r>
      <w:r w:rsidRPr="00E222F3">
        <w:t xml:space="preserve"> materials </w:t>
      </w:r>
      <w:r>
        <w:t>would</w:t>
      </w:r>
      <w:r w:rsidRPr="00E222F3">
        <w:t xml:space="preserve"> be approximately 0.5 reporting hours</w:t>
      </w:r>
      <w:r>
        <w:t xml:space="preserve"> per issuer or other soliciting person</w:t>
      </w:r>
      <w:r w:rsidRPr="00E222F3">
        <w:t>.</w:t>
      </w:r>
      <w:r>
        <w:rPr>
          <w:rStyle w:val="FootnoteReference"/>
        </w:rPr>
        <w:footnoteReference w:id="7"/>
      </w:r>
      <w:r w:rsidRPr="00E222F3">
        <w:t xml:space="preserve"> </w:t>
      </w:r>
      <w:r>
        <w:t xml:space="preserve"> W</w:t>
      </w:r>
      <w:r w:rsidRPr="00E222F3">
        <w:t xml:space="preserve">e estimate that 75% of the burden </w:t>
      </w:r>
      <w:r>
        <w:t>would be</w:t>
      </w:r>
      <w:r w:rsidRPr="00E222F3">
        <w:t xml:space="preserve"> </w:t>
      </w:r>
      <w:r>
        <w:t>borne</w:t>
      </w:r>
      <w:r w:rsidRPr="00E222F3">
        <w:t xml:space="preserve"> by the </w:t>
      </w:r>
      <w:r>
        <w:t>soliciting person</w:t>
      </w:r>
      <w:r w:rsidRPr="00E222F3">
        <w:t xml:space="preserve"> and that 25% of the burden </w:t>
      </w:r>
      <w:r>
        <w:t>would be</w:t>
      </w:r>
      <w:r w:rsidRPr="00E222F3">
        <w:t xml:space="preserve"> </w:t>
      </w:r>
      <w:r>
        <w:t>borne</w:t>
      </w:r>
      <w:r w:rsidRPr="00E222F3">
        <w:t xml:space="preserve"> by outside counsel retained by the </w:t>
      </w:r>
      <w:r>
        <w:t>soliciting person</w:t>
      </w:r>
      <w:r w:rsidRPr="00E222F3">
        <w:t xml:space="preserve"> at an average cost of approximately $400 per hour.</w:t>
      </w:r>
      <w:r>
        <w:t xml:space="preserve">  </w:t>
      </w:r>
      <w:r w:rsidRPr="00E222F3">
        <w:t xml:space="preserve">The portion of the burden carried by outside professionals is reflected as a cost, while the portion of the burden carried by the </w:t>
      </w:r>
      <w:r>
        <w:t>issuer</w:t>
      </w:r>
      <w:r w:rsidRPr="00E222F3">
        <w:t xml:space="preserve"> internally is reflected in hours.</w:t>
      </w:r>
      <w:r w:rsidR="001939B5">
        <w:t xml:space="preserve">  We estimate the total burden for Regulation 14A, including the changes, is </w:t>
      </w:r>
      <w:r w:rsidR="005D4D13">
        <w:t>671,970 hours (669,232 hours + 2738 hours of incremental burden) and the cost for outside professionals is $ 79,214,887(</w:t>
      </w:r>
      <w:r w:rsidR="005D4D13" w:rsidRPr="005D4D13">
        <w:t>$78,849,887</w:t>
      </w:r>
      <w:r w:rsidR="005D4D13">
        <w:t xml:space="preserve"> + $365,000 of incremental cost)</w:t>
      </w:r>
      <w:r w:rsidRPr="00E222F3">
        <w:t xml:space="preserve"> </w:t>
      </w:r>
    </w:p>
    <w:p w:rsidR="00D2030B" w:rsidRDefault="00D2030B" w:rsidP="00B743C0">
      <w:pPr>
        <w:ind w:firstLine="720"/>
      </w:pPr>
    </w:p>
    <w:p w:rsidR="00B743C0" w:rsidRDefault="00B743C0" w:rsidP="00B743C0">
      <w:pPr>
        <w:keepNext/>
        <w:ind w:firstLine="720"/>
        <w:outlineLvl w:val="0"/>
      </w:pPr>
      <w:r w:rsidRPr="00E222F3">
        <w:t>The following table summarize</w:t>
      </w:r>
      <w:r>
        <w:t>s</w:t>
      </w:r>
      <w:r w:rsidRPr="00E222F3">
        <w:t xml:space="preserve"> the </w:t>
      </w:r>
      <w:r>
        <w:t>proposed</w:t>
      </w:r>
      <w:r w:rsidRPr="004679D8">
        <w:t xml:space="preserve"> PRA burden est</w:t>
      </w:r>
      <w:r w:rsidR="00E91A5E">
        <w:t xml:space="preserve">imates for </w:t>
      </w:r>
      <w:r w:rsidR="003E51A2">
        <w:t>Regulation</w:t>
      </w:r>
      <w:r w:rsidR="00E91A5E">
        <w:t xml:space="preserve"> 14A</w:t>
      </w:r>
      <w:r w:rsidRPr="00E222F3">
        <w:t xml:space="preserve">: </w:t>
      </w:r>
    </w:p>
    <w:p w:rsidR="00D2030B" w:rsidRPr="00E222F3" w:rsidRDefault="00D2030B" w:rsidP="00B743C0">
      <w:pPr>
        <w:keepNext/>
        <w:ind w:firstLine="720"/>
        <w:outlineLvl w:val="0"/>
      </w:pPr>
    </w:p>
    <w:p w:rsidR="00B743C0" w:rsidRDefault="00B743C0" w:rsidP="00B743C0">
      <w:pPr>
        <w:pStyle w:val="CM120"/>
        <w:rPr>
          <w:color w:val="000000"/>
          <w:sz w:val="20"/>
          <w:szCs w:val="20"/>
        </w:rPr>
      </w:pPr>
      <w:r w:rsidRPr="00E222F3">
        <w:rPr>
          <w:color w:val="000000"/>
          <w:sz w:val="20"/>
          <w:szCs w:val="20"/>
        </w:rPr>
        <w:t xml:space="preserve">Table 1: Calculation of Incremental Paperwork Reduction Act Burden Estimates for Proxy and Information Statements </w:t>
      </w:r>
    </w:p>
    <w:p w:rsidR="00B743C0" w:rsidRPr="00087F14" w:rsidRDefault="00B743C0" w:rsidP="00B743C0">
      <w:pPr>
        <w:pStyle w:val="Default"/>
      </w:pPr>
    </w:p>
    <w:tbl>
      <w:tblPr>
        <w:tblStyle w:val="TableGrid"/>
        <w:tblW w:w="0" w:type="auto"/>
        <w:tblLayout w:type="fixed"/>
        <w:tblLook w:val="01E0"/>
      </w:tblPr>
      <w:tblGrid>
        <w:gridCol w:w="1368"/>
        <w:gridCol w:w="900"/>
        <w:gridCol w:w="1260"/>
        <w:gridCol w:w="1260"/>
        <w:gridCol w:w="1170"/>
        <w:gridCol w:w="1350"/>
        <w:gridCol w:w="1548"/>
      </w:tblGrid>
      <w:tr w:rsidR="00B743C0" w:rsidRPr="00087F14" w:rsidTr="003E51A2">
        <w:tc>
          <w:tcPr>
            <w:tcW w:w="1368" w:type="dxa"/>
          </w:tcPr>
          <w:p w:rsidR="00B743C0" w:rsidRPr="00087F14" w:rsidRDefault="00B743C0" w:rsidP="00B743C0">
            <w:pPr>
              <w:pStyle w:val="Default"/>
              <w:jc w:val="center"/>
              <w:rPr>
                <w:sz w:val="18"/>
                <w:szCs w:val="18"/>
              </w:rPr>
            </w:pPr>
            <w:r w:rsidRPr="00087F14">
              <w:rPr>
                <w:sz w:val="18"/>
                <w:szCs w:val="18"/>
              </w:rPr>
              <w:t>Form</w:t>
            </w:r>
          </w:p>
        </w:tc>
        <w:tc>
          <w:tcPr>
            <w:tcW w:w="900" w:type="dxa"/>
          </w:tcPr>
          <w:p w:rsidR="00B743C0" w:rsidRPr="00087F14" w:rsidRDefault="00B743C0" w:rsidP="00B743C0">
            <w:pPr>
              <w:pStyle w:val="Default"/>
              <w:jc w:val="center"/>
              <w:rPr>
                <w:sz w:val="18"/>
                <w:szCs w:val="18"/>
              </w:rPr>
            </w:pPr>
            <w:r w:rsidRPr="00087F14">
              <w:rPr>
                <w:sz w:val="18"/>
                <w:szCs w:val="18"/>
              </w:rPr>
              <w:t>Annual Responses</w:t>
            </w:r>
          </w:p>
        </w:tc>
        <w:tc>
          <w:tcPr>
            <w:tcW w:w="1260" w:type="dxa"/>
          </w:tcPr>
          <w:p w:rsidR="00B743C0" w:rsidRPr="00087F14" w:rsidRDefault="00B743C0" w:rsidP="00B743C0">
            <w:pPr>
              <w:pStyle w:val="Default"/>
              <w:jc w:val="center"/>
              <w:rPr>
                <w:sz w:val="18"/>
                <w:szCs w:val="18"/>
              </w:rPr>
            </w:pPr>
            <w:r w:rsidRPr="00087F14">
              <w:rPr>
                <w:sz w:val="18"/>
                <w:szCs w:val="18"/>
              </w:rPr>
              <w:t>Incremental Hours/Form</w:t>
            </w:r>
          </w:p>
        </w:tc>
        <w:tc>
          <w:tcPr>
            <w:tcW w:w="1260" w:type="dxa"/>
          </w:tcPr>
          <w:p w:rsidR="00B743C0" w:rsidRPr="00087F14" w:rsidRDefault="00B743C0" w:rsidP="00B743C0">
            <w:pPr>
              <w:pStyle w:val="Default"/>
              <w:jc w:val="center"/>
              <w:rPr>
                <w:sz w:val="18"/>
                <w:szCs w:val="18"/>
              </w:rPr>
            </w:pPr>
            <w:r w:rsidRPr="00087F14">
              <w:rPr>
                <w:sz w:val="18"/>
                <w:szCs w:val="18"/>
              </w:rPr>
              <w:t>Incremental Burden</w:t>
            </w:r>
          </w:p>
        </w:tc>
        <w:tc>
          <w:tcPr>
            <w:tcW w:w="1170" w:type="dxa"/>
          </w:tcPr>
          <w:p w:rsidR="00B743C0" w:rsidRPr="00087F14" w:rsidRDefault="00B743C0" w:rsidP="00B743C0">
            <w:pPr>
              <w:pStyle w:val="Default"/>
              <w:jc w:val="center"/>
              <w:rPr>
                <w:sz w:val="18"/>
                <w:szCs w:val="18"/>
              </w:rPr>
            </w:pPr>
            <w:r w:rsidRPr="00087F14">
              <w:rPr>
                <w:sz w:val="18"/>
                <w:szCs w:val="18"/>
              </w:rPr>
              <w:t>75% Issuer</w:t>
            </w:r>
          </w:p>
        </w:tc>
        <w:tc>
          <w:tcPr>
            <w:tcW w:w="1350" w:type="dxa"/>
          </w:tcPr>
          <w:p w:rsidR="00B743C0" w:rsidRPr="00087F14" w:rsidRDefault="00B743C0" w:rsidP="00B743C0">
            <w:pPr>
              <w:pStyle w:val="Default"/>
              <w:jc w:val="center"/>
              <w:rPr>
                <w:sz w:val="18"/>
                <w:szCs w:val="18"/>
              </w:rPr>
            </w:pPr>
            <w:r w:rsidRPr="00087F14">
              <w:rPr>
                <w:sz w:val="18"/>
                <w:szCs w:val="18"/>
              </w:rPr>
              <w:t>25% Professional</w:t>
            </w:r>
          </w:p>
        </w:tc>
        <w:tc>
          <w:tcPr>
            <w:tcW w:w="1548" w:type="dxa"/>
          </w:tcPr>
          <w:p w:rsidR="00B743C0" w:rsidRPr="00087F14" w:rsidRDefault="00B743C0" w:rsidP="00B743C0">
            <w:pPr>
              <w:pStyle w:val="Default"/>
              <w:jc w:val="center"/>
              <w:rPr>
                <w:sz w:val="18"/>
                <w:szCs w:val="18"/>
              </w:rPr>
            </w:pPr>
            <w:r w:rsidRPr="00087F14">
              <w:rPr>
                <w:sz w:val="18"/>
                <w:szCs w:val="18"/>
              </w:rPr>
              <w:t>$400 Professional Cost</w:t>
            </w:r>
          </w:p>
        </w:tc>
      </w:tr>
      <w:tr w:rsidR="00B743C0" w:rsidRPr="00E222F3" w:rsidTr="003E51A2">
        <w:tc>
          <w:tcPr>
            <w:tcW w:w="1368" w:type="dxa"/>
          </w:tcPr>
          <w:p w:rsidR="00B743C0" w:rsidRPr="00087F14" w:rsidRDefault="00B743C0" w:rsidP="00B743C0">
            <w:pPr>
              <w:pStyle w:val="Default"/>
              <w:jc w:val="center"/>
              <w:rPr>
                <w:sz w:val="16"/>
                <w:szCs w:val="16"/>
              </w:rPr>
            </w:pPr>
          </w:p>
        </w:tc>
        <w:tc>
          <w:tcPr>
            <w:tcW w:w="900" w:type="dxa"/>
          </w:tcPr>
          <w:p w:rsidR="00B743C0" w:rsidRPr="00087F14" w:rsidRDefault="00B743C0" w:rsidP="00B743C0">
            <w:pPr>
              <w:pStyle w:val="Default"/>
              <w:jc w:val="center"/>
              <w:rPr>
                <w:sz w:val="16"/>
                <w:szCs w:val="16"/>
              </w:rPr>
            </w:pPr>
            <w:r w:rsidRPr="00087F14">
              <w:rPr>
                <w:sz w:val="16"/>
                <w:szCs w:val="16"/>
              </w:rPr>
              <w:t>(A)</w:t>
            </w:r>
          </w:p>
        </w:tc>
        <w:tc>
          <w:tcPr>
            <w:tcW w:w="1260" w:type="dxa"/>
          </w:tcPr>
          <w:p w:rsidR="00B743C0" w:rsidRPr="00087F14" w:rsidRDefault="00B743C0" w:rsidP="00B743C0">
            <w:pPr>
              <w:pStyle w:val="Default"/>
              <w:jc w:val="center"/>
              <w:rPr>
                <w:sz w:val="16"/>
                <w:szCs w:val="16"/>
              </w:rPr>
            </w:pPr>
            <w:r w:rsidRPr="00087F14">
              <w:rPr>
                <w:sz w:val="16"/>
                <w:szCs w:val="16"/>
              </w:rPr>
              <w:t>(B)</w:t>
            </w:r>
          </w:p>
        </w:tc>
        <w:tc>
          <w:tcPr>
            <w:tcW w:w="1260" w:type="dxa"/>
          </w:tcPr>
          <w:p w:rsidR="00B743C0" w:rsidRPr="00087F14" w:rsidRDefault="00B743C0" w:rsidP="00B743C0">
            <w:pPr>
              <w:pStyle w:val="Default"/>
              <w:jc w:val="center"/>
              <w:rPr>
                <w:sz w:val="16"/>
                <w:szCs w:val="16"/>
              </w:rPr>
            </w:pPr>
            <w:r w:rsidRPr="00087F14">
              <w:rPr>
                <w:sz w:val="16"/>
                <w:szCs w:val="16"/>
              </w:rPr>
              <w:t>(C)=(A)*(B)</w:t>
            </w:r>
          </w:p>
        </w:tc>
        <w:tc>
          <w:tcPr>
            <w:tcW w:w="1170" w:type="dxa"/>
          </w:tcPr>
          <w:p w:rsidR="00B743C0" w:rsidRPr="00087F14" w:rsidRDefault="00B743C0" w:rsidP="00B743C0">
            <w:pPr>
              <w:pStyle w:val="Default"/>
              <w:jc w:val="center"/>
              <w:rPr>
                <w:sz w:val="16"/>
                <w:szCs w:val="16"/>
              </w:rPr>
            </w:pPr>
            <w:r w:rsidRPr="00087F14">
              <w:rPr>
                <w:sz w:val="16"/>
                <w:szCs w:val="16"/>
              </w:rPr>
              <w:t>(D)=(C)*0.75</w:t>
            </w:r>
          </w:p>
        </w:tc>
        <w:tc>
          <w:tcPr>
            <w:tcW w:w="1350" w:type="dxa"/>
          </w:tcPr>
          <w:p w:rsidR="00B743C0" w:rsidRPr="00087F14" w:rsidRDefault="00B743C0" w:rsidP="00B743C0">
            <w:pPr>
              <w:pStyle w:val="Default"/>
              <w:jc w:val="center"/>
              <w:rPr>
                <w:sz w:val="16"/>
                <w:szCs w:val="16"/>
              </w:rPr>
            </w:pPr>
            <w:r w:rsidRPr="00087F14">
              <w:rPr>
                <w:sz w:val="16"/>
                <w:szCs w:val="16"/>
              </w:rPr>
              <w:t>(E)=(C)*0.25</w:t>
            </w:r>
          </w:p>
        </w:tc>
        <w:tc>
          <w:tcPr>
            <w:tcW w:w="1548" w:type="dxa"/>
          </w:tcPr>
          <w:p w:rsidR="00B743C0" w:rsidRPr="00087F14" w:rsidRDefault="00B743C0" w:rsidP="00B743C0">
            <w:pPr>
              <w:pStyle w:val="Default"/>
              <w:jc w:val="center"/>
              <w:rPr>
                <w:sz w:val="16"/>
                <w:szCs w:val="16"/>
              </w:rPr>
            </w:pPr>
            <w:r w:rsidRPr="00087F14">
              <w:rPr>
                <w:sz w:val="16"/>
                <w:szCs w:val="16"/>
              </w:rPr>
              <w:t>(F)=(E)*$400</w:t>
            </w:r>
          </w:p>
        </w:tc>
      </w:tr>
      <w:tr w:rsidR="00B743C0" w:rsidRPr="00E222F3" w:rsidTr="003E51A2">
        <w:tc>
          <w:tcPr>
            <w:tcW w:w="1368" w:type="dxa"/>
          </w:tcPr>
          <w:p w:rsidR="00B743C0" w:rsidRPr="00087F14" w:rsidRDefault="003E51A2" w:rsidP="00B743C0">
            <w:pPr>
              <w:pStyle w:val="Default"/>
              <w:rPr>
                <w:sz w:val="18"/>
                <w:szCs w:val="18"/>
              </w:rPr>
            </w:pPr>
            <w:r>
              <w:rPr>
                <w:sz w:val="18"/>
                <w:szCs w:val="18"/>
              </w:rPr>
              <w:t>Regulation</w:t>
            </w:r>
            <w:r w:rsidR="00B743C0" w:rsidRPr="00087F14">
              <w:rPr>
                <w:sz w:val="18"/>
                <w:szCs w:val="18"/>
              </w:rPr>
              <w:t xml:space="preserve"> 14A</w:t>
            </w:r>
          </w:p>
        </w:tc>
        <w:tc>
          <w:tcPr>
            <w:tcW w:w="900" w:type="dxa"/>
          </w:tcPr>
          <w:p w:rsidR="00B743C0" w:rsidRPr="00E222F3" w:rsidRDefault="00B743C0" w:rsidP="00B743C0">
            <w:pPr>
              <w:pStyle w:val="Default"/>
              <w:jc w:val="center"/>
              <w:rPr>
                <w:sz w:val="20"/>
                <w:szCs w:val="20"/>
              </w:rPr>
            </w:pPr>
            <w:r>
              <w:rPr>
                <w:sz w:val="20"/>
                <w:szCs w:val="20"/>
              </w:rPr>
              <w:t>7300</w:t>
            </w:r>
          </w:p>
        </w:tc>
        <w:tc>
          <w:tcPr>
            <w:tcW w:w="1260" w:type="dxa"/>
          </w:tcPr>
          <w:p w:rsidR="00B743C0" w:rsidRPr="00E222F3" w:rsidRDefault="00B743C0" w:rsidP="00B743C0">
            <w:pPr>
              <w:pStyle w:val="Default"/>
              <w:jc w:val="center"/>
              <w:rPr>
                <w:sz w:val="20"/>
                <w:szCs w:val="20"/>
              </w:rPr>
            </w:pPr>
            <w:r>
              <w:rPr>
                <w:sz w:val="20"/>
                <w:szCs w:val="20"/>
              </w:rPr>
              <w:t>0.5</w:t>
            </w:r>
          </w:p>
        </w:tc>
        <w:tc>
          <w:tcPr>
            <w:tcW w:w="1260" w:type="dxa"/>
          </w:tcPr>
          <w:p w:rsidR="00B743C0" w:rsidRPr="00E222F3" w:rsidRDefault="00B743C0" w:rsidP="00B743C0">
            <w:pPr>
              <w:pStyle w:val="Default"/>
              <w:jc w:val="center"/>
              <w:rPr>
                <w:sz w:val="20"/>
                <w:szCs w:val="20"/>
              </w:rPr>
            </w:pPr>
            <w:r>
              <w:rPr>
                <w:sz w:val="20"/>
                <w:szCs w:val="20"/>
              </w:rPr>
              <w:t>3650</w:t>
            </w:r>
          </w:p>
        </w:tc>
        <w:tc>
          <w:tcPr>
            <w:tcW w:w="1170" w:type="dxa"/>
          </w:tcPr>
          <w:p w:rsidR="00B743C0" w:rsidRPr="00E222F3" w:rsidRDefault="00B743C0" w:rsidP="00B743C0">
            <w:pPr>
              <w:pStyle w:val="Default"/>
              <w:jc w:val="center"/>
              <w:rPr>
                <w:sz w:val="20"/>
                <w:szCs w:val="20"/>
              </w:rPr>
            </w:pPr>
            <w:r>
              <w:rPr>
                <w:sz w:val="20"/>
                <w:szCs w:val="20"/>
              </w:rPr>
              <w:t>2737.5</w:t>
            </w:r>
          </w:p>
        </w:tc>
        <w:tc>
          <w:tcPr>
            <w:tcW w:w="1350" w:type="dxa"/>
          </w:tcPr>
          <w:p w:rsidR="00B743C0" w:rsidRPr="00E222F3" w:rsidRDefault="00B743C0" w:rsidP="00B743C0">
            <w:pPr>
              <w:pStyle w:val="Default"/>
              <w:jc w:val="center"/>
              <w:rPr>
                <w:sz w:val="20"/>
                <w:szCs w:val="20"/>
              </w:rPr>
            </w:pPr>
            <w:r>
              <w:rPr>
                <w:sz w:val="20"/>
                <w:szCs w:val="20"/>
              </w:rPr>
              <w:t>912.5</w:t>
            </w:r>
          </w:p>
        </w:tc>
        <w:tc>
          <w:tcPr>
            <w:tcW w:w="1548" w:type="dxa"/>
          </w:tcPr>
          <w:p w:rsidR="00B743C0" w:rsidRPr="00E222F3" w:rsidRDefault="00B743C0" w:rsidP="00B743C0">
            <w:pPr>
              <w:pStyle w:val="Default"/>
              <w:jc w:val="center"/>
              <w:rPr>
                <w:sz w:val="20"/>
                <w:szCs w:val="20"/>
              </w:rPr>
            </w:pPr>
            <w:r>
              <w:rPr>
                <w:sz w:val="20"/>
                <w:szCs w:val="20"/>
              </w:rPr>
              <w:t>$365,000</w:t>
            </w:r>
          </w:p>
        </w:tc>
      </w:tr>
    </w:tbl>
    <w:p w:rsidR="00B743C0" w:rsidRDefault="00B743C0" w:rsidP="00B743C0"/>
    <w:p w:rsidR="00B743C0" w:rsidRDefault="00B743C0" w:rsidP="00B743C0"/>
    <w:p w:rsidR="00854ABC" w:rsidRDefault="00854ABC" w:rsidP="005C156C">
      <w:pPr>
        <w:numPr>
          <w:ilvl w:val="0"/>
          <w:numId w:val="2"/>
        </w:numPr>
        <w:tabs>
          <w:tab w:val="clear" w:pos="1080"/>
          <w:tab w:val="num" w:pos="720"/>
        </w:tabs>
        <w:ind w:left="720"/>
      </w:pPr>
      <w:r>
        <w:t>ESTIMATE OF COST TO FEDERAL GOVERNMENT</w:t>
      </w:r>
    </w:p>
    <w:p w:rsidR="00547AD4" w:rsidRDefault="00547AD4" w:rsidP="00547AD4"/>
    <w:p w:rsidR="00547AD4" w:rsidRDefault="00547AD4" w:rsidP="00547AD4">
      <w:pPr>
        <w:ind w:left="720"/>
      </w:pPr>
      <w:r>
        <w:t>We estimate costs to the federal government will be $50,000</w:t>
      </w:r>
      <w:r w:rsidR="00762EB4">
        <w:t xml:space="preserve"> per form</w:t>
      </w:r>
      <w:r>
        <w:t>.</w:t>
      </w:r>
    </w:p>
    <w:p w:rsidR="00854ABC" w:rsidRDefault="00854ABC" w:rsidP="00854ABC"/>
    <w:p w:rsidR="00854ABC" w:rsidRDefault="00854ABC" w:rsidP="00854ABC">
      <w:pPr>
        <w:numPr>
          <w:ilvl w:val="0"/>
          <w:numId w:val="2"/>
        </w:numPr>
        <w:tabs>
          <w:tab w:val="clear" w:pos="1080"/>
          <w:tab w:val="num" w:pos="0"/>
        </w:tabs>
        <w:ind w:left="0" w:firstLine="0"/>
      </w:pPr>
      <w:r>
        <w:t>EXPLANATION OF CHANGES IN BURDEN</w:t>
      </w:r>
    </w:p>
    <w:p w:rsidR="00854ABC" w:rsidRDefault="00854ABC" w:rsidP="00854ABC"/>
    <w:p w:rsidR="00D76092" w:rsidRDefault="00762EB4" w:rsidP="00D76092">
      <w:pPr>
        <w:ind w:left="720"/>
      </w:pPr>
      <w:r>
        <w:t>See discussion</w:t>
      </w:r>
      <w:r w:rsidR="007C6A87">
        <w:t xml:space="preserve"> in Items 12/</w:t>
      </w:r>
      <w:r w:rsidR="00D76092">
        <w:t>13</w:t>
      </w:r>
      <w:r>
        <w:t>.</w:t>
      </w:r>
      <w:r w:rsidR="00D76092">
        <w:t xml:space="preserve"> </w:t>
      </w:r>
    </w:p>
    <w:p w:rsidR="00D76092" w:rsidRDefault="00D76092" w:rsidP="00854ABC"/>
    <w:p w:rsidR="00854ABC" w:rsidRDefault="00854ABC" w:rsidP="00854ABC">
      <w:pPr>
        <w:numPr>
          <w:ilvl w:val="0"/>
          <w:numId w:val="2"/>
        </w:numPr>
        <w:tabs>
          <w:tab w:val="clear" w:pos="1080"/>
          <w:tab w:val="num" w:pos="0"/>
        </w:tabs>
        <w:ind w:left="0" w:firstLine="0"/>
      </w:pPr>
      <w:r>
        <w:t>INFORMATION COLLECTIONS PLANNED FOR STATISTICAL PURPOSES</w:t>
      </w:r>
    </w:p>
    <w:p w:rsidR="00854ABC" w:rsidRDefault="00854ABC" w:rsidP="00854ABC"/>
    <w:p w:rsidR="00D76092" w:rsidRDefault="00D76092" w:rsidP="00D76092">
      <w:pPr>
        <w:ind w:left="720"/>
      </w:pPr>
      <w:r>
        <w:t>Not applicable.</w:t>
      </w:r>
    </w:p>
    <w:p w:rsidR="00D76092" w:rsidRDefault="00D76092" w:rsidP="00854ABC"/>
    <w:p w:rsidR="00854ABC" w:rsidRDefault="00854ABC" w:rsidP="007C6A87">
      <w:pPr>
        <w:numPr>
          <w:ilvl w:val="0"/>
          <w:numId w:val="2"/>
        </w:numPr>
        <w:tabs>
          <w:tab w:val="clear" w:pos="1080"/>
          <w:tab w:val="num" w:pos="720"/>
        </w:tabs>
        <w:ind w:left="720"/>
      </w:pPr>
      <w:r>
        <w:t>EXPLANATION AS TO WHY EXPIRATION DATE WILL NOT BE</w:t>
      </w:r>
      <w:r w:rsidR="007E0276">
        <w:t xml:space="preserve"> </w:t>
      </w:r>
      <w:r>
        <w:t>DISPLAYED</w:t>
      </w:r>
    </w:p>
    <w:p w:rsidR="00854ABC" w:rsidRDefault="00854ABC" w:rsidP="00854ABC"/>
    <w:p w:rsidR="00D76092" w:rsidRDefault="00D76092" w:rsidP="00D76092">
      <w:pPr>
        <w:ind w:left="720"/>
      </w:pPr>
      <w:r>
        <w:t>Not applicable.</w:t>
      </w:r>
    </w:p>
    <w:p w:rsidR="00D76092" w:rsidRDefault="00D76092" w:rsidP="00854ABC"/>
    <w:p w:rsidR="00854ABC" w:rsidRDefault="00854ABC" w:rsidP="00854ABC">
      <w:pPr>
        <w:numPr>
          <w:ilvl w:val="0"/>
          <w:numId w:val="2"/>
        </w:numPr>
        <w:tabs>
          <w:tab w:val="clear" w:pos="1080"/>
          <w:tab w:val="num" w:pos="0"/>
        </w:tabs>
        <w:ind w:left="0" w:firstLine="0"/>
      </w:pPr>
      <w:r>
        <w:t>EXCEPTIONS TO CERTIFICATION</w:t>
      </w:r>
    </w:p>
    <w:p w:rsidR="00854ABC" w:rsidRDefault="00854ABC" w:rsidP="00854ABC"/>
    <w:p w:rsidR="00D76092" w:rsidRDefault="00D76092" w:rsidP="00D76092">
      <w:pPr>
        <w:ind w:left="720"/>
      </w:pPr>
      <w:r>
        <w:t>Not applicable.</w:t>
      </w:r>
    </w:p>
    <w:p w:rsidR="00D76092" w:rsidRDefault="00D76092" w:rsidP="00854ABC"/>
    <w:p w:rsidR="00854ABC" w:rsidRDefault="00854ABC" w:rsidP="007C6A87">
      <w:pPr>
        <w:ind w:left="720" w:hanging="720"/>
      </w:pPr>
      <w:r>
        <w:t>B.</w:t>
      </w:r>
      <w:r>
        <w:tab/>
        <w:t>COLLECTIONS OF INFORMATION EMPLOYING STATISTICAL METHODS</w:t>
      </w:r>
    </w:p>
    <w:p w:rsidR="00DE13DC" w:rsidRPr="00EB3830" w:rsidRDefault="00DE13DC" w:rsidP="00854ABC"/>
    <w:p w:rsidR="00EB3830" w:rsidRPr="00D76092" w:rsidRDefault="00D76092" w:rsidP="00EB3830">
      <w:r>
        <w:rPr>
          <w:b/>
        </w:rPr>
        <w:tab/>
      </w:r>
      <w:r w:rsidRPr="00D76092">
        <w:t>Not applicable.</w:t>
      </w:r>
    </w:p>
    <w:sectPr w:rsidR="00EB3830" w:rsidRPr="00D76092" w:rsidSect="003C16F3">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9B5" w:rsidRDefault="001939B5">
      <w:r>
        <w:separator/>
      </w:r>
    </w:p>
  </w:endnote>
  <w:endnote w:type="continuationSeparator" w:id="0">
    <w:p w:rsidR="001939B5" w:rsidRDefault="001939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B5" w:rsidRDefault="00CE4C34" w:rsidP="00123EDE">
    <w:pPr>
      <w:pStyle w:val="Footer"/>
      <w:framePr w:wrap="around" w:vAnchor="text" w:hAnchor="margin" w:xAlign="center" w:y="1"/>
      <w:rPr>
        <w:rStyle w:val="PageNumber"/>
      </w:rPr>
    </w:pPr>
    <w:r>
      <w:rPr>
        <w:rStyle w:val="PageNumber"/>
      </w:rPr>
      <w:fldChar w:fldCharType="begin"/>
    </w:r>
    <w:r w:rsidR="001939B5">
      <w:rPr>
        <w:rStyle w:val="PageNumber"/>
      </w:rPr>
      <w:instrText xml:space="preserve">PAGE  </w:instrText>
    </w:r>
    <w:r>
      <w:rPr>
        <w:rStyle w:val="PageNumber"/>
      </w:rPr>
      <w:fldChar w:fldCharType="end"/>
    </w:r>
  </w:p>
  <w:p w:rsidR="001939B5" w:rsidRDefault="001939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B5" w:rsidRDefault="00CE4C34" w:rsidP="00123EDE">
    <w:pPr>
      <w:pStyle w:val="Footer"/>
      <w:framePr w:wrap="around" w:vAnchor="text" w:hAnchor="margin" w:xAlign="center" w:y="1"/>
      <w:rPr>
        <w:rStyle w:val="PageNumber"/>
      </w:rPr>
    </w:pPr>
    <w:r>
      <w:rPr>
        <w:rStyle w:val="PageNumber"/>
      </w:rPr>
      <w:fldChar w:fldCharType="begin"/>
    </w:r>
    <w:r w:rsidR="001939B5">
      <w:rPr>
        <w:rStyle w:val="PageNumber"/>
      </w:rPr>
      <w:instrText xml:space="preserve">PAGE  </w:instrText>
    </w:r>
    <w:r>
      <w:rPr>
        <w:rStyle w:val="PageNumber"/>
      </w:rPr>
      <w:fldChar w:fldCharType="separate"/>
    </w:r>
    <w:r w:rsidR="00772BD5">
      <w:rPr>
        <w:rStyle w:val="PageNumber"/>
        <w:noProof/>
      </w:rPr>
      <w:t>5</w:t>
    </w:r>
    <w:r>
      <w:rPr>
        <w:rStyle w:val="PageNumber"/>
      </w:rPr>
      <w:fldChar w:fldCharType="end"/>
    </w:r>
  </w:p>
  <w:p w:rsidR="001939B5" w:rsidRDefault="001939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9B5" w:rsidRDefault="001939B5">
      <w:r>
        <w:separator/>
      </w:r>
    </w:p>
  </w:footnote>
  <w:footnote w:type="continuationSeparator" w:id="0">
    <w:p w:rsidR="001939B5" w:rsidRDefault="001939B5">
      <w:r>
        <w:continuationSeparator/>
      </w:r>
    </w:p>
  </w:footnote>
  <w:footnote w:id="1">
    <w:p w:rsidR="001939B5" w:rsidRDefault="001939B5" w:rsidP="004864E3">
      <w:pPr>
        <w:pStyle w:val="FootnoteText"/>
        <w:spacing w:after="120"/>
      </w:pPr>
      <w:r>
        <w:rPr>
          <w:rStyle w:val="FootnoteReference"/>
        </w:rPr>
        <w:footnoteRef/>
      </w:r>
      <w:r>
        <w:t xml:space="preserve"> </w:t>
      </w:r>
      <w:r>
        <w:tab/>
        <w:t>Release No. 33-9073 (Oct. 14, 2009) [74 FR 53954].</w:t>
      </w:r>
    </w:p>
  </w:footnote>
  <w:footnote w:id="2">
    <w:p w:rsidR="001939B5" w:rsidRDefault="001939B5" w:rsidP="004864E3">
      <w:pPr>
        <w:pStyle w:val="FootnoteText"/>
        <w:spacing w:after="120"/>
      </w:pPr>
      <w:r>
        <w:rPr>
          <w:rStyle w:val="FootnoteReference"/>
        </w:rPr>
        <w:footnoteRef/>
      </w:r>
      <w:r>
        <w:t xml:space="preserve"> </w:t>
      </w:r>
      <w:r>
        <w:tab/>
        <w:t xml:space="preserve">15 U.S.C. </w:t>
      </w:r>
      <w:r>
        <w:rPr>
          <w:color w:val="000000"/>
          <w:sz w:val="22"/>
          <w:szCs w:val="22"/>
        </w:rPr>
        <w:t>§78a</w:t>
      </w:r>
      <w:r w:rsidRPr="001A3F11">
        <w:rPr>
          <w:color w:val="000000"/>
          <w:sz w:val="22"/>
          <w:szCs w:val="22"/>
        </w:rPr>
        <w:t xml:space="preserve"> </w:t>
      </w:r>
      <w:r w:rsidRPr="00F43227">
        <w:rPr>
          <w:color w:val="000000"/>
          <w:sz w:val="22"/>
          <w:szCs w:val="22"/>
          <w:u w:val="single"/>
        </w:rPr>
        <w:t>et</w:t>
      </w:r>
      <w:r w:rsidRPr="00F43227">
        <w:rPr>
          <w:color w:val="000000"/>
          <w:sz w:val="22"/>
          <w:szCs w:val="22"/>
        </w:rPr>
        <w:t xml:space="preserve"> </w:t>
      </w:r>
      <w:r w:rsidRPr="00F43227">
        <w:rPr>
          <w:color w:val="000000"/>
          <w:sz w:val="22"/>
          <w:szCs w:val="22"/>
          <w:u w:val="single"/>
        </w:rPr>
        <w:t>seq</w:t>
      </w:r>
      <w:r w:rsidRPr="00F43227">
        <w:rPr>
          <w:color w:val="000000"/>
          <w:sz w:val="22"/>
          <w:szCs w:val="22"/>
        </w:rPr>
        <w:t>.</w:t>
      </w:r>
    </w:p>
  </w:footnote>
  <w:footnote w:id="3">
    <w:p w:rsidR="001939B5" w:rsidRPr="005615E4" w:rsidRDefault="001939B5" w:rsidP="004864E3">
      <w:pPr>
        <w:pStyle w:val="FootnoteText"/>
        <w:spacing w:after="120"/>
      </w:pPr>
      <w:r>
        <w:rPr>
          <w:rStyle w:val="FootnoteReference"/>
        </w:rPr>
        <w:footnoteRef/>
      </w:r>
      <w:r>
        <w:t xml:space="preserve"> </w:t>
      </w:r>
      <w:r>
        <w:tab/>
        <w:t xml:space="preserve">17 CFR 240.14a-1 </w:t>
      </w:r>
      <w:r w:rsidRPr="00F43227">
        <w:rPr>
          <w:u w:val="single"/>
        </w:rPr>
        <w:t>et</w:t>
      </w:r>
      <w:r w:rsidRPr="00F43227">
        <w:t xml:space="preserve"> </w:t>
      </w:r>
      <w:r w:rsidRPr="00F43227">
        <w:rPr>
          <w:u w:val="single"/>
        </w:rPr>
        <w:t>seq</w:t>
      </w:r>
      <w:r w:rsidRPr="005615E4">
        <w:t>.</w:t>
      </w:r>
    </w:p>
  </w:footnote>
  <w:footnote w:id="4">
    <w:p w:rsidR="001939B5" w:rsidRDefault="001939B5" w:rsidP="004864E3">
      <w:pPr>
        <w:pStyle w:val="FootnoteText"/>
        <w:spacing w:after="120"/>
      </w:pPr>
      <w:r>
        <w:rPr>
          <w:rStyle w:val="FootnoteReference"/>
        </w:rPr>
        <w:footnoteRef/>
      </w:r>
      <w:r>
        <w:t xml:space="preserve"> </w:t>
      </w:r>
      <w:r>
        <w:tab/>
        <w:t xml:space="preserve">17 CFR 240.14c-1 </w:t>
      </w:r>
      <w:r w:rsidRPr="00F43227">
        <w:rPr>
          <w:u w:val="single"/>
        </w:rPr>
        <w:t>et</w:t>
      </w:r>
      <w:r w:rsidRPr="00F43227">
        <w:t xml:space="preserve"> </w:t>
      </w:r>
      <w:r w:rsidRPr="00F43227">
        <w:rPr>
          <w:u w:val="single"/>
        </w:rPr>
        <w:t>seq</w:t>
      </w:r>
      <w:r w:rsidRPr="005615E4">
        <w:t>.</w:t>
      </w:r>
    </w:p>
  </w:footnote>
  <w:footnote w:id="5">
    <w:p w:rsidR="001939B5" w:rsidRDefault="001939B5" w:rsidP="004864E3">
      <w:pPr>
        <w:pStyle w:val="FootnoteText"/>
        <w:spacing w:after="120"/>
      </w:pPr>
      <w:r>
        <w:rPr>
          <w:rStyle w:val="FootnoteReference"/>
        </w:rPr>
        <w:footnoteRef/>
      </w:r>
      <w:r>
        <w:t xml:space="preserve"> </w:t>
      </w:r>
      <w:r>
        <w:tab/>
      </w:r>
      <w:r w:rsidRPr="00B953BE">
        <w:rPr>
          <w:lang w:val="fr-FR"/>
        </w:rPr>
        <w:t xml:space="preserve">15 U.S.C. 80a-1 </w:t>
      </w:r>
      <w:r w:rsidRPr="00F43227">
        <w:rPr>
          <w:u w:val="single"/>
          <w:lang w:val="fr-FR"/>
        </w:rPr>
        <w:t>et</w:t>
      </w:r>
      <w:r w:rsidRPr="00F43227">
        <w:rPr>
          <w:lang w:val="fr-FR"/>
        </w:rPr>
        <w:t xml:space="preserve"> </w:t>
      </w:r>
      <w:r w:rsidRPr="00F43227">
        <w:rPr>
          <w:u w:val="single"/>
          <w:lang w:val="fr-FR"/>
        </w:rPr>
        <w:t>seq</w:t>
      </w:r>
      <w:r w:rsidRPr="00B953BE">
        <w:rPr>
          <w:lang w:val="fr-FR"/>
        </w:rPr>
        <w:t>.</w:t>
      </w:r>
    </w:p>
  </w:footnote>
  <w:footnote w:id="6">
    <w:p w:rsidR="001939B5" w:rsidRDefault="001939B5" w:rsidP="004864E3">
      <w:pPr>
        <w:pStyle w:val="FootnoteText"/>
        <w:spacing w:after="120"/>
        <w:ind w:left="720" w:hanging="720"/>
      </w:pPr>
      <w:r>
        <w:rPr>
          <w:rStyle w:val="FootnoteReference"/>
        </w:rPr>
        <w:footnoteRef/>
      </w:r>
      <w:r>
        <w:t xml:space="preserve"> </w:t>
      </w:r>
      <w:r>
        <w:tab/>
        <w:t>The proposed amendments would additionally provide flexibility regarding the format of the Notice that is sent to shareholders and revise the timeframe for a soliciting person other than the issuer to deliver a Notice, neither of which would affect the burden estimates.</w:t>
      </w:r>
    </w:p>
  </w:footnote>
  <w:footnote w:id="7">
    <w:p w:rsidR="001939B5" w:rsidRPr="009A1072" w:rsidRDefault="001939B5" w:rsidP="004864E3">
      <w:pPr>
        <w:pStyle w:val="FootnoteText"/>
        <w:spacing w:after="120"/>
        <w:ind w:left="720" w:hanging="720"/>
      </w:pPr>
      <w:r>
        <w:rPr>
          <w:rStyle w:val="FootnoteReference"/>
        </w:rPr>
        <w:footnoteRef/>
      </w:r>
      <w:r>
        <w:t xml:space="preserve"> </w:t>
      </w:r>
      <w:r>
        <w:tab/>
      </w:r>
      <w:r w:rsidRPr="009A1072">
        <w:t>Broadridge</w:t>
      </w:r>
      <w:r>
        <w:t xml:space="preserve"> Financial Solutions, Inc.</w:t>
      </w:r>
      <w:r w:rsidRPr="009A1072">
        <w:t xml:space="preserve"> processes more than 95% of proxy materials that are sent to beneficial owners on behalf of intermediaries.  We believe that </w:t>
      </w:r>
      <w:r>
        <w:t xml:space="preserve">issuers likely would rely on proxy distribution service providers to provide the explanatory materials </w:t>
      </w:r>
      <w:r w:rsidRPr="00CA2C56">
        <w:t xml:space="preserve">and </w:t>
      </w:r>
      <w:r>
        <w:t xml:space="preserve">that </w:t>
      </w:r>
      <w:r w:rsidRPr="00CA2C56">
        <w:t>issuers and intermediaries</w:t>
      </w:r>
      <w:r>
        <w:t xml:space="preserve"> </w:t>
      </w:r>
      <w:r w:rsidRPr="009A1072">
        <w:t>would provide explanatory materials that are substantially the same to the beneficial owners that hold through intermediaries</w:t>
      </w:r>
      <w:r>
        <w:t>,</w:t>
      </w:r>
      <w:r w:rsidRPr="009A1072">
        <w:t xml:space="preserve"> creating </w:t>
      </w:r>
      <w:r w:rsidRPr="00CA2C56">
        <w:t>no additional</w:t>
      </w:r>
      <w:r w:rsidRPr="009A1072">
        <w:t xml:space="preserve"> annual burden to prepare an intermediary’s Notice.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1A26"/>
    <w:multiLevelType w:val="hybridMultilevel"/>
    <w:tmpl w:val="D1B4A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452935"/>
    <w:multiLevelType w:val="hybridMultilevel"/>
    <w:tmpl w:val="44A4D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0656988"/>
    <w:multiLevelType w:val="hybridMultilevel"/>
    <w:tmpl w:val="A3683DCC"/>
    <w:lvl w:ilvl="0" w:tplc="F85C99EC">
      <w:start w:val="1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FB39E0"/>
    <w:multiLevelType w:val="hybridMultilevel"/>
    <w:tmpl w:val="FE547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6727301"/>
    <w:multiLevelType w:val="hybridMultilevel"/>
    <w:tmpl w:val="68B8C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F21632"/>
    <w:multiLevelType w:val="hybridMultilevel"/>
    <w:tmpl w:val="C0CCC7DE"/>
    <w:lvl w:ilvl="0" w:tplc="2AFA0186">
      <w:start w:val="4"/>
      <w:numFmt w:val="decimal"/>
      <w:lvlText w:val="%1."/>
      <w:lvlJc w:val="left"/>
      <w:pPr>
        <w:tabs>
          <w:tab w:val="num" w:pos="1080"/>
        </w:tabs>
        <w:ind w:left="1080" w:hanging="720"/>
      </w:pPr>
      <w:rPr>
        <w:rFonts w:hint="default"/>
      </w:rPr>
    </w:lvl>
    <w:lvl w:ilvl="1" w:tplc="1A6E6148">
      <w:start w:val="1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F4D3130"/>
    <w:multiLevelType w:val="hybridMultilevel"/>
    <w:tmpl w:val="883E33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EB3830"/>
    <w:rsid w:val="00000253"/>
    <w:rsid w:val="00001C32"/>
    <w:rsid w:val="00002730"/>
    <w:rsid w:val="00002F5D"/>
    <w:rsid w:val="0000546B"/>
    <w:rsid w:val="000061B6"/>
    <w:rsid w:val="000065C8"/>
    <w:rsid w:val="000069B7"/>
    <w:rsid w:val="00010B71"/>
    <w:rsid w:val="00010DBA"/>
    <w:rsid w:val="00011779"/>
    <w:rsid w:val="00011C41"/>
    <w:rsid w:val="0001230D"/>
    <w:rsid w:val="00014078"/>
    <w:rsid w:val="000170BF"/>
    <w:rsid w:val="00017D7D"/>
    <w:rsid w:val="0002050B"/>
    <w:rsid w:val="00021A24"/>
    <w:rsid w:val="00025991"/>
    <w:rsid w:val="000259AE"/>
    <w:rsid w:val="00027264"/>
    <w:rsid w:val="000274B7"/>
    <w:rsid w:val="000316A1"/>
    <w:rsid w:val="00031867"/>
    <w:rsid w:val="00031916"/>
    <w:rsid w:val="000345DC"/>
    <w:rsid w:val="00036869"/>
    <w:rsid w:val="0004583A"/>
    <w:rsid w:val="00045C4B"/>
    <w:rsid w:val="00046FC3"/>
    <w:rsid w:val="000506C9"/>
    <w:rsid w:val="00051168"/>
    <w:rsid w:val="0005277A"/>
    <w:rsid w:val="00052825"/>
    <w:rsid w:val="000530FE"/>
    <w:rsid w:val="0005316B"/>
    <w:rsid w:val="00054483"/>
    <w:rsid w:val="000574C7"/>
    <w:rsid w:val="00061C30"/>
    <w:rsid w:val="0006217C"/>
    <w:rsid w:val="000628D4"/>
    <w:rsid w:val="00063233"/>
    <w:rsid w:val="00063A90"/>
    <w:rsid w:val="00064E2D"/>
    <w:rsid w:val="00065486"/>
    <w:rsid w:val="000658EB"/>
    <w:rsid w:val="000661EB"/>
    <w:rsid w:val="00066380"/>
    <w:rsid w:val="000670F1"/>
    <w:rsid w:val="00070411"/>
    <w:rsid w:val="000718F3"/>
    <w:rsid w:val="0007483D"/>
    <w:rsid w:val="00074CA9"/>
    <w:rsid w:val="000752E3"/>
    <w:rsid w:val="00075618"/>
    <w:rsid w:val="00075874"/>
    <w:rsid w:val="000770D1"/>
    <w:rsid w:val="00084D84"/>
    <w:rsid w:val="000859DB"/>
    <w:rsid w:val="00086C08"/>
    <w:rsid w:val="000928EA"/>
    <w:rsid w:val="00092CD4"/>
    <w:rsid w:val="00092E66"/>
    <w:rsid w:val="00092FD1"/>
    <w:rsid w:val="00093FA0"/>
    <w:rsid w:val="0009617E"/>
    <w:rsid w:val="00096BBB"/>
    <w:rsid w:val="000A02F9"/>
    <w:rsid w:val="000A323B"/>
    <w:rsid w:val="000A375E"/>
    <w:rsid w:val="000A429C"/>
    <w:rsid w:val="000A5807"/>
    <w:rsid w:val="000A583F"/>
    <w:rsid w:val="000A5931"/>
    <w:rsid w:val="000A59F6"/>
    <w:rsid w:val="000A69F1"/>
    <w:rsid w:val="000A7F4B"/>
    <w:rsid w:val="000B0020"/>
    <w:rsid w:val="000B05AC"/>
    <w:rsid w:val="000B0E94"/>
    <w:rsid w:val="000B0EDD"/>
    <w:rsid w:val="000B1055"/>
    <w:rsid w:val="000B2487"/>
    <w:rsid w:val="000B24A1"/>
    <w:rsid w:val="000B24CB"/>
    <w:rsid w:val="000B4283"/>
    <w:rsid w:val="000B49D2"/>
    <w:rsid w:val="000B4C67"/>
    <w:rsid w:val="000B5198"/>
    <w:rsid w:val="000B581A"/>
    <w:rsid w:val="000C082E"/>
    <w:rsid w:val="000C0AB1"/>
    <w:rsid w:val="000C1C50"/>
    <w:rsid w:val="000C1EB2"/>
    <w:rsid w:val="000C30BF"/>
    <w:rsid w:val="000C3451"/>
    <w:rsid w:val="000C3458"/>
    <w:rsid w:val="000C3A29"/>
    <w:rsid w:val="000C44A2"/>
    <w:rsid w:val="000C5685"/>
    <w:rsid w:val="000C7126"/>
    <w:rsid w:val="000C764E"/>
    <w:rsid w:val="000C7AB6"/>
    <w:rsid w:val="000D16C8"/>
    <w:rsid w:val="000D190B"/>
    <w:rsid w:val="000D2732"/>
    <w:rsid w:val="000D2995"/>
    <w:rsid w:val="000D3741"/>
    <w:rsid w:val="000D3AD5"/>
    <w:rsid w:val="000D3E9B"/>
    <w:rsid w:val="000D464F"/>
    <w:rsid w:val="000D62D2"/>
    <w:rsid w:val="000D74BD"/>
    <w:rsid w:val="000E227A"/>
    <w:rsid w:val="000E38C8"/>
    <w:rsid w:val="000E3AD7"/>
    <w:rsid w:val="000E5221"/>
    <w:rsid w:val="000F1F3C"/>
    <w:rsid w:val="000F21DF"/>
    <w:rsid w:val="000F24D9"/>
    <w:rsid w:val="000F3660"/>
    <w:rsid w:val="000F5026"/>
    <w:rsid w:val="000F5EF6"/>
    <w:rsid w:val="000F6035"/>
    <w:rsid w:val="000F648D"/>
    <w:rsid w:val="000F6A3E"/>
    <w:rsid w:val="000F6BB8"/>
    <w:rsid w:val="000F722E"/>
    <w:rsid w:val="000F756F"/>
    <w:rsid w:val="000F7914"/>
    <w:rsid w:val="000F7A7A"/>
    <w:rsid w:val="00101B6B"/>
    <w:rsid w:val="001024FB"/>
    <w:rsid w:val="00104E11"/>
    <w:rsid w:val="0010555A"/>
    <w:rsid w:val="00105694"/>
    <w:rsid w:val="001059B0"/>
    <w:rsid w:val="00106000"/>
    <w:rsid w:val="0010679B"/>
    <w:rsid w:val="00107106"/>
    <w:rsid w:val="0011363D"/>
    <w:rsid w:val="0011458F"/>
    <w:rsid w:val="00114D32"/>
    <w:rsid w:val="00115B9E"/>
    <w:rsid w:val="0011683C"/>
    <w:rsid w:val="00121C29"/>
    <w:rsid w:val="0012215D"/>
    <w:rsid w:val="00123DEF"/>
    <w:rsid w:val="00123EDE"/>
    <w:rsid w:val="0012454B"/>
    <w:rsid w:val="00124AA5"/>
    <w:rsid w:val="00124BE5"/>
    <w:rsid w:val="00125430"/>
    <w:rsid w:val="00125576"/>
    <w:rsid w:val="001304FE"/>
    <w:rsid w:val="00131510"/>
    <w:rsid w:val="00131764"/>
    <w:rsid w:val="00132751"/>
    <w:rsid w:val="00134B9F"/>
    <w:rsid w:val="001366F7"/>
    <w:rsid w:val="0013774B"/>
    <w:rsid w:val="00140135"/>
    <w:rsid w:val="001423B6"/>
    <w:rsid w:val="0014510A"/>
    <w:rsid w:val="00145612"/>
    <w:rsid w:val="001503CF"/>
    <w:rsid w:val="00151F6C"/>
    <w:rsid w:val="00152975"/>
    <w:rsid w:val="00152D33"/>
    <w:rsid w:val="00153B71"/>
    <w:rsid w:val="00153DCF"/>
    <w:rsid w:val="001557EC"/>
    <w:rsid w:val="00155B1C"/>
    <w:rsid w:val="00155FD9"/>
    <w:rsid w:val="0015677D"/>
    <w:rsid w:val="00156B59"/>
    <w:rsid w:val="00157E58"/>
    <w:rsid w:val="0016008D"/>
    <w:rsid w:val="001622F8"/>
    <w:rsid w:val="001629E2"/>
    <w:rsid w:val="0016396D"/>
    <w:rsid w:val="0016792C"/>
    <w:rsid w:val="001701B6"/>
    <w:rsid w:val="0017066A"/>
    <w:rsid w:val="00170838"/>
    <w:rsid w:val="00170949"/>
    <w:rsid w:val="00170CDE"/>
    <w:rsid w:val="00171080"/>
    <w:rsid w:val="001718FF"/>
    <w:rsid w:val="00171D6E"/>
    <w:rsid w:val="00172FC0"/>
    <w:rsid w:val="001738CA"/>
    <w:rsid w:val="00173C3A"/>
    <w:rsid w:val="0017404E"/>
    <w:rsid w:val="001751FC"/>
    <w:rsid w:val="00175A50"/>
    <w:rsid w:val="00175DA9"/>
    <w:rsid w:val="00175E67"/>
    <w:rsid w:val="00176066"/>
    <w:rsid w:val="001770DC"/>
    <w:rsid w:val="00180119"/>
    <w:rsid w:val="00180247"/>
    <w:rsid w:val="001812C1"/>
    <w:rsid w:val="00181615"/>
    <w:rsid w:val="0018486B"/>
    <w:rsid w:val="0018508F"/>
    <w:rsid w:val="00185392"/>
    <w:rsid w:val="0018563A"/>
    <w:rsid w:val="001859D7"/>
    <w:rsid w:val="00186C74"/>
    <w:rsid w:val="00190C37"/>
    <w:rsid w:val="0019152F"/>
    <w:rsid w:val="0019191D"/>
    <w:rsid w:val="00192D4D"/>
    <w:rsid w:val="001939B5"/>
    <w:rsid w:val="00193E60"/>
    <w:rsid w:val="001943E4"/>
    <w:rsid w:val="00194562"/>
    <w:rsid w:val="001950C1"/>
    <w:rsid w:val="00195166"/>
    <w:rsid w:val="0019524A"/>
    <w:rsid w:val="0019589E"/>
    <w:rsid w:val="00196D08"/>
    <w:rsid w:val="001971D1"/>
    <w:rsid w:val="001977AD"/>
    <w:rsid w:val="00197A71"/>
    <w:rsid w:val="001A03DF"/>
    <w:rsid w:val="001A0544"/>
    <w:rsid w:val="001A4372"/>
    <w:rsid w:val="001A463E"/>
    <w:rsid w:val="001A48F5"/>
    <w:rsid w:val="001A7802"/>
    <w:rsid w:val="001B2F21"/>
    <w:rsid w:val="001B5D6E"/>
    <w:rsid w:val="001B61A8"/>
    <w:rsid w:val="001B6CAC"/>
    <w:rsid w:val="001B6FD6"/>
    <w:rsid w:val="001B7034"/>
    <w:rsid w:val="001C1BE5"/>
    <w:rsid w:val="001C340C"/>
    <w:rsid w:val="001C573F"/>
    <w:rsid w:val="001C61D0"/>
    <w:rsid w:val="001C6C50"/>
    <w:rsid w:val="001D1EC0"/>
    <w:rsid w:val="001D54FA"/>
    <w:rsid w:val="001D5FF3"/>
    <w:rsid w:val="001D6A4E"/>
    <w:rsid w:val="001D7C71"/>
    <w:rsid w:val="001E01AA"/>
    <w:rsid w:val="001E05FF"/>
    <w:rsid w:val="001E0D0B"/>
    <w:rsid w:val="001E6479"/>
    <w:rsid w:val="001E765F"/>
    <w:rsid w:val="001F1D38"/>
    <w:rsid w:val="001F240E"/>
    <w:rsid w:val="001F2E00"/>
    <w:rsid w:val="001F3C9B"/>
    <w:rsid w:val="001F3F1C"/>
    <w:rsid w:val="001F40FE"/>
    <w:rsid w:val="001F4730"/>
    <w:rsid w:val="001F5DB6"/>
    <w:rsid w:val="001F6812"/>
    <w:rsid w:val="001F6BC5"/>
    <w:rsid w:val="0020134A"/>
    <w:rsid w:val="0020197E"/>
    <w:rsid w:val="00201DAE"/>
    <w:rsid w:val="00201F56"/>
    <w:rsid w:val="00203E20"/>
    <w:rsid w:val="002042F9"/>
    <w:rsid w:val="00204C1D"/>
    <w:rsid w:val="002059B3"/>
    <w:rsid w:val="002067E4"/>
    <w:rsid w:val="00211FB7"/>
    <w:rsid w:val="002123FC"/>
    <w:rsid w:val="0021291D"/>
    <w:rsid w:val="00212EAB"/>
    <w:rsid w:val="00213523"/>
    <w:rsid w:val="00213AA6"/>
    <w:rsid w:val="002178D3"/>
    <w:rsid w:val="00220909"/>
    <w:rsid w:val="00221BAD"/>
    <w:rsid w:val="0022274A"/>
    <w:rsid w:val="00222AEE"/>
    <w:rsid w:val="00222E42"/>
    <w:rsid w:val="00224441"/>
    <w:rsid w:val="00224483"/>
    <w:rsid w:val="00224AD7"/>
    <w:rsid w:val="0022596E"/>
    <w:rsid w:val="002273EA"/>
    <w:rsid w:val="00230164"/>
    <w:rsid w:val="002336FE"/>
    <w:rsid w:val="002343B8"/>
    <w:rsid w:val="00235613"/>
    <w:rsid w:val="00235A90"/>
    <w:rsid w:val="00235EBF"/>
    <w:rsid w:val="00237DAC"/>
    <w:rsid w:val="00241CBF"/>
    <w:rsid w:val="002424AB"/>
    <w:rsid w:val="00242AAD"/>
    <w:rsid w:val="00242C34"/>
    <w:rsid w:val="00242D7C"/>
    <w:rsid w:val="0024357B"/>
    <w:rsid w:val="00243FA2"/>
    <w:rsid w:val="00244A56"/>
    <w:rsid w:val="00244F59"/>
    <w:rsid w:val="002468F3"/>
    <w:rsid w:val="00247D02"/>
    <w:rsid w:val="00250FF6"/>
    <w:rsid w:val="00252A76"/>
    <w:rsid w:val="00260F54"/>
    <w:rsid w:val="00263ACE"/>
    <w:rsid w:val="00263C05"/>
    <w:rsid w:val="00264CC8"/>
    <w:rsid w:val="0026501F"/>
    <w:rsid w:val="00265E46"/>
    <w:rsid w:val="00267B79"/>
    <w:rsid w:val="00267CA0"/>
    <w:rsid w:val="002716B6"/>
    <w:rsid w:val="00271AEC"/>
    <w:rsid w:val="00274E60"/>
    <w:rsid w:val="0027537E"/>
    <w:rsid w:val="00275A7D"/>
    <w:rsid w:val="00276F9A"/>
    <w:rsid w:val="002824E4"/>
    <w:rsid w:val="00282774"/>
    <w:rsid w:val="002912CF"/>
    <w:rsid w:val="00294EC9"/>
    <w:rsid w:val="002973A9"/>
    <w:rsid w:val="002A1D35"/>
    <w:rsid w:val="002A2706"/>
    <w:rsid w:val="002A2A7D"/>
    <w:rsid w:val="002A3522"/>
    <w:rsid w:val="002A4D67"/>
    <w:rsid w:val="002A5336"/>
    <w:rsid w:val="002A7E7E"/>
    <w:rsid w:val="002B0DC8"/>
    <w:rsid w:val="002B1F6A"/>
    <w:rsid w:val="002B3444"/>
    <w:rsid w:val="002B5745"/>
    <w:rsid w:val="002B59D9"/>
    <w:rsid w:val="002B5CD2"/>
    <w:rsid w:val="002C2051"/>
    <w:rsid w:val="002C263B"/>
    <w:rsid w:val="002C3AA0"/>
    <w:rsid w:val="002C4B0E"/>
    <w:rsid w:val="002C5620"/>
    <w:rsid w:val="002D065C"/>
    <w:rsid w:val="002D078C"/>
    <w:rsid w:val="002D1568"/>
    <w:rsid w:val="002D78A4"/>
    <w:rsid w:val="002E02F0"/>
    <w:rsid w:val="002E05A9"/>
    <w:rsid w:val="002E2B9F"/>
    <w:rsid w:val="002E311F"/>
    <w:rsid w:val="002E480F"/>
    <w:rsid w:val="002E5437"/>
    <w:rsid w:val="002E6853"/>
    <w:rsid w:val="002F0FC9"/>
    <w:rsid w:val="002F159D"/>
    <w:rsid w:val="002F428B"/>
    <w:rsid w:val="002F6EE3"/>
    <w:rsid w:val="00300683"/>
    <w:rsid w:val="00300C8B"/>
    <w:rsid w:val="00300D98"/>
    <w:rsid w:val="00301818"/>
    <w:rsid w:val="003029AB"/>
    <w:rsid w:val="003047E9"/>
    <w:rsid w:val="00305A69"/>
    <w:rsid w:val="003070B5"/>
    <w:rsid w:val="00307E7E"/>
    <w:rsid w:val="0031115C"/>
    <w:rsid w:val="00313699"/>
    <w:rsid w:val="003147E9"/>
    <w:rsid w:val="00315373"/>
    <w:rsid w:val="00315FBA"/>
    <w:rsid w:val="003161D9"/>
    <w:rsid w:val="0031656D"/>
    <w:rsid w:val="00316847"/>
    <w:rsid w:val="00317AD7"/>
    <w:rsid w:val="00320621"/>
    <w:rsid w:val="00321741"/>
    <w:rsid w:val="00321F13"/>
    <w:rsid w:val="003220D7"/>
    <w:rsid w:val="003223CD"/>
    <w:rsid w:val="00323008"/>
    <w:rsid w:val="00323617"/>
    <w:rsid w:val="00323F9C"/>
    <w:rsid w:val="00324A38"/>
    <w:rsid w:val="003317B6"/>
    <w:rsid w:val="00331D99"/>
    <w:rsid w:val="00333836"/>
    <w:rsid w:val="00333838"/>
    <w:rsid w:val="00333CA7"/>
    <w:rsid w:val="00335061"/>
    <w:rsid w:val="0033523E"/>
    <w:rsid w:val="003359D8"/>
    <w:rsid w:val="0033640E"/>
    <w:rsid w:val="00336540"/>
    <w:rsid w:val="00340080"/>
    <w:rsid w:val="003401BB"/>
    <w:rsid w:val="00340A07"/>
    <w:rsid w:val="00343D6E"/>
    <w:rsid w:val="00343F01"/>
    <w:rsid w:val="003440BE"/>
    <w:rsid w:val="00344493"/>
    <w:rsid w:val="003446DE"/>
    <w:rsid w:val="00345950"/>
    <w:rsid w:val="00347487"/>
    <w:rsid w:val="003506C9"/>
    <w:rsid w:val="00351827"/>
    <w:rsid w:val="00351B8E"/>
    <w:rsid w:val="00352B92"/>
    <w:rsid w:val="003531DA"/>
    <w:rsid w:val="00354904"/>
    <w:rsid w:val="00354F21"/>
    <w:rsid w:val="0035667E"/>
    <w:rsid w:val="003567F5"/>
    <w:rsid w:val="00360123"/>
    <w:rsid w:val="00360C3A"/>
    <w:rsid w:val="003611A2"/>
    <w:rsid w:val="00361876"/>
    <w:rsid w:val="00363E9D"/>
    <w:rsid w:val="0036443B"/>
    <w:rsid w:val="003724CB"/>
    <w:rsid w:val="00372A6F"/>
    <w:rsid w:val="00372CFE"/>
    <w:rsid w:val="003739EC"/>
    <w:rsid w:val="00373AAF"/>
    <w:rsid w:val="003741AA"/>
    <w:rsid w:val="00374F81"/>
    <w:rsid w:val="003753AC"/>
    <w:rsid w:val="00377483"/>
    <w:rsid w:val="0038021B"/>
    <w:rsid w:val="00380553"/>
    <w:rsid w:val="00381965"/>
    <w:rsid w:val="0038453B"/>
    <w:rsid w:val="003858C8"/>
    <w:rsid w:val="0038596D"/>
    <w:rsid w:val="00385CA0"/>
    <w:rsid w:val="003860BF"/>
    <w:rsid w:val="003865FB"/>
    <w:rsid w:val="0039060E"/>
    <w:rsid w:val="00390710"/>
    <w:rsid w:val="00391238"/>
    <w:rsid w:val="003916F1"/>
    <w:rsid w:val="00391D04"/>
    <w:rsid w:val="00391F6E"/>
    <w:rsid w:val="0039214D"/>
    <w:rsid w:val="003925A1"/>
    <w:rsid w:val="00392799"/>
    <w:rsid w:val="00393FD5"/>
    <w:rsid w:val="00395D63"/>
    <w:rsid w:val="003966B8"/>
    <w:rsid w:val="003A11BD"/>
    <w:rsid w:val="003A2394"/>
    <w:rsid w:val="003A2589"/>
    <w:rsid w:val="003A2EB5"/>
    <w:rsid w:val="003A47A5"/>
    <w:rsid w:val="003A4AFC"/>
    <w:rsid w:val="003A4B5A"/>
    <w:rsid w:val="003A521F"/>
    <w:rsid w:val="003A66DE"/>
    <w:rsid w:val="003A675B"/>
    <w:rsid w:val="003A6DB5"/>
    <w:rsid w:val="003B0FA4"/>
    <w:rsid w:val="003B164A"/>
    <w:rsid w:val="003B182F"/>
    <w:rsid w:val="003B1BDD"/>
    <w:rsid w:val="003B308B"/>
    <w:rsid w:val="003B5237"/>
    <w:rsid w:val="003B66A3"/>
    <w:rsid w:val="003B77F5"/>
    <w:rsid w:val="003B7CF8"/>
    <w:rsid w:val="003C16F3"/>
    <w:rsid w:val="003C38B9"/>
    <w:rsid w:val="003C5314"/>
    <w:rsid w:val="003C5350"/>
    <w:rsid w:val="003C5DE6"/>
    <w:rsid w:val="003C6205"/>
    <w:rsid w:val="003D0234"/>
    <w:rsid w:val="003D03FC"/>
    <w:rsid w:val="003D398C"/>
    <w:rsid w:val="003D4ED9"/>
    <w:rsid w:val="003D735F"/>
    <w:rsid w:val="003E1699"/>
    <w:rsid w:val="003E1C22"/>
    <w:rsid w:val="003E2479"/>
    <w:rsid w:val="003E2E2F"/>
    <w:rsid w:val="003E51A2"/>
    <w:rsid w:val="003E6749"/>
    <w:rsid w:val="003F08FA"/>
    <w:rsid w:val="003F0DCE"/>
    <w:rsid w:val="003F1EC6"/>
    <w:rsid w:val="003F1F29"/>
    <w:rsid w:val="003F50B8"/>
    <w:rsid w:val="003F5BE0"/>
    <w:rsid w:val="00400F2C"/>
    <w:rsid w:val="004015A3"/>
    <w:rsid w:val="00402999"/>
    <w:rsid w:val="00403E69"/>
    <w:rsid w:val="0040432F"/>
    <w:rsid w:val="00404804"/>
    <w:rsid w:val="00405374"/>
    <w:rsid w:val="004057B7"/>
    <w:rsid w:val="004058D8"/>
    <w:rsid w:val="00410257"/>
    <w:rsid w:val="00410686"/>
    <w:rsid w:val="00411497"/>
    <w:rsid w:val="004118A9"/>
    <w:rsid w:val="00412CEA"/>
    <w:rsid w:val="004158FB"/>
    <w:rsid w:val="00416F2A"/>
    <w:rsid w:val="004175AA"/>
    <w:rsid w:val="00420E80"/>
    <w:rsid w:val="00422D7A"/>
    <w:rsid w:val="004238BC"/>
    <w:rsid w:val="004240B7"/>
    <w:rsid w:val="00424169"/>
    <w:rsid w:val="00424B52"/>
    <w:rsid w:val="00424F24"/>
    <w:rsid w:val="004269D5"/>
    <w:rsid w:val="00426D77"/>
    <w:rsid w:val="00427687"/>
    <w:rsid w:val="00430202"/>
    <w:rsid w:val="00431146"/>
    <w:rsid w:val="00433FA7"/>
    <w:rsid w:val="004344A5"/>
    <w:rsid w:val="004376F1"/>
    <w:rsid w:val="004406CA"/>
    <w:rsid w:val="00442B41"/>
    <w:rsid w:val="004430F8"/>
    <w:rsid w:val="00443808"/>
    <w:rsid w:val="00444853"/>
    <w:rsid w:val="004449D8"/>
    <w:rsid w:val="00445DAF"/>
    <w:rsid w:val="00445F55"/>
    <w:rsid w:val="00446AF8"/>
    <w:rsid w:val="00447496"/>
    <w:rsid w:val="0045055A"/>
    <w:rsid w:val="0045071C"/>
    <w:rsid w:val="00453148"/>
    <w:rsid w:val="00453396"/>
    <w:rsid w:val="00454160"/>
    <w:rsid w:val="004569FF"/>
    <w:rsid w:val="00456B57"/>
    <w:rsid w:val="00456B96"/>
    <w:rsid w:val="00460A04"/>
    <w:rsid w:val="00460DE0"/>
    <w:rsid w:val="00460FD0"/>
    <w:rsid w:val="004614C8"/>
    <w:rsid w:val="004625CC"/>
    <w:rsid w:val="004639AF"/>
    <w:rsid w:val="00463C47"/>
    <w:rsid w:val="004647B4"/>
    <w:rsid w:val="004650AD"/>
    <w:rsid w:val="004653BE"/>
    <w:rsid w:val="00465E13"/>
    <w:rsid w:val="00465E1A"/>
    <w:rsid w:val="004664EA"/>
    <w:rsid w:val="004672B0"/>
    <w:rsid w:val="00472D95"/>
    <w:rsid w:val="004754A0"/>
    <w:rsid w:val="00475564"/>
    <w:rsid w:val="004756FC"/>
    <w:rsid w:val="004805F8"/>
    <w:rsid w:val="004829D7"/>
    <w:rsid w:val="00482A0F"/>
    <w:rsid w:val="00483B38"/>
    <w:rsid w:val="00483CF3"/>
    <w:rsid w:val="00483DD7"/>
    <w:rsid w:val="00485D9A"/>
    <w:rsid w:val="004864E3"/>
    <w:rsid w:val="00487577"/>
    <w:rsid w:val="0049134B"/>
    <w:rsid w:val="00493C26"/>
    <w:rsid w:val="00494270"/>
    <w:rsid w:val="00494FF7"/>
    <w:rsid w:val="00495770"/>
    <w:rsid w:val="00495FA6"/>
    <w:rsid w:val="00497A24"/>
    <w:rsid w:val="004A08BD"/>
    <w:rsid w:val="004A4ADE"/>
    <w:rsid w:val="004A53E8"/>
    <w:rsid w:val="004A595B"/>
    <w:rsid w:val="004A5E69"/>
    <w:rsid w:val="004A600B"/>
    <w:rsid w:val="004A6224"/>
    <w:rsid w:val="004A64AD"/>
    <w:rsid w:val="004A6E71"/>
    <w:rsid w:val="004A75AD"/>
    <w:rsid w:val="004A75DD"/>
    <w:rsid w:val="004A7A9E"/>
    <w:rsid w:val="004A7DAA"/>
    <w:rsid w:val="004B364E"/>
    <w:rsid w:val="004B3853"/>
    <w:rsid w:val="004B3D12"/>
    <w:rsid w:val="004B446C"/>
    <w:rsid w:val="004B46D9"/>
    <w:rsid w:val="004B5427"/>
    <w:rsid w:val="004B59AA"/>
    <w:rsid w:val="004B619D"/>
    <w:rsid w:val="004B6C7F"/>
    <w:rsid w:val="004B6F77"/>
    <w:rsid w:val="004C0660"/>
    <w:rsid w:val="004C076B"/>
    <w:rsid w:val="004C6CB3"/>
    <w:rsid w:val="004C798D"/>
    <w:rsid w:val="004D0F32"/>
    <w:rsid w:val="004D27DA"/>
    <w:rsid w:val="004D5643"/>
    <w:rsid w:val="004E0818"/>
    <w:rsid w:val="004E0862"/>
    <w:rsid w:val="004E2A0B"/>
    <w:rsid w:val="004E4587"/>
    <w:rsid w:val="004E547D"/>
    <w:rsid w:val="004E5F85"/>
    <w:rsid w:val="004E6CB1"/>
    <w:rsid w:val="004E73B4"/>
    <w:rsid w:val="004E7FDB"/>
    <w:rsid w:val="004F1ADD"/>
    <w:rsid w:val="004F1DFF"/>
    <w:rsid w:val="004F1E2D"/>
    <w:rsid w:val="004F1F88"/>
    <w:rsid w:val="004F538E"/>
    <w:rsid w:val="004F599A"/>
    <w:rsid w:val="004F5FD1"/>
    <w:rsid w:val="004F66CB"/>
    <w:rsid w:val="004F72CD"/>
    <w:rsid w:val="00501F8B"/>
    <w:rsid w:val="00502136"/>
    <w:rsid w:val="005021EA"/>
    <w:rsid w:val="005036BE"/>
    <w:rsid w:val="0050435B"/>
    <w:rsid w:val="00507476"/>
    <w:rsid w:val="00507780"/>
    <w:rsid w:val="00510410"/>
    <w:rsid w:val="00513F62"/>
    <w:rsid w:val="00517239"/>
    <w:rsid w:val="005178CF"/>
    <w:rsid w:val="00521E5B"/>
    <w:rsid w:val="0052449E"/>
    <w:rsid w:val="00525CE5"/>
    <w:rsid w:val="00526FFD"/>
    <w:rsid w:val="00532B7F"/>
    <w:rsid w:val="00532D54"/>
    <w:rsid w:val="00533875"/>
    <w:rsid w:val="005339A8"/>
    <w:rsid w:val="005348C1"/>
    <w:rsid w:val="00534A18"/>
    <w:rsid w:val="00534E3B"/>
    <w:rsid w:val="00535715"/>
    <w:rsid w:val="005365CB"/>
    <w:rsid w:val="005367EF"/>
    <w:rsid w:val="00537117"/>
    <w:rsid w:val="00542076"/>
    <w:rsid w:val="00543597"/>
    <w:rsid w:val="0054447B"/>
    <w:rsid w:val="00547AD4"/>
    <w:rsid w:val="0055029F"/>
    <w:rsid w:val="00550492"/>
    <w:rsid w:val="00551399"/>
    <w:rsid w:val="00553618"/>
    <w:rsid w:val="00554F09"/>
    <w:rsid w:val="00556DA4"/>
    <w:rsid w:val="0055725F"/>
    <w:rsid w:val="00557947"/>
    <w:rsid w:val="00560A91"/>
    <w:rsid w:val="00560DD0"/>
    <w:rsid w:val="005613D4"/>
    <w:rsid w:val="005615E4"/>
    <w:rsid w:val="005616C2"/>
    <w:rsid w:val="00561C1F"/>
    <w:rsid w:val="00562CDF"/>
    <w:rsid w:val="00563AE0"/>
    <w:rsid w:val="0056443C"/>
    <w:rsid w:val="00564D82"/>
    <w:rsid w:val="005660C2"/>
    <w:rsid w:val="00566316"/>
    <w:rsid w:val="005668DC"/>
    <w:rsid w:val="00566D34"/>
    <w:rsid w:val="00570155"/>
    <w:rsid w:val="00570BE8"/>
    <w:rsid w:val="00571AAC"/>
    <w:rsid w:val="00572627"/>
    <w:rsid w:val="00574D3B"/>
    <w:rsid w:val="005750A1"/>
    <w:rsid w:val="005754E8"/>
    <w:rsid w:val="00575BAD"/>
    <w:rsid w:val="00581B9C"/>
    <w:rsid w:val="00582EDE"/>
    <w:rsid w:val="00585FD4"/>
    <w:rsid w:val="005877BB"/>
    <w:rsid w:val="00587BA7"/>
    <w:rsid w:val="00592E70"/>
    <w:rsid w:val="005940D8"/>
    <w:rsid w:val="005945EE"/>
    <w:rsid w:val="005947DA"/>
    <w:rsid w:val="00594B07"/>
    <w:rsid w:val="00595CEC"/>
    <w:rsid w:val="00596EEB"/>
    <w:rsid w:val="00597DEE"/>
    <w:rsid w:val="005A003D"/>
    <w:rsid w:val="005A4532"/>
    <w:rsid w:val="005A5ADB"/>
    <w:rsid w:val="005A6B0B"/>
    <w:rsid w:val="005A6BD0"/>
    <w:rsid w:val="005A6DC2"/>
    <w:rsid w:val="005A6F68"/>
    <w:rsid w:val="005A76C5"/>
    <w:rsid w:val="005A7E4C"/>
    <w:rsid w:val="005B0EF8"/>
    <w:rsid w:val="005B1F55"/>
    <w:rsid w:val="005B482A"/>
    <w:rsid w:val="005B5263"/>
    <w:rsid w:val="005B56D3"/>
    <w:rsid w:val="005B74C2"/>
    <w:rsid w:val="005C06C5"/>
    <w:rsid w:val="005C06CA"/>
    <w:rsid w:val="005C07E2"/>
    <w:rsid w:val="005C0CC9"/>
    <w:rsid w:val="005C0CE2"/>
    <w:rsid w:val="005C156C"/>
    <w:rsid w:val="005C2C9E"/>
    <w:rsid w:val="005C5546"/>
    <w:rsid w:val="005C74B8"/>
    <w:rsid w:val="005C7A55"/>
    <w:rsid w:val="005D0371"/>
    <w:rsid w:val="005D05D2"/>
    <w:rsid w:val="005D10A9"/>
    <w:rsid w:val="005D243D"/>
    <w:rsid w:val="005D2B56"/>
    <w:rsid w:val="005D4CB7"/>
    <w:rsid w:val="005D4D13"/>
    <w:rsid w:val="005D55E6"/>
    <w:rsid w:val="005D57A8"/>
    <w:rsid w:val="005D6077"/>
    <w:rsid w:val="005D60C5"/>
    <w:rsid w:val="005D6843"/>
    <w:rsid w:val="005E2288"/>
    <w:rsid w:val="005E4224"/>
    <w:rsid w:val="005E430B"/>
    <w:rsid w:val="005E50D2"/>
    <w:rsid w:val="005E5B3D"/>
    <w:rsid w:val="005E5EB6"/>
    <w:rsid w:val="005E5F48"/>
    <w:rsid w:val="005F2A6C"/>
    <w:rsid w:val="005F2AB7"/>
    <w:rsid w:val="005F3D2E"/>
    <w:rsid w:val="005F7350"/>
    <w:rsid w:val="005F7C3A"/>
    <w:rsid w:val="00600004"/>
    <w:rsid w:val="006011A9"/>
    <w:rsid w:val="006038C7"/>
    <w:rsid w:val="006061DE"/>
    <w:rsid w:val="00606E56"/>
    <w:rsid w:val="00606EC5"/>
    <w:rsid w:val="00610796"/>
    <w:rsid w:val="00610892"/>
    <w:rsid w:val="006112B6"/>
    <w:rsid w:val="00613173"/>
    <w:rsid w:val="0061466F"/>
    <w:rsid w:val="00614BB6"/>
    <w:rsid w:val="00615BD2"/>
    <w:rsid w:val="006168D6"/>
    <w:rsid w:val="0061700D"/>
    <w:rsid w:val="006172DC"/>
    <w:rsid w:val="00617429"/>
    <w:rsid w:val="0062036D"/>
    <w:rsid w:val="00620E59"/>
    <w:rsid w:val="006211A5"/>
    <w:rsid w:val="0062164C"/>
    <w:rsid w:val="00621C18"/>
    <w:rsid w:val="00622456"/>
    <w:rsid w:val="00624D9E"/>
    <w:rsid w:val="00625D29"/>
    <w:rsid w:val="006261DC"/>
    <w:rsid w:val="006274FC"/>
    <w:rsid w:val="0063119A"/>
    <w:rsid w:val="00632CFD"/>
    <w:rsid w:val="00633F4F"/>
    <w:rsid w:val="00634FD9"/>
    <w:rsid w:val="006358A9"/>
    <w:rsid w:val="00636E8B"/>
    <w:rsid w:val="00641348"/>
    <w:rsid w:val="0064265A"/>
    <w:rsid w:val="0064330A"/>
    <w:rsid w:val="00643C76"/>
    <w:rsid w:val="00644A15"/>
    <w:rsid w:val="00644D5F"/>
    <w:rsid w:val="00650EA9"/>
    <w:rsid w:val="00652958"/>
    <w:rsid w:val="00652966"/>
    <w:rsid w:val="00652C8C"/>
    <w:rsid w:val="0065460D"/>
    <w:rsid w:val="00655460"/>
    <w:rsid w:val="00656DB1"/>
    <w:rsid w:val="00660D0F"/>
    <w:rsid w:val="0066166C"/>
    <w:rsid w:val="006616A3"/>
    <w:rsid w:val="00664275"/>
    <w:rsid w:val="00665567"/>
    <w:rsid w:val="00667CF5"/>
    <w:rsid w:val="00673902"/>
    <w:rsid w:val="00674BCE"/>
    <w:rsid w:val="00675764"/>
    <w:rsid w:val="006757C8"/>
    <w:rsid w:val="00681E45"/>
    <w:rsid w:val="006822FA"/>
    <w:rsid w:val="00682324"/>
    <w:rsid w:val="00684CF5"/>
    <w:rsid w:val="00687FEC"/>
    <w:rsid w:val="006903B4"/>
    <w:rsid w:val="00691A98"/>
    <w:rsid w:val="00691AB4"/>
    <w:rsid w:val="00692AB2"/>
    <w:rsid w:val="00692D78"/>
    <w:rsid w:val="00694C9E"/>
    <w:rsid w:val="006963E6"/>
    <w:rsid w:val="006965D2"/>
    <w:rsid w:val="00696D82"/>
    <w:rsid w:val="006979CE"/>
    <w:rsid w:val="006A0BEC"/>
    <w:rsid w:val="006A1C1F"/>
    <w:rsid w:val="006A63AB"/>
    <w:rsid w:val="006A7835"/>
    <w:rsid w:val="006B0906"/>
    <w:rsid w:val="006B1C91"/>
    <w:rsid w:val="006B2330"/>
    <w:rsid w:val="006B4B83"/>
    <w:rsid w:val="006B4E47"/>
    <w:rsid w:val="006B4EF5"/>
    <w:rsid w:val="006B5E31"/>
    <w:rsid w:val="006C0D5C"/>
    <w:rsid w:val="006C28DD"/>
    <w:rsid w:val="006C4467"/>
    <w:rsid w:val="006C4C83"/>
    <w:rsid w:val="006C50C5"/>
    <w:rsid w:val="006C63C6"/>
    <w:rsid w:val="006C720D"/>
    <w:rsid w:val="006C79C0"/>
    <w:rsid w:val="006D155B"/>
    <w:rsid w:val="006D2DF6"/>
    <w:rsid w:val="006D2DFB"/>
    <w:rsid w:val="006E385D"/>
    <w:rsid w:val="006E4819"/>
    <w:rsid w:val="006E4D59"/>
    <w:rsid w:val="006E6E42"/>
    <w:rsid w:val="006E7B77"/>
    <w:rsid w:val="006F07E1"/>
    <w:rsid w:val="006F1B63"/>
    <w:rsid w:val="006F1D22"/>
    <w:rsid w:val="006F337D"/>
    <w:rsid w:val="006F34A0"/>
    <w:rsid w:val="006F4EE0"/>
    <w:rsid w:val="006F5FFF"/>
    <w:rsid w:val="006F70B5"/>
    <w:rsid w:val="006F73D7"/>
    <w:rsid w:val="007020EE"/>
    <w:rsid w:val="0070297E"/>
    <w:rsid w:val="00702FD2"/>
    <w:rsid w:val="007031B0"/>
    <w:rsid w:val="007040B1"/>
    <w:rsid w:val="0070438D"/>
    <w:rsid w:val="0070458B"/>
    <w:rsid w:val="0070524C"/>
    <w:rsid w:val="00711361"/>
    <w:rsid w:val="007120B0"/>
    <w:rsid w:val="0071348D"/>
    <w:rsid w:val="007141AB"/>
    <w:rsid w:val="00714794"/>
    <w:rsid w:val="00714F31"/>
    <w:rsid w:val="00715272"/>
    <w:rsid w:val="007155E9"/>
    <w:rsid w:val="00715944"/>
    <w:rsid w:val="0071639B"/>
    <w:rsid w:val="00716C7A"/>
    <w:rsid w:val="00720BCF"/>
    <w:rsid w:val="007212CC"/>
    <w:rsid w:val="0072209E"/>
    <w:rsid w:val="00723248"/>
    <w:rsid w:val="00724F00"/>
    <w:rsid w:val="00727D44"/>
    <w:rsid w:val="00731477"/>
    <w:rsid w:val="007332D6"/>
    <w:rsid w:val="00735900"/>
    <w:rsid w:val="007360DF"/>
    <w:rsid w:val="007375C3"/>
    <w:rsid w:val="00737661"/>
    <w:rsid w:val="007411B3"/>
    <w:rsid w:val="00741219"/>
    <w:rsid w:val="00741460"/>
    <w:rsid w:val="00743A9A"/>
    <w:rsid w:val="00743B0D"/>
    <w:rsid w:val="00744B5A"/>
    <w:rsid w:val="00745787"/>
    <w:rsid w:val="00745B88"/>
    <w:rsid w:val="0075040C"/>
    <w:rsid w:val="00753398"/>
    <w:rsid w:val="00753721"/>
    <w:rsid w:val="00756849"/>
    <w:rsid w:val="007568B8"/>
    <w:rsid w:val="00760410"/>
    <w:rsid w:val="007604D3"/>
    <w:rsid w:val="0076066C"/>
    <w:rsid w:val="00760C2D"/>
    <w:rsid w:val="00761417"/>
    <w:rsid w:val="007615D3"/>
    <w:rsid w:val="007621B8"/>
    <w:rsid w:val="00762539"/>
    <w:rsid w:val="00762EB4"/>
    <w:rsid w:val="007651BD"/>
    <w:rsid w:val="00765B1D"/>
    <w:rsid w:val="00765CB9"/>
    <w:rsid w:val="00767058"/>
    <w:rsid w:val="007675E3"/>
    <w:rsid w:val="00770B8D"/>
    <w:rsid w:val="00770C33"/>
    <w:rsid w:val="00771898"/>
    <w:rsid w:val="00771C32"/>
    <w:rsid w:val="00772BD5"/>
    <w:rsid w:val="007739D8"/>
    <w:rsid w:val="00773F4B"/>
    <w:rsid w:val="0077598D"/>
    <w:rsid w:val="00776638"/>
    <w:rsid w:val="007771CD"/>
    <w:rsid w:val="00780F66"/>
    <w:rsid w:val="007818A3"/>
    <w:rsid w:val="007821E4"/>
    <w:rsid w:val="00783D18"/>
    <w:rsid w:val="0078414B"/>
    <w:rsid w:val="00784490"/>
    <w:rsid w:val="00785EA6"/>
    <w:rsid w:val="0078730C"/>
    <w:rsid w:val="00792893"/>
    <w:rsid w:val="0079465C"/>
    <w:rsid w:val="007A2516"/>
    <w:rsid w:val="007A3CC6"/>
    <w:rsid w:val="007A5BC0"/>
    <w:rsid w:val="007A637D"/>
    <w:rsid w:val="007A67F3"/>
    <w:rsid w:val="007B0B30"/>
    <w:rsid w:val="007B151A"/>
    <w:rsid w:val="007B3734"/>
    <w:rsid w:val="007B48D1"/>
    <w:rsid w:val="007B56DC"/>
    <w:rsid w:val="007B5DFA"/>
    <w:rsid w:val="007B6C1A"/>
    <w:rsid w:val="007B7219"/>
    <w:rsid w:val="007C0262"/>
    <w:rsid w:val="007C0992"/>
    <w:rsid w:val="007C0CEA"/>
    <w:rsid w:val="007C1AA2"/>
    <w:rsid w:val="007C2BAD"/>
    <w:rsid w:val="007C55F3"/>
    <w:rsid w:val="007C5714"/>
    <w:rsid w:val="007C6A87"/>
    <w:rsid w:val="007C7D01"/>
    <w:rsid w:val="007D0926"/>
    <w:rsid w:val="007D3614"/>
    <w:rsid w:val="007D3DC9"/>
    <w:rsid w:val="007D3DEA"/>
    <w:rsid w:val="007D501D"/>
    <w:rsid w:val="007D62E4"/>
    <w:rsid w:val="007D66B0"/>
    <w:rsid w:val="007D7343"/>
    <w:rsid w:val="007D7F1C"/>
    <w:rsid w:val="007E01D0"/>
    <w:rsid w:val="007E0276"/>
    <w:rsid w:val="007E0A96"/>
    <w:rsid w:val="007E1E07"/>
    <w:rsid w:val="007E4341"/>
    <w:rsid w:val="007E49C2"/>
    <w:rsid w:val="007E5A65"/>
    <w:rsid w:val="007E5D3D"/>
    <w:rsid w:val="007E61B7"/>
    <w:rsid w:val="007E7EA0"/>
    <w:rsid w:val="007F0FC7"/>
    <w:rsid w:val="007F1CEB"/>
    <w:rsid w:val="007F2384"/>
    <w:rsid w:val="007F2B5A"/>
    <w:rsid w:val="007F2DED"/>
    <w:rsid w:val="007F4617"/>
    <w:rsid w:val="007F4CF0"/>
    <w:rsid w:val="007F7296"/>
    <w:rsid w:val="008020EB"/>
    <w:rsid w:val="00803FC4"/>
    <w:rsid w:val="00805777"/>
    <w:rsid w:val="00814583"/>
    <w:rsid w:val="008148F3"/>
    <w:rsid w:val="008151B7"/>
    <w:rsid w:val="00820C9C"/>
    <w:rsid w:val="00820D7F"/>
    <w:rsid w:val="008214EE"/>
    <w:rsid w:val="00823404"/>
    <w:rsid w:val="008252E6"/>
    <w:rsid w:val="00825ACE"/>
    <w:rsid w:val="00826BDD"/>
    <w:rsid w:val="00826DF8"/>
    <w:rsid w:val="0082727E"/>
    <w:rsid w:val="00827311"/>
    <w:rsid w:val="00830205"/>
    <w:rsid w:val="00831132"/>
    <w:rsid w:val="0083232C"/>
    <w:rsid w:val="008325FD"/>
    <w:rsid w:val="00832936"/>
    <w:rsid w:val="00832BC7"/>
    <w:rsid w:val="00833228"/>
    <w:rsid w:val="00833C40"/>
    <w:rsid w:val="00834C30"/>
    <w:rsid w:val="00835EE4"/>
    <w:rsid w:val="00835F9D"/>
    <w:rsid w:val="00836268"/>
    <w:rsid w:val="0083681E"/>
    <w:rsid w:val="00836888"/>
    <w:rsid w:val="00841321"/>
    <w:rsid w:val="00841F1C"/>
    <w:rsid w:val="00844ED2"/>
    <w:rsid w:val="008454A6"/>
    <w:rsid w:val="008506F0"/>
    <w:rsid w:val="00852A9B"/>
    <w:rsid w:val="008536CD"/>
    <w:rsid w:val="00853EB5"/>
    <w:rsid w:val="00854ABC"/>
    <w:rsid w:val="00857550"/>
    <w:rsid w:val="00860340"/>
    <w:rsid w:val="00861849"/>
    <w:rsid w:val="008621A1"/>
    <w:rsid w:val="008626E4"/>
    <w:rsid w:val="00862B13"/>
    <w:rsid w:val="00863F73"/>
    <w:rsid w:val="00864F35"/>
    <w:rsid w:val="008715B6"/>
    <w:rsid w:val="0087275E"/>
    <w:rsid w:val="00875351"/>
    <w:rsid w:val="0087636F"/>
    <w:rsid w:val="008766D9"/>
    <w:rsid w:val="008778E1"/>
    <w:rsid w:val="00880D60"/>
    <w:rsid w:val="0088169B"/>
    <w:rsid w:val="008821CA"/>
    <w:rsid w:val="00883821"/>
    <w:rsid w:val="008838A5"/>
    <w:rsid w:val="008844F6"/>
    <w:rsid w:val="00884E3D"/>
    <w:rsid w:val="00886DAD"/>
    <w:rsid w:val="00886DEA"/>
    <w:rsid w:val="00887339"/>
    <w:rsid w:val="00887A65"/>
    <w:rsid w:val="00887FE9"/>
    <w:rsid w:val="00891D7E"/>
    <w:rsid w:val="008923AA"/>
    <w:rsid w:val="00892512"/>
    <w:rsid w:val="008946CD"/>
    <w:rsid w:val="008946E4"/>
    <w:rsid w:val="00894871"/>
    <w:rsid w:val="008954C2"/>
    <w:rsid w:val="00895794"/>
    <w:rsid w:val="00895AF5"/>
    <w:rsid w:val="00896B65"/>
    <w:rsid w:val="008A0415"/>
    <w:rsid w:val="008A0C89"/>
    <w:rsid w:val="008A0C97"/>
    <w:rsid w:val="008A53BA"/>
    <w:rsid w:val="008A789C"/>
    <w:rsid w:val="008B0039"/>
    <w:rsid w:val="008B08BE"/>
    <w:rsid w:val="008B11D4"/>
    <w:rsid w:val="008B147B"/>
    <w:rsid w:val="008B17B3"/>
    <w:rsid w:val="008B1925"/>
    <w:rsid w:val="008B1B7C"/>
    <w:rsid w:val="008B1C4C"/>
    <w:rsid w:val="008B1CFB"/>
    <w:rsid w:val="008B32EA"/>
    <w:rsid w:val="008B3707"/>
    <w:rsid w:val="008B4260"/>
    <w:rsid w:val="008B5304"/>
    <w:rsid w:val="008B54D6"/>
    <w:rsid w:val="008B6D68"/>
    <w:rsid w:val="008B7859"/>
    <w:rsid w:val="008C0DFB"/>
    <w:rsid w:val="008C0F0F"/>
    <w:rsid w:val="008C25FD"/>
    <w:rsid w:val="008C45DD"/>
    <w:rsid w:val="008C4972"/>
    <w:rsid w:val="008C7241"/>
    <w:rsid w:val="008C7880"/>
    <w:rsid w:val="008C7E76"/>
    <w:rsid w:val="008C7ECC"/>
    <w:rsid w:val="008D2DA1"/>
    <w:rsid w:val="008D3982"/>
    <w:rsid w:val="008D3E85"/>
    <w:rsid w:val="008D48AE"/>
    <w:rsid w:val="008D54CF"/>
    <w:rsid w:val="008D5DBA"/>
    <w:rsid w:val="008D77EA"/>
    <w:rsid w:val="008E1F58"/>
    <w:rsid w:val="008E34A9"/>
    <w:rsid w:val="008E3B3D"/>
    <w:rsid w:val="008E6A92"/>
    <w:rsid w:val="008E7D95"/>
    <w:rsid w:val="008F052E"/>
    <w:rsid w:val="008F0B0B"/>
    <w:rsid w:val="008F1729"/>
    <w:rsid w:val="008F2235"/>
    <w:rsid w:val="008F2A53"/>
    <w:rsid w:val="008F3491"/>
    <w:rsid w:val="008F3497"/>
    <w:rsid w:val="008F3AE2"/>
    <w:rsid w:val="008F3EF7"/>
    <w:rsid w:val="008F3F7E"/>
    <w:rsid w:val="008F5307"/>
    <w:rsid w:val="008F575C"/>
    <w:rsid w:val="008F59B8"/>
    <w:rsid w:val="008F7017"/>
    <w:rsid w:val="009000F2"/>
    <w:rsid w:val="00901C83"/>
    <w:rsid w:val="00901F36"/>
    <w:rsid w:val="009039DA"/>
    <w:rsid w:val="00905B9E"/>
    <w:rsid w:val="00905E29"/>
    <w:rsid w:val="00906CD6"/>
    <w:rsid w:val="00910FB5"/>
    <w:rsid w:val="00911C21"/>
    <w:rsid w:val="0091632B"/>
    <w:rsid w:val="00923562"/>
    <w:rsid w:val="00923BFF"/>
    <w:rsid w:val="00924461"/>
    <w:rsid w:val="009249CB"/>
    <w:rsid w:val="00924CB4"/>
    <w:rsid w:val="00927DF8"/>
    <w:rsid w:val="00931AEE"/>
    <w:rsid w:val="00931D2C"/>
    <w:rsid w:val="00932891"/>
    <w:rsid w:val="00936CBE"/>
    <w:rsid w:val="00941005"/>
    <w:rsid w:val="00941E92"/>
    <w:rsid w:val="00942420"/>
    <w:rsid w:val="00942FA1"/>
    <w:rsid w:val="00943398"/>
    <w:rsid w:val="00943AEF"/>
    <w:rsid w:val="0094403D"/>
    <w:rsid w:val="009440C8"/>
    <w:rsid w:val="0094438E"/>
    <w:rsid w:val="00944F1D"/>
    <w:rsid w:val="00946215"/>
    <w:rsid w:val="00950383"/>
    <w:rsid w:val="00954A40"/>
    <w:rsid w:val="00955F4F"/>
    <w:rsid w:val="0096148D"/>
    <w:rsid w:val="00961E71"/>
    <w:rsid w:val="009620D3"/>
    <w:rsid w:val="009624B5"/>
    <w:rsid w:val="009634CC"/>
    <w:rsid w:val="009671B5"/>
    <w:rsid w:val="009673C2"/>
    <w:rsid w:val="00967546"/>
    <w:rsid w:val="009728A0"/>
    <w:rsid w:val="009729F3"/>
    <w:rsid w:val="00974543"/>
    <w:rsid w:val="00974647"/>
    <w:rsid w:val="00975A2B"/>
    <w:rsid w:val="0097665B"/>
    <w:rsid w:val="009767E8"/>
    <w:rsid w:val="009769CA"/>
    <w:rsid w:val="0097769E"/>
    <w:rsid w:val="009806D1"/>
    <w:rsid w:val="00980AA1"/>
    <w:rsid w:val="009820B9"/>
    <w:rsid w:val="00982C83"/>
    <w:rsid w:val="00983168"/>
    <w:rsid w:val="00983B25"/>
    <w:rsid w:val="00983CBB"/>
    <w:rsid w:val="00986F59"/>
    <w:rsid w:val="00986FFE"/>
    <w:rsid w:val="00987D78"/>
    <w:rsid w:val="0099440C"/>
    <w:rsid w:val="00995117"/>
    <w:rsid w:val="009A068D"/>
    <w:rsid w:val="009A0761"/>
    <w:rsid w:val="009A14E0"/>
    <w:rsid w:val="009A2D4B"/>
    <w:rsid w:val="009A3250"/>
    <w:rsid w:val="009A418B"/>
    <w:rsid w:val="009A4296"/>
    <w:rsid w:val="009B1517"/>
    <w:rsid w:val="009B3FCF"/>
    <w:rsid w:val="009B5DCE"/>
    <w:rsid w:val="009B613A"/>
    <w:rsid w:val="009C26AC"/>
    <w:rsid w:val="009C3E62"/>
    <w:rsid w:val="009C50D0"/>
    <w:rsid w:val="009C689F"/>
    <w:rsid w:val="009C7329"/>
    <w:rsid w:val="009D0C55"/>
    <w:rsid w:val="009D2AFC"/>
    <w:rsid w:val="009D3043"/>
    <w:rsid w:val="009D44BA"/>
    <w:rsid w:val="009D559B"/>
    <w:rsid w:val="009D5C3B"/>
    <w:rsid w:val="009D6275"/>
    <w:rsid w:val="009D6BDD"/>
    <w:rsid w:val="009E3CC0"/>
    <w:rsid w:val="009E4A82"/>
    <w:rsid w:val="009E6E21"/>
    <w:rsid w:val="009E7887"/>
    <w:rsid w:val="009E7A23"/>
    <w:rsid w:val="009F126E"/>
    <w:rsid w:val="009F127D"/>
    <w:rsid w:val="009F1B0C"/>
    <w:rsid w:val="009F1E58"/>
    <w:rsid w:val="009F2078"/>
    <w:rsid w:val="009F294E"/>
    <w:rsid w:val="009F3511"/>
    <w:rsid w:val="009F4774"/>
    <w:rsid w:val="009F5146"/>
    <w:rsid w:val="009F737D"/>
    <w:rsid w:val="00A01537"/>
    <w:rsid w:val="00A0254D"/>
    <w:rsid w:val="00A03533"/>
    <w:rsid w:val="00A03FF2"/>
    <w:rsid w:val="00A04155"/>
    <w:rsid w:val="00A0471B"/>
    <w:rsid w:val="00A04CDB"/>
    <w:rsid w:val="00A050E0"/>
    <w:rsid w:val="00A0664E"/>
    <w:rsid w:val="00A07BB9"/>
    <w:rsid w:val="00A12845"/>
    <w:rsid w:val="00A13218"/>
    <w:rsid w:val="00A14961"/>
    <w:rsid w:val="00A16015"/>
    <w:rsid w:val="00A16C18"/>
    <w:rsid w:val="00A174D4"/>
    <w:rsid w:val="00A208B7"/>
    <w:rsid w:val="00A20976"/>
    <w:rsid w:val="00A209EF"/>
    <w:rsid w:val="00A227B4"/>
    <w:rsid w:val="00A22B3D"/>
    <w:rsid w:val="00A23253"/>
    <w:rsid w:val="00A2372F"/>
    <w:rsid w:val="00A24414"/>
    <w:rsid w:val="00A30F38"/>
    <w:rsid w:val="00A31267"/>
    <w:rsid w:val="00A32B8D"/>
    <w:rsid w:val="00A3316E"/>
    <w:rsid w:val="00A33C2E"/>
    <w:rsid w:val="00A40BB9"/>
    <w:rsid w:val="00A43DB5"/>
    <w:rsid w:val="00A43FB3"/>
    <w:rsid w:val="00A44814"/>
    <w:rsid w:val="00A453FB"/>
    <w:rsid w:val="00A45BF8"/>
    <w:rsid w:val="00A512B3"/>
    <w:rsid w:val="00A54287"/>
    <w:rsid w:val="00A55476"/>
    <w:rsid w:val="00A560BE"/>
    <w:rsid w:val="00A561B0"/>
    <w:rsid w:val="00A57BDD"/>
    <w:rsid w:val="00A61E1F"/>
    <w:rsid w:val="00A62C9C"/>
    <w:rsid w:val="00A62CEC"/>
    <w:rsid w:val="00A647DB"/>
    <w:rsid w:val="00A64CEC"/>
    <w:rsid w:val="00A65C6E"/>
    <w:rsid w:val="00A65C7E"/>
    <w:rsid w:val="00A66A1B"/>
    <w:rsid w:val="00A67FF8"/>
    <w:rsid w:val="00A70A79"/>
    <w:rsid w:val="00A711CE"/>
    <w:rsid w:val="00A7193E"/>
    <w:rsid w:val="00A724C8"/>
    <w:rsid w:val="00A735EE"/>
    <w:rsid w:val="00A739AD"/>
    <w:rsid w:val="00A74543"/>
    <w:rsid w:val="00A762D4"/>
    <w:rsid w:val="00A77CCD"/>
    <w:rsid w:val="00A77EED"/>
    <w:rsid w:val="00A81887"/>
    <w:rsid w:val="00A824A0"/>
    <w:rsid w:val="00A824E3"/>
    <w:rsid w:val="00A827FF"/>
    <w:rsid w:val="00A833C8"/>
    <w:rsid w:val="00A83C15"/>
    <w:rsid w:val="00A87F17"/>
    <w:rsid w:val="00A912B6"/>
    <w:rsid w:val="00A92447"/>
    <w:rsid w:val="00A95465"/>
    <w:rsid w:val="00A95C51"/>
    <w:rsid w:val="00A964CA"/>
    <w:rsid w:val="00A9775A"/>
    <w:rsid w:val="00A977F4"/>
    <w:rsid w:val="00A97B83"/>
    <w:rsid w:val="00AA3284"/>
    <w:rsid w:val="00AA4836"/>
    <w:rsid w:val="00AA5073"/>
    <w:rsid w:val="00AA66B9"/>
    <w:rsid w:val="00AA77DD"/>
    <w:rsid w:val="00AA7EE3"/>
    <w:rsid w:val="00AB1134"/>
    <w:rsid w:val="00AB11B7"/>
    <w:rsid w:val="00AB1476"/>
    <w:rsid w:val="00AB223B"/>
    <w:rsid w:val="00AB311A"/>
    <w:rsid w:val="00AB5B26"/>
    <w:rsid w:val="00AB7926"/>
    <w:rsid w:val="00AC4084"/>
    <w:rsid w:val="00AC4F15"/>
    <w:rsid w:val="00AC4FB5"/>
    <w:rsid w:val="00AC5B50"/>
    <w:rsid w:val="00AC6079"/>
    <w:rsid w:val="00AC6E72"/>
    <w:rsid w:val="00AD1BF8"/>
    <w:rsid w:val="00AD1E38"/>
    <w:rsid w:val="00AD5CE0"/>
    <w:rsid w:val="00AE04E2"/>
    <w:rsid w:val="00AE086A"/>
    <w:rsid w:val="00AE0B09"/>
    <w:rsid w:val="00AE0E5C"/>
    <w:rsid w:val="00AE1775"/>
    <w:rsid w:val="00AE2757"/>
    <w:rsid w:val="00AE4A47"/>
    <w:rsid w:val="00AE4A59"/>
    <w:rsid w:val="00AE4BC2"/>
    <w:rsid w:val="00AE5838"/>
    <w:rsid w:val="00AF00B6"/>
    <w:rsid w:val="00AF06E0"/>
    <w:rsid w:val="00AF2520"/>
    <w:rsid w:val="00AF441E"/>
    <w:rsid w:val="00B02DD4"/>
    <w:rsid w:val="00B039E2"/>
    <w:rsid w:val="00B03BDB"/>
    <w:rsid w:val="00B06B6F"/>
    <w:rsid w:val="00B06F2D"/>
    <w:rsid w:val="00B07526"/>
    <w:rsid w:val="00B07C37"/>
    <w:rsid w:val="00B1001C"/>
    <w:rsid w:val="00B102A5"/>
    <w:rsid w:val="00B1230F"/>
    <w:rsid w:val="00B123A9"/>
    <w:rsid w:val="00B12908"/>
    <w:rsid w:val="00B13012"/>
    <w:rsid w:val="00B154B0"/>
    <w:rsid w:val="00B169BD"/>
    <w:rsid w:val="00B1752F"/>
    <w:rsid w:val="00B2021C"/>
    <w:rsid w:val="00B20E96"/>
    <w:rsid w:val="00B2155B"/>
    <w:rsid w:val="00B2340F"/>
    <w:rsid w:val="00B25208"/>
    <w:rsid w:val="00B25421"/>
    <w:rsid w:val="00B25594"/>
    <w:rsid w:val="00B27F7C"/>
    <w:rsid w:val="00B312C1"/>
    <w:rsid w:val="00B31492"/>
    <w:rsid w:val="00B31BEB"/>
    <w:rsid w:val="00B32405"/>
    <w:rsid w:val="00B362E8"/>
    <w:rsid w:val="00B4058C"/>
    <w:rsid w:val="00B4083F"/>
    <w:rsid w:val="00B46512"/>
    <w:rsid w:val="00B50CDD"/>
    <w:rsid w:val="00B52FFB"/>
    <w:rsid w:val="00B55096"/>
    <w:rsid w:val="00B5560B"/>
    <w:rsid w:val="00B56905"/>
    <w:rsid w:val="00B6061C"/>
    <w:rsid w:val="00B611C2"/>
    <w:rsid w:val="00B61D5D"/>
    <w:rsid w:val="00B64989"/>
    <w:rsid w:val="00B64DA1"/>
    <w:rsid w:val="00B6517D"/>
    <w:rsid w:val="00B662E8"/>
    <w:rsid w:val="00B66632"/>
    <w:rsid w:val="00B71883"/>
    <w:rsid w:val="00B728B0"/>
    <w:rsid w:val="00B73782"/>
    <w:rsid w:val="00B7403E"/>
    <w:rsid w:val="00B74045"/>
    <w:rsid w:val="00B7413D"/>
    <w:rsid w:val="00B7423A"/>
    <w:rsid w:val="00B74347"/>
    <w:rsid w:val="00B743C0"/>
    <w:rsid w:val="00B76573"/>
    <w:rsid w:val="00B775CD"/>
    <w:rsid w:val="00B7799E"/>
    <w:rsid w:val="00B80161"/>
    <w:rsid w:val="00B81B62"/>
    <w:rsid w:val="00B84FD4"/>
    <w:rsid w:val="00B853BB"/>
    <w:rsid w:val="00B85646"/>
    <w:rsid w:val="00B86BF8"/>
    <w:rsid w:val="00B87E80"/>
    <w:rsid w:val="00B90A5B"/>
    <w:rsid w:val="00B90F45"/>
    <w:rsid w:val="00B941AC"/>
    <w:rsid w:val="00B945E8"/>
    <w:rsid w:val="00B95367"/>
    <w:rsid w:val="00BA06EF"/>
    <w:rsid w:val="00BA10FC"/>
    <w:rsid w:val="00BA1F69"/>
    <w:rsid w:val="00BA20C7"/>
    <w:rsid w:val="00BA2303"/>
    <w:rsid w:val="00BA246A"/>
    <w:rsid w:val="00BA2AAA"/>
    <w:rsid w:val="00BA2DE0"/>
    <w:rsid w:val="00BA39DD"/>
    <w:rsid w:val="00BA3C6D"/>
    <w:rsid w:val="00BA41C5"/>
    <w:rsid w:val="00BA4E48"/>
    <w:rsid w:val="00BA570B"/>
    <w:rsid w:val="00BA7DB4"/>
    <w:rsid w:val="00BB073A"/>
    <w:rsid w:val="00BB115D"/>
    <w:rsid w:val="00BB26FD"/>
    <w:rsid w:val="00BB2A3B"/>
    <w:rsid w:val="00BB47A7"/>
    <w:rsid w:val="00BB4C75"/>
    <w:rsid w:val="00BB4E28"/>
    <w:rsid w:val="00BB5619"/>
    <w:rsid w:val="00BB56BE"/>
    <w:rsid w:val="00BB5941"/>
    <w:rsid w:val="00BB67ED"/>
    <w:rsid w:val="00BC3A58"/>
    <w:rsid w:val="00BC3A78"/>
    <w:rsid w:val="00BC41E5"/>
    <w:rsid w:val="00BC581C"/>
    <w:rsid w:val="00BC618D"/>
    <w:rsid w:val="00BD0182"/>
    <w:rsid w:val="00BD056B"/>
    <w:rsid w:val="00BD0850"/>
    <w:rsid w:val="00BD0A97"/>
    <w:rsid w:val="00BD0D6B"/>
    <w:rsid w:val="00BD2001"/>
    <w:rsid w:val="00BD22F7"/>
    <w:rsid w:val="00BD3986"/>
    <w:rsid w:val="00BD3A8E"/>
    <w:rsid w:val="00BD4CE7"/>
    <w:rsid w:val="00BD61D4"/>
    <w:rsid w:val="00BD6D15"/>
    <w:rsid w:val="00BD796A"/>
    <w:rsid w:val="00BE30A7"/>
    <w:rsid w:val="00BE37F3"/>
    <w:rsid w:val="00BE4361"/>
    <w:rsid w:val="00BE4907"/>
    <w:rsid w:val="00BF0847"/>
    <w:rsid w:val="00BF12C0"/>
    <w:rsid w:val="00BF2C6A"/>
    <w:rsid w:val="00BF3C4C"/>
    <w:rsid w:val="00BF6351"/>
    <w:rsid w:val="00C01100"/>
    <w:rsid w:val="00C017B3"/>
    <w:rsid w:val="00C01899"/>
    <w:rsid w:val="00C029AC"/>
    <w:rsid w:val="00C03B0C"/>
    <w:rsid w:val="00C03FDD"/>
    <w:rsid w:val="00C05488"/>
    <w:rsid w:val="00C05976"/>
    <w:rsid w:val="00C05F02"/>
    <w:rsid w:val="00C063B9"/>
    <w:rsid w:val="00C06645"/>
    <w:rsid w:val="00C0753D"/>
    <w:rsid w:val="00C1034A"/>
    <w:rsid w:val="00C10414"/>
    <w:rsid w:val="00C1280C"/>
    <w:rsid w:val="00C12F16"/>
    <w:rsid w:val="00C14FE6"/>
    <w:rsid w:val="00C15269"/>
    <w:rsid w:val="00C153D2"/>
    <w:rsid w:val="00C15E87"/>
    <w:rsid w:val="00C16359"/>
    <w:rsid w:val="00C1665F"/>
    <w:rsid w:val="00C169E0"/>
    <w:rsid w:val="00C1734C"/>
    <w:rsid w:val="00C173EF"/>
    <w:rsid w:val="00C218C0"/>
    <w:rsid w:val="00C21933"/>
    <w:rsid w:val="00C21D0A"/>
    <w:rsid w:val="00C22F62"/>
    <w:rsid w:val="00C24BFB"/>
    <w:rsid w:val="00C25D0D"/>
    <w:rsid w:val="00C26755"/>
    <w:rsid w:val="00C26F5B"/>
    <w:rsid w:val="00C275DC"/>
    <w:rsid w:val="00C27724"/>
    <w:rsid w:val="00C30D0A"/>
    <w:rsid w:val="00C31BD0"/>
    <w:rsid w:val="00C32CAE"/>
    <w:rsid w:val="00C335DF"/>
    <w:rsid w:val="00C33C73"/>
    <w:rsid w:val="00C355AA"/>
    <w:rsid w:val="00C36656"/>
    <w:rsid w:val="00C36F7F"/>
    <w:rsid w:val="00C37177"/>
    <w:rsid w:val="00C37AA7"/>
    <w:rsid w:val="00C37E1D"/>
    <w:rsid w:val="00C410E8"/>
    <w:rsid w:val="00C413DE"/>
    <w:rsid w:val="00C41F1B"/>
    <w:rsid w:val="00C42358"/>
    <w:rsid w:val="00C428FD"/>
    <w:rsid w:val="00C43061"/>
    <w:rsid w:val="00C45EF5"/>
    <w:rsid w:val="00C51591"/>
    <w:rsid w:val="00C520A6"/>
    <w:rsid w:val="00C5377A"/>
    <w:rsid w:val="00C541CF"/>
    <w:rsid w:val="00C56E28"/>
    <w:rsid w:val="00C57F05"/>
    <w:rsid w:val="00C6251E"/>
    <w:rsid w:val="00C6297E"/>
    <w:rsid w:val="00C62CE7"/>
    <w:rsid w:val="00C643D4"/>
    <w:rsid w:val="00C64EF3"/>
    <w:rsid w:val="00C6678D"/>
    <w:rsid w:val="00C66C74"/>
    <w:rsid w:val="00C66DA0"/>
    <w:rsid w:val="00C70253"/>
    <w:rsid w:val="00C731FF"/>
    <w:rsid w:val="00C73317"/>
    <w:rsid w:val="00C7438F"/>
    <w:rsid w:val="00C74B5D"/>
    <w:rsid w:val="00C74BB9"/>
    <w:rsid w:val="00C75CD7"/>
    <w:rsid w:val="00C75E93"/>
    <w:rsid w:val="00C77479"/>
    <w:rsid w:val="00C77D0D"/>
    <w:rsid w:val="00C814B9"/>
    <w:rsid w:val="00C8290A"/>
    <w:rsid w:val="00C861C0"/>
    <w:rsid w:val="00C8651F"/>
    <w:rsid w:val="00C8737A"/>
    <w:rsid w:val="00C87DB4"/>
    <w:rsid w:val="00C9125A"/>
    <w:rsid w:val="00C91885"/>
    <w:rsid w:val="00C919F3"/>
    <w:rsid w:val="00C954FF"/>
    <w:rsid w:val="00C963D3"/>
    <w:rsid w:val="00C97A16"/>
    <w:rsid w:val="00CA1AC1"/>
    <w:rsid w:val="00CA3D54"/>
    <w:rsid w:val="00CA4245"/>
    <w:rsid w:val="00CA50CD"/>
    <w:rsid w:val="00CA7A7E"/>
    <w:rsid w:val="00CA7C81"/>
    <w:rsid w:val="00CA7DA1"/>
    <w:rsid w:val="00CB0A37"/>
    <w:rsid w:val="00CB49F0"/>
    <w:rsid w:val="00CB4E99"/>
    <w:rsid w:val="00CB68B6"/>
    <w:rsid w:val="00CB77FF"/>
    <w:rsid w:val="00CC0871"/>
    <w:rsid w:val="00CC0BC1"/>
    <w:rsid w:val="00CC2588"/>
    <w:rsid w:val="00CC3FDA"/>
    <w:rsid w:val="00CC4710"/>
    <w:rsid w:val="00CC5222"/>
    <w:rsid w:val="00CC5319"/>
    <w:rsid w:val="00CC6BC5"/>
    <w:rsid w:val="00CD0B01"/>
    <w:rsid w:val="00CD1784"/>
    <w:rsid w:val="00CD1CA4"/>
    <w:rsid w:val="00CD4880"/>
    <w:rsid w:val="00CD5299"/>
    <w:rsid w:val="00CD5765"/>
    <w:rsid w:val="00CD6982"/>
    <w:rsid w:val="00CE083B"/>
    <w:rsid w:val="00CE10D0"/>
    <w:rsid w:val="00CE1525"/>
    <w:rsid w:val="00CE1CE5"/>
    <w:rsid w:val="00CE2C6B"/>
    <w:rsid w:val="00CE448E"/>
    <w:rsid w:val="00CE4827"/>
    <w:rsid w:val="00CE482D"/>
    <w:rsid w:val="00CE4877"/>
    <w:rsid w:val="00CE4884"/>
    <w:rsid w:val="00CE495D"/>
    <w:rsid w:val="00CE4C34"/>
    <w:rsid w:val="00CE4D90"/>
    <w:rsid w:val="00CE670A"/>
    <w:rsid w:val="00CE6BD7"/>
    <w:rsid w:val="00CE6CBD"/>
    <w:rsid w:val="00CE712B"/>
    <w:rsid w:val="00CF0E27"/>
    <w:rsid w:val="00CF1967"/>
    <w:rsid w:val="00CF2C74"/>
    <w:rsid w:val="00CF3393"/>
    <w:rsid w:val="00CF3E7F"/>
    <w:rsid w:val="00CF443B"/>
    <w:rsid w:val="00CF529E"/>
    <w:rsid w:val="00CF5863"/>
    <w:rsid w:val="00CF5AE5"/>
    <w:rsid w:val="00CF6EE6"/>
    <w:rsid w:val="00CF7CE2"/>
    <w:rsid w:val="00D00C7B"/>
    <w:rsid w:val="00D0184C"/>
    <w:rsid w:val="00D0271C"/>
    <w:rsid w:val="00D0307C"/>
    <w:rsid w:val="00D05CD2"/>
    <w:rsid w:val="00D063EC"/>
    <w:rsid w:val="00D06F68"/>
    <w:rsid w:val="00D07073"/>
    <w:rsid w:val="00D07E1B"/>
    <w:rsid w:val="00D10AA9"/>
    <w:rsid w:val="00D10C9D"/>
    <w:rsid w:val="00D11959"/>
    <w:rsid w:val="00D127A6"/>
    <w:rsid w:val="00D13C69"/>
    <w:rsid w:val="00D14363"/>
    <w:rsid w:val="00D162AB"/>
    <w:rsid w:val="00D170A1"/>
    <w:rsid w:val="00D17E00"/>
    <w:rsid w:val="00D2030B"/>
    <w:rsid w:val="00D204A6"/>
    <w:rsid w:val="00D214F3"/>
    <w:rsid w:val="00D21765"/>
    <w:rsid w:val="00D217BA"/>
    <w:rsid w:val="00D21970"/>
    <w:rsid w:val="00D21E82"/>
    <w:rsid w:val="00D22E15"/>
    <w:rsid w:val="00D27E58"/>
    <w:rsid w:val="00D314E6"/>
    <w:rsid w:val="00D31F4A"/>
    <w:rsid w:val="00D3325C"/>
    <w:rsid w:val="00D35099"/>
    <w:rsid w:val="00D3547F"/>
    <w:rsid w:val="00D35738"/>
    <w:rsid w:val="00D35ED7"/>
    <w:rsid w:val="00D36C32"/>
    <w:rsid w:val="00D36FD7"/>
    <w:rsid w:val="00D3735D"/>
    <w:rsid w:val="00D411CE"/>
    <w:rsid w:val="00D42FD9"/>
    <w:rsid w:val="00D4317B"/>
    <w:rsid w:val="00D44658"/>
    <w:rsid w:val="00D46354"/>
    <w:rsid w:val="00D46AAF"/>
    <w:rsid w:val="00D513C2"/>
    <w:rsid w:val="00D5164F"/>
    <w:rsid w:val="00D5170B"/>
    <w:rsid w:val="00D51BD1"/>
    <w:rsid w:val="00D533C3"/>
    <w:rsid w:val="00D54018"/>
    <w:rsid w:val="00D5444D"/>
    <w:rsid w:val="00D57BC0"/>
    <w:rsid w:val="00D57CF3"/>
    <w:rsid w:val="00D60BDE"/>
    <w:rsid w:val="00D61F70"/>
    <w:rsid w:val="00D62AD4"/>
    <w:rsid w:val="00D648C3"/>
    <w:rsid w:val="00D66A8E"/>
    <w:rsid w:val="00D67B7D"/>
    <w:rsid w:val="00D701B5"/>
    <w:rsid w:val="00D73855"/>
    <w:rsid w:val="00D739C3"/>
    <w:rsid w:val="00D739D4"/>
    <w:rsid w:val="00D74B40"/>
    <w:rsid w:val="00D76092"/>
    <w:rsid w:val="00D76943"/>
    <w:rsid w:val="00D77CE9"/>
    <w:rsid w:val="00D8015A"/>
    <w:rsid w:val="00D83941"/>
    <w:rsid w:val="00D83CD2"/>
    <w:rsid w:val="00D852DB"/>
    <w:rsid w:val="00D86502"/>
    <w:rsid w:val="00D86572"/>
    <w:rsid w:val="00D90D9B"/>
    <w:rsid w:val="00D916CE"/>
    <w:rsid w:val="00D92F8D"/>
    <w:rsid w:val="00D94214"/>
    <w:rsid w:val="00D942C8"/>
    <w:rsid w:val="00D94C5D"/>
    <w:rsid w:val="00D94D73"/>
    <w:rsid w:val="00D97C12"/>
    <w:rsid w:val="00DA004F"/>
    <w:rsid w:val="00DA2187"/>
    <w:rsid w:val="00DA3485"/>
    <w:rsid w:val="00DA4141"/>
    <w:rsid w:val="00DA56D7"/>
    <w:rsid w:val="00DA7FA1"/>
    <w:rsid w:val="00DB148F"/>
    <w:rsid w:val="00DB289D"/>
    <w:rsid w:val="00DB2C3C"/>
    <w:rsid w:val="00DB2DDC"/>
    <w:rsid w:val="00DB374D"/>
    <w:rsid w:val="00DB3CBE"/>
    <w:rsid w:val="00DB4389"/>
    <w:rsid w:val="00DB485C"/>
    <w:rsid w:val="00DB4F81"/>
    <w:rsid w:val="00DB548E"/>
    <w:rsid w:val="00DB59F9"/>
    <w:rsid w:val="00DB626F"/>
    <w:rsid w:val="00DB7EDC"/>
    <w:rsid w:val="00DC0708"/>
    <w:rsid w:val="00DC17B4"/>
    <w:rsid w:val="00DC23D1"/>
    <w:rsid w:val="00DC3897"/>
    <w:rsid w:val="00DC3EB0"/>
    <w:rsid w:val="00DC40B0"/>
    <w:rsid w:val="00DC417B"/>
    <w:rsid w:val="00DC41A8"/>
    <w:rsid w:val="00DC5021"/>
    <w:rsid w:val="00DC5667"/>
    <w:rsid w:val="00DC77E6"/>
    <w:rsid w:val="00DC7A28"/>
    <w:rsid w:val="00DC7AA4"/>
    <w:rsid w:val="00DD177E"/>
    <w:rsid w:val="00DD1DC9"/>
    <w:rsid w:val="00DD2DB4"/>
    <w:rsid w:val="00DD36EE"/>
    <w:rsid w:val="00DD42CB"/>
    <w:rsid w:val="00DD5E1B"/>
    <w:rsid w:val="00DD6F39"/>
    <w:rsid w:val="00DE0251"/>
    <w:rsid w:val="00DE13DC"/>
    <w:rsid w:val="00DE2444"/>
    <w:rsid w:val="00DE340A"/>
    <w:rsid w:val="00DE3614"/>
    <w:rsid w:val="00DE5E7A"/>
    <w:rsid w:val="00DE6F6B"/>
    <w:rsid w:val="00DE7370"/>
    <w:rsid w:val="00DE7972"/>
    <w:rsid w:val="00DF0D02"/>
    <w:rsid w:val="00DF1533"/>
    <w:rsid w:val="00DF1D4F"/>
    <w:rsid w:val="00DF2280"/>
    <w:rsid w:val="00DF3B62"/>
    <w:rsid w:val="00DF4ECB"/>
    <w:rsid w:val="00DF5492"/>
    <w:rsid w:val="00DF5A9F"/>
    <w:rsid w:val="00E00362"/>
    <w:rsid w:val="00E00430"/>
    <w:rsid w:val="00E02CB9"/>
    <w:rsid w:val="00E046BB"/>
    <w:rsid w:val="00E04C60"/>
    <w:rsid w:val="00E05606"/>
    <w:rsid w:val="00E05891"/>
    <w:rsid w:val="00E05C65"/>
    <w:rsid w:val="00E0607A"/>
    <w:rsid w:val="00E07115"/>
    <w:rsid w:val="00E1134B"/>
    <w:rsid w:val="00E1177F"/>
    <w:rsid w:val="00E11915"/>
    <w:rsid w:val="00E11DC6"/>
    <w:rsid w:val="00E13996"/>
    <w:rsid w:val="00E14BAC"/>
    <w:rsid w:val="00E169DD"/>
    <w:rsid w:val="00E20EC1"/>
    <w:rsid w:val="00E22435"/>
    <w:rsid w:val="00E2275F"/>
    <w:rsid w:val="00E230A6"/>
    <w:rsid w:val="00E23B3A"/>
    <w:rsid w:val="00E268CC"/>
    <w:rsid w:val="00E26B87"/>
    <w:rsid w:val="00E27689"/>
    <w:rsid w:val="00E321DE"/>
    <w:rsid w:val="00E352F3"/>
    <w:rsid w:val="00E358A3"/>
    <w:rsid w:val="00E374A9"/>
    <w:rsid w:val="00E37665"/>
    <w:rsid w:val="00E41B05"/>
    <w:rsid w:val="00E423CD"/>
    <w:rsid w:val="00E43056"/>
    <w:rsid w:val="00E432D8"/>
    <w:rsid w:val="00E44934"/>
    <w:rsid w:val="00E453F5"/>
    <w:rsid w:val="00E461FF"/>
    <w:rsid w:val="00E4719E"/>
    <w:rsid w:val="00E47277"/>
    <w:rsid w:val="00E506A6"/>
    <w:rsid w:val="00E532EF"/>
    <w:rsid w:val="00E53A33"/>
    <w:rsid w:val="00E5510F"/>
    <w:rsid w:val="00E57120"/>
    <w:rsid w:val="00E5723B"/>
    <w:rsid w:val="00E57A5C"/>
    <w:rsid w:val="00E60A5A"/>
    <w:rsid w:val="00E60CBF"/>
    <w:rsid w:val="00E60F1A"/>
    <w:rsid w:val="00E621D2"/>
    <w:rsid w:val="00E630A6"/>
    <w:rsid w:val="00E634C6"/>
    <w:rsid w:val="00E67173"/>
    <w:rsid w:val="00E71447"/>
    <w:rsid w:val="00E76137"/>
    <w:rsid w:val="00E76C64"/>
    <w:rsid w:val="00E774DD"/>
    <w:rsid w:val="00E7762F"/>
    <w:rsid w:val="00E8236F"/>
    <w:rsid w:val="00E83663"/>
    <w:rsid w:val="00E836AC"/>
    <w:rsid w:val="00E838BC"/>
    <w:rsid w:val="00E84D60"/>
    <w:rsid w:val="00E8669E"/>
    <w:rsid w:val="00E86DD8"/>
    <w:rsid w:val="00E902FF"/>
    <w:rsid w:val="00E9065E"/>
    <w:rsid w:val="00E919F9"/>
    <w:rsid w:val="00E91A5E"/>
    <w:rsid w:val="00E92E37"/>
    <w:rsid w:val="00E93167"/>
    <w:rsid w:val="00E93332"/>
    <w:rsid w:val="00E937D3"/>
    <w:rsid w:val="00E9418F"/>
    <w:rsid w:val="00E9618F"/>
    <w:rsid w:val="00E96F05"/>
    <w:rsid w:val="00E96FA2"/>
    <w:rsid w:val="00EA1762"/>
    <w:rsid w:val="00EA1A37"/>
    <w:rsid w:val="00EA34B1"/>
    <w:rsid w:val="00EA3E49"/>
    <w:rsid w:val="00EA7C6C"/>
    <w:rsid w:val="00EB2857"/>
    <w:rsid w:val="00EB3830"/>
    <w:rsid w:val="00EB3B4F"/>
    <w:rsid w:val="00EB3F9B"/>
    <w:rsid w:val="00EB4A0F"/>
    <w:rsid w:val="00EC1B38"/>
    <w:rsid w:val="00EC2BF2"/>
    <w:rsid w:val="00EC2EA6"/>
    <w:rsid w:val="00EC4036"/>
    <w:rsid w:val="00EC5604"/>
    <w:rsid w:val="00EC5E7F"/>
    <w:rsid w:val="00EC6EA3"/>
    <w:rsid w:val="00EC7AFE"/>
    <w:rsid w:val="00ED0269"/>
    <w:rsid w:val="00ED1BD0"/>
    <w:rsid w:val="00ED48FC"/>
    <w:rsid w:val="00ED53BE"/>
    <w:rsid w:val="00ED6880"/>
    <w:rsid w:val="00EE1872"/>
    <w:rsid w:val="00EE18BD"/>
    <w:rsid w:val="00EE1A2B"/>
    <w:rsid w:val="00EE38FF"/>
    <w:rsid w:val="00EE3E65"/>
    <w:rsid w:val="00EE458E"/>
    <w:rsid w:val="00EE4C8A"/>
    <w:rsid w:val="00EE4D4A"/>
    <w:rsid w:val="00EE5A8C"/>
    <w:rsid w:val="00EE747C"/>
    <w:rsid w:val="00EE74C4"/>
    <w:rsid w:val="00EE7F7D"/>
    <w:rsid w:val="00EF264B"/>
    <w:rsid w:val="00EF304F"/>
    <w:rsid w:val="00EF5E0B"/>
    <w:rsid w:val="00EF5EFA"/>
    <w:rsid w:val="00EF6357"/>
    <w:rsid w:val="00EF7822"/>
    <w:rsid w:val="00F00140"/>
    <w:rsid w:val="00F00338"/>
    <w:rsid w:val="00F00F2C"/>
    <w:rsid w:val="00F013FF"/>
    <w:rsid w:val="00F02BD7"/>
    <w:rsid w:val="00F02CC7"/>
    <w:rsid w:val="00F06494"/>
    <w:rsid w:val="00F07A3F"/>
    <w:rsid w:val="00F10AFD"/>
    <w:rsid w:val="00F12A5D"/>
    <w:rsid w:val="00F12A5F"/>
    <w:rsid w:val="00F12B95"/>
    <w:rsid w:val="00F16191"/>
    <w:rsid w:val="00F17790"/>
    <w:rsid w:val="00F17925"/>
    <w:rsid w:val="00F17A67"/>
    <w:rsid w:val="00F21E55"/>
    <w:rsid w:val="00F21FA5"/>
    <w:rsid w:val="00F2238E"/>
    <w:rsid w:val="00F22AFB"/>
    <w:rsid w:val="00F2558E"/>
    <w:rsid w:val="00F27053"/>
    <w:rsid w:val="00F279F6"/>
    <w:rsid w:val="00F30556"/>
    <w:rsid w:val="00F30C3C"/>
    <w:rsid w:val="00F32FF5"/>
    <w:rsid w:val="00F33768"/>
    <w:rsid w:val="00F3529A"/>
    <w:rsid w:val="00F40792"/>
    <w:rsid w:val="00F40805"/>
    <w:rsid w:val="00F41496"/>
    <w:rsid w:val="00F43227"/>
    <w:rsid w:val="00F4462C"/>
    <w:rsid w:val="00F44AE4"/>
    <w:rsid w:val="00F46552"/>
    <w:rsid w:val="00F508AF"/>
    <w:rsid w:val="00F511C6"/>
    <w:rsid w:val="00F52B8E"/>
    <w:rsid w:val="00F548B3"/>
    <w:rsid w:val="00F54E69"/>
    <w:rsid w:val="00F54F7F"/>
    <w:rsid w:val="00F5581A"/>
    <w:rsid w:val="00F55AA6"/>
    <w:rsid w:val="00F611D8"/>
    <w:rsid w:val="00F61B4A"/>
    <w:rsid w:val="00F61CEB"/>
    <w:rsid w:val="00F62CBB"/>
    <w:rsid w:val="00F635DC"/>
    <w:rsid w:val="00F640A3"/>
    <w:rsid w:val="00F64221"/>
    <w:rsid w:val="00F64325"/>
    <w:rsid w:val="00F6534B"/>
    <w:rsid w:val="00F65818"/>
    <w:rsid w:val="00F7118B"/>
    <w:rsid w:val="00F71D17"/>
    <w:rsid w:val="00F72325"/>
    <w:rsid w:val="00F7328E"/>
    <w:rsid w:val="00F73FA8"/>
    <w:rsid w:val="00F74428"/>
    <w:rsid w:val="00F74629"/>
    <w:rsid w:val="00F7499C"/>
    <w:rsid w:val="00F758CE"/>
    <w:rsid w:val="00F76172"/>
    <w:rsid w:val="00F76DEB"/>
    <w:rsid w:val="00F90342"/>
    <w:rsid w:val="00F9101D"/>
    <w:rsid w:val="00F94750"/>
    <w:rsid w:val="00F9518E"/>
    <w:rsid w:val="00F95A09"/>
    <w:rsid w:val="00F95CB6"/>
    <w:rsid w:val="00F97035"/>
    <w:rsid w:val="00FA098F"/>
    <w:rsid w:val="00FA28EE"/>
    <w:rsid w:val="00FA2FED"/>
    <w:rsid w:val="00FA43F7"/>
    <w:rsid w:val="00FA6ECD"/>
    <w:rsid w:val="00FA7AA8"/>
    <w:rsid w:val="00FB1699"/>
    <w:rsid w:val="00FB1E11"/>
    <w:rsid w:val="00FB2736"/>
    <w:rsid w:val="00FB3DB0"/>
    <w:rsid w:val="00FB41F6"/>
    <w:rsid w:val="00FB4E8E"/>
    <w:rsid w:val="00FB6526"/>
    <w:rsid w:val="00FB681A"/>
    <w:rsid w:val="00FB6F16"/>
    <w:rsid w:val="00FC0B90"/>
    <w:rsid w:val="00FC19DD"/>
    <w:rsid w:val="00FC37F4"/>
    <w:rsid w:val="00FC48CB"/>
    <w:rsid w:val="00FC5312"/>
    <w:rsid w:val="00FD0E41"/>
    <w:rsid w:val="00FD12F8"/>
    <w:rsid w:val="00FD202F"/>
    <w:rsid w:val="00FD7691"/>
    <w:rsid w:val="00FE0E76"/>
    <w:rsid w:val="00FE1DE2"/>
    <w:rsid w:val="00FE235D"/>
    <w:rsid w:val="00FE2490"/>
    <w:rsid w:val="00FE24C3"/>
    <w:rsid w:val="00FE33EC"/>
    <w:rsid w:val="00FE4ED0"/>
    <w:rsid w:val="00FE7E57"/>
    <w:rsid w:val="00FF1094"/>
    <w:rsid w:val="00FF1394"/>
    <w:rsid w:val="00FF18AD"/>
    <w:rsid w:val="00FF3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C9E"/>
    <w:rPr>
      <w:sz w:val="24"/>
      <w:szCs w:val="24"/>
    </w:rPr>
  </w:style>
  <w:style w:type="paragraph" w:styleId="Heading1">
    <w:name w:val="heading 1"/>
    <w:basedOn w:val="Normal"/>
    <w:next w:val="Normal"/>
    <w:qFormat/>
    <w:rsid w:val="00944F1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BoldLeft0Firstline0">
    <w:name w:val="Style Heading 1 + Bold Left:  0&quot; First line:  0&quot;"/>
    <w:basedOn w:val="Heading1"/>
    <w:rsid w:val="00944F1D"/>
    <w:pPr>
      <w:widowControl w:val="0"/>
      <w:tabs>
        <w:tab w:val="left" w:pos="720"/>
      </w:tabs>
      <w:overflowPunct w:val="0"/>
      <w:autoSpaceDE w:val="0"/>
      <w:autoSpaceDN w:val="0"/>
      <w:adjustRightInd w:val="0"/>
      <w:textAlignment w:val="baseline"/>
    </w:pPr>
    <w:rPr>
      <w:rFonts w:ascii="Times New Roman" w:hAnsi="Times New Roman" w:cs="Times New Roman"/>
      <w:sz w:val="24"/>
      <w:szCs w:val="20"/>
    </w:rPr>
  </w:style>
  <w:style w:type="table" w:styleId="TableGrid">
    <w:name w:val="Table Grid"/>
    <w:basedOn w:val="TableNormal"/>
    <w:rsid w:val="0054447B"/>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C16F3"/>
    <w:pPr>
      <w:tabs>
        <w:tab w:val="center" w:pos="4320"/>
        <w:tab w:val="right" w:pos="8640"/>
      </w:tabs>
    </w:pPr>
  </w:style>
  <w:style w:type="character" w:styleId="PageNumber">
    <w:name w:val="page number"/>
    <w:basedOn w:val="DefaultParagraphFont"/>
    <w:rsid w:val="003C16F3"/>
  </w:style>
  <w:style w:type="paragraph" w:styleId="FootnoteText">
    <w:name w:val="footnote text"/>
    <w:aliases w:val="fn"/>
    <w:basedOn w:val="Normal"/>
    <w:link w:val="FootnoteTextChar"/>
    <w:semiHidden/>
    <w:rsid w:val="00BF3C4C"/>
    <w:rPr>
      <w:sz w:val="20"/>
      <w:szCs w:val="20"/>
    </w:rPr>
  </w:style>
  <w:style w:type="character" w:styleId="FootnoteReference">
    <w:name w:val="footnote reference"/>
    <w:basedOn w:val="DefaultParagraphFont"/>
    <w:semiHidden/>
    <w:rsid w:val="00BF3C4C"/>
    <w:rPr>
      <w:vertAlign w:val="superscript"/>
    </w:rPr>
  </w:style>
  <w:style w:type="paragraph" w:styleId="BalloonText">
    <w:name w:val="Balloon Text"/>
    <w:basedOn w:val="Normal"/>
    <w:semiHidden/>
    <w:rsid w:val="008C45DD"/>
    <w:rPr>
      <w:rFonts w:ascii="Tahoma" w:hAnsi="Tahoma" w:cs="Tahoma"/>
      <w:sz w:val="16"/>
      <w:szCs w:val="16"/>
    </w:rPr>
  </w:style>
  <w:style w:type="character" w:customStyle="1" w:styleId="FootnoteTextChar">
    <w:name w:val="Footnote Text Char"/>
    <w:aliases w:val="fn Char"/>
    <w:basedOn w:val="DefaultParagraphFont"/>
    <w:link w:val="FootnoteText"/>
    <w:rsid w:val="00B13012"/>
    <w:rPr>
      <w:lang w:val="en-US" w:eastAsia="en-US" w:bidi="ar-SA"/>
    </w:rPr>
  </w:style>
  <w:style w:type="paragraph" w:customStyle="1" w:styleId="Default">
    <w:name w:val="Default"/>
    <w:rsid w:val="00B743C0"/>
    <w:pPr>
      <w:autoSpaceDE w:val="0"/>
      <w:autoSpaceDN w:val="0"/>
      <w:adjustRightInd w:val="0"/>
    </w:pPr>
    <w:rPr>
      <w:color w:val="000000"/>
      <w:sz w:val="24"/>
      <w:szCs w:val="24"/>
    </w:rPr>
  </w:style>
  <w:style w:type="paragraph" w:customStyle="1" w:styleId="CM120">
    <w:name w:val="CM120"/>
    <w:basedOn w:val="Default"/>
    <w:next w:val="Default"/>
    <w:rsid w:val="00B743C0"/>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1279</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SUPPORTING STATEMENT FOR “FORM 8-K” </vt:lpstr>
    </vt:vector>
  </TitlesOfParts>
  <Company>SEC</Company>
  <LinksUpToDate>false</LinksUpToDate>
  <CharactersWithSpaces>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8-K” </dc:title>
  <dc:subject/>
  <dc:creator>alemane</dc:creator>
  <cp:keywords/>
  <dc:description/>
  <cp:lastModifiedBy>Pearl Q Crawley</cp:lastModifiedBy>
  <cp:revision>2</cp:revision>
  <cp:lastPrinted>2009-10-21T18:11:00Z</cp:lastPrinted>
  <dcterms:created xsi:type="dcterms:W3CDTF">2010-05-11T14:42:00Z</dcterms:created>
  <dcterms:modified xsi:type="dcterms:W3CDTF">2010-05-11T14:42:00Z</dcterms:modified>
</cp:coreProperties>
</file>