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DE" w:rsidRDefault="006E7EAC" w:rsidP="007057B7">
      <w:pPr>
        <w:pStyle w:val="NormalWeb"/>
        <w:tabs>
          <w:tab w:val="left" w:pos="4140"/>
        </w:tabs>
        <w:spacing w:before="0" w:beforeAutospacing="0" w:after="0" w:afterAutospacing="0"/>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84.65pt;margin-top:-52.25pt;width:126pt;height:45pt;z-index:251658240">
            <v:textbox>
              <w:txbxContent>
                <w:p w:rsidR="003C44DE" w:rsidRDefault="003C44DE" w:rsidP="003C44DE">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p>
    <w:p w:rsidR="003C44DE" w:rsidRDefault="003C44DE" w:rsidP="007057B7">
      <w:pPr>
        <w:pStyle w:val="NormalWeb"/>
        <w:tabs>
          <w:tab w:val="left" w:pos="4140"/>
        </w:tabs>
        <w:spacing w:before="0" w:beforeAutospacing="0" w:after="0" w:afterAutospacing="0"/>
        <w:jc w:val="center"/>
        <w:rPr>
          <w:rFonts w:ascii="Arial" w:hAnsi="Arial" w:cs="Arial"/>
          <w:b/>
          <w:sz w:val="20"/>
          <w:szCs w:val="20"/>
        </w:rPr>
      </w:pPr>
    </w:p>
    <w:p w:rsidR="007057B7" w:rsidRPr="00060D70" w:rsidRDefault="007057B7" w:rsidP="007057B7">
      <w:pPr>
        <w:pStyle w:val="NormalWeb"/>
        <w:tabs>
          <w:tab w:val="left" w:pos="4140"/>
        </w:tabs>
        <w:spacing w:before="0" w:beforeAutospacing="0" w:after="0" w:afterAutospacing="0"/>
        <w:jc w:val="center"/>
        <w:rPr>
          <w:rFonts w:ascii="Arial" w:hAnsi="Arial" w:cs="Arial"/>
          <w:sz w:val="20"/>
          <w:szCs w:val="20"/>
        </w:rPr>
      </w:pPr>
      <w:r w:rsidRPr="00060D70">
        <w:rPr>
          <w:rFonts w:ascii="Arial" w:hAnsi="Arial" w:cs="Arial"/>
          <w:b/>
          <w:sz w:val="20"/>
          <w:szCs w:val="20"/>
        </w:rPr>
        <w:t xml:space="preserve">Attachment B: </w:t>
      </w:r>
      <w:r w:rsidRPr="002D1311">
        <w:rPr>
          <w:rFonts w:ascii="Arial" w:hAnsi="Arial" w:cs="Arial"/>
          <w:b/>
          <w:sz w:val="20"/>
          <w:szCs w:val="20"/>
        </w:rPr>
        <w:t xml:space="preserve">Infection prevention and control guidance for </w:t>
      </w:r>
      <w:proofErr w:type="spellStart"/>
      <w:r w:rsidRPr="002D1311">
        <w:rPr>
          <w:rFonts w:ascii="Arial" w:hAnsi="Arial" w:cs="Arial"/>
          <w:b/>
          <w:sz w:val="20"/>
          <w:szCs w:val="20"/>
        </w:rPr>
        <w:t>carbapenem</w:t>
      </w:r>
      <w:proofErr w:type="spellEnd"/>
      <w:r w:rsidRPr="002D1311">
        <w:rPr>
          <w:rFonts w:ascii="Arial" w:hAnsi="Arial" w:cs="Arial"/>
          <w:b/>
          <w:sz w:val="20"/>
          <w:szCs w:val="20"/>
        </w:rPr>
        <w:t xml:space="preserve">-resistant </w:t>
      </w:r>
      <w:proofErr w:type="spellStart"/>
      <w:r w:rsidRPr="002D1311">
        <w:rPr>
          <w:rFonts w:ascii="Arial" w:hAnsi="Arial" w:cs="Arial"/>
          <w:b/>
          <w:i/>
          <w:sz w:val="20"/>
          <w:szCs w:val="20"/>
        </w:rPr>
        <w:t>Enterobacteriaceae</w:t>
      </w:r>
      <w:proofErr w:type="spellEnd"/>
      <w:r w:rsidRPr="002D1311">
        <w:rPr>
          <w:rFonts w:ascii="Arial" w:hAnsi="Arial" w:cs="Arial"/>
          <w:b/>
          <w:i/>
          <w:sz w:val="20"/>
          <w:szCs w:val="20"/>
        </w:rPr>
        <w:t xml:space="preserve"> </w:t>
      </w:r>
      <w:r w:rsidRPr="002D1311">
        <w:rPr>
          <w:rFonts w:ascii="Arial" w:hAnsi="Arial" w:cs="Arial"/>
          <w:b/>
          <w:sz w:val="20"/>
          <w:szCs w:val="20"/>
        </w:rPr>
        <w:t xml:space="preserve">(or </w:t>
      </w:r>
      <w:proofErr w:type="spellStart"/>
      <w:r w:rsidRPr="002D1311">
        <w:rPr>
          <w:rFonts w:ascii="Arial" w:hAnsi="Arial" w:cs="Arial"/>
          <w:b/>
          <w:sz w:val="20"/>
          <w:szCs w:val="20"/>
        </w:rPr>
        <w:t>carbapenemase</w:t>
      </w:r>
      <w:proofErr w:type="spellEnd"/>
      <w:r w:rsidRPr="002D1311">
        <w:rPr>
          <w:rFonts w:ascii="Arial" w:hAnsi="Arial" w:cs="Arial"/>
          <w:b/>
          <w:sz w:val="20"/>
          <w:szCs w:val="20"/>
        </w:rPr>
        <w:t xml:space="preserve">-producing </w:t>
      </w:r>
      <w:proofErr w:type="spellStart"/>
      <w:r w:rsidRPr="002D1311">
        <w:rPr>
          <w:rFonts w:ascii="Arial" w:hAnsi="Arial" w:cs="Arial"/>
          <w:b/>
          <w:i/>
          <w:sz w:val="20"/>
          <w:szCs w:val="20"/>
        </w:rPr>
        <w:t>Enterobacteriaceae</w:t>
      </w:r>
      <w:proofErr w:type="spellEnd"/>
      <w:r w:rsidRPr="002D1311">
        <w:rPr>
          <w:rFonts w:ascii="Arial" w:hAnsi="Arial" w:cs="Arial"/>
          <w:b/>
          <w:sz w:val="20"/>
          <w:szCs w:val="20"/>
        </w:rPr>
        <w:t>) in acute care facilities – CDC and the Healthcare Infection Control Practices Advisory Committee</w:t>
      </w:r>
    </w:p>
    <w:p w:rsidR="007057B7" w:rsidRDefault="007057B7" w:rsidP="007057B7">
      <w:pPr>
        <w:pStyle w:val="NormalWeb"/>
        <w:tabs>
          <w:tab w:val="left" w:pos="4140"/>
        </w:tabs>
        <w:spacing w:before="0" w:beforeAutospacing="0" w:after="0" w:afterAutospacing="0"/>
        <w:rPr>
          <w:rFonts w:ascii="Arial" w:hAnsi="Arial" w:cs="Arial"/>
          <w:b/>
          <w:sz w:val="20"/>
          <w:szCs w:val="20"/>
        </w:rPr>
      </w:pPr>
    </w:p>
    <w:p w:rsidR="007057B7" w:rsidRPr="002E6473" w:rsidRDefault="007057B7" w:rsidP="007057B7">
      <w:pPr>
        <w:pStyle w:val="NormalWeb"/>
        <w:tabs>
          <w:tab w:val="left" w:pos="4140"/>
        </w:tabs>
        <w:spacing w:before="0" w:beforeAutospacing="0" w:after="0" w:afterAutospacing="0"/>
        <w:rPr>
          <w:rFonts w:ascii="Arial" w:hAnsi="Arial" w:cs="Arial"/>
          <w:b/>
          <w:sz w:val="20"/>
          <w:szCs w:val="20"/>
        </w:rPr>
      </w:pPr>
      <w:r w:rsidRPr="002E6473">
        <w:rPr>
          <w:rFonts w:ascii="Arial" w:hAnsi="Arial" w:cs="Arial"/>
          <w:b/>
          <w:sz w:val="20"/>
          <w:szCs w:val="20"/>
        </w:rPr>
        <w:t>Infection Prevention and Control</w:t>
      </w:r>
    </w:p>
    <w:p w:rsidR="007057B7" w:rsidRPr="002E6473" w:rsidRDefault="007057B7" w:rsidP="007057B7">
      <w:pPr>
        <w:pStyle w:val="NormalWeb"/>
        <w:numPr>
          <w:ilvl w:val="0"/>
          <w:numId w:val="1"/>
        </w:numPr>
        <w:tabs>
          <w:tab w:val="left" w:pos="0"/>
          <w:tab w:val="left" w:pos="360"/>
        </w:tabs>
        <w:spacing w:before="0" w:beforeAutospacing="0" w:after="0" w:afterAutospacing="0"/>
        <w:ind w:left="360"/>
        <w:rPr>
          <w:rFonts w:ascii="Arial" w:hAnsi="Arial" w:cs="Arial"/>
          <w:b/>
          <w:sz w:val="20"/>
          <w:szCs w:val="20"/>
        </w:rPr>
      </w:pPr>
      <w:r w:rsidRPr="002E6473">
        <w:rPr>
          <w:rFonts w:ascii="Arial" w:hAnsi="Arial" w:cs="Arial"/>
          <w:sz w:val="20"/>
          <w:szCs w:val="20"/>
        </w:rPr>
        <w:t xml:space="preserve">All acute care facilities should implement contact precautions for patients colonized </w:t>
      </w:r>
      <w:r>
        <w:rPr>
          <w:rFonts w:ascii="Arial" w:hAnsi="Arial" w:cs="Arial"/>
          <w:sz w:val="20"/>
          <w:szCs w:val="20"/>
        </w:rPr>
        <w:t>or</w:t>
      </w:r>
      <w:r w:rsidRPr="002E6473">
        <w:rPr>
          <w:rFonts w:ascii="Arial" w:hAnsi="Arial" w:cs="Arial"/>
          <w:sz w:val="20"/>
          <w:szCs w:val="20"/>
        </w:rPr>
        <w:t xml:space="preserve"> infected with </w:t>
      </w:r>
      <w:proofErr w:type="spellStart"/>
      <w:r w:rsidRPr="002E6473">
        <w:rPr>
          <w:rFonts w:ascii="Arial" w:hAnsi="Arial" w:cs="Arial"/>
          <w:sz w:val="20"/>
          <w:szCs w:val="20"/>
        </w:rPr>
        <w:t>carbapenem</w:t>
      </w:r>
      <w:proofErr w:type="spellEnd"/>
      <w:r w:rsidRPr="002E6473">
        <w:rPr>
          <w:rFonts w:ascii="Arial" w:hAnsi="Arial" w:cs="Arial"/>
          <w:sz w:val="20"/>
          <w:szCs w:val="20"/>
        </w:rPr>
        <w:t xml:space="preserve">-resistant </w:t>
      </w:r>
      <w:proofErr w:type="spellStart"/>
      <w:r w:rsidRPr="002E6473">
        <w:rPr>
          <w:rFonts w:ascii="Arial" w:hAnsi="Arial" w:cs="Arial"/>
          <w:i/>
          <w:sz w:val="20"/>
          <w:szCs w:val="20"/>
        </w:rPr>
        <w:t>Enterobacteriaceae</w:t>
      </w:r>
      <w:proofErr w:type="spellEnd"/>
      <w:r w:rsidRPr="002E6473">
        <w:rPr>
          <w:rFonts w:ascii="Arial" w:hAnsi="Arial" w:cs="Arial"/>
          <w:sz w:val="20"/>
          <w:szCs w:val="20"/>
        </w:rPr>
        <w:t xml:space="preserve"> (CRE) or </w:t>
      </w:r>
      <w:proofErr w:type="spellStart"/>
      <w:r w:rsidRPr="002E6473">
        <w:rPr>
          <w:rFonts w:ascii="Arial" w:hAnsi="Arial" w:cs="Arial"/>
          <w:sz w:val="20"/>
          <w:szCs w:val="20"/>
        </w:rPr>
        <w:t>carpabenemase</w:t>
      </w:r>
      <w:proofErr w:type="spellEnd"/>
      <w:r w:rsidRPr="002E6473">
        <w:rPr>
          <w:rFonts w:ascii="Arial" w:hAnsi="Arial" w:cs="Arial"/>
          <w:sz w:val="20"/>
          <w:szCs w:val="20"/>
        </w:rPr>
        <w:t xml:space="preserve"> producing </w:t>
      </w:r>
      <w:proofErr w:type="spellStart"/>
      <w:r w:rsidRPr="002E6473">
        <w:rPr>
          <w:rFonts w:ascii="Arial" w:hAnsi="Arial" w:cs="Arial"/>
          <w:i/>
          <w:sz w:val="20"/>
          <w:szCs w:val="20"/>
        </w:rPr>
        <w:t>Enterobacteriaceae</w:t>
      </w:r>
      <w:proofErr w:type="spellEnd"/>
      <w:r w:rsidRPr="002E6473">
        <w:rPr>
          <w:rFonts w:ascii="Arial" w:hAnsi="Arial" w:cs="Arial"/>
          <w:sz w:val="20"/>
          <w:szCs w:val="20"/>
        </w:rPr>
        <w:t xml:space="preserve">. No recommendations can be made regarding when to discontinue contact precautions. </w:t>
      </w:r>
    </w:p>
    <w:p w:rsidR="007057B7" w:rsidRDefault="007057B7" w:rsidP="007057B7">
      <w:pPr>
        <w:pStyle w:val="NormalWeb"/>
        <w:tabs>
          <w:tab w:val="left" w:pos="0"/>
        </w:tabs>
        <w:spacing w:before="0" w:beforeAutospacing="0" w:after="0" w:afterAutospacing="0"/>
        <w:rPr>
          <w:rFonts w:ascii="Arial" w:hAnsi="Arial" w:cs="Arial"/>
          <w:b/>
          <w:sz w:val="20"/>
          <w:szCs w:val="20"/>
        </w:rPr>
      </w:pPr>
    </w:p>
    <w:p w:rsidR="007057B7" w:rsidRPr="002E6473" w:rsidRDefault="007057B7" w:rsidP="007057B7">
      <w:pPr>
        <w:pStyle w:val="NormalWeb"/>
        <w:tabs>
          <w:tab w:val="left" w:pos="0"/>
        </w:tabs>
        <w:spacing w:before="0" w:beforeAutospacing="0" w:after="0" w:afterAutospacing="0"/>
        <w:rPr>
          <w:rFonts w:ascii="Arial" w:hAnsi="Arial" w:cs="Arial"/>
          <w:b/>
          <w:sz w:val="20"/>
          <w:szCs w:val="20"/>
        </w:rPr>
      </w:pPr>
      <w:r w:rsidRPr="002E6473">
        <w:rPr>
          <w:rFonts w:ascii="Arial" w:hAnsi="Arial" w:cs="Arial"/>
          <w:b/>
          <w:sz w:val="20"/>
          <w:szCs w:val="20"/>
        </w:rPr>
        <w:t>Laboratory</w:t>
      </w:r>
    </w:p>
    <w:p w:rsidR="007057B7" w:rsidRDefault="007057B7" w:rsidP="007057B7">
      <w:pPr>
        <w:pStyle w:val="NormalWeb"/>
        <w:numPr>
          <w:ilvl w:val="0"/>
          <w:numId w:val="1"/>
        </w:numPr>
        <w:tabs>
          <w:tab w:val="left" w:pos="0"/>
        </w:tabs>
        <w:spacing w:before="0" w:beforeAutospacing="0" w:after="0" w:afterAutospacing="0"/>
        <w:ind w:left="360"/>
        <w:rPr>
          <w:rFonts w:ascii="Arial" w:hAnsi="Arial" w:cs="Arial"/>
          <w:b/>
          <w:sz w:val="20"/>
          <w:szCs w:val="20"/>
        </w:rPr>
      </w:pPr>
      <w:r w:rsidRPr="002E6473">
        <w:rPr>
          <w:rFonts w:ascii="Arial" w:hAnsi="Arial" w:cs="Arial"/>
          <w:sz w:val="20"/>
          <w:szCs w:val="20"/>
        </w:rPr>
        <w:t>Clinical microbiology laboratories should follow Clinical and Laboratory Standards Institute guidelines for susc</w:t>
      </w:r>
      <w:r>
        <w:rPr>
          <w:rFonts w:ascii="Arial" w:hAnsi="Arial" w:cs="Arial"/>
          <w:sz w:val="20"/>
          <w:szCs w:val="20"/>
        </w:rPr>
        <w:t>eptibility testing (1</w:t>
      </w:r>
      <w:r w:rsidRPr="002E6473">
        <w:rPr>
          <w:rFonts w:ascii="Arial" w:hAnsi="Arial" w:cs="Arial"/>
          <w:sz w:val="20"/>
          <w:szCs w:val="20"/>
        </w:rPr>
        <w:t xml:space="preserve">) and establish a protocol for detection of </w:t>
      </w:r>
      <w:proofErr w:type="spellStart"/>
      <w:r w:rsidRPr="002E6473">
        <w:rPr>
          <w:rFonts w:ascii="Arial" w:hAnsi="Arial" w:cs="Arial"/>
          <w:sz w:val="20"/>
          <w:szCs w:val="20"/>
        </w:rPr>
        <w:t>carbapenemase</w:t>
      </w:r>
      <w:proofErr w:type="spellEnd"/>
      <w:r w:rsidRPr="002E6473">
        <w:rPr>
          <w:rFonts w:ascii="Arial" w:hAnsi="Arial" w:cs="Arial"/>
          <w:sz w:val="20"/>
          <w:szCs w:val="20"/>
        </w:rPr>
        <w:t xml:space="preserve"> production (performance of the modified Hodge test) </w:t>
      </w:r>
    </w:p>
    <w:p w:rsidR="007057B7" w:rsidRPr="00E02576" w:rsidRDefault="007057B7" w:rsidP="007057B7">
      <w:pPr>
        <w:pStyle w:val="NormalWeb"/>
        <w:tabs>
          <w:tab w:val="left" w:pos="0"/>
        </w:tabs>
        <w:spacing w:before="0" w:beforeAutospacing="0" w:after="0" w:afterAutospacing="0"/>
        <w:rPr>
          <w:rFonts w:ascii="Arial" w:hAnsi="Arial" w:cs="Arial"/>
          <w:b/>
          <w:sz w:val="20"/>
          <w:szCs w:val="20"/>
        </w:rPr>
      </w:pPr>
    </w:p>
    <w:p w:rsidR="007057B7" w:rsidRPr="002E6473" w:rsidRDefault="007057B7" w:rsidP="007057B7">
      <w:pPr>
        <w:pStyle w:val="NormalWeb"/>
        <w:numPr>
          <w:ilvl w:val="0"/>
          <w:numId w:val="1"/>
        </w:numPr>
        <w:tabs>
          <w:tab w:val="left" w:pos="0"/>
        </w:tabs>
        <w:spacing w:before="0" w:beforeAutospacing="0"/>
        <w:ind w:left="360"/>
        <w:rPr>
          <w:rFonts w:ascii="Arial" w:hAnsi="Arial" w:cs="Arial"/>
          <w:b/>
          <w:sz w:val="20"/>
          <w:szCs w:val="20"/>
        </w:rPr>
      </w:pPr>
      <w:r w:rsidRPr="002E6473">
        <w:rPr>
          <w:rFonts w:ascii="Arial" w:hAnsi="Arial" w:cs="Arial"/>
          <w:sz w:val="20"/>
          <w:szCs w:val="20"/>
        </w:rPr>
        <w:t xml:space="preserve">Clinical microbiology laboratories should establish systems to ensure prompt notification of infection prevention staff of all </w:t>
      </w:r>
      <w:proofErr w:type="spellStart"/>
      <w:r w:rsidRPr="002D1311">
        <w:rPr>
          <w:rFonts w:ascii="Arial" w:hAnsi="Arial" w:cs="Arial"/>
          <w:i/>
          <w:sz w:val="20"/>
          <w:szCs w:val="20"/>
        </w:rPr>
        <w:t>Enterobacteriaceae</w:t>
      </w:r>
      <w:proofErr w:type="spellEnd"/>
      <w:r w:rsidRPr="002E6473">
        <w:rPr>
          <w:rFonts w:ascii="Arial" w:hAnsi="Arial" w:cs="Arial"/>
          <w:sz w:val="20"/>
          <w:szCs w:val="20"/>
        </w:rPr>
        <w:t xml:space="preserve"> isolates that are </w:t>
      </w:r>
      <w:proofErr w:type="spellStart"/>
      <w:r w:rsidRPr="002E6473">
        <w:rPr>
          <w:rFonts w:ascii="Arial" w:hAnsi="Arial" w:cs="Arial"/>
          <w:sz w:val="20"/>
          <w:szCs w:val="20"/>
        </w:rPr>
        <w:t>nonsusceptible</w:t>
      </w:r>
      <w:proofErr w:type="spellEnd"/>
      <w:r w:rsidRPr="002E6473">
        <w:rPr>
          <w:rFonts w:ascii="Arial" w:hAnsi="Arial" w:cs="Arial"/>
          <w:sz w:val="20"/>
          <w:szCs w:val="20"/>
        </w:rPr>
        <w:t xml:space="preserve"> to </w:t>
      </w:r>
      <w:proofErr w:type="spellStart"/>
      <w:r w:rsidRPr="002E6473">
        <w:rPr>
          <w:rFonts w:ascii="Arial" w:hAnsi="Arial" w:cs="Arial"/>
          <w:sz w:val="20"/>
          <w:szCs w:val="20"/>
        </w:rPr>
        <w:t>carbapenems</w:t>
      </w:r>
      <w:proofErr w:type="spellEnd"/>
      <w:r w:rsidRPr="002E6473">
        <w:rPr>
          <w:rFonts w:ascii="Arial" w:hAnsi="Arial" w:cs="Arial"/>
          <w:sz w:val="20"/>
          <w:szCs w:val="20"/>
        </w:rPr>
        <w:t xml:space="preserve"> or </w:t>
      </w:r>
      <w:proofErr w:type="spellStart"/>
      <w:r w:rsidRPr="002D1311">
        <w:rPr>
          <w:rFonts w:ascii="Arial" w:hAnsi="Arial" w:cs="Arial"/>
          <w:i/>
          <w:sz w:val="20"/>
          <w:szCs w:val="20"/>
        </w:rPr>
        <w:t>Klebsiella</w:t>
      </w:r>
      <w:proofErr w:type="spellEnd"/>
      <w:r w:rsidRPr="002D1311">
        <w:rPr>
          <w:rFonts w:ascii="Arial" w:hAnsi="Arial" w:cs="Arial"/>
          <w:i/>
          <w:sz w:val="20"/>
          <w:szCs w:val="20"/>
        </w:rPr>
        <w:t xml:space="preserve"> </w:t>
      </w:r>
      <w:proofErr w:type="spellStart"/>
      <w:r w:rsidRPr="002D1311">
        <w:rPr>
          <w:rFonts w:ascii="Arial" w:hAnsi="Arial" w:cs="Arial"/>
          <w:i/>
          <w:sz w:val="20"/>
          <w:szCs w:val="20"/>
        </w:rPr>
        <w:t>spp</w:t>
      </w:r>
      <w:proofErr w:type="spellEnd"/>
      <w:r w:rsidRPr="002D1311">
        <w:rPr>
          <w:rFonts w:ascii="Arial" w:hAnsi="Arial" w:cs="Arial"/>
          <w:i/>
          <w:sz w:val="20"/>
          <w:szCs w:val="20"/>
        </w:rPr>
        <w:t xml:space="preserve"> </w:t>
      </w:r>
      <w:r w:rsidRPr="002E6473">
        <w:rPr>
          <w:rFonts w:ascii="Arial" w:hAnsi="Arial" w:cs="Arial"/>
          <w:sz w:val="20"/>
          <w:szCs w:val="20"/>
        </w:rPr>
        <w:t xml:space="preserve">or </w:t>
      </w:r>
      <w:r w:rsidRPr="002D1311">
        <w:rPr>
          <w:rFonts w:ascii="Arial" w:hAnsi="Arial" w:cs="Arial"/>
          <w:i/>
          <w:sz w:val="20"/>
          <w:szCs w:val="20"/>
        </w:rPr>
        <w:t>Escherichia coli</w:t>
      </w:r>
      <w:r w:rsidRPr="002E6473">
        <w:rPr>
          <w:rFonts w:ascii="Arial" w:hAnsi="Arial" w:cs="Arial"/>
          <w:sz w:val="20"/>
          <w:szCs w:val="20"/>
        </w:rPr>
        <w:t xml:space="preserve"> isolates that test positive for </w:t>
      </w:r>
      <w:proofErr w:type="spellStart"/>
      <w:r w:rsidRPr="002E6473">
        <w:rPr>
          <w:rFonts w:ascii="Arial" w:hAnsi="Arial" w:cs="Arial"/>
          <w:sz w:val="20"/>
          <w:szCs w:val="20"/>
        </w:rPr>
        <w:t>carbapenemase</w:t>
      </w:r>
      <w:proofErr w:type="spellEnd"/>
      <w:r w:rsidRPr="002E6473">
        <w:rPr>
          <w:rFonts w:ascii="Arial" w:hAnsi="Arial" w:cs="Arial"/>
          <w:sz w:val="20"/>
          <w:szCs w:val="20"/>
        </w:rPr>
        <w:t xml:space="preserve"> </w:t>
      </w:r>
    </w:p>
    <w:p w:rsidR="007057B7" w:rsidRDefault="007057B7" w:rsidP="007057B7">
      <w:pPr>
        <w:pStyle w:val="NormalWeb"/>
        <w:tabs>
          <w:tab w:val="left" w:pos="0"/>
        </w:tabs>
        <w:spacing w:before="0" w:beforeAutospacing="0" w:after="0" w:afterAutospacing="0"/>
        <w:rPr>
          <w:rFonts w:ascii="Arial" w:hAnsi="Arial" w:cs="Arial"/>
          <w:b/>
          <w:sz w:val="20"/>
          <w:szCs w:val="20"/>
        </w:rPr>
      </w:pPr>
      <w:r w:rsidRPr="002E6473">
        <w:rPr>
          <w:rFonts w:ascii="Arial" w:hAnsi="Arial" w:cs="Arial"/>
          <w:b/>
          <w:sz w:val="20"/>
          <w:szCs w:val="20"/>
        </w:rPr>
        <w:t xml:space="preserve">Surveillance </w:t>
      </w:r>
    </w:p>
    <w:p w:rsidR="007057B7" w:rsidRPr="002E6473" w:rsidRDefault="007057B7" w:rsidP="007057B7">
      <w:pPr>
        <w:pStyle w:val="NormalWeb"/>
        <w:numPr>
          <w:ilvl w:val="0"/>
          <w:numId w:val="2"/>
        </w:numPr>
        <w:tabs>
          <w:tab w:val="left" w:pos="0"/>
        </w:tabs>
        <w:spacing w:before="0" w:beforeAutospacing="0" w:after="0" w:afterAutospacing="0"/>
        <w:ind w:left="360"/>
        <w:rPr>
          <w:rFonts w:ascii="Arial" w:hAnsi="Arial" w:cs="Arial"/>
          <w:b/>
          <w:sz w:val="20"/>
          <w:szCs w:val="20"/>
        </w:rPr>
      </w:pPr>
      <w:r w:rsidRPr="002E6473">
        <w:rPr>
          <w:rFonts w:ascii="Arial" w:hAnsi="Arial" w:cs="Arial"/>
          <w:sz w:val="20"/>
          <w:szCs w:val="20"/>
        </w:rPr>
        <w:t>All acute care facilities should review clinical culture results for the preceding 6-12 months to determine whether previously unrecognized CRE have bee</w:t>
      </w:r>
      <w:r>
        <w:rPr>
          <w:rFonts w:ascii="Arial" w:hAnsi="Arial" w:cs="Arial"/>
          <w:sz w:val="20"/>
          <w:szCs w:val="20"/>
        </w:rPr>
        <w:t>n</w:t>
      </w:r>
      <w:r w:rsidRPr="002E6473">
        <w:rPr>
          <w:rFonts w:ascii="Arial" w:hAnsi="Arial" w:cs="Arial"/>
          <w:sz w:val="20"/>
          <w:szCs w:val="20"/>
        </w:rPr>
        <w:t xml:space="preserve"> present in the facility</w:t>
      </w:r>
    </w:p>
    <w:p w:rsidR="007057B7" w:rsidRPr="002E6473" w:rsidRDefault="007057B7" w:rsidP="007057B7">
      <w:pPr>
        <w:pStyle w:val="NormalWeb"/>
        <w:tabs>
          <w:tab w:val="left" w:pos="0"/>
        </w:tabs>
        <w:spacing w:before="0" w:beforeAutospacing="0" w:after="0" w:afterAutospacing="0"/>
        <w:rPr>
          <w:rFonts w:ascii="Arial" w:hAnsi="Arial" w:cs="Arial"/>
          <w:sz w:val="20"/>
          <w:szCs w:val="20"/>
        </w:rPr>
      </w:pPr>
    </w:p>
    <w:p w:rsidR="007057B7" w:rsidRDefault="007057B7" w:rsidP="007057B7">
      <w:pPr>
        <w:pStyle w:val="NormalWeb"/>
        <w:numPr>
          <w:ilvl w:val="1"/>
          <w:numId w:val="2"/>
        </w:numPr>
        <w:tabs>
          <w:tab w:val="left" w:pos="0"/>
        </w:tabs>
        <w:spacing w:before="0" w:beforeAutospacing="0" w:after="0" w:afterAutospacing="0"/>
        <w:ind w:left="720"/>
        <w:rPr>
          <w:rFonts w:ascii="Arial" w:hAnsi="Arial" w:cs="Arial"/>
          <w:sz w:val="20"/>
          <w:szCs w:val="20"/>
        </w:rPr>
      </w:pPr>
      <w:r w:rsidRPr="002E6473">
        <w:rPr>
          <w:rFonts w:ascii="Arial" w:hAnsi="Arial" w:cs="Arial"/>
          <w:sz w:val="20"/>
          <w:szCs w:val="20"/>
        </w:rPr>
        <w:t>If this review identifies previously unrecognized CRE, a point prevalence survey (a single round of active surveillance cultures) should be preformed to look for CRE in high-risk units (</w:t>
      </w:r>
      <w:proofErr w:type="spellStart"/>
      <w:r w:rsidRPr="002E6473">
        <w:rPr>
          <w:rFonts w:ascii="Arial" w:hAnsi="Arial" w:cs="Arial"/>
          <w:sz w:val="20"/>
          <w:szCs w:val="20"/>
        </w:rPr>
        <w:t>e.g</w:t>
      </w:r>
      <w:proofErr w:type="spellEnd"/>
      <w:r w:rsidRPr="002E6473">
        <w:rPr>
          <w:rFonts w:ascii="Arial" w:hAnsi="Arial" w:cs="Arial"/>
          <w:sz w:val="20"/>
          <w:szCs w:val="20"/>
        </w:rPr>
        <w:t xml:space="preserve">: </w:t>
      </w:r>
      <w:proofErr w:type="spellStart"/>
      <w:r w:rsidRPr="002E6473">
        <w:rPr>
          <w:rFonts w:ascii="Arial" w:hAnsi="Arial" w:cs="Arial"/>
          <w:sz w:val="20"/>
          <w:szCs w:val="20"/>
        </w:rPr>
        <w:t>instensive</w:t>
      </w:r>
      <w:proofErr w:type="spellEnd"/>
      <w:r w:rsidRPr="002E6473">
        <w:rPr>
          <w:rFonts w:ascii="Arial" w:hAnsi="Arial" w:cs="Arial"/>
          <w:sz w:val="20"/>
          <w:szCs w:val="20"/>
        </w:rPr>
        <w:t xml:space="preserve"> care units, units where previous cases have been identified and units where many patients are exposed to broad-spectrum </w:t>
      </w:r>
      <w:r>
        <w:rPr>
          <w:rFonts w:ascii="Arial" w:hAnsi="Arial" w:cs="Arial"/>
          <w:sz w:val="20"/>
          <w:szCs w:val="20"/>
        </w:rPr>
        <w:t>anti</w:t>
      </w:r>
      <w:r w:rsidRPr="002E6473">
        <w:rPr>
          <w:rFonts w:ascii="Arial" w:hAnsi="Arial" w:cs="Arial"/>
          <w:sz w:val="20"/>
          <w:szCs w:val="20"/>
        </w:rPr>
        <w:t xml:space="preserve">microbials). </w:t>
      </w:r>
    </w:p>
    <w:p w:rsidR="007057B7" w:rsidRPr="00E02576" w:rsidRDefault="007057B7" w:rsidP="007057B7">
      <w:pPr>
        <w:pStyle w:val="NormalWeb"/>
        <w:tabs>
          <w:tab w:val="left" w:pos="0"/>
        </w:tabs>
        <w:spacing w:before="0" w:beforeAutospacing="0" w:after="0" w:afterAutospacing="0"/>
        <w:ind w:left="720"/>
        <w:rPr>
          <w:rFonts w:ascii="Arial" w:hAnsi="Arial" w:cs="Arial"/>
          <w:sz w:val="20"/>
          <w:szCs w:val="20"/>
        </w:rPr>
      </w:pPr>
    </w:p>
    <w:p w:rsidR="007057B7" w:rsidRPr="002E6473" w:rsidRDefault="007057B7" w:rsidP="007057B7">
      <w:pPr>
        <w:pStyle w:val="NormalWeb"/>
        <w:numPr>
          <w:ilvl w:val="1"/>
          <w:numId w:val="2"/>
        </w:numPr>
        <w:tabs>
          <w:tab w:val="left" w:pos="0"/>
        </w:tabs>
        <w:spacing w:before="0" w:beforeAutospacing="0" w:after="0" w:afterAutospacing="0"/>
        <w:ind w:left="720"/>
        <w:rPr>
          <w:rFonts w:ascii="Arial" w:hAnsi="Arial" w:cs="Arial"/>
          <w:b/>
          <w:sz w:val="20"/>
          <w:szCs w:val="20"/>
        </w:rPr>
      </w:pPr>
      <w:r w:rsidRPr="002E6473">
        <w:rPr>
          <w:rFonts w:ascii="Arial" w:hAnsi="Arial" w:cs="Arial"/>
          <w:sz w:val="20"/>
          <w:szCs w:val="20"/>
        </w:rPr>
        <w:t>If this review does not identify previously unrecognized CRE, monitoring for clinical infections should be continued.</w:t>
      </w:r>
      <w:r w:rsidRPr="002E6473">
        <w:rPr>
          <w:rFonts w:ascii="Arial" w:hAnsi="Arial" w:cs="Arial"/>
          <w:b/>
          <w:sz w:val="20"/>
          <w:szCs w:val="20"/>
        </w:rPr>
        <w:t xml:space="preserve"> </w:t>
      </w:r>
    </w:p>
    <w:p w:rsidR="007057B7" w:rsidRPr="002E6473" w:rsidRDefault="007057B7" w:rsidP="007057B7">
      <w:pPr>
        <w:pStyle w:val="NormalWeb"/>
        <w:tabs>
          <w:tab w:val="left" w:pos="0"/>
        </w:tabs>
        <w:spacing w:before="0" w:beforeAutospacing="0" w:after="0" w:afterAutospacing="0"/>
        <w:rPr>
          <w:rFonts w:ascii="Arial" w:hAnsi="Arial" w:cs="Arial"/>
          <w:b/>
          <w:sz w:val="20"/>
          <w:szCs w:val="20"/>
        </w:rPr>
      </w:pPr>
    </w:p>
    <w:p w:rsidR="007057B7" w:rsidRPr="00E02576" w:rsidRDefault="007057B7" w:rsidP="007057B7">
      <w:pPr>
        <w:pStyle w:val="NormalWeb"/>
        <w:numPr>
          <w:ilvl w:val="0"/>
          <w:numId w:val="2"/>
        </w:numPr>
        <w:tabs>
          <w:tab w:val="left" w:pos="0"/>
        </w:tabs>
        <w:spacing w:before="0" w:beforeAutospacing="0" w:after="0" w:afterAutospacing="0"/>
        <w:ind w:left="360"/>
        <w:rPr>
          <w:rFonts w:ascii="Arial" w:hAnsi="Arial" w:cs="Arial"/>
          <w:b/>
          <w:sz w:val="20"/>
          <w:szCs w:val="20"/>
        </w:rPr>
      </w:pPr>
      <w:r w:rsidRPr="002E6473">
        <w:rPr>
          <w:rFonts w:ascii="Arial" w:hAnsi="Arial" w:cs="Arial"/>
          <w:sz w:val="20"/>
          <w:szCs w:val="20"/>
        </w:rPr>
        <w:t xml:space="preserve">If CRE </w:t>
      </w:r>
      <w:r>
        <w:rPr>
          <w:rFonts w:ascii="Arial" w:hAnsi="Arial" w:cs="Arial"/>
          <w:sz w:val="20"/>
          <w:szCs w:val="20"/>
        </w:rPr>
        <w:t>or</w:t>
      </w:r>
      <w:r w:rsidRPr="002E6473">
        <w:rPr>
          <w:rFonts w:ascii="Arial" w:hAnsi="Arial" w:cs="Arial"/>
          <w:sz w:val="20"/>
          <w:szCs w:val="20"/>
        </w:rPr>
        <w:t xml:space="preserve"> </w:t>
      </w:r>
      <w:proofErr w:type="spellStart"/>
      <w:r w:rsidRPr="002E6473">
        <w:rPr>
          <w:rFonts w:ascii="Arial" w:hAnsi="Arial" w:cs="Arial"/>
          <w:sz w:val="20"/>
          <w:szCs w:val="20"/>
        </w:rPr>
        <w:t>carbapenemase</w:t>
      </w:r>
      <w:proofErr w:type="spellEnd"/>
      <w:r w:rsidRPr="002E6473">
        <w:rPr>
          <w:rFonts w:ascii="Arial" w:hAnsi="Arial" w:cs="Arial"/>
          <w:sz w:val="20"/>
          <w:szCs w:val="20"/>
        </w:rPr>
        <w:t xml:space="preserve">-producing </w:t>
      </w:r>
      <w:proofErr w:type="spellStart"/>
      <w:r w:rsidRPr="002D1311">
        <w:rPr>
          <w:rFonts w:ascii="Arial" w:hAnsi="Arial" w:cs="Arial"/>
          <w:i/>
          <w:sz w:val="20"/>
          <w:szCs w:val="20"/>
        </w:rPr>
        <w:t>Klebsiella</w:t>
      </w:r>
      <w:proofErr w:type="spellEnd"/>
      <w:r w:rsidRPr="002D1311">
        <w:rPr>
          <w:rFonts w:ascii="Arial" w:hAnsi="Arial" w:cs="Arial"/>
          <w:i/>
          <w:sz w:val="20"/>
          <w:szCs w:val="20"/>
        </w:rPr>
        <w:t xml:space="preserve"> spp</w:t>
      </w:r>
      <w:r w:rsidRPr="002E6473">
        <w:rPr>
          <w:rFonts w:ascii="Arial" w:hAnsi="Arial" w:cs="Arial"/>
          <w:sz w:val="20"/>
          <w:szCs w:val="20"/>
        </w:rPr>
        <w:t xml:space="preserve">. or </w:t>
      </w:r>
      <w:r w:rsidRPr="002D1311">
        <w:rPr>
          <w:rFonts w:ascii="Arial" w:hAnsi="Arial" w:cs="Arial"/>
          <w:i/>
          <w:sz w:val="20"/>
          <w:szCs w:val="20"/>
        </w:rPr>
        <w:t>E coli</w:t>
      </w:r>
      <w:r w:rsidRPr="002E6473">
        <w:rPr>
          <w:rFonts w:ascii="Arial" w:hAnsi="Arial" w:cs="Arial"/>
          <w:sz w:val="20"/>
          <w:szCs w:val="20"/>
        </w:rPr>
        <w:t xml:space="preserve"> are detected from one or more clinical cultures </w:t>
      </w:r>
      <w:r w:rsidRPr="002E6473">
        <w:rPr>
          <w:rFonts w:ascii="Arial" w:hAnsi="Arial" w:cs="Arial"/>
          <w:b/>
          <w:sz w:val="20"/>
          <w:szCs w:val="20"/>
        </w:rPr>
        <w:t xml:space="preserve">OR </w:t>
      </w:r>
      <w:r w:rsidRPr="002E6473">
        <w:rPr>
          <w:rFonts w:ascii="Arial" w:hAnsi="Arial" w:cs="Arial"/>
          <w:sz w:val="20"/>
          <w:szCs w:val="20"/>
        </w:rPr>
        <w:t xml:space="preserve">if the point prevalence survey reveals unrecognized colonization, the facility should investigate for possible transmission by: </w:t>
      </w:r>
    </w:p>
    <w:p w:rsidR="007057B7" w:rsidRPr="002E6473" w:rsidRDefault="007057B7" w:rsidP="007057B7">
      <w:pPr>
        <w:pStyle w:val="NormalWeb"/>
        <w:tabs>
          <w:tab w:val="left" w:pos="0"/>
        </w:tabs>
        <w:spacing w:before="0" w:beforeAutospacing="0" w:after="0" w:afterAutospacing="0"/>
        <w:ind w:left="360"/>
        <w:rPr>
          <w:rFonts w:ascii="Arial" w:hAnsi="Arial" w:cs="Arial"/>
          <w:b/>
          <w:sz w:val="20"/>
          <w:szCs w:val="20"/>
        </w:rPr>
      </w:pPr>
    </w:p>
    <w:p w:rsidR="007057B7" w:rsidRPr="002E6473" w:rsidRDefault="007057B7" w:rsidP="007057B7">
      <w:pPr>
        <w:pStyle w:val="NormalWeb"/>
        <w:numPr>
          <w:ilvl w:val="1"/>
          <w:numId w:val="2"/>
        </w:numPr>
        <w:tabs>
          <w:tab w:val="left" w:pos="0"/>
        </w:tabs>
        <w:spacing w:before="0" w:beforeAutospacing="0" w:after="0" w:afterAutospacing="0"/>
        <w:ind w:left="720"/>
        <w:rPr>
          <w:rFonts w:ascii="Arial" w:hAnsi="Arial" w:cs="Arial"/>
          <w:b/>
          <w:sz w:val="20"/>
          <w:szCs w:val="20"/>
        </w:rPr>
      </w:pPr>
      <w:r w:rsidRPr="002E6473">
        <w:rPr>
          <w:rFonts w:ascii="Arial" w:hAnsi="Arial" w:cs="Arial"/>
          <w:sz w:val="20"/>
          <w:szCs w:val="20"/>
        </w:rPr>
        <w:t>Conducing active surveillance testing of patients with epidemiological links to a patient with CRE infection (e.g., patients in the same unit or who have been cared for by the same health professional )</w:t>
      </w:r>
    </w:p>
    <w:p w:rsidR="007057B7" w:rsidRPr="002E6473" w:rsidRDefault="007057B7" w:rsidP="007057B7">
      <w:pPr>
        <w:pStyle w:val="NormalWeb"/>
        <w:tabs>
          <w:tab w:val="left" w:pos="0"/>
        </w:tabs>
        <w:spacing w:before="0" w:beforeAutospacing="0" w:after="0" w:afterAutospacing="0"/>
        <w:ind w:left="1440"/>
        <w:rPr>
          <w:rFonts w:ascii="Arial" w:hAnsi="Arial" w:cs="Arial"/>
          <w:b/>
          <w:sz w:val="20"/>
          <w:szCs w:val="20"/>
        </w:rPr>
      </w:pPr>
    </w:p>
    <w:p w:rsidR="007057B7" w:rsidRPr="002E6473" w:rsidRDefault="007057B7" w:rsidP="007057B7">
      <w:pPr>
        <w:pStyle w:val="NormalWeb"/>
        <w:numPr>
          <w:ilvl w:val="2"/>
          <w:numId w:val="2"/>
        </w:numPr>
        <w:tabs>
          <w:tab w:val="left" w:pos="0"/>
        </w:tabs>
        <w:spacing w:before="0" w:beforeAutospacing="0" w:after="0" w:afterAutospacing="0"/>
        <w:ind w:left="1080"/>
        <w:rPr>
          <w:rFonts w:ascii="Arial" w:hAnsi="Arial" w:cs="Arial"/>
          <w:b/>
          <w:sz w:val="20"/>
          <w:szCs w:val="20"/>
        </w:rPr>
      </w:pPr>
      <w:r w:rsidRPr="002E6473">
        <w:rPr>
          <w:rFonts w:ascii="Arial" w:hAnsi="Arial" w:cs="Arial"/>
          <w:sz w:val="20"/>
          <w:szCs w:val="20"/>
        </w:rPr>
        <w:t>Continue active surveillance periodically (</w:t>
      </w:r>
      <w:proofErr w:type="spellStart"/>
      <w:r w:rsidRPr="002E6473">
        <w:rPr>
          <w:rFonts w:ascii="Arial" w:hAnsi="Arial" w:cs="Arial"/>
          <w:sz w:val="20"/>
          <w:szCs w:val="20"/>
        </w:rPr>
        <w:t>e.g</w:t>
      </w:r>
      <w:proofErr w:type="spellEnd"/>
      <w:r w:rsidRPr="002E6473">
        <w:rPr>
          <w:rFonts w:ascii="Arial" w:hAnsi="Arial" w:cs="Arial"/>
          <w:sz w:val="20"/>
          <w:szCs w:val="20"/>
        </w:rPr>
        <w:t>, weekly) until no new colonization or infection suggesting cross- transmission are identified</w:t>
      </w:r>
    </w:p>
    <w:p w:rsidR="007057B7" w:rsidRPr="002E6473" w:rsidRDefault="007057B7" w:rsidP="007057B7">
      <w:pPr>
        <w:pStyle w:val="NormalWeb"/>
        <w:tabs>
          <w:tab w:val="left" w:pos="0"/>
        </w:tabs>
        <w:spacing w:before="0" w:beforeAutospacing="0" w:after="0" w:afterAutospacing="0"/>
        <w:ind w:left="1440"/>
        <w:rPr>
          <w:rFonts w:ascii="Arial" w:hAnsi="Arial" w:cs="Arial"/>
          <w:b/>
          <w:sz w:val="20"/>
          <w:szCs w:val="20"/>
        </w:rPr>
      </w:pPr>
    </w:p>
    <w:p w:rsidR="007057B7" w:rsidRPr="002E6473" w:rsidRDefault="007057B7" w:rsidP="007057B7">
      <w:pPr>
        <w:pStyle w:val="NormalWeb"/>
        <w:numPr>
          <w:ilvl w:val="2"/>
          <w:numId w:val="2"/>
        </w:numPr>
        <w:tabs>
          <w:tab w:val="left" w:pos="0"/>
        </w:tabs>
        <w:spacing w:before="0" w:beforeAutospacing="0" w:after="0" w:afterAutospacing="0"/>
        <w:ind w:left="1080"/>
        <w:rPr>
          <w:rFonts w:ascii="Arial" w:hAnsi="Arial" w:cs="Arial"/>
          <w:b/>
          <w:sz w:val="20"/>
          <w:szCs w:val="20"/>
        </w:rPr>
      </w:pPr>
      <w:r w:rsidRPr="002E6473">
        <w:rPr>
          <w:rFonts w:ascii="Arial" w:hAnsi="Arial" w:cs="Arial"/>
          <w:sz w:val="20"/>
          <w:szCs w:val="20"/>
        </w:rPr>
        <w:t xml:space="preserve">If transmission of CRE is not identified after repeated surveillance testing, consider altering the surveillance strategy by performing periodic point prevalence surveys in high-risk units. </w:t>
      </w:r>
    </w:p>
    <w:p w:rsidR="007057B7" w:rsidRPr="002E6473" w:rsidRDefault="007057B7" w:rsidP="007057B7">
      <w:pPr>
        <w:pStyle w:val="NormalWeb"/>
        <w:tabs>
          <w:tab w:val="left" w:pos="0"/>
        </w:tabs>
        <w:spacing w:before="0" w:beforeAutospacing="0" w:after="0" w:afterAutospacing="0"/>
        <w:ind w:left="1440"/>
        <w:rPr>
          <w:rFonts w:ascii="Arial" w:hAnsi="Arial" w:cs="Arial"/>
          <w:b/>
          <w:sz w:val="20"/>
          <w:szCs w:val="20"/>
        </w:rPr>
      </w:pPr>
    </w:p>
    <w:p w:rsidR="007057B7" w:rsidRPr="00E02576" w:rsidRDefault="007057B7" w:rsidP="007057B7">
      <w:pPr>
        <w:pStyle w:val="NormalWeb"/>
        <w:numPr>
          <w:ilvl w:val="1"/>
          <w:numId w:val="2"/>
        </w:numPr>
        <w:tabs>
          <w:tab w:val="left" w:pos="0"/>
        </w:tabs>
        <w:spacing w:before="0" w:beforeAutospacing="0" w:after="0" w:afterAutospacing="0"/>
        <w:ind w:left="720"/>
        <w:rPr>
          <w:b/>
        </w:rPr>
      </w:pPr>
      <w:r w:rsidRPr="002E6473">
        <w:rPr>
          <w:rFonts w:ascii="Arial" w:hAnsi="Arial" w:cs="Arial"/>
          <w:sz w:val="20"/>
          <w:szCs w:val="20"/>
        </w:rPr>
        <w:t>In areas where CRE are endemic an increased likelihood exists for importation of CRE, and the procedures outlined might not be sufficient to prevent transmission. Facilities in such areas should monitor clinical cases and consider additional strategies to reduce rates of CRE as describ</w:t>
      </w:r>
      <w:r>
        <w:rPr>
          <w:rFonts w:ascii="Arial" w:hAnsi="Arial" w:cs="Arial"/>
          <w:sz w:val="20"/>
          <w:szCs w:val="20"/>
        </w:rPr>
        <w:t>e</w:t>
      </w:r>
      <w:r w:rsidRPr="002E6473">
        <w:rPr>
          <w:rFonts w:ascii="Arial" w:hAnsi="Arial" w:cs="Arial"/>
          <w:sz w:val="20"/>
          <w:szCs w:val="20"/>
        </w:rPr>
        <w:t xml:space="preserve">d in the 2006 Tier 2 guidelines for management of multi-drug resistant organisms in health-care settings (2). Recommendations for rate calculations have been described previously (3). </w:t>
      </w:r>
    </w:p>
    <w:p w:rsidR="007057B7" w:rsidRDefault="007057B7" w:rsidP="007057B7">
      <w:pPr>
        <w:pStyle w:val="NormalWeb"/>
        <w:tabs>
          <w:tab w:val="left" w:pos="0"/>
        </w:tabs>
        <w:spacing w:before="0" w:beforeAutospacing="0" w:after="0" w:afterAutospacing="0"/>
        <w:rPr>
          <w:b/>
        </w:rPr>
      </w:pPr>
    </w:p>
    <w:p w:rsidR="003C44DE" w:rsidRDefault="003C44DE" w:rsidP="007057B7">
      <w:pPr>
        <w:pStyle w:val="NormalWeb"/>
        <w:tabs>
          <w:tab w:val="left" w:pos="0"/>
        </w:tabs>
        <w:spacing w:before="0" w:beforeAutospacing="0" w:after="0" w:afterAutospacing="0"/>
        <w:rPr>
          <w:b/>
        </w:rPr>
      </w:pPr>
    </w:p>
    <w:p w:rsidR="007057B7" w:rsidRDefault="007057B7" w:rsidP="007057B7">
      <w:pPr>
        <w:pStyle w:val="NormalWeb"/>
        <w:tabs>
          <w:tab w:val="left" w:pos="0"/>
        </w:tabs>
        <w:spacing w:before="0" w:beforeAutospacing="0" w:after="0" w:afterAutospacing="0"/>
        <w:rPr>
          <w:rFonts w:ascii="Arial" w:hAnsi="Arial" w:cs="Arial"/>
          <w:b/>
          <w:sz w:val="20"/>
          <w:szCs w:val="20"/>
        </w:rPr>
      </w:pPr>
      <w:r>
        <w:rPr>
          <w:rFonts w:ascii="Arial" w:hAnsi="Arial" w:cs="Arial"/>
          <w:b/>
          <w:sz w:val="20"/>
          <w:szCs w:val="20"/>
        </w:rPr>
        <w:t xml:space="preserve">References: </w:t>
      </w:r>
    </w:p>
    <w:p w:rsidR="007057B7" w:rsidRDefault="007057B7" w:rsidP="007057B7">
      <w:pPr>
        <w:pStyle w:val="NormalWeb"/>
        <w:tabs>
          <w:tab w:val="left" w:pos="0"/>
        </w:tabs>
        <w:spacing w:before="0" w:beforeAutospacing="0" w:after="0" w:afterAutospacing="0"/>
        <w:rPr>
          <w:rFonts w:ascii="Arial" w:hAnsi="Arial" w:cs="Arial"/>
          <w:sz w:val="20"/>
          <w:szCs w:val="20"/>
        </w:rPr>
      </w:pPr>
      <w:r>
        <w:rPr>
          <w:rFonts w:ascii="Arial" w:hAnsi="Arial" w:cs="Arial"/>
          <w:sz w:val="20"/>
          <w:szCs w:val="20"/>
        </w:rPr>
        <w:lastRenderedPageBreak/>
        <w:t xml:space="preserve">1. Clinical and Laboratory Standards Institute. </w:t>
      </w:r>
      <w:proofErr w:type="gramStart"/>
      <w:r>
        <w:rPr>
          <w:rFonts w:ascii="Arial" w:hAnsi="Arial" w:cs="Arial"/>
          <w:sz w:val="20"/>
          <w:szCs w:val="20"/>
        </w:rPr>
        <w:t>2009 performance standards for antimicrobial susceptibility testing.</w:t>
      </w:r>
      <w:proofErr w:type="gramEnd"/>
      <w:r>
        <w:rPr>
          <w:rFonts w:ascii="Arial" w:hAnsi="Arial" w:cs="Arial"/>
          <w:sz w:val="20"/>
          <w:szCs w:val="20"/>
        </w:rPr>
        <w:t xml:space="preserve"> Nineteenth information </w:t>
      </w:r>
      <w:proofErr w:type="gramStart"/>
      <w:r>
        <w:rPr>
          <w:rFonts w:ascii="Arial" w:hAnsi="Arial" w:cs="Arial"/>
          <w:sz w:val="20"/>
          <w:szCs w:val="20"/>
        </w:rPr>
        <w:t>supplement</w:t>
      </w:r>
      <w:proofErr w:type="gramEnd"/>
      <w:r>
        <w:rPr>
          <w:rFonts w:ascii="Arial" w:hAnsi="Arial" w:cs="Arial"/>
          <w:sz w:val="20"/>
          <w:szCs w:val="20"/>
        </w:rPr>
        <w:t xml:space="preserve"> (M100 – S19). Wayne, PA: Clinical and Laboratory Standards Institute; 2009. </w:t>
      </w:r>
    </w:p>
    <w:p w:rsidR="007057B7" w:rsidRDefault="007057B7" w:rsidP="007057B7">
      <w:pPr>
        <w:pStyle w:val="NormalWeb"/>
        <w:tabs>
          <w:tab w:val="left" w:pos="0"/>
        </w:tabs>
        <w:spacing w:before="0" w:beforeAutospacing="0" w:after="0" w:afterAutospacing="0"/>
        <w:rPr>
          <w:rFonts w:ascii="Arial" w:hAnsi="Arial" w:cs="Arial"/>
          <w:sz w:val="20"/>
          <w:szCs w:val="20"/>
        </w:rPr>
      </w:pPr>
    </w:p>
    <w:p w:rsidR="007057B7" w:rsidRDefault="007057B7" w:rsidP="007057B7">
      <w:pPr>
        <w:pStyle w:val="NormalWeb"/>
        <w:tabs>
          <w:tab w:val="left" w:pos="0"/>
        </w:tabs>
        <w:spacing w:before="0" w:beforeAutospacing="0" w:after="0" w:afterAutospacing="0"/>
        <w:rPr>
          <w:rFonts w:ascii="Arial" w:hAnsi="Arial" w:cs="Arial"/>
          <w:sz w:val="20"/>
          <w:szCs w:val="20"/>
        </w:rPr>
      </w:pPr>
      <w:r>
        <w:rPr>
          <w:rFonts w:ascii="Arial" w:hAnsi="Arial" w:cs="Arial"/>
          <w:sz w:val="20"/>
          <w:szCs w:val="20"/>
        </w:rPr>
        <w:t xml:space="preserve">2. CDC, Healthcare Infection Control Practices Advisory Committee. </w:t>
      </w:r>
      <w:proofErr w:type="gramStart"/>
      <w:r>
        <w:rPr>
          <w:rFonts w:ascii="Arial" w:hAnsi="Arial" w:cs="Arial"/>
          <w:sz w:val="20"/>
          <w:szCs w:val="20"/>
        </w:rPr>
        <w:t>Management of multi-drug resistant organisms in healthcare settings, 2006.</w:t>
      </w:r>
      <w:proofErr w:type="gramEnd"/>
      <w:r>
        <w:rPr>
          <w:rFonts w:ascii="Arial" w:hAnsi="Arial" w:cs="Arial"/>
          <w:sz w:val="20"/>
          <w:szCs w:val="20"/>
        </w:rPr>
        <w:t xml:space="preserve"> Atlanta, GA: US Department of Health and Human Services, CDC, Healthcare Infection Control Practices Advisory Committee; 2007. Available at </w:t>
      </w:r>
      <w:hyperlink r:id="rId7" w:history="1">
        <w:r w:rsidRPr="00626CE9">
          <w:rPr>
            <w:rStyle w:val="Hyperlink"/>
            <w:rFonts w:ascii="Arial" w:hAnsi="Arial" w:cs="Arial"/>
            <w:sz w:val="20"/>
            <w:szCs w:val="20"/>
          </w:rPr>
          <w:t>http://www.cdc.gov/ncidod/dhqp/pdf/ar/mdroguidine2006.pdf</w:t>
        </w:r>
      </w:hyperlink>
    </w:p>
    <w:p w:rsidR="007057B7" w:rsidRDefault="007057B7" w:rsidP="007057B7">
      <w:pPr>
        <w:pStyle w:val="NormalWeb"/>
        <w:tabs>
          <w:tab w:val="left" w:pos="0"/>
        </w:tabs>
        <w:spacing w:before="0" w:beforeAutospacing="0" w:after="0" w:afterAutospacing="0"/>
        <w:jc w:val="center"/>
        <w:rPr>
          <w:rFonts w:ascii="Arial" w:hAnsi="Arial" w:cs="Arial"/>
          <w:sz w:val="20"/>
          <w:szCs w:val="20"/>
        </w:rPr>
      </w:pPr>
    </w:p>
    <w:p w:rsidR="00F534D2" w:rsidRDefault="007057B7" w:rsidP="007057B7">
      <w:r>
        <w:rPr>
          <w:rFonts w:ascii="Arial" w:hAnsi="Arial" w:cs="Arial"/>
          <w:sz w:val="20"/>
          <w:szCs w:val="20"/>
        </w:rPr>
        <w:t xml:space="preserve">3. Cohen AL, </w:t>
      </w:r>
      <w:proofErr w:type="spellStart"/>
      <w:r>
        <w:rPr>
          <w:rFonts w:ascii="Arial" w:hAnsi="Arial" w:cs="Arial"/>
          <w:sz w:val="20"/>
          <w:szCs w:val="20"/>
        </w:rPr>
        <w:t>Calfee</w:t>
      </w:r>
      <w:proofErr w:type="spellEnd"/>
      <w:r>
        <w:rPr>
          <w:rFonts w:ascii="Arial" w:hAnsi="Arial" w:cs="Arial"/>
          <w:sz w:val="20"/>
          <w:szCs w:val="20"/>
        </w:rPr>
        <w:t xml:space="preserve"> D, </w:t>
      </w:r>
      <w:proofErr w:type="spellStart"/>
      <w:r>
        <w:rPr>
          <w:rFonts w:ascii="Arial" w:hAnsi="Arial" w:cs="Arial"/>
          <w:sz w:val="20"/>
          <w:szCs w:val="20"/>
        </w:rPr>
        <w:t>Fridkin</w:t>
      </w:r>
      <w:proofErr w:type="spellEnd"/>
      <w:r>
        <w:rPr>
          <w:rFonts w:ascii="Arial" w:hAnsi="Arial" w:cs="Arial"/>
          <w:sz w:val="20"/>
          <w:szCs w:val="20"/>
        </w:rPr>
        <w:t xml:space="preserve"> SK, et al. Recommendations for metrics for multidrug-resistant organisms in healthcare settings. </w:t>
      </w:r>
      <w:proofErr w:type="gramStart"/>
      <w:r>
        <w:rPr>
          <w:rFonts w:ascii="Arial" w:hAnsi="Arial" w:cs="Arial"/>
          <w:sz w:val="20"/>
          <w:szCs w:val="20"/>
        </w:rPr>
        <w:t>SHEA/HICPAC position paper.</w:t>
      </w:r>
      <w:proofErr w:type="gramEnd"/>
      <w:r>
        <w:rPr>
          <w:rFonts w:ascii="Arial" w:hAnsi="Arial" w:cs="Arial"/>
          <w:sz w:val="20"/>
          <w:szCs w:val="20"/>
        </w:rPr>
        <w:t xml:space="preserve"> Infect Control Hosp </w:t>
      </w:r>
      <w:proofErr w:type="spellStart"/>
      <w:r>
        <w:rPr>
          <w:rFonts w:ascii="Arial" w:hAnsi="Arial" w:cs="Arial"/>
          <w:sz w:val="20"/>
          <w:szCs w:val="20"/>
        </w:rPr>
        <w:t>Epidemiol</w:t>
      </w:r>
      <w:proofErr w:type="spellEnd"/>
      <w:r>
        <w:rPr>
          <w:rFonts w:ascii="Arial" w:hAnsi="Arial" w:cs="Arial"/>
          <w:sz w:val="20"/>
          <w:szCs w:val="20"/>
        </w:rPr>
        <w:t xml:space="preserve"> 2008</w:t>
      </w:r>
      <w:proofErr w:type="gramStart"/>
      <w:r>
        <w:rPr>
          <w:rFonts w:ascii="Arial" w:hAnsi="Arial" w:cs="Arial"/>
          <w:sz w:val="20"/>
          <w:szCs w:val="20"/>
        </w:rPr>
        <w:t>;29:901</w:t>
      </w:r>
      <w:proofErr w:type="gramEnd"/>
      <w:r>
        <w:rPr>
          <w:rFonts w:ascii="Arial" w:hAnsi="Arial" w:cs="Arial"/>
          <w:sz w:val="20"/>
          <w:szCs w:val="20"/>
        </w:rPr>
        <w:t>-913.</w:t>
      </w:r>
    </w:p>
    <w:sectPr w:rsidR="00F534D2" w:rsidSect="00F534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4DE" w:rsidRDefault="003C44DE" w:rsidP="003C44DE">
      <w:r>
        <w:separator/>
      </w:r>
    </w:p>
  </w:endnote>
  <w:endnote w:type="continuationSeparator" w:id="1">
    <w:p w:rsidR="003C44DE" w:rsidRDefault="003C44DE" w:rsidP="003C4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4DE" w:rsidRDefault="003C44DE" w:rsidP="003C44DE">
      <w:r>
        <w:separator/>
      </w:r>
    </w:p>
  </w:footnote>
  <w:footnote w:type="continuationSeparator" w:id="1">
    <w:p w:rsidR="003C44DE" w:rsidRDefault="003C44DE" w:rsidP="003C4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9731E"/>
    <w:multiLevelType w:val="hybridMultilevel"/>
    <w:tmpl w:val="E4F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980DD9"/>
    <w:multiLevelType w:val="hybridMultilevel"/>
    <w:tmpl w:val="23F2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0"/>
    <w:footnote w:id="1"/>
  </w:footnotePr>
  <w:endnotePr>
    <w:endnote w:id="0"/>
    <w:endnote w:id="1"/>
  </w:endnotePr>
  <w:compat/>
  <w:rsids>
    <w:rsidRoot w:val="007057B7"/>
    <w:rsid w:val="00091EF2"/>
    <w:rsid w:val="001C04B7"/>
    <w:rsid w:val="00256D38"/>
    <w:rsid w:val="00362998"/>
    <w:rsid w:val="003C44DE"/>
    <w:rsid w:val="004859E6"/>
    <w:rsid w:val="00626260"/>
    <w:rsid w:val="00672F20"/>
    <w:rsid w:val="006E7EAC"/>
    <w:rsid w:val="007057B7"/>
    <w:rsid w:val="009852BB"/>
    <w:rsid w:val="00F534D2"/>
    <w:rsid w:val="00F55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B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57B7"/>
    <w:pPr>
      <w:spacing w:before="100" w:beforeAutospacing="1" w:after="100" w:afterAutospacing="1"/>
    </w:pPr>
  </w:style>
  <w:style w:type="character" w:styleId="CommentReference">
    <w:name w:val="annotation reference"/>
    <w:basedOn w:val="DefaultParagraphFont"/>
    <w:semiHidden/>
    <w:rsid w:val="007057B7"/>
    <w:rPr>
      <w:sz w:val="16"/>
      <w:szCs w:val="16"/>
    </w:rPr>
  </w:style>
  <w:style w:type="paragraph" w:styleId="CommentText">
    <w:name w:val="annotation text"/>
    <w:basedOn w:val="Normal"/>
    <w:link w:val="CommentTextChar"/>
    <w:semiHidden/>
    <w:rsid w:val="007057B7"/>
    <w:rPr>
      <w:sz w:val="20"/>
      <w:szCs w:val="20"/>
    </w:rPr>
  </w:style>
  <w:style w:type="character" w:customStyle="1" w:styleId="CommentTextChar">
    <w:name w:val="Comment Text Char"/>
    <w:basedOn w:val="DefaultParagraphFont"/>
    <w:link w:val="CommentText"/>
    <w:semiHidden/>
    <w:rsid w:val="007057B7"/>
    <w:rPr>
      <w:rFonts w:ascii="Times New Roman" w:eastAsia="Times New Roman" w:hAnsi="Times New Roman" w:cs="Times New Roman"/>
      <w:sz w:val="20"/>
      <w:szCs w:val="20"/>
    </w:rPr>
  </w:style>
  <w:style w:type="character" w:styleId="Hyperlink">
    <w:name w:val="Hyperlink"/>
    <w:basedOn w:val="DefaultParagraphFont"/>
    <w:rsid w:val="007057B7"/>
    <w:rPr>
      <w:color w:val="0000FF"/>
      <w:u w:val="single"/>
    </w:rPr>
  </w:style>
  <w:style w:type="paragraph" w:styleId="BalloonText">
    <w:name w:val="Balloon Text"/>
    <w:basedOn w:val="Normal"/>
    <w:link w:val="BalloonTextChar"/>
    <w:uiPriority w:val="99"/>
    <w:semiHidden/>
    <w:unhideWhenUsed/>
    <w:rsid w:val="007057B7"/>
    <w:rPr>
      <w:rFonts w:ascii="Tahoma" w:hAnsi="Tahoma" w:cs="Tahoma"/>
      <w:sz w:val="16"/>
      <w:szCs w:val="16"/>
    </w:rPr>
  </w:style>
  <w:style w:type="character" w:customStyle="1" w:styleId="BalloonTextChar">
    <w:name w:val="Balloon Text Char"/>
    <w:basedOn w:val="DefaultParagraphFont"/>
    <w:link w:val="BalloonText"/>
    <w:uiPriority w:val="99"/>
    <w:semiHidden/>
    <w:rsid w:val="007057B7"/>
    <w:rPr>
      <w:rFonts w:ascii="Tahoma" w:eastAsia="Times New Roman" w:hAnsi="Tahoma" w:cs="Tahoma"/>
      <w:sz w:val="16"/>
      <w:szCs w:val="16"/>
    </w:rPr>
  </w:style>
  <w:style w:type="paragraph" w:styleId="Header">
    <w:name w:val="header"/>
    <w:basedOn w:val="Normal"/>
    <w:link w:val="HeaderChar"/>
    <w:uiPriority w:val="99"/>
    <w:semiHidden/>
    <w:unhideWhenUsed/>
    <w:rsid w:val="003C44DE"/>
    <w:pPr>
      <w:tabs>
        <w:tab w:val="center" w:pos="4680"/>
        <w:tab w:val="right" w:pos="9360"/>
      </w:tabs>
    </w:pPr>
  </w:style>
  <w:style w:type="character" w:customStyle="1" w:styleId="HeaderChar">
    <w:name w:val="Header Char"/>
    <w:basedOn w:val="DefaultParagraphFont"/>
    <w:link w:val="Header"/>
    <w:uiPriority w:val="99"/>
    <w:semiHidden/>
    <w:rsid w:val="003C44D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C44DE"/>
    <w:pPr>
      <w:tabs>
        <w:tab w:val="center" w:pos="4680"/>
        <w:tab w:val="right" w:pos="9360"/>
      </w:tabs>
    </w:pPr>
  </w:style>
  <w:style w:type="character" w:customStyle="1" w:styleId="FooterChar">
    <w:name w:val="Footer Char"/>
    <w:basedOn w:val="DefaultParagraphFont"/>
    <w:link w:val="Footer"/>
    <w:uiPriority w:val="99"/>
    <w:semiHidden/>
    <w:rsid w:val="003C44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ncidod/dhqp/pdf/ar/mdroguidine2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Company>DHHS</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william.carroll</dc:creator>
  <cp:keywords/>
  <dc:description/>
  <cp:lastModifiedBy>william.carroll</cp:lastModifiedBy>
  <cp:revision>2</cp:revision>
  <dcterms:created xsi:type="dcterms:W3CDTF">2010-05-19T17:58:00Z</dcterms:created>
  <dcterms:modified xsi:type="dcterms:W3CDTF">2010-05-19T17:58:00Z</dcterms:modified>
</cp:coreProperties>
</file>