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AE" w:rsidRDefault="00CC4AAE" w:rsidP="00CC4AAE">
      <w:pPr>
        <w:pStyle w:val="Title"/>
        <w:ind w:left="-90" w:firstLine="90"/>
        <w:rPr>
          <w:rFonts w:ascii="Times New Roman" w:hAnsi="Times New Roman"/>
          <w:bCs/>
          <w:szCs w:val="24"/>
        </w:rPr>
      </w:pPr>
    </w:p>
    <w:p w:rsidR="00CC4AAE" w:rsidRDefault="00CC4AAE" w:rsidP="00CC4AAE">
      <w:pPr>
        <w:pStyle w:val="Title"/>
        <w:ind w:left="-90" w:firstLine="90"/>
        <w:jc w:val="left"/>
        <w:rPr>
          <w:rFonts w:ascii="Times New Roman" w:hAnsi="Times New Roman"/>
          <w:bCs/>
          <w:szCs w:val="24"/>
        </w:rPr>
      </w:pPr>
      <w:r>
        <w:rPr>
          <w:rFonts w:ascii="Times New Roman" w:hAnsi="Times New Roman"/>
          <w:bCs/>
          <w:szCs w:val="24"/>
        </w:rPr>
        <w:t xml:space="preserve">  </w:t>
      </w:r>
    </w:p>
    <w:p w:rsidR="00CC4AAE" w:rsidRDefault="00CC4AAE" w:rsidP="00CC4AAE">
      <w:pPr>
        <w:pStyle w:val="Title"/>
        <w:ind w:left="-90" w:firstLine="90"/>
        <w:jc w:val="left"/>
        <w:rPr>
          <w:rFonts w:ascii="Times New Roman" w:hAnsi="Times New Roman"/>
          <w:bCs/>
          <w:szCs w:val="24"/>
        </w:rPr>
      </w:pPr>
    </w:p>
    <w:p w:rsidR="00CC4AAE" w:rsidRDefault="00CC4AAE" w:rsidP="00CC4AAE">
      <w:pPr>
        <w:pStyle w:val="Title"/>
        <w:ind w:left="-90" w:firstLine="90"/>
        <w:jc w:val="left"/>
        <w:rPr>
          <w:rFonts w:ascii="Times New Roman" w:hAnsi="Times New Roman"/>
          <w:bCs/>
          <w:sz w:val="48"/>
          <w:szCs w:val="48"/>
        </w:rPr>
      </w:pPr>
    </w:p>
    <w:p w:rsidR="00CC4AAE" w:rsidRDefault="00CC4AAE" w:rsidP="00CC4AAE">
      <w:pPr>
        <w:pStyle w:val="Title"/>
        <w:ind w:left="-90" w:firstLine="90"/>
        <w:rPr>
          <w:rFonts w:ascii="Times New Roman" w:hAnsi="Times New Roman"/>
          <w:bCs/>
          <w:sz w:val="48"/>
          <w:szCs w:val="48"/>
        </w:rPr>
      </w:pPr>
      <w:r>
        <w:rPr>
          <w:rFonts w:ascii="Times New Roman" w:hAnsi="Times New Roman"/>
          <w:bCs/>
          <w:sz w:val="48"/>
          <w:szCs w:val="48"/>
        </w:rPr>
        <w:t>SF-83-1 SUPPORTING STATEMENT</w:t>
      </w:r>
    </w:p>
    <w:p w:rsidR="00CC4AAE" w:rsidRDefault="00CC4AAE" w:rsidP="00CC4AAE">
      <w:pPr>
        <w:pStyle w:val="Title"/>
        <w:rPr>
          <w:rFonts w:ascii="Times New Roman" w:hAnsi="Times New Roman"/>
          <w:bCs/>
          <w:sz w:val="48"/>
          <w:szCs w:val="48"/>
        </w:rPr>
      </w:pPr>
    </w:p>
    <w:p w:rsidR="00CC4AAE" w:rsidRDefault="00CC4AAE" w:rsidP="00CC4AAE">
      <w:pPr>
        <w:pStyle w:val="Title"/>
        <w:ind w:left="0"/>
        <w:rPr>
          <w:rFonts w:ascii="Times New Roman" w:hAnsi="Times New Roman"/>
          <w:bCs/>
          <w:sz w:val="48"/>
          <w:szCs w:val="48"/>
        </w:rPr>
      </w:pPr>
      <w:proofErr w:type="gramStart"/>
      <w:r>
        <w:rPr>
          <w:rFonts w:ascii="Times New Roman" w:hAnsi="Times New Roman"/>
          <w:bCs/>
          <w:sz w:val="48"/>
          <w:szCs w:val="48"/>
        </w:rPr>
        <w:t>for</w:t>
      </w:r>
      <w:proofErr w:type="gramEnd"/>
    </w:p>
    <w:p w:rsidR="00CC4AAE" w:rsidRDefault="00CC4AAE" w:rsidP="00CC4AAE">
      <w:pPr>
        <w:pStyle w:val="Title"/>
        <w:ind w:left="0"/>
        <w:rPr>
          <w:rFonts w:ascii="Times New Roman" w:hAnsi="Times New Roman"/>
          <w:bCs/>
          <w:sz w:val="48"/>
          <w:szCs w:val="48"/>
        </w:rPr>
      </w:pPr>
    </w:p>
    <w:p w:rsidR="00CC4AAE" w:rsidRDefault="00CC4AAE" w:rsidP="00CC4AAE">
      <w:pPr>
        <w:pStyle w:val="Title"/>
        <w:ind w:left="0"/>
        <w:rPr>
          <w:rFonts w:ascii="Times New Roman" w:hAnsi="Times New Roman"/>
          <w:bCs/>
          <w:sz w:val="48"/>
          <w:szCs w:val="48"/>
        </w:rPr>
      </w:pPr>
      <w:r>
        <w:rPr>
          <w:rFonts w:ascii="Times New Roman" w:hAnsi="Times New Roman"/>
          <w:bCs/>
          <w:sz w:val="48"/>
          <w:szCs w:val="48"/>
        </w:rPr>
        <w:t>2010</w:t>
      </w:r>
    </w:p>
    <w:p w:rsidR="00CC4AAE" w:rsidRDefault="00CC4AAE" w:rsidP="00CC4AAE">
      <w:pPr>
        <w:pStyle w:val="Title"/>
        <w:ind w:left="0"/>
        <w:rPr>
          <w:rFonts w:ascii="Times New Roman" w:hAnsi="Times New Roman"/>
          <w:b w:val="0"/>
          <w:sz w:val="48"/>
          <w:szCs w:val="48"/>
        </w:rPr>
      </w:pPr>
      <w:r>
        <w:rPr>
          <w:rFonts w:ascii="Times New Roman" w:hAnsi="Times New Roman"/>
          <w:bCs/>
          <w:sz w:val="48"/>
          <w:szCs w:val="48"/>
        </w:rPr>
        <w:t>National Survey of College Graduates</w:t>
      </w:r>
    </w:p>
    <w:p w:rsidR="00CC4AAE" w:rsidRDefault="00CC4AAE" w:rsidP="00CC4AAE">
      <w:pPr>
        <w:pStyle w:val="TOC1"/>
        <w:tabs>
          <w:tab w:val="left" w:pos="720"/>
        </w:tabs>
        <w:spacing w:before="0"/>
        <w:ind w:left="0" w:firstLine="0"/>
        <w:rPr>
          <w:rFonts w:ascii="Times New Roman" w:hAnsi="Times New Roman"/>
          <w:szCs w:val="24"/>
        </w:rPr>
      </w:pPr>
    </w:p>
    <w:p w:rsidR="00CC4AAE" w:rsidRDefault="00CC4AAE" w:rsidP="00CC4AAE">
      <w:pPr>
        <w:pStyle w:val="TOC1"/>
        <w:tabs>
          <w:tab w:val="left" w:pos="720"/>
        </w:tabs>
        <w:spacing w:before="0"/>
        <w:rPr>
          <w:rFonts w:ascii="Times New Roman" w:hAnsi="Times New Roman"/>
          <w:szCs w:val="24"/>
        </w:rPr>
      </w:pPr>
    </w:p>
    <w:p w:rsidR="00CC4AAE" w:rsidRDefault="00CC4AAE" w:rsidP="00CC4AAE">
      <w:pPr>
        <w:pStyle w:val="TOC1"/>
        <w:tabs>
          <w:tab w:val="left" w:pos="720"/>
        </w:tabs>
        <w:spacing w:before="0"/>
        <w:rPr>
          <w:rFonts w:ascii="Times New Roman" w:hAnsi="Times New Roman"/>
          <w:szCs w:val="24"/>
        </w:rPr>
      </w:pPr>
    </w:p>
    <w:p w:rsidR="00CC4AAE" w:rsidRDefault="00CC4AAE" w:rsidP="00CC4AAE">
      <w:pPr>
        <w:pStyle w:val="TOC1"/>
        <w:tabs>
          <w:tab w:val="left" w:pos="720"/>
        </w:tabs>
        <w:spacing w:before="0"/>
        <w:rPr>
          <w:rFonts w:ascii="Times New Roman" w:hAnsi="Times New Roman"/>
          <w:szCs w:val="24"/>
        </w:rPr>
      </w:pPr>
    </w:p>
    <w:p w:rsidR="00CC4AAE" w:rsidRDefault="00CC4AAE" w:rsidP="00CC4AAE">
      <w:pPr>
        <w:pStyle w:val="TOC1"/>
        <w:tabs>
          <w:tab w:val="left" w:pos="720"/>
        </w:tabs>
        <w:spacing w:before="0"/>
        <w:rPr>
          <w:rFonts w:ascii="Times New Roman" w:hAnsi="Times New Roman"/>
          <w:szCs w:val="24"/>
        </w:rPr>
      </w:pPr>
    </w:p>
    <w:p w:rsidR="00CC4AAE" w:rsidRDefault="00CC4AAE" w:rsidP="00CC4AAE">
      <w:pPr>
        <w:pStyle w:val="TOC1"/>
        <w:tabs>
          <w:tab w:val="left" w:pos="720"/>
        </w:tabs>
        <w:spacing w:before="0"/>
        <w:rPr>
          <w:rFonts w:ascii="Times New Roman" w:hAnsi="Times New Roman"/>
          <w:szCs w:val="24"/>
        </w:rPr>
      </w:pPr>
    </w:p>
    <w:p w:rsidR="00CC4AAE" w:rsidRDefault="00CC4AAE" w:rsidP="00CC4AAE">
      <w:pPr>
        <w:pStyle w:val="TOC1"/>
        <w:tabs>
          <w:tab w:val="left" w:pos="720"/>
        </w:tabs>
        <w:spacing w:before="0"/>
        <w:rPr>
          <w:rFonts w:ascii="Times New Roman" w:hAnsi="Times New Roman"/>
          <w:szCs w:val="24"/>
        </w:rPr>
      </w:pPr>
      <w:bookmarkStart w:id="0" w:name="StartingPoint"/>
      <w:bookmarkEnd w:id="0"/>
    </w:p>
    <w:p w:rsidR="00CC4AAE" w:rsidRDefault="00CC4AAE" w:rsidP="00CC4AAE">
      <w:pPr>
        <w:pStyle w:val="TOC1"/>
        <w:tabs>
          <w:tab w:val="left" w:pos="720"/>
        </w:tabs>
        <w:spacing w:before="0"/>
        <w:rPr>
          <w:rFonts w:ascii="Times New Roman" w:hAnsi="Times New Roman"/>
          <w:szCs w:val="24"/>
        </w:rPr>
        <w:sectPr w:rsidR="00CC4AAE">
          <w:headerReference w:type="default" r:id="rId7"/>
          <w:footerReference w:type="even" r:id="rId8"/>
          <w:footerReference w:type="default" r:id="rId9"/>
          <w:headerReference w:type="first" r:id="rId10"/>
          <w:pgSz w:w="12240" w:h="15840" w:code="1"/>
          <w:pgMar w:top="864" w:right="1440" w:bottom="1152" w:left="1152" w:header="0" w:footer="288" w:gutter="0"/>
          <w:pgNumType w:start="1"/>
          <w:cols w:space="720"/>
          <w:noEndnote/>
          <w:titlePg/>
        </w:sectPr>
      </w:pPr>
    </w:p>
    <w:p w:rsidR="00CC4AAE" w:rsidRDefault="00CC4AAE" w:rsidP="00CC4AAE">
      <w:pPr>
        <w:pStyle w:val="TOC1"/>
        <w:tabs>
          <w:tab w:val="left" w:pos="720"/>
        </w:tabs>
        <w:spacing w:before="0"/>
        <w:jc w:val="center"/>
        <w:rPr>
          <w:rFonts w:ascii="Times New Roman" w:hAnsi="Times New Roman"/>
          <w:b/>
          <w:bCs/>
          <w:szCs w:val="24"/>
        </w:rPr>
      </w:pPr>
      <w:r>
        <w:rPr>
          <w:rFonts w:ascii="Times New Roman" w:hAnsi="Times New Roman"/>
          <w:b/>
          <w:bCs/>
          <w:szCs w:val="24"/>
        </w:rPr>
        <w:lastRenderedPageBreak/>
        <w:t>CONTENTS</w:t>
      </w:r>
    </w:p>
    <w:p w:rsidR="00CC4AAE" w:rsidRDefault="00CC4AAE" w:rsidP="00CC4AAE">
      <w:pPr>
        <w:tabs>
          <w:tab w:val="right" w:pos="9360"/>
        </w:tabs>
        <w:ind w:left="0"/>
        <w:rPr>
          <w:rFonts w:ascii="Times New Roman" w:hAnsi="Times New Roman"/>
          <w:b/>
        </w:rPr>
      </w:pPr>
    </w:p>
    <w:p w:rsidR="00CC4AAE" w:rsidRDefault="00CC4AAE" w:rsidP="00CC4AAE">
      <w:pPr>
        <w:tabs>
          <w:tab w:val="right" w:pos="9360"/>
        </w:tabs>
        <w:ind w:left="0"/>
        <w:rPr>
          <w:rFonts w:ascii="Times New Roman" w:hAnsi="Times New Roman"/>
          <w:b/>
          <w:szCs w:val="24"/>
        </w:rPr>
      </w:pPr>
      <w:r>
        <w:rPr>
          <w:rFonts w:ascii="Times New Roman" w:hAnsi="Times New Roman"/>
          <w:b/>
          <w:szCs w:val="24"/>
        </w:rPr>
        <w:t>Section</w:t>
      </w:r>
      <w:r>
        <w:rPr>
          <w:rFonts w:ascii="Times New Roman" w:hAnsi="Times New Roman"/>
          <w:b/>
          <w:szCs w:val="24"/>
        </w:rPr>
        <w:tab/>
        <w:t>Page</w:t>
      </w:r>
    </w:p>
    <w:p w:rsidR="00CC4AAE" w:rsidRPr="0053456B" w:rsidRDefault="00CC4AAE" w:rsidP="00CC4AAE">
      <w:pPr>
        <w:pStyle w:val="TOC1"/>
        <w:spacing w:before="0"/>
        <w:rPr>
          <w:rFonts w:ascii="Times New Roman" w:hAnsi="Times New Roman"/>
          <w:b/>
          <w:noProof/>
          <w:szCs w:val="24"/>
        </w:rPr>
      </w:pPr>
      <w:r w:rsidRPr="008559DB">
        <w:rPr>
          <w:rStyle w:val="Hyperlink"/>
          <w:rFonts w:ascii="Times New Roman" w:hAnsi="Times New Roman"/>
          <w:szCs w:val="24"/>
        </w:rPr>
        <w:fldChar w:fldCharType="begin"/>
      </w:r>
      <w:r>
        <w:rPr>
          <w:rStyle w:val="Hyperlink"/>
          <w:rFonts w:ascii="Times New Roman" w:hAnsi="Times New Roman"/>
          <w:szCs w:val="24"/>
        </w:rPr>
        <w:instrText xml:space="preserve"> TOC \o "1-2" \h \z </w:instrText>
      </w:r>
      <w:r w:rsidRPr="008559DB">
        <w:rPr>
          <w:rStyle w:val="Hyperlink"/>
          <w:rFonts w:ascii="Times New Roman" w:hAnsi="Times New Roman"/>
          <w:szCs w:val="24"/>
        </w:rPr>
        <w:fldChar w:fldCharType="separate"/>
      </w:r>
      <w:hyperlink w:anchor="_Toc257283574" w:history="1"/>
    </w:p>
    <w:p w:rsidR="00CC4AAE" w:rsidRDefault="00CC4AAE" w:rsidP="00CC4AAE">
      <w:pPr>
        <w:pStyle w:val="TOC1"/>
        <w:tabs>
          <w:tab w:val="left" w:pos="720"/>
        </w:tabs>
        <w:spacing w:before="0"/>
        <w:rPr>
          <w:rFonts w:ascii="Times New Roman" w:hAnsi="Times New Roman"/>
          <w:noProof/>
          <w:szCs w:val="24"/>
        </w:rPr>
      </w:pPr>
      <w:hyperlink w:anchor="_Toc257283575" w:history="1">
        <w:r w:rsidRPr="0053456B">
          <w:rPr>
            <w:rStyle w:val="Hyperlink"/>
            <w:b/>
            <w:bCs/>
            <w:noProof/>
          </w:rPr>
          <w:t>A.</w:t>
        </w:r>
        <w:r w:rsidRPr="0053456B">
          <w:rPr>
            <w:rFonts w:ascii="Times New Roman" w:hAnsi="Times New Roman"/>
            <w:b/>
            <w:noProof/>
            <w:szCs w:val="24"/>
          </w:rPr>
          <w:tab/>
        </w:r>
        <w:r w:rsidRPr="0053456B">
          <w:rPr>
            <w:rStyle w:val="Hyperlink"/>
            <w:b/>
            <w:bCs/>
            <w:noProof/>
          </w:rPr>
          <w:t>JUSTIFICATION</w:t>
        </w:r>
        <w:r w:rsidRPr="0053456B">
          <w:rPr>
            <w:b/>
            <w:noProof/>
            <w:webHidden/>
          </w:rPr>
          <w:tab/>
        </w:r>
        <w:r w:rsidRPr="0053456B">
          <w:rPr>
            <w:b/>
            <w:noProof/>
            <w:webHidden/>
          </w:rPr>
          <w:fldChar w:fldCharType="begin"/>
        </w:r>
        <w:r w:rsidRPr="0053456B">
          <w:rPr>
            <w:b/>
            <w:noProof/>
            <w:webHidden/>
          </w:rPr>
          <w:instrText xml:space="preserve"> PAGEREF _Toc257283575 \h </w:instrText>
        </w:r>
        <w:r w:rsidRPr="0053456B">
          <w:rPr>
            <w:b/>
            <w:noProof/>
            <w:webHidden/>
          </w:rPr>
        </w:r>
        <w:r w:rsidRPr="0053456B">
          <w:rPr>
            <w:b/>
            <w:noProof/>
            <w:webHidden/>
          </w:rPr>
          <w:fldChar w:fldCharType="separate"/>
        </w:r>
        <w:r>
          <w:rPr>
            <w:b/>
            <w:noProof/>
            <w:webHidden/>
          </w:rPr>
          <w:t>1</w:t>
        </w:r>
        <w:r w:rsidRPr="0053456B">
          <w:rPr>
            <w:b/>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76" w:history="1">
        <w:r>
          <w:rPr>
            <w:rStyle w:val="Hyperlink"/>
            <w:noProof/>
          </w:rPr>
          <w:t>1.</w:t>
        </w:r>
        <w:r>
          <w:rPr>
            <w:rFonts w:ascii="Times New Roman" w:hAnsi="Times New Roman"/>
            <w:noProof/>
            <w:szCs w:val="24"/>
          </w:rPr>
          <w:tab/>
        </w:r>
        <w:r>
          <w:rPr>
            <w:rStyle w:val="Hyperlink"/>
            <w:noProof/>
          </w:rPr>
          <w:t>NECESSITY FOR INFORMATION COLLECTION</w:t>
        </w:r>
        <w:r>
          <w:rPr>
            <w:noProof/>
            <w:webHidden/>
          </w:rPr>
          <w:tab/>
        </w:r>
        <w:r>
          <w:rPr>
            <w:noProof/>
            <w:webHidden/>
          </w:rPr>
          <w:fldChar w:fldCharType="begin"/>
        </w:r>
        <w:r>
          <w:rPr>
            <w:noProof/>
            <w:webHidden/>
          </w:rPr>
          <w:instrText xml:space="preserve"> PAGEREF _Toc257283576 \h </w:instrText>
        </w:r>
        <w:r>
          <w:rPr>
            <w:noProof/>
            <w:webHidden/>
          </w:rPr>
        </w:r>
        <w:r>
          <w:rPr>
            <w:noProof/>
            <w:webHidden/>
          </w:rPr>
          <w:fldChar w:fldCharType="separate"/>
        </w:r>
        <w:r>
          <w:rPr>
            <w:noProof/>
            <w:webHidden/>
          </w:rPr>
          <w:t>2</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77" w:history="1">
        <w:r>
          <w:rPr>
            <w:rStyle w:val="Hyperlink"/>
            <w:noProof/>
          </w:rPr>
          <w:t>2.</w:t>
        </w:r>
        <w:r>
          <w:rPr>
            <w:rFonts w:ascii="Times New Roman" w:hAnsi="Times New Roman"/>
            <w:noProof/>
            <w:szCs w:val="24"/>
          </w:rPr>
          <w:tab/>
        </w:r>
        <w:r>
          <w:rPr>
            <w:rStyle w:val="Hyperlink"/>
            <w:noProof/>
          </w:rPr>
          <w:t>USES OF INFORMATION</w:t>
        </w:r>
        <w:r>
          <w:rPr>
            <w:noProof/>
            <w:webHidden/>
          </w:rPr>
          <w:tab/>
        </w:r>
        <w:r>
          <w:rPr>
            <w:noProof/>
            <w:webHidden/>
          </w:rPr>
          <w:fldChar w:fldCharType="begin"/>
        </w:r>
        <w:r>
          <w:rPr>
            <w:noProof/>
            <w:webHidden/>
          </w:rPr>
          <w:instrText xml:space="preserve"> PAGEREF _Toc257283577 \h </w:instrText>
        </w:r>
        <w:r>
          <w:rPr>
            <w:noProof/>
            <w:webHidden/>
          </w:rPr>
        </w:r>
        <w:r>
          <w:rPr>
            <w:noProof/>
            <w:webHidden/>
          </w:rPr>
          <w:fldChar w:fldCharType="separate"/>
        </w:r>
        <w:r>
          <w:rPr>
            <w:noProof/>
            <w:webHidden/>
          </w:rPr>
          <w:t>3</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78" w:history="1">
        <w:r>
          <w:rPr>
            <w:rStyle w:val="Hyperlink"/>
            <w:noProof/>
          </w:rPr>
          <w:t>3.</w:t>
        </w:r>
        <w:r>
          <w:rPr>
            <w:rFonts w:ascii="Times New Roman" w:hAnsi="Times New Roman"/>
            <w:noProof/>
            <w:szCs w:val="24"/>
          </w:rPr>
          <w:tab/>
        </w:r>
        <w:r>
          <w:rPr>
            <w:rStyle w:val="Hyperlink"/>
            <w:noProof/>
          </w:rPr>
          <w:t>CONSIDERATION OF USING IMPROVED TECHNOLOGY</w:t>
        </w:r>
        <w:r>
          <w:rPr>
            <w:noProof/>
            <w:webHidden/>
          </w:rPr>
          <w:tab/>
        </w:r>
        <w:r>
          <w:rPr>
            <w:noProof/>
            <w:webHidden/>
          </w:rPr>
          <w:fldChar w:fldCharType="begin"/>
        </w:r>
        <w:r>
          <w:rPr>
            <w:noProof/>
            <w:webHidden/>
          </w:rPr>
          <w:instrText xml:space="preserve"> PAGEREF _Toc257283578 \h </w:instrText>
        </w:r>
        <w:r>
          <w:rPr>
            <w:noProof/>
            <w:webHidden/>
          </w:rPr>
        </w:r>
        <w:r>
          <w:rPr>
            <w:noProof/>
            <w:webHidden/>
          </w:rPr>
          <w:fldChar w:fldCharType="separate"/>
        </w:r>
        <w:r>
          <w:rPr>
            <w:noProof/>
            <w:webHidden/>
          </w:rPr>
          <w:t>5</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79" w:history="1">
        <w:r>
          <w:rPr>
            <w:rStyle w:val="Hyperlink"/>
            <w:noProof/>
          </w:rPr>
          <w:t xml:space="preserve">4. </w:t>
        </w:r>
        <w:r>
          <w:rPr>
            <w:rFonts w:ascii="Times New Roman" w:hAnsi="Times New Roman"/>
            <w:noProof/>
            <w:szCs w:val="24"/>
          </w:rPr>
          <w:tab/>
        </w:r>
        <w:r>
          <w:rPr>
            <w:rStyle w:val="Hyperlink"/>
            <w:noProof/>
          </w:rPr>
          <w:t>EFFORTS TO IDENTIFY DUPLICATION</w:t>
        </w:r>
        <w:r>
          <w:rPr>
            <w:noProof/>
            <w:webHidden/>
          </w:rPr>
          <w:tab/>
        </w:r>
        <w:r>
          <w:rPr>
            <w:noProof/>
            <w:webHidden/>
          </w:rPr>
          <w:fldChar w:fldCharType="begin"/>
        </w:r>
        <w:r>
          <w:rPr>
            <w:noProof/>
            <w:webHidden/>
          </w:rPr>
          <w:instrText xml:space="preserve"> PAGEREF _Toc257283579 \h </w:instrText>
        </w:r>
        <w:r>
          <w:rPr>
            <w:noProof/>
            <w:webHidden/>
          </w:rPr>
        </w:r>
        <w:r>
          <w:rPr>
            <w:noProof/>
            <w:webHidden/>
          </w:rPr>
          <w:fldChar w:fldCharType="separate"/>
        </w:r>
        <w:r>
          <w:rPr>
            <w:noProof/>
            <w:webHidden/>
          </w:rPr>
          <w:t>6</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0" w:history="1">
        <w:r>
          <w:rPr>
            <w:rStyle w:val="Hyperlink"/>
            <w:noProof/>
          </w:rPr>
          <w:t xml:space="preserve">5. </w:t>
        </w:r>
        <w:r>
          <w:rPr>
            <w:rFonts w:ascii="Times New Roman" w:hAnsi="Times New Roman"/>
            <w:noProof/>
            <w:szCs w:val="24"/>
          </w:rPr>
          <w:tab/>
        </w:r>
        <w:r>
          <w:rPr>
            <w:rStyle w:val="Hyperlink"/>
            <w:noProof/>
          </w:rPr>
          <w:t>EFFORTS TO MINIMIZE BURDEN ON SMALL BUSINESS</w:t>
        </w:r>
        <w:r>
          <w:rPr>
            <w:noProof/>
            <w:webHidden/>
          </w:rPr>
          <w:tab/>
        </w:r>
        <w:r>
          <w:rPr>
            <w:noProof/>
            <w:webHidden/>
          </w:rPr>
          <w:fldChar w:fldCharType="begin"/>
        </w:r>
        <w:r>
          <w:rPr>
            <w:noProof/>
            <w:webHidden/>
          </w:rPr>
          <w:instrText xml:space="preserve"> PAGEREF _Toc257283580 \h </w:instrText>
        </w:r>
        <w:r>
          <w:rPr>
            <w:noProof/>
            <w:webHidden/>
          </w:rPr>
        </w:r>
        <w:r>
          <w:rPr>
            <w:noProof/>
            <w:webHidden/>
          </w:rPr>
          <w:fldChar w:fldCharType="separate"/>
        </w:r>
        <w:r>
          <w:rPr>
            <w:noProof/>
            <w:webHidden/>
          </w:rPr>
          <w:t>6</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1" w:history="1">
        <w:r>
          <w:rPr>
            <w:rStyle w:val="Hyperlink"/>
            <w:noProof/>
          </w:rPr>
          <w:t>6.</w:t>
        </w:r>
        <w:r>
          <w:rPr>
            <w:rFonts w:ascii="Times New Roman" w:hAnsi="Times New Roman"/>
            <w:noProof/>
            <w:szCs w:val="24"/>
          </w:rPr>
          <w:tab/>
        </w:r>
        <w:r>
          <w:rPr>
            <w:rStyle w:val="Hyperlink"/>
            <w:noProof/>
          </w:rPr>
          <w:t>CONSEQUENCES OF LESS FREQUENT DATA COLLECTION</w:t>
        </w:r>
        <w:r>
          <w:rPr>
            <w:noProof/>
            <w:webHidden/>
          </w:rPr>
          <w:tab/>
        </w:r>
        <w:r>
          <w:rPr>
            <w:noProof/>
            <w:webHidden/>
          </w:rPr>
          <w:fldChar w:fldCharType="begin"/>
        </w:r>
        <w:r>
          <w:rPr>
            <w:noProof/>
            <w:webHidden/>
          </w:rPr>
          <w:instrText xml:space="preserve"> PAGEREF _Toc257283581 \h </w:instrText>
        </w:r>
        <w:r>
          <w:rPr>
            <w:noProof/>
            <w:webHidden/>
          </w:rPr>
        </w:r>
        <w:r>
          <w:rPr>
            <w:noProof/>
            <w:webHidden/>
          </w:rPr>
          <w:fldChar w:fldCharType="separate"/>
        </w:r>
        <w:r>
          <w:rPr>
            <w:noProof/>
            <w:webHidden/>
          </w:rPr>
          <w:t>6</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2" w:history="1">
        <w:r>
          <w:rPr>
            <w:rStyle w:val="Hyperlink"/>
            <w:noProof/>
          </w:rPr>
          <w:t>7.</w:t>
        </w:r>
        <w:r>
          <w:rPr>
            <w:rFonts w:ascii="Times New Roman" w:hAnsi="Times New Roman"/>
            <w:noProof/>
            <w:szCs w:val="24"/>
          </w:rPr>
          <w:tab/>
        </w:r>
        <w:r>
          <w:rPr>
            <w:rStyle w:val="Hyperlink"/>
            <w:noProof/>
          </w:rPr>
          <w:t>SPECIAL CIRCUMSTANCES</w:t>
        </w:r>
        <w:r>
          <w:rPr>
            <w:noProof/>
            <w:webHidden/>
          </w:rPr>
          <w:tab/>
        </w:r>
        <w:r>
          <w:rPr>
            <w:noProof/>
            <w:webHidden/>
          </w:rPr>
          <w:fldChar w:fldCharType="begin"/>
        </w:r>
        <w:r>
          <w:rPr>
            <w:noProof/>
            <w:webHidden/>
          </w:rPr>
          <w:instrText xml:space="preserve"> PAGEREF _Toc257283582 \h </w:instrText>
        </w:r>
        <w:r>
          <w:rPr>
            <w:noProof/>
            <w:webHidden/>
          </w:rPr>
        </w:r>
        <w:r>
          <w:rPr>
            <w:noProof/>
            <w:webHidden/>
          </w:rPr>
          <w:fldChar w:fldCharType="separate"/>
        </w:r>
        <w:r>
          <w:rPr>
            <w:noProof/>
            <w:webHidden/>
          </w:rPr>
          <w:t>7</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3" w:history="1">
        <w:r>
          <w:rPr>
            <w:rStyle w:val="Hyperlink"/>
            <w:noProof/>
          </w:rPr>
          <w:t>8.</w:t>
        </w:r>
        <w:r>
          <w:rPr>
            <w:rFonts w:ascii="Times New Roman" w:hAnsi="Times New Roman"/>
            <w:noProof/>
            <w:szCs w:val="24"/>
          </w:rPr>
          <w:tab/>
        </w:r>
        <w:r>
          <w:rPr>
            <w:rStyle w:val="Hyperlink"/>
            <w:noProof/>
          </w:rPr>
          <w:t>FEDERAL REGISTER ANNOUNCEMENT AND CONSULTATION OUTSIDE THE AGENCY</w:t>
        </w:r>
        <w:r>
          <w:rPr>
            <w:noProof/>
            <w:webHidden/>
          </w:rPr>
          <w:tab/>
        </w:r>
        <w:r>
          <w:rPr>
            <w:noProof/>
            <w:webHidden/>
          </w:rPr>
          <w:fldChar w:fldCharType="begin"/>
        </w:r>
        <w:r>
          <w:rPr>
            <w:noProof/>
            <w:webHidden/>
          </w:rPr>
          <w:instrText xml:space="preserve"> PAGEREF _Toc257283583 \h </w:instrText>
        </w:r>
        <w:r>
          <w:rPr>
            <w:noProof/>
            <w:webHidden/>
          </w:rPr>
        </w:r>
        <w:r>
          <w:rPr>
            <w:noProof/>
            <w:webHidden/>
          </w:rPr>
          <w:fldChar w:fldCharType="separate"/>
        </w:r>
        <w:r>
          <w:rPr>
            <w:noProof/>
            <w:webHidden/>
          </w:rPr>
          <w:t>7</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4" w:history="1">
        <w:r>
          <w:rPr>
            <w:rStyle w:val="Hyperlink"/>
            <w:noProof/>
          </w:rPr>
          <w:t>9.</w:t>
        </w:r>
        <w:r>
          <w:rPr>
            <w:rFonts w:ascii="Times New Roman" w:hAnsi="Times New Roman"/>
            <w:noProof/>
            <w:szCs w:val="24"/>
          </w:rPr>
          <w:tab/>
        </w:r>
        <w:r>
          <w:rPr>
            <w:rStyle w:val="Hyperlink"/>
            <w:noProof/>
          </w:rPr>
          <w:t>PAYMENT OR GIFTS TO RESPONDENTS</w:t>
        </w:r>
        <w:r>
          <w:rPr>
            <w:noProof/>
            <w:webHidden/>
          </w:rPr>
          <w:tab/>
        </w:r>
        <w:r>
          <w:rPr>
            <w:noProof/>
            <w:webHidden/>
          </w:rPr>
          <w:fldChar w:fldCharType="begin"/>
        </w:r>
        <w:r>
          <w:rPr>
            <w:noProof/>
            <w:webHidden/>
          </w:rPr>
          <w:instrText xml:space="preserve"> PAGEREF _Toc257283584 \h </w:instrText>
        </w:r>
        <w:r>
          <w:rPr>
            <w:noProof/>
            <w:webHidden/>
          </w:rPr>
        </w:r>
        <w:r>
          <w:rPr>
            <w:noProof/>
            <w:webHidden/>
          </w:rPr>
          <w:fldChar w:fldCharType="separate"/>
        </w:r>
        <w:r>
          <w:rPr>
            <w:noProof/>
            <w:webHidden/>
          </w:rPr>
          <w:t>9</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5" w:history="1">
        <w:r>
          <w:rPr>
            <w:rStyle w:val="Hyperlink"/>
            <w:noProof/>
          </w:rPr>
          <w:t>10.</w:t>
        </w:r>
        <w:r>
          <w:rPr>
            <w:rFonts w:ascii="Times New Roman" w:hAnsi="Times New Roman"/>
            <w:noProof/>
            <w:szCs w:val="24"/>
          </w:rPr>
          <w:tab/>
        </w:r>
        <w:r>
          <w:rPr>
            <w:rStyle w:val="Hyperlink"/>
            <w:noProof/>
          </w:rPr>
          <w:t>ASSURANCE OF CONFIDENTIALITY</w:t>
        </w:r>
        <w:r>
          <w:rPr>
            <w:noProof/>
            <w:webHidden/>
          </w:rPr>
          <w:tab/>
        </w:r>
        <w:r>
          <w:rPr>
            <w:noProof/>
            <w:webHidden/>
          </w:rPr>
          <w:fldChar w:fldCharType="begin"/>
        </w:r>
        <w:r>
          <w:rPr>
            <w:noProof/>
            <w:webHidden/>
          </w:rPr>
          <w:instrText xml:space="preserve"> PAGEREF _Toc257283585 \h </w:instrText>
        </w:r>
        <w:r>
          <w:rPr>
            <w:noProof/>
            <w:webHidden/>
          </w:rPr>
        </w:r>
        <w:r>
          <w:rPr>
            <w:noProof/>
            <w:webHidden/>
          </w:rPr>
          <w:fldChar w:fldCharType="separate"/>
        </w:r>
        <w:r>
          <w:rPr>
            <w:noProof/>
            <w:webHidden/>
          </w:rPr>
          <w:t>9</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6" w:history="1">
        <w:r>
          <w:rPr>
            <w:rStyle w:val="Hyperlink"/>
            <w:noProof/>
          </w:rPr>
          <w:t>11.</w:t>
        </w:r>
        <w:r>
          <w:rPr>
            <w:rFonts w:ascii="Times New Roman" w:hAnsi="Times New Roman"/>
            <w:noProof/>
            <w:szCs w:val="24"/>
          </w:rPr>
          <w:tab/>
        </w:r>
        <w:r>
          <w:rPr>
            <w:rStyle w:val="Hyperlink"/>
            <w:noProof/>
          </w:rPr>
          <w:t>JUSTIFICATION FOR SENSITIVE QUESTIONS</w:t>
        </w:r>
        <w:r>
          <w:rPr>
            <w:noProof/>
            <w:webHidden/>
          </w:rPr>
          <w:tab/>
        </w:r>
        <w:r>
          <w:rPr>
            <w:noProof/>
            <w:webHidden/>
          </w:rPr>
          <w:fldChar w:fldCharType="begin"/>
        </w:r>
        <w:r>
          <w:rPr>
            <w:noProof/>
            <w:webHidden/>
          </w:rPr>
          <w:instrText xml:space="preserve"> PAGEREF _Toc257283586 \h </w:instrText>
        </w:r>
        <w:r>
          <w:rPr>
            <w:noProof/>
            <w:webHidden/>
          </w:rPr>
        </w:r>
        <w:r>
          <w:rPr>
            <w:noProof/>
            <w:webHidden/>
          </w:rPr>
          <w:fldChar w:fldCharType="separate"/>
        </w:r>
        <w:r>
          <w:rPr>
            <w:noProof/>
            <w:webHidden/>
          </w:rPr>
          <w:t>10</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7" w:history="1">
        <w:r>
          <w:rPr>
            <w:rStyle w:val="Hyperlink"/>
            <w:noProof/>
          </w:rPr>
          <w:t>12.</w:t>
        </w:r>
        <w:r>
          <w:rPr>
            <w:rFonts w:ascii="Times New Roman" w:hAnsi="Times New Roman"/>
            <w:noProof/>
            <w:szCs w:val="24"/>
          </w:rPr>
          <w:tab/>
        </w:r>
        <w:r>
          <w:rPr>
            <w:rStyle w:val="Hyperlink"/>
            <w:noProof/>
          </w:rPr>
          <w:t>ESTIMATE OF RESPONDENT BURDEN</w:t>
        </w:r>
        <w:r>
          <w:rPr>
            <w:noProof/>
            <w:webHidden/>
          </w:rPr>
          <w:tab/>
        </w:r>
        <w:r>
          <w:rPr>
            <w:noProof/>
            <w:webHidden/>
          </w:rPr>
          <w:fldChar w:fldCharType="begin"/>
        </w:r>
        <w:r>
          <w:rPr>
            <w:noProof/>
            <w:webHidden/>
          </w:rPr>
          <w:instrText xml:space="preserve"> PAGEREF _Toc257283587 \h </w:instrText>
        </w:r>
        <w:r>
          <w:rPr>
            <w:noProof/>
            <w:webHidden/>
          </w:rPr>
        </w:r>
        <w:r>
          <w:rPr>
            <w:noProof/>
            <w:webHidden/>
          </w:rPr>
          <w:fldChar w:fldCharType="separate"/>
        </w:r>
        <w:r>
          <w:rPr>
            <w:noProof/>
            <w:webHidden/>
          </w:rPr>
          <w:t>10</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8" w:history="1">
        <w:r>
          <w:rPr>
            <w:rStyle w:val="Hyperlink"/>
            <w:noProof/>
          </w:rPr>
          <w:t>13.</w:t>
        </w:r>
        <w:r>
          <w:rPr>
            <w:rFonts w:ascii="Times New Roman" w:hAnsi="Times New Roman"/>
            <w:noProof/>
            <w:szCs w:val="24"/>
          </w:rPr>
          <w:tab/>
        </w:r>
        <w:r>
          <w:rPr>
            <w:rStyle w:val="Hyperlink"/>
            <w:noProof/>
          </w:rPr>
          <w:t>COST BURDEN TO RESPONDENTS</w:t>
        </w:r>
        <w:r>
          <w:rPr>
            <w:noProof/>
            <w:webHidden/>
          </w:rPr>
          <w:tab/>
        </w:r>
        <w:r>
          <w:rPr>
            <w:noProof/>
            <w:webHidden/>
          </w:rPr>
          <w:fldChar w:fldCharType="begin"/>
        </w:r>
        <w:r>
          <w:rPr>
            <w:noProof/>
            <w:webHidden/>
          </w:rPr>
          <w:instrText xml:space="preserve"> PAGEREF _Toc257283588 \h </w:instrText>
        </w:r>
        <w:r>
          <w:rPr>
            <w:noProof/>
            <w:webHidden/>
          </w:rPr>
        </w:r>
        <w:r>
          <w:rPr>
            <w:noProof/>
            <w:webHidden/>
          </w:rPr>
          <w:fldChar w:fldCharType="separate"/>
        </w:r>
        <w:r>
          <w:rPr>
            <w:noProof/>
            <w:webHidden/>
          </w:rPr>
          <w:t>10</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89" w:history="1">
        <w:r>
          <w:rPr>
            <w:rStyle w:val="Hyperlink"/>
            <w:noProof/>
          </w:rPr>
          <w:t>14.</w:t>
        </w:r>
        <w:r>
          <w:rPr>
            <w:rFonts w:ascii="Times New Roman" w:hAnsi="Times New Roman"/>
            <w:noProof/>
            <w:szCs w:val="24"/>
          </w:rPr>
          <w:tab/>
        </w:r>
        <w:r>
          <w:rPr>
            <w:rStyle w:val="Hyperlink"/>
            <w:noProof/>
          </w:rPr>
          <w:t>COST BURDEN TO FEDERAL GOVERNMENT</w:t>
        </w:r>
        <w:r>
          <w:rPr>
            <w:noProof/>
            <w:webHidden/>
          </w:rPr>
          <w:tab/>
        </w:r>
        <w:r>
          <w:rPr>
            <w:noProof/>
            <w:webHidden/>
          </w:rPr>
          <w:fldChar w:fldCharType="begin"/>
        </w:r>
        <w:r>
          <w:rPr>
            <w:noProof/>
            <w:webHidden/>
          </w:rPr>
          <w:instrText xml:space="preserve"> PAGEREF _Toc257283589 \h </w:instrText>
        </w:r>
        <w:r>
          <w:rPr>
            <w:noProof/>
            <w:webHidden/>
          </w:rPr>
        </w:r>
        <w:r>
          <w:rPr>
            <w:noProof/>
            <w:webHidden/>
          </w:rPr>
          <w:fldChar w:fldCharType="separate"/>
        </w:r>
        <w:r>
          <w:rPr>
            <w:noProof/>
            <w:webHidden/>
          </w:rPr>
          <w:t>10</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0" w:history="1">
        <w:r>
          <w:rPr>
            <w:rStyle w:val="Hyperlink"/>
            <w:noProof/>
          </w:rPr>
          <w:t>15.</w:t>
        </w:r>
        <w:r>
          <w:rPr>
            <w:rFonts w:ascii="Times New Roman" w:hAnsi="Times New Roman"/>
            <w:noProof/>
            <w:szCs w:val="24"/>
          </w:rPr>
          <w:tab/>
        </w:r>
        <w:r>
          <w:rPr>
            <w:rStyle w:val="Hyperlink"/>
            <w:noProof/>
          </w:rPr>
          <w:t>REASON FOR CHANGE IN BURDEN</w:t>
        </w:r>
        <w:r>
          <w:rPr>
            <w:noProof/>
            <w:webHidden/>
          </w:rPr>
          <w:tab/>
        </w:r>
        <w:r>
          <w:rPr>
            <w:noProof/>
            <w:webHidden/>
          </w:rPr>
          <w:fldChar w:fldCharType="begin"/>
        </w:r>
        <w:r>
          <w:rPr>
            <w:noProof/>
            <w:webHidden/>
          </w:rPr>
          <w:instrText xml:space="preserve"> PAGEREF _Toc257283590 \h </w:instrText>
        </w:r>
        <w:r>
          <w:rPr>
            <w:noProof/>
            <w:webHidden/>
          </w:rPr>
        </w:r>
        <w:r>
          <w:rPr>
            <w:noProof/>
            <w:webHidden/>
          </w:rPr>
          <w:fldChar w:fldCharType="separate"/>
        </w:r>
        <w:r>
          <w:rPr>
            <w:noProof/>
            <w:webHidden/>
          </w:rPr>
          <w:t>11</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1" w:history="1">
        <w:r>
          <w:rPr>
            <w:rStyle w:val="Hyperlink"/>
            <w:noProof/>
          </w:rPr>
          <w:t>16.</w:t>
        </w:r>
        <w:r>
          <w:rPr>
            <w:rFonts w:ascii="Times New Roman" w:hAnsi="Times New Roman"/>
            <w:noProof/>
            <w:szCs w:val="24"/>
          </w:rPr>
          <w:tab/>
        </w:r>
        <w:r>
          <w:rPr>
            <w:rStyle w:val="Hyperlink"/>
            <w:noProof/>
          </w:rPr>
          <w:t>SCHEDULE FOR INFORMATION COLLECTION AND PUBLICATION</w:t>
        </w:r>
        <w:r>
          <w:rPr>
            <w:noProof/>
            <w:webHidden/>
          </w:rPr>
          <w:tab/>
        </w:r>
        <w:r>
          <w:rPr>
            <w:noProof/>
            <w:webHidden/>
          </w:rPr>
          <w:fldChar w:fldCharType="begin"/>
        </w:r>
        <w:r>
          <w:rPr>
            <w:noProof/>
            <w:webHidden/>
          </w:rPr>
          <w:instrText xml:space="preserve"> PAGEREF _Toc257283591 \h </w:instrText>
        </w:r>
        <w:r>
          <w:rPr>
            <w:noProof/>
            <w:webHidden/>
          </w:rPr>
        </w:r>
        <w:r>
          <w:rPr>
            <w:noProof/>
            <w:webHidden/>
          </w:rPr>
          <w:fldChar w:fldCharType="separate"/>
        </w:r>
        <w:r>
          <w:rPr>
            <w:noProof/>
            <w:webHidden/>
          </w:rPr>
          <w:t>11</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2" w:history="1">
        <w:r>
          <w:rPr>
            <w:rStyle w:val="Hyperlink"/>
            <w:noProof/>
          </w:rPr>
          <w:t>17.</w:t>
        </w:r>
        <w:r>
          <w:rPr>
            <w:rFonts w:ascii="Times New Roman" w:hAnsi="Times New Roman"/>
            <w:noProof/>
            <w:szCs w:val="24"/>
          </w:rPr>
          <w:tab/>
        </w:r>
        <w:r>
          <w:rPr>
            <w:rStyle w:val="Hyperlink"/>
            <w:noProof/>
          </w:rPr>
          <w:t>DISPLAY OF OMB EXPIRATION DATE</w:t>
        </w:r>
        <w:r>
          <w:rPr>
            <w:noProof/>
            <w:webHidden/>
          </w:rPr>
          <w:tab/>
        </w:r>
        <w:r>
          <w:rPr>
            <w:noProof/>
            <w:webHidden/>
          </w:rPr>
          <w:fldChar w:fldCharType="begin"/>
        </w:r>
        <w:r>
          <w:rPr>
            <w:noProof/>
            <w:webHidden/>
          </w:rPr>
          <w:instrText xml:space="preserve"> PAGEREF _Toc257283592 \h </w:instrText>
        </w:r>
        <w:r>
          <w:rPr>
            <w:noProof/>
            <w:webHidden/>
          </w:rPr>
        </w:r>
        <w:r>
          <w:rPr>
            <w:noProof/>
            <w:webHidden/>
          </w:rPr>
          <w:fldChar w:fldCharType="separate"/>
        </w:r>
        <w:r>
          <w:rPr>
            <w:noProof/>
            <w:webHidden/>
          </w:rPr>
          <w:t>11</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3" w:history="1">
        <w:r>
          <w:rPr>
            <w:rStyle w:val="Hyperlink"/>
            <w:noProof/>
          </w:rPr>
          <w:t>18.</w:t>
        </w:r>
        <w:r>
          <w:rPr>
            <w:rFonts w:ascii="Times New Roman" w:hAnsi="Times New Roman"/>
            <w:noProof/>
            <w:szCs w:val="24"/>
          </w:rPr>
          <w:tab/>
        </w:r>
        <w:r>
          <w:rPr>
            <w:rStyle w:val="Hyperlink"/>
            <w:noProof/>
          </w:rPr>
          <w:t>EXCEPTION TO THE CERTIFICATION STATEMENT</w:t>
        </w:r>
        <w:r>
          <w:rPr>
            <w:noProof/>
            <w:webHidden/>
          </w:rPr>
          <w:tab/>
        </w:r>
        <w:r>
          <w:rPr>
            <w:noProof/>
            <w:webHidden/>
          </w:rPr>
          <w:fldChar w:fldCharType="begin"/>
        </w:r>
        <w:r>
          <w:rPr>
            <w:noProof/>
            <w:webHidden/>
          </w:rPr>
          <w:instrText xml:space="preserve"> PAGEREF _Toc257283593 \h </w:instrText>
        </w:r>
        <w:r>
          <w:rPr>
            <w:noProof/>
            <w:webHidden/>
          </w:rPr>
        </w:r>
        <w:r>
          <w:rPr>
            <w:noProof/>
            <w:webHidden/>
          </w:rPr>
          <w:fldChar w:fldCharType="separate"/>
        </w:r>
        <w:r>
          <w:rPr>
            <w:noProof/>
            <w:webHidden/>
          </w:rPr>
          <w:t>11</w:t>
        </w:r>
        <w:r>
          <w:rPr>
            <w:noProof/>
            <w:webHidden/>
          </w:rPr>
          <w:fldChar w:fldCharType="end"/>
        </w:r>
      </w:hyperlink>
    </w:p>
    <w:p w:rsidR="00CC4AAE" w:rsidRDefault="00CC4AAE" w:rsidP="00CC4AAE">
      <w:pPr>
        <w:pStyle w:val="TOC1"/>
        <w:tabs>
          <w:tab w:val="left" w:pos="720"/>
        </w:tabs>
        <w:rPr>
          <w:rFonts w:ascii="Times New Roman" w:hAnsi="Times New Roman"/>
          <w:noProof/>
          <w:szCs w:val="24"/>
        </w:rPr>
      </w:pPr>
      <w:hyperlink w:anchor="_Toc257283595" w:history="1">
        <w:r>
          <w:rPr>
            <w:rStyle w:val="Hyperlink"/>
            <w:b/>
            <w:bCs/>
            <w:noProof/>
          </w:rPr>
          <w:t>B.</w:t>
        </w:r>
        <w:r>
          <w:rPr>
            <w:rFonts w:ascii="Times New Roman" w:hAnsi="Times New Roman"/>
            <w:noProof/>
            <w:szCs w:val="24"/>
          </w:rPr>
          <w:tab/>
        </w:r>
        <w:r>
          <w:rPr>
            <w:rStyle w:val="Hyperlink"/>
            <w:b/>
            <w:bCs/>
            <w:noProof/>
          </w:rPr>
          <w:t>COLLECTION OF INFORMATION EMPLOYING STATISTICAL METHODS</w:t>
        </w:r>
        <w:r>
          <w:rPr>
            <w:noProof/>
            <w:webHidden/>
          </w:rPr>
          <w:tab/>
        </w:r>
        <w:r>
          <w:rPr>
            <w:noProof/>
            <w:webHidden/>
          </w:rPr>
          <w:fldChar w:fldCharType="begin"/>
        </w:r>
        <w:r>
          <w:rPr>
            <w:noProof/>
            <w:webHidden/>
          </w:rPr>
          <w:instrText xml:space="preserve"> PAGEREF _Toc257283595 \h </w:instrText>
        </w:r>
        <w:r>
          <w:rPr>
            <w:noProof/>
            <w:webHidden/>
          </w:rPr>
        </w:r>
        <w:r>
          <w:rPr>
            <w:noProof/>
            <w:webHidden/>
          </w:rPr>
          <w:fldChar w:fldCharType="separate"/>
        </w:r>
        <w:r>
          <w:rPr>
            <w:noProof/>
            <w:webHidden/>
          </w:rPr>
          <w:t>12</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6" w:history="1">
        <w:r>
          <w:rPr>
            <w:rStyle w:val="Hyperlink"/>
            <w:noProof/>
          </w:rPr>
          <w:t>1.</w:t>
        </w:r>
        <w:r>
          <w:rPr>
            <w:rFonts w:ascii="Times New Roman" w:hAnsi="Times New Roman"/>
            <w:noProof/>
            <w:szCs w:val="24"/>
          </w:rPr>
          <w:tab/>
        </w:r>
        <w:r>
          <w:rPr>
            <w:rStyle w:val="Hyperlink"/>
            <w:noProof/>
          </w:rPr>
          <w:t>RESPONDENT UNIVERSE AND SAMPLING</w:t>
        </w:r>
        <w:r>
          <w:rPr>
            <w:rStyle w:val="Hyperlink"/>
          </w:rPr>
          <w:t xml:space="preserve"> METHODS</w:t>
        </w:r>
        <w:r>
          <w:rPr>
            <w:noProof/>
            <w:webHidden/>
          </w:rPr>
          <w:tab/>
        </w:r>
        <w:r>
          <w:rPr>
            <w:noProof/>
            <w:webHidden/>
          </w:rPr>
          <w:fldChar w:fldCharType="begin"/>
        </w:r>
        <w:r>
          <w:rPr>
            <w:noProof/>
            <w:webHidden/>
          </w:rPr>
          <w:instrText xml:space="preserve"> PAGEREF _Toc257283596 \h </w:instrText>
        </w:r>
        <w:r>
          <w:rPr>
            <w:noProof/>
            <w:webHidden/>
          </w:rPr>
        </w:r>
        <w:r>
          <w:rPr>
            <w:noProof/>
            <w:webHidden/>
          </w:rPr>
          <w:fldChar w:fldCharType="separate"/>
        </w:r>
        <w:r>
          <w:rPr>
            <w:noProof/>
            <w:webHidden/>
          </w:rPr>
          <w:t>12</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7" w:history="1">
        <w:r>
          <w:rPr>
            <w:rStyle w:val="Hyperlink"/>
            <w:noProof/>
          </w:rPr>
          <w:t>2.</w:t>
        </w:r>
        <w:r>
          <w:rPr>
            <w:rFonts w:ascii="Times New Roman" w:hAnsi="Times New Roman"/>
            <w:noProof/>
            <w:szCs w:val="24"/>
          </w:rPr>
          <w:tab/>
        </w:r>
        <w:r>
          <w:rPr>
            <w:rStyle w:val="Hyperlink"/>
            <w:noProof/>
          </w:rPr>
          <w:t>SURVEY METHODOLOGY</w:t>
        </w:r>
        <w:r>
          <w:rPr>
            <w:noProof/>
            <w:webHidden/>
          </w:rPr>
          <w:tab/>
        </w:r>
        <w:r>
          <w:rPr>
            <w:noProof/>
            <w:webHidden/>
          </w:rPr>
          <w:fldChar w:fldCharType="begin"/>
        </w:r>
        <w:r>
          <w:rPr>
            <w:noProof/>
            <w:webHidden/>
          </w:rPr>
          <w:instrText xml:space="preserve"> PAGEREF _Toc257283597 \h </w:instrText>
        </w:r>
        <w:r>
          <w:rPr>
            <w:noProof/>
            <w:webHidden/>
          </w:rPr>
        </w:r>
        <w:r>
          <w:rPr>
            <w:noProof/>
            <w:webHidden/>
          </w:rPr>
          <w:fldChar w:fldCharType="separate"/>
        </w:r>
        <w:r>
          <w:rPr>
            <w:noProof/>
            <w:webHidden/>
          </w:rPr>
          <w:t>13</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8" w:history="1">
        <w:r>
          <w:rPr>
            <w:rStyle w:val="Hyperlink"/>
            <w:noProof/>
          </w:rPr>
          <w:t>3.</w:t>
        </w:r>
        <w:r>
          <w:rPr>
            <w:rFonts w:ascii="Times New Roman" w:hAnsi="Times New Roman"/>
            <w:noProof/>
            <w:szCs w:val="24"/>
          </w:rPr>
          <w:tab/>
        </w:r>
        <w:r>
          <w:rPr>
            <w:rStyle w:val="Hyperlink"/>
            <w:noProof/>
          </w:rPr>
          <w:t>METHODS TO MAXIMIZE RESPONSE</w:t>
        </w:r>
        <w:r>
          <w:rPr>
            <w:noProof/>
            <w:webHidden/>
          </w:rPr>
          <w:tab/>
        </w:r>
        <w:r>
          <w:rPr>
            <w:noProof/>
            <w:webHidden/>
          </w:rPr>
          <w:fldChar w:fldCharType="begin"/>
        </w:r>
        <w:r>
          <w:rPr>
            <w:noProof/>
            <w:webHidden/>
          </w:rPr>
          <w:instrText xml:space="preserve"> PAGEREF _Toc257283598 \h </w:instrText>
        </w:r>
        <w:r>
          <w:rPr>
            <w:noProof/>
            <w:webHidden/>
          </w:rPr>
        </w:r>
        <w:r>
          <w:rPr>
            <w:noProof/>
            <w:webHidden/>
          </w:rPr>
          <w:fldChar w:fldCharType="separate"/>
        </w:r>
        <w:r>
          <w:rPr>
            <w:noProof/>
            <w:webHidden/>
          </w:rPr>
          <w:t>14</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599" w:history="1">
        <w:r>
          <w:rPr>
            <w:rStyle w:val="Hyperlink"/>
            <w:noProof/>
          </w:rPr>
          <w:t>4.</w:t>
        </w:r>
        <w:r>
          <w:rPr>
            <w:rFonts w:ascii="Times New Roman" w:hAnsi="Times New Roman"/>
            <w:noProof/>
            <w:szCs w:val="24"/>
          </w:rPr>
          <w:tab/>
        </w:r>
        <w:r>
          <w:rPr>
            <w:rStyle w:val="Hyperlink"/>
            <w:noProof/>
          </w:rPr>
          <w:t>TESTING OF PROCEDURES</w:t>
        </w:r>
        <w:r>
          <w:rPr>
            <w:noProof/>
            <w:webHidden/>
          </w:rPr>
          <w:tab/>
        </w:r>
        <w:r>
          <w:rPr>
            <w:noProof/>
            <w:webHidden/>
          </w:rPr>
          <w:fldChar w:fldCharType="begin"/>
        </w:r>
        <w:r>
          <w:rPr>
            <w:noProof/>
            <w:webHidden/>
          </w:rPr>
          <w:instrText xml:space="preserve"> PAGEREF _Toc257283599 \h </w:instrText>
        </w:r>
        <w:r>
          <w:rPr>
            <w:noProof/>
            <w:webHidden/>
          </w:rPr>
        </w:r>
        <w:r>
          <w:rPr>
            <w:noProof/>
            <w:webHidden/>
          </w:rPr>
          <w:fldChar w:fldCharType="separate"/>
        </w:r>
        <w:r>
          <w:rPr>
            <w:noProof/>
            <w:webHidden/>
          </w:rPr>
          <w:t>15</w:t>
        </w:r>
        <w:r>
          <w:rPr>
            <w:noProof/>
            <w:webHidden/>
          </w:rPr>
          <w:fldChar w:fldCharType="end"/>
        </w:r>
      </w:hyperlink>
    </w:p>
    <w:p w:rsidR="00CC4AAE" w:rsidRDefault="00CC4AAE" w:rsidP="00CC4AAE">
      <w:pPr>
        <w:pStyle w:val="TOC2"/>
        <w:tabs>
          <w:tab w:val="left" w:pos="1440"/>
        </w:tabs>
        <w:rPr>
          <w:rFonts w:ascii="Times New Roman" w:hAnsi="Times New Roman"/>
          <w:noProof/>
          <w:szCs w:val="24"/>
        </w:rPr>
      </w:pPr>
      <w:hyperlink w:anchor="_Toc257283600" w:history="1">
        <w:r>
          <w:rPr>
            <w:rStyle w:val="Hyperlink"/>
            <w:noProof/>
          </w:rPr>
          <w:t>5.</w:t>
        </w:r>
        <w:r>
          <w:rPr>
            <w:rFonts w:ascii="Times New Roman" w:hAnsi="Times New Roman"/>
            <w:noProof/>
            <w:szCs w:val="24"/>
          </w:rPr>
          <w:tab/>
        </w:r>
        <w:r>
          <w:rPr>
            <w:rStyle w:val="Hyperlink"/>
            <w:noProof/>
          </w:rPr>
          <w:t>CONTACTS FOR STATISTICAL ASPECTS OF DATA COLLECTION</w:t>
        </w:r>
        <w:r>
          <w:rPr>
            <w:noProof/>
            <w:webHidden/>
          </w:rPr>
          <w:tab/>
        </w:r>
        <w:r>
          <w:rPr>
            <w:noProof/>
            <w:webHidden/>
          </w:rPr>
          <w:fldChar w:fldCharType="begin"/>
        </w:r>
        <w:r>
          <w:rPr>
            <w:noProof/>
            <w:webHidden/>
          </w:rPr>
          <w:instrText xml:space="preserve"> PAGEREF _Toc257283600 \h </w:instrText>
        </w:r>
        <w:r>
          <w:rPr>
            <w:noProof/>
            <w:webHidden/>
          </w:rPr>
        </w:r>
        <w:r>
          <w:rPr>
            <w:noProof/>
            <w:webHidden/>
          </w:rPr>
          <w:fldChar w:fldCharType="separate"/>
        </w:r>
        <w:r>
          <w:rPr>
            <w:noProof/>
            <w:webHidden/>
          </w:rPr>
          <w:t>18</w:t>
        </w:r>
        <w:r>
          <w:rPr>
            <w:noProof/>
            <w:webHidden/>
          </w:rPr>
          <w:fldChar w:fldCharType="end"/>
        </w:r>
      </w:hyperlink>
    </w:p>
    <w:p w:rsidR="00CC4AAE" w:rsidRDefault="00CC4AAE" w:rsidP="00CC4AAE">
      <w:pPr>
        <w:pStyle w:val="Title"/>
        <w:spacing w:after="60"/>
        <w:ind w:left="0"/>
        <w:jc w:val="left"/>
        <w:rPr>
          <w:rStyle w:val="Hyperlink"/>
          <w:rFonts w:ascii="Times New Roman" w:hAnsi="Times New Roman"/>
          <w:szCs w:val="24"/>
        </w:rPr>
      </w:pPr>
      <w:r>
        <w:rPr>
          <w:rStyle w:val="Hyperlink"/>
          <w:rFonts w:ascii="Times New Roman" w:hAnsi="Times New Roman"/>
          <w:szCs w:val="24"/>
        </w:rPr>
        <w:fldChar w:fldCharType="end"/>
      </w:r>
    </w:p>
    <w:p w:rsidR="00CC4AAE" w:rsidRDefault="00CC4AAE" w:rsidP="00CC4AAE">
      <w:pPr>
        <w:pStyle w:val="Title"/>
        <w:spacing w:after="60"/>
        <w:ind w:left="0"/>
        <w:jc w:val="left"/>
        <w:rPr>
          <w:rStyle w:val="Hyperlink"/>
        </w:rPr>
      </w:pPr>
    </w:p>
    <w:p w:rsidR="00CC4AAE" w:rsidRDefault="00CC4AAE" w:rsidP="00CC4AAE">
      <w:pPr>
        <w:pStyle w:val="Title"/>
        <w:spacing w:after="60"/>
        <w:ind w:left="720"/>
        <w:jc w:val="left"/>
        <w:rPr>
          <w:rFonts w:ascii="Times New Roman" w:hAnsi="Times New Roman"/>
          <w:bCs/>
          <w:szCs w:val="24"/>
        </w:rPr>
      </w:pPr>
      <w:r>
        <w:rPr>
          <w:rFonts w:ascii="Times New Roman" w:hAnsi="Times New Roman"/>
          <w:bCs/>
          <w:szCs w:val="24"/>
        </w:rPr>
        <w:t>APPENDIX A:  NSF Act of 1950</w:t>
      </w:r>
    </w:p>
    <w:p w:rsidR="00CC4AAE" w:rsidRDefault="00CC4AAE" w:rsidP="00CC4AAE">
      <w:pPr>
        <w:pStyle w:val="Title"/>
        <w:spacing w:after="60"/>
        <w:ind w:left="720"/>
        <w:jc w:val="left"/>
        <w:rPr>
          <w:rFonts w:ascii="Times New Roman" w:hAnsi="Times New Roman"/>
          <w:bCs/>
          <w:szCs w:val="24"/>
        </w:rPr>
      </w:pPr>
      <w:r>
        <w:rPr>
          <w:rFonts w:ascii="Times New Roman" w:hAnsi="Times New Roman"/>
          <w:bCs/>
          <w:szCs w:val="24"/>
        </w:rPr>
        <w:t xml:space="preserve">APPENDIX B:  First Federal Register Announcement </w:t>
      </w:r>
    </w:p>
    <w:p w:rsidR="00CC4AAE" w:rsidRDefault="00CC4AAE" w:rsidP="00CC4AAE">
      <w:pPr>
        <w:pStyle w:val="Title"/>
        <w:spacing w:after="60"/>
        <w:ind w:left="720"/>
        <w:jc w:val="left"/>
        <w:rPr>
          <w:rFonts w:ascii="Times New Roman" w:hAnsi="Times New Roman"/>
          <w:bCs/>
          <w:szCs w:val="24"/>
        </w:rPr>
      </w:pPr>
      <w:r>
        <w:rPr>
          <w:rFonts w:ascii="Times New Roman" w:hAnsi="Times New Roman"/>
          <w:bCs/>
          <w:szCs w:val="24"/>
        </w:rPr>
        <w:t xml:space="preserve">APPENDIX C:  </w:t>
      </w:r>
      <w:r w:rsidRPr="004000BE">
        <w:rPr>
          <w:rFonts w:ascii="Times New Roman" w:hAnsi="Times New Roman"/>
          <w:bCs/>
          <w:szCs w:val="24"/>
        </w:rPr>
        <w:t>2010 NSCG</w:t>
      </w:r>
      <w:r>
        <w:rPr>
          <w:rFonts w:ascii="Times New Roman" w:hAnsi="Times New Roman"/>
          <w:bCs/>
          <w:szCs w:val="24"/>
        </w:rPr>
        <w:t xml:space="preserve"> </w:t>
      </w:r>
      <w:r w:rsidRPr="004000BE">
        <w:rPr>
          <w:rFonts w:ascii="Times New Roman" w:hAnsi="Times New Roman"/>
          <w:bCs/>
          <w:szCs w:val="24"/>
        </w:rPr>
        <w:t xml:space="preserve">Coefficient of Variation (CV) </w:t>
      </w:r>
      <w:r>
        <w:rPr>
          <w:rFonts w:ascii="Times New Roman" w:hAnsi="Times New Roman"/>
          <w:bCs/>
          <w:szCs w:val="24"/>
        </w:rPr>
        <w:t>T</w:t>
      </w:r>
      <w:r w:rsidRPr="004000BE">
        <w:rPr>
          <w:rFonts w:ascii="Times New Roman" w:hAnsi="Times New Roman"/>
          <w:bCs/>
          <w:szCs w:val="24"/>
        </w:rPr>
        <w:t>arget</w:t>
      </w:r>
    </w:p>
    <w:p w:rsidR="00CC4AAE" w:rsidRDefault="00CC4AAE" w:rsidP="00CC4AAE">
      <w:pPr>
        <w:pStyle w:val="Title"/>
        <w:tabs>
          <w:tab w:val="left" w:pos="1530"/>
        </w:tabs>
        <w:spacing w:after="60"/>
        <w:ind w:left="720"/>
        <w:jc w:val="left"/>
        <w:rPr>
          <w:rFonts w:ascii="Times New Roman" w:hAnsi="Times New Roman"/>
          <w:bCs/>
          <w:szCs w:val="24"/>
        </w:rPr>
      </w:pPr>
      <w:r>
        <w:rPr>
          <w:rFonts w:ascii="Times New Roman" w:hAnsi="Times New Roman"/>
          <w:bCs/>
          <w:szCs w:val="24"/>
        </w:rPr>
        <w:t>APPENDIX D:  NSCG Questionnaire Changes</w:t>
      </w:r>
    </w:p>
    <w:p w:rsidR="00CC4AAE" w:rsidRDefault="00CC4AAE" w:rsidP="00CC4AAE">
      <w:pPr>
        <w:pStyle w:val="Title"/>
        <w:tabs>
          <w:tab w:val="left" w:pos="1530"/>
        </w:tabs>
        <w:spacing w:after="60"/>
        <w:ind w:left="720"/>
        <w:jc w:val="left"/>
        <w:rPr>
          <w:rFonts w:ascii="Times New Roman" w:hAnsi="Times New Roman"/>
          <w:szCs w:val="24"/>
        </w:rPr>
      </w:pPr>
      <w:r>
        <w:rPr>
          <w:rFonts w:ascii="Times New Roman" w:hAnsi="Times New Roman"/>
          <w:bCs/>
          <w:szCs w:val="24"/>
        </w:rPr>
        <w:t>APPENDIX E:  Survey Mailing Materials</w:t>
      </w:r>
    </w:p>
    <w:p w:rsidR="00CC4AAE" w:rsidRDefault="00CC4AAE" w:rsidP="00CC4AAE">
      <w:pPr>
        <w:pStyle w:val="Title"/>
        <w:tabs>
          <w:tab w:val="left" w:pos="1530"/>
        </w:tabs>
        <w:spacing w:after="60"/>
        <w:ind w:left="720"/>
        <w:jc w:val="left"/>
        <w:rPr>
          <w:rFonts w:ascii="Times New Roman" w:hAnsi="Times New Roman"/>
          <w:szCs w:val="24"/>
        </w:rPr>
        <w:sectPr w:rsidR="00CC4AAE">
          <w:pgSz w:w="12240" w:h="15840" w:code="1"/>
          <w:pgMar w:top="1296" w:right="1440" w:bottom="1008" w:left="1440" w:header="288" w:footer="288" w:gutter="0"/>
          <w:pgNumType w:start="1"/>
          <w:cols w:space="720"/>
          <w:noEndnote/>
          <w:titlePg/>
        </w:sectPr>
      </w:pPr>
      <w:r>
        <w:rPr>
          <w:rFonts w:ascii="Times New Roman" w:hAnsi="Times New Roman"/>
          <w:bCs/>
          <w:szCs w:val="24"/>
        </w:rPr>
        <w:t>APPENDIX F:  Draft 2010 NSCG Questionnaire</w:t>
      </w:r>
      <w:r>
        <w:rPr>
          <w:rFonts w:ascii="Times New Roman" w:hAnsi="Times New Roman"/>
          <w:szCs w:val="24"/>
        </w:rPr>
        <w:tab/>
      </w:r>
      <w:r>
        <w:rPr>
          <w:rFonts w:ascii="Times New Roman" w:hAnsi="Times New Roman"/>
          <w:szCs w:val="24"/>
        </w:rPr>
        <w:tab/>
      </w:r>
    </w:p>
    <w:p w:rsidR="00CC4AAE" w:rsidRDefault="00CC4AAE" w:rsidP="00CC4AAE">
      <w:pPr>
        <w:pStyle w:val="Heading1"/>
        <w:tabs>
          <w:tab w:val="left" w:pos="720"/>
          <w:tab w:val="left" w:pos="2520"/>
          <w:tab w:val="left" w:pos="3780"/>
        </w:tabs>
        <w:ind w:left="0" w:firstLine="0"/>
        <w:jc w:val="center"/>
        <w:rPr>
          <w:rFonts w:ascii="Times New Roman" w:hAnsi="Times New Roman"/>
          <w:b/>
          <w:bCs/>
          <w:szCs w:val="24"/>
        </w:rPr>
      </w:pPr>
      <w:bookmarkStart w:id="1" w:name="_Hlt122334873"/>
      <w:bookmarkStart w:id="2" w:name="_Toc257283574"/>
      <w:bookmarkEnd w:id="1"/>
      <w:r>
        <w:rPr>
          <w:rFonts w:ascii="Times New Roman" w:hAnsi="Times New Roman"/>
          <w:b/>
          <w:bCs/>
          <w:szCs w:val="24"/>
        </w:rPr>
        <w:lastRenderedPageBreak/>
        <w:t>2010 NATIONAL SURVEY OF COLLEGE GRADUATES</w:t>
      </w:r>
      <w:bookmarkEnd w:id="2"/>
    </w:p>
    <w:p w:rsidR="00CC4AAE" w:rsidRDefault="00CC4AAE" w:rsidP="00CC4AAE">
      <w:pPr>
        <w:spacing w:after="480"/>
        <w:ind w:left="0"/>
        <w:jc w:val="center"/>
        <w:rPr>
          <w:rFonts w:ascii="Times New Roman" w:hAnsi="Times New Roman"/>
          <w:b/>
        </w:rPr>
      </w:pPr>
      <w:r>
        <w:rPr>
          <w:rFonts w:ascii="Times New Roman" w:hAnsi="Times New Roman"/>
          <w:b/>
        </w:rPr>
        <w:t>SUPPORTING STATEMENT</w:t>
      </w:r>
    </w:p>
    <w:p w:rsidR="00CC4AAE" w:rsidRDefault="00CC4AAE" w:rsidP="00CC4AAE">
      <w:pPr>
        <w:rPr>
          <w:rFonts w:ascii="Times New Roman" w:hAnsi="Times New Roman"/>
        </w:rPr>
      </w:pPr>
    </w:p>
    <w:p w:rsidR="00CC4AAE" w:rsidRDefault="00CC4AAE" w:rsidP="00CC4AAE">
      <w:pPr>
        <w:rPr>
          <w:rFonts w:ascii="Times New Roman" w:hAnsi="Times New Roman"/>
        </w:rPr>
      </w:pPr>
    </w:p>
    <w:p w:rsidR="00CC4AAE" w:rsidRDefault="00CC4AAE" w:rsidP="00CC4AAE">
      <w:pPr>
        <w:pStyle w:val="Heading1"/>
        <w:numPr>
          <w:ilvl w:val="0"/>
          <w:numId w:val="3"/>
        </w:numPr>
        <w:tabs>
          <w:tab w:val="clear" w:pos="1080"/>
          <w:tab w:val="num" w:pos="-3240"/>
          <w:tab w:val="left" w:pos="720"/>
          <w:tab w:val="left" w:pos="2520"/>
          <w:tab w:val="left" w:pos="3780"/>
        </w:tabs>
        <w:ind w:left="0" w:firstLine="0"/>
        <w:rPr>
          <w:rFonts w:ascii="Times New Roman" w:hAnsi="Times New Roman"/>
          <w:b/>
          <w:bCs/>
          <w:szCs w:val="24"/>
        </w:rPr>
      </w:pPr>
      <w:bookmarkStart w:id="3" w:name="_Toc257283575"/>
      <w:r>
        <w:rPr>
          <w:rFonts w:ascii="Times New Roman" w:hAnsi="Times New Roman"/>
          <w:b/>
          <w:bCs/>
          <w:szCs w:val="24"/>
        </w:rPr>
        <w:t>JUSTIFICATION</w:t>
      </w:r>
      <w:bookmarkEnd w:id="3"/>
    </w:p>
    <w:p w:rsidR="00CC4AAE" w:rsidRDefault="00CC4AAE" w:rsidP="00CC4AAE">
      <w:pPr>
        <w:tabs>
          <w:tab w:val="left" w:pos="2520"/>
        </w:tabs>
        <w:rPr>
          <w:rFonts w:ascii="Times New Roman" w:hAnsi="Times New Roman"/>
          <w:szCs w:val="24"/>
        </w:rPr>
      </w:pPr>
    </w:p>
    <w:p w:rsidR="00CC4AAE" w:rsidRDefault="00CC4AAE" w:rsidP="00CC4AAE">
      <w:pPr>
        <w:tabs>
          <w:tab w:val="left" w:pos="2520"/>
        </w:tabs>
        <w:rPr>
          <w:rFonts w:ascii="Times New Roman" w:hAnsi="Times New Roman"/>
          <w:szCs w:val="24"/>
        </w:rPr>
      </w:pPr>
    </w:p>
    <w:p w:rsidR="00CC4AAE" w:rsidRDefault="00CC4AAE" w:rsidP="00CC4AAE">
      <w:pPr>
        <w:pStyle w:val="EndnoteText1"/>
        <w:tabs>
          <w:tab w:val="left" w:pos="2520"/>
        </w:tabs>
        <w:ind w:left="0"/>
        <w:rPr>
          <w:rFonts w:ascii="Times New Roman" w:hAnsi="Times New Roman"/>
          <w:szCs w:val="24"/>
        </w:rPr>
      </w:pPr>
      <w:r>
        <w:rPr>
          <w:rFonts w:ascii="Times New Roman" w:hAnsi="Times New Roman"/>
          <w:szCs w:val="24"/>
        </w:rPr>
        <w:t xml:space="preserve">This request is for a three-year revision of the previously approved OMB clearance for the National Survey of College Graduates (NSCG).  The NSCG was last conducted in 2008. The OMB clearance for the 2008 NSCG expires July 2011.  </w:t>
      </w:r>
    </w:p>
    <w:p w:rsidR="00CC4AAE" w:rsidRDefault="00CC4AAE" w:rsidP="00CC4AAE">
      <w:pPr>
        <w:tabs>
          <w:tab w:val="left" w:pos="2520"/>
        </w:tabs>
        <w:ind w:left="0"/>
        <w:rPr>
          <w:rFonts w:ascii="Times New Roman" w:hAnsi="Times New Roman"/>
          <w:szCs w:val="24"/>
        </w:rPr>
      </w:pPr>
    </w:p>
    <w:p w:rsidR="00CC4AAE" w:rsidRDefault="00CC4AAE" w:rsidP="00CC4AAE">
      <w:pPr>
        <w:pStyle w:val="NormalSS"/>
        <w:jc w:val="left"/>
        <w:rPr>
          <w:szCs w:val="24"/>
        </w:rPr>
      </w:pPr>
      <w:r>
        <w:rPr>
          <w:szCs w:val="24"/>
        </w:rPr>
        <w:t xml:space="preserve">The NSCG is one of three principal surveys that provide data for the National Science Foundation’s (NSF) Scientists and Engineers Statistical Data System (SESTAT). The purpose of the SESTAT database is to provide information on the entire U.S. population of scientists and engineers with at least a bachelor’s degree. SESTAT is produced by combining data from the Survey of Doctorate Recipients (SDR; representing persons in the general U.S. population who have earned a doctorate in science, engineering, or health (SEH) from a U.S. institution), the National Survey of Recent College Graduates (NSRCG; representing persons with a recently earned bachelor’s or master’s degree in SEH from a U.S. institution) and the NSCG (representing all individuals in the U.S. </w:t>
      </w:r>
      <w:r w:rsidRPr="00D42913">
        <w:rPr>
          <w:szCs w:val="24"/>
        </w:rPr>
        <w:t xml:space="preserve">who had a bachelor’s degree or higher in </w:t>
      </w:r>
      <w:r>
        <w:rPr>
          <w:szCs w:val="24"/>
        </w:rPr>
        <w:t>a SEH or SEH-related degree</w:t>
      </w:r>
      <w:r w:rsidRPr="00943097">
        <w:rPr>
          <w:szCs w:val="24"/>
        </w:rPr>
        <w:t xml:space="preserve"> </w:t>
      </w:r>
      <w:r>
        <w:rPr>
          <w:szCs w:val="24"/>
        </w:rPr>
        <w:t>before January 1, 2009,</w:t>
      </w:r>
      <w:r w:rsidRPr="00D42913">
        <w:rPr>
          <w:szCs w:val="24"/>
        </w:rPr>
        <w:t xml:space="preserve"> or those who had a bachelor’s degree or higher in some other field but had a</w:t>
      </w:r>
      <w:r>
        <w:rPr>
          <w:szCs w:val="24"/>
        </w:rPr>
        <w:t>n SEH or SEH-related</w:t>
      </w:r>
      <w:r w:rsidRPr="00D42913">
        <w:rPr>
          <w:szCs w:val="24"/>
        </w:rPr>
        <w:t xml:space="preserve"> occupation, including individuals who </w:t>
      </w:r>
      <w:r>
        <w:rPr>
          <w:szCs w:val="24"/>
        </w:rPr>
        <w:t>received degrees only from</w:t>
      </w:r>
      <w:r w:rsidRPr="00D42913">
        <w:rPr>
          <w:szCs w:val="24"/>
        </w:rPr>
        <w:t xml:space="preserve"> foreign</w:t>
      </w:r>
      <w:r>
        <w:rPr>
          <w:szCs w:val="24"/>
        </w:rPr>
        <w:t xml:space="preserve"> institutions</w:t>
      </w:r>
      <w:r w:rsidRPr="00D42913">
        <w:rPr>
          <w:szCs w:val="24"/>
        </w:rPr>
        <w:t xml:space="preserve">).  </w:t>
      </w:r>
    </w:p>
    <w:p w:rsidR="00CC4AAE" w:rsidRDefault="00CC4AAE" w:rsidP="00CC4AAE">
      <w:pPr>
        <w:pStyle w:val="BodyText2"/>
        <w:tabs>
          <w:tab w:val="clear" w:pos="0"/>
        </w:tabs>
        <w:suppressAutoHyphens w:val="0"/>
        <w:rPr>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The SESTAT integrated database derived from these surveys represents the demographic, educational, and employment characteristics of college-educated scientists and engineers in the United States.  All three of these surveys are usually conducted every two years.  The primary purpose of the NSCG is to provide information on the U.S stock of scientists and engineers. The panel portion of the SDR also provides information on the stock, while the new sample in the SDR and the entire NSRCG provide important data on the new graduates with SEH degrees entering the labor force. The </w:t>
      </w:r>
      <w:r w:rsidRPr="00D21597">
        <w:rPr>
          <w:rFonts w:ascii="Times New Roman" w:hAnsi="Times New Roman"/>
          <w:szCs w:val="24"/>
        </w:rPr>
        <w:t>NSCG constitutes the bulk of the records in the SESTAT database; accounting for approximately 54</w:t>
      </w:r>
      <w:r w:rsidRPr="00131768">
        <w:rPr>
          <w:rFonts w:ascii="Times New Roman" w:hAnsi="Times New Roman"/>
        </w:rPr>
        <w:t>%</w:t>
      </w:r>
      <w:r w:rsidRPr="00D21597">
        <w:rPr>
          <w:rFonts w:ascii="Times New Roman" w:hAnsi="Times New Roman"/>
          <w:szCs w:val="24"/>
        </w:rPr>
        <w:t xml:space="preserve"> of the records in the SESTAT system and slightly over 88</w:t>
      </w:r>
      <w:r w:rsidRPr="00131768">
        <w:rPr>
          <w:rFonts w:ascii="Times New Roman" w:hAnsi="Times New Roman"/>
        </w:rPr>
        <w:t>%</w:t>
      </w:r>
      <w:r w:rsidRPr="00D21597">
        <w:rPr>
          <w:rFonts w:ascii="Times New Roman" w:hAnsi="Times New Roman"/>
          <w:szCs w:val="24"/>
        </w:rPr>
        <w:t xml:space="preserve"> of the population estimate</w:t>
      </w:r>
      <w:r>
        <w:rPr>
          <w:rFonts w:ascii="Times New Roman" w:hAnsi="Times New Roman"/>
          <w:szCs w:val="24"/>
        </w:rPr>
        <w:t xml:space="preserve"> in 2008</w:t>
      </w:r>
      <w:r w:rsidRPr="00D21597">
        <w:rPr>
          <w:rFonts w:ascii="Times New Roman" w:hAnsi="Times New Roman"/>
          <w:szCs w:val="24"/>
        </w:rPr>
        <w:t>.</w:t>
      </w:r>
      <w:r>
        <w:rPr>
          <w:rFonts w:ascii="Times New Roman" w:hAnsi="Times New Roman"/>
          <w:szCs w:val="24"/>
        </w:rPr>
        <w:t xml:space="preserve">  </w:t>
      </w:r>
    </w:p>
    <w:p w:rsidR="00CC4AAE" w:rsidRDefault="00CC4AAE" w:rsidP="00CC4AAE">
      <w:pPr>
        <w:tabs>
          <w:tab w:val="left" w:pos="25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The SESTAT integrated database is the only available source that provides detailed information to support a wide variety of policy and research analyses on science and engineering (S&amp;E)</w:t>
      </w:r>
      <w:r>
        <w:rPr>
          <w:rStyle w:val="FootnoteReference"/>
          <w:rFonts w:ascii="Times New Roman" w:hAnsi="Times New Roman"/>
          <w:szCs w:val="24"/>
        </w:rPr>
        <w:footnoteReference w:id="1"/>
      </w:r>
      <w:r>
        <w:rPr>
          <w:rFonts w:ascii="Times New Roman" w:hAnsi="Times New Roman"/>
          <w:szCs w:val="24"/>
        </w:rPr>
        <w:t xml:space="preserve"> workforce and personnel.  To provide complete representation of U.S. S&amp;E workforce at all degree levels, SESTAT was designed as a unified database that integrates information from all three component surveys. The system of surveys, created for the 1993 survey cycle and developed throughout the past two decades, is closely based on the recommendations of the </w:t>
      </w:r>
      <w:r>
        <w:rPr>
          <w:rFonts w:ascii="Times New Roman" w:hAnsi="Times New Roman"/>
          <w:szCs w:val="24"/>
        </w:rPr>
        <w:lastRenderedPageBreak/>
        <w:t>National Research Council’s Committee on National Statistics (CNSTAT) report to NSF.</w:t>
      </w:r>
      <w:r>
        <w:rPr>
          <w:rStyle w:val="FootnoteReference"/>
          <w:rFonts w:ascii="Times New Roman" w:hAnsi="Times New Roman"/>
          <w:szCs w:val="24"/>
        </w:rPr>
        <w:footnoteReference w:id="2"/>
      </w:r>
      <w:r>
        <w:rPr>
          <w:rFonts w:ascii="Times New Roman" w:hAnsi="Times New Roman"/>
          <w:szCs w:val="24"/>
        </w:rPr>
        <w:t xml:space="preserve">  That report recommended a data collection design based on three surveys, of which one (the NSCG) would be linked to the decennial Census.  </w:t>
      </w:r>
    </w:p>
    <w:p w:rsidR="00CC4AAE" w:rsidRPr="00175279" w:rsidRDefault="00CC4AAE" w:rsidP="00CC4AAE">
      <w:pPr>
        <w:tabs>
          <w:tab w:val="left" w:pos="0"/>
          <w:tab w:val="left" w:pos="2520"/>
        </w:tabs>
        <w:suppressAutoHyphens/>
        <w:ind w:left="0"/>
        <w:rPr>
          <w:rFonts w:ascii="Times New Roman" w:hAnsi="Times New Roman"/>
          <w:color w:val="984806" w:themeColor="accent6" w:themeShade="80"/>
          <w:szCs w:val="24"/>
        </w:rPr>
      </w:pPr>
      <w:r>
        <w:rPr>
          <w:rFonts w:ascii="Times New Roman" w:hAnsi="Times New Roman"/>
          <w:color w:val="984806" w:themeColor="accent6" w:themeShade="80"/>
          <w:szCs w:val="24"/>
        </w:rPr>
        <w:t xml:space="preserve">Below are </w:t>
      </w:r>
      <w:r w:rsidRPr="00175279">
        <w:rPr>
          <w:rFonts w:ascii="Times New Roman" w:hAnsi="Times New Roman"/>
          <w:color w:val="984806" w:themeColor="accent6" w:themeShade="80"/>
          <w:szCs w:val="24"/>
        </w:rPr>
        <w:t>summary of changes in the survey methodology in 2010 from previous year:</w:t>
      </w:r>
    </w:p>
    <w:p w:rsidR="00CC4AAE" w:rsidRPr="00175279" w:rsidRDefault="00CC4AAE" w:rsidP="00CC4AAE">
      <w:pPr>
        <w:tabs>
          <w:tab w:val="left" w:pos="0"/>
          <w:tab w:val="left" w:pos="2520"/>
        </w:tabs>
        <w:suppressAutoHyphens/>
        <w:ind w:left="0"/>
        <w:rPr>
          <w:rFonts w:ascii="Times New Roman" w:hAnsi="Times New Roman"/>
          <w:color w:val="984806" w:themeColor="accent6" w:themeShade="80"/>
          <w:szCs w:val="24"/>
        </w:rPr>
      </w:pPr>
    </w:p>
    <w:p w:rsidR="00CC4AAE" w:rsidRPr="00175279" w:rsidRDefault="00CC4AAE" w:rsidP="00CC4AAE">
      <w:pPr>
        <w:pStyle w:val="ListParagraph"/>
        <w:numPr>
          <w:ilvl w:val="0"/>
          <w:numId w:val="15"/>
        </w:numPr>
        <w:tabs>
          <w:tab w:val="left" w:pos="0"/>
          <w:tab w:val="left" w:pos="2520"/>
        </w:tabs>
        <w:suppressAutoHyphens/>
        <w:ind w:left="36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Sampling Frame Change</w:t>
      </w:r>
    </w:p>
    <w:p w:rsidR="00CC4AAE" w:rsidRPr="00175279" w:rsidRDefault="00CC4AAE" w:rsidP="00CC4AAE">
      <w:pPr>
        <w:tabs>
          <w:tab w:val="left" w:pos="0"/>
          <w:tab w:val="left" w:pos="2520"/>
        </w:tabs>
        <w:suppressAutoHyphens/>
        <w:ind w:left="-360"/>
        <w:rPr>
          <w:rFonts w:ascii="Times New Roman" w:hAnsi="Times New Roman"/>
          <w:color w:val="984806" w:themeColor="accent6" w:themeShade="80"/>
          <w:szCs w:val="24"/>
        </w:rPr>
      </w:pPr>
    </w:p>
    <w:p w:rsidR="00CC4AAE" w:rsidRPr="00175279" w:rsidRDefault="00CC4AAE" w:rsidP="00CC4AAE">
      <w:pPr>
        <w:pStyle w:val="ListParagraph"/>
        <w:numPr>
          <w:ilvl w:val="0"/>
          <w:numId w:val="16"/>
        </w:numPr>
        <w:tabs>
          <w:tab w:val="left" w:pos="0"/>
          <w:tab w:val="left" w:pos="2520"/>
        </w:tabs>
        <w:suppressAutoHyphens/>
        <w:ind w:left="630" w:hanging="27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 xml:space="preserve">The 2010 NSCG new cohort sampling frame has changed from decennial census to the American Community Survey (ACS).  In the past, a new cohort sample was drawn from the census long form after each decennial census.  The first NSCG survey in the decade has been much more expensive and burdensome than the subsequent year surveys because of the larger sample size required to identify the science, engineering and health (SHE) personnel in the U.S.  The sample size required for the 2010 survey (100,000) is significantly less than in the previous decade baseline surveys (numbers for 1993 and 2003) because of the field of bachelor’s degree data collected in the 2009 ACS allows for much more efficient sampling that targets the SEH personnel.  </w:t>
      </w:r>
    </w:p>
    <w:p w:rsidR="00CC4AAE" w:rsidRPr="00175279" w:rsidRDefault="00CC4AAE" w:rsidP="00CC4AAE">
      <w:pPr>
        <w:pStyle w:val="ListParagraph"/>
        <w:tabs>
          <w:tab w:val="left" w:pos="0"/>
          <w:tab w:val="left" w:pos="2520"/>
        </w:tabs>
        <w:suppressAutoHyphens/>
        <w:ind w:left="630" w:hanging="270"/>
        <w:rPr>
          <w:rFonts w:ascii="Times New Roman" w:hAnsi="Times New Roman"/>
          <w:color w:val="984806" w:themeColor="accent6" w:themeShade="80"/>
          <w:szCs w:val="24"/>
        </w:rPr>
      </w:pPr>
    </w:p>
    <w:p w:rsidR="00CC4AAE" w:rsidRPr="00175279" w:rsidRDefault="00CC4AAE" w:rsidP="00CC4AAE">
      <w:pPr>
        <w:pStyle w:val="ListParagraph"/>
        <w:numPr>
          <w:ilvl w:val="0"/>
          <w:numId w:val="16"/>
        </w:numPr>
        <w:tabs>
          <w:tab w:val="left" w:pos="0"/>
          <w:tab w:val="left" w:pos="2520"/>
        </w:tabs>
        <w:suppressAutoHyphens/>
        <w:ind w:left="630" w:hanging="27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Only half of the 2008 NSCG sample will be replaced with cases drawn from the 2009 ACS.  The annual sample size of the ACS is too small to draw the entire NSCG sample from a single year of ACS.  The 2012 NSCG sample will be the first NSCG sample to consist entirely of cases drawn from the ACS with half of the 2012 sample drawn from the 2011 ACS.  Beginning in 2014, for each NSCG cycle 1/4th of the NSCG sample from the previous NSCG cycle will be rotated out and replaced with new cases drawn from the ACS in the preceding year.</w:t>
      </w:r>
    </w:p>
    <w:p w:rsidR="00CC4AAE" w:rsidRPr="00175279" w:rsidRDefault="00CC4AAE" w:rsidP="00CC4AAE">
      <w:pPr>
        <w:pStyle w:val="ListParagraph"/>
        <w:ind w:left="630" w:hanging="270"/>
        <w:rPr>
          <w:rFonts w:ascii="Times New Roman" w:hAnsi="Times New Roman"/>
          <w:color w:val="984806" w:themeColor="accent6" w:themeShade="80"/>
          <w:szCs w:val="24"/>
        </w:rPr>
      </w:pPr>
    </w:p>
    <w:p w:rsidR="00CC4AAE" w:rsidRPr="00175279" w:rsidRDefault="00CC4AAE" w:rsidP="00CC4AAE">
      <w:pPr>
        <w:pStyle w:val="ListParagraph"/>
        <w:numPr>
          <w:ilvl w:val="0"/>
          <w:numId w:val="16"/>
        </w:numPr>
        <w:tabs>
          <w:tab w:val="left" w:pos="0"/>
          <w:tab w:val="left" w:pos="2520"/>
        </w:tabs>
        <w:suppressAutoHyphens/>
        <w:ind w:left="630" w:hanging="27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The 2010 NSCG sample consists of two different sample groups with an old cohort sample based on the respondents from 2008 NSCG and 2008 National Survey of Recent College Graduates (NSRCG), and a new cohort sample based on the respondents from 2009 ACS.</w:t>
      </w:r>
    </w:p>
    <w:p w:rsidR="00CC4AAE" w:rsidRPr="00175279" w:rsidRDefault="00CC4AAE" w:rsidP="00CC4AAE">
      <w:pPr>
        <w:tabs>
          <w:tab w:val="left" w:pos="0"/>
          <w:tab w:val="left" w:pos="2520"/>
        </w:tabs>
        <w:suppressAutoHyphens/>
        <w:ind w:left="-360"/>
        <w:rPr>
          <w:rFonts w:ascii="Times New Roman" w:hAnsi="Times New Roman"/>
          <w:color w:val="984806" w:themeColor="accent6" w:themeShade="80"/>
          <w:szCs w:val="24"/>
        </w:rPr>
      </w:pPr>
    </w:p>
    <w:p w:rsidR="00CC4AAE" w:rsidRPr="00175279" w:rsidRDefault="00CC4AAE" w:rsidP="00CC4AAE">
      <w:pPr>
        <w:pStyle w:val="ListParagraph"/>
        <w:numPr>
          <w:ilvl w:val="0"/>
          <w:numId w:val="15"/>
        </w:numPr>
        <w:tabs>
          <w:tab w:val="left" w:pos="0"/>
          <w:tab w:val="left" w:pos="2520"/>
        </w:tabs>
        <w:suppressAutoHyphens/>
        <w:ind w:left="36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New Web Response Mode</w:t>
      </w:r>
    </w:p>
    <w:p w:rsidR="00CC4AAE" w:rsidRPr="00175279" w:rsidRDefault="00CC4AAE" w:rsidP="00CC4AAE">
      <w:pPr>
        <w:tabs>
          <w:tab w:val="left" w:pos="0"/>
          <w:tab w:val="left" w:pos="2520"/>
        </w:tabs>
        <w:suppressAutoHyphens/>
        <w:ind w:left="-360"/>
        <w:rPr>
          <w:rFonts w:ascii="Times New Roman" w:hAnsi="Times New Roman"/>
          <w:color w:val="984806" w:themeColor="accent6" w:themeShade="80"/>
          <w:szCs w:val="24"/>
        </w:rPr>
      </w:pPr>
    </w:p>
    <w:p w:rsidR="00CC4AAE" w:rsidRPr="00175279" w:rsidRDefault="00CC4AAE" w:rsidP="00CC4AAE">
      <w:pPr>
        <w:tabs>
          <w:tab w:val="left" w:pos="0"/>
          <w:tab w:val="left" w:pos="2520"/>
        </w:tabs>
        <w:suppressAutoHyphens/>
        <w:ind w:left="36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 xml:space="preserve">For the first time, the 2010 NSCG will employ a web mode in data collection, in addition to a mail questionnaire and Computer Assisted Telephone Interview (CATI).  Sample cases will be offered a choice for responding by web or mail.  Offering more than one response choice may help obtain an increased number of responses.  Younger and recent graduates are highly web-literate, so offering a web response option is apt to be appealing to such respondents.  </w:t>
      </w:r>
    </w:p>
    <w:p w:rsidR="00CC4AAE" w:rsidRPr="00175279" w:rsidRDefault="00CC4AAE" w:rsidP="00CC4AAE">
      <w:pPr>
        <w:tabs>
          <w:tab w:val="left" w:pos="0"/>
          <w:tab w:val="left" w:pos="2520"/>
        </w:tabs>
        <w:suppressAutoHyphens/>
        <w:ind w:left="-360"/>
        <w:rPr>
          <w:rFonts w:ascii="Times New Roman" w:hAnsi="Times New Roman"/>
          <w:color w:val="984806" w:themeColor="accent6" w:themeShade="80"/>
          <w:szCs w:val="24"/>
        </w:rPr>
      </w:pPr>
    </w:p>
    <w:p w:rsidR="00CC4AAE" w:rsidRPr="00175279" w:rsidRDefault="00CC4AAE" w:rsidP="00CC4AAE">
      <w:pPr>
        <w:tabs>
          <w:tab w:val="left" w:pos="0"/>
          <w:tab w:val="left" w:pos="2520"/>
        </w:tabs>
        <w:suppressAutoHyphens/>
        <w:ind w:left="360"/>
        <w:rPr>
          <w:rFonts w:ascii="Times New Roman" w:hAnsi="Times New Roman"/>
          <w:color w:val="984806" w:themeColor="accent6" w:themeShade="80"/>
          <w:szCs w:val="24"/>
        </w:rPr>
      </w:pPr>
      <w:r w:rsidRPr="00175279">
        <w:rPr>
          <w:rFonts w:ascii="Times New Roman" w:hAnsi="Times New Roman"/>
          <w:color w:val="984806" w:themeColor="accent6" w:themeShade="80"/>
          <w:szCs w:val="24"/>
        </w:rPr>
        <w:t xml:space="preserve">Usability testing was conducted at the U.S. Census Bureau cognitive lab by the Statistical Research Division staff in the fall of 2009 and in early 2010 to examine the user interface of the NSCG web survey.  Eye tracking software was used to test the long list collection, and the placement of navigational buttons.  Preliminary results indicated that the users were highly satisfied with the usability of the web instrument. The 2010 NSCG web survey design </w:t>
      </w:r>
      <w:r w:rsidRPr="00175279">
        <w:rPr>
          <w:rFonts w:ascii="Times New Roman" w:hAnsi="Times New Roman"/>
          <w:color w:val="984806" w:themeColor="accent6" w:themeShade="80"/>
          <w:szCs w:val="24"/>
        </w:rPr>
        <w:lastRenderedPageBreak/>
        <w:t>will be based on the results of these studies and coordinated with the web survey instruments used in other two SESTAT surveys.</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2520"/>
        </w:tabs>
        <w:ind w:left="720"/>
        <w:rPr>
          <w:rFonts w:ascii="Times New Roman" w:hAnsi="Times New Roman"/>
          <w:b/>
          <w:szCs w:val="24"/>
        </w:rPr>
      </w:pPr>
    </w:p>
    <w:p w:rsidR="00CC4AAE" w:rsidRDefault="00CC4AAE" w:rsidP="00CC4AAE">
      <w:pPr>
        <w:pStyle w:val="Heading2"/>
        <w:tabs>
          <w:tab w:val="left" w:pos="720"/>
          <w:tab w:val="left" w:pos="2520"/>
        </w:tabs>
        <w:spacing w:before="0" w:after="0"/>
        <w:ind w:left="0"/>
        <w:rPr>
          <w:szCs w:val="24"/>
        </w:rPr>
      </w:pPr>
      <w:bookmarkStart w:id="4" w:name="_Toc257283576"/>
      <w:r>
        <w:rPr>
          <w:szCs w:val="24"/>
        </w:rPr>
        <w:t>1.</w:t>
      </w:r>
      <w:r>
        <w:rPr>
          <w:szCs w:val="24"/>
        </w:rPr>
        <w:tab/>
        <w:t>NECESSITY FOR INFORMATION COLLECTION</w:t>
      </w:r>
      <w:bookmarkEnd w:id="4"/>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The National Science Foundation Act of 1950, as amended by Title 42, United States Code, Section 1862 requires the National Science Foundation to:</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EndnoteText1"/>
        <w:tabs>
          <w:tab w:val="left" w:pos="2520"/>
          <w:tab w:val="left" w:pos="8910"/>
        </w:tabs>
        <w:ind w:left="360" w:right="360"/>
        <w:rPr>
          <w:rFonts w:ascii="Times New Roman" w:hAnsi="Times New Roman"/>
          <w:szCs w:val="24"/>
        </w:rPr>
      </w:pPr>
      <w:r>
        <w:rPr>
          <w:rFonts w:ascii="Times New Roman" w:hAnsi="Times New Roman"/>
          <w:szCs w:val="24"/>
        </w:rPr>
        <w:t>“Provide a central clearinghouse for the collection, interpretation, and analysis of data on scientific and engineering resources and to provide a source of information for policy formulation by other agencies of the Federal Government...” (See Appendix A)</w:t>
      </w:r>
    </w:p>
    <w:p w:rsidR="00CC4AAE" w:rsidRDefault="00CC4AAE" w:rsidP="00CC4AAE">
      <w:pPr>
        <w:pStyle w:val="Footer"/>
        <w:tabs>
          <w:tab w:val="clear" w:pos="4320"/>
          <w:tab w:val="clear" w:pos="8640"/>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In meeting its responsibilities under the NSF Act, the Foundation relied on the National Register of Scientific and Technical Personnel from 1954 through 1970 to provide names, location, and characteristics of U.S. scientists and engineers.  Acting in response to a Fiscal Year 1970 request of the House of Representatives Committee on Science and Astronautics (see U.S. Congress, House of Representatives, 91st Congress, 1st Session, </w:t>
      </w:r>
      <w:r>
        <w:rPr>
          <w:rFonts w:ascii="Times New Roman" w:hAnsi="Times New Roman"/>
          <w:i/>
          <w:szCs w:val="24"/>
        </w:rPr>
        <w:t>Report No. 91</w:t>
      </w:r>
      <w:r>
        <w:rPr>
          <w:rFonts w:ascii="Times New Roman" w:hAnsi="Times New Roman"/>
          <w:i/>
          <w:szCs w:val="24"/>
        </w:rPr>
        <w:noBreakHyphen/>
        <w:t>288</w:t>
      </w:r>
      <w:r>
        <w:rPr>
          <w:rFonts w:ascii="Times New Roman" w:hAnsi="Times New Roman"/>
          <w:szCs w:val="24"/>
        </w:rPr>
        <w:t xml:space="preserve">), NSF, in cooperation with the Office of Management and Budget and eight other agencies, undertook a study of alternative methods of acquiring personnel data on individual scientists and engineers.  </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The President's budget for Fiscal Year 1972, as submitted to the Congress, recommended the "discontinuation of the National Register of Scientific and Technical Personnel in its present form" and that funds </w:t>
      </w:r>
      <w:proofErr w:type="gramStart"/>
      <w:r>
        <w:rPr>
          <w:rFonts w:ascii="Times New Roman" w:hAnsi="Times New Roman"/>
          <w:szCs w:val="24"/>
        </w:rPr>
        <w:t>be</w:t>
      </w:r>
      <w:proofErr w:type="gramEnd"/>
      <w:r>
        <w:rPr>
          <w:rFonts w:ascii="Times New Roman" w:hAnsi="Times New Roman"/>
          <w:szCs w:val="24"/>
        </w:rPr>
        <w:t xml:space="preserve"> appropriated "to allow for the development of alternative mechanisms for obtaining required information on scientists and engineers."  The House of Representatives Committee on Science and Astronautics in its report on Authorizations for Fiscal Year 1972 states that "...it has no objection to this recommendation...."  (See U.S. Congress, House of Representatives, 92nd Congress, and 1st Session, </w:t>
      </w:r>
      <w:r>
        <w:rPr>
          <w:rFonts w:ascii="Times New Roman" w:hAnsi="Times New Roman"/>
          <w:i/>
          <w:szCs w:val="24"/>
        </w:rPr>
        <w:t>Report No. 92</w:t>
      </w:r>
      <w:r>
        <w:rPr>
          <w:rFonts w:ascii="Times New Roman" w:hAnsi="Times New Roman"/>
          <w:i/>
          <w:szCs w:val="24"/>
        </w:rPr>
        <w:noBreakHyphen/>
        <w:t>204</w:t>
      </w:r>
      <w:r>
        <w:rPr>
          <w:rFonts w:ascii="Times New Roman" w:hAnsi="Times New Roman"/>
          <w:szCs w:val="24"/>
        </w:rPr>
        <w:t xml:space="preserve">).  </w:t>
      </w:r>
    </w:p>
    <w:p w:rsidR="00CC4AAE" w:rsidRDefault="00CC4AAE" w:rsidP="00CC4AAE">
      <w:pPr>
        <w:tabs>
          <w:tab w:val="left" w:pos="0"/>
          <w:tab w:val="left" w:pos="2520"/>
        </w:tabs>
        <w:suppressAutoHyphens/>
        <w:ind w:left="0"/>
        <w:rPr>
          <w:rFonts w:ascii="Times New Roman" w:hAnsi="Times New Roman"/>
          <w:szCs w:val="24"/>
        </w:rPr>
      </w:pPr>
    </w:p>
    <w:p w:rsidR="00CC4AAE" w:rsidRPr="00BB157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Subsequently, the NSF established and continues to maintain the SESTAT system of surveys, the successor to the Scientific and Technical Personnel Data System of the 1980s, which was the successor to the National Register.  The Science and Technology Equal Opportunities Act of 1980 </w:t>
      </w:r>
      <w:proofErr w:type="gramStart"/>
      <w:r>
        <w:rPr>
          <w:rFonts w:ascii="Times New Roman" w:hAnsi="Times New Roman"/>
          <w:szCs w:val="24"/>
        </w:rPr>
        <w:t>directs</w:t>
      </w:r>
      <w:proofErr w:type="gramEnd"/>
      <w:r>
        <w:rPr>
          <w:rFonts w:ascii="Times New Roman" w:hAnsi="Times New Roman"/>
          <w:szCs w:val="24"/>
        </w:rPr>
        <w:t xml:space="preserve"> NSF to provide to Congress and the Executive Branch an “accounting and comparison by sex, race, and ethnic group and by discipline, of the participation of women and men in scientific and engineering positions.”  The SESTAT database, of which NSCG is the large majority of records, provides much of the information to meet this mandate.</w:t>
      </w:r>
    </w:p>
    <w:p w:rsidR="00CC4AAE" w:rsidRPr="00BB157E" w:rsidRDefault="00CC4AAE" w:rsidP="00CC4AAE">
      <w:pPr>
        <w:tabs>
          <w:tab w:val="left" w:pos="0"/>
          <w:tab w:val="left" w:pos="2520"/>
        </w:tabs>
        <w:suppressAutoHyphens/>
        <w:ind w:left="0"/>
        <w:rPr>
          <w:rFonts w:ascii="Times New Roman" w:hAnsi="Times New Roman"/>
          <w:szCs w:val="24"/>
        </w:rPr>
      </w:pPr>
    </w:p>
    <w:p w:rsidR="00CC4AAE" w:rsidRPr="00BB157E" w:rsidRDefault="00CC4AAE" w:rsidP="00CC4AAE">
      <w:pPr>
        <w:pStyle w:val="EndnoteText1"/>
        <w:tabs>
          <w:tab w:val="left" w:pos="0"/>
          <w:tab w:val="left" w:pos="2520"/>
        </w:tabs>
        <w:suppressAutoHyphens/>
        <w:ind w:left="0"/>
        <w:rPr>
          <w:rFonts w:ascii="Times New Roman" w:hAnsi="Times New Roman"/>
          <w:szCs w:val="24"/>
        </w:rPr>
      </w:pPr>
      <w:r>
        <w:rPr>
          <w:rFonts w:ascii="Times New Roman" w:hAnsi="Times New Roman"/>
        </w:rPr>
        <w:t>The longitudinal data from the NSCG provides valuable information on careers</w:t>
      </w:r>
      <w:r w:rsidRPr="0048730D">
        <w:rPr>
          <w:rFonts w:ascii="Times New Roman" w:hAnsi="Times New Roman"/>
        </w:rPr>
        <w:t>, training,</w:t>
      </w:r>
      <w:r>
        <w:rPr>
          <w:rFonts w:ascii="Times New Roman" w:hAnsi="Times New Roman"/>
        </w:rPr>
        <w:t xml:space="preserve"> and educational development of the Nation’s highly educated science and engineering population.  These data enable government agencies to assess the scientific and engineering resources available in the U.S. to business, industry, and academia, and to provide a basis for the formulation of the Nation's science and engineering policies.  Educational institutions use</w:t>
      </w:r>
      <w:r w:rsidRPr="0048730D">
        <w:rPr>
          <w:rFonts w:ascii="Times New Roman" w:hAnsi="Times New Roman"/>
        </w:rPr>
        <w:t xml:space="preserve"> the </w:t>
      </w:r>
      <w:r>
        <w:rPr>
          <w:rFonts w:ascii="Times New Roman" w:hAnsi="Times New Roman"/>
        </w:rPr>
        <w:t>NSCG data in establishing and modifying scientific and technical curricula, while various industries use the information to develop recruitment and remuneration policies.</w:t>
      </w:r>
      <w:r>
        <w:rPr>
          <w:rFonts w:ascii="Times New Roman" w:hAnsi="Times New Roman"/>
          <w:szCs w:val="24"/>
        </w:rPr>
        <w:t xml:space="preserve"> </w:t>
      </w:r>
    </w:p>
    <w:p w:rsidR="00CC4AAE" w:rsidRPr="00BB157E" w:rsidRDefault="00CC4AAE" w:rsidP="00CC4AAE">
      <w:pPr>
        <w:tabs>
          <w:tab w:val="left" w:pos="2520"/>
        </w:tabs>
        <w:ind w:left="0"/>
        <w:rPr>
          <w:rFonts w:ascii="Times New Roman" w:hAnsi="Times New Roman"/>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lastRenderedPageBreak/>
        <w:t xml:space="preserve">The NSF uses the information to prepare congressionally mandated biennial reports such as </w:t>
      </w:r>
      <w:r>
        <w:rPr>
          <w:rFonts w:ascii="Times New Roman" w:hAnsi="Times New Roman"/>
          <w:i/>
          <w:szCs w:val="24"/>
        </w:rPr>
        <w:t>Women, Minorities and Persons with Disabilities in Science and Engineering</w:t>
      </w:r>
      <w:r>
        <w:rPr>
          <w:rFonts w:ascii="Times New Roman" w:hAnsi="Times New Roman"/>
          <w:szCs w:val="24"/>
        </w:rPr>
        <w:t xml:space="preserve"> and </w:t>
      </w:r>
      <w:r>
        <w:rPr>
          <w:rFonts w:ascii="Times New Roman" w:hAnsi="Times New Roman"/>
          <w:i/>
          <w:szCs w:val="24"/>
        </w:rPr>
        <w:t>Science and Engineering Indicators</w:t>
      </w:r>
      <w:r>
        <w:rPr>
          <w:rFonts w:ascii="Times New Roman" w:hAnsi="Times New Roman"/>
          <w:i/>
          <w:iCs/>
          <w:szCs w:val="24"/>
        </w:rPr>
        <w:t>.</w:t>
      </w:r>
      <w:r>
        <w:rPr>
          <w:rFonts w:ascii="Times New Roman" w:hAnsi="Times New Roman"/>
          <w:szCs w:val="24"/>
        </w:rPr>
        <w:t xml:space="preserve"> These reports enable NSF to fulfill the legislative requirement to act as a clearinghouse for current information on the S&amp;E workforce.  </w:t>
      </w:r>
    </w:p>
    <w:p w:rsidR="00CC4AAE" w:rsidRDefault="00CC4AAE" w:rsidP="00CC4AAE">
      <w:pPr>
        <w:pStyle w:val="Footer"/>
        <w:tabs>
          <w:tab w:val="clear" w:pos="4320"/>
          <w:tab w:val="clear" w:pos="8640"/>
          <w:tab w:val="left" w:pos="2520"/>
        </w:tabs>
        <w:ind w:left="0"/>
        <w:rPr>
          <w:rFonts w:ascii="Times New Roman" w:hAnsi="Times New Roman"/>
          <w:szCs w:val="24"/>
        </w:rPr>
      </w:pPr>
    </w:p>
    <w:p w:rsidR="00CC4AAE" w:rsidRDefault="00CC4AAE" w:rsidP="00CC4AAE">
      <w:pPr>
        <w:pStyle w:val="Footer"/>
        <w:tabs>
          <w:tab w:val="clear" w:pos="4320"/>
          <w:tab w:val="clear" w:pos="8640"/>
          <w:tab w:val="left" w:pos="2520"/>
        </w:tabs>
        <w:ind w:left="0"/>
        <w:rPr>
          <w:rFonts w:ascii="Times New Roman" w:hAnsi="Times New Roman"/>
          <w:szCs w:val="24"/>
        </w:rPr>
      </w:pPr>
      <w:r>
        <w:rPr>
          <w:rFonts w:ascii="Times New Roman" w:hAnsi="Times New Roman"/>
          <w:szCs w:val="24"/>
        </w:rPr>
        <w:t>The Committee for Equal Opportunity in Science and Engineering (CEOSE), an advisory committee to the NSF and other government agencies, established under 42 U.S.C. §1885c, has been charged by the U.S. Congress with advising NSF in assuring that all individuals are empowered and enabled to participate fully in science, mathematics, engineering and technology.  Every two years CEOSE prepares a congressionally mandated report that makes extensive use of the SESTAT data to highlight key areas of concerns relating to students, educators and technical professionals.</w:t>
      </w:r>
    </w:p>
    <w:p w:rsidR="00CC4AAE" w:rsidRDefault="00CC4AAE" w:rsidP="00CC4AAE">
      <w:pPr>
        <w:pStyle w:val="Footer"/>
        <w:tabs>
          <w:tab w:val="clear" w:pos="4320"/>
          <w:tab w:val="clear" w:pos="8640"/>
          <w:tab w:val="left" w:pos="2520"/>
        </w:tabs>
        <w:ind w:left="0"/>
        <w:rPr>
          <w:rFonts w:ascii="Times New Roman" w:hAnsi="Times New Roman"/>
          <w:szCs w:val="24"/>
        </w:rPr>
      </w:pPr>
    </w:p>
    <w:p w:rsidR="00CC4AAE" w:rsidRDefault="00CC4AAE" w:rsidP="00CC4AAE">
      <w:pPr>
        <w:pStyle w:val="Footer"/>
        <w:tabs>
          <w:tab w:val="clear" w:pos="4320"/>
          <w:tab w:val="clear" w:pos="8640"/>
          <w:tab w:val="left" w:pos="2520"/>
        </w:tabs>
        <w:ind w:left="0"/>
        <w:rPr>
          <w:rFonts w:ascii="Times New Roman" w:hAnsi="Times New Roman"/>
          <w:szCs w:val="24"/>
        </w:rPr>
      </w:pPr>
      <w:r>
        <w:rPr>
          <w:rFonts w:ascii="Times New Roman" w:hAnsi="Times New Roman"/>
          <w:szCs w:val="24"/>
        </w:rPr>
        <w:t xml:space="preserve">The importance of information on the scientific and technical workforce to inform public policy can be seen in discussions of the National Science Board’s Task Force on National Workforce Policies for Science and Engineering.  The taskforce relied heavily on SESTAT data to inform its deliberations about the S&amp;E workforce and SESTAT data were an integral part of the taskforce’s final report. (See </w:t>
      </w:r>
      <w:hyperlink r:id="rId11" w:history="1">
        <w:r>
          <w:rPr>
            <w:rStyle w:val="Hyperlink"/>
            <w:rFonts w:ascii="Times New Roman" w:hAnsi="Times New Roman"/>
            <w:szCs w:val="24"/>
          </w:rPr>
          <w:t>http://nsf.gov/nsb/documents/2003/nsb0369</w:t>
        </w:r>
      </w:hyperlink>
      <w:r>
        <w:rPr>
          <w:rFonts w:ascii="Times New Roman" w:hAnsi="Times New Roman"/>
          <w:szCs w:val="24"/>
        </w:rPr>
        <w:t>.)</w:t>
      </w:r>
    </w:p>
    <w:p w:rsidR="00CC4AAE" w:rsidRDefault="00CC4AAE" w:rsidP="00CC4AAE">
      <w:pPr>
        <w:pStyle w:val="Heading2"/>
        <w:tabs>
          <w:tab w:val="clear" w:pos="0"/>
          <w:tab w:val="left" w:pos="720"/>
        </w:tabs>
        <w:spacing w:before="0" w:after="0"/>
        <w:ind w:left="0"/>
        <w:rPr>
          <w:szCs w:val="24"/>
        </w:rPr>
      </w:pPr>
    </w:p>
    <w:p w:rsidR="00CC4AAE" w:rsidRDefault="00CC4AAE" w:rsidP="00CC4AAE"/>
    <w:p w:rsidR="00CC4AAE" w:rsidRDefault="00CC4AAE" w:rsidP="00CC4AAE">
      <w:pPr>
        <w:pStyle w:val="Heading2"/>
        <w:numPr>
          <w:ilvl w:val="0"/>
          <w:numId w:val="14"/>
        </w:numPr>
        <w:tabs>
          <w:tab w:val="clear" w:pos="0"/>
          <w:tab w:val="left" w:pos="720"/>
        </w:tabs>
        <w:spacing w:before="0" w:after="0"/>
        <w:ind w:hanging="1080"/>
        <w:rPr>
          <w:szCs w:val="24"/>
        </w:rPr>
      </w:pPr>
      <w:bookmarkStart w:id="5" w:name="_Toc257283577"/>
      <w:r>
        <w:rPr>
          <w:szCs w:val="24"/>
        </w:rPr>
        <w:t>USES OF INFORMATION</w:t>
      </w:r>
      <w:bookmarkEnd w:id="5"/>
    </w:p>
    <w:p w:rsidR="00CC4AAE" w:rsidRDefault="00CC4AAE" w:rsidP="00CC4AAE">
      <w:pPr>
        <w:rPr>
          <w:rFonts w:ascii="Times New Roman" w:hAnsi="Times New Roman"/>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Researchers, policymakers and other users of the data use information from the SESTAT database to answer questions about the number, employment, education, and characteristics of the S&amp;E workforce. Because it provides up-to-date and nationally representative data, researchers and policymakers use the database to address questions on topics such as the role of foreign-born or foreign-degreed scientists and engineers, the transition from higher education to the workforce, the role and importance of </w:t>
      </w:r>
      <w:proofErr w:type="spellStart"/>
      <w:r>
        <w:rPr>
          <w:rFonts w:ascii="Times New Roman" w:hAnsi="Times New Roman"/>
          <w:szCs w:val="24"/>
        </w:rPr>
        <w:t>postdocs</w:t>
      </w:r>
      <w:proofErr w:type="spellEnd"/>
      <w:r>
        <w:rPr>
          <w:rFonts w:ascii="Times New Roman" w:hAnsi="Times New Roman"/>
          <w:szCs w:val="24"/>
        </w:rPr>
        <w:t>, diversity in both education and employment, the implications of an aging cohort of scientists and engineers as baby boomers reach retirement age, and information on long-term trends in the S&amp;E workforce.</w:t>
      </w:r>
    </w:p>
    <w:p w:rsidR="00CC4AAE" w:rsidRDefault="00CC4AAE" w:rsidP="00CC4AAE">
      <w:pPr>
        <w:tabs>
          <w:tab w:val="left" w:pos="2520"/>
        </w:tabs>
        <w:ind w:left="0"/>
        <w:rPr>
          <w:rFonts w:ascii="Times New Roman" w:hAnsi="Times New Roman"/>
          <w:szCs w:val="24"/>
        </w:rPr>
      </w:pPr>
    </w:p>
    <w:p w:rsidR="00CC4AAE" w:rsidRDefault="00CC4AAE" w:rsidP="00CC4AAE">
      <w:pPr>
        <w:autoSpaceDE w:val="0"/>
        <w:autoSpaceDN w:val="0"/>
        <w:adjustRightInd w:val="0"/>
        <w:ind w:left="0"/>
        <w:rPr>
          <w:rFonts w:ascii="Times New Roman" w:hAnsi="Times New Roman"/>
          <w:i/>
        </w:rPr>
      </w:pPr>
      <w:r>
        <w:rPr>
          <w:rFonts w:ascii="Times New Roman" w:hAnsi="Times New Roman"/>
          <w:szCs w:val="24"/>
        </w:rPr>
        <w:t xml:space="preserve">Data from NSF’s SESTAT component surveys are used in policy discussions of the executive and legislative branches of Government, the National Science Board, NSF management, the National Academy of Sciences, professional associations, and other private and public organizations. Some recent specific examples of the use of the SESTAT data are: the American Institutes of Research used the SESTAT data in the evaluation of the NSF’s Alliance for Graduate Education and the Professoriate Program; the </w:t>
      </w:r>
      <w:r>
        <w:rPr>
          <w:rFonts w:ascii="Times New Roman" w:hAnsi="Times New Roman"/>
        </w:rPr>
        <w:t>Commission on Professionals in Science and Technology regularly publishes data from SESTAT in their STEM Trends publications</w:t>
      </w:r>
      <w:r>
        <w:rPr>
          <w:rFonts w:ascii="Times New Roman" w:hAnsi="Times New Roman"/>
          <w:szCs w:val="24"/>
        </w:rPr>
        <w:t xml:space="preserve">; the </w:t>
      </w:r>
      <w:r>
        <w:rPr>
          <w:rFonts w:ascii="Times New Roman" w:hAnsi="Times New Roman"/>
          <w:iCs/>
        </w:rPr>
        <w:t xml:space="preserve">General Accounting Office used the SESTAT data to issue a report on education and disability. The Federal Reserve Bank of St. Louis used the SESTAT data to </w:t>
      </w:r>
      <w:r w:rsidRPr="00131768">
        <w:rPr>
          <w:rFonts w:ascii="Times New Roman" w:hAnsi="Times New Roman"/>
          <w:iCs/>
        </w:rPr>
        <w:t xml:space="preserve">examine the pathway from Community College to a Bachelor's Degree and </w:t>
      </w:r>
      <w:proofErr w:type="gramStart"/>
      <w:r w:rsidRPr="00131768">
        <w:rPr>
          <w:rFonts w:ascii="Times New Roman" w:hAnsi="Times New Roman"/>
          <w:iCs/>
        </w:rPr>
        <w:t>Beyond</w:t>
      </w:r>
      <w:proofErr w:type="gramEnd"/>
      <w:r>
        <w:rPr>
          <w:rFonts w:ascii="Times New Roman" w:hAnsi="Times New Roman"/>
          <w:iCs/>
        </w:rPr>
        <w:t>;</w:t>
      </w:r>
      <w:r w:rsidRPr="0053456B">
        <w:rPr>
          <w:rFonts w:ascii="Times New Roman" w:hAnsi="Times New Roman"/>
          <w:szCs w:val="24"/>
        </w:rPr>
        <w:t xml:space="preserve"> </w:t>
      </w:r>
      <w:r>
        <w:rPr>
          <w:rFonts w:ascii="Times New Roman" w:hAnsi="Times New Roman"/>
          <w:szCs w:val="24"/>
        </w:rPr>
        <w:t>and many Ph.D. students use the SESTAT workforce data in dissertations.</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b/>
          <w:bCs/>
          <w:i/>
          <w:iCs/>
          <w:szCs w:val="24"/>
        </w:rPr>
        <w:t>Data Dissemination and Access</w:t>
      </w: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  </w:t>
      </w:r>
    </w:p>
    <w:p w:rsidR="00CC4AAE" w:rsidRDefault="00CC4AAE" w:rsidP="00CC4AAE">
      <w:pPr>
        <w:pStyle w:val="EndnoteText2"/>
        <w:tabs>
          <w:tab w:val="left" w:pos="0"/>
          <w:tab w:val="left" w:pos="2520"/>
        </w:tabs>
        <w:suppressAutoHyphens/>
        <w:ind w:left="0"/>
        <w:rPr>
          <w:rFonts w:ascii="Times New Roman" w:hAnsi="Times New Roman"/>
          <w:szCs w:val="24"/>
        </w:rPr>
      </w:pPr>
      <w:r>
        <w:rPr>
          <w:rFonts w:ascii="Times New Roman" w:hAnsi="Times New Roman"/>
          <w:szCs w:val="24"/>
        </w:rPr>
        <w:lastRenderedPageBreak/>
        <w:t xml:space="preserve">The NSF makes the data from the SESTAT system of surveys available through published reports, the SESTAT on-line data system, public use files and restricted licenses. The 1993 and 2003 NSCG data are available as public-use files.  The NSCG panel data from all the 1990s and 2000s cycles are also available as a component of the SESTAT database for each survey year (1993, 1995, 1997, 1999, 2003, 2006 and 2008), which are available as SESTAT public-use files.  </w:t>
      </w:r>
    </w:p>
    <w:p w:rsidR="00CC4AAE" w:rsidRDefault="00CC4AAE" w:rsidP="00CC4AAE">
      <w:pPr>
        <w:tabs>
          <w:tab w:val="left" w:pos="0"/>
          <w:tab w:val="left" w:pos="2520"/>
        </w:tabs>
        <w:suppressAutoHyphens/>
        <w:ind w:left="0"/>
        <w:rPr>
          <w:rFonts w:ascii="Times New Roman" w:hAnsi="Times New Roman"/>
          <w:szCs w:val="24"/>
          <w:highlight w:val="yellow"/>
        </w:rPr>
      </w:pPr>
    </w:p>
    <w:p w:rsidR="00CC4AAE" w:rsidRDefault="00CC4AAE" w:rsidP="00CC4AAE">
      <w:pPr>
        <w:tabs>
          <w:tab w:val="left" w:pos="2520"/>
        </w:tabs>
        <w:ind w:left="0"/>
        <w:rPr>
          <w:rFonts w:ascii="Times New Roman" w:hAnsi="Times New Roman"/>
          <w:i/>
          <w:szCs w:val="24"/>
        </w:rPr>
      </w:pPr>
      <w:r>
        <w:rPr>
          <w:rFonts w:ascii="Times New Roman" w:hAnsi="Times New Roman"/>
          <w:szCs w:val="24"/>
        </w:rPr>
        <w:t xml:space="preserve">The SESTAT data were used extensively in the latest versions of the congressionally mandated biennial reports </w:t>
      </w:r>
      <w:r>
        <w:rPr>
          <w:rFonts w:ascii="Times New Roman" w:hAnsi="Times New Roman"/>
          <w:i/>
          <w:szCs w:val="24"/>
        </w:rPr>
        <w:t>Science and Engineering Indicators, 2010</w:t>
      </w:r>
      <w:r>
        <w:rPr>
          <w:rFonts w:ascii="Times New Roman" w:hAnsi="Times New Roman"/>
          <w:szCs w:val="24"/>
        </w:rPr>
        <w:t xml:space="preserve"> and </w:t>
      </w:r>
      <w:r>
        <w:rPr>
          <w:rFonts w:ascii="Times New Roman" w:hAnsi="Times New Roman"/>
          <w:i/>
          <w:szCs w:val="24"/>
        </w:rPr>
        <w:t>Women, Minorities and Persons with Disabilities in Science and Engineering, 2009.</w:t>
      </w:r>
    </w:p>
    <w:p w:rsidR="00CC4AAE" w:rsidRDefault="00CC4AAE" w:rsidP="00CC4AAE">
      <w:pPr>
        <w:tabs>
          <w:tab w:val="left" w:pos="2520"/>
        </w:tabs>
        <w:ind w:left="0"/>
        <w:rPr>
          <w:rFonts w:ascii="Times New Roman" w:hAnsi="Times New Roman"/>
          <w:szCs w:val="24"/>
        </w:rPr>
      </w:pPr>
      <w:bookmarkStart w:id="6" w:name="_Toc28151311"/>
    </w:p>
    <w:p w:rsidR="00CC4AAE" w:rsidRDefault="00CC4AAE" w:rsidP="00CC4AAE">
      <w:pPr>
        <w:tabs>
          <w:tab w:val="left" w:pos="2520"/>
        </w:tabs>
        <w:ind w:left="0"/>
        <w:rPr>
          <w:rFonts w:ascii="Times New Roman" w:hAnsi="Times New Roman"/>
          <w:szCs w:val="24"/>
        </w:rPr>
      </w:pPr>
      <w:r>
        <w:rPr>
          <w:rFonts w:ascii="Times New Roman" w:hAnsi="Times New Roman"/>
          <w:szCs w:val="24"/>
        </w:rPr>
        <w:t>NSF also used the NSCG and SESTAT integrated data in</w:t>
      </w:r>
      <w:bookmarkEnd w:id="6"/>
      <w:r>
        <w:rPr>
          <w:rFonts w:ascii="Times New Roman" w:hAnsi="Times New Roman"/>
          <w:szCs w:val="24"/>
        </w:rPr>
        <w:t xml:space="preserve"> recent reports such as:</w:t>
      </w:r>
    </w:p>
    <w:p w:rsidR="00CC4AAE" w:rsidRDefault="00CC4AAE" w:rsidP="00CC4AAE">
      <w:pPr>
        <w:tabs>
          <w:tab w:val="left" w:pos="2520"/>
        </w:tabs>
        <w:ind w:left="0" w:firstLine="180"/>
        <w:rPr>
          <w:rFonts w:ascii="Times New Roman" w:hAnsi="Times New Roman"/>
          <w:szCs w:val="24"/>
        </w:rPr>
      </w:pPr>
    </w:p>
    <w:p w:rsidR="00CC4AAE" w:rsidRDefault="00CC4AAE" w:rsidP="00CC4AAE">
      <w:pPr>
        <w:pStyle w:val="Footer"/>
        <w:numPr>
          <w:ilvl w:val="0"/>
          <w:numId w:val="1"/>
        </w:numPr>
        <w:tabs>
          <w:tab w:val="clear" w:pos="4320"/>
          <w:tab w:val="clear" w:pos="8640"/>
          <w:tab w:val="num" w:pos="-3240"/>
          <w:tab w:val="left" w:pos="720"/>
          <w:tab w:val="num" w:pos="1440"/>
          <w:tab w:val="left" w:pos="2520"/>
        </w:tabs>
        <w:spacing w:after="120"/>
        <w:rPr>
          <w:rStyle w:val="pageheadline1"/>
          <w:rFonts w:ascii="Times New Roman" w:hAnsi="Times New Roman"/>
          <w:b w:val="0"/>
          <w:bCs w:val="0"/>
          <w:i/>
          <w:szCs w:val="24"/>
        </w:rPr>
      </w:pPr>
      <w:r>
        <w:rPr>
          <w:rStyle w:val="pageheadline1"/>
          <w:rFonts w:ascii="Times New Roman" w:hAnsi="Times New Roman"/>
          <w:i/>
          <w:szCs w:val="24"/>
        </w:rPr>
        <w:t>2003 College Graduates in the</w:t>
      </w:r>
      <w:r w:rsidRPr="0048730D">
        <w:rPr>
          <w:rStyle w:val="pageheadline1"/>
          <w:rFonts w:ascii="Times New Roman" w:hAnsi="Times New Roman"/>
        </w:rPr>
        <w:t xml:space="preserve"> U.S. </w:t>
      </w:r>
      <w:r>
        <w:rPr>
          <w:rStyle w:val="pageheadline1"/>
          <w:rFonts w:ascii="Times New Roman" w:hAnsi="Times New Roman"/>
          <w:i/>
          <w:szCs w:val="24"/>
        </w:rPr>
        <w:t>Workforce: A Profile</w:t>
      </w:r>
      <w:r>
        <w:rPr>
          <w:rStyle w:val="pageheadline1"/>
          <w:rFonts w:ascii="Times New Roman" w:hAnsi="Times New Roman"/>
          <w:szCs w:val="24"/>
        </w:rPr>
        <w:t>, December 2005</w:t>
      </w:r>
    </w:p>
    <w:p w:rsidR="00CC4AAE" w:rsidRDefault="00CC4AAE" w:rsidP="00CC4AAE">
      <w:pPr>
        <w:pStyle w:val="Footer"/>
        <w:numPr>
          <w:ilvl w:val="0"/>
          <w:numId w:val="1"/>
        </w:numPr>
        <w:tabs>
          <w:tab w:val="clear" w:pos="4320"/>
          <w:tab w:val="clear" w:pos="8640"/>
          <w:tab w:val="num" w:pos="-3240"/>
          <w:tab w:val="left" w:pos="720"/>
          <w:tab w:val="num" w:pos="1440"/>
          <w:tab w:val="left" w:pos="2520"/>
        </w:tabs>
        <w:spacing w:after="120"/>
        <w:rPr>
          <w:rStyle w:val="pageheadline1"/>
          <w:rFonts w:ascii="Times New Roman" w:hAnsi="Times New Roman"/>
          <w:b w:val="0"/>
        </w:rPr>
      </w:pPr>
      <w:r>
        <w:rPr>
          <w:rStyle w:val="pageheadline1"/>
          <w:rFonts w:ascii="Times New Roman" w:hAnsi="Times New Roman"/>
          <w:i/>
          <w:szCs w:val="24"/>
        </w:rPr>
        <w:t>What Do People Do After Earning a Science</w:t>
      </w:r>
      <w:r w:rsidRPr="0048730D">
        <w:rPr>
          <w:rStyle w:val="pageheadline1"/>
          <w:rFonts w:ascii="Times New Roman" w:hAnsi="Times New Roman"/>
        </w:rPr>
        <w:t xml:space="preserve"> </w:t>
      </w:r>
      <w:r w:rsidRPr="00D62415">
        <w:rPr>
          <w:rStyle w:val="pageheadline1"/>
          <w:rFonts w:ascii="Times New Roman" w:hAnsi="Times New Roman"/>
          <w:i/>
        </w:rPr>
        <w:t xml:space="preserve">and </w:t>
      </w:r>
      <w:r>
        <w:rPr>
          <w:rStyle w:val="pageheadline1"/>
          <w:rFonts w:ascii="Times New Roman" w:hAnsi="Times New Roman"/>
          <w:i/>
          <w:szCs w:val="24"/>
        </w:rPr>
        <w:t>Engineering Bachelor's Degree?</w:t>
      </w:r>
      <w:r>
        <w:rPr>
          <w:rStyle w:val="pageheadline1"/>
          <w:rFonts w:ascii="Times New Roman" w:hAnsi="Times New Roman"/>
          <w:szCs w:val="24"/>
        </w:rPr>
        <w:t xml:space="preserve"> June </w:t>
      </w:r>
      <w:r w:rsidRPr="0048730D">
        <w:rPr>
          <w:rStyle w:val="pageheadline1"/>
          <w:rFonts w:ascii="Times New Roman" w:hAnsi="Times New Roman"/>
        </w:rPr>
        <w:t>2006</w:t>
      </w:r>
    </w:p>
    <w:p w:rsidR="00CC4AAE" w:rsidRDefault="00CC4AAE" w:rsidP="00CC4AAE">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Why Did They Come to the United States? A Profile of Immigrant Scientists and Engineers</w:t>
      </w:r>
      <w:r>
        <w:rPr>
          <w:rFonts w:ascii="Times New Roman" w:hAnsi="Times New Roman"/>
          <w:color w:val="000000"/>
          <w:szCs w:val="24"/>
        </w:rPr>
        <w:t xml:space="preserve">, June 2007 </w:t>
      </w:r>
    </w:p>
    <w:p w:rsidR="00CC4AAE" w:rsidRDefault="00CC4AAE" w:rsidP="00CC4AAE">
      <w:pPr>
        <w:pStyle w:val="Footer"/>
        <w:numPr>
          <w:ilvl w:val="0"/>
          <w:numId w:val="1"/>
        </w:numPr>
        <w:tabs>
          <w:tab w:val="clear" w:pos="4320"/>
          <w:tab w:val="clear" w:pos="8640"/>
          <w:tab w:val="num" w:pos="-3240"/>
          <w:tab w:val="left" w:pos="720"/>
          <w:tab w:val="num" w:pos="1440"/>
          <w:tab w:val="left" w:pos="2520"/>
        </w:tabs>
        <w:spacing w:after="120"/>
        <w:rPr>
          <w:rFonts w:ascii="Times New Roman" w:hAnsi="Times New Roman"/>
          <w:szCs w:val="24"/>
        </w:rPr>
      </w:pPr>
      <w:r>
        <w:rPr>
          <w:rFonts w:ascii="Times New Roman" w:hAnsi="Times New Roman"/>
          <w:i/>
          <w:color w:val="000000"/>
          <w:szCs w:val="24"/>
        </w:rPr>
        <w:t>Unemployment Rate of U.S. Scientists and Engineers Drops to Record Low 2.5% in 2006</w:t>
      </w:r>
      <w:r>
        <w:rPr>
          <w:rFonts w:ascii="Times New Roman" w:hAnsi="Times New Roman"/>
          <w:color w:val="000000"/>
          <w:szCs w:val="24"/>
        </w:rPr>
        <w:t>, March 2008</w:t>
      </w:r>
    </w:p>
    <w:p w:rsidR="00CC4AAE" w:rsidRDefault="00CC4AAE" w:rsidP="00CC4AAE">
      <w:pPr>
        <w:pStyle w:val="Quicka"/>
        <w:widowControl/>
        <w:tabs>
          <w:tab w:val="left" w:pos="2520"/>
        </w:tabs>
        <w:rPr>
          <w:snapToGrid/>
          <w:szCs w:val="24"/>
        </w:rPr>
      </w:pPr>
    </w:p>
    <w:p w:rsidR="00CC4AAE" w:rsidRDefault="00CC4AAE" w:rsidP="00CC4AAE">
      <w:pPr>
        <w:tabs>
          <w:tab w:val="left" w:pos="0"/>
          <w:tab w:val="left" w:pos="440"/>
        </w:tabs>
        <w:suppressAutoHyphens/>
        <w:ind w:left="0"/>
        <w:rPr>
          <w:szCs w:val="24"/>
        </w:rPr>
      </w:pPr>
      <w:r>
        <w:rPr>
          <w:szCs w:val="24"/>
        </w:rPr>
        <w:t xml:space="preserve">All </w:t>
      </w:r>
      <w:r>
        <w:rPr>
          <w:rFonts w:ascii="Times New Roman" w:hAnsi="Times New Roman"/>
          <w:szCs w:val="24"/>
        </w:rPr>
        <w:t xml:space="preserve">NSF Publications can be accessed on the </w:t>
      </w:r>
      <w:r>
        <w:rPr>
          <w:szCs w:val="24"/>
        </w:rPr>
        <w:t xml:space="preserve">SRS website </w:t>
      </w:r>
      <w:r>
        <w:rPr>
          <w:rFonts w:ascii="Times New Roman" w:hAnsi="Times New Roman"/>
          <w:szCs w:val="24"/>
        </w:rPr>
        <w:t>at</w:t>
      </w:r>
      <w:r>
        <w:rPr>
          <w:szCs w:val="24"/>
        </w:rPr>
        <w:t xml:space="preserve"> </w:t>
      </w:r>
      <w:hyperlink r:id="rId12" w:history="1">
        <w:r>
          <w:rPr>
            <w:rStyle w:val="Hyperlink"/>
            <w:szCs w:val="24"/>
          </w:rPr>
          <w:t>http://www.nsf.gov/statistics</w:t>
        </w:r>
      </w:hyperlink>
      <w:r>
        <w:rPr>
          <w:szCs w:val="24"/>
        </w:rPr>
        <w:t>.</w:t>
      </w:r>
    </w:p>
    <w:p w:rsidR="00CC4AAE" w:rsidRDefault="00CC4AAE" w:rsidP="00CC4AAE">
      <w:pPr>
        <w:tabs>
          <w:tab w:val="left" w:pos="2520"/>
        </w:tabs>
        <w:ind w:left="0"/>
        <w:rPr>
          <w:rFonts w:ascii="Times New Roman" w:hAnsi="Times New Roman"/>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To provide better accessibility to information for policy makers and researchers, NSF provides the SESTAT integrated database and the NSCG data on the internet.  The SESTAT on-line system allows internet users to create customized data tabulations with a user-specified subject area.  </w:t>
      </w:r>
      <w:r>
        <w:rPr>
          <w:rFonts w:ascii="Times New Roman" w:hAnsi="Times New Roman"/>
        </w:rPr>
        <w:t>Additionally, the NSCG and SESTAT public-use files are available for download through the SESTAT web page</w:t>
      </w:r>
      <w:r>
        <w:rPr>
          <w:rFonts w:ascii="Times New Roman" w:hAnsi="Times New Roman"/>
          <w:szCs w:val="24"/>
        </w:rPr>
        <w:t xml:space="preserve"> at </w:t>
      </w:r>
      <w:hyperlink r:id="rId13" w:history="1">
        <w:r>
          <w:rPr>
            <w:rStyle w:val="Hyperlink"/>
            <w:rFonts w:ascii="Times New Roman" w:hAnsi="Times New Roman"/>
            <w:szCs w:val="24"/>
          </w:rPr>
          <w:t>http://www.nsf.gov/statistics/sestat</w:t>
        </w:r>
      </w:hyperlink>
      <w:r>
        <w:rPr>
          <w:rFonts w:ascii="Times New Roman" w:hAnsi="Times New Roman"/>
          <w:szCs w:val="24"/>
        </w:rPr>
        <w:t xml:space="preserve">. </w:t>
      </w:r>
    </w:p>
    <w:p w:rsidR="00CC4AAE" w:rsidRDefault="00CC4AAE" w:rsidP="00CC4AAE">
      <w:pPr>
        <w:tabs>
          <w:tab w:val="left" w:pos="2520"/>
        </w:tabs>
        <w:ind w:left="0"/>
        <w:rPr>
          <w:rFonts w:ascii="Times New Roman" w:hAnsi="Times New Roman"/>
          <w:szCs w:val="24"/>
        </w:rPr>
      </w:pPr>
    </w:p>
    <w:p w:rsidR="00CC4AAE" w:rsidRDefault="00CC4AAE" w:rsidP="00CC4AAE">
      <w:pPr>
        <w:pStyle w:val="BodyTextIndent3"/>
        <w:tabs>
          <w:tab w:val="clear" w:pos="211"/>
          <w:tab w:val="clear" w:pos="72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 w:val="left" w:pos="2520"/>
        </w:tabs>
        <w:ind w:left="0"/>
        <w:rPr>
          <w:rFonts w:ascii="Times New Roman" w:hAnsi="Times New Roman"/>
          <w:szCs w:val="24"/>
        </w:rPr>
      </w:pPr>
      <w:r>
        <w:rPr>
          <w:rFonts w:ascii="Times New Roman" w:hAnsi="Times New Roman"/>
          <w:szCs w:val="24"/>
        </w:rPr>
        <w:t>Results from the SESTAT integrated database and NSCG data are routinely presented at the conferences and professional meetings, such as the annual meetings of the Association for Institutional Research or the American Educational Research Association.</w:t>
      </w:r>
    </w:p>
    <w:p w:rsidR="00CC4AAE" w:rsidRDefault="00CC4AAE" w:rsidP="00CC4AAE">
      <w:pPr>
        <w:tabs>
          <w:tab w:val="left" w:pos="2520"/>
        </w:tabs>
        <w:ind w:left="0"/>
        <w:rPr>
          <w:rFonts w:ascii="Times New Roman" w:hAnsi="Times New Roman"/>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Since 2005, NSF has distributed over 200 files of the more than decade-old 1993 public-use NSCG data set to researchers in government, academia, and professional societies. </w:t>
      </w:r>
      <w:r>
        <w:rPr>
          <w:rFonts w:ascii="Times New Roman" w:hAnsi="Times New Roman"/>
        </w:rPr>
        <w:t xml:space="preserve">Close to 700 copies of the 2003 NSCG public-use files have been requested since 2005. </w:t>
      </w:r>
      <w:r>
        <w:rPr>
          <w:rFonts w:ascii="Times New Roman" w:hAnsi="Times New Roman"/>
          <w:szCs w:val="24"/>
        </w:rPr>
        <w:t xml:space="preserve">In spite of the age of the data, the 1993 and 2003 NSCG data continue to be heavily used because they are the only data sets analysts can use to compare the S&amp;E workforce to the general population of college degree holders in the U.S.  Besides capturing people with degrees earned at U.S. institutions, the NSCG between 1993 and 2008 included college degree holders who earned their degrees outside of the United States and who were residing here at the time of the previous census.  </w:t>
      </w:r>
    </w:p>
    <w:p w:rsidR="00CC4AAE" w:rsidRDefault="00CC4AAE" w:rsidP="00CC4AAE">
      <w:pPr>
        <w:tabs>
          <w:tab w:val="left" w:pos="2520"/>
        </w:tabs>
        <w:ind w:left="0"/>
        <w:rPr>
          <w:rFonts w:ascii="Times New Roman" w:hAnsi="Times New Roman"/>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There are approximately 20 licensed users for the 2003 and 2006 SESTAT integrated database micro data files under a licensing agreement with SRS.  </w:t>
      </w:r>
      <w:proofErr w:type="gramStart"/>
      <w:r>
        <w:rPr>
          <w:rFonts w:ascii="Times New Roman" w:hAnsi="Times New Roman"/>
          <w:szCs w:val="24"/>
        </w:rPr>
        <w:t>Close to 800 users have downloaded the SESTAT public-use files since 2005.</w:t>
      </w:r>
      <w:proofErr w:type="gramEnd"/>
      <w:r>
        <w:rPr>
          <w:rFonts w:ascii="Times New Roman" w:hAnsi="Times New Roman"/>
          <w:szCs w:val="24"/>
        </w:rPr>
        <w:t xml:space="preserve">  As previously noted, over half of the records in the SESTAT file come from the NSCG.</w:t>
      </w:r>
    </w:p>
    <w:p w:rsidR="00CC4AAE" w:rsidRDefault="00CC4AAE" w:rsidP="00CC4AAE">
      <w:pPr>
        <w:tabs>
          <w:tab w:val="left" w:pos="2520"/>
        </w:tabs>
        <w:ind w:left="0"/>
        <w:rPr>
          <w:rFonts w:ascii="Times New Roman" w:hAnsi="Times New Roman"/>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Some of the research from the public use NSCG data and the SESTAT restricted data licensees resulted in papers such as:</w:t>
      </w:r>
    </w:p>
    <w:p w:rsidR="00CC4AAE" w:rsidRDefault="00CC4AAE" w:rsidP="00CC4AAE">
      <w:pPr>
        <w:tabs>
          <w:tab w:val="left" w:pos="2520"/>
        </w:tabs>
        <w:ind w:left="0"/>
        <w:rPr>
          <w:rFonts w:ascii="Times New Roman" w:hAnsi="Times New Roman"/>
          <w:szCs w:val="24"/>
        </w:rPr>
      </w:pPr>
    </w:p>
    <w:p w:rsidR="00CC4AAE" w:rsidRPr="008D011F" w:rsidRDefault="00CC4AAE" w:rsidP="00CC4AAE">
      <w:pPr>
        <w:numPr>
          <w:ilvl w:val="0"/>
          <w:numId w:val="11"/>
        </w:numPr>
        <w:spacing w:after="120"/>
        <w:rPr>
          <w:rFonts w:ascii="Times New Roman" w:hAnsi="Times New Roman"/>
          <w:i/>
          <w:iCs/>
        </w:rPr>
      </w:pPr>
      <w:r>
        <w:rPr>
          <w:rFonts w:ascii="Times New Roman" w:hAnsi="Times New Roman"/>
          <w:i/>
          <w:iCs/>
        </w:rPr>
        <w:t xml:space="preserve">Why Do Women Leave Science and Engineering? </w:t>
      </w:r>
      <w:r>
        <w:rPr>
          <w:rFonts w:ascii="Times New Roman" w:hAnsi="Times New Roman"/>
          <w:iCs/>
        </w:rPr>
        <w:t>National Bureau of Economic Research, 2010</w:t>
      </w:r>
    </w:p>
    <w:p w:rsidR="00CC4AAE" w:rsidRDefault="00CC4AAE" w:rsidP="00CC4AAE">
      <w:pPr>
        <w:numPr>
          <w:ilvl w:val="0"/>
          <w:numId w:val="11"/>
        </w:numPr>
        <w:spacing w:after="120"/>
        <w:rPr>
          <w:rFonts w:ascii="Times New Roman" w:hAnsi="Times New Roman"/>
          <w:iCs/>
        </w:rPr>
      </w:pPr>
      <w:r>
        <w:rPr>
          <w:rFonts w:ascii="Times New Roman" w:hAnsi="Times New Roman"/>
          <w:i/>
          <w:iCs/>
        </w:rPr>
        <w:t xml:space="preserve">Functional Impairment and the Choice of College Major, </w:t>
      </w:r>
      <w:r w:rsidRPr="000E4616">
        <w:rPr>
          <w:rFonts w:ascii="Times New Roman" w:hAnsi="Times New Roman"/>
          <w:iCs/>
        </w:rPr>
        <w:t>University of South Florida, 2010</w:t>
      </w:r>
    </w:p>
    <w:p w:rsidR="00CC4AAE" w:rsidRPr="00472485" w:rsidRDefault="00CC4AAE" w:rsidP="00CC4AAE">
      <w:pPr>
        <w:numPr>
          <w:ilvl w:val="0"/>
          <w:numId w:val="11"/>
        </w:numPr>
        <w:spacing w:after="120"/>
        <w:rPr>
          <w:rFonts w:ascii="Times New Roman" w:hAnsi="Times New Roman"/>
          <w:i/>
          <w:iCs/>
        </w:rPr>
      </w:pPr>
      <w:r w:rsidRPr="002C3CCC">
        <w:rPr>
          <w:rFonts w:ascii="Times New Roman" w:hAnsi="Times New Roman"/>
          <w:i/>
          <w:iCs/>
        </w:rPr>
        <w:t>How Much Does Immigration Boost Innovation?</w:t>
      </w:r>
      <w:r>
        <w:rPr>
          <w:rFonts w:ascii="Times New Roman" w:hAnsi="Times New Roman"/>
          <w:i/>
          <w:iCs/>
        </w:rPr>
        <w:t xml:space="preserve">  </w:t>
      </w:r>
      <w:r w:rsidRPr="002C3CCC">
        <w:rPr>
          <w:rFonts w:ascii="Times New Roman" w:hAnsi="Times New Roman"/>
          <w:iCs/>
        </w:rPr>
        <w:t>McGill University, 2010</w:t>
      </w:r>
    </w:p>
    <w:p w:rsidR="00CC4AAE" w:rsidRDefault="00CC4AAE" w:rsidP="00CC4AAE">
      <w:pPr>
        <w:numPr>
          <w:ilvl w:val="0"/>
          <w:numId w:val="11"/>
        </w:numPr>
        <w:spacing w:after="120"/>
        <w:rPr>
          <w:rFonts w:ascii="Times New Roman" w:hAnsi="Times New Roman"/>
          <w:iCs/>
        </w:rPr>
      </w:pPr>
      <w:r w:rsidRPr="00472485">
        <w:rPr>
          <w:rFonts w:ascii="Times New Roman" w:hAnsi="Times New Roman"/>
          <w:i/>
          <w:iCs/>
        </w:rPr>
        <w:t>Increasing Time to Baccalaureate Degree in the United States</w:t>
      </w:r>
      <w:r w:rsidRPr="00472485">
        <w:rPr>
          <w:rFonts w:ascii="Times New Roman" w:hAnsi="Times New Roman"/>
          <w:iCs/>
        </w:rPr>
        <w:t xml:space="preserve">, </w:t>
      </w:r>
      <w:r>
        <w:rPr>
          <w:rFonts w:ascii="Times New Roman" w:hAnsi="Times New Roman"/>
          <w:iCs/>
        </w:rPr>
        <w:t>National Bureau of Economic Research</w:t>
      </w:r>
      <w:r w:rsidRPr="00472485">
        <w:rPr>
          <w:rFonts w:ascii="Times New Roman" w:hAnsi="Times New Roman"/>
          <w:iCs/>
        </w:rPr>
        <w:t>, 2010</w:t>
      </w:r>
    </w:p>
    <w:p w:rsidR="00CC4AAE" w:rsidRPr="00472485" w:rsidRDefault="00CC4AAE" w:rsidP="00CC4AAE">
      <w:pPr>
        <w:numPr>
          <w:ilvl w:val="0"/>
          <w:numId w:val="11"/>
        </w:numPr>
        <w:spacing w:after="120"/>
        <w:rPr>
          <w:i/>
          <w:iCs/>
        </w:rPr>
      </w:pPr>
      <w:r w:rsidRPr="00472485">
        <w:rPr>
          <w:i/>
          <w:iCs/>
        </w:rPr>
        <w:t>H</w:t>
      </w:r>
      <w:r>
        <w:rPr>
          <w:i/>
          <w:iCs/>
        </w:rPr>
        <w:t>igher Education and Disability</w:t>
      </w:r>
      <w:r w:rsidRPr="00472485">
        <w:rPr>
          <w:i/>
          <w:iCs/>
        </w:rPr>
        <w:t xml:space="preserve">: Education Needs a Coordinated Approach to Improve Its Assistance to Schools in Supporting Students, </w:t>
      </w:r>
      <w:r w:rsidRPr="00472485">
        <w:rPr>
          <w:iCs/>
        </w:rPr>
        <w:t>GAO Report, 2009</w:t>
      </w:r>
    </w:p>
    <w:p w:rsidR="00CC4AAE" w:rsidRPr="00472485" w:rsidRDefault="00CC4AAE" w:rsidP="00CC4AAE">
      <w:pPr>
        <w:numPr>
          <w:ilvl w:val="0"/>
          <w:numId w:val="11"/>
        </w:numPr>
        <w:spacing w:after="120"/>
        <w:rPr>
          <w:rFonts w:ascii="Times New Roman" w:hAnsi="Times New Roman"/>
          <w:i/>
          <w:iCs/>
        </w:rPr>
      </w:pPr>
      <w:r w:rsidRPr="00472485">
        <w:rPr>
          <w:rFonts w:ascii="Times New Roman" w:hAnsi="Times New Roman"/>
          <w:i/>
          <w:iCs/>
        </w:rPr>
        <w:t xml:space="preserve">Diversifying Science and Engineering Faculties: Intersections of Race, Ethnicity, and Gender, </w:t>
      </w:r>
      <w:r w:rsidRPr="00472485">
        <w:rPr>
          <w:rFonts w:ascii="Times New Roman" w:hAnsi="Times New Roman"/>
          <w:iCs/>
        </w:rPr>
        <w:t>Georgia Institute of Technology, 2010</w:t>
      </w:r>
    </w:p>
    <w:p w:rsidR="00CC4AAE" w:rsidRDefault="00CC4AAE" w:rsidP="00CC4AAE">
      <w:pPr>
        <w:numPr>
          <w:ilvl w:val="0"/>
          <w:numId w:val="11"/>
        </w:numPr>
        <w:spacing w:after="120"/>
        <w:rPr>
          <w:rFonts w:ascii="Times New Roman" w:hAnsi="Times New Roman"/>
          <w:iCs/>
        </w:rPr>
      </w:pPr>
      <w:r w:rsidRPr="002C3CCC">
        <w:rPr>
          <w:rFonts w:ascii="Times New Roman" w:hAnsi="Times New Roman"/>
          <w:i/>
          <w:iCs/>
        </w:rPr>
        <w:t>Earnings of a Lifetime: Comparing Women and Men with College and Graduate Degrees</w:t>
      </w:r>
      <w:r>
        <w:rPr>
          <w:rFonts w:ascii="Times New Roman" w:hAnsi="Times New Roman"/>
          <w:i/>
          <w:iCs/>
        </w:rPr>
        <w:t xml:space="preserve">, </w:t>
      </w:r>
      <w:r w:rsidRPr="002C3CCC">
        <w:rPr>
          <w:rFonts w:ascii="Times New Roman" w:hAnsi="Times New Roman"/>
          <w:iCs/>
        </w:rPr>
        <w:t xml:space="preserve">Indiana University Kelley School of Business, </w:t>
      </w:r>
      <w:r>
        <w:rPr>
          <w:rFonts w:ascii="Times New Roman" w:hAnsi="Times New Roman"/>
          <w:iCs/>
        </w:rPr>
        <w:t>2009</w:t>
      </w:r>
    </w:p>
    <w:p w:rsidR="00CC4AAE" w:rsidRDefault="00CC4AAE" w:rsidP="00CC4AAE">
      <w:pPr>
        <w:numPr>
          <w:ilvl w:val="0"/>
          <w:numId w:val="11"/>
        </w:numPr>
        <w:spacing w:after="120"/>
        <w:rPr>
          <w:rFonts w:ascii="Times New Roman" w:hAnsi="Times New Roman"/>
          <w:iCs/>
        </w:rPr>
      </w:pPr>
      <w:r w:rsidRPr="002C3CCC">
        <w:rPr>
          <w:rFonts w:ascii="Times New Roman" w:hAnsi="Times New Roman"/>
          <w:i/>
          <w:iCs/>
        </w:rPr>
        <w:t>Dynamics of the Gender Gap for Young Professionals in the Financial and Corporate Sectors</w:t>
      </w:r>
      <w:r>
        <w:rPr>
          <w:rFonts w:ascii="Times New Roman" w:hAnsi="Times New Roman"/>
          <w:i/>
          <w:iCs/>
        </w:rPr>
        <w:t xml:space="preserve">, </w:t>
      </w:r>
      <w:r w:rsidRPr="002C3CCC">
        <w:rPr>
          <w:rFonts w:ascii="Times New Roman" w:hAnsi="Times New Roman"/>
          <w:iCs/>
        </w:rPr>
        <w:t>Harvard University, 2009</w:t>
      </w:r>
    </w:p>
    <w:p w:rsidR="00CC4AAE" w:rsidRPr="00472485" w:rsidRDefault="00CC4AAE" w:rsidP="00CC4AAE">
      <w:pPr>
        <w:numPr>
          <w:ilvl w:val="0"/>
          <w:numId w:val="11"/>
        </w:numPr>
        <w:spacing w:after="120"/>
        <w:rPr>
          <w:rFonts w:ascii="Times New Roman" w:hAnsi="Times New Roman"/>
          <w:i/>
          <w:iCs/>
        </w:rPr>
      </w:pPr>
      <w:r w:rsidRPr="00472485">
        <w:rPr>
          <w:rFonts w:ascii="Times New Roman" w:hAnsi="Times New Roman"/>
          <w:i/>
          <w:iCs/>
        </w:rPr>
        <w:t>The Small Firm Effect and the Entrepreneurial Spawning of Scientists and Engineers</w:t>
      </w:r>
      <w:r>
        <w:rPr>
          <w:rFonts w:ascii="Times New Roman" w:hAnsi="Times New Roman"/>
          <w:i/>
          <w:iCs/>
        </w:rPr>
        <w:t xml:space="preserve">, </w:t>
      </w:r>
      <w:r w:rsidRPr="00472485">
        <w:rPr>
          <w:rFonts w:ascii="Times New Roman" w:hAnsi="Times New Roman"/>
          <w:iCs/>
        </w:rPr>
        <w:t>Washington University St Louis, 2009</w:t>
      </w:r>
    </w:p>
    <w:p w:rsidR="00CC4AAE" w:rsidRPr="00F57D0D" w:rsidRDefault="00CC4AAE" w:rsidP="00CC4AAE">
      <w:pPr>
        <w:numPr>
          <w:ilvl w:val="0"/>
          <w:numId w:val="11"/>
        </w:numPr>
        <w:spacing w:after="120"/>
        <w:rPr>
          <w:i/>
          <w:iCs/>
        </w:rPr>
      </w:pPr>
      <w:r w:rsidRPr="002C3CCC">
        <w:rPr>
          <w:i/>
          <w:iCs/>
        </w:rPr>
        <w:t>From Community College to a Bachelor's Degree and Beyond: How Smooth Is the Road?</w:t>
      </w:r>
      <w:r>
        <w:rPr>
          <w:i/>
          <w:iCs/>
        </w:rPr>
        <w:t xml:space="preserve"> </w:t>
      </w:r>
      <w:r w:rsidRPr="002C3CCC">
        <w:rPr>
          <w:iCs/>
        </w:rPr>
        <w:t>Federal Reserve Bank of St. Louis, 2009</w:t>
      </w:r>
    </w:p>
    <w:p w:rsidR="00CC4AAE" w:rsidRPr="008D011F" w:rsidRDefault="00CC4AAE" w:rsidP="00CC4AAE">
      <w:pPr>
        <w:numPr>
          <w:ilvl w:val="0"/>
          <w:numId w:val="11"/>
        </w:numPr>
        <w:spacing w:after="120"/>
        <w:rPr>
          <w:rFonts w:ascii="Times New Roman" w:hAnsi="Times New Roman"/>
          <w:i/>
          <w:iCs/>
        </w:rPr>
      </w:pPr>
      <w:r>
        <w:rPr>
          <w:rFonts w:ascii="Times New Roman" w:hAnsi="Times New Roman"/>
          <w:i/>
          <w:iCs/>
        </w:rPr>
        <w:t xml:space="preserve">Double </w:t>
      </w:r>
      <w:proofErr w:type="gramStart"/>
      <w:r>
        <w:rPr>
          <w:rFonts w:ascii="Times New Roman" w:hAnsi="Times New Roman"/>
          <w:i/>
          <w:iCs/>
        </w:rPr>
        <w:t>Your</w:t>
      </w:r>
      <w:proofErr w:type="gramEnd"/>
      <w:r>
        <w:rPr>
          <w:rFonts w:ascii="Times New Roman" w:hAnsi="Times New Roman"/>
          <w:i/>
          <w:iCs/>
        </w:rPr>
        <w:t xml:space="preserve"> Major</w:t>
      </w:r>
      <w:r>
        <w:rPr>
          <w:rFonts w:ascii="Times New Roman" w:hAnsi="Times New Roman"/>
          <w:i/>
        </w:rPr>
        <w:t xml:space="preserve">, </w:t>
      </w:r>
      <w:r>
        <w:rPr>
          <w:rFonts w:ascii="Times New Roman" w:hAnsi="Times New Roman"/>
          <w:i/>
          <w:iCs/>
        </w:rPr>
        <w:t xml:space="preserve">Double Your Return? </w:t>
      </w:r>
      <w:r>
        <w:rPr>
          <w:rFonts w:ascii="Times New Roman" w:hAnsi="Times New Roman"/>
          <w:iCs/>
        </w:rPr>
        <w:t>St. Lawrence University, 2008</w:t>
      </w:r>
    </w:p>
    <w:p w:rsidR="00CC4AAE" w:rsidRDefault="00CC4AAE" w:rsidP="00CC4AAE">
      <w:pPr>
        <w:numPr>
          <w:ilvl w:val="0"/>
          <w:numId w:val="11"/>
        </w:numPr>
        <w:spacing w:after="120"/>
        <w:rPr>
          <w:rFonts w:ascii="Times New Roman" w:hAnsi="Times New Roman"/>
          <w:iCs/>
        </w:rPr>
      </w:pPr>
      <w:r>
        <w:rPr>
          <w:rFonts w:ascii="Times New Roman" w:hAnsi="Times New Roman"/>
          <w:i/>
          <w:iCs/>
        </w:rPr>
        <w:t xml:space="preserve">Gender Wage Disparities Among the Highly Educated, </w:t>
      </w:r>
      <w:r w:rsidRPr="000E4616">
        <w:rPr>
          <w:rFonts w:ascii="Times New Roman" w:hAnsi="Times New Roman"/>
          <w:iCs/>
        </w:rPr>
        <w:t>University of Chicago, 2008</w:t>
      </w:r>
    </w:p>
    <w:p w:rsidR="00CC4AAE" w:rsidRDefault="00CC4AAE" w:rsidP="00CC4AAE">
      <w:pPr>
        <w:tabs>
          <w:tab w:val="left" w:pos="2520"/>
        </w:tabs>
        <w:ind w:left="360"/>
        <w:rPr>
          <w:rFonts w:ascii="Times New Roman" w:hAnsi="Times New Roman"/>
          <w:i/>
          <w:szCs w:val="24"/>
        </w:rPr>
      </w:pPr>
    </w:p>
    <w:p w:rsidR="00CC4AAE" w:rsidRDefault="00CC4AAE" w:rsidP="00CC4AAE">
      <w:pPr>
        <w:tabs>
          <w:tab w:val="left" w:pos="2520"/>
        </w:tabs>
        <w:ind w:left="360"/>
        <w:rPr>
          <w:rFonts w:ascii="Times New Roman" w:hAnsi="Times New Roman"/>
          <w:i/>
          <w:szCs w:val="24"/>
        </w:rPr>
      </w:pPr>
    </w:p>
    <w:p w:rsidR="00CC4AAE" w:rsidRDefault="00CC4AAE" w:rsidP="00CC4AAE">
      <w:pPr>
        <w:pStyle w:val="Heading2"/>
        <w:tabs>
          <w:tab w:val="left" w:pos="720"/>
          <w:tab w:val="left" w:pos="2520"/>
        </w:tabs>
        <w:spacing w:before="0" w:after="0"/>
        <w:ind w:left="0"/>
        <w:rPr>
          <w:szCs w:val="24"/>
        </w:rPr>
      </w:pPr>
      <w:bookmarkStart w:id="7" w:name="_Toc257283578"/>
      <w:r>
        <w:rPr>
          <w:szCs w:val="24"/>
        </w:rPr>
        <w:t>3.</w:t>
      </w:r>
      <w:r>
        <w:rPr>
          <w:szCs w:val="24"/>
        </w:rPr>
        <w:tab/>
        <w:t>CONSIDERATION OF USING IMPROVED TECHNOLOGY</w:t>
      </w:r>
      <w:bookmarkEnd w:id="7"/>
    </w:p>
    <w:p w:rsidR="00CC4AAE" w:rsidRDefault="00CC4AAE" w:rsidP="00CC4AAE">
      <w:pPr>
        <w:tabs>
          <w:tab w:val="left" w:pos="25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For the first time, the 2010 NSCG will employ a web mode in the survey collection.  The U.S. Census Bureau will collect the NSCG data, under an interagency agreement, using a multi-mode approach, with a paper questionnaire mailed to sample persons along with an option for completing the survey on the Internet, and the </w:t>
      </w:r>
      <w:proofErr w:type="spellStart"/>
      <w:r>
        <w:rPr>
          <w:rFonts w:ascii="Times New Roman" w:hAnsi="Times New Roman"/>
          <w:szCs w:val="24"/>
        </w:rPr>
        <w:t>nonrespondents</w:t>
      </w:r>
      <w:proofErr w:type="spellEnd"/>
      <w:r>
        <w:rPr>
          <w:rFonts w:ascii="Times New Roman" w:hAnsi="Times New Roman"/>
          <w:szCs w:val="24"/>
        </w:rPr>
        <w:t xml:space="preserve"> will be followed up using computer-assisted telephone interviewing (CATI).</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lastRenderedPageBreak/>
        <w:t>Because the sample contact information will be at least a year old for most sample members by the time the survey is conducted, extra effort will have to be spent to locate respondents.  To do this in the most efficient way, the NSCG will employ nonintrusive locating procedures to find valid mailing addresses for cases that are identified as non-</w:t>
      </w:r>
      <w:proofErr w:type="spellStart"/>
      <w:r>
        <w:rPr>
          <w:rFonts w:ascii="Times New Roman" w:hAnsi="Times New Roman"/>
          <w:szCs w:val="24"/>
        </w:rPr>
        <w:t>mailable</w:t>
      </w:r>
      <w:proofErr w:type="spellEnd"/>
      <w:r>
        <w:rPr>
          <w:rFonts w:ascii="Times New Roman" w:hAnsi="Times New Roman"/>
          <w:szCs w:val="24"/>
        </w:rPr>
        <w:t xml:space="preserve"> after the sample is sent through automated software to check against updates to the National Change of Address (NCOA) database.  These nonintrusive procedures include the use of Internet search engines, and name and address locating software such as </w:t>
      </w:r>
      <w:proofErr w:type="spellStart"/>
      <w:r>
        <w:rPr>
          <w:rFonts w:ascii="Times New Roman" w:hAnsi="Times New Roman"/>
          <w:szCs w:val="24"/>
        </w:rPr>
        <w:t>FastData</w:t>
      </w:r>
      <w:proofErr w:type="spellEnd"/>
      <w:r>
        <w:rPr>
          <w:rFonts w:ascii="Times New Roman" w:hAnsi="Times New Roman"/>
          <w:szCs w:val="24"/>
        </w:rPr>
        <w:t xml:space="preserve"> and </w:t>
      </w:r>
      <w:proofErr w:type="spellStart"/>
      <w:r>
        <w:rPr>
          <w:rFonts w:ascii="Times New Roman" w:hAnsi="Times New Roman"/>
          <w:szCs w:val="24"/>
        </w:rPr>
        <w:t>InfoUSA</w:t>
      </w:r>
      <w:proofErr w:type="spellEnd"/>
      <w:r>
        <w:rPr>
          <w:rFonts w:ascii="Times New Roman" w:hAnsi="Times New Roman"/>
          <w:szCs w:val="24"/>
        </w:rPr>
        <w:t xml:space="preserve">.  Additionally, the Census Bureau has developed an electronic locating system to improve the efficiency of the locating operation.  </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2520"/>
        </w:tabs>
        <w:ind w:left="0" w:right="180"/>
        <w:rPr>
          <w:rFonts w:ascii="Times New Roman" w:hAnsi="Times New Roman"/>
          <w:szCs w:val="24"/>
        </w:rPr>
      </w:pPr>
      <w:r>
        <w:rPr>
          <w:rFonts w:ascii="Times New Roman" w:hAnsi="Times New Roman"/>
          <w:szCs w:val="24"/>
        </w:rPr>
        <w:t>The NSCG web survey will be d</w:t>
      </w:r>
      <w:r w:rsidRPr="008616A5">
        <w:rPr>
          <w:rFonts w:ascii="Times New Roman" w:hAnsi="Times New Roman"/>
          <w:szCs w:val="24"/>
        </w:rPr>
        <w:t xml:space="preserve">eveloped </w:t>
      </w:r>
      <w:r>
        <w:rPr>
          <w:rFonts w:ascii="Times New Roman" w:hAnsi="Times New Roman"/>
          <w:szCs w:val="24"/>
        </w:rPr>
        <w:t>using</w:t>
      </w:r>
      <w:r w:rsidRPr="008616A5">
        <w:rPr>
          <w:rFonts w:ascii="Times New Roman" w:hAnsi="Times New Roman"/>
          <w:szCs w:val="24"/>
        </w:rPr>
        <w:t xml:space="preserve"> Census </w:t>
      </w:r>
      <w:r w:rsidRPr="008616A5">
        <w:rPr>
          <w:rFonts w:ascii="Times New Roman" w:hAnsi="Times New Roman"/>
          <w:color w:val="333333"/>
          <w:szCs w:val="24"/>
        </w:rPr>
        <w:t xml:space="preserve">Centurion, which </w:t>
      </w:r>
      <w:r>
        <w:rPr>
          <w:rFonts w:ascii="Times New Roman" w:hAnsi="Times New Roman"/>
          <w:color w:val="333333"/>
          <w:szCs w:val="24"/>
        </w:rPr>
        <w:t xml:space="preserve">is a </w:t>
      </w:r>
      <w:r w:rsidRPr="008616A5">
        <w:rPr>
          <w:rFonts w:ascii="Times New Roman" w:hAnsi="Times New Roman"/>
          <w:color w:val="333333"/>
          <w:szCs w:val="24"/>
        </w:rPr>
        <w:t>secure web-based application</w:t>
      </w:r>
      <w:r>
        <w:rPr>
          <w:rFonts w:ascii="Times New Roman" w:hAnsi="Times New Roman"/>
          <w:color w:val="333333"/>
          <w:szCs w:val="24"/>
        </w:rPr>
        <w:t xml:space="preserve"> pro</w:t>
      </w:r>
      <w:r w:rsidRPr="008616A5">
        <w:rPr>
          <w:rFonts w:ascii="Times New Roman" w:hAnsi="Times New Roman"/>
          <w:szCs w:val="24"/>
        </w:rPr>
        <w:t>gramm</w:t>
      </w:r>
      <w:r>
        <w:rPr>
          <w:rFonts w:ascii="Times New Roman" w:hAnsi="Times New Roman"/>
          <w:szCs w:val="24"/>
        </w:rPr>
        <w:t xml:space="preserve">ed to meet the stringent Census Bureau data security requirements.  The web survey will take advantage of the computer-assisted interviewing system that allows for probes for invalid or inconsistent responses, and missing responses to a few question items critical for a complete interview.   </w:t>
      </w:r>
      <w:r w:rsidRPr="008616A5">
        <w:rPr>
          <w:rFonts w:ascii="Times New Roman" w:hAnsi="Times New Roman"/>
          <w:szCs w:val="24"/>
        </w:rPr>
        <w:t xml:space="preserve"> </w:t>
      </w:r>
    </w:p>
    <w:p w:rsidR="00CC4AAE" w:rsidRDefault="00CC4AAE" w:rsidP="00CC4AAE">
      <w:pPr>
        <w:tabs>
          <w:tab w:val="left" w:pos="2520"/>
        </w:tabs>
        <w:ind w:left="0" w:right="180"/>
        <w:rPr>
          <w:rFonts w:ascii="Times New Roman" w:hAnsi="Times New Roman"/>
          <w:szCs w:val="24"/>
        </w:rPr>
      </w:pPr>
    </w:p>
    <w:p w:rsidR="00CC4AAE" w:rsidRDefault="00CC4AAE" w:rsidP="00CC4AAE">
      <w:pPr>
        <w:tabs>
          <w:tab w:val="left" w:pos="2520"/>
        </w:tabs>
        <w:ind w:left="0" w:right="180"/>
        <w:rPr>
          <w:rFonts w:ascii="Times New Roman" w:hAnsi="Times New Roman"/>
          <w:szCs w:val="24"/>
        </w:rPr>
      </w:pPr>
      <w:r>
        <w:rPr>
          <w:rFonts w:ascii="Times New Roman" w:hAnsi="Times New Roman"/>
          <w:szCs w:val="24"/>
        </w:rPr>
        <w:t xml:space="preserve">The </w:t>
      </w:r>
      <w:r w:rsidRPr="008616A5">
        <w:rPr>
          <w:rFonts w:ascii="Times New Roman" w:hAnsi="Times New Roman"/>
          <w:szCs w:val="24"/>
        </w:rPr>
        <w:t>NSC</w:t>
      </w:r>
      <w:r>
        <w:rPr>
          <w:rFonts w:ascii="Times New Roman" w:hAnsi="Times New Roman"/>
          <w:szCs w:val="24"/>
        </w:rPr>
        <w:t xml:space="preserve">G will use Census’ state-of-the-art keying system, developed in the Visual Basics software, to capture mail questionnaire data, which should decrease the time necessary for this operation and increase accuracy.  The telephone-interviewing phase will utilize a variety of improved technologies.  Interviews will be conducted using the computer-assisted telephone interviewing (CATI) system.  Help screens will be displayed with additional instructions or probes at any given point of data collection.  The CATI instrument will be programmed in </w:t>
      </w:r>
      <w:proofErr w:type="spellStart"/>
      <w:r>
        <w:rPr>
          <w:rFonts w:ascii="Times New Roman" w:hAnsi="Times New Roman"/>
          <w:szCs w:val="24"/>
        </w:rPr>
        <w:t>Blaise</w:t>
      </w:r>
      <w:proofErr w:type="spellEnd"/>
      <w:r>
        <w:rPr>
          <w:rFonts w:ascii="Times New Roman" w:hAnsi="Times New Roman"/>
          <w:szCs w:val="24"/>
        </w:rPr>
        <w:t xml:space="preserve">.  Case management for the telephone interviews will utilize the Census Bureau’s advanced </w:t>
      </w:r>
      <w:proofErr w:type="spellStart"/>
      <w:r>
        <w:rPr>
          <w:rFonts w:ascii="Times New Roman" w:hAnsi="Times New Roman"/>
          <w:szCs w:val="24"/>
        </w:rPr>
        <w:t>WebCATI</w:t>
      </w:r>
      <w:proofErr w:type="spellEnd"/>
      <w:r>
        <w:rPr>
          <w:rFonts w:ascii="Times New Roman" w:hAnsi="Times New Roman"/>
          <w:szCs w:val="24"/>
        </w:rPr>
        <w:t xml:space="preserve"> system.  This system allows case workload to be balanced across the Census Bureau’s three telephone centers and can assign cases to interviewers based on a variety of skills (e.g. language, refusal conversion expertise). As a result, cases will be handled in a more efficient and effective manner.</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Optical scanning will be used to capture the digital images of the mail questionnaire after keying.  The images will be stored in a database that is accessible to survey staff at their desktops.  This will facilitate easier retrieval of the actual response for use during the data collection of missing critical items, data reconciliation, and editing stages.</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8" w:name="_Toc257283579"/>
      <w:r>
        <w:rPr>
          <w:szCs w:val="24"/>
        </w:rPr>
        <w:t xml:space="preserve">4. </w:t>
      </w:r>
      <w:r>
        <w:rPr>
          <w:szCs w:val="24"/>
        </w:rPr>
        <w:tab/>
        <w:t>EFFORTS TO IDENTIFY DUPLICATION</w:t>
      </w:r>
      <w:bookmarkEnd w:id="8"/>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Duplication, in the sense of similar data collections, does not exist.  No other data collection captures all components of scientists and engineers in the United States.  There is no similar information available other than from this survey, conducted by the U.S. Census Bureau for NSF since the 1960s.  Data from the Current Population Survey provides occupational estimates but does not collect information on degree field for higher education degrees.  The American Community Survey, starting in 2009, collects the field of bachelor’s degrees but does not collect detailed information on education history, work activities, and employment characteristics as the NSCG does, nor is the ACS longitudinal in nature.  </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9" w:name="_Toc257283580"/>
      <w:r>
        <w:rPr>
          <w:szCs w:val="24"/>
        </w:rPr>
        <w:lastRenderedPageBreak/>
        <w:t xml:space="preserve">5. </w:t>
      </w:r>
      <w:r>
        <w:rPr>
          <w:szCs w:val="24"/>
        </w:rPr>
        <w:tab/>
        <w:t>EFFORTS TO MINIMIZE BURDEN ON SMALL BUSINESS</w:t>
      </w:r>
      <w:bookmarkEnd w:id="9"/>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Not applicable.  The NSCG collects information from individuals only.</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10" w:name="_Toc257283581"/>
      <w:r>
        <w:rPr>
          <w:szCs w:val="24"/>
        </w:rPr>
        <w:t>6.</w:t>
      </w:r>
      <w:r>
        <w:rPr>
          <w:szCs w:val="24"/>
        </w:rPr>
        <w:tab/>
        <w:t>CONSEQUENCES OF LESS FREQUENT DATA COLLECTION</w:t>
      </w:r>
      <w:bookmarkEnd w:id="10"/>
    </w:p>
    <w:p w:rsidR="00CC4AAE" w:rsidRDefault="00CC4AAE" w:rsidP="00CC4AAE">
      <w:pPr>
        <w:pStyle w:val="Footer"/>
        <w:tabs>
          <w:tab w:val="clear" w:pos="4320"/>
          <w:tab w:val="clear" w:pos="8640"/>
          <w:tab w:val="left" w:pos="2520"/>
        </w:tabs>
        <w:ind w:left="0"/>
        <w:rPr>
          <w:rFonts w:ascii="Times New Roman" w:hAnsi="Times New Roman"/>
          <w:spacing w:val="-3"/>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Because NSCG is a panel survey, conducting the survey less frequently would make it more difficult and costly to locate the persons in the sample because of the mobility of the U. S. population.  The results would be a higher attrition rate and less reliable estimates.  Also, government, business, industry, and universities would have less recent data to use as a basis for formulating the Nation's science and engineering policies.</w:t>
      </w:r>
    </w:p>
    <w:p w:rsidR="00CC4AAE" w:rsidRDefault="00CC4AAE" w:rsidP="00CC4AAE">
      <w:pPr>
        <w:tabs>
          <w:tab w:val="left" w:pos="211"/>
          <w:tab w:val="left" w:pos="720"/>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Expanding the time between interviews would also lessen the accuracy of the recall of information by the respondents.  This would affect the reliability of the data collected and reduce the quality of the data for all uses, including the congressionally mandated biennial reports prepared by the NSF.</w:t>
      </w:r>
    </w:p>
    <w:p w:rsidR="00CC4AAE" w:rsidRDefault="00CC4AAE" w:rsidP="00CC4AAE">
      <w:pPr>
        <w:tabs>
          <w:tab w:val="left" w:pos="211"/>
          <w:tab w:val="left" w:pos="720"/>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rsidR="00CC4AAE" w:rsidRDefault="00CC4AAE" w:rsidP="00CC4AAE">
      <w:pPr>
        <w:tabs>
          <w:tab w:val="left" w:pos="0"/>
        </w:tabs>
        <w:suppressAutoHyphens/>
        <w:ind w:left="0"/>
        <w:rPr>
          <w:rFonts w:ascii="Times New Roman" w:hAnsi="Times New Roman"/>
          <w:szCs w:val="24"/>
        </w:rPr>
      </w:pPr>
      <w:r>
        <w:rPr>
          <w:rFonts w:ascii="Times New Roman" w:hAnsi="Times New Roman"/>
          <w:spacing w:val="-3"/>
          <w:szCs w:val="24"/>
        </w:rPr>
        <w:t>Follow-up surveys every two years on the same sampled persons are also necessary to</w:t>
      </w:r>
      <w:r>
        <w:rPr>
          <w:rFonts w:ascii="Times New Roman" w:hAnsi="Times New Roman"/>
          <w:szCs w:val="24"/>
        </w:rPr>
        <w:t xml:space="preserve"> track changes in the science and engineering workforce as there are large movements of individuals into and out of science and engineering occupations over both business and life cycles. To make sure of the availability of current national S&amp;E workforce data, the NSCG is conducted and coordinated with the NSRCG and the SDR.  The degradation of any single component would jeopardize the integrity and value of the entire SESTAT system of surveys and integrated database.</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11" w:name="_Toc257283582"/>
      <w:r w:rsidRPr="00521267">
        <w:rPr>
          <w:szCs w:val="24"/>
        </w:rPr>
        <w:t>7.</w:t>
      </w:r>
      <w:r w:rsidRPr="00521267">
        <w:rPr>
          <w:szCs w:val="24"/>
        </w:rPr>
        <w:tab/>
      </w:r>
      <w:r>
        <w:rPr>
          <w:szCs w:val="24"/>
        </w:rPr>
        <w:t>SPECIAL CIRCUMSTANCES</w:t>
      </w:r>
      <w:bookmarkEnd w:id="11"/>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rsidR="00CC4AAE" w:rsidRDefault="00CC4AAE" w:rsidP="00CC4AAE">
      <w:pPr>
        <w:tabs>
          <w:tab w:val="left" w:pos="0"/>
          <w:tab w:val="left" w:pos="2520"/>
        </w:tabs>
        <w:suppressAutoHyphens/>
        <w:ind w:left="0"/>
        <w:rPr>
          <w:rFonts w:ascii="Times New Roman" w:hAnsi="Times New Roman"/>
          <w:szCs w:val="24"/>
        </w:rPr>
      </w:pPr>
      <w:bookmarkStart w:id="12" w:name="OLE_LINK3"/>
      <w:r>
        <w:rPr>
          <w:rFonts w:ascii="Times New Roman" w:hAnsi="Times New Roman"/>
          <w:szCs w:val="24"/>
        </w:rPr>
        <w:t xml:space="preserve">Not applicable.  This data collection does not require any one of the reporting requirements listed. </w:t>
      </w:r>
      <w:bookmarkEnd w:id="12"/>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numPr>
          <w:ilvl w:val="0"/>
          <w:numId w:val="8"/>
        </w:numPr>
        <w:tabs>
          <w:tab w:val="clear" w:pos="0"/>
          <w:tab w:val="num" w:pos="-2880"/>
          <w:tab w:val="left" w:pos="720"/>
          <w:tab w:val="left" w:pos="2520"/>
        </w:tabs>
        <w:spacing w:before="0" w:after="0"/>
        <w:ind w:left="720"/>
        <w:rPr>
          <w:szCs w:val="24"/>
        </w:rPr>
      </w:pPr>
      <w:bookmarkStart w:id="13" w:name="_Toc257283583"/>
      <w:r>
        <w:rPr>
          <w:szCs w:val="24"/>
        </w:rPr>
        <w:t>FEDERAL REGISTER ANNOUNCEMENT AND CONSULTATION OUTSIDE THE AGENCY</w:t>
      </w:r>
      <w:bookmarkEnd w:id="13"/>
    </w:p>
    <w:p w:rsidR="00CC4AAE" w:rsidRDefault="00CC4AAE" w:rsidP="00CC4AAE">
      <w:pPr>
        <w:pStyle w:val="Quicka"/>
        <w:widowControl/>
        <w:tabs>
          <w:tab w:val="left" w:pos="2520"/>
        </w:tabs>
        <w:rPr>
          <w:snapToGrid/>
          <w:szCs w:val="24"/>
        </w:rPr>
      </w:pPr>
    </w:p>
    <w:p w:rsidR="00CC4AAE" w:rsidRDefault="00CC4AAE" w:rsidP="00CC4AAE">
      <w:pPr>
        <w:pStyle w:val="Quicka"/>
        <w:widowControl/>
        <w:tabs>
          <w:tab w:val="left" w:pos="2520"/>
        </w:tabs>
        <w:rPr>
          <w:snapToGrid/>
          <w:szCs w:val="24"/>
        </w:rPr>
      </w:pPr>
    </w:p>
    <w:p w:rsidR="00CC4AAE" w:rsidRDefault="00CC4AAE" w:rsidP="00CC4AAE">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i/>
          <w:iCs/>
          <w:szCs w:val="24"/>
        </w:rPr>
      </w:pPr>
      <w:bookmarkStart w:id="14" w:name="_Toc38863829"/>
      <w:r>
        <w:rPr>
          <w:rFonts w:ascii="Times New Roman" w:hAnsi="Times New Roman"/>
          <w:b/>
          <w:bCs/>
          <w:i/>
          <w:iCs/>
          <w:szCs w:val="24"/>
        </w:rPr>
        <w:t>Federal Register Announcement</w:t>
      </w:r>
      <w:bookmarkEnd w:id="14"/>
    </w:p>
    <w:p w:rsidR="00CC4AAE" w:rsidRDefault="00CC4AAE" w:rsidP="00CC4AAE">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i/>
          <w:iCs/>
          <w:szCs w:val="24"/>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The </w:t>
      </w:r>
      <w:r w:rsidRPr="00B217F8">
        <w:rPr>
          <w:rFonts w:ascii="Times New Roman" w:hAnsi="Times New Roman"/>
          <w:szCs w:val="24"/>
        </w:rPr>
        <w:t xml:space="preserve">Federal Register announcement for the NSCG appeared on February 24, 2010 (See Appendix B.)  </w:t>
      </w:r>
      <w:r w:rsidRPr="00131768">
        <w:rPr>
          <w:rFonts w:ascii="Times New Roman" w:hAnsi="Times New Roman"/>
        </w:rPr>
        <w:t xml:space="preserve">NSF received </w:t>
      </w:r>
      <w:r w:rsidRPr="00B217F8">
        <w:rPr>
          <w:rFonts w:ascii="Times New Roman" w:hAnsi="Times New Roman"/>
          <w:szCs w:val="24"/>
        </w:rPr>
        <w:t>no</w:t>
      </w:r>
      <w:r w:rsidRPr="00131768">
        <w:rPr>
          <w:rFonts w:ascii="Times New Roman" w:hAnsi="Times New Roman"/>
        </w:rPr>
        <w:t xml:space="preserve"> public comment in response to the announcement as of the </w:t>
      </w:r>
      <w:r w:rsidRPr="00B217F8">
        <w:rPr>
          <w:rFonts w:ascii="Times New Roman" w:hAnsi="Times New Roman"/>
          <w:szCs w:val="24"/>
        </w:rPr>
        <w:t>close</w:t>
      </w:r>
      <w:r w:rsidRPr="00131768">
        <w:rPr>
          <w:rFonts w:ascii="Times New Roman" w:hAnsi="Times New Roman"/>
        </w:rPr>
        <w:t xml:space="preserve"> date of </w:t>
      </w:r>
      <w:r w:rsidRPr="00B217F8">
        <w:rPr>
          <w:rFonts w:ascii="Times New Roman" w:hAnsi="Times New Roman"/>
          <w:szCs w:val="24"/>
        </w:rPr>
        <w:t>April 26, 2010</w:t>
      </w:r>
      <w:r w:rsidRPr="00131768">
        <w:rPr>
          <w:rFonts w:ascii="Times New Roman" w:hAnsi="Times New Roman"/>
        </w:rPr>
        <w:t>.</w:t>
      </w:r>
    </w:p>
    <w:p w:rsidR="00CC4AAE" w:rsidRDefault="00CC4AAE" w:rsidP="00CC4AAE">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bCs/>
          <w:szCs w:val="24"/>
        </w:rPr>
      </w:pPr>
    </w:p>
    <w:p w:rsidR="00CC4AAE" w:rsidRDefault="00CC4AAE" w:rsidP="00CC4AAE">
      <w:pPr>
        <w:pStyle w:val="Foote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i/>
          <w:iCs/>
          <w:szCs w:val="24"/>
        </w:rPr>
      </w:pPr>
      <w:r>
        <w:rPr>
          <w:rFonts w:ascii="Times New Roman" w:hAnsi="Times New Roman"/>
          <w:b/>
          <w:bCs/>
          <w:i/>
          <w:iCs/>
          <w:szCs w:val="24"/>
        </w:rPr>
        <w:t xml:space="preserve">Consultations </w:t>
      </w:r>
      <w:proofErr w:type="gramStart"/>
      <w:r>
        <w:rPr>
          <w:rFonts w:ascii="Times New Roman" w:hAnsi="Times New Roman"/>
          <w:b/>
          <w:bCs/>
          <w:i/>
          <w:iCs/>
          <w:szCs w:val="24"/>
        </w:rPr>
        <w:t>Outside</w:t>
      </w:r>
      <w:proofErr w:type="gramEnd"/>
      <w:r>
        <w:rPr>
          <w:rFonts w:ascii="Times New Roman" w:hAnsi="Times New Roman"/>
          <w:b/>
          <w:bCs/>
          <w:i/>
          <w:iCs/>
          <w:szCs w:val="24"/>
        </w:rPr>
        <w:t xml:space="preserve"> the Agency</w:t>
      </w:r>
    </w:p>
    <w:p w:rsidR="00CC4AAE" w:rsidRDefault="00CC4AAE" w:rsidP="00CC4AAE">
      <w:pPr>
        <w:tabs>
          <w:tab w:val="left" w:pos="2520"/>
        </w:tabs>
        <w:ind w:left="0"/>
        <w:rPr>
          <w:rFonts w:ascii="Times New Roman" w:hAnsi="Times New Roman"/>
          <w:b/>
          <w:bCs/>
          <w:szCs w:val="24"/>
        </w:rPr>
      </w:pPr>
    </w:p>
    <w:p w:rsidR="00CC4AAE" w:rsidRDefault="00CC4AAE" w:rsidP="00CC4AAE">
      <w:pPr>
        <w:pStyle w:val="EndnoteText1"/>
        <w:tabs>
          <w:tab w:val="left" w:pos="90"/>
          <w:tab w:val="left" w:pos="1530"/>
          <w:tab w:val="left" w:pos="2520"/>
        </w:tabs>
        <w:ind w:left="0"/>
        <w:rPr>
          <w:rFonts w:ascii="Times New Roman" w:hAnsi="Times New Roman"/>
          <w:szCs w:val="24"/>
        </w:rPr>
      </w:pPr>
      <w:r>
        <w:rPr>
          <w:rFonts w:ascii="Times New Roman" w:hAnsi="Times New Roman"/>
          <w:szCs w:val="24"/>
        </w:rPr>
        <w:lastRenderedPageBreak/>
        <w:t xml:space="preserve">The Division of Science Resources Statistics (SRS) within the NSF has responsibility for the SESTAT surveys.  In the early 1990s, SRS initiated and implemented a major redesign of this system of surveys, and continued to adhere closely to the redesigned approaches in conduct of the surveys throughout the past two decades.  </w:t>
      </w:r>
    </w:p>
    <w:p w:rsidR="00CC4AAE" w:rsidRDefault="00CC4AAE" w:rsidP="00CC4AAE">
      <w:pPr>
        <w:tabs>
          <w:tab w:val="left" w:pos="2520"/>
        </w:tabs>
        <w:ind w:left="0"/>
        <w:rPr>
          <w:rFonts w:ascii="Times New Roman" w:hAnsi="Times New Roman"/>
          <w:szCs w:val="24"/>
        </w:rPr>
      </w:pPr>
      <w:r>
        <w:rPr>
          <w:rFonts w:ascii="Times New Roman" w:hAnsi="Times New Roman"/>
          <w:szCs w:val="24"/>
        </w:rPr>
        <w:t> </w:t>
      </w:r>
    </w:p>
    <w:p w:rsidR="00CC4AAE" w:rsidRDefault="00CC4AAE" w:rsidP="00CC4AAE">
      <w:pPr>
        <w:pStyle w:val="EndnoteText1"/>
        <w:tabs>
          <w:tab w:val="left" w:pos="2520"/>
        </w:tabs>
        <w:ind w:left="0"/>
        <w:rPr>
          <w:rFonts w:ascii="Times New Roman" w:hAnsi="Times New Roman"/>
          <w:szCs w:val="24"/>
        </w:rPr>
      </w:pPr>
      <w:r>
        <w:rPr>
          <w:rFonts w:ascii="Times New Roman" w:hAnsi="Times New Roman"/>
          <w:szCs w:val="24"/>
        </w:rPr>
        <w:t>As the SESTAT survey system entered the 21</w:t>
      </w:r>
      <w:r>
        <w:rPr>
          <w:rFonts w:ascii="Times New Roman" w:hAnsi="Times New Roman"/>
          <w:szCs w:val="24"/>
          <w:vertAlign w:val="superscript"/>
        </w:rPr>
        <w:t>st</w:t>
      </w:r>
      <w:r>
        <w:rPr>
          <w:rFonts w:ascii="Times New Roman" w:hAnsi="Times New Roman"/>
          <w:szCs w:val="24"/>
        </w:rPr>
        <w:t xml:space="preserve"> century, SRS set a goal to further improve the efficiency and relevancy of the SESTAT system in meeting the data needs of policy makers, academic and research communities and industry.  To accomplish this goal, SRS carefully planned and engaged in a series of formal and informal evaluations and assessments of each of the three surveys as well as the system as a whole between May 1999 and December 2002.  These evaluations covered several areas:  sampling frame, population coverage, sample design, survey content, </w:t>
      </w:r>
      <w:proofErr w:type="gramStart"/>
      <w:r>
        <w:rPr>
          <w:rFonts w:ascii="Times New Roman" w:hAnsi="Times New Roman"/>
          <w:szCs w:val="24"/>
        </w:rPr>
        <w:t>data</w:t>
      </w:r>
      <w:proofErr w:type="gramEnd"/>
      <w:r>
        <w:rPr>
          <w:rFonts w:ascii="Times New Roman" w:hAnsi="Times New Roman"/>
          <w:szCs w:val="24"/>
        </w:rPr>
        <w:t xml:space="preserve"> system design and data dissemination. </w:t>
      </w:r>
    </w:p>
    <w:p w:rsidR="00CC4AAE" w:rsidRDefault="00CC4AAE" w:rsidP="00CC4AAE">
      <w:pPr>
        <w:pStyle w:val="EndnoteText1"/>
        <w:tabs>
          <w:tab w:val="left" w:pos="2520"/>
        </w:tabs>
        <w:ind w:left="0"/>
        <w:rPr>
          <w:rFonts w:ascii="Times New Roman" w:hAnsi="Times New Roman"/>
          <w:szCs w:val="24"/>
        </w:rPr>
      </w:pPr>
    </w:p>
    <w:p w:rsidR="00CC4AAE" w:rsidRDefault="00CC4AAE" w:rsidP="00CC4AAE">
      <w:pPr>
        <w:pStyle w:val="EndnoteText1"/>
        <w:tabs>
          <w:tab w:val="left" w:pos="2520"/>
        </w:tabs>
        <w:ind w:left="0"/>
        <w:rPr>
          <w:rFonts w:ascii="Times New Roman" w:hAnsi="Times New Roman"/>
          <w:szCs w:val="24"/>
        </w:rPr>
      </w:pPr>
      <w:r>
        <w:rPr>
          <w:rFonts w:ascii="Times New Roman" w:hAnsi="Times New Roman"/>
          <w:szCs w:val="24"/>
        </w:rPr>
        <w:t>After the redesign efforts, SRS began a more systematic set of activities to encourage greater dissemination of the SESTAT surveys, and to encourage greater use of the data by outside researchers.</w:t>
      </w:r>
    </w:p>
    <w:p w:rsidR="00CC4AAE" w:rsidRDefault="00CC4AAE" w:rsidP="00CC4AAE">
      <w:pPr>
        <w:pStyle w:val="EndnoteText1"/>
        <w:tabs>
          <w:tab w:val="left" w:pos="2520"/>
        </w:tabs>
        <w:ind w:left="0"/>
        <w:rPr>
          <w:rFonts w:ascii="Times New Roman" w:hAnsi="Times New Roman"/>
          <w:szCs w:val="24"/>
        </w:rPr>
      </w:pPr>
    </w:p>
    <w:p w:rsidR="00CC4AAE" w:rsidRDefault="00CC4AAE" w:rsidP="00CC4AAE">
      <w:pPr>
        <w:pStyle w:val="Heading7"/>
        <w:rPr>
          <w:b/>
          <w:bCs/>
          <w:szCs w:val="24"/>
        </w:rPr>
      </w:pPr>
      <w:r>
        <w:rPr>
          <w:b/>
          <w:bCs/>
          <w:szCs w:val="24"/>
        </w:rPr>
        <w:t>Meetings and Workshops</w:t>
      </w:r>
    </w:p>
    <w:p w:rsidR="00CC4AAE" w:rsidRDefault="00CC4AAE" w:rsidP="00CC4AAE">
      <w:pPr>
        <w:tabs>
          <w:tab w:val="left" w:pos="2520"/>
        </w:tabs>
        <w:ind w:left="0"/>
        <w:rPr>
          <w:rFonts w:ascii="Times New Roman" w:hAnsi="Times New Roman"/>
          <w:szCs w:val="24"/>
          <w:u w:val="single"/>
        </w:rPr>
      </w:pPr>
    </w:p>
    <w:p w:rsidR="00CC4AAE" w:rsidRDefault="00CC4AAE" w:rsidP="00CC4AAE">
      <w:pPr>
        <w:tabs>
          <w:tab w:val="left" w:pos="2520"/>
        </w:tabs>
        <w:ind w:left="0"/>
        <w:rPr>
          <w:rFonts w:ascii="Times New Roman" w:hAnsi="Times New Roman"/>
          <w:szCs w:val="24"/>
        </w:rPr>
      </w:pPr>
      <w:r>
        <w:rPr>
          <w:rFonts w:ascii="Times New Roman" w:hAnsi="Times New Roman"/>
          <w:szCs w:val="24"/>
        </w:rPr>
        <w:t xml:space="preserve">Both internal and external consultation has continued to take place through a series of meetings and workshops on various issues related to the SESTAT redesign and survey methodology since 2008.  </w:t>
      </w:r>
    </w:p>
    <w:p w:rsidR="00CC4AAE" w:rsidRDefault="00CC4AAE" w:rsidP="00CC4AAE">
      <w:pPr>
        <w:pStyle w:val="Bullet"/>
        <w:spacing w:after="0"/>
        <w:jc w:val="left"/>
      </w:pPr>
    </w:p>
    <w:p w:rsidR="00CC4AAE" w:rsidRDefault="00CC4AAE" w:rsidP="00CC4AAE">
      <w:pPr>
        <w:pStyle w:val="Bullet"/>
        <w:spacing w:after="0"/>
        <w:ind w:left="288"/>
        <w:jc w:val="left"/>
      </w:pPr>
      <w:r>
        <w:t xml:space="preserve">For the </w:t>
      </w:r>
      <w:r w:rsidRPr="00991FF6">
        <w:rPr>
          <w:szCs w:val="24"/>
        </w:rPr>
        <w:t>2010</w:t>
      </w:r>
      <w:r>
        <w:t xml:space="preserve"> survey round:</w:t>
      </w:r>
    </w:p>
    <w:p w:rsidR="00CC4AAE" w:rsidRDefault="00CC4AAE" w:rsidP="00CC4AAE">
      <w:pPr>
        <w:pStyle w:val="Bullet"/>
        <w:spacing w:after="0"/>
        <w:ind w:left="288"/>
        <w:jc w:val="left"/>
        <w:rPr>
          <w:szCs w:val="24"/>
        </w:rPr>
      </w:pPr>
    </w:p>
    <w:p w:rsidR="00CC4AAE" w:rsidRPr="002B4BAD" w:rsidRDefault="00CC4AAE" w:rsidP="00CC4AAE">
      <w:pPr>
        <w:pStyle w:val="Bullet"/>
        <w:numPr>
          <w:ilvl w:val="0"/>
          <w:numId w:val="12"/>
        </w:numPr>
        <w:spacing w:after="120"/>
        <w:jc w:val="left"/>
        <w:rPr>
          <w:szCs w:val="24"/>
        </w:rPr>
      </w:pPr>
      <w:r w:rsidRPr="00682A5A">
        <w:rPr>
          <w:szCs w:val="24"/>
        </w:rPr>
        <w:t xml:space="preserve">SRS worked with the U.S. Census Bureau, OMB, and other Federal agencies to add a field of degree (FOD) question to the American Community Survey, to enable more precise sampling for future NSCG surveys.  As a part of this activity, SRS worked with the Census Bureau on a methods test to test various versions of a FOD question. </w:t>
      </w:r>
    </w:p>
    <w:p w:rsidR="00CC4AAE" w:rsidRPr="002B4BAD" w:rsidRDefault="00CC4AAE" w:rsidP="00CC4AAE">
      <w:pPr>
        <w:pStyle w:val="EndnoteText1"/>
        <w:numPr>
          <w:ilvl w:val="0"/>
          <w:numId w:val="12"/>
        </w:numPr>
        <w:spacing w:after="120"/>
        <w:rPr>
          <w:rFonts w:ascii="Times New Roman" w:hAnsi="Times New Roman"/>
          <w:szCs w:val="24"/>
        </w:rPr>
      </w:pPr>
      <w:r w:rsidRPr="00682A5A">
        <w:rPr>
          <w:rFonts w:ascii="Times New Roman" w:hAnsi="Times New Roman"/>
          <w:szCs w:val="24"/>
        </w:rPr>
        <w:t>SRS commissioned the Committee on National Statistics (CNSTAT) of the National Research Council (NRC) to examine proposed sample design options for the NSCG, which will now be based on the American Community Survey (ACS), as opposed to the long form of the Decennial Census.   The CNSTAT committee held a two-day workshop on this topic, and issued a report with recommendations to NSF on the 2010 and beyond NSCG sample design.   The recommendations formed the basis for the 2010 NSCG design.</w:t>
      </w:r>
      <w:r w:rsidRPr="00682A5A">
        <w:rPr>
          <w:rStyle w:val="FootnoteReference"/>
          <w:rFonts w:ascii="Times New Roman" w:hAnsi="Times New Roman"/>
          <w:szCs w:val="24"/>
        </w:rPr>
        <w:footnoteReference w:id="3"/>
      </w:r>
    </w:p>
    <w:p w:rsidR="00CC4AAE" w:rsidRDefault="00CC4AAE" w:rsidP="00CC4AAE">
      <w:pPr>
        <w:pStyle w:val="Bullet"/>
        <w:numPr>
          <w:ilvl w:val="0"/>
          <w:numId w:val="9"/>
        </w:numPr>
        <w:tabs>
          <w:tab w:val="clear" w:pos="1440"/>
          <w:tab w:val="num" w:pos="720"/>
        </w:tabs>
        <w:ind w:left="720"/>
        <w:jc w:val="left"/>
        <w:rPr>
          <w:szCs w:val="24"/>
        </w:rPr>
      </w:pPr>
      <w:r w:rsidRPr="00682A5A">
        <w:rPr>
          <w:szCs w:val="24"/>
        </w:rPr>
        <w:t xml:space="preserve">SRS coordinated with OMB on wording for the collection </w:t>
      </w:r>
      <w:r>
        <w:rPr>
          <w:szCs w:val="24"/>
        </w:rPr>
        <w:t xml:space="preserve">of data </w:t>
      </w:r>
      <w:r w:rsidRPr="00682A5A">
        <w:rPr>
          <w:szCs w:val="24"/>
        </w:rPr>
        <w:t>on functional disability question items in the SESTAT surveys to increase consistency across the</w:t>
      </w:r>
      <w:r>
        <w:rPr>
          <w:szCs w:val="24"/>
        </w:rPr>
        <w:t xml:space="preserve"> Federal statistical agencies in surveys with such questions</w:t>
      </w:r>
      <w:r w:rsidRPr="00C15752">
        <w:rPr>
          <w:szCs w:val="24"/>
        </w:rPr>
        <w:t>.</w:t>
      </w:r>
      <w:r>
        <w:rPr>
          <w:szCs w:val="24"/>
        </w:rPr>
        <w:t xml:space="preserve">  As a result, a new category on cognitive disability, taken from the ACS, was added to all three SESTAT surveys in 2010, and the introductory sentence was revised to refer to difficulties with specific functional limitations.  </w:t>
      </w:r>
    </w:p>
    <w:p w:rsidR="00CC4AAE" w:rsidRDefault="00CC4AAE" w:rsidP="00CC4AAE">
      <w:pPr>
        <w:pStyle w:val="Bullet"/>
        <w:spacing w:after="0"/>
        <w:ind w:left="0" w:firstLine="0"/>
        <w:jc w:val="left"/>
      </w:pPr>
    </w:p>
    <w:p w:rsidR="00CC4AAE" w:rsidRDefault="00CC4AAE" w:rsidP="00CC4AAE">
      <w:pPr>
        <w:tabs>
          <w:tab w:val="left" w:pos="540"/>
        </w:tabs>
        <w:ind w:left="0"/>
        <w:rPr>
          <w:rFonts w:ascii="Times New Roman" w:hAnsi="Times New Roman"/>
          <w:b/>
          <w:bCs/>
          <w:i/>
          <w:iCs/>
          <w:szCs w:val="24"/>
        </w:rPr>
      </w:pPr>
      <w:r>
        <w:rPr>
          <w:rFonts w:ascii="Times New Roman" w:hAnsi="Times New Roman"/>
          <w:b/>
          <w:bCs/>
          <w:i/>
          <w:iCs/>
          <w:szCs w:val="24"/>
        </w:rPr>
        <w:t>Consultations for Outreach and Dissemination</w:t>
      </w:r>
    </w:p>
    <w:p w:rsidR="00CC4AAE" w:rsidRDefault="00CC4AAE" w:rsidP="00CC4AAE">
      <w:pPr>
        <w:tabs>
          <w:tab w:val="left" w:pos="540"/>
        </w:tabs>
        <w:ind w:left="0"/>
        <w:rPr>
          <w:rFonts w:ascii="Times New Roman" w:hAnsi="Times New Roman"/>
          <w:b/>
          <w:bCs/>
          <w:i/>
          <w:iCs/>
          <w:szCs w:val="24"/>
        </w:rPr>
      </w:pPr>
    </w:p>
    <w:p w:rsidR="00CC4AAE" w:rsidRDefault="00CC4AAE" w:rsidP="00CC4AAE">
      <w:pPr>
        <w:tabs>
          <w:tab w:val="left" w:pos="540"/>
        </w:tabs>
        <w:ind w:left="0"/>
        <w:rPr>
          <w:rFonts w:ascii="Times New Roman" w:hAnsi="Times New Roman"/>
          <w:szCs w:val="24"/>
        </w:rPr>
      </w:pPr>
      <w:r>
        <w:rPr>
          <w:rFonts w:ascii="Times New Roman" w:hAnsi="Times New Roman"/>
          <w:szCs w:val="24"/>
        </w:rPr>
        <w:t>In order to maintain the currency of the SESTAT surveys and to obtain ongoing input from the public and researchers, SRS has engaged in the following activities.</w:t>
      </w:r>
    </w:p>
    <w:p w:rsidR="00CC4AAE" w:rsidRDefault="00CC4AAE" w:rsidP="00CC4AAE">
      <w:pPr>
        <w:tabs>
          <w:tab w:val="left" w:pos="540"/>
        </w:tabs>
        <w:ind w:left="0"/>
        <w:rPr>
          <w:rFonts w:ascii="Times New Roman" w:hAnsi="Times New Roman"/>
          <w:b/>
          <w:bCs/>
          <w:i/>
          <w:iCs/>
          <w:szCs w:val="24"/>
        </w:rPr>
      </w:pPr>
    </w:p>
    <w:p w:rsidR="00CC4AAE" w:rsidRDefault="00CC4AAE" w:rsidP="00CC4AAE">
      <w:pPr>
        <w:tabs>
          <w:tab w:val="left" w:pos="2520"/>
        </w:tabs>
        <w:spacing w:after="180"/>
        <w:ind w:left="0"/>
        <w:rPr>
          <w:rFonts w:ascii="Times New Roman" w:hAnsi="Times New Roman"/>
          <w:szCs w:val="24"/>
        </w:rPr>
      </w:pPr>
      <w:r>
        <w:rPr>
          <w:rFonts w:ascii="Times New Roman" w:hAnsi="Times New Roman"/>
          <w:szCs w:val="24"/>
        </w:rPr>
        <w:t>For the 2006, 2008, and 2010 survey rounds:</w:t>
      </w:r>
    </w:p>
    <w:p w:rsidR="00CC4AAE" w:rsidRDefault="00CC4AAE" w:rsidP="00CC4AAE">
      <w:pPr>
        <w:numPr>
          <w:ilvl w:val="0"/>
          <w:numId w:val="6"/>
        </w:numPr>
        <w:tabs>
          <w:tab w:val="clear" w:pos="2160"/>
          <w:tab w:val="num" w:pos="720"/>
        </w:tabs>
        <w:spacing w:after="60"/>
        <w:ind w:left="720" w:right="15"/>
        <w:rPr>
          <w:rFonts w:ascii="Times New Roman" w:hAnsi="Times New Roman"/>
          <w:szCs w:val="24"/>
        </w:rPr>
      </w:pPr>
      <w:r>
        <w:rPr>
          <w:rFonts w:ascii="Times New Roman" w:hAnsi="Times New Roman"/>
          <w:szCs w:val="24"/>
        </w:rPr>
        <w:t>SRS has convened a Human Resources Experts Panel (HREP) in order to help improve data collection on the S&amp;E workforce through review and renewal of the S&amp;E personnel surveys and to promote use of the data for research and policy analysis purposes.  HREP  accomplished its mission by:  1) Suggesting methods to publicize and promote the data; 2) Providing advice on efforts to improve the timeliness and accuracy of S&amp;E labor force data; 3) Providing a mechanism for obtaining ongoing input from both researchers and policy analysts interested in S&amp;E personnel data; 4) Providing perspectives on the data needs of decision makers; 5) Identifying issues and trends that are important for maintaining the relevance of the data; 6) Identifying ways in which S&amp;E personnel data could be more useful and relevant for analyses; and 7) Proposing ways to enhance the content of the SRS human resources surveys.  The panel was made up of 15 members who represented the sciences, academia, business/industry, government, researchers and policy makers.  Five meetings have been held since the panel was convened in 2007.</w:t>
      </w:r>
    </w:p>
    <w:p w:rsidR="00CC4AAE" w:rsidRDefault="00CC4AAE" w:rsidP="00CC4AAE">
      <w:pPr>
        <w:numPr>
          <w:ilvl w:val="0"/>
          <w:numId w:val="6"/>
        </w:numPr>
        <w:tabs>
          <w:tab w:val="clear" w:pos="2160"/>
          <w:tab w:val="num" w:pos="720"/>
        </w:tabs>
        <w:spacing w:after="60"/>
        <w:ind w:left="720"/>
        <w:rPr>
          <w:rFonts w:ascii="Times New Roman" w:hAnsi="Times New Roman"/>
          <w:szCs w:val="24"/>
        </w:rPr>
      </w:pPr>
      <w:r>
        <w:rPr>
          <w:rFonts w:ascii="Times New Roman" w:hAnsi="Times New Roman"/>
          <w:szCs w:val="24"/>
        </w:rPr>
        <w:t xml:space="preserve">In addition to researchers and the public who use the public-use SESTAT, SDR, NSRCG or NSCG files, there are also individuals who use the restricted-use files under a license.  SRS has funded three workshops where current and potential future licensees met at NSF to present their research findings to NSF as well as to the broader research community.  </w:t>
      </w:r>
    </w:p>
    <w:p w:rsidR="00CC4AAE" w:rsidRDefault="00CC4AAE" w:rsidP="00CC4AAE">
      <w:pPr>
        <w:numPr>
          <w:ilvl w:val="0"/>
          <w:numId w:val="6"/>
        </w:numPr>
        <w:tabs>
          <w:tab w:val="clear" w:pos="2160"/>
          <w:tab w:val="num" w:pos="720"/>
        </w:tabs>
        <w:spacing w:after="60"/>
        <w:ind w:left="720"/>
        <w:rPr>
          <w:rFonts w:ascii="Times New Roman" w:hAnsi="Times New Roman"/>
          <w:szCs w:val="24"/>
        </w:rPr>
      </w:pPr>
      <w:r w:rsidRPr="00991FF6">
        <w:rPr>
          <w:rFonts w:ascii="Times New Roman" w:hAnsi="Times New Roman"/>
          <w:szCs w:val="24"/>
        </w:rPr>
        <w:t xml:space="preserve">The SESTAT surveys contain a wealth of information on highly trained individuals in the U.S. labor force.  Over the past several years, there has been a great deal of interest in leveraging the survey data that are collected with other information on productivity by some of the same individuals (for example, patenting records or publishing records).  In order to pursue the feasibility of this approach, SRS funded a workshop at NSF that brought in experts on database matching.  </w:t>
      </w:r>
      <w:r w:rsidRPr="00991FF6">
        <w:rPr>
          <w:rFonts w:ascii="Times New Roman" w:hAnsi="Times New Roman"/>
        </w:rPr>
        <w:t>SRS is currently engaged in a</w:t>
      </w:r>
      <w:r>
        <w:rPr>
          <w:rFonts w:ascii="Times New Roman" w:hAnsi="Times New Roman"/>
        </w:rPr>
        <w:t xml:space="preserve">n activity </w:t>
      </w:r>
      <w:r w:rsidRPr="00991FF6">
        <w:rPr>
          <w:rFonts w:ascii="Times New Roman" w:hAnsi="Times New Roman"/>
        </w:rPr>
        <w:t xml:space="preserve">that will enable the matching of some SESTAT data to various patent and publication databases. </w:t>
      </w:r>
    </w:p>
    <w:p w:rsidR="00CC4AAE" w:rsidRDefault="00CC4AAE" w:rsidP="00CC4AAE">
      <w:pPr>
        <w:numPr>
          <w:ilvl w:val="0"/>
          <w:numId w:val="13"/>
        </w:numPr>
        <w:spacing w:after="60"/>
        <w:ind w:left="720"/>
        <w:rPr>
          <w:rFonts w:ascii="Times New Roman" w:hAnsi="Times New Roman"/>
        </w:rPr>
      </w:pPr>
      <w:r>
        <w:rPr>
          <w:rFonts w:ascii="Times New Roman" w:hAnsi="Times New Roman"/>
        </w:rPr>
        <w:t>Through a grant to the Association for Institutional Research (AIR), SRS staff recorded two webinars on the SESTAT website and data tool to encourage broader use of the data.</w:t>
      </w:r>
    </w:p>
    <w:p w:rsidR="00CC4AAE" w:rsidRDefault="00CC4AAE" w:rsidP="00CC4AAE">
      <w:pPr>
        <w:numPr>
          <w:ilvl w:val="0"/>
          <w:numId w:val="13"/>
        </w:numPr>
        <w:spacing w:after="60"/>
        <w:ind w:left="720"/>
        <w:rPr>
          <w:rFonts w:ascii="Times New Roman" w:hAnsi="Times New Roman"/>
        </w:rPr>
      </w:pPr>
      <w:r>
        <w:rPr>
          <w:rFonts w:ascii="Times New Roman" w:hAnsi="Times New Roman"/>
        </w:rPr>
        <w:t>ASA/AAPOR invited an SRS analyst to present a webinar on science and technology human resources surveys, data and indicators; the SESTAT data are the source for all of the major indicators and trends on this workforce.</w:t>
      </w:r>
    </w:p>
    <w:p w:rsidR="00CC4AAE" w:rsidRDefault="00CC4AAE" w:rsidP="00CC4AAE">
      <w:pPr>
        <w:tabs>
          <w:tab w:val="num" w:pos="1440"/>
          <w:tab w:val="left" w:pos="2520"/>
        </w:tabs>
        <w:ind w:left="0"/>
        <w:rPr>
          <w:rFonts w:ascii="Times New Roman" w:hAnsi="Times New Roman"/>
          <w:szCs w:val="24"/>
        </w:rPr>
      </w:pPr>
    </w:p>
    <w:p w:rsidR="00CC4AAE" w:rsidRDefault="00CC4AAE" w:rsidP="00CC4AAE">
      <w:pPr>
        <w:tabs>
          <w:tab w:val="num" w:pos="1440"/>
          <w:tab w:val="left" w:pos="2520"/>
        </w:tabs>
        <w:ind w:left="0"/>
        <w:rPr>
          <w:rFonts w:ascii="Times New Roman" w:hAnsi="Times New Roman"/>
          <w:szCs w:val="24"/>
        </w:rPr>
      </w:pPr>
      <w:r>
        <w:rPr>
          <w:rFonts w:ascii="Times New Roman" w:hAnsi="Times New Roman"/>
          <w:szCs w:val="24"/>
        </w:rPr>
        <w:t xml:space="preserve"> </w:t>
      </w:r>
    </w:p>
    <w:p w:rsidR="00CC4AAE" w:rsidRDefault="00CC4AAE" w:rsidP="00CC4AAE">
      <w:pPr>
        <w:pStyle w:val="Heading2"/>
        <w:tabs>
          <w:tab w:val="left" w:pos="720"/>
          <w:tab w:val="left" w:pos="2520"/>
        </w:tabs>
        <w:spacing w:before="0" w:after="0"/>
        <w:ind w:left="0"/>
        <w:rPr>
          <w:szCs w:val="24"/>
        </w:rPr>
      </w:pPr>
      <w:bookmarkStart w:id="15" w:name="_Toc257283584"/>
      <w:r>
        <w:rPr>
          <w:szCs w:val="24"/>
        </w:rPr>
        <w:t>9.</w:t>
      </w:r>
      <w:r>
        <w:rPr>
          <w:szCs w:val="24"/>
        </w:rPr>
        <w:tab/>
        <w:t>PAYMENT OR GIFTS TO RESPONDENTS</w:t>
      </w:r>
      <w:bookmarkEnd w:id="15"/>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527"/>
        <w:rPr>
          <w:rFonts w:ascii="Times New Roman" w:hAnsi="Times New Roman"/>
          <w:szCs w:val="24"/>
        </w:rPr>
      </w:pPr>
    </w:p>
    <w:p w:rsidR="00CC4AAE" w:rsidRDefault="00CC4AAE" w:rsidP="00CC4AAE">
      <w:pPr>
        <w:pStyle w:val="BodyTextIndent3"/>
        <w:tabs>
          <w:tab w:val="clear" w:pos="211"/>
          <w:tab w:val="clear" w:pos="72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 w:val="left" w:pos="0"/>
          <w:tab w:val="left" w:pos="2520"/>
        </w:tabs>
        <w:suppressAutoHyphens/>
        <w:ind w:left="0"/>
        <w:rPr>
          <w:rFonts w:ascii="Times New Roman" w:hAnsi="Times New Roman"/>
          <w:szCs w:val="24"/>
        </w:rPr>
      </w:pPr>
      <w:r w:rsidRPr="00CA3103">
        <w:rPr>
          <w:rFonts w:ascii="Times New Roman" w:hAnsi="Times New Roman"/>
          <w:szCs w:val="24"/>
        </w:rPr>
        <w:t xml:space="preserve">NSF is considering a monetary incentive </w:t>
      </w:r>
      <w:r>
        <w:rPr>
          <w:rFonts w:ascii="Times New Roman" w:hAnsi="Times New Roman"/>
          <w:szCs w:val="24"/>
        </w:rPr>
        <w:t xml:space="preserve">experiment to examine </w:t>
      </w:r>
      <w:r w:rsidRPr="00CA3103">
        <w:rPr>
          <w:rFonts w:ascii="Times New Roman" w:hAnsi="Times New Roman"/>
          <w:szCs w:val="24"/>
        </w:rPr>
        <w:t xml:space="preserve">potential </w:t>
      </w:r>
      <w:proofErr w:type="spellStart"/>
      <w:r w:rsidRPr="00CA3103">
        <w:rPr>
          <w:rFonts w:ascii="Times New Roman" w:hAnsi="Times New Roman"/>
          <w:szCs w:val="24"/>
        </w:rPr>
        <w:t>nonresponse</w:t>
      </w:r>
      <w:proofErr w:type="spellEnd"/>
      <w:r w:rsidRPr="00CA3103">
        <w:rPr>
          <w:rFonts w:ascii="Times New Roman" w:hAnsi="Times New Roman"/>
          <w:szCs w:val="24"/>
        </w:rPr>
        <w:t xml:space="preserve"> bias.  An incentive</w:t>
      </w:r>
      <w:r>
        <w:rPr>
          <w:rFonts w:ascii="Times New Roman" w:hAnsi="Times New Roman"/>
          <w:szCs w:val="24"/>
        </w:rPr>
        <w:t xml:space="preserve"> plan will be submitted for OMB’s review and </w:t>
      </w:r>
      <w:r w:rsidRPr="00CA3103">
        <w:rPr>
          <w:rFonts w:ascii="Times New Roman" w:hAnsi="Times New Roman"/>
          <w:szCs w:val="24"/>
        </w:rPr>
        <w:t xml:space="preserve">approval </w:t>
      </w:r>
      <w:r>
        <w:rPr>
          <w:rFonts w:ascii="Times New Roman" w:hAnsi="Times New Roman"/>
          <w:szCs w:val="24"/>
        </w:rPr>
        <w:t xml:space="preserve">at </w:t>
      </w:r>
      <w:r w:rsidRPr="00CA3103">
        <w:rPr>
          <w:rFonts w:ascii="Times New Roman" w:hAnsi="Times New Roman"/>
          <w:szCs w:val="24"/>
        </w:rPr>
        <w:t>later</w:t>
      </w:r>
      <w:r>
        <w:rPr>
          <w:rFonts w:ascii="Times New Roman" w:hAnsi="Times New Roman"/>
          <w:szCs w:val="24"/>
        </w:rPr>
        <w:t xml:space="preserve"> time if NSF decides to conduct an incentive experiment</w:t>
      </w:r>
      <w:r w:rsidRPr="00CA3103">
        <w:rPr>
          <w:rFonts w:ascii="Times New Roman" w:hAnsi="Times New Roman"/>
          <w:szCs w:val="24"/>
        </w:rPr>
        <w:t>.</w:t>
      </w:r>
      <w:r>
        <w:rPr>
          <w:rFonts w:ascii="Times New Roman" w:hAnsi="Times New Roman"/>
          <w:szCs w:val="24"/>
        </w:rPr>
        <w:t xml:space="preserve"> </w:t>
      </w:r>
    </w:p>
    <w:p w:rsidR="00CC4AAE" w:rsidRDefault="00CC4AAE" w:rsidP="00CC4AAE">
      <w:pPr>
        <w:rPr>
          <w:bCs/>
        </w:rPr>
      </w:pPr>
    </w:p>
    <w:p w:rsidR="00CC4AAE" w:rsidRDefault="00CC4AAE" w:rsidP="00CC4AAE"/>
    <w:p w:rsidR="00CC4AAE" w:rsidRDefault="00CC4AAE" w:rsidP="00CC4AAE">
      <w:pPr>
        <w:pStyle w:val="Heading2"/>
        <w:tabs>
          <w:tab w:val="left" w:pos="720"/>
          <w:tab w:val="left" w:pos="2520"/>
        </w:tabs>
        <w:spacing w:before="0" w:after="0"/>
        <w:ind w:left="0"/>
        <w:rPr>
          <w:szCs w:val="24"/>
        </w:rPr>
      </w:pPr>
      <w:bookmarkStart w:id="16" w:name="_Toc257283585"/>
      <w:r>
        <w:rPr>
          <w:bCs w:val="0"/>
          <w:szCs w:val="24"/>
        </w:rPr>
        <w:t>10.</w:t>
      </w:r>
      <w:r>
        <w:rPr>
          <w:bCs w:val="0"/>
          <w:szCs w:val="24"/>
        </w:rPr>
        <w:tab/>
      </w:r>
      <w:r>
        <w:rPr>
          <w:szCs w:val="24"/>
        </w:rPr>
        <w:t>ASSURANCE OF CONFIDENTIALITY</w:t>
      </w:r>
      <w:bookmarkEnd w:id="16"/>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NSF and the Census Bureau are committed to protecting the </w:t>
      </w:r>
      <w:r w:rsidRPr="00F50717">
        <w:rPr>
          <w:rFonts w:ascii="Times New Roman" w:hAnsi="Times New Roman"/>
          <w:color w:val="984806" w:themeColor="accent6" w:themeShade="80"/>
          <w:szCs w:val="24"/>
        </w:rPr>
        <w:t>confidentiality</w:t>
      </w:r>
      <w:r>
        <w:rPr>
          <w:rFonts w:ascii="Times New Roman" w:hAnsi="Times New Roman"/>
          <w:szCs w:val="24"/>
        </w:rPr>
        <w:t xml:space="preserve"> of all survey respondents.  The NSCG data will be collected in conformance with the Privacy Act of 1974, the NSF Act of 1950, as amended, and the Confidential Information Protection and Statistical Efficiency Act (CIPSEA) of 2002.  The </w:t>
      </w:r>
      <w:r w:rsidRPr="00CB61E9">
        <w:rPr>
          <w:kern w:val="20"/>
        </w:rPr>
        <w:t>Census Bureau is conducting th</w:t>
      </w:r>
      <w:r>
        <w:rPr>
          <w:kern w:val="20"/>
        </w:rPr>
        <w:t>e NSCG</w:t>
      </w:r>
      <w:r w:rsidRPr="00CB61E9">
        <w:rPr>
          <w:kern w:val="20"/>
        </w:rPr>
        <w:t xml:space="preserve"> under </w:t>
      </w:r>
      <w:r w:rsidRPr="00D7497D">
        <w:rPr>
          <w:kern w:val="20"/>
        </w:rPr>
        <w:t>the authority of Title 13</w:t>
      </w:r>
      <w:r>
        <w:rPr>
          <w:kern w:val="20"/>
        </w:rPr>
        <w:t xml:space="preserve"> and 15</w:t>
      </w:r>
      <w:r w:rsidRPr="00D7497D">
        <w:rPr>
          <w:kern w:val="20"/>
        </w:rPr>
        <w:t>, United</w:t>
      </w:r>
      <w:r w:rsidRPr="00CB61E9">
        <w:rPr>
          <w:kern w:val="20"/>
        </w:rPr>
        <w:t xml:space="preserve"> States Code, Section 8</w:t>
      </w:r>
      <w:r>
        <w:rPr>
          <w:kern w:val="20"/>
        </w:rPr>
        <w:t xml:space="preserve"> and 1525, respectively</w:t>
      </w:r>
      <w:r w:rsidRPr="00CB61E9">
        <w:rPr>
          <w:kern w:val="20"/>
        </w:rPr>
        <w:t>.</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BodyText2"/>
        <w:rPr>
          <w:szCs w:val="24"/>
        </w:rPr>
      </w:pPr>
      <w:r>
        <w:rPr>
          <w:szCs w:val="24"/>
        </w:rPr>
        <w:t xml:space="preserve">As explained in Section B.1, there are three components of the 2010 NSCG sample design.  The first one is 2003 NSCG respondents from the 2000 decennial census, the second is “NSRCG panel” respondents </w:t>
      </w:r>
      <w:proofErr w:type="spellStart"/>
      <w:r>
        <w:rPr>
          <w:szCs w:val="24"/>
        </w:rPr>
        <w:t>subsampled</w:t>
      </w:r>
      <w:proofErr w:type="spellEnd"/>
      <w:r>
        <w:rPr>
          <w:szCs w:val="24"/>
        </w:rPr>
        <w:t xml:space="preserve"> from the 2001, 2003, 2006 and 2008 NSRCGs, and the third is based on respondents to the 2009 American Community Survey (ACS). </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The statement on the questionnaire cover will cite the appropriate data collection authority as the NSF Act and confidentiality assurances under the CIPSEA.  The questionnaire cover statement will also inform the respondents that the data will be used for statistical purposes only, and the voluntary nature of their response. Two different cover letters will be used where the content will be the same except that for the sample members from the 2003 NSCG and the 2009 ACS, the cover letters will include additional statements about the Census Bureau’s Title 13 as the data collection authority and assurances of confidentiality (see Appendix E).  The Census Bureau will include the same appropriate notices of confidentiality and the voluntary basis of the survey in the introduction to respondents contacted during the CATI phase of the data collection.</w:t>
      </w:r>
      <w:r>
        <w:rPr>
          <w:rFonts w:ascii="Times New Roman" w:hAnsi="Times New Roman"/>
          <w:szCs w:val="24"/>
        </w:rPr>
        <w:tab/>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720"/>
        </w:tabs>
        <w:ind w:left="0" w:right="180"/>
        <w:rPr>
          <w:rFonts w:ascii="Times New Roman" w:hAnsi="Times New Roman"/>
          <w:szCs w:val="24"/>
        </w:rPr>
      </w:pPr>
      <w:r>
        <w:rPr>
          <w:rFonts w:ascii="Times New Roman" w:hAnsi="Times New Roman"/>
          <w:szCs w:val="24"/>
        </w:rPr>
        <w:t>NSF and the Census Bureau will operate within the guidelines established by the Privacy Act to protect respondents’ privacy and the confidentiality of the data collected.  The Privacy Act states “</w:t>
      </w:r>
      <w:proofErr w:type="spellStart"/>
      <w:r>
        <w:rPr>
          <w:rFonts w:ascii="Times New Roman" w:hAnsi="Times New Roman"/>
          <w:szCs w:val="24"/>
        </w:rPr>
        <w:t>microdata</w:t>
      </w:r>
      <w:proofErr w:type="spellEnd"/>
      <w:r>
        <w:rPr>
          <w:rFonts w:ascii="Times New Roman" w:hAnsi="Times New Roman"/>
          <w:szCs w:val="24"/>
        </w:rPr>
        <w:t xml:space="preserve"> files prepared for purposes of research and analysis are purged of personal identifiers and are subject to procedural safeguards to assure anonymity.” </w:t>
      </w:r>
    </w:p>
    <w:p w:rsidR="00CC4AAE" w:rsidRDefault="00CC4AAE" w:rsidP="00CC4AAE">
      <w:pPr>
        <w:tabs>
          <w:tab w:val="left" w:pos="720"/>
        </w:tabs>
        <w:ind w:left="0" w:right="180"/>
        <w:rPr>
          <w:rFonts w:ascii="Times New Roman" w:hAnsi="Times New Roman"/>
          <w:szCs w:val="24"/>
        </w:rPr>
      </w:pPr>
    </w:p>
    <w:p w:rsidR="00CC4AAE" w:rsidRDefault="00CC4AAE" w:rsidP="00CC4AAE">
      <w:pPr>
        <w:tabs>
          <w:tab w:val="left" w:pos="720"/>
        </w:tabs>
        <w:ind w:left="0" w:right="187"/>
        <w:rPr>
          <w:rFonts w:ascii="Times New Roman" w:hAnsi="Times New Roman"/>
          <w:szCs w:val="24"/>
        </w:rPr>
      </w:pPr>
      <w:r>
        <w:rPr>
          <w:rFonts w:ascii="Times New Roman" w:hAnsi="Times New Roman"/>
          <w:szCs w:val="24"/>
        </w:rPr>
        <w:t xml:space="preserve">The Census Bureau has demonstrated experience in handling sensitive data.  Routine procedures will be in place to ensure data confidentiality, including the use of passwords and encrypted identifiers to prevent direct or indirect disclosures of information.  Furthermore, the Census Bureau’s management system is in full compliance with the government’s ADP systems requirements.  </w:t>
      </w:r>
    </w:p>
    <w:p w:rsidR="00CC4AAE" w:rsidRDefault="00CC4AAE" w:rsidP="00CC4AAE">
      <w:pPr>
        <w:tabs>
          <w:tab w:val="left" w:pos="720"/>
        </w:tabs>
        <w:ind w:left="0" w:right="187"/>
        <w:rPr>
          <w:rFonts w:ascii="Times New Roman" w:hAnsi="Times New Roman"/>
          <w:szCs w:val="24"/>
        </w:rPr>
      </w:pPr>
    </w:p>
    <w:p w:rsidR="00CC4AAE" w:rsidRDefault="00CC4AAE" w:rsidP="00CC4AAE">
      <w:pPr>
        <w:tabs>
          <w:tab w:val="left" w:pos="720"/>
        </w:tabs>
        <w:ind w:left="0" w:right="18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17" w:name="_Hlt28152725"/>
      <w:bookmarkStart w:id="18" w:name="_Toc257283586"/>
      <w:bookmarkEnd w:id="17"/>
      <w:r>
        <w:rPr>
          <w:szCs w:val="24"/>
        </w:rPr>
        <w:t>11.</w:t>
      </w:r>
      <w:r>
        <w:rPr>
          <w:szCs w:val="24"/>
        </w:rPr>
        <w:tab/>
        <w:t>JUSTIFICATION FOR SENSITIVE QUESTIONS</w:t>
      </w:r>
      <w:bookmarkEnd w:id="18"/>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No questions of a sensitive nature are asked in this data collection.</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19" w:name="_Toc257283587"/>
      <w:r>
        <w:rPr>
          <w:szCs w:val="24"/>
        </w:rPr>
        <w:t>12.</w:t>
      </w:r>
      <w:r>
        <w:rPr>
          <w:szCs w:val="24"/>
        </w:rPr>
        <w:tab/>
        <w:t>ESTIMATE OF RESPONDENT BURDEN</w:t>
      </w:r>
      <w:bookmarkEnd w:id="19"/>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The NSF estimates that it will contact approximately 100,000 sample persons by mail or computer-assisted interviewing.  Based on experience administering the NSCG interviews, the </w:t>
      </w:r>
      <w:r>
        <w:rPr>
          <w:rFonts w:ascii="Times New Roman" w:hAnsi="Times New Roman"/>
          <w:szCs w:val="24"/>
        </w:rPr>
        <w:lastRenderedPageBreak/>
        <w:t xml:space="preserve">questionnaire takes an average of 25 minutes to complete.  An overall response rate of about 80 percent is estimated from 65,000 new cohort sample, and about 90 percent from 35,000 old cohort </w:t>
      </w:r>
      <w:proofErr w:type="gramStart"/>
      <w:r>
        <w:rPr>
          <w:rFonts w:ascii="Times New Roman" w:hAnsi="Times New Roman"/>
          <w:szCs w:val="24"/>
        </w:rPr>
        <w:t>sample</w:t>
      </w:r>
      <w:proofErr w:type="gramEnd"/>
      <w:r>
        <w:rPr>
          <w:rFonts w:ascii="Times New Roman" w:hAnsi="Times New Roman"/>
          <w:szCs w:val="24"/>
        </w:rPr>
        <w:t xml:space="preserve">.  Based on an estimate of approximately 83,500 completed cases, the total burden hours for the 2010 NSCG data </w:t>
      </w:r>
      <w:r w:rsidRPr="000C0736">
        <w:rPr>
          <w:rFonts w:ascii="Times New Roman" w:hAnsi="Times New Roman"/>
          <w:szCs w:val="24"/>
        </w:rPr>
        <w:t>collection are 34,792.  The total cost to respondents for the 34,792 burden hours is estimated to be $1,154,040.  This estimate is based on an estimated median annual salary of $69,000 per NSCG respondent</w:t>
      </w:r>
      <w:r>
        <w:rPr>
          <w:rFonts w:ascii="Times New Roman" w:hAnsi="Times New Roman"/>
          <w:szCs w:val="24"/>
        </w:rPr>
        <w:t>.  Assuming a 40-hour workweek and a 52-week salary, this annual salary translates to an hourly salary of $33.17.  Salary estimates were obtained using data from the 2008 NSCG.</w:t>
      </w:r>
    </w:p>
    <w:p w:rsidR="00CC4AAE" w:rsidRDefault="00CC4AAE" w:rsidP="00CC4AAE">
      <w:pPr>
        <w:rPr>
          <w:rFonts w:ascii="Times New Roman" w:hAnsi="Times New Roman"/>
        </w:rPr>
      </w:pPr>
    </w:p>
    <w:p w:rsidR="00CC4AAE" w:rsidRDefault="00CC4AAE" w:rsidP="00CC4AAE">
      <w:pPr>
        <w:pStyle w:val="Heading2"/>
        <w:tabs>
          <w:tab w:val="left" w:pos="720"/>
          <w:tab w:val="left" w:pos="2520"/>
        </w:tabs>
        <w:spacing w:before="0" w:after="0"/>
        <w:ind w:left="0"/>
      </w:pPr>
      <w:bookmarkStart w:id="20" w:name="_Toc257283588"/>
    </w:p>
    <w:p w:rsidR="00CC4AAE" w:rsidRDefault="00CC4AAE" w:rsidP="00CC4AAE">
      <w:pPr>
        <w:pStyle w:val="Heading2"/>
        <w:tabs>
          <w:tab w:val="left" w:pos="720"/>
          <w:tab w:val="left" w:pos="2520"/>
        </w:tabs>
        <w:spacing w:before="0" w:after="0"/>
        <w:ind w:left="0"/>
        <w:rPr>
          <w:szCs w:val="24"/>
        </w:rPr>
      </w:pPr>
      <w:r>
        <w:rPr>
          <w:szCs w:val="24"/>
        </w:rPr>
        <w:t>13.</w:t>
      </w:r>
      <w:r>
        <w:rPr>
          <w:szCs w:val="24"/>
        </w:rPr>
        <w:tab/>
        <w:t>COST BURDEN TO RESPONDENTS</w:t>
      </w:r>
      <w:bookmarkEnd w:id="20"/>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 xml:space="preserve">Not applicable.  This survey does not require respondents to purchase equipment, software or contract out services.  </w:t>
      </w: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21" w:name="_Toc257283589"/>
      <w:r>
        <w:rPr>
          <w:szCs w:val="24"/>
        </w:rPr>
        <w:t>14.</w:t>
      </w:r>
      <w:r>
        <w:rPr>
          <w:szCs w:val="24"/>
        </w:rPr>
        <w:tab/>
        <w:t>COST BURDEN TO FEDERAL GOVERNMENT</w:t>
      </w:r>
      <w:bookmarkEnd w:id="21"/>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hanging="211"/>
        <w:rPr>
          <w:rFonts w:ascii="Times New Roman" w:hAnsi="Times New Roman"/>
          <w:b/>
          <w:szCs w:val="24"/>
        </w:rPr>
      </w:pPr>
    </w:p>
    <w:p w:rsidR="00CC4AAE" w:rsidRDefault="00CC4AAE" w:rsidP="00CC4AAE">
      <w:pPr>
        <w:pStyle w:val="BodyTextIndent3"/>
        <w:tabs>
          <w:tab w:val="left" w:pos="0"/>
          <w:tab w:val="left" w:pos="2520"/>
        </w:tabs>
        <w:suppressAutoHyphens/>
        <w:ind w:left="0"/>
        <w:rPr>
          <w:rFonts w:ascii="Times New Roman" w:hAnsi="Times New Roman"/>
          <w:szCs w:val="24"/>
        </w:rPr>
      </w:pPr>
      <w:r>
        <w:rPr>
          <w:rFonts w:ascii="Times New Roman" w:hAnsi="Times New Roman"/>
          <w:szCs w:val="24"/>
        </w:rPr>
        <w:t xml:space="preserve">The total estimated cost to the Government for the 2010 NSCG is approximately $16.3 million, which includes survey data collection costs, and NSF staff costs to provide oversight and coordination with the other two SESTAT surveys.  The cost estimate for data collection is $15.7 million, which is based on sample size; length of questionnaire; administration; overhead; sample design; mailing; printing; sample person locating, telephone interviewing; incentive payments, critical items data retrieval, data keying and editing; data quality control; imputation for missing item responses; weighting and estimating sampling error; file preparation and delivery; and preparation of documentation and final reports.  The NSF staff costs are estimated at $562,500 (based on $150,000 annual salary of 1.5 FTE for 2.5 years).  </w:t>
      </w:r>
    </w:p>
    <w:p w:rsidR="00CC4AAE" w:rsidRDefault="00CC4AAE" w:rsidP="00CC4AAE">
      <w:pPr>
        <w:pStyle w:val="BodyTextIndent3"/>
        <w:tabs>
          <w:tab w:val="left" w:pos="0"/>
          <w:tab w:val="left" w:pos="2520"/>
        </w:tabs>
        <w:suppressAutoHyphens/>
        <w:ind w:left="0"/>
        <w:rPr>
          <w:rFonts w:ascii="Times New Roman" w:hAnsi="Times New Roman"/>
          <w:szCs w:val="24"/>
        </w:rPr>
      </w:pPr>
    </w:p>
    <w:p w:rsidR="00CC4AAE" w:rsidRDefault="00CC4AAE" w:rsidP="00CC4AAE">
      <w:pPr>
        <w:pStyle w:val="BodyTextIndent3"/>
        <w:tabs>
          <w:tab w:val="clear" w:pos="211"/>
          <w:tab w:val="clear" w:pos="72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 w:val="left" w:pos="0"/>
          <w:tab w:val="left" w:pos="2520"/>
        </w:tabs>
        <w:suppressAutoHyphens/>
        <w:ind w:left="0"/>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22" w:name="_Toc257283590"/>
      <w:r>
        <w:rPr>
          <w:szCs w:val="24"/>
        </w:rPr>
        <w:t>15.</w:t>
      </w:r>
      <w:r>
        <w:rPr>
          <w:szCs w:val="24"/>
        </w:rPr>
        <w:tab/>
        <w:t>REASON FOR CHANGE IN BURDEN</w:t>
      </w:r>
      <w:bookmarkEnd w:id="22"/>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szCs w:val="24"/>
        </w:rPr>
      </w:pPr>
    </w:p>
    <w:p w:rsidR="00CC4AAE" w:rsidRDefault="00CC4AAE" w:rsidP="00CC4AAE">
      <w:pPr>
        <w:tabs>
          <w:tab w:val="left" w:pos="0"/>
        </w:tabs>
        <w:suppressAutoHyphens/>
        <w:ind w:left="0"/>
        <w:rPr>
          <w:rFonts w:ascii="Times New Roman" w:hAnsi="Times New Roman"/>
        </w:rPr>
      </w:pPr>
      <w:r>
        <w:rPr>
          <w:rFonts w:ascii="Times New Roman" w:hAnsi="Times New Roman"/>
        </w:rPr>
        <w:t xml:space="preserve">In the past, after each decennial census, a new sample was drawn from the census long form, and that sample followed until the end of the decade.  This was done in 1982, 1993 and 2003.  The first survey in the decade has been much more expensive and burdensome than the following ones because of the larger sample size required to identify the S&amp;E personnel in the U.S.  </w:t>
      </w:r>
    </w:p>
    <w:p w:rsidR="00CC4AAE" w:rsidRDefault="00CC4AAE" w:rsidP="00CC4AAE">
      <w:pPr>
        <w:tabs>
          <w:tab w:val="left" w:pos="0"/>
        </w:tabs>
        <w:suppressAutoHyphens/>
        <w:ind w:left="0"/>
        <w:rPr>
          <w:rFonts w:ascii="Times New Roman" w:hAnsi="Times New Roman"/>
        </w:rPr>
      </w:pPr>
    </w:p>
    <w:p w:rsidR="00CC4AAE" w:rsidRDefault="00CC4AAE" w:rsidP="00CC4AAE">
      <w:pPr>
        <w:tabs>
          <w:tab w:val="left" w:pos="0"/>
        </w:tabs>
        <w:suppressAutoHyphens/>
        <w:ind w:left="0"/>
        <w:rPr>
          <w:rFonts w:ascii="Times New Roman" w:hAnsi="Times New Roman"/>
        </w:rPr>
      </w:pPr>
      <w:r>
        <w:rPr>
          <w:rFonts w:ascii="Times New Roman" w:hAnsi="Times New Roman"/>
        </w:rPr>
        <w:t xml:space="preserve">The sample size required for the 2010 survey is significantly less than the initial survey (2003) in the previous decade because of the field of bachelor’s degree item added to the ACS in 2009 allows for much more efficient sampling that targets S&amp;E personnel.  Therefore, the 2010 NSCG burden hours of 34,792 is significantly less than the 74,877 hours estimated for the 2003 survey, which had a sample size of 217,000.  The 2010 NSCG burden hours are actually less than the 2008 burden hours of 35,500 with a sample size of 68,000 and a response rate of 90%.  </w:t>
      </w:r>
    </w:p>
    <w:p w:rsidR="00CC4AAE" w:rsidRDefault="00CC4AAE" w:rsidP="00CC4AAE">
      <w:pPr>
        <w:tabs>
          <w:tab w:val="left" w:pos="0"/>
        </w:tabs>
        <w:suppressAutoHyphens/>
        <w:ind w:left="0"/>
        <w:rPr>
          <w:rFonts w:ascii="Times New Roman" w:hAnsi="Times New Roman"/>
        </w:rPr>
      </w:pPr>
    </w:p>
    <w:p w:rsidR="00CC4AAE" w:rsidRDefault="00CC4AAE" w:rsidP="00CC4AAE">
      <w:pPr>
        <w:tabs>
          <w:tab w:val="left" w:pos="0"/>
        </w:tabs>
        <w:suppressAutoHyphens/>
        <w:ind w:left="0"/>
        <w:rPr>
          <w:rFonts w:ascii="Times New Roman" w:hAnsi="Times New Roman"/>
        </w:rPr>
      </w:pPr>
      <w:r>
        <w:rPr>
          <w:rFonts w:ascii="Times New Roman" w:hAnsi="Times New Roman"/>
        </w:rPr>
        <w:t xml:space="preserve">The change in burden from the 2008 survey is because of lower expected overall response rate in 2010 NSCG than 2008.  Two-thirds of the 2010 sample will consist of the new cohort sample from the 2009 ACS frame for </w:t>
      </w:r>
      <w:proofErr w:type="gramStart"/>
      <w:r>
        <w:rPr>
          <w:rFonts w:ascii="Times New Roman" w:hAnsi="Times New Roman"/>
        </w:rPr>
        <w:t>whom</w:t>
      </w:r>
      <w:proofErr w:type="gramEnd"/>
      <w:r>
        <w:rPr>
          <w:rFonts w:ascii="Times New Roman" w:hAnsi="Times New Roman"/>
        </w:rPr>
        <w:t xml:space="preserve"> a lower response rate is expected.  Sample members </w:t>
      </w:r>
      <w:r>
        <w:rPr>
          <w:rFonts w:ascii="Times New Roman" w:hAnsi="Times New Roman"/>
        </w:rPr>
        <w:lastRenderedPageBreak/>
        <w:t>selected from the ACS will be unfamiliar with the survey, and their locating information will not be as complete as the old cohort sample.</w:t>
      </w:r>
    </w:p>
    <w:p w:rsidR="00CC4AAE" w:rsidRDefault="00CC4AAE" w:rsidP="00CC4AAE">
      <w:pPr>
        <w:tabs>
          <w:tab w:val="left" w:pos="0"/>
        </w:tabs>
        <w:suppressAutoHyphens/>
        <w:ind w:left="0"/>
        <w:rPr>
          <w:rFonts w:ascii="Times New Roman" w:hAnsi="Times New Roman"/>
        </w:rPr>
      </w:pPr>
    </w:p>
    <w:p w:rsidR="00CC4AAE" w:rsidRDefault="00CC4AAE" w:rsidP="00CC4AAE">
      <w:pPr>
        <w:tabs>
          <w:tab w:val="left" w:pos="0"/>
        </w:tabs>
        <w:suppressAutoHyphens/>
        <w:rPr>
          <w:rFonts w:ascii="Times New Roman" w:hAnsi="Times New Roman"/>
        </w:rPr>
      </w:pPr>
    </w:p>
    <w:p w:rsidR="00CC4AAE" w:rsidRDefault="00CC4AAE" w:rsidP="00CC4AAE">
      <w:pPr>
        <w:pStyle w:val="Heading2"/>
        <w:numPr>
          <w:ilvl w:val="0"/>
          <w:numId w:val="7"/>
        </w:numPr>
        <w:tabs>
          <w:tab w:val="clear" w:pos="1440"/>
          <w:tab w:val="num" w:pos="0"/>
          <w:tab w:val="left" w:pos="720"/>
          <w:tab w:val="left" w:pos="2520"/>
        </w:tabs>
        <w:spacing w:before="0" w:after="0"/>
        <w:ind w:left="0" w:firstLine="0"/>
        <w:rPr>
          <w:szCs w:val="24"/>
        </w:rPr>
      </w:pPr>
      <w:bookmarkStart w:id="23" w:name="_Toc257283591"/>
      <w:r>
        <w:rPr>
          <w:szCs w:val="24"/>
        </w:rPr>
        <w:t>SCHEDULE FOR INFORMATION COLLECTION AND PUBLICATION</w:t>
      </w:r>
      <w:bookmarkEnd w:id="23"/>
    </w:p>
    <w:p w:rsidR="00CC4AAE" w:rsidRDefault="00CC4AAE" w:rsidP="00CC4AAE">
      <w:pPr>
        <w:tabs>
          <w:tab w:val="left" w:pos="2520"/>
        </w:tabs>
        <w:ind w:left="0"/>
        <w:rPr>
          <w:rFonts w:ascii="Times New Roman" w:hAnsi="Times New Roman"/>
          <w:szCs w:val="24"/>
        </w:rPr>
      </w:pPr>
    </w:p>
    <w:p w:rsidR="00CC4AAE" w:rsidRDefault="00CC4AAE" w:rsidP="00CC4AAE">
      <w:pPr>
        <w:tabs>
          <w:tab w:val="left" w:pos="0"/>
          <w:tab w:val="left" w:pos="2520"/>
        </w:tabs>
        <w:suppressAutoHyphens/>
        <w:ind w:left="0"/>
        <w:rPr>
          <w:rFonts w:ascii="Times New Roman" w:hAnsi="Times New Roman"/>
          <w:color w:val="000000"/>
          <w:szCs w:val="24"/>
        </w:rPr>
      </w:pPr>
      <w:r>
        <w:rPr>
          <w:rFonts w:ascii="Times New Roman" w:hAnsi="Times New Roman"/>
          <w:color w:val="000000"/>
          <w:szCs w:val="24"/>
        </w:rPr>
        <w:t xml:space="preserve">NSF does not plan to use any complex analytical techniques in NSF publications using this data.  Normally cross tabulations of the data are presented in NSF reports and other data releases.   </w:t>
      </w:r>
    </w:p>
    <w:p w:rsidR="00CC4AAE" w:rsidRDefault="00CC4AAE" w:rsidP="00CC4AAE">
      <w:pPr>
        <w:tabs>
          <w:tab w:val="left" w:pos="0"/>
          <w:tab w:val="left" w:pos="2520"/>
        </w:tabs>
        <w:suppressAutoHyphens/>
        <w:ind w:left="0"/>
        <w:rPr>
          <w:rFonts w:ascii="Times New Roman" w:hAnsi="Times New Roman"/>
          <w:color w:val="000000"/>
          <w:szCs w:val="24"/>
        </w:rPr>
      </w:pPr>
    </w:p>
    <w:p w:rsidR="00CC4AAE" w:rsidRDefault="00CC4AAE" w:rsidP="00CC4AAE">
      <w:pPr>
        <w:tabs>
          <w:tab w:val="left" w:pos="0"/>
          <w:tab w:val="left" w:pos="2520"/>
        </w:tabs>
        <w:suppressAutoHyphens/>
        <w:ind w:left="0"/>
        <w:rPr>
          <w:rFonts w:ascii="Times New Roman" w:hAnsi="Times New Roman"/>
          <w:szCs w:val="24"/>
        </w:rPr>
      </w:pPr>
      <w:r>
        <w:rPr>
          <w:rFonts w:ascii="Times New Roman" w:hAnsi="Times New Roman"/>
          <w:szCs w:val="24"/>
        </w:rPr>
        <w:t>The time schedule for 2010 data collection and publication is currently estimated as follows:</w:t>
      </w:r>
    </w:p>
    <w:p w:rsidR="00CC4AAE" w:rsidRDefault="00CC4AAE" w:rsidP="00CC4AAE">
      <w:pPr>
        <w:tabs>
          <w:tab w:val="left" w:pos="0"/>
          <w:tab w:val="left" w:pos="2520"/>
        </w:tabs>
        <w:suppressAutoHyphens/>
        <w:ind w:left="0"/>
        <w:rPr>
          <w:rFonts w:ascii="Times New Roman" w:hAnsi="Times New Roman"/>
          <w:sz w:val="16"/>
          <w:szCs w:val="16"/>
        </w:rPr>
      </w:pPr>
    </w:p>
    <w:tbl>
      <w:tblPr>
        <w:tblW w:w="0" w:type="auto"/>
        <w:tblBorders>
          <w:top w:val="single" w:sz="6" w:space="0" w:color="auto"/>
          <w:bottom w:val="single" w:sz="6" w:space="0" w:color="auto"/>
          <w:insideH w:val="single" w:sz="6" w:space="0" w:color="auto"/>
        </w:tblBorders>
        <w:tblLayout w:type="fixed"/>
        <w:tblCellMar>
          <w:left w:w="120" w:type="dxa"/>
          <w:right w:w="120" w:type="dxa"/>
        </w:tblCellMar>
        <w:tblLook w:val="0000"/>
      </w:tblPr>
      <w:tblGrid>
        <w:gridCol w:w="5064"/>
        <w:gridCol w:w="3966"/>
      </w:tblGrid>
      <w:tr w:rsidR="00CC4AAE" w:rsidTr="00307ED6">
        <w:trPr>
          <w:cantSplit/>
        </w:trPr>
        <w:tc>
          <w:tcPr>
            <w:tcW w:w="5064" w:type="dxa"/>
          </w:tcPr>
          <w:p w:rsidR="00CC4AAE" w:rsidRDefault="00CC4AAE" w:rsidP="00307ED6">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 xml:space="preserve">Data Collection </w:t>
            </w:r>
          </w:p>
        </w:tc>
        <w:tc>
          <w:tcPr>
            <w:tcW w:w="3966" w:type="dxa"/>
          </w:tcPr>
          <w:p w:rsidR="00CC4AAE" w:rsidRDefault="00CC4AAE" w:rsidP="00307ED6">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October 2010 - June 2011</w:t>
            </w:r>
          </w:p>
        </w:tc>
      </w:tr>
      <w:tr w:rsidR="00CC4AAE" w:rsidTr="00307ED6">
        <w:trPr>
          <w:cantSplit/>
          <w:trHeight w:val="318"/>
        </w:trPr>
        <w:tc>
          <w:tcPr>
            <w:tcW w:w="5064" w:type="dxa"/>
            <w:vAlign w:val="center"/>
          </w:tcPr>
          <w:p w:rsidR="00CC4AAE" w:rsidRDefault="00CC4AAE" w:rsidP="00307ED6">
            <w:pPr>
              <w:spacing w:before="60" w:after="60"/>
              <w:ind w:left="0" w:right="180"/>
              <w:rPr>
                <w:rFonts w:ascii="Times New Roman" w:hAnsi="Times New Roman"/>
                <w:caps/>
                <w:szCs w:val="24"/>
              </w:rPr>
            </w:pPr>
            <w:r>
              <w:rPr>
                <w:rFonts w:ascii="Times New Roman" w:hAnsi="Times New Roman"/>
                <w:szCs w:val="24"/>
              </w:rPr>
              <w:t>Coding and Data Editing</w:t>
            </w:r>
          </w:p>
        </w:tc>
        <w:tc>
          <w:tcPr>
            <w:tcW w:w="3966" w:type="dxa"/>
            <w:vAlign w:val="center"/>
          </w:tcPr>
          <w:p w:rsidR="00CC4AAE" w:rsidRDefault="00CC4AAE" w:rsidP="00307ED6">
            <w:pPr>
              <w:spacing w:before="60" w:after="60"/>
              <w:ind w:left="0" w:right="180"/>
              <w:rPr>
                <w:rFonts w:ascii="Times New Roman" w:hAnsi="Times New Roman"/>
                <w:szCs w:val="24"/>
              </w:rPr>
            </w:pPr>
            <w:r>
              <w:rPr>
                <w:rFonts w:ascii="Times New Roman" w:hAnsi="Times New Roman"/>
                <w:szCs w:val="24"/>
              </w:rPr>
              <w:t xml:space="preserve"> December 2010 – September 2011</w:t>
            </w:r>
          </w:p>
        </w:tc>
      </w:tr>
      <w:tr w:rsidR="00CC4AAE" w:rsidTr="00307ED6">
        <w:trPr>
          <w:cantSplit/>
        </w:trPr>
        <w:tc>
          <w:tcPr>
            <w:tcW w:w="5064" w:type="dxa"/>
            <w:vAlign w:val="center"/>
          </w:tcPr>
          <w:p w:rsidR="00CC4AAE" w:rsidRDefault="00CC4AAE" w:rsidP="00307ED6">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 xml:space="preserve">Final Edited/Weighted/Imputed Data File </w:t>
            </w:r>
          </w:p>
        </w:tc>
        <w:tc>
          <w:tcPr>
            <w:tcW w:w="3966" w:type="dxa"/>
            <w:vAlign w:val="center"/>
          </w:tcPr>
          <w:p w:rsidR="00CC4AAE" w:rsidRDefault="00CC4AAE" w:rsidP="00307ED6">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December 2011</w:t>
            </w:r>
          </w:p>
        </w:tc>
      </w:tr>
      <w:tr w:rsidR="00CC4AAE" w:rsidTr="00307ED6">
        <w:trPr>
          <w:cantSplit/>
        </w:trPr>
        <w:tc>
          <w:tcPr>
            <w:tcW w:w="5064" w:type="dxa"/>
            <w:vAlign w:val="center"/>
          </w:tcPr>
          <w:p w:rsidR="00CC4AAE" w:rsidRDefault="00CC4AAE" w:rsidP="00307ED6">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SESTAT Info Brief</w:t>
            </w:r>
          </w:p>
        </w:tc>
        <w:tc>
          <w:tcPr>
            <w:tcW w:w="3966" w:type="dxa"/>
            <w:vAlign w:val="center"/>
          </w:tcPr>
          <w:p w:rsidR="00CC4AAE" w:rsidRDefault="00CC4AAE" w:rsidP="00307ED6">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Late Spring 2012</w:t>
            </w:r>
          </w:p>
        </w:tc>
      </w:tr>
      <w:tr w:rsidR="00CC4AAE" w:rsidTr="00307ED6">
        <w:trPr>
          <w:cantSplit/>
        </w:trPr>
        <w:tc>
          <w:tcPr>
            <w:tcW w:w="5064" w:type="dxa"/>
            <w:vAlign w:val="center"/>
          </w:tcPr>
          <w:p w:rsidR="00CC4AAE" w:rsidRDefault="00CC4AAE" w:rsidP="00307ED6">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SESTAT Detailed Statistical Tables</w:t>
            </w:r>
          </w:p>
        </w:tc>
        <w:tc>
          <w:tcPr>
            <w:tcW w:w="3966" w:type="dxa"/>
            <w:vAlign w:val="center"/>
          </w:tcPr>
          <w:p w:rsidR="00CC4AAE" w:rsidRDefault="00CC4AAE" w:rsidP="00307ED6">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rPr>
            </w:pPr>
            <w:r>
              <w:rPr>
                <w:rFonts w:ascii="Times New Roman" w:hAnsi="Times New Roman"/>
                <w:szCs w:val="24"/>
              </w:rPr>
              <w:t>Summer 2012</w:t>
            </w:r>
          </w:p>
        </w:tc>
      </w:tr>
      <w:tr w:rsidR="00CC4AAE" w:rsidTr="00307ED6">
        <w:trPr>
          <w:cantSplit/>
        </w:trPr>
        <w:tc>
          <w:tcPr>
            <w:tcW w:w="5064" w:type="dxa"/>
            <w:vAlign w:val="center"/>
          </w:tcPr>
          <w:p w:rsidR="00CC4AAE" w:rsidRDefault="00CC4AAE" w:rsidP="00307ED6">
            <w:pPr>
              <w:tabs>
                <w:tab w:val="left" w:pos="2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0"/>
              <w:rPr>
                <w:rFonts w:ascii="Times New Roman" w:hAnsi="Times New Roman"/>
                <w:szCs w:val="24"/>
              </w:rPr>
            </w:pPr>
            <w:r>
              <w:rPr>
                <w:rFonts w:ascii="Times New Roman" w:hAnsi="Times New Roman"/>
                <w:szCs w:val="24"/>
              </w:rPr>
              <w:t>SESTAT Integrated Public Use Data File</w:t>
            </w:r>
          </w:p>
        </w:tc>
        <w:tc>
          <w:tcPr>
            <w:tcW w:w="3966" w:type="dxa"/>
            <w:vAlign w:val="center"/>
          </w:tcPr>
          <w:p w:rsidR="00CC4AAE" w:rsidRDefault="00CC4AAE" w:rsidP="00307ED6">
            <w:pPr>
              <w:tabs>
                <w:tab w:val="left" w:pos="96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60" w:after="60"/>
              <w:ind w:left="60"/>
              <w:rPr>
                <w:rFonts w:ascii="Times New Roman" w:hAnsi="Times New Roman"/>
                <w:szCs w:val="24"/>
                <w:highlight w:val="yellow"/>
              </w:rPr>
            </w:pPr>
            <w:r>
              <w:rPr>
                <w:rFonts w:ascii="Times New Roman" w:hAnsi="Times New Roman"/>
                <w:szCs w:val="24"/>
              </w:rPr>
              <w:t>Summer/Fall 2012</w:t>
            </w:r>
          </w:p>
        </w:tc>
      </w:tr>
    </w:tbl>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tabs>
          <w:tab w:val="left" w:pos="211"/>
          <w:tab w:val="left" w:pos="528"/>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szCs w:val="24"/>
        </w:rPr>
      </w:pPr>
    </w:p>
    <w:p w:rsidR="00CC4AAE" w:rsidRDefault="00CC4AAE" w:rsidP="00CC4AAE">
      <w:pPr>
        <w:pStyle w:val="Heading2"/>
        <w:numPr>
          <w:ilvl w:val="0"/>
          <w:numId w:val="7"/>
        </w:numPr>
        <w:tabs>
          <w:tab w:val="clear" w:pos="1440"/>
          <w:tab w:val="num" w:pos="0"/>
          <w:tab w:val="left" w:pos="720"/>
          <w:tab w:val="left" w:pos="2520"/>
        </w:tabs>
        <w:spacing w:before="0" w:after="0"/>
        <w:ind w:left="0" w:firstLine="0"/>
        <w:rPr>
          <w:szCs w:val="24"/>
        </w:rPr>
      </w:pPr>
      <w:bookmarkStart w:id="24" w:name="_Toc257283592"/>
      <w:r>
        <w:rPr>
          <w:szCs w:val="24"/>
        </w:rPr>
        <w:t>DISPLAY OF OMB EXPIRATION DATE</w:t>
      </w:r>
      <w:bookmarkEnd w:id="24"/>
    </w:p>
    <w:p w:rsidR="00CC4AAE" w:rsidRDefault="00CC4AAE" w:rsidP="00CC4AAE">
      <w:pPr>
        <w:tabs>
          <w:tab w:val="left" w:pos="2520"/>
        </w:tabs>
        <w:ind w:left="0"/>
        <w:rPr>
          <w:rFonts w:ascii="Times New Roman" w:hAnsi="Times New Roman"/>
          <w:szCs w:val="24"/>
        </w:rPr>
      </w:pPr>
    </w:p>
    <w:p w:rsidR="00CC4AAE" w:rsidRDefault="00CC4AAE" w:rsidP="00CC4AAE">
      <w:pPr>
        <w:pStyle w:val="EndnoteText1"/>
        <w:tabs>
          <w:tab w:val="left" w:pos="2520"/>
        </w:tabs>
        <w:ind w:left="0"/>
        <w:rPr>
          <w:rFonts w:ascii="Times New Roman" w:hAnsi="Times New Roman"/>
          <w:szCs w:val="24"/>
        </w:rPr>
      </w:pPr>
      <w:r>
        <w:rPr>
          <w:rFonts w:ascii="Times New Roman" w:hAnsi="Times New Roman"/>
          <w:szCs w:val="24"/>
        </w:rPr>
        <w:t>The OMB Expiration Date will be displayed on the 2010 NSCG questionnaires.</w:t>
      </w:r>
    </w:p>
    <w:p w:rsidR="00CC4AAE" w:rsidRDefault="00CC4AAE" w:rsidP="00CC4AAE">
      <w:pPr>
        <w:numPr>
          <w:ilvl w:val="12"/>
          <w:numId w:val="0"/>
        </w:numPr>
        <w:tabs>
          <w:tab w:val="left" w:pos="211"/>
          <w:tab w:val="left" w:pos="528"/>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ascii="Times New Roman" w:hAnsi="Times New Roman"/>
          <w:szCs w:val="24"/>
        </w:rPr>
      </w:pPr>
    </w:p>
    <w:p w:rsidR="00CC4AAE" w:rsidRDefault="00CC4AAE" w:rsidP="00CC4AAE">
      <w:pPr>
        <w:pStyle w:val="Heading2"/>
        <w:tabs>
          <w:tab w:val="left" w:pos="720"/>
          <w:tab w:val="left" w:pos="2520"/>
        </w:tabs>
        <w:spacing w:before="0" w:after="0"/>
        <w:ind w:left="0"/>
        <w:rPr>
          <w:szCs w:val="24"/>
        </w:rPr>
      </w:pPr>
      <w:bookmarkStart w:id="25" w:name="_Toc257283593"/>
      <w:r>
        <w:rPr>
          <w:szCs w:val="24"/>
        </w:rPr>
        <w:t>18.</w:t>
      </w:r>
      <w:r>
        <w:rPr>
          <w:szCs w:val="24"/>
        </w:rPr>
        <w:tab/>
        <w:t>EXCEPTION TO THE CERTIFICATION STATEMENT</w:t>
      </w:r>
      <w:bookmarkEnd w:id="25"/>
    </w:p>
    <w:p w:rsidR="00CC4AAE" w:rsidRDefault="00CC4AAE" w:rsidP="00CC4AAE">
      <w:pPr>
        <w:tabs>
          <w:tab w:val="left" w:pos="211"/>
          <w:tab w:val="left" w:pos="633"/>
          <w:tab w:val="left" w:pos="960"/>
          <w:tab w:val="left" w:pos="1440"/>
          <w:tab w:val="left" w:pos="1920"/>
          <w:tab w:val="left" w:pos="2400"/>
          <w:tab w:val="left" w:pos="25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0"/>
        <w:rPr>
          <w:rFonts w:ascii="Times New Roman" w:hAnsi="Times New Roman"/>
          <w:b/>
          <w:szCs w:val="24"/>
        </w:rPr>
      </w:pPr>
    </w:p>
    <w:p w:rsidR="007A59F2" w:rsidRDefault="00CC4AAE" w:rsidP="00CC4AAE">
      <w:pPr>
        <w:pStyle w:val="Heading1"/>
        <w:tabs>
          <w:tab w:val="left" w:pos="720"/>
          <w:tab w:val="left" w:pos="2520"/>
        </w:tabs>
        <w:ind w:left="0" w:firstLine="0"/>
      </w:pPr>
      <w:bookmarkStart w:id="26" w:name="_Toc257283594"/>
      <w:r>
        <w:rPr>
          <w:rFonts w:ascii="Times New Roman" w:hAnsi="Times New Roman"/>
          <w:szCs w:val="24"/>
        </w:rPr>
        <w:t>Not Applicable.</w:t>
      </w:r>
      <w:bookmarkEnd w:id="26"/>
    </w:p>
    <w:sectPr w:rsidR="007A59F2" w:rsidSect="00A25A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AE" w:rsidRDefault="00CC4AAE" w:rsidP="00CC4AAE">
      <w:r>
        <w:separator/>
      </w:r>
    </w:p>
  </w:endnote>
  <w:endnote w:type="continuationSeparator" w:id="0">
    <w:p w:rsidR="00CC4AAE" w:rsidRDefault="00CC4AAE" w:rsidP="00CC4A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AE" w:rsidRDefault="00CC4AAE">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Pr>
        <w:rStyle w:val="PageNumber"/>
        <w:noProof/>
        <w:sz w:val="23"/>
      </w:rPr>
      <w:t>12</w:t>
    </w:r>
    <w:r>
      <w:rPr>
        <w:rStyle w:val="PageNumber"/>
        <w:sz w:val="23"/>
      </w:rPr>
      <w:fldChar w:fldCharType="end"/>
    </w:r>
  </w:p>
  <w:p w:rsidR="00CC4AAE" w:rsidRDefault="00CC4AAE">
    <w:pPr>
      <w:pStyle w:val="Footer"/>
      <w:ind w:right="360"/>
      <w:rPr>
        <w:sz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96360"/>
      <w:docPartObj>
        <w:docPartGallery w:val="Page Numbers (Bottom of Page)"/>
        <w:docPartUnique/>
      </w:docPartObj>
    </w:sdtPr>
    <w:sdtContent>
      <w:p w:rsidR="00CC4AAE" w:rsidRDefault="00CC4AAE" w:rsidP="0002223B">
        <w:pPr>
          <w:pStyle w:val="Footer"/>
          <w:ind w:left="0"/>
          <w:jc w:val="center"/>
        </w:pPr>
        <w:r w:rsidRPr="00131768">
          <w:fldChar w:fldCharType="begin"/>
        </w:r>
        <w:r w:rsidRPr="00131768">
          <w:instrText xml:space="preserve"> PAGE </w:instrText>
        </w:r>
        <w:r>
          <w:instrText xml:space="preserve">  \* MERGEFORMAT </w:instrText>
        </w:r>
        <w:r w:rsidRPr="00131768">
          <w:fldChar w:fldCharType="separate"/>
        </w:r>
        <w:r>
          <w:rPr>
            <w:noProof/>
          </w:rPr>
          <w:t>14</w:t>
        </w:r>
        <w:r w:rsidRPr="00131768">
          <w:fldChar w:fldCharType="end"/>
        </w:r>
      </w:p>
    </w:sdtContent>
  </w:sdt>
  <w:p w:rsidR="00CC4AAE" w:rsidRDefault="00CC4AAE">
    <w:pPr>
      <w:ind w:left="0"/>
      <w:rPr>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AE" w:rsidRDefault="00CC4AAE" w:rsidP="00CC4AAE">
      <w:r>
        <w:separator/>
      </w:r>
    </w:p>
  </w:footnote>
  <w:footnote w:type="continuationSeparator" w:id="0">
    <w:p w:rsidR="00CC4AAE" w:rsidRDefault="00CC4AAE" w:rsidP="00CC4AAE">
      <w:r>
        <w:continuationSeparator/>
      </w:r>
    </w:p>
  </w:footnote>
  <w:footnote w:id="1">
    <w:p w:rsidR="00CC4AAE" w:rsidRPr="00372266" w:rsidRDefault="00CC4AAE" w:rsidP="00CC4AAE">
      <w:pPr>
        <w:pStyle w:val="FootnoteText"/>
        <w:ind w:left="0"/>
        <w:jc w:val="both"/>
        <w:rPr>
          <w:sz w:val="22"/>
          <w:szCs w:val="22"/>
        </w:rPr>
      </w:pPr>
      <w:r>
        <w:rPr>
          <w:rStyle w:val="FootnoteReference"/>
        </w:rPr>
        <w:footnoteRef/>
      </w:r>
      <w:r>
        <w:t xml:space="preserve"> </w:t>
      </w:r>
      <w:r>
        <w:rPr>
          <w:sz w:val="22"/>
          <w:szCs w:val="22"/>
        </w:rPr>
        <w:t xml:space="preserve">S&amp;E </w:t>
      </w:r>
      <w:r w:rsidRPr="00372266">
        <w:rPr>
          <w:sz w:val="22"/>
          <w:szCs w:val="22"/>
        </w:rPr>
        <w:t xml:space="preserve">workforce includes </w:t>
      </w:r>
      <w:r>
        <w:rPr>
          <w:sz w:val="22"/>
          <w:szCs w:val="22"/>
        </w:rPr>
        <w:t xml:space="preserve">the individuals with degrees or occupations in computer and mathematical sciences, life sciences, physical sciences, social sciences, engineering, and </w:t>
      </w:r>
      <w:r w:rsidRPr="00372266">
        <w:rPr>
          <w:sz w:val="22"/>
          <w:szCs w:val="22"/>
        </w:rPr>
        <w:t>health science</w:t>
      </w:r>
      <w:r>
        <w:rPr>
          <w:sz w:val="22"/>
          <w:szCs w:val="22"/>
        </w:rPr>
        <w:t>s.</w:t>
      </w:r>
    </w:p>
  </w:footnote>
  <w:footnote w:id="2">
    <w:p w:rsidR="00CC4AAE" w:rsidRDefault="00CC4AAE" w:rsidP="00CC4AAE">
      <w:pPr>
        <w:pStyle w:val="FootnoteText"/>
        <w:ind w:left="0"/>
        <w:rPr>
          <w:sz w:val="22"/>
        </w:rPr>
      </w:pPr>
      <w:r>
        <w:rPr>
          <w:rStyle w:val="FootnoteReference"/>
        </w:rPr>
        <w:footnoteRef/>
      </w:r>
      <w:r>
        <w:t xml:space="preserve"> </w:t>
      </w:r>
      <w:proofErr w:type="gramStart"/>
      <w:r>
        <w:rPr>
          <w:sz w:val="22"/>
        </w:rPr>
        <w:t>National Research Council.</w:t>
      </w:r>
      <w:proofErr w:type="gramEnd"/>
      <w:r>
        <w:rPr>
          <w:sz w:val="22"/>
        </w:rPr>
        <w:t xml:space="preserve"> </w:t>
      </w:r>
      <w:proofErr w:type="gramStart"/>
      <w:r>
        <w:rPr>
          <w:sz w:val="22"/>
        </w:rPr>
        <w:t>Committee on National Statistics.</w:t>
      </w:r>
      <w:proofErr w:type="gramEnd"/>
      <w:r>
        <w:rPr>
          <w:sz w:val="22"/>
        </w:rPr>
        <w:t xml:space="preserve">  </w:t>
      </w:r>
      <w:proofErr w:type="gramStart"/>
      <w:r w:rsidRPr="00D62415">
        <w:rPr>
          <w:i/>
          <w:sz w:val="22"/>
        </w:rPr>
        <w:t>Surveying the Nation’s Scientists and Engineers:  A Data System for the 1990s.</w:t>
      </w:r>
      <w:proofErr w:type="gramEnd"/>
      <w:r>
        <w:rPr>
          <w:sz w:val="22"/>
        </w:rPr>
        <w:t xml:space="preserve"> Washington: National Academy Press.</w:t>
      </w:r>
      <w:r w:rsidRPr="00D8701B">
        <w:rPr>
          <w:sz w:val="22"/>
        </w:rPr>
        <w:t xml:space="preserve"> </w:t>
      </w:r>
      <w:r>
        <w:rPr>
          <w:sz w:val="22"/>
        </w:rPr>
        <w:t xml:space="preserve">1989.  </w:t>
      </w:r>
    </w:p>
  </w:footnote>
  <w:footnote w:id="3">
    <w:p w:rsidR="00CC4AAE" w:rsidRDefault="00CC4AAE" w:rsidP="00CC4AAE">
      <w:pPr>
        <w:pStyle w:val="FootnoteText"/>
        <w:ind w:left="0" w:hanging="90"/>
      </w:pPr>
      <w:r>
        <w:rPr>
          <w:rStyle w:val="FootnoteReference"/>
        </w:rPr>
        <w:footnoteRef/>
      </w:r>
      <w:r>
        <w:t xml:space="preserve"> </w:t>
      </w:r>
      <w:r>
        <w:rPr>
          <w:sz w:val="20"/>
        </w:rPr>
        <w:t>National Research Council, Committee on National Statistics. 2008.  </w:t>
      </w:r>
      <w:r w:rsidRPr="00682A5A">
        <w:rPr>
          <w:i/>
          <w:sz w:val="20"/>
        </w:rPr>
        <w:t xml:space="preserve">Using the American Community Survey for the National Science </w:t>
      </w:r>
      <w:r w:rsidRPr="00682A5A">
        <w:rPr>
          <w:rFonts w:ascii="Times New Roman" w:hAnsi="Times New Roman"/>
          <w:i/>
          <w:sz w:val="20"/>
        </w:rPr>
        <w:t>Foundation’s</w:t>
      </w:r>
      <w:r w:rsidRPr="00682A5A">
        <w:rPr>
          <w:i/>
          <w:sz w:val="20"/>
        </w:rPr>
        <w:t xml:space="preserve"> Science and Engineering Workforce Statistics Programs</w:t>
      </w:r>
      <w:r>
        <w:rPr>
          <w:sz w:val="20"/>
        </w:rPr>
        <w:t>. Washington: The National Academies Press.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AE" w:rsidRDefault="00CC4AAE">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AE" w:rsidRDefault="00CC4AAE">
    <w:pPr>
      <w:pStyle w:val="Header"/>
      <w:rPr>
        <w:rStyle w:val="PageNumber"/>
      </w:rPr>
    </w:pPr>
  </w:p>
  <w:p w:rsidR="00CC4AAE" w:rsidRDefault="00CC4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2B536E"/>
    <w:multiLevelType w:val="hybridMultilevel"/>
    <w:tmpl w:val="DB44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9419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F6A16E7"/>
    <w:multiLevelType w:val="hybridMultilevel"/>
    <w:tmpl w:val="276CBB50"/>
    <w:lvl w:ilvl="0" w:tplc="C92E69F6">
      <w:start w:val="1"/>
      <w:numFmt w:val="upperLetter"/>
      <w:lvlText w:val="%1."/>
      <w:lvlJc w:val="left"/>
      <w:pPr>
        <w:tabs>
          <w:tab w:val="num" w:pos="1080"/>
        </w:tabs>
        <w:ind w:left="1080" w:hanging="720"/>
      </w:pPr>
      <w:rPr>
        <w:rFonts w:hint="default"/>
      </w:rPr>
    </w:lvl>
    <w:lvl w:ilvl="1" w:tplc="5EF8D8AC" w:tentative="1">
      <w:start w:val="1"/>
      <w:numFmt w:val="lowerLetter"/>
      <w:lvlText w:val="%2."/>
      <w:lvlJc w:val="left"/>
      <w:pPr>
        <w:tabs>
          <w:tab w:val="num" w:pos="1440"/>
        </w:tabs>
        <w:ind w:left="1440" w:hanging="360"/>
      </w:pPr>
    </w:lvl>
    <w:lvl w:ilvl="2" w:tplc="E2184DD6" w:tentative="1">
      <w:start w:val="1"/>
      <w:numFmt w:val="lowerRoman"/>
      <w:lvlText w:val="%3."/>
      <w:lvlJc w:val="right"/>
      <w:pPr>
        <w:tabs>
          <w:tab w:val="num" w:pos="2160"/>
        </w:tabs>
        <w:ind w:left="2160" w:hanging="180"/>
      </w:pPr>
    </w:lvl>
    <w:lvl w:ilvl="3" w:tplc="9C1A3614" w:tentative="1">
      <w:start w:val="1"/>
      <w:numFmt w:val="decimal"/>
      <w:lvlText w:val="%4."/>
      <w:lvlJc w:val="left"/>
      <w:pPr>
        <w:tabs>
          <w:tab w:val="num" w:pos="2880"/>
        </w:tabs>
        <w:ind w:left="2880" w:hanging="360"/>
      </w:pPr>
    </w:lvl>
    <w:lvl w:ilvl="4" w:tplc="E876BD4E" w:tentative="1">
      <w:start w:val="1"/>
      <w:numFmt w:val="lowerLetter"/>
      <w:lvlText w:val="%5."/>
      <w:lvlJc w:val="left"/>
      <w:pPr>
        <w:tabs>
          <w:tab w:val="num" w:pos="3600"/>
        </w:tabs>
        <w:ind w:left="3600" w:hanging="360"/>
      </w:pPr>
    </w:lvl>
    <w:lvl w:ilvl="5" w:tplc="FD0665E0" w:tentative="1">
      <w:start w:val="1"/>
      <w:numFmt w:val="lowerRoman"/>
      <w:lvlText w:val="%6."/>
      <w:lvlJc w:val="right"/>
      <w:pPr>
        <w:tabs>
          <w:tab w:val="num" w:pos="4320"/>
        </w:tabs>
        <w:ind w:left="4320" w:hanging="180"/>
      </w:pPr>
    </w:lvl>
    <w:lvl w:ilvl="6" w:tplc="BDCA957C" w:tentative="1">
      <w:start w:val="1"/>
      <w:numFmt w:val="decimal"/>
      <w:lvlText w:val="%7."/>
      <w:lvlJc w:val="left"/>
      <w:pPr>
        <w:tabs>
          <w:tab w:val="num" w:pos="5040"/>
        </w:tabs>
        <w:ind w:left="5040" w:hanging="360"/>
      </w:pPr>
    </w:lvl>
    <w:lvl w:ilvl="7" w:tplc="62502F9E" w:tentative="1">
      <w:start w:val="1"/>
      <w:numFmt w:val="lowerLetter"/>
      <w:lvlText w:val="%8."/>
      <w:lvlJc w:val="left"/>
      <w:pPr>
        <w:tabs>
          <w:tab w:val="num" w:pos="5760"/>
        </w:tabs>
        <w:ind w:left="5760" w:hanging="360"/>
      </w:pPr>
    </w:lvl>
    <w:lvl w:ilvl="8" w:tplc="40D47A3C" w:tentative="1">
      <w:start w:val="1"/>
      <w:numFmt w:val="lowerRoman"/>
      <w:lvlText w:val="%9."/>
      <w:lvlJc w:val="right"/>
      <w:pPr>
        <w:tabs>
          <w:tab w:val="num" w:pos="6480"/>
        </w:tabs>
        <w:ind w:left="6480" w:hanging="180"/>
      </w:pPr>
    </w:lvl>
  </w:abstractNum>
  <w:abstractNum w:abstractNumId="5">
    <w:nsid w:val="26135BA2"/>
    <w:multiLevelType w:val="hybridMultilevel"/>
    <w:tmpl w:val="66B6DC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C097118"/>
    <w:multiLevelType w:val="hybridMultilevel"/>
    <w:tmpl w:val="D7BC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94DD0"/>
    <w:multiLevelType w:val="hybridMultilevel"/>
    <w:tmpl w:val="65BC5FC2"/>
    <w:lvl w:ilvl="0" w:tplc="519EB3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9">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0">
    <w:nsid w:val="605E434A"/>
    <w:multiLevelType w:val="hybridMultilevel"/>
    <w:tmpl w:val="C6820CA4"/>
    <w:lvl w:ilvl="0" w:tplc="CA2C8678">
      <w:start w:val="16"/>
      <w:numFmt w:val="decimal"/>
      <w:lvlText w:val="%1."/>
      <w:lvlJc w:val="left"/>
      <w:pPr>
        <w:tabs>
          <w:tab w:val="num" w:pos="1440"/>
        </w:tabs>
        <w:ind w:left="1440" w:hanging="720"/>
      </w:pPr>
      <w:rPr>
        <w:rFonts w:hint="default"/>
      </w:rPr>
    </w:lvl>
    <w:lvl w:ilvl="1" w:tplc="0BC4BDD2" w:tentative="1">
      <w:start w:val="1"/>
      <w:numFmt w:val="lowerLetter"/>
      <w:lvlText w:val="%2."/>
      <w:lvlJc w:val="left"/>
      <w:pPr>
        <w:tabs>
          <w:tab w:val="num" w:pos="1800"/>
        </w:tabs>
        <w:ind w:left="1800" w:hanging="360"/>
      </w:pPr>
    </w:lvl>
    <w:lvl w:ilvl="2" w:tplc="B48AC14E" w:tentative="1">
      <w:start w:val="1"/>
      <w:numFmt w:val="lowerRoman"/>
      <w:lvlText w:val="%3."/>
      <w:lvlJc w:val="right"/>
      <w:pPr>
        <w:tabs>
          <w:tab w:val="num" w:pos="2520"/>
        </w:tabs>
        <w:ind w:left="2520" w:hanging="180"/>
      </w:pPr>
    </w:lvl>
    <w:lvl w:ilvl="3" w:tplc="745EC290" w:tentative="1">
      <w:start w:val="1"/>
      <w:numFmt w:val="decimal"/>
      <w:lvlText w:val="%4."/>
      <w:lvlJc w:val="left"/>
      <w:pPr>
        <w:tabs>
          <w:tab w:val="num" w:pos="3240"/>
        </w:tabs>
        <w:ind w:left="3240" w:hanging="360"/>
      </w:pPr>
    </w:lvl>
    <w:lvl w:ilvl="4" w:tplc="8772CAFC" w:tentative="1">
      <w:start w:val="1"/>
      <w:numFmt w:val="lowerLetter"/>
      <w:lvlText w:val="%5."/>
      <w:lvlJc w:val="left"/>
      <w:pPr>
        <w:tabs>
          <w:tab w:val="num" w:pos="3960"/>
        </w:tabs>
        <w:ind w:left="3960" w:hanging="360"/>
      </w:pPr>
    </w:lvl>
    <w:lvl w:ilvl="5" w:tplc="AE58DE60" w:tentative="1">
      <w:start w:val="1"/>
      <w:numFmt w:val="lowerRoman"/>
      <w:lvlText w:val="%6."/>
      <w:lvlJc w:val="right"/>
      <w:pPr>
        <w:tabs>
          <w:tab w:val="num" w:pos="4680"/>
        </w:tabs>
        <w:ind w:left="4680" w:hanging="180"/>
      </w:pPr>
    </w:lvl>
    <w:lvl w:ilvl="6" w:tplc="A574C57C" w:tentative="1">
      <w:start w:val="1"/>
      <w:numFmt w:val="decimal"/>
      <w:lvlText w:val="%7."/>
      <w:lvlJc w:val="left"/>
      <w:pPr>
        <w:tabs>
          <w:tab w:val="num" w:pos="5400"/>
        </w:tabs>
        <w:ind w:left="5400" w:hanging="360"/>
      </w:pPr>
    </w:lvl>
    <w:lvl w:ilvl="7" w:tplc="A9105F7A" w:tentative="1">
      <w:start w:val="1"/>
      <w:numFmt w:val="lowerLetter"/>
      <w:lvlText w:val="%8."/>
      <w:lvlJc w:val="left"/>
      <w:pPr>
        <w:tabs>
          <w:tab w:val="num" w:pos="6120"/>
        </w:tabs>
        <w:ind w:left="6120" w:hanging="360"/>
      </w:pPr>
    </w:lvl>
    <w:lvl w:ilvl="8" w:tplc="5C766D2A" w:tentative="1">
      <w:start w:val="1"/>
      <w:numFmt w:val="lowerRoman"/>
      <w:lvlText w:val="%9."/>
      <w:lvlJc w:val="right"/>
      <w:pPr>
        <w:tabs>
          <w:tab w:val="num" w:pos="6840"/>
        </w:tabs>
        <w:ind w:left="6840" w:hanging="180"/>
      </w:pPr>
    </w:lvl>
  </w:abstractNum>
  <w:abstractNum w:abstractNumId="11">
    <w:nsid w:val="69827FDD"/>
    <w:multiLevelType w:val="hybridMultilevel"/>
    <w:tmpl w:val="094AE0EC"/>
    <w:lvl w:ilvl="0" w:tplc="438A5930">
      <w:start w:val="8"/>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72102570"/>
    <w:multiLevelType w:val="hybridMultilevel"/>
    <w:tmpl w:val="FB3CF392"/>
    <w:lvl w:ilvl="0" w:tplc="EA52EACA">
      <w:start w:val="1"/>
      <w:numFmt w:val="bullet"/>
      <w:lvlText w:val=""/>
      <w:lvlJc w:val="left"/>
      <w:pPr>
        <w:tabs>
          <w:tab w:val="num" w:pos="2160"/>
        </w:tabs>
        <w:ind w:left="2160" w:hanging="360"/>
      </w:pPr>
      <w:rPr>
        <w:rFonts w:ascii="Symbol" w:hAnsi="Symbol" w:hint="default"/>
      </w:rPr>
    </w:lvl>
    <w:lvl w:ilvl="1" w:tplc="04090019">
      <w:start w:val="2"/>
      <w:numFmt w:val="decimal"/>
      <w:lvlText w:val="%2."/>
      <w:lvlJc w:val="left"/>
      <w:pPr>
        <w:tabs>
          <w:tab w:val="num" w:pos="3240"/>
        </w:tabs>
        <w:ind w:left="3240" w:hanging="720"/>
      </w:pPr>
      <w:rPr>
        <w:rFonts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3">
    <w:nsid w:val="7824586A"/>
    <w:multiLevelType w:val="hybridMultilevel"/>
    <w:tmpl w:val="45344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F3681A"/>
    <w:multiLevelType w:val="hybridMultilevel"/>
    <w:tmpl w:val="BD8AE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0"/>
  </w:num>
  <w:num w:numId="6">
    <w:abstractNumId w:val="12"/>
  </w:num>
  <w:num w:numId="7">
    <w:abstractNumId w:val="10"/>
  </w:num>
  <w:num w:numId="8">
    <w:abstractNumId w:val="11"/>
  </w:num>
  <w:num w:numId="9">
    <w:abstractNumId w:val="5"/>
  </w:num>
  <w:num w:numId="10">
    <w:abstractNumId w:val="8"/>
  </w:num>
  <w:num w:numId="11">
    <w:abstractNumId w:val="13"/>
  </w:num>
  <w:num w:numId="12">
    <w:abstractNumId w:val="6"/>
  </w:num>
  <w:num w:numId="13">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4AAE"/>
    <w:rsid w:val="001C0CB6"/>
    <w:rsid w:val="004A7761"/>
    <w:rsid w:val="00A25A84"/>
    <w:rsid w:val="00CC4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AE"/>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CC4AAE"/>
    <w:pPr>
      <w:keepNext/>
      <w:ind w:firstLine="540"/>
      <w:outlineLvl w:val="0"/>
    </w:pPr>
    <w:rPr>
      <w:iCs/>
    </w:rPr>
  </w:style>
  <w:style w:type="paragraph" w:styleId="Heading2">
    <w:name w:val="heading 2"/>
    <w:basedOn w:val="Normal"/>
    <w:next w:val="Normal"/>
    <w:link w:val="Heading2Char"/>
    <w:qFormat/>
    <w:rsid w:val="00CC4AAE"/>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CC4AAE"/>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CC4AAE"/>
    <w:pPr>
      <w:keepNext/>
      <w:outlineLvl w:val="3"/>
    </w:pPr>
    <w:rPr>
      <w:rFonts w:ascii="Times New Roman" w:hAnsi="Times New Roman"/>
      <w:i/>
      <w:iCs/>
    </w:rPr>
  </w:style>
  <w:style w:type="paragraph" w:styleId="Heading5">
    <w:name w:val="heading 5"/>
    <w:basedOn w:val="Normal"/>
    <w:next w:val="Normal"/>
    <w:link w:val="Heading5Char"/>
    <w:qFormat/>
    <w:rsid w:val="00CC4AAE"/>
    <w:pPr>
      <w:spacing w:before="240" w:after="60"/>
      <w:outlineLvl w:val="4"/>
    </w:pPr>
    <w:rPr>
      <w:b/>
      <w:bCs/>
      <w:i/>
      <w:iCs/>
      <w:sz w:val="26"/>
      <w:szCs w:val="26"/>
    </w:rPr>
  </w:style>
  <w:style w:type="paragraph" w:styleId="Heading6">
    <w:name w:val="heading 6"/>
    <w:basedOn w:val="Normal"/>
    <w:next w:val="Normal"/>
    <w:link w:val="Heading6Char"/>
    <w:qFormat/>
    <w:rsid w:val="00CC4AA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C4AAE"/>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CC4AAE"/>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CC4AAE"/>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AAE"/>
    <w:rPr>
      <w:rFonts w:ascii="CG Times" w:eastAsia="Times New Roman" w:hAnsi="CG Times" w:cs="Times New Roman"/>
      <w:iCs/>
      <w:sz w:val="24"/>
      <w:szCs w:val="20"/>
    </w:rPr>
  </w:style>
  <w:style w:type="character" w:customStyle="1" w:styleId="Heading2Char">
    <w:name w:val="Heading 2 Char"/>
    <w:basedOn w:val="DefaultParagraphFont"/>
    <w:link w:val="Heading2"/>
    <w:rsid w:val="00CC4AAE"/>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CC4AAE"/>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CC4AAE"/>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CC4AAE"/>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CC4AAE"/>
    <w:rPr>
      <w:rFonts w:ascii="Times New Roman" w:eastAsia="Times New Roman" w:hAnsi="Times New Roman" w:cs="Times New Roman"/>
      <w:b/>
      <w:bCs/>
    </w:rPr>
  </w:style>
  <w:style w:type="character" w:customStyle="1" w:styleId="Heading7Char">
    <w:name w:val="Heading 7 Char"/>
    <w:basedOn w:val="DefaultParagraphFont"/>
    <w:link w:val="Heading7"/>
    <w:rsid w:val="00CC4AAE"/>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CC4AAE"/>
    <w:rPr>
      <w:rFonts w:ascii="CG Times" w:eastAsia="Times New Roman" w:hAnsi="CG Times" w:cs="Times New Roman"/>
      <w:b/>
      <w:bCs/>
      <w:sz w:val="24"/>
      <w:szCs w:val="20"/>
    </w:rPr>
  </w:style>
  <w:style w:type="character" w:customStyle="1" w:styleId="Heading9Char">
    <w:name w:val="Heading 9 Char"/>
    <w:basedOn w:val="DefaultParagraphFont"/>
    <w:link w:val="Heading9"/>
    <w:rsid w:val="00CC4AAE"/>
    <w:rPr>
      <w:rFonts w:ascii="Times New Roman" w:eastAsia="Times New Roman" w:hAnsi="Times New Roman" w:cs="Times New Roman"/>
      <w:b/>
      <w:bCs/>
      <w:i/>
      <w:iCs/>
      <w:sz w:val="24"/>
      <w:szCs w:val="20"/>
    </w:rPr>
  </w:style>
  <w:style w:type="paragraph" w:styleId="TOC8">
    <w:name w:val="toc 8"/>
    <w:basedOn w:val="Normal"/>
    <w:next w:val="Normal"/>
    <w:semiHidden/>
    <w:rsid w:val="00CC4AAE"/>
    <w:pPr>
      <w:tabs>
        <w:tab w:val="right" w:pos="9360"/>
      </w:tabs>
      <w:ind w:left="720" w:hanging="720"/>
    </w:pPr>
  </w:style>
  <w:style w:type="paragraph" w:styleId="TOC7">
    <w:name w:val="toc 7"/>
    <w:basedOn w:val="Normal"/>
    <w:next w:val="Normal"/>
    <w:semiHidden/>
    <w:rsid w:val="00CC4AAE"/>
    <w:pPr>
      <w:ind w:left="720" w:hanging="720"/>
    </w:pPr>
  </w:style>
  <w:style w:type="paragraph" w:styleId="TOC6">
    <w:name w:val="toc 6"/>
    <w:basedOn w:val="Normal"/>
    <w:next w:val="Normal"/>
    <w:semiHidden/>
    <w:rsid w:val="00CC4AAE"/>
    <w:pPr>
      <w:tabs>
        <w:tab w:val="right" w:pos="9360"/>
      </w:tabs>
      <w:ind w:left="720" w:hanging="720"/>
    </w:pPr>
  </w:style>
  <w:style w:type="paragraph" w:styleId="TOC5">
    <w:name w:val="toc 5"/>
    <w:basedOn w:val="Normal"/>
    <w:next w:val="Normal"/>
    <w:semiHidden/>
    <w:rsid w:val="00CC4AAE"/>
    <w:pPr>
      <w:tabs>
        <w:tab w:val="right" w:leader="dot" w:pos="9360"/>
      </w:tabs>
      <w:ind w:left="3600" w:right="720" w:hanging="720"/>
    </w:pPr>
  </w:style>
  <w:style w:type="paragraph" w:styleId="TOC4">
    <w:name w:val="toc 4"/>
    <w:basedOn w:val="Normal"/>
    <w:next w:val="Normal"/>
    <w:semiHidden/>
    <w:rsid w:val="00CC4AAE"/>
    <w:pPr>
      <w:tabs>
        <w:tab w:val="right" w:leader="dot" w:pos="9360"/>
      </w:tabs>
      <w:ind w:left="2880" w:right="720" w:hanging="720"/>
    </w:pPr>
  </w:style>
  <w:style w:type="paragraph" w:styleId="TOC3">
    <w:name w:val="toc 3"/>
    <w:basedOn w:val="Normal"/>
    <w:next w:val="Normal"/>
    <w:semiHidden/>
    <w:rsid w:val="00CC4AAE"/>
    <w:pPr>
      <w:tabs>
        <w:tab w:val="right" w:leader="dot" w:pos="9360"/>
      </w:tabs>
      <w:ind w:left="2160" w:right="720" w:hanging="720"/>
    </w:pPr>
  </w:style>
  <w:style w:type="paragraph" w:styleId="TOC2">
    <w:name w:val="toc 2"/>
    <w:basedOn w:val="Normal"/>
    <w:next w:val="Normal"/>
    <w:semiHidden/>
    <w:rsid w:val="00CC4AAE"/>
    <w:pPr>
      <w:tabs>
        <w:tab w:val="right" w:leader="dot" w:pos="9360"/>
      </w:tabs>
      <w:ind w:right="720" w:hanging="720"/>
    </w:pPr>
  </w:style>
  <w:style w:type="paragraph" w:styleId="TOC1">
    <w:name w:val="toc 1"/>
    <w:basedOn w:val="Normal"/>
    <w:next w:val="Normal"/>
    <w:semiHidden/>
    <w:rsid w:val="00CC4AAE"/>
    <w:pPr>
      <w:tabs>
        <w:tab w:val="right" w:leader="dot" w:pos="9360"/>
      </w:tabs>
      <w:spacing w:before="480"/>
      <w:ind w:left="720" w:right="720" w:hanging="720"/>
    </w:pPr>
  </w:style>
  <w:style w:type="paragraph" w:styleId="Index2">
    <w:name w:val="index 2"/>
    <w:basedOn w:val="Normal"/>
    <w:next w:val="Normal"/>
    <w:semiHidden/>
    <w:rsid w:val="00CC4AAE"/>
    <w:pPr>
      <w:tabs>
        <w:tab w:val="right" w:leader="dot" w:pos="9360"/>
      </w:tabs>
      <w:ind w:right="720" w:hanging="720"/>
    </w:pPr>
  </w:style>
  <w:style w:type="paragraph" w:styleId="Index1">
    <w:name w:val="index 1"/>
    <w:basedOn w:val="Normal"/>
    <w:next w:val="Normal"/>
    <w:semiHidden/>
    <w:rsid w:val="00CC4AAE"/>
    <w:pPr>
      <w:tabs>
        <w:tab w:val="right" w:leader="dot" w:pos="9360"/>
      </w:tabs>
      <w:ind w:right="720" w:hanging="1440"/>
    </w:pPr>
  </w:style>
  <w:style w:type="paragraph" w:styleId="Footer">
    <w:name w:val="footer"/>
    <w:basedOn w:val="Normal"/>
    <w:link w:val="FooterChar"/>
    <w:uiPriority w:val="99"/>
    <w:rsid w:val="00CC4AAE"/>
    <w:pPr>
      <w:tabs>
        <w:tab w:val="center" w:pos="4320"/>
        <w:tab w:val="right" w:pos="8640"/>
      </w:tabs>
    </w:pPr>
  </w:style>
  <w:style w:type="character" w:customStyle="1" w:styleId="FooterChar">
    <w:name w:val="Footer Char"/>
    <w:basedOn w:val="DefaultParagraphFont"/>
    <w:link w:val="Footer"/>
    <w:uiPriority w:val="99"/>
    <w:rsid w:val="00CC4AAE"/>
    <w:rPr>
      <w:rFonts w:ascii="CG Times" w:eastAsia="Times New Roman" w:hAnsi="CG Times" w:cs="Times New Roman"/>
      <w:sz w:val="24"/>
      <w:szCs w:val="20"/>
    </w:rPr>
  </w:style>
  <w:style w:type="paragraph" w:styleId="Header">
    <w:name w:val="header"/>
    <w:basedOn w:val="Normal"/>
    <w:link w:val="HeaderChar"/>
    <w:semiHidden/>
    <w:rsid w:val="00CC4AAE"/>
    <w:pPr>
      <w:tabs>
        <w:tab w:val="center" w:pos="4320"/>
        <w:tab w:val="right" w:pos="8640"/>
      </w:tabs>
    </w:pPr>
  </w:style>
  <w:style w:type="character" w:customStyle="1" w:styleId="HeaderChar">
    <w:name w:val="Header Char"/>
    <w:basedOn w:val="DefaultParagraphFont"/>
    <w:link w:val="Header"/>
    <w:semiHidden/>
    <w:rsid w:val="00CC4AAE"/>
    <w:rPr>
      <w:rFonts w:ascii="CG Times" w:eastAsia="Times New Roman" w:hAnsi="CG Times" w:cs="Times New Roman"/>
      <w:sz w:val="24"/>
      <w:szCs w:val="20"/>
    </w:rPr>
  </w:style>
  <w:style w:type="paragraph" w:styleId="FootnoteText">
    <w:name w:val="footnote text"/>
    <w:basedOn w:val="Normal"/>
    <w:link w:val="FootnoteTextChar"/>
    <w:semiHidden/>
    <w:rsid w:val="00CC4AAE"/>
  </w:style>
  <w:style w:type="character" w:customStyle="1" w:styleId="FootnoteTextChar">
    <w:name w:val="Footnote Text Char"/>
    <w:basedOn w:val="DefaultParagraphFont"/>
    <w:link w:val="FootnoteText"/>
    <w:semiHidden/>
    <w:rsid w:val="00CC4AAE"/>
    <w:rPr>
      <w:rFonts w:ascii="CG Times" w:eastAsia="Times New Roman" w:hAnsi="CG Times" w:cs="Times New Roman"/>
      <w:sz w:val="24"/>
      <w:szCs w:val="20"/>
    </w:rPr>
  </w:style>
  <w:style w:type="paragraph" w:customStyle="1" w:styleId="EndnoteText1">
    <w:name w:val="Endnote Text1"/>
    <w:basedOn w:val="Normal"/>
    <w:rsid w:val="00CC4AAE"/>
  </w:style>
  <w:style w:type="paragraph" w:customStyle="1" w:styleId="TOC91">
    <w:name w:val="TOC 91"/>
    <w:basedOn w:val="Normal"/>
    <w:next w:val="Normal"/>
    <w:rsid w:val="00CC4AAE"/>
    <w:pPr>
      <w:tabs>
        <w:tab w:val="right" w:leader="dot" w:pos="9360"/>
      </w:tabs>
      <w:ind w:left="720" w:hanging="720"/>
    </w:pPr>
  </w:style>
  <w:style w:type="paragraph" w:customStyle="1" w:styleId="TOAHeading1">
    <w:name w:val="TOA Heading1"/>
    <w:basedOn w:val="Normal"/>
    <w:next w:val="Normal"/>
    <w:rsid w:val="00CC4AAE"/>
    <w:pPr>
      <w:tabs>
        <w:tab w:val="right" w:pos="9360"/>
      </w:tabs>
    </w:pPr>
  </w:style>
  <w:style w:type="paragraph" w:customStyle="1" w:styleId="Caption1">
    <w:name w:val="Caption1"/>
    <w:basedOn w:val="Normal"/>
    <w:next w:val="Normal"/>
    <w:rsid w:val="00CC4AAE"/>
  </w:style>
  <w:style w:type="character" w:styleId="PageNumber">
    <w:name w:val="page number"/>
    <w:basedOn w:val="DefaultParagraphFont"/>
    <w:semiHidden/>
    <w:rsid w:val="00CC4AAE"/>
  </w:style>
  <w:style w:type="paragraph" w:customStyle="1" w:styleId="P1-StandPara">
    <w:name w:val="P1-Stand Para"/>
    <w:rsid w:val="00CC4AAE"/>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CC4AAE"/>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CC4AAE"/>
    <w:rPr>
      <w:rFonts w:ascii="CG Times" w:eastAsia="Times New Roman" w:hAnsi="CG Times" w:cs="Times New Roman"/>
      <w:sz w:val="24"/>
      <w:szCs w:val="20"/>
    </w:rPr>
  </w:style>
  <w:style w:type="paragraph" w:styleId="BodyTextIndent2">
    <w:name w:val="Body Text Indent 2"/>
    <w:basedOn w:val="Normal"/>
    <w:link w:val="BodyTextIndent2Char"/>
    <w:semiHidden/>
    <w:rsid w:val="00CC4AAE"/>
    <w:pPr>
      <w:tabs>
        <w:tab w:val="left" w:pos="720"/>
      </w:tabs>
      <w:ind w:left="527"/>
    </w:pPr>
  </w:style>
  <w:style w:type="character" w:customStyle="1" w:styleId="BodyTextIndent2Char">
    <w:name w:val="Body Text Indent 2 Char"/>
    <w:basedOn w:val="DefaultParagraphFont"/>
    <w:link w:val="BodyTextIndent2"/>
    <w:semiHidden/>
    <w:rsid w:val="00CC4AAE"/>
    <w:rPr>
      <w:rFonts w:ascii="CG Times" w:eastAsia="Times New Roman" w:hAnsi="CG Times" w:cs="Times New Roman"/>
      <w:sz w:val="24"/>
      <w:szCs w:val="20"/>
    </w:rPr>
  </w:style>
  <w:style w:type="paragraph" w:styleId="BodyTextIndent3">
    <w:name w:val="Body Text Indent 3"/>
    <w:basedOn w:val="Normal"/>
    <w:link w:val="BodyTextIndent3Char"/>
    <w:semiHidden/>
    <w:rsid w:val="00CC4AAE"/>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CC4AAE"/>
    <w:rPr>
      <w:rFonts w:ascii="CG Times" w:eastAsia="Times New Roman" w:hAnsi="CG Times" w:cs="Times New Roman"/>
      <w:sz w:val="24"/>
      <w:szCs w:val="20"/>
    </w:rPr>
  </w:style>
  <w:style w:type="paragraph" w:styleId="Title">
    <w:name w:val="Title"/>
    <w:basedOn w:val="Normal"/>
    <w:link w:val="TitleChar"/>
    <w:qFormat/>
    <w:rsid w:val="00CC4AAE"/>
    <w:pPr>
      <w:tabs>
        <w:tab w:val="center" w:pos="4680"/>
      </w:tabs>
      <w:jc w:val="center"/>
    </w:pPr>
    <w:rPr>
      <w:b/>
    </w:rPr>
  </w:style>
  <w:style w:type="character" w:customStyle="1" w:styleId="TitleChar">
    <w:name w:val="Title Char"/>
    <w:basedOn w:val="DefaultParagraphFont"/>
    <w:link w:val="Title"/>
    <w:rsid w:val="00CC4AAE"/>
    <w:rPr>
      <w:rFonts w:ascii="CG Times" w:eastAsia="Times New Roman" w:hAnsi="CG Times" w:cs="Times New Roman"/>
      <w:b/>
      <w:sz w:val="24"/>
      <w:szCs w:val="20"/>
    </w:rPr>
  </w:style>
  <w:style w:type="paragraph" w:styleId="ListNumber">
    <w:name w:val="List Number"/>
    <w:basedOn w:val="List"/>
    <w:semiHidden/>
    <w:rsid w:val="00CC4AAE"/>
    <w:pPr>
      <w:numPr>
        <w:numId w:val="2"/>
      </w:numPr>
      <w:spacing w:after="240" w:line="240" w:lineRule="atLeast"/>
      <w:jc w:val="both"/>
    </w:pPr>
    <w:rPr>
      <w:rFonts w:ascii="Arial" w:hAnsi="Arial"/>
      <w:spacing w:val="-5"/>
      <w:sz w:val="20"/>
    </w:rPr>
  </w:style>
  <w:style w:type="paragraph" w:styleId="List">
    <w:name w:val="List"/>
    <w:basedOn w:val="Normal"/>
    <w:semiHidden/>
    <w:rsid w:val="00CC4AAE"/>
    <w:pPr>
      <w:ind w:left="360" w:hanging="360"/>
    </w:pPr>
  </w:style>
  <w:style w:type="paragraph" w:styleId="TOC9">
    <w:name w:val="toc 9"/>
    <w:basedOn w:val="Normal"/>
    <w:next w:val="Normal"/>
    <w:autoRedefine/>
    <w:semiHidden/>
    <w:rsid w:val="00CC4AAE"/>
    <w:pPr>
      <w:ind w:left="1920"/>
    </w:pPr>
  </w:style>
  <w:style w:type="character" w:styleId="Hyperlink">
    <w:name w:val="Hyperlink"/>
    <w:basedOn w:val="DefaultParagraphFont"/>
    <w:semiHidden/>
    <w:rsid w:val="00CC4AAE"/>
    <w:rPr>
      <w:color w:val="0000FF"/>
      <w:u w:val="single"/>
    </w:rPr>
  </w:style>
  <w:style w:type="character" w:styleId="FollowedHyperlink">
    <w:name w:val="FollowedHyperlink"/>
    <w:basedOn w:val="DefaultParagraphFont"/>
    <w:semiHidden/>
    <w:rsid w:val="00CC4AAE"/>
    <w:rPr>
      <w:color w:val="800080"/>
      <w:u w:val="single"/>
    </w:rPr>
  </w:style>
  <w:style w:type="character" w:styleId="FootnoteReference">
    <w:name w:val="footnote reference"/>
    <w:basedOn w:val="DefaultParagraphFont"/>
    <w:semiHidden/>
    <w:rsid w:val="00CC4AAE"/>
    <w:rPr>
      <w:vertAlign w:val="superscript"/>
    </w:rPr>
  </w:style>
  <w:style w:type="paragraph" w:styleId="ListBullet">
    <w:name w:val="List Bullet"/>
    <w:basedOn w:val="Normal"/>
    <w:autoRedefine/>
    <w:semiHidden/>
    <w:rsid w:val="00CC4AAE"/>
    <w:pPr>
      <w:numPr>
        <w:numId w:val="4"/>
      </w:numPr>
    </w:pPr>
  </w:style>
  <w:style w:type="paragraph" w:styleId="ListBullet2">
    <w:name w:val="List Bullet 2"/>
    <w:basedOn w:val="Normal"/>
    <w:autoRedefine/>
    <w:semiHidden/>
    <w:rsid w:val="00CC4AAE"/>
    <w:pPr>
      <w:numPr>
        <w:numId w:val="5"/>
      </w:numPr>
    </w:pPr>
  </w:style>
  <w:style w:type="paragraph" w:styleId="ListContinue">
    <w:name w:val="List Continue"/>
    <w:basedOn w:val="Normal"/>
    <w:semiHidden/>
    <w:rsid w:val="00CC4AAE"/>
    <w:pPr>
      <w:spacing w:after="120"/>
      <w:ind w:left="360"/>
    </w:pPr>
  </w:style>
  <w:style w:type="paragraph" w:styleId="ListContinue2">
    <w:name w:val="List Continue 2"/>
    <w:basedOn w:val="Normal"/>
    <w:rsid w:val="00CC4AAE"/>
    <w:pPr>
      <w:spacing w:after="120"/>
      <w:ind w:left="720"/>
    </w:pPr>
  </w:style>
  <w:style w:type="paragraph" w:customStyle="1" w:styleId="InsideAddress">
    <w:name w:val="Inside Address"/>
    <w:basedOn w:val="Normal"/>
    <w:rsid w:val="00CC4AAE"/>
  </w:style>
  <w:style w:type="paragraph" w:styleId="BodyText">
    <w:name w:val="Body Text"/>
    <w:basedOn w:val="Normal"/>
    <w:link w:val="BodyTextChar"/>
    <w:semiHidden/>
    <w:rsid w:val="00CC4AAE"/>
    <w:pPr>
      <w:spacing w:after="120"/>
    </w:pPr>
  </w:style>
  <w:style w:type="character" w:customStyle="1" w:styleId="BodyTextChar">
    <w:name w:val="Body Text Char"/>
    <w:basedOn w:val="DefaultParagraphFont"/>
    <w:link w:val="BodyText"/>
    <w:semiHidden/>
    <w:rsid w:val="00CC4AAE"/>
    <w:rPr>
      <w:rFonts w:ascii="CG Times" w:eastAsia="Times New Roman" w:hAnsi="CG Times" w:cs="Times New Roman"/>
      <w:sz w:val="24"/>
      <w:szCs w:val="20"/>
    </w:rPr>
  </w:style>
  <w:style w:type="paragraph" w:styleId="BalloonText">
    <w:name w:val="Balloon Text"/>
    <w:basedOn w:val="Normal"/>
    <w:link w:val="BalloonTextChar"/>
    <w:semiHidden/>
    <w:rsid w:val="00CC4AAE"/>
    <w:rPr>
      <w:rFonts w:ascii="Tahoma" w:hAnsi="Tahoma" w:cs="Tahoma"/>
      <w:sz w:val="16"/>
      <w:szCs w:val="16"/>
    </w:rPr>
  </w:style>
  <w:style w:type="character" w:customStyle="1" w:styleId="BalloonTextChar">
    <w:name w:val="Balloon Text Char"/>
    <w:basedOn w:val="DefaultParagraphFont"/>
    <w:link w:val="BalloonText"/>
    <w:semiHidden/>
    <w:rsid w:val="00CC4AAE"/>
    <w:rPr>
      <w:rFonts w:ascii="Tahoma" w:eastAsia="Times New Roman" w:hAnsi="Tahoma" w:cs="Tahoma"/>
      <w:sz w:val="16"/>
      <w:szCs w:val="16"/>
    </w:rPr>
  </w:style>
  <w:style w:type="character" w:styleId="CommentReference">
    <w:name w:val="annotation reference"/>
    <w:basedOn w:val="DefaultParagraphFont"/>
    <w:semiHidden/>
    <w:rsid w:val="00CC4AAE"/>
    <w:rPr>
      <w:sz w:val="16"/>
      <w:szCs w:val="16"/>
    </w:rPr>
  </w:style>
  <w:style w:type="paragraph" w:styleId="CommentText">
    <w:name w:val="annotation text"/>
    <w:basedOn w:val="Normal"/>
    <w:link w:val="CommentTextChar"/>
    <w:semiHidden/>
    <w:rsid w:val="00CC4AAE"/>
    <w:rPr>
      <w:sz w:val="20"/>
    </w:rPr>
  </w:style>
  <w:style w:type="character" w:customStyle="1" w:styleId="CommentTextChar">
    <w:name w:val="Comment Text Char"/>
    <w:basedOn w:val="DefaultParagraphFont"/>
    <w:link w:val="CommentText"/>
    <w:semiHidden/>
    <w:rsid w:val="00CC4AAE"/>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CC4AAE"/>
    <w:rPr>
      <w:b/>
      <w:bCs/>
    </w:rPr>
  </w:style>
  <w:style w:type="character" w:customStyle="1" w:styleId="CommentSubjectChar">
    <w:name w:val="Comment Subject Char"/>
    <w:basedOn w:val="CommentTextChar"/>
    <w:link w:val="CommentSubject"/>
    <w:semiHidden/>
    <w:rsid w:val="00CC4AAE"/>
    <w:rPr>
      <w:b/>
      <w:bCs/>
    </w:rPr>
  </w:style>
  <w:style w:type="paragraph" w:styleId="PlainText">
    <w:name w:val="Plain Text"/>
    <w:basedOn w:val="Normal"/>
    <w:link w:val="PlainTextChar"/>
    <w:uiPriority w:val="99"/>
    <w:rsid w:val="00CC4AAE"/>
    <w:pPr>
      <w:ind w:left="0"/>
    </w:pPr>
    <w:rPr>
      <w:rFonts w:ascii="Courier New" w:hAnsi="Courier New"/>
      <w:sz w:val="20"/>
    </w:rPr>
  </w:style>
  <w:style w:type="character" w:customStyle="1" w:styleId="PlainTextChar">
    <w:name w:val="Plain Text Char"/>
    <w:basedOn w:val="DefaultParagraphFont"/>
    <w:link w:val="PlainText"/>
    <w:uiPriority w:val="99"/>
    <w:rsid w:val="00CC4AAE"/>
    <w:rPr>
      <w:rFonts w:ascii="Courier New" w:eastAsia="Times New Roman" w:hAnsi="Courier New" w:cs="Times New Roman"/>
      <w:sz w:val="20"/>
      <w:szCs w:val="20"/>
    </w:rPr>
  </w:style>
  <w:style w:type="paragraph" w:customStyle="1" w:styleId="NormalSS">
    <w:name w:val="NormalSS"/>
    <w:basedOn w:val="Normal"/>
    <w:qFormat/>
    <w:rsid w:val="00CC4AAE"/>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CC4AAE"/>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CC4AAE"/>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CC4AAE"/>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CC4AAE"/>
    <w:rPr>
      <w:rFonts w:ascii="Times New Roman" w:eastAsia="Times New Roman" w:hAnsi="Times New Roman" w:cs="Times New Roman"/>
      <w:sz w:val="24"/>
      <w:szCs w:val="20"/>
    </w:rPr>
  </w:style>
  <w:style w:type="paragraph" w:customStyle="1" w:styleId="Quicka">
    <w:name w:val="Quick a."/>
    <w:basedOn w:val="Normal"/>
    <w:rsid w:val="00CC4AAE"/>
    <w:pPr>
      <w:widowControl w:val="0"/>
      <w:ind w:left="0"/>
    </w:pPr>
    <w:rPr>
      <w:rFonts w:ascii="Times New Roman" w:hAnsi="Times New Roman"/>
      <w:snapToGrid w:val="0"/>
    </w:rPr>
  </w:style>
  <w:style w:type="paragraph" w:styleId="BodyText3">
    <w:name w:val="Body Text 3"/>
    <w:basedOn w:val="Normal"/>
    <w:link w:val="BodyText3Char"/>
    <w:semiHidden/>
    <w:rsid w:val="00CC4AAE"/>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CC4AAE"/>
    <w:rPr>
      <w:rFonts w:ascii="Arial" w:eastAsia="Times New Roman" w:hAnsi="Arial" w:cs="Arial"/>
      <w:sz w:val="72"/>
    </w:rPr>
  </w:style>
  <w:style w:type="paragraph" w:customStyle="1" w:styleId="SL-FlLftSgl">
    <w:name w:val="SL-Fl Lft Sgl"/>
    <w:rsid w:val="00CC4AAE"/>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CC4AAE"/>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4AAE"/>
    <w:rPr>
      <w:rFonts w:ascii="Tahoma" w:eastAsia="Times New Roman" w:hAnsi="Tahoma" w:cs="Tahoma"/>
      <w:sz w:val="24"/>
      <w:szCs w:val="20"/>
      <w:shd w:val="clear" w:color="auto" w:fill="000080"/>
    </w:rPr>
  </w:style>
  <w:style w:type="paragraph" w:customStyle="1" w:styleId="Default">
    <w:name w:val="Default"/>
    <w:rsid w:val="00CC4A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CC4AAE"/>
    <w:rPr>
      <w:rFonts w:ascii="Verdana" w:hAnsi="Verdana" w:hint="default"/>
      <w:b/>
      <w:bCs/>
      <w:color w:val="000000"/>
      <w:w w:val="0"/>
      <w:sz w:val="36"/>
      <w:szCs w:val="36"/>
    </w:rPr>
  </w:style>
  <w:style w:type="paragraph" w:customStyle="1" w:styleId="Bullet">
    <w:name w:val="Bullet"/>
    <w:rsid w:val="00CC4AAE"/>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CC4AAE"/>
    <w:pPr>
      <w:numPr>
        <w:numId w:val="10"/>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CC4AAE"/>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CC4AAE"/>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CC4AAE"/>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CC4AAE"/>
  </w:style>
  <w:style w:type="paragraph" w:customStyle="1" w:styleId="TOC92">
    <w:name w:val="TOC 92"/>
    <w:basedOn w:val="Normal"/>
    <w:next w:val="Normal"/>
    <w:rsid w:val="00CC4AAE"/>
    <w:pPr>
      <w:tabs>
        <w:tab w:val="right" w:leader="dot" w:pos="9360"/>
      </w:tabs>
      <w:ind w:left="720" w:hanging="720"/>
    </w:pPr>
  </w:style>
  <w:style w:type="paragraph" w:customStyle="1" w:styleId="TOAHeading2">
    <w:name w:val="TOA Heading2"/>
    <w:basedOn w:val="Normal"/>
    <w:next w:val="Normal"/>
    <w:rsid w:val="00CC4AAE"/>
    <w:pPr>
      <w:tabs>
        <w:tab w:val="right" w:pos="9360"/>
      </w:tabs>
    </w:pPr>
  </w:style>
  <w:style w:type="paragraph" w:customStyle="1" w:styleId="Caption2">
    <w:name w:val="Caption2"/>
    <w:basedOn w:val="Normal"/>
    <w:next w:val="Normal"/>
    <w:rsid w:val="00CC4AAE"/>
  </w:style>
  <w:style w:type="paragraph" w:customStyle="1" w:styleId="QuestionHead1">
    <w:name w:val="QuestionHead1"/>
    <w:basedOn w:val="PlainText"/>
    <w:rsid w:val="00CC4AAE"/>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CC4AAE"/>
    <w:pPr>
      <w:ind w:firstLine="0"/>
    </w:pPr>
    <w:rPr>
      <w:b w:val="0"/>
      <w:bCs w:val="0"/>
      <w:i/>
      <w:iCs/>
    </w:rPr>
  </w:style>
  <w:style w:type="paragraph" w:customStyle="1" w:styleId="NumberedBox1">
    <w:name w:val="Numbered Box1"/>
    <w:basedOn w:val="Normal"/>
    <w:rsid w:val="00CC4AAE"/>
    <w:pPr>
      <w:tabs>
        <w:tab w:val="left" w:pos="312"/>
      </w:tabs>
      <w:spacing w:before="120"/>
      <w:ind w:left="991" w:hanging="415"/>
    </w:pPr>
    <w:rPr>
      <w:rFonts w:ascii="Arial" w:hAnsi="Arial" w:cs="Arial"/>
      <w:color w:val="000000"/>
      <w:kern w:val="28"/>
      <w:sz w:val="20"/>
    </w:rPr>
  </w:style>
  <w:style w:type="paragraph" w:styleId="ListParagraph">
    <w:name w:val="List Paragraph"/>
    <w:basedOn w:val="Normal"/>
    <w:uiPriority w:val="34"/>
    <w:qFormat/>
    <w:rsid w:val="00CC4AAE"/>
    <w:pPr>
      <w:ind w:left="720"/>
      <w:contextualSpacing/>
    </w:pPr>
  </w:style>
  <w:style w:type="paragraph" w:customStyle="1" w:styleId="EndnoteText3">
    <w:name w:val="Endnote Text3"/>
    <w:basedOn w:val="Normal"/>
    <w:rsid w:val="00CC4AAE"/>
  </w:style>
  <w:style w:type="paragraph" w:customStyle="1" w:styleId="TOC93">
    <w:name w:val="TOC 93"/>
    <w:basedOn w:val="Normal"/>
    <w:next w:val="Normal"/>
    <w:rsid w:val="00CC4AAE"/>
    <w:pPr>
      <w:tabs>
        <w:tab w:val="right" w:leader="dot" w:pos="9360"/>
      </w:tabs>
      <w:ind w:left="720" w:hanging="720"/>
    </w:pPr>
  </w:style>
  <w:style w:type="paragraph" w:customStyle="1" w:styleId="TOAHeading3">
    <w:name w:val="TOA Heading3"/>
    <w:basedOn w:val="Normal"/>
    <w:next w:val="Normal"/>
    <w:rsid w:val="00CC4AAE"/>
    <w:pPr>
      <w:tabs>
        <w:tab w:val="right" w:pos="9360"/>
      </w:tabs>
    </w:pPr>
  </w:style>
  <w:style w:type="paragraph" w:customStyle="1" w:styleId="Caption3">
    <w:name w:val="Caption3"/>
    <w:basedOn w:val="Normal"/>
    <w:next w:val="Normal"/>
    <w:rsid w:val="00CC4A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sf.gov/statistics/sesta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sf.gov/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f.gov/nsb/documents/2003/nsb036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5537</Words>
  <Characters>31567</Characters>
  <Application>Microsoft Office Word</Application>
  <DocSecurity>0</DocSecurity>
  <Lines>263</Lines>
  <Paragraphs>74</Paragraphs>
  <ScaleCrop>false</ScaleCrop>
  <Company>National Science Foundation</Company>
  <LinksUpToDate>false</LinksUpToDate>
  <CharactersWithSpaces>37030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2010-07-28T20:21:00Z</dcterms:created>
  <dcterms:modified xsi:type="dcterms:W3CDTF">2010-07-28T20:24:00Z</dcterms:modified>
</cp:coreProperties>
</file>