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83" w:rsidRDefault="00613E83" w:rsidP="00613E83">
      <w:pPr>
        <w:spacing w:before="100" w:beforeAutospacing="1" w:after="100" w:afterAutospacing="1"/>
        <w:outlineLvl w:val="2"/>
        <w:rPr>
          <w:rFonts w:ascii="Verdana" w:hAnsi="Verdana"/>
          <w:b/>
          <w:bCs/>
          <w:sz w:val="27"/>
          <w:szCs w:val="27"/>
        </w:rPr>
      </w:pPr>
      <w:r>
        <w:rPr>
          <w:rFonts w:ascii="Verdana" w:hAnsi="Verdana"/>
          <w:b/>
          <w:bCs/>
          <w:sz w:val="27"/>
          <w:szCs w:val="27"/>
        </w:rPr>
        <w:t>PRA Extension for Rule 482</w:t>
      </w:r>
    </w:p>
    <w:p w:rsidR="00613E83" w:rsidRPr="00407295" w:rsidRDefault="00613E83" w:rsidP="00613E83">
      <w:pPr>
        <w:spacing w:before="100" w:beforeAutospacing="1" w:after="100" w:afterAutospacing="1"/>
        <w:outlineLvl w:val="2"/>
        <w:rPr>
          <w:rFonts w:ascii="Verdana" w:hAnsi="Verdana"/>
          <w:b/>
          <w:bCs/>
          <w:sz w:val="24"/>
          <w:szCs w:val="24"/>
          <w:u w:val="single"/>
        </w:rPr>
      </w:pPr>
      <w:r>
        <w:rPr>
          <w:rFonts w:ascii="Verdana" w:hAnsi="Verdana"/>
          <w:b/>
          <w:bCs/>
          <w:szCs w:val="24"/>
          <w:u w:val="single"/>
        </w:rPr>
        <w:t>Statutory Authority</w:t>
      </w:r>
    </w:p>
    <w:p w:rsidR="00785E38" w:rsidRDefault="00785E38" w:rsidP="00785E38">
      <w:pPr>
        <w:widowControl/>
        <w:rPr>
          <w:rFonts w:ascii="Times New Roman" w:hAnsi="Times New Roman" w:cs="Times New Roman"/>
        </w:rPr>
      </w:pPr>
    </w:p>
    <w:p w:rsidR="00785E38" w:rsidRDefault="00785E38" w:rsidP="00785E38">
      <w:pPr>
        <w:widowControl/>
        <w:ind w:left="240" w:right="240"/>
        <w:jc w:val="center"/>
        <w:rPr>
          <w:rFonts w:ascii="Times New Roman" w:hAnsi="Times New Roman" w:cs="Times New Roman"/>
        </w:rPr>
      </w:pPr>
      <w:r>
        <w:rPr>
          <w:rFonts w:ascii="Times New Roman" w:hAnsi="Times New Roman" w:cs="Times New Roman"/>
        </w:rPr>
        <w:t>*** CURRENT THROUGH PL 111-177, APPROVED 6/8/2010 ***</w:t>
      </w:r>
    </w:p>
    <w:p w:rsidR="00785E38" w:rsidRDefault="00785E38" w:rsidP="00785E38">
      <w:pPr>
        <w:widowControl/>
        <w:rPr>
          <w:rFonts w:ascii="Times New Roman" w:hAnsi="Times New Roman" w:cs="Times New Roman"/>
        </w:rPr>
      </w:pPr>
    </w:p>
    <w:p w:rsidR="00785E38" w:rsidRDefault="00785E38" w:rsidP="00785E38">
      <w:pPr>
        <w:widowControl/>
        <w:jc w:val="center"/>
        <w:rPr>
          <w:rFonts w:ascii="Times New Roman" w:hAnsi="Times New Roman" w:cs="Times New Roman"/>
        </w:rPr>
      </w:pPr>
      <w:proofErr w:type="gramStart"/>
      <w:r>
        <w:rPr>
          <w:rFonts w:ascii="Times New Roman" w:hAnsi="Times New Roman" w:cs="Times New Roman"/>
        </w:rPr>
        <w:t>TITLE 15.</w:t>
      </w:r>
      <w:proofErr w:type="gramEnd"/>
      <w:r>
        <w:rPr>
          <w:rFonts w:ascii="Times New Roman" w:hAnsi="Times New Roman" w:cs="Times New Roman"/>
        </w:rPr>
        <w:t xml:space="preserve"> COMMERCE AND TRADE  </w:t>
      </w:r>
    </w:p>
    <w:p w:rsidR="00785E38" w:rsidRDefault="00785E38" w:rsidP="00785E38">
      <w:pPr>
        <w:widowControl/>
        <w:jc w:val="center"/>
        <w:rPr>
          <w:rFonts w:ascii="Times New Roman" w:hAnsi="Times New Roman" w:cs="Times New Roman"/>
        </w:rPr>
      </w:pPr>
      <w:proofErr w:type="gramStart"/>
      <w:r>
        <w:rPr>
          <w:rFonts w:ascii="Times New Roman" w:hAnsi="Times New Roman" w:cs="Times New Roman"/>
        </w:rPr>
        <w:t>CHAPTER 2A.</w:t>
      </w:r>
      <w:proofErr w:type="gramEnd"/>
      <w:r>
        <w:rPr>
          <w:rFonts w:ascii="Times New Roman" w:hAnsi="Times New Roman" w:cs="Times New Roman"/>
        </w:rPr>
        <w:t xml:space="preserve"> SECURITIES AND TRUST INDENTURES  </w:t>
      </w:r>
    </w:p>
    <w:p w:rsidR="00785E38" w:rsidRDefault="00785E38" w:rsidP="00785E38">
      <w:pPr>
        <w:widowControl/>
        <w:jc w:val="center"/>
        <w:rPr>
          <w:rFonts w:ascii="Times New Roman" w:hAnsi="Times New Roman" w:cs="Times New Roman"/>
        </w:rPr>
      </w:pPr>
      <w:r>
        <w:rPr>
          <w:rFonts w:ascii="Times New Roman" w:hAnsi="Times New Roman" w:cs="Times New Roman"/>
        </w:rPr>
        <w:t xml:space="preserve">DOMESTIC SECURITIES </w:t>
      </w:r>
    </w:p>
    <w:p w:rsidR="00785E38" w:rsidRDefault="00785E38" w:rsidP="00785E38">
      <w:pPr>
        <w:widowControl/>
        <w:rPr>
          <w:rFonts w:ascii="Times New Roman" w:hAnsi="Times New Roman" w:cs="Times New Roman"/>
        </w:rPr>
      </w:pPr>
    </w:p>
    <w:p w:rsidR="00785E38" w:rsidRDefault="00785E38" w:rsidP="00785E38">
      <w:pPr>
        <w:widowControl/>
        <w:ind w:left="120" w:right="120"/>
        <w:jc w:val="center"/>
        <w:rPr>
          <w:rFonts w:ascii="Times New Roman" w:hAnsi="Times New Roman" w:cs="Times New Roman"/>
        </w:rPr>
      </w:pPr>
      <w:r>
        <w:rPr>
          <w:rFonts w:ascii="Times New Roman" w:hAnsi="Times New Roman" w:cs="Times New Roman"/>
          <w:b/>
          <w:bCs/>
        </w:rPr>
        <w:t>Go to the United States Code Service Archive Directory</w:t>
      </w:r>
    </w:p>
    <w:p w:rsidR="00785E38" w:rsidRDefault="00785E38" w:rsidP="00785E38">
      <w:pPr>
        <w:widowControl/>
        <w:rPr>
          <w:rFonts w:ascii="Times New Roman" w:hAnsi="Times New Roman" w:cs="Times New Roman"/>
        </w:rPr>
      </w:pPr>
    </w:p>
    <w:p w:rsidR="00785E38" w:rsidRDefault="00785E38" w:rsidP="00785E38">
      <w:pPr>
        <w:widowControl/>
        <w:ind w:left="240" w:right="240"/>
        <w:jc w:val="center"/>
        <w:rPr>
          <w:rFonts w:ascii="Times New Roman" w:hAnsi="Times New Roman" w:cs="Times New Roman"/>
        </w:rPr>
      </w:pPr>
      <w:r>
        <w:rPr>
          <w:rFonts w:ascii="Times New Roman" w:hAnsi="Times New Roman" w:cs="Times New Roman"/>
          <w:i/>
          <w:iCs/>
        </w:rPr>
        <w:t>15 USCS § 77j</w:t>
      </w:r>
    </w:p>
    <w:p w:rsidR="00785E38" w:rsidRDefault="00785E38" w:rsidP="00785E38">
      <w:pPr>
        <w:widowControl/>
        <w:rPr>
          <w:rFonts w:ascii="Times New Roman" w:hAnsi="Times New Roman" w:cs="Times New Roman"/>
        </w:rPr>
      </w:pPr>
    </w:p>
    <w:p w:rsidR="00785E38" w:rsidRDefault="00785E38" w:rsidP="00785E38">
      <w:pPr>
        <w:widowControl/>
        <w:rPr>
          <w:rFonts w:ascii="Times New Roman" w:hAnsi="Times New Roman" w:cs="Times New Roman"/>
        </w:rPr>
      </w:pPr>
      <w:proofErr w:type="gramStart"/>
      <w:r>
        <w:rPr>
          <w:rFonts w:ascii="Times New Roman" w:hAnsi="Times New Roman" w:cs="Times New Roman"/>
        </w:rPr>
        <w:t>§ 77j.</w:t>
      </w:r>
      <w:proofErr w:type="gramEnd"/>
      <w:r>
        <w:rPr>
          <w:rFonts w:ascii="Times New Roman" w:hAnsi="Times New Roman" w:cs="Times New Roman"/>
        </w:rPr>
        <w:t xml:space="preserve">  Information required in prospectus </w:t>
      </w:r>
    </w:p>
    <w:p w:rsidR="00785E38" w:rsidRDefault="00785E38" w:rsidP="00785E38">
      <w:pPr>
        <w:widowControl/>
        <w:rPr>
          <w:rFonts w:ascii="Times New Roman" w:hAnsi="Times New Roman" w:cs="Times New Roman"/>
        </w:rPr>
      </w:pPr>
    </w:p>
    <w:p w:rsidR="00785E38" w:rsidRDefault="00785E38" w:rsidP="00785E38">
      <w:pPr>
        <w:widowControl/>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Information required in registration statement; documents not required.  Except to the extent otherwise permitted or required pursuant to this subsection or subsections (c), (d), or (e)--</w:t>
      </w:r>
    </w:p>
    <w:p w:rsidR="00785E38" w:rsidRDefault="00785E38" w:rsidP="00785E38">
      <w:pPr>
        <w:widowControl/>
        <w:rPr>
          <w:rFonts w:ascii="Times New Roman" w:hAnsi="Times New Roman" w:cs="Times New Roman"/>
        </w:rPr>
      </w:pPr>
      <w:r>
        <w:rPr>
          <w:rFonts w:ascii="Times New Roman" w:hAnsi="Times New Roman" w:cs="Times New Roman"/>
        </w:rPr>
        <w:t xml:space="preserve">   (1) a prospectus relating to a security other than a security issued by a foreign government or political subdivision thereof, shall contain the information contained in the registration statement, but it need not include the documents r</w:t>
      </w:r>
      <w:r>
        <w:rPr>
          <w:rFonts w:ascii="Times New Roman" w:hAnsi="Times New Roman" w:cs="Times New Roman"/>
        </w:rPr>
        <w:t>e</w:t>
      </w:r>
      <w:r>
        <w:rPr>
          <w:rFonts w:ascii="Times New Roman" w:hAnsi="Times New Roman" w:cs="Times New Roman"/>
        </w:rPr>
        <w:t>ferred to in paragraphs (28) to (32), inclusive, of schedule A [</w:t>
      </w:r>
      <w:r>
        <w:rPr>
          <w:rFonts w:ascii="Times New Roman" w:hAnsi="Times New Roman" w:cs="Times New Roman"/>
          <w:i/>
          <w:iCs/>
        </w:rPr>
        <w:t>15 USCS § 77aa</w:t>
      </w:r>
      <w:r>
        <w:rPr>
          <w:rFonts w:ascii="Times New Roman" w:hAnsi="Times New Roman" w:cs="Times New Roman"/>
        </w:rPr>
        <w:t>];</w:t>
      </w:r>
    </w:p>
    <w:p w:rsidR="00785E38" w:rsidRDefault="00785E38" w:rsidP="00785E38">
      <w:pPr>
        <w:widowControl/>
        <w:rPr>
          <w:rFonts w:ascii="Times New Roman" w:hAnsi="Times New Roman" w:cs="Times New Roman"/>
        </w:rPr>
      </w:pPr>
      <w:r>
        <w:rPr>
          <w:rFonts w:ascii="Times New Roman" w:hAnsi="Times New Roman" w:cs="Times New Roman"/>
        </w:rPr>
        <w:t xml:space="preserve">   (2) a prospectus relating to a security issued by a foreign government or political subdivision thereof shall contain the information contained in the registration statement, but it need not include the documents referred to in paragraphs (13) and (14) of schedule B [</w:t>
      </w:r>
      <w:r>
        <w:rPr>
          <w:rFonts w:ascii="Times New Roman" w:hAnsi="Times New Roman" w:cs="Times New Roman"/>
          <w:i/>
          <w:iCs/>
        </w:rPr>
        <w:t>15 USCS § 77aa</w:t>
      </w:r>
      <w:r>
        <w:rPr>
          <w:rFonts w:ascii="Times New Roman" w:hAnsi="Times New Roman" w:cs="Times New Roman"/>
        </w:rPr>
        <w:t>];</w:t>
      </w:r>
    </w:p>
    <w:p w:rsidR="00785E38" w:rsidRDefault="00785E38" w:rsidP="00785E38">
      <w:pPr>
        <w:widowControl/>
        <w:rPr>
          <w:rFonts w:ascii="Times New Roman" w:hAnsi="Times New Roman" w:cs="Times New Roman"/>
        </w:rPr>
      </w:pPr>
      <w:r>
        <w:rPr>
          <w:rFonts w:ascii="Times New Roman" w:hAnsi="Times New Roman" w:cs="Times New Roman"/>
        </w:rPr>
        <w:t xml:space="preserve">   (3) notwithstanding the provisions of paragraphs (1) and (2) of this subsection (a) when a prospectus is used more than nine months after the effective date of the registration statement, the information contained therein shall be as of a date not more than sixteen months prior to such use, so far as such information is known to the user of such prospectus or can be furnished by such user without unreasonable effort or expense;</w:t>
      </w:r>
    </w:p>
    <w:p w:rsidR="00785E38" w:rsidRDefault="00785E38" w:rsidP="00785E38">
      <w:pPr>
        <w:widowControl/>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there</w:t>
      </w:r>
      <w:proofErr w:type="gramEnd"/>
      <w:r>
        <w:rPr>
          <w:rFonts w:ascii="Times New Roman" w:hAnsi="Times New Roman" w:cs="Times New Roman"/>
        </w:rPr>
        <w:t xml:space="preserve"> may be omitted from any prospectus any of the information required under this subsection (a) which the Commission may by rules or regulations designate as not being necessary or appropriate in the public interest or for the protection of investors.</w:t>
      </w:r>
    </w:p>
    <w:p w:rsidR="00785E38" w:rsidRDefault="00785E38" w:rsidP="00785E38">
      <w:pPr>
        <w:widowControl/>
        <w:rPr>
          <w:rFonts w:ascii="Times New Roman" w:hAnsi="Times New Roman" w:cs="Times New Roman"/>
        </w:rPr>
      </w:pPr>
      <w:r>
        <w:rPr>
          <w:rFonts w:ascii="Times New Roman" w:hAnsi="Times New Roman" w:cs="Times New Roman"/>
        </w:rPr>
        <w:t xml:space="preserve"> </w:t>
      </w:r>
    </w:p>
    <w:p w:rsidR="00785E38" w:rsidRDefault="00785E38" w:rsidP="00785E38">
      <w:pPr>
        <w:widowControl/>
        <w:rPr>
          <w:rFonts w:ascii="Times New Roman" w:hAnsi="Times New Roman" w:cs="Times New Roman"/>
        </w:rPr>
      </w:pPr>
      <w:r>
        <w:rPr>
          <w:rFonts w:ascii="Times New Roman" w:hAnsi="Times New Roman" w:cs="Times New Roman"/>
        </w:rPr>
        <w:t>(b) Summarizations and omissions allowed by rules and regulations.  In addition to the prospectus permitted or r</w:t>
      </w:r>
      <w:r>
        <w:rPr>
          <w:rFonts w:ascii="Times New Roman" w:hAnsi="Times New Roman" w:cs="Times New Roman"/>
        </w:rPr>
        <w:t>e</w:t>
      </w:r>
      <w:r>
        <w:rPr>
          <w:rFonts w:ascii="Times New Roman" w:hAnsi="Times New Roman" w:cs="Times New Roman"/>
        </w:rPr>
        <w:t>quired in subsection (a), the Commission shall by rules or regulations deemed necessary or appropriate in the public interest or for the protection of investors permit the use of a prospectus for the purposes of subsection (b</w:t>
      </w:r>
      <w:proofErr w:type="gramStart"/>
      <w:r>
        <w:rPr>
          <w:rFonts w:ascii="Times New Roman" w:hAnsi="Times New Roman" w:cs="Times New Roman"/>
        </w:rPr>
        <w:t>)(</w:t>
      </w:r>
      <w:proofErr w:type="gramEnd"/>
      <w:r>
        <w:rPr>
          <w:rFonts w:ascii="Times New Roman" w:hAnsi="Times New Roman" w:cs="Times New Roman"/>
        </w:rPr>
        <w:t>1) of section 5 [</w:t>
      </w:r>
      <w:r>
        <w:rPr>
          <w:rFonts w:ascii="Times New Roman" w:hAnsi="Times New Roman" w:cs="Times New Roman"/>
          <w:i/>
          <w:iCs/>
        </w:rPr>
        <w:t>15 USCS § 77e(b)(1)</w:t>
      </w:r>
      <w:r>
        <w:rPr>
          <w:rFonts w:ascii="Times New Roman" w:hAnsi="Times New Roman" w:cs="Times New Roman"/>
        </w:rPr>
        <w:t>] which omits in part or summarizes information in the prospectus specified in subsection (a). A prospectus permitted under this subsection shall, except to the extent the Commission by rules or regulations deemed necessary or appropriate in the public interest or for the protection of investors otherwise provides, be filed as part of the registration statement but shall not be deemed a part of such registration statement for the purposes of section 11 [</w:t>
      </w:r>
      <w:r>
        <w:rPr>
          <w:rFonts w:ascii="Times New Roman" w:hAnsi="Times New Roman" w:cs="Times New Roman"/>
          <w:i/>
          <w:iCs/>
        </w:rPr>
        <w:t>15 USCS § 77k</w:t>
      </w:r>
      <w:r>
        <w:rPr>
          <w:rFonts w:ascii="Times New Roman" w:hAnsi="Times New Roman" w:cs="Times New Roman"/>
        </w:rPr>
        <w:t>]. The Commission may at any time issue an order preventing or suspending the use of a prospectus permi</w:t>
      </w:r>
      <w:r>
        <w:rPr>
          <w:rFonts w:ascii="Times New Roman" w:hAnsi="Times New Roman" w:cs="Times New Roman"/>
        </w:rPr>
        <w:t>t</w:t>
      </w:r>
      <w:r>
        <w:rPr>
          <w:rFonts w:ascii="Times New Roman" w:hAnsi="Times New Roman" w:cs="Times New Roman"/>
        </w:rPr>
        <w:t>ted under this subsection (b), if it has reason to believe that such prospectus has not been filed (if required to be filed as part of the registration statement) or includes any untrue statement of a material fact or omits to state any material fact required to be stated therein or necessary to make the statements therein, in the light of the circumstances under which such prospectus is or is to be used, not misleading. Upon issuance of an order under this subsection, the Commission shall give notice of the issuance of such order and opportunity for hearing by personal service or the sending of co</w:t>
      </w:r>
      <w:r>
        <w:rPr>
          <w:rFonts w:ascii="Times New Roman" w:hAnsi="Times New Roman" w:cs="Times New Roman"/>
        </w:rPr>
        <w:t>n</w:t>
      </w:r>
      <w:r>
        <w:rPr>
          <w:rFonts w:ascii="Times New Roman" w:hAnsi="Times New Roman" w:cs="Times New Roman"/>
        </w:rPr>
        <w:t>firmed telegraphic notice. The Commission shall vacate or modify the order at any time for good cause or if such pro</w:t>
      </w:r>
      <w:r>
        <w:rPr>
          <w:rFonts w:ascii="Times New Roman" w:hAnsi="Times New Roman" w:cs="Times New Roman"/>
        </w:rPr>
        <w:t>s</w:t>
      </w:r>
      <w:r>
        <w:rPr>
          <w:rFonts w:ascii="Times New Roman" w:hAnsi="Times New Roman" w:cs="Times New Roman"/>
        </w:rPr>
        <w:t>pectus has been filed or amended in accordance with such order.</w:t>
      </w:r>
    </w:p>
    <w:p w:rsidR="00785E38" w:rsidRDefault="00785E38" w:rsidP="00785E38">
      <w:pPr>
        <w:widowControl/>
        <w:rPr>
          <w:rFonts w:ascii="Times New Roman" w:hAnsi="Times New Roman" w:cs="Times New Roman"/>
        </w:rPr>
      </w:pPr>
      <w:r>
        <w:rPr>
          <w:rFonts w:ascii="Times New Roman" w:hAnsi="Times New Roman" w:cs="Times New Roman"/>
        </w:rPr>
        <w:t xml:space="preserve"> </w:t>
      </w:r>
    </w:p>
    <w:p w:rsidR="00785E38" w:rsidRDefault="00785E38" w:rsidP="00785E38">
      <w:pPr>
        <w:widowControl/>
        <w:rPr>
          <w:rFonts w:ascii="Times New Roman" w:hAnsi="Times New Roman" w:cs="Times New Roman"/>
        </w:rPr>
      </w:pPr>
      <w:r>
        <w:rPr>
          <w:rFonts w:ascii="Times New Roman" w:hAnsi="Times New Roman" w:cs="Times New Roman"/>
        </w:rPr>
        <w:t>(c) Additional information required by rules and regulations.  Any prospectus shall contain such other information as the Commission may by rules or regulations require as being necessary or appropriate in the public interest or for the protection of investors.</w:t>
      </w:r>
    </w:p>
    <w:p w:rsidR="00785E38" w:rsidRDefault="00785E38" w:rsidP="00785E38">
      <w:pPr>
        <w:widowControl/>
        <w:rPr>
          <w:rFonts w:ascii="Times New Roman" w:hAnsi="Times New Roman" w:cs="Times New Roman"/>
        </w:rPr>
      </w:pPr>
      <w:r>
        <w:rPr>
          <w:rFonts w:ascii="Times New Roman" w:hAnsi="Times New Roman" w:cs="Times New Roman"/>
        </w:rPr>
        <w:t xml:space="preserve"> </w:t>
      </w:r>
    </w:p>
    <w:p w:rsidR="00785E38" w:rsidRDefault="00785E38" w:rsidP="00785E38">
      <w:pPr>
        <w:widowControl/>
        <w:rPr>
          <w:rFonts w:ascii="Times New Roman" w:hAnsi="Times New Roman" w:cs="Times New Roman"/>
        </w:rPr>
      </w:pPr>
      <w:r>
        <w:rPr>
          <w:rFonts w:ascii="Times New Roman" w:hAnsi="Times New Roman" w:cs="Times New Roman"/>
        </w:rPr>
        <w:lastRenderedPageBreak/>
        <w:t>(d) Classification of prospectuses.  In the exercise of its powers under subsections (a), (b), or (c), the Commission shall have authority to classify prospectuses according to the nature and circumstances of their use or the nature of the sec</w:t>
      </w:r>
      <w:r>
        <w:rPr>
          <w:rFonts w:ascii="Times New Roman" w:hAnsi="Times New Roman" w:cs="Times New Roman"/>
        </w:rPr>
        <w:t>u</w:t>
      </w:r>
      <w:r>
        <w:rPr>
          <w:rFonts w:ascii="Times New Roman" w:hAnsi="Times New Roman" w:cs="Times New Roman"/>
        </w:rPr>
        <w:t>rity, issue, issuer, or otherwise, and, by rules and regulations and subject to such terms and conditions as it shall specify therein, to prescribe as to each class the form and contents which it may find appropriate and consistent with the public interest and the protection of investors.</w:t>
      </w:r>
    </w:p>
    <w:p w:rsidR="00785E38" w:rsidRDefault="00785E38" w:rsidP="00785E38">
      <w:pPr>
        <w:widowControl/>
        <w:rPr>
          <w:rFonts w:ascii="Times New Roman" w:hAnsi="Times New Roman" w:cs="Times New Roman"/>
        </w:rPr>
      </w:pPr>
      <w:r>
        <w:rPr>
          <w:rFonts w:ascii="Times New Roman" w:hAnsi="Times New Roman" w:cs="Times New Roman"/>
        </w:rPr>
        <w:t xml:space="preserve"> </w:t>
      </w:r>
    </w:p>
    <w:p w:rsidR="00785E38" w:rsidRDefault="00785E38" w:rsidP="00785E38">
      <w:pPr>
        <w:widowControl/>
        <w:rPr>
          <w:rFonts w:ascii="Times New Roman" w:hAnsi="Times New Roman" w:cs="Times New Roman"/>
        </w:rPr>
      </w:pPr>
      <w:r>
        <w:rPr>
          <w:rFonts w:ascii="Times New Roman" w:hAnsi="Times New Roman" w:cs="Times New Roman"/>
        </w:rPr>
        <w:t>(e) Information in conspicuous part of prospectus.  The statements or information required to be included in a prospe</w:t>
      </w:r>
      <w:r>
        <w:rPr>
          <w:rFonts w:ascii="Times New Roman" w:hAnsi="Times New Roman" w:cs="Times New Roman"/>
        </w:rPr>
        <w:t>c</w:t>
      </w:r>
      <w:r>
        <w:rPr>
          <w:rFonts w:ascii="Times New Roman" w:hAnsi="Times New Roman" w:cs="Times New Roman"/>
        </w:rPr>
        <w:t>tus by or under authority of subsections (a), (b), (c), or (d), when written, shall be placed in a conspicuous part of the prospectus and, except as otherwise permitted by rules or regulations, in type as large as that used generally in the body of the prospectus.</w:t>
      </w:r>
    </w:p>
    <w:p w:rsidR="00785E38" w:rsidRDefault="00785E38" w:rsidP="00785E38">
      <w:pPr>
        <w:widowControl/>
        <w:rPr>
          <w:rFonts w:ascii="Times New Roman" w:hAnsi="Times New Roman" w:cs="Times New Roman"/>
        </w:rPr>
      </w:pPr>
      <w:r>
        <w:rPr>
          <w:rFonts w:ascii="Times New Roman" w:hAnsi="Times New Roman" w:cs="Times New Roman"/>
        </w:rPr>
        <w:t xml:space="preserve"> </w:t>
      </w:r>
    </w:p>
    <w:p w:rsidR="00785E38" w:rsidRDefault="00785E38" w:rsidP="00785E38">
      <w:pPr>
        <w:widowControl/>
        <w:rPr>
          <w:rFonts w:ascii="Times New Roman" w:hAnsi="Times New Roman" w:cs="Times New Roman"/>
        </w:rPr>
      </w:pPr>
      <w:r>
        <w:rPr>
          <w:rFonts w:ascii="Times New Roman" w:hAnsi="Times New Roman" w:cs="Times New Roman"/>
        </w:rPr>
        <w:t>(f) Prospectus consisting of radio or television broadcast.  In any case where a prospectus consists of a radio or telev</w:t>
      </w:r>
      <w:r>
        <w:rPr>
          <w:rFonts w:ascii="Times New Roman" w:hAnsi="Times New Roman" w:cs="Times New Roman"/>
        </w:rPr>
        <w:t>i</w:t>
      </w:r>
      <w:r>
        <w:rPr>
          <w:rFonts w:ascii="Times New Roman" w:hAnsi="Times New Roman" w:cs="Times New Roman"/>
        </w:rPr>
        <w:t xml:space="preserve">sion broadcast, copies thereof shall be filed with the Commission under such rules and regulations as it shall prescribe. The Commission may by rules and regulations require the filing with it of forms and prospectuses used in connection with the offer or sale of securities registered under this </w:t>
      </w:r>
      <w:r>
        <w:rPr>
          <w:rFonts w:ascii="Times New Roman" w:hAnsi="Times New Roman" w:cs="Times New Roman"/>
          <w:i/>
          <w:iCs/>
        </w:rPr>
        <w:t>title [15 USCS §§ 77a</w:t>
      </w:r>
      <w:r>
        <w:rPr>
          <w:rFonts w:ascii="Times New Roman" w:hAnsi="Times New Roman" w:cs="Times New Roman"/>
        </w:rPr>
        <w:t xml:space="preserve"> et seq.].</w:t>
      </w:r>
    </w:p>
    <w:p w:rsidR="00785E38" w:rsidRDefault="00785E38" w:rsidP="00785E38">
      <w:pPr>
        <w:widowControl/>
        <w:rPr>
          <w:rFonts w:ascii="Times New Roman" w:hAnsi="Times New Roman" w:cs="Times New Roman"/>
        </w:rPr>
      </w:pPr>
    </w:p>
    <w:p w:rsidR="00785E38" w:rsidRDefault="00785E38" w:rsidP="00785E38">
      <w:pPr>
        <w:widowControl/>
        <w:rPr>
          <w:rFonts w:ascii="Times New Roman" w:hAnsi="Times New Roman" w:cs="Times New Roman"/>
        </w:rPr>
      </w:pPr>
      <w:r>
        <w:rPr>
          <w:rFonts w:ascii="Times New Roman" w:hAnsi="Times New Roman" w:cs="Times New Roman"/>
          <w:b/>
          <w:bCs/>
        </w:rPr>
        <w:t xml:space="preserve">HISTORY: </w:t>
      </w:r>
    </w:p>
    <w:p w:rsidR="00785E38" w:rsidRDefault="00785E38" w:rsidP="00785E38">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(May 27, 1933, </w:t>
      </w:r>
      <w:proofErr w:type="spellStart"/>
      <w:r>
        <w:rPr>
          <w:rFonts w:ascii="Times New Roman" w:hAnsi="Times New Roman" w:cs="Times New Roman"/>
        </w:rPr>
        <w:t>ch</w:t>
      </w:r>
      <w:proofErr w:type="spellEnd"/>
      <w:r>
        <w:rPr>
          <w:rFonts w:ascii="Times New Roman" w:hAnsi="Times New Roman" w:cs="Times New Roman"/>
        </w:rPr>
        <w:t xml:space="preserve"> 38, Title I, § 10, 48 Stat. 81; June 6, 1934, </w:t>
      </w:r>
      <w:proofErr w:type="spellStart"/>
      <w:r>
        <w:rPr>
          <w:rFonts w:ascii="Times New Roman" w:hAnsi="Times New Roman" w:cs="Times New Roman"/>
        </w:rPr>
        <w:t>ch</w:t>
      </w:r>
      <w:proofErr w:type="spellEnd"/>
      <w:r>
        <w:rPr>
          <w:rFonts w:ascii="Times New Roman" w:hAnsi="Times New Roman" w:cs="Times New Roman"/>
        </w:rPr>
        <w:t xml:space="preserve"> 404, Title II, § 205, 48 Stat. 906; Aug. 10, 1954, </w:t>
      </w:r>
      <w:proofErr w:type="spellStart"/>
      <w:r>
        <w:rPr>
          <w:rFonts w:ascii="Times New Roman" w:hAnsi="Times New Roman" w:cs="Times New Roman"/>
        </w:rPr>
        <w:t>ch</w:t>
      </w:r>
      <w:proofErr w:type="spellEnd"/>
      <w:r>
        <w:rPr>
          <w:rFonts w:ascii="Times New Roman" w:hAnsi="Times New Roman" w:cs="Times New Roman"/>
        </w:rPr>
        <w:t xml:space="preserve"> 667, Title I, § 8, 68 Stat. 685.)</w:t>
      </w:r>
      <w:proofErr w:type="gramEnd"/>
    </w:p>
    <w:p w:rsidR="00785E38" w:rsidRDefault="00785E38" w:rsidP="00785E38">
      <w:pPr>
        <w:widowControl/>
        <w:rPr>
          <w:rFonts w:ascii="Times New Roman" w:hAnsi="Times New Roman" w:cs="Times New Roman"/>
        </w:rPr>
      </w:pPr>
    </w:p>
    <w:p w:rsidR="00613E83" w:rsidRDefault="00613E83" w:rsidP="00613E83">
      <w:pPr>
        <w:widowControl/>
        <w:rPr>
          <w:rFonts w:ascii="Times New Roman" w:hAnsi="Times New Roman" w:cs="Times New Roman"/>
        </w:rPr>
      </w:pPr>
    </w:p>
    <w:p w:rsidR="00613E83" w:rsidRDefault="00613E83" w:rsidP="00613E83"/>
    <w:p w:rsidR="00613E83" w:rsidRDefault="00613E83" w:rsidP="00613E83">
      <w:pPr>
        <w:widowControl/>
        <w:autoSpaceDE/>
        <w:autoSpaceDN/>
        <w:adjustRightInd/>
        <w:spacing w:after="200" w:line="276" w:lineRule="auto"/>
        <w:rPr>
          <w:rFonts w:ascii="Times New Roman" w:hAnsi="Times New Roman" w:cs="Times New Roman"/>
        </w:rPr>
      </w:pPr>
    </w:p>
    <w:p w:rsidR="00613E83" w:rsidRDefault="00613E83">
      <w:pPr>
        <w:widowControl/>
        <w:autoSpaceDE/>
        <w:autoSpaceDN/>
        <w:adjustRightInd/>
        <w:spacing w:after="200" w:line="276" w:lineRule="auto"/>
        <w:rPr>
          <w:rFonts w:ascii="Times New Roman" w:hAnsi="Times New Roman" w:cs="Times New Roman"/>
        </w:rPr>
      </w:pPr>
      <w:r>
        <w:rPr>
          <w:rFonts w:ascii="Times New Roman" w:hAnsi="Times New Roman" w:cs="Times New Roman"/>
        </w:rPr>
        <w:br w:type="page"/>
      </w:r>
    </w:p>
    <w:p w:rsidR="00613E83" w:rsidRDefault="00613E83" w:rsidP="00613E83">
      <w:pPr>
        <w:widowControl/>
        <w:ind w:left="120" w:right="120"/>
        <w:rPr>
          <w:rFonts w:ascii="Times New Roman" w:hAnsi="Times New Roman" w:cs="Times New Roman"/>
        </w:rPr>
      </w:pP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THIS SECTION IS CURRENT THROUGH THE JUNE 17, 2010 ISSUE OF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THE FEDERAL REGISTER ***</w:t>
      </w:r>
    </w:p>
    <w:p w:rsidR="00613E83" w:rsidRDefault="00613E83" w:rsidP="00613E83">
      <w:pPr>
        <w:widowControl/>
        <w:rPr>
          <w:rFonts w:ascii="Times New Roman" w:hAnsi="Times New Roman" w:cs="Times New Roman"/>
        </w:rPr>
      </w:pP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TITLE 17 -- COMMODITY AND SECURITIES EXCHANGES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CHAPTER II -- SECURITIES AND EXCHANGE COMMISSION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PART 230 -- GENERAL RULES AND REGULATIONS, SECURITIES ACT OF 1933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REGULATION C -- REGISTRATION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INVESTMENT COMPANIES; BUSINESS DEVELOPMENT COMPANIES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rPr>
        <w:t xml:space="preserve"> </w:t>
      </w: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b/>
          <w:bCs/>
        </w:rPr>
        <w:t>Go to the CFR Archive Directory</w:t>
      </w:r>
    </w:p>
    <w:p w:rsidR="00613E83" w:rsidRDefault="00613E83" w:rsidP="00613E83">
      <w:pPr>
        <w:widowControl/>
        <w:rPr>
          <w:rFonts w:ascii="Times New Roman" w:hAnsi="Times New Roman" w:cs="Times New Roman"/>
        </w:rPr>
      </w:pPr>
    </w:p>
    <w:p w:rsidR="00613E83" w:rsidRDefault="00613E83" w:rsidP="00613E83">
      <w:pPr>
        <w:widowControl/>
        <w:ind w:left="120" w:right="120"/>
        <w:jc w:val="center"/>
        <w:rPr>
          <w:rFonts w:ascii="Times New Roman" w:hAnsi="Times New Roman" w:cs="Times New Roman"/>
        </w:rPr>
      </w:pPr>
      <w:r>
        <w:rPr>
          <w:rFonts w:ascii="Times New Roman" w:hAnsi="Times New Roman" w:cs="Times New Roman"/>
          <w:i/>
          <w:iCs/>
        </w:rPr>
        <w:t>17 CFR 230.482</w:t>
      </w:r>
    </w:p>
    <w:p w:rsidR="00613E83" w:rsidRDefault="00613E83" w:rsidP="00613E83">
      <w:pPr>
        <w:widowControl/>
        <w:rPr>
          <w:rFonts w:ascii="Times New Roman" w:hAnsi="Times New Roman" w:cs="Times New Roman"/>
        </w:rPr>
      </w:pPr>
    </w:p>
    <w:p w:rsidR="00613E83" w:rsidRDefault="00613E83" w:rsidP="00613E83">
      <w:pPr>
        <w:widowControl/>
        <w:rPr>
          <w:rFonts w:ascii="Times New Roman" w:hAnsi="Times New Roman" w:cs="Times New Roman"/>
        </w:rPr>
      </w:pPr>
      <w:r>
        <w:rPr>
          <w:rFonts w:ascii="Times New Roman" w:hAnsi="Times New Roman" w:cs="Times New Roman"/>
        </w:rPr>
        <w:t xml:space="preserve">  § 230.482 </w:t>
      </w:r>
      <w:proofErr w:type="gramStart"/>
      <w:r>
        <w:rPr>
          <w:rFonts w:ascii="Times New Roman" w:hAnsi="Times New Roman" w:cs="Times New Roman"/>
        </w:rPr>
        <w:t>Advertising</w:t>
      </w:r>
      <w:proofErr w:type="gramEnd"/>
      <w:r>
        <w:rPr>
          <w:rFonts w:ascii="Times New Roman" w:hAnsi="Times New Roman" w:cs="Times New Roman"/>
        </w:rPr>
        <w:t xml:space="preserve"> by an investment company as satisfying requirements of section 10. </w:t>
      </w:r>
    </w:p>
    <w:p w:rsidR="00613E83" w:rsidRDefault="00613E83" w:rsidP="00613E83">
      <w:pPr>
        <w:widowControl/>
        <w:rPr>
          <w:rFonts w:ascii="Times New Roman" w:hAnsi="Times New Roman" w:cs="Times New Roman"/>
        </w:rPr>
      </w:pPr>
    </w:p>
    <w:p w:rsidR="00613E83" w:rsidRDefault="00613E83" w:rsidP="00613E83">
      <w:pPr>
        <w:widowControl/>
        <w:rPr>
          <w:rFonts w:ascii="Times New Roman" w:hAnsi="Times New Roman" w:cs="Times New Roman"/>
        </w:rPr>
      </w:pPr>
    </w:p>
    <w:p w:rsidR="00613E83" w:rsidRDefault="00613E83" w:rsidP="00613E83">
      <w:pPr>
        <w:widowControl/>
        <w:rPr>
          <w:rFonts w:ascii="Times New Roman" w:hAnsi="Times New Roman" w:cs="Times New Roman"/>
        </w:rPr>
      </w:pPr>
      <w:r>
        <w:rPr>
          <w:rFonts w:ascii="Times New Roman" w:hAnsi="Times New Roman" w:cs="Times New Roman"/>
        </w:rPr>
        <w:t xml:space="preserve">    (a) Scope of rule. This section applies to an advertisement or other sales material (advertisement) with respect to securities of an investment company registered under the Investment Company Act of 1940 </w:t>
      </w:r>
      <w:proofErr w:type="gramStart"/>
      <w:r>
        <w:rPr>
          <w:rFonts w:ascii="Times New Roman" w:hAnsi="Times New Roman" w:cs="Times New Roman"/>
        </w:rPr>
        <w:t>(</w:t>
      </w:r>
      <w:r>
        <w:rPr>
          <w:rFonts w:ascii="Times New Roman" w:hAnsi="Times New Roman" w:cs="Times New Roman"/>
          <w:i/>
          <w:iCs/>
        </w:rPr>
        <w:t>15 U.S.C. 80a-1</w:t>
      </w:r>
      <w:r>
        <w:rPr>
          <w:rFonts w:ascii="Times New Roman" w:hAnsi="Times New Roman" w:cs="Times New Roman"/>
        </w:rPr>
        <w:t xml:space="preserve"> et seq.)</w:t>
      </w:r>
      <w:proofErr w:type="gramEnd"/>
      <w:r>
        <w:rPr>
          <w:rFonts w:ascii="Times New Roman" w:hAnsi="Times New Roman" w:cs="Times New Roman"/>
        </w:rPr>
        <w:t xml:space="preserve"> (1940 Act), or a business development company, that is selling or proposing to sell its securities pursuant to a registration statement that has been filed under the Act. This section does not apply to an advertisement that is </w:t>
      </w:r>
      <w:proofErr w:type="spellStart"/>
      <w:r>
        <w:rPr>
          <w:rFonts w:ascii="Times New Roman" w:hAnsi="Times New Roman" w:cs="Times New Roman"/>
        </w:rPr>
        <w:t>excepted</w:t>
      </w:r>
      <w:proofErr w:type="spellEnd"/>
      <w:r>
        <w:rPr>
          <w:rFonts w:ascii="Times New Roman" w:hAnsi="Times New Roman" w:cs="Times New Roman"/>
        </w:rPr>
        <w:t xml:space="preserve"> from the definition of prospectus by section 2(a</w:t>
      </w:r>
      <w:proofErr w:type="gramStart"/>
      <w:r>
        <w:rPr>
          <w:rFonts w:ascii="Times New Roman" w:hAnsi="Times New Roman" w:cs="Times New Roman"/>
        </w:rPr>
        <w:t>)(</w:t>
      </w:r>
      <w:proofErr w:type="gramEnd"/>
      <w:r>
        <w:rPr>
          <w:rFonts w:ascii="Times New Roman" w:hAnsi="Times New Roman" w:cs="Times New Roman"/>
        </w:rPr>
        <w:t>10) of the Act (</w:t>
      </w:r>
      <w:r>
        <w:rPr>
          <w:rFonts w:ascii="Times New Roman" w:hAnsi="Times New Roman" w:cs="Times New Roman"/>
          <w:i/>
          <w:iCs/>
        </w:rPr>
        <w:t>15 U.S.C. 77b(a)(10)</w:t>
      </w:r>
      <w:r>
        <w:rPr>
          <w:rFonts w:ascii="Times New Roman" w:hAnsi="Times New Roman" w:cs="Times New Roman"/>
        </w:rPr>
        <w:t>) or § 230.498(d) or to a summary prospectus under § 230.498. An advertisement that complies with this section, which may include information the substance of which is not included in the prospectus specified in section 10(a) of the Act (</w:t>
      </w:r>
      <w:r>
        <w:rPr>
          <w:rFonts w:ascii="Times New Roman" w:hAnsi="Times New Roman" w:cs="Times New Roman"/>
          <w:i/>
          <w:iCs/>
        </w:rPr>
        <w:t xml:space="preserve">15 U.S.C </w:t>
      </w:r>
      <w:proofErr w:type="gramStart"/>
      <w:r>
        <w:rPr>
          <w:rFonts w:ascii="Times New Roman" w:hAnsi="Times New Roman" w:cs="Times New Roman"/>
          <w:i/>
          <w:iCs/>
        </w:rPr>
        <w:t>77j(</w:t>
      </w:r>
      <w:proofErr w:type="gramEnd"/>
      <w:r>
        <w:rPr>
          <w:rFonts w:ascii="Times New Roman" w:hAnsi="Times New Roman" w:cs="Times New Roman"/>
          <w:i/>
          <w:iCs/>
        </w:rPr>
        <w:t>a)</w:t>
      </w:r>
      <w:r>
        <w:rPr>
          <w:rFonts w:ascii="Times New Roman" w:hAnsi="Times New Roman" w:cs="Times New Roman"/>
        </w:rPr>
        <w:t>), will be deemed to be a prospectus under section 10(b) of the Act (</w:t>
      </w:r>
      <w:r>
        <w:rPr>
          <w:rFonts w:ascii="Times New Roman" w:hAnsi="Times New Roman" w:cs="Times New Roman"/>
          <w:i/>
          <w:iCs/>
        </w:rPr>
        <w:t>15 U.S.C. 77j(b)</w:t>
      </w:r>
      <w:r>
        <w:rPr>
          <w:rFonts w:ascii="Times New Roman" w:hAnsi="Times New Roman" w:cs="Times New Roman"/>
        </w:rPr>
        <w:t>) for the purposes of section 5(b)(1) of the Act (</w:t>
      </w:r>
      <w:r>
        <w:rPr>
          <w:rFonts w:ascii="Times New Roman" w:hAnsi="Times New Roman" w:cs="Times New Roman"/>
          <w:i/>
          <w:iCs/>
        </w:rPr>
        <w:t>15 U.S.C. 77e(b)(1)</w:t>
      </w:r>
      <w:r>
        <w:rPr>
          <w:rFonts w:ascii="Times New Roman" w:hAnsi="Times New Roman" w:cs="Times New Roman"/>
        </w:rPr>
        <w: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Note to paragraph (a): The fact that an advertisement complies with this section does not relieve the investment company, underwriter, or dealer of any obligations with respect to the advertisement under the antifraud provisions of the federal securities laws. For guidance about factors to be weighed in determining whether statements, representations, illustrations, and descriptions contained in investment company advertisements are misleading, see § 230.156. In addition, an advertisement that complies with this section is subject to the legibility requirements of § 230.420.</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(b) Required disclosure. This paragraph describes information that is required to be included in an advertisement in order to comply with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(1) Availability of additional information. An advertisement must include a statement that advises an investor to consider the investment objectives, risks, and charges and expenses of the investment company carefully before investing; explains that the prospectus and, if available, the summary prospectus contain this and other information about the investment company; identifies a source from which an investor may obtain a prospectus and, if available, a summary prospectus; and states that the prospectus and, if available, the summary prospectus should be read carefully before investing.</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(2) Advertisements used prior to effectiveness of registration statement. An advertisement that is used prior to effectiveness of the investment company's registration statement or the determination of the public offering price (in the case of a registration statement that becomes effective omitting information from the prospectus contained in the registration statement in reliance upon § 230.430A) must include the "Subject to Completion" legend required by § 230.481(b)(2).</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(3) Advertisements including performance data. An advertisement that includes performance data of an open-end management investment company or a separate account registered under the 1940 Act as a unit investment trust offering variable annuity contracts (trust account) must include the following</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legend disclosing that the performance data quoted represents past performance; that past performance does not guarantee future results; that the investment return and principal value of an investment will fluctuate so that an investor's shares, when redeemed, may be worth more or less than their original cost; and that current performance may be lower or higher than the performance data quoted. The legend should also identify either a toll-</w:t>
      </w:r>
      <w:r>
        <w:rPr>
          <w:rFonts w:ascii="Times New Roman" w:hAnsi="Times New Roman" w:cs="Times New Roman"/>
        </w:rPr>
        <w:lastRenderedPageBreak/>
        <w:t>free (or collect) telephone number or a Web site where an investor may obtain performance data current to the most recent month-end unless the advertisement includes total return quotations current to the most recent month ended seven business days prior to the date of use. An advertisement for a money market fund may omit the disclosure about principal value fluctuation;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Note to paragraph (b)(3)(</w:t>
      </w:r>
      <w:proofErr w:type="spellStart"/>
      <w:r>
        <w:rPr>
          <w:rFonts w:ascii="Times New Roman" w:hAnsi="Times New Roman" w:cs="Times New Roman"/>
        </w:rPr>
        <w:t>i</w:t>
      </w:r>
      <w:proofErr w:type="spellEnd"/>
      <w:r>
        <w:rPr>
          <w:rFonts w:ascii="Times New Roman" w:hAnsi="Times New Roman" w:cs="Times New Roman"/>
        </w:rPr>
        <w:t>): The date of use refers to the date or dates when an advertisement is used by investors, not the date on which an advertisement is published or submitted for publication. The date of use refers to the entire period of use by investors and not simply the first date on which an advertisement is used.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If a sales load or any other nonrecurring fee is charged, the maximum amount of the load or fee, and if the sales load or fee is not reflected, a statement that the performance data does not reflect the deduction of the sales load or fee, and that, if reflected, the load or fee would reduce the performance quoted.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(4) Money market funds. An advertisement for an investment company that holds itself out to be a money market fund must include the following statement: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An investment in the Fund is not insured or guaranteed by the Federal Deposit Insurance Corporation or any other government agency. Although the Fund seeks to preserve the value of your investment at $ 1.00 per share, it is possible to lose money by investing in the Fund.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A money market fund that does not hold itself out as maintaining a stable net asset value may omit the second sentence of this statement.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(5) Presentation. In a print advertisement, the statements required by paragraphs (b)(1) through (b)(4) of this section must be presented in a type size at least as large as and of a style different from, but at least as prominent as, that used in the major portion of the advertisement, provided that when performance data is presented in a type size smaller than that of the major portion of the advertisement, the statements required by paragraph (b)(3) of this section may appear in a type size no smaller than that of the performance data. If an advertisement is delivered through an electronic medium, the legibility requirements for the statements required by paragraph (b)(1) through (b)(4) of this section relating to type size and style may be satisfied by presenting the statements in any manner reasonably calculated to draw investor attention to them. In a radio or television advertisement, the statements required by paragraph (b)(1) through (b)(4) of this section must be given emphasis equal to that used in the major portion of the advertisement. The statements required by paragraph (b)(3) of this section must be presented in close proximity to the performance data, and, in a print advertisement, must be presented in the body of the advertisement and not in a footnote.</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(6) Commission legend. An advertisement that complies with this section need not contain the Commission legend required by § 230.481(b</w:t>
      </w:r>
      <w:proofErr w:type="gramStart"/>
      <w:r>
        <w:rPr>
          <w:rFonts w:ascii="Times New Roman" w:hAnsi="Times New Roman" w:cs="Times New Roman"/>
        </w:rPr>
        <w:t>)(</w:t>
      </w:r>
      <w:proofErr w:type="gramEnd"/>
      <w:r>
        <w:rPr>
          <w:rFonts w:ascii="Times New Roman" w:hAnsi="Times New Roman" w:cs="Times New Roman"/>
        </w:rPr>
        <w:t>1).</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(c) Use of applications. An advertisement that complies with this section may not contain or be accompanied by any application by which a prospective investor may invest in the investment company, except that a prospectus meeting the requirements of section 10(a) of the Act (</w:t>
      </w:r>
      <w:r>
        <w:rPr>
          <w:rFonts w:ascii="Times New Roman" w:hAnsi="Times New Roman" w:cs="Times New Roman"/>
          <w:i/>
          <w:iCs/>
        </w:rPr>
        <w:t>15 U.S.C. 77j(a)</w:t>
      </w:r>
      <w:r>
        <w:rPr>
          <w:rFonts w:ascii="Times New Roman" w:hAnsi="Times New Roman" w:cs="Times New Roman"/>
        </w:rPr>
        <w:t>) by which a unit investment trust offers variable annuity or variable life insurance contracts may contain a contract application although the prospectus includes, or is accompanied by, information about an investment company in which the unit investment trust invests that, pursuant to this section, is deemed a prospectus under section 10(b) of the Act (</w:t>
      </w:r>
      <w:r>
        <w:rPr>
          <w:rFonts w:ascii="Times New Roman" w:hAnsi="Times New Roman" w:cs="Times New Roman"/>
          <w:i/>
          <w:iCs/>
        </w:rPr>
        <w:t>15 U.S.C. 77j(b)</w:t>
      </w:r>
      <w:r>
        <w:rPr>
          <w:rFonts w:ascii="Times New Roman" w:hAnsi="Times New Roman" w:cs="Times New Roman"/>
        </w:rPr>
        <w: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(d) Performance data for non-money market funds. In the case of an open-end management investment company or a trust account (other than a money market fund referred to in paragraph (e) of this section), any quotation of the company's performance contained in an advertisement shall be limited to quotations of:</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(1) Current yield. A current yield that: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Is based on the methods of computation prescribed in Form N-1A (§§ 239.15A and 274.11A of this chapter), N-3 (§§ 239.17a and 274.11b of this chapter), or N-4 (§§ 239.17b and 274.11c of this chapter);</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Is accompanied by quotations of total return as provided for in paragraph (d</w:t>
      </w:r>
      <w:proofErr w:type="gramStart"/>
      <w:r>
        <w:rPr>
          <w:rFonts w:ascii="Times New Roman" w:hAnsi="Times New Roman" w:cs="Times New Roman"/>
        </w:rPr>
        <w:t>)(</w:t>
      </w:r>
      <w:proofErr w:type="gramEnd"/>
      <w:r>
        <w:rPr>
          <w:rFonts w:ascii="Times New Roman" w:hAnsi="Times New Roman" w:cs="Times New Roman"/>
        </w:rPr>
        <w:t>3) of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(iii) Is set out in no greater prominence than the required quotations of total return;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w:t>
      </w:r>
      <w:proofErr w:type="gramEnd"/>
      <w:r>
        <w:rPr>
          <w:rFonts w:ascii="Times New Roman" w:hAnsi="Times New Roman" w:cs="Times New Roman"/>
        </w:rPr>
        <w:t>) Adjacent to the quotation and with no less prominence than the quotation, identifies the length of and the date of the last day in the base period used in computing the quotation.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(2) Tax-equivalent yield. A tax-equivalent </w:t>
      </w:r>
      <w:proofErr w:type="gramStart"/>
      <w:r>
        <w:rPr>
          <w:rFonts w:ascii="Times New Roman" w:hAnsi="Times New Roman" w:cs="Times New Roman"/>
        </w:rPr>
        <w:t>yield</w:t>
      </w:r>
      <w:proofErr w:type="gramEnd"/>
      <w:r>
        <w:rPr>
          <w:rFonts w:ascii="Times New Roman" w:hAnsi="Times New Roman" w:cs="Times New Roman"/>
        </w:rPr>
        <w:t xml:space="preserve"> that: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i</w:t>
      </w:r>
      <w:proofErr w:type="spellEnd"/>
      <w:r>
        <w:rPr>
          <w:rFonts w:ascii="Times New Roman" w:hAnsi="Times New Roman" w:cs="Times New Roman"/>
        </w:rPr>
        <w:t>) Is based on the methods of computation prescribed in Form N-1A (§§ 239.15A and 274.11A of this chapter), N-3 (§§ 239.17a and 274.11b of this chapter), or N-4 (§§ 239.17b and 274.11c of this chapter);</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Is accompanied by quotations of yield as provided for in paragraph (d)(1) of this section and total return as provided for in paragraph (d)(3) of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(iii) Is set out in no greater prominence than the required quotations of yield and total return;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Relates</w:t>
      </w:r>
      <w:proofErr w:type="gramEnd"/>
      <w:r>
        <w:rPr>
          <w:rFonts w:ascii="Times New Roman" w:hAnsi="Times New Roman" w:cs="Times New Roman"/>
        </w:rPr>
        <w:t xml:space="preserve"> to the same base period as the required quotation of yield;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w:t>
      </w:r>
      <w:proofErr w:type="gramEnd"/>
      <w:r>
        <w:rPr>
          <w:rFonts w:ascii="Times New Roman" w:hAnsi="Times New Roman" w:cs="Times New Roman"/>
        </w:rPr>
        <w:t>) Adjacent to the quotation and with no less prominence than the quotation, identifies the length of and the date of the last day in the base period used in computing the quotation.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(3) Average annual total return. Average annual total return for one, five, and ten year periods, except that if the company's registration statement under the Act (</w:t>
      </w:r>
      <w:r>
        <w:rPr>
          <w:rFonts w:ascii="Times New Roman" w:hAnsi="Times New Roman" w:cs="Times New Roman"/>
          <w:i/>
          <w:iCs/>
        </w:rPr>
        <w:t>15 U.S.C. 77a</w:t>
      </w:r>
      <w:r>
        <w:rPr>
          <w:rFonts w:ascii="Times New Roman" w:hAnsi="Times New Roman" w:cs="Times New Roman"/>
        </w:rPr>
        <w:t xml:space="preserve"> et seq.) has been in effect for less than one, five, or ten years, the time period during which the registration statement was in effect is substituted for the period(s) otherwise prescribed. The quotations must: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Be based on the methods of computation prescribed in Form N-1A (§§ 239.15A and 274.11A of this chapter), N-3 (§§ 239.17a and 274.11b of this chapter), or N-4 (§§ 239.17b and 274.11c of this chapter);</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Be current to the most recent calendar quarter ended prior to the submission of the advertisement for publication;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(iii) Be set out with equal prominence;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w:t>
      </w:r>
      <w:proofErr w:type="gramEnd"/>
      <w:r>
        <w:rPr>
          <w:rFonts w:ascii="Times New Roman" w:hAnsi="Times New Roman" w:cs="Times New Roman"/>
        </w:rPr>
        <w:t>) Adjacent to the quotation and with no less prominence than the quotation, identify the length of and the last day of the one, five, and ten year periods.</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(4) After-tax return. For an open-end management investment company, average annual total return (after taxes on distributions) and average annual total return (after taxes on distributions and redemption) for one, five, and ten year periods, except that if the company's registration statement under the Act (</w:t>
      </w:r>
      <w:r>
        <w:rPr>
          <w:rFonts w:ascii="Times New Roman" w:hAnsi="Times New Roman" w:cs="Times New Roman"/>
          <w:i/>
          <w:iCs/>
        </w:rPr>
        <w:t>15 U.S.C. 77a</w:t>
      </w:r>
      <w:r>
        <w:rPr>
          <w:rFonts w:ascii="Times New Roman" w:hAnsi="Times New Roman" w:cs="Times New Roman"/>
        </w:rPr>
        <w:t xml:space="preserve"> et seq.) has been in effect for less than one, five, or ten years, the time period during which the registration statement was in effect is substituted for the period(s) otherwise prescribed. The quotations must: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Be based on the methods of computation prescribed in Form N-1A (§§ 239.15A and 274.11A of this chapter);</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Be current to the most recent calendar quarter ended prior to the submission of the advertisement for publication;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(iii) Be accompanied by quotations of total return as provided for in paragraph (d</w:t>
      </w:r>
      <w:proofErr w:type="gramStart"/>
      <w:r>
        <w:rPr>
          <w:rFonts w:ascii="Times New Roman" w:hAnsi="Times New Roman" w:cs="Times New Roman"/>
        </w:rPr>
        <w:t>)(</w:t>
      </w:r>
      <w:proofErr w:type="gramEnd"/>
      <w:r>
        <w:rPr>
          <w:rFonts w:ascii="Times New Roman" w:hAnsi="Times New Roman" w:cs="Times New Roman"/>
        </w:rPr>
        <w:t>3) of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Include</w:t>
      </w:r>
      <w:proofErr w:type="gramEnd"/>
      <w:r>
        <w:rPr>
          <w:rFonts w:ascii="Times New Roman" w:hAnsi="Times New Roman" w:cs="Times New Roman"/>
        </w:rPr>
        <w:t xml:space="preserve"> both average annual total return (after taxes on distributions) and average annual total return (after taxes on distributions and redemption);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(v) Be set out with equal prominence and be set out in no greater prominence than the required quotations of total return;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w:t>
      </w:r>
      <w:proofErr w:type="gramEnd"/>
      <w:r>
        <w:rPr>
          <w:rFonts w:ascii="Times New Roman" w:hAnsi="Times New Roman" w:cs="Times New Roman"/>
        </w:rPr>
        <w:t>) Adjacent to the quotations and with no less prominence than the quotations, identify the length of and the last day of the one, five, and ten year periods.</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(5) Other performance measures. Any other historical measure of company performance (not subject to any prescribed method of computation) if such measurement: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Reflects all elements of return;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Is accompanied by quotations of total return as provided for in paragraph (d</w:t>
      </w:r>
      <w:proofErr w:type="gramStart"/>
      <w:r>
        <w:rPr>
          <w:rFonts w:ascii="Times New Roman" w:hAnsi="Times New Roman" w:cs="Times New Roman"/>
        </w:rPr>
        <w:t>)(</w:t>
      </w:r>
      <w:proofErr w:type="gramEnd"/>
      <w:r>
        <w:rPr>
          <w:rFonts w:ascii="Times New Roman" w:hAnsi="Times New Roman" w:cs="Times New Roman"/>
        </w:rPr>
        <w:t>3) of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(iii) In the case of any measure of performance adjusted to reflect the effect of taxes, is accompanied by quotations of total return as provided for in paragraph (d)(4) of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Is</w:t>
      </w:r>
      <w:proofErr w:type="gramEnd"/>
      <w:r>
        <w:rPr>
          <w:rFonts w:ascii="Times New Roman" w:hAnsi="Times New Roman" w:cs="Times New Roman"/>
        </w:rPr>
        <w:t xml:space="preserve"> set out in no greater prominence than the required quotations of total return;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w:t>
      </w:r>
      <w:proofErr w:type="gramEnd"/>
      <w:r>
        <w:rPr>
          <w:rFonts w:ascii="Times New Roman" w:hAnsi="Times New Roman" w:cs="Times New Roman"/>
        </w:rPr>
        <w:t>) Adjacent to the measurement and with no less prominence than the measurement, identifies the length of and the last day of the period for which performance is measured.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lastRenderedPageBreak/>
        <w:t xml:space="preserve"> (e) Performance data for money market funds. In the case of a money market fund: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(1) Yield. Any quotation of the money market fund's yield in an advertisement shall be based on the methods of computation prescribed in Form N-1A (§§ 239.15A and 274.11A of this chapter), N-3 (§§ 239.17a and 274.11b of this chapter), or N-4 (§§ 239.17b and 274.11c of this chapter) and may include:</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quotation of current yield that, adjacent to the quotation and with no less prominence than the quotation, identifies the length of and the date of the last day in the base period used in computing that quotation;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A quotation of effective yield if it appears in the same advertisement as a quotation of current yield and each quotation relates to an identical base period and is presented with equal prominence; or</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(iii) A quotation or quotations of tax-equivalent yield or tax-equivalent effective yield if it appears in the same advertisement as a quotation of current yield and each quotation relates to the same base period as the quotation of current yield, is presented with equal prominence, and states the income tax rate used in the calculation.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(2) Total return. Accompany any quotation of the money market fund's total return in an advertisement with a quotation of the money market fund's current yield under paragraph (e)(1)(</w:t>
      </w:r>
      <w:proofErr w:type="spellStart"/>
      <w:r>
        <w:rPr>
          <w:rFonts w:ascii="Times New Roman" w:hAnsi="Times New Roman" w:cs="Times New Roman"/>
        </w:rPr>
        <w:t>i</w:t>
      </w:r>
      <w:proofErr w:type="spellEnd"/>
      <w:r>
        <w:rPr>
          <w:rFonts w:ascii="Times New Roman" w:hAnsi="Times New Roman" w:cs="Times New Roman"/>
        </w:rPr>
        <w:t>) of this section. Place the quotations of total return and current yield next to each other, in the same size print, and if there is a material difference between the quoted total return and the quoted current yield, include a statement that the yield quotation more closely reflects the current earnings of the money market fund than the total return quotation.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(f) Advertisements that make tax representations. An advertisement for an open-end management investment company (other than a company that is permitted under § 270.35d-1(a)(4) of this chapter to use a name suggesting that the company's distributions are exempt from federal income tax or from both federal and state income tax) that represents or implies that the company is managed to limit or control the effect of taxes on company performance must accompany any quotation of the company's performance permitted by paragraph (d) of this section with quotations of total return as provided for in paragraph (d)(4) of this section.</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(g) Timeliness of performance data. All performance data contained in any advertisement must be as of the most recent practicable date considering the type of investment company and the media through which the data will be conveyed, except that any advertisement containing total return quotations will be considered to have complied with this paragraph provided that: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(1)(</w:t>
      </w:r>
      <w:proofErr w:type="spellStart"/>
      <w:r>
        <w:rPr>
          <w:rFonts w:ascii="Times New Roman" w:hAnsi="Times New Roman" w:cs="Times New Roman"/>
        </w:rPr>
        <w:t>i</w:t>
      </w:r>
      <w:proofErr w:type="spellEnd"/>
      <w:r>
        <w:rPr>
          <w:rFonts w:ascii="Times New Roman" w:hAnsi="Times New Roman" w:cs="Times New Roman"/>
        </w:rPr>
        <w:t>) The total return quotations are current to the most recent calendar quarter ended prior to the submission of the advertisement for publication; and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(ii) Total return quotations current to the most recent month ended seven business days prior to the date of use are provided at the toll-free (or collect) telephone number or Web site identified pursuant to paragraph (b)(3)(</w:t>
      </w:r>
      <w:proofErr w:type="spellStart"/>
      <w:r>
        <w:rPr>
          <w:rFonts w:ascii="Times New Roman" w:hAnsi="Times New Roman" w:cs="Times New Roman"/>
        </w:rPr>
        <w:t>i</w:t>
      </w:r>
      <w:proofErr w:type="spellEnd"/>
      <w:r>
        <w:rPr>
          <w:rFonts w:ascii="Times New Roman" w:hAnsi="Times New Roman" w:cs="Times New Roman"/>
        </w:rPr>
        <w:t>) of this section; or</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(2) The total return quotations are current to the most recent month ended seven business days prior to the date of use of the advertisement.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Note to paragraph (g): The date of use refers to the date or dates when an advertisement is used by investors, not the date on which an advertisement is published or submitted for publication. The date of use refers to the entire period of use by investors and not simply the first date on which an advertisement is used.</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(h) Filing. An advertisement that complies with this section need not be filed as part of the registration statement filed under the Act.</w:t>
      </w:r>
    </w:p>
    <w:p w:rsidR="00613E83" w:rsidRDefault="00613E83" w:rsidP="00613E83">
      <w:pPr>
        <w:widowControl/>
        <w:spacing w:before="120"/>
        <w:ind w:firstLine="360"/>
        <w:rPr>
          <w:rFonts w:ascii="Times New Roman" w:hAnsi="Times New Roman" w:cs="Times New Roman"/>
        </w:rPr>
      </w:pPr>
      <w:r>
        <w:rPr>
          <w:rFonts w:ascii="Times New Roman" w:hAnsi="Times New Roman" w:cs="Times New Roman"/>
        </w:rPr>
        <w:t xml:space="preserve"> Note to paragraph (h): These advertisements, unless filed with NASD Regulation, Inc., are required to be filed in accordance with the requirements of § 230.497.</w:t>
      </w:r>
    </w:p>
    <w:p w:rsidR="00613E83" w:rsidRDefault="00613E83" w:rsidP="00613E83">
      <w:pPr>
        <w:widowControl/>
        <w:rPr>
          <w:rFonts w:ascii="Times New Roman" w:hAnsi="Times New Roman" w:cs="Times New Roman"/>
        </w:rPr>
      </w:pPr>
    </w:p>
    <w:p w:rsidR="00613E83" w:rsidRDefault="00613E83" w:rsidP="00613E83">
      <w:pPr>
        <w:widowControl/>
        <w:rPr>
          <w:rFonts w:ascii="Times New Roman" w:hAnsi="Times New Roman" w:cs="Times New Roman"/>
        </w:rPr>
      </w:pPr>
      <w:r>
        <w:rPr>
          <w:rFonts w:ascii="Times New Roman" w:hAnsi="Times New Roman" w:cs="Times New Roman"/>
          <w:b/>
          <w:bCs/>
        </w:rPr>
        <w:t xml:space="preserve">HISTORY: </w:t>
      </w:r>
      <w:r>
        <w:rPr>
          <w:rFonts w:ascii="Times New Roman" w:hAnsi="Times New Roman" w:cs="Times New Roman"/>
          <w:i/>
          <w:iCs/>
        </w:rPr>
        <w:t>[47 FR 11446,</w:t>
      </w:r>
      <w:r>
        <w:rPr>
          <w:rFonts w:ascii="Times New Roman" w:hAnsi="Times New Roman" w:cs="Times New Roman"/>
        </w:rPr>
        <w:t xml:space="preserve"> Mar. 16, 1982, as amended at </w:t>
      </w:r>
      <w:r>
        <w:rPr>
          <w:rFonts w:ascii="Times New Roman" w:hAnsi="Times New Roman" w:cs="Times New Roman"/>
          <w:i/>
          <w:iCs/>
        </w:rPr>
        <w:t>48 FR 55725,</w:t>
      </w:r>
      <w:r>
        <w:rPr>
          <w:rFonts w:ascii="Times New Roman" w:hAnsi="Times New Roman" w:cs="Times New Roman"/>
        </w:rPr>
        <w:t xml:space="preserve"> Dec. 15, 1983; </w:t>
      </w:r>
      <w:r>
        <w:rPr>
          <w:rFonts w:ascii="Times New Roman" w:hAnsi="Times New Roman" w:cs="Times New Roman"/>
          <w:i/>
          <w:iCs/>
        </w:rPr>
        <w:t>52 FR 21262,</w:t>
      </w:r>
      <w:r>
        <w:rPr>
          <w:rFonts w:ascii="Times New Roman" w:hAnsi="Times New Roman" w:cs="Times New Roman"/>
        </w:rPr>
        <w:t xml:space="preserve"> June 5, 1987; </w:t>
      </w:r>
      <w:r>
        <w:rPr>
          <w:rFonts w:ascii="Times New Roman" w:hAnsi="Times New Roman" w:cs="Times New Roman"/>
          <w:i/>
          <w:iCs/>
        </w:rPr>
        <w:t>53 FR 3879,</w:t>
      </w:r>
      <w:r>
        <w:rPr>
          <w:rFonts w:ascii="Times New Roman" w:hAnsi="Times New Roman" w:cs="Times New Roman"/>
        </w:rPr>
        <w:t xml:space="preserve"> Feb. 10, 1988; </w:t>
      </w:r>
      <w:r>
        <w:rPr>
          <w:rFonts w:ascii="Times New Roman" w:hAnsi="Times New Roman" w:cs="Times New Roman"/>
          <w:i/>
          <w:iCs/>
        </w:rPr>
        <w:t>53 FR 9768,</w:t>
      </w:r>
      <w:r>
        <w:rPr>
          <w:rFonts w:ascii="Times New Roman" w:hAnsi="Times New Roman" w:cs="Times New Roman"/>
        </w:rPr>
        <w:t xml:space="preserve"> Mar. 25, 1988; </w:t>
      </w:r>
      <w:r>
        <w:rPr>
          <w:rFonts w:ascii="Times New Roman" w:hAnsi="Times New Roman" w:cs="Times New Roman"/>
          <w:i/>
          <w:iCs/>
        </w:rPr>
        <w:t>56 FR 8124,</w:t>
      </w:r>
      <w:r>
        <w:rPr>
          <w:rFonts w:ascii="Times New Roman" w:hAnsi="Times New Roman" w:cs="Times New Roman"/>
        </w:rPr>
        <w:t xml:space="preserve"> Feb. 27, 1991; </w:t>
      </w:r>
      <w:r>
        <w:rPr>
          <w:rFonts w:ascii="Times New Roman" w:hAnsi="Times New Roman" w:cs="Times New Roman"/>
          <w:i/>
          <w:iCs/>
        </w:rPr>
        <w:t>61 FR 24652, 24655,</w:t>
      </w:r>
      <w:r>
        <w:rPr>
          <w:rFonts w:ascii="Times New Roman" w:hAnsi="Times New Roman" w:cs="Times New Roman"/>
        </w:rPr>
        <w:t xml:space="preserve"> May 15, 1996; </w:t>
      </w:r>
      <w:r>
        <w:rPr>
          <w:rFonts w:ascii="Times New Roman" w:hAnsi="Times New Roman" w:cs="Times New Roman"/>
          <w:i/>
          <w:iCs/>
        </w:rPr>
        <w:t>62 FR 64968, 64978,</w:t>
      </w:r>
      <w:r>
        <w:rPr>
          <w:rFonts w:ascii="Times New Roman" w:hAnsi="Times New Roman" w:cs="Times New Roman"/>
        </w:rPr>
        <w:t xml:space="preserve"> Dec. 9, 1997; </w:t>
      </w:r>
      <w:r>
        <w:rPr>
          <w:rFonts w:ascii="Times New Roman" w:hAnsi="Times New Roman" w:cs="Times New Roman"/>
          <w:i/>
          <w:iCs/>
        </w:rPr>
        <w:t>63 FR 13968, 13984,</w:t>
      </w:r>
      <w:r>
        <w:rPr>
          <w:rFonts w:ascii="Times New Roman" w:hAnsi="Times New Roman" w:cs="Times New Roman"/>
        </w:rPr>
        <w:t xml:space="preserve"> March 23, 1998; </w:t>
      </w:r>
      <w:r>
        <w:rPr>
          <w:rFonts w:ascii="Times New Roman" w:hAnsi="Times New Roman" w:cs="Times New Roman"/>
          <w:i/>
          <w:iCs/>
        </w:rPr>
        <w:t>66 FR 9002, 9017,</w:t>
      </w:r>
      <w:r>
        <w:rPr>
          <w:rFonts w:ascii="Times New Roman" w:hAnsi="Times New Roman" w:cs="Times New Roman"/>
        </w:rPr>
        <w:t xml:space="preserve"> Feb. 5, 2001; </w:t>
      </w:r>
      <w:r>
        <w:rPr>
          <w:rFonts w:ascii="Times New Roman" w:hAnsi="Times New Roman" w:cs="Times New Roman"/>
          <w:i/>
          <w:iCs/>
        </w:rPr>
        <w:t>68 FR 57760, 57777,</w:t>
      </w:r>
      <w:r>
        <w:rPr>
          <w:rFonts w:ascii="Times New Roman" w:hAnsi="Times New Roman" w:cs="Times New Roman"/>
        </w:rPr>
        <w:t xml:space="preserve"> Oct. 6, 2003; </w:t>
      </w:r>
      <w:r>
        <w:rPr>
          <w:rFonts w:ascii="Times New Roman" w:hAnsi="Times New Roman" w:cs="Times New Roman"/>
          <w:i/>
          <w:iCs/>
        </w:rPr>
        <w:t>74 FR 4546, 4584,</w:t>
      </w:r>
      <w:r>
        <w:rPr>
          <w:rFonts w:ascii="Times New Roman" w:hAnsi="Times New Roman" w:cs="Times New Roman"/>
        </w:rPr>
        <w:t xml:space="preserve"> Jan. 26, 2009]</w:t>
      </w:r>
    </w:p>
    <w:sectPr w:rsidR="00613E83" w:rsidSect="00DA38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30110"/>
    <w:rsid w:val="00613E83"/>
    <w:rsid w:val="00785E38"/>
    <w:rsid w:val="00D30110"/>
    <w:rsid w:val="00DA38AE"/>
    <w:rsid w:val="00DB7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E83"/>
    <w:pPr>
      <w:widowControl w:val="0"/>
      <w:autoSpaceDE w:val="0"/>
      <w:autoSpaceDN w:val="0"/>
      <w:adjustRightInd w:val="0"/>
      <w:spacing w:after="0" w:line="240" w:lineRule="auto"/>
    </w:pPr>
    <w:rPr>
      <w:rFonts w:ascii="Courier" w:eastAsiaTheme="minorEastAsia"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3298</Words>
  <Characters>18804</Characters>
  <Application>Microsoft Office Word</Application>
  <DocSecurity>0</DocSecurity>
  <Lines>156</Lines>
  <Paragraphs>44</Paragraphs>
  <ScaleCrop>false</ScaleCrop>
  <Company>U.S. Securities and Exchange Commission</Company>
  <LinksUpToDate>false</LinksUpToDate>
  <CharactersWithSpaces>22058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George Brown</dc:creator>
  <cp:keywords/>
  <dc:description/>
  <cp:lastModifiedBy>Kieran George Brown</cp:lastModifiedBy>
  <cp:revision>3</cp:revision>
  <dcterms:created xsi:type="dcterms:W3CDTF">2010-06-22T20:27:00Z</dcterms:created>
  <dcterms:modified xsi:type="dcterms:W3CDTF">2010-06-22T21:02:00Z</dcterms:modified>
</cp:coreProperties>
</file>