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425" w:rsidRDefault="00041A49" w:rsidP="00422B10">
      <w:pPr>
        <w:pStyle w:val="Heading3"/>
      </w:pPr>
      <w:r>
        <w:t xml:space="preserve">2010 Census Program for Evaluations and Experiments </w:t>
      </w:r>
    </w:p>
    <w:p w:rsidR="00041A49" w:rsidRDefault="00D27425" w:rsidP="00422B10">
      <w:pPr>
        <w:pStyle w:val="Heading3"/>
      </w:pPr>
      <w:r>
        <w:t xml:space="preserve">2010 Alternative Questionnaire Experiment </w:t>
      </w:r>
      <w:r w:rsidR="00041A49">
        <w:t xml:space="preserve">Focus Groups </w:t>
      </w:r>
    </w:p>
    <w:p w:rsidR="00041A49" w:rsidRDefault="00041A49" w:rsidP="00302BDF">
      <w:pPr>
        <w:pStyle w:val="Heading3"/>
      </w:pPr>
      <w:r>
        <w:t>Non-substantive Change Request</w:t>
      </w:r>
    </w:p>
    <w:p w:rsidR="00041A49" w:rsidRPr="00302BDF" w:rsidRDefault="00041A49" w:rsidP="00302BDF">
      <w:pPr>
        <w:pStyle w:val="Heading3"/>
      </w:pPr>
      <w:r>
        <w:t>OMB Approval Number 0607-0952</w:t>
      </w:r>
    </w:p>
    <w:p w:rsidR="00041A49" w:rsidRDefault="00041A49" w:rsidP="009D5296">
      <w:pPr>
        <w:pStyle w:val="Heading3"/>
      </w:pPr>
      <w:r>
        <w:t>Ju</w:t>
      </w:r>
      <w:r w:rsidR="00D27425">
        <w:t>ly 01</w:t>
      </w:r>
      <w:r>
        <w:t>, 2010</w:t>
      </w:r>
    </w:p>
    <w:p w:rsidR="00041A49" w:rsidRDefault="00041A49" w:rsidP="009D5296"/>
    <w:p w:rsidR="002D4BDC" w:rsidRDefault="00041A49" w:rsidP="009D5296">
      <w:r>
        <w:t xml:space="preserve">The Census Bureau requests a non-substantive change to the Generic Clearance for the 2010 Census Program for Evaluations and Experiments (CPEX) (OMB approval number 0607-0952).  This request </w:t>
      </w:r>
      <w:r w:rsidR="007A4B1E">
        <w:t xml:space="preserve">is for approval to conduct a follow-on data collection </w:t>
      </w:r>
      <w:r w:rsidR="009523EE">
        <w:t xml:space="preserve">as part of the </w:t>
      </w:r>
      <w:r>
        <w:t>2010 Census Alternative Questionnaire Experiment (AQE),</w:t>
      </w:r>
      <w:r w:rsidR="007A4B1E">
        <w:t xml:space="preserve"> which OMB has approved under the aforementioned </w:t>
      </w:r>
      <w:r w:rsidR="009523EE">
        <w:t xml:space="preserve">generic </w:t>
      </w:r>
      <w:r w:rsidR="007A4B1E">
        <w:t xml:space="preserve">clearance.  This follow-on data collection </w:t>
      </w:r>
      <w:r w:rsidR="00D27425">
        <w:t xml:space="preserve">consists of a series of focus groups, and it </w:t>
      </w:r>
      <w:r w:rsidR="007A4B1E">
        <w:t xml:space="preserve">will require an increase in the </w:t>
      </w:r>
      <w:r>
        <w:t xml:space="preserve">number of burden hours allowed under the </w:t>
      </w:r>
      <w:r w:rsidR="009523EE">
        <w:t>G</w:t>
      </w:r>
      <w:r>
        <w:t xml:space="preserve">eneric </w:t>
      </w:r>
      <w:r w:rsidR="009523EE">
        <w:t>C</w:t>
      </w:r>
      <w:r>
        <w:t>learance</w:t>
      </w:r>
      <w:r w:rsidR="009523EE">
        <w:t xml:space="preserve"> for the 2010 CPEX</w:t>
      </w:r>
      <w:r w:rsidR="002D4BDC">
        <w:t xml:space="preserve">.    </w:t>
      </w:r>
    </w:p>
    <w:p w:rsidR="002D4BDC" w:rsidRDefault="002D4BDC" w:rsidP="009D5296"/>
    <w:p w:rsidR="00041A49" w:rsidRDefault="00041A49" w:rsidP="009D5296">
      <w:r>
        <w:t>In accordance with OMB</w:t>
      </w:r>
      <w:r w:rsidR="007A4B1E">
        <w:t>’s approval of this request</w:t>
      </w:r>
      <w:r>
        <w:t xml:space="preserve">, the Census Bureau plans to submit an Individual </w:t>
      </w:r>
      <w:r w:rsidR="009523EE">
        <w:t xml:space="preserve">Clearance </w:t>
      </w:r>
      <w:r>
        <w:t xml:space="preserve">Request </w:t>
      </w:r>
      <w:r w:rsidR="009523EE">
        <w:t xml:space="preserve">(ICR) </w:t>
      </w:r>
      <w:r>
        <w:t>for th</w:t>
      </w:r>
      <w:r w:rsidR="00BC1BF8">
        <w:t>is</w:t>
      </w:r>
      <w:r>
        <w:t xml:space="preserve"> data collection </w:t>
      </w:r>
      <w:r w:rsidR="00BC1BF8">
        <w:t xml:space="preserve">to OMB </w:t>
      </w:r>
      <w:r w:rsidR="00A83C16">
        <w:t xml:space="preserve">near </w:t>
      </w:r>
      <w:r w:rsidR="009523EE">
        <w:t xml:space="preserve">the </w:t>
      </w:r>
      <w:r w:rsidR="00DE2DA3">
        <w:t xml:space="preserve">beginning </w:t>
      </w:r>
      <w:r w:rsidR="009523EE">
        <w:t xml:space="preserve">of </w:t>
      </w:r>
      <w:r w:rsidR="00BC1BF8">
        <w:t>c</w:t>
      </w:r>
      <w:r w:rsidR="009523EE">
        <w:t>alendar year</w:t>
      </w:r>
      <w:r w:rsidR="00BC1BF8">
        <w:t xml:space="preserve"> </w:t>
      </w:r>
      <w:r w:rsidR="00DE2DA3">
        <w:t>2011</w:t>
      </w:r>
      <w:r w:rsidR="009523EE">
        <w:t xml:space="preserve">, which is </w:t>
      </w:r>
      <w:r w:rsidR="00A83C16">
        <w:t xml:space="preserve">close </w:t>
      </w:r>
      <w:r w:rsidR="009523EE">
        <w:t>to the start of the actual data collection.  Th</w:t>
      </w:r>
      <w:r w:rsidR="00A83C16">
        <w:t>e forthcoming</w:t>
      </w:r>
      <w:r w:rsidR="009523EE">
        <w:t xml:space="preserve"> I</w:t>
      </w:r>
      <w:r w:rsidR="00946581">
        <w:t xml:space="preserve">CR will </w:t>
      </w:r>
      <w:r w:rsidR="009523EE">
        <w:t>include final versions of all data collection materials</w:t>
      </w:r>
      <w:r w:rsidR="00A83C16">
        <w:t xml:space="preserve">, which will reflect </w:t>
      </w:r>
      <w:r w:rsidR="002F4DFB">
        <w:t xml:space="preserve">any </w:t>
      </w:r>
      <w:r w:rsidR="00946581">
        <w:t xml:space="preserve">comments from OMB </w:t>
      </w:r>
      <w:r w:rsidR="002F4DFB">
        <w:t xml:space="preserve">that </w:t>
      </w:r>
      <w:r w:rsidR="00946581">
        <w:t>result</w:t>
      </w:r>
      <w:r w:rsidR="002F4DFB">
        <w:t xml:space="preserve"> </w:t>
      </w:r>
      <w:r w:rsidR="00946581">
        <w:t xml:space="preserve">from reviews of draft materials </w:t>
      </w:r>
      <w:r w:rsidR="00A83C16">
        <w:t xml:space="preserve">conducted earlier in </w:t>
      </w:r>
      <w:r w:rsidR="00BC1BF8">
        <w:t>2010</w:t>
      </w:r>
      <w:r w:rsidR="00A83C16">
        <w:t xml:space="preserve">.  </w:t>
      </w:r>
      <w:r w:rsidR="00946581">
        <w:t xml:space="preserve">  </w:t>
      </w:r>
      <w:r>
        <w:t xml:space="preserve">  </w:t>
      </w:r>
    </w:p>
    <w:p w:rsidR="00041A49" w:rsidRDefault="00041A49" w:rsidP="009D5296"/>
    <w:p w:rsidR="00041A49" w:rsidRDefault="00041A49" w:rsidP="00F8305A">
      <w:r>
        <w:rPr>
          <w:u w:val="single"/>
        </w:rPr>
        <w:t xml:space="preserve">2010 Census </w:t>
      </w:r>
      <w:r w:rsidRPr="003F1959">
        <w:rPr>
          <w:u w:val="single"/>
        </w:rPr>
        <w:t>A</w:t>
      </w:r>
      <w:r>
        <w:rPr>
          <w:u w:val="single"/>
        </w:rPr>
        <w:t xml:space="preserve">lternative </w:t>
      </w:r>
      <w:r w:rsidRPr="003F1959">
        <w:rPr>
          <w:u w:val="single"/>
        </w:rPr>
        <w:t>Q</w:t>
      </w:r>
      <w:r>
        <w:rPr>
          <w:u w:val="single"/>
        </w:rPr>
        <w:t xml:space="preserve">uestionnaire </w:t>
      </w:r>
      <w:r w:rsidRPr="003F1959">
        <w:rPr>
          <w:u w:val="single"/>
        </w:rPr>
        <w:t>E</w:t>
      </w:r>
      <w:r>
        <w:rPr>
          <w:u w:val="single"/>
        </w:rPr>
        <w:t xml:space="preserve">xperiment - </w:t>
      </w:r>
      <w:r w:rsidRPr="003F1959">
        <w:rPr>
          <w:u w:val="single"/>
        </w:rPr>
        <w:t>Focus Groups</w:t>
      </w:r>
    </w:p>
    <w:p w:rsidR="00041A49" w:rsidRDefault="00041A49" w:rsidP="009D5296"/>
    <w:p w:rsidR="00041A49" w:rsidRDefault="00041A49" w:rsidP="00322253">
      <w:r>
        <w:rPr>
          <w:color w:val="000000"/>
        </w:rPr>
        <w:t xml:space="preserve">The overall goal of the </w:t>
      </w:r>
      <w:r w:rsidR="004427DD">
        <w:rPr>
          <w:color w:val="000000"/>
        </w:rPr>
        <w:t xml:space="preserve">2010 </w:t>
      </w:r>
      <w:r>
        <w:rPr>
          <w:color w:val="000000"/>
        </w:rPr>
        <w:t xml:space="preserve">AQE study is to continue efforts to improve a user-friendly </w:t>
      </w:r>
      <w:proofErr w:type="spellStart"/>
      <w:r>
        <w:rPr>
          <w:color w:val="000000"/>
        </w:rPr>
        <w:t>mailout</w:t>
      </w:r>
      <w:proofErr w:type="spellEnd"/>
      <w:r>
        <w:rPr>
          <w:color w:val="000000"/>
        </w:rPr>
        <w:t xml:space="preserve"> questionnaire that can be accurately completed by respondents.  More specifically, </w:t>
      </w:r>
      <w:r>
        <w:t xml:space="preserve">the </w:t>
      </w:r>
      <w:r w:rsidR="004427DD">
        <w:t xml:space="preserve">2010 </w:t>
      </w:r>
      <w:r>
        <w:t xml:space="preserve">AQE will test different strategies to collect race and Hispanic origin data from Census respondents.  While the </w:t>
      </w:r>
      <w:r w:rsidR="004427DD">
        <w:t xml:space="preserve">2010 </w:t>
      </w:r>
      <w:r>
        <w:t xml:space="preserve">AQE, as currently designed, will demonstrate how respondents answer various race and Hispanic origin treatments, it lacks information on why they respond as they do.  </w:t>
      </w:r>
    </w:p>
    <w:p w:rsidR="00041A49" w:rsidRDefault="00041A49" w:rsidP="00E07EFF"/>
    <w:p w:rsidR="00F17DA7" w:rsidRDefault="00041A49" w:rsidP="00E07EFF">
      <w:r>
        <w:t xml:space="preserve">To provide this qualitative data, the Census Bureau will </w:t>
      </w:r>
      <w:r w:rsidR="00375B85">
        <w:t xml:space="preserve">hire a contractor </w:t>
      </w:r>
      <w:r>
        <w:t xml:space="preserve">to conduct 67 focus groups with numerous race and ethnic groups to explore quantitative results from the </w:t>
      </w:r>
      <w:r w:rsidR="004427DD">
        <w:t xml:space="preserve">2010 </w:t>
      </w:r>
      <w:r>
        <w:t>AQE as well as racial and ethnic identity.</w:t>
      </w:r>
      <w:r w:rsidR="00F17DA7">
        <w:t xml:space="preserve">  The contractor, in collaboration with the Census Bureau, will prepare moderator guides for the focus group sessions.  The guides will be based on preliminary 2010 AQE quantitative results as well as identity and research issues for that particular race or ethnic group.  </w:t>
      </w:r>
    </w:p>
    <w:p w:rsidR="00F17DA7" w:rsidRDefault="00F17DA7" w:rsidP="00E07EFF"/>
    <w:p w:rsidR="00AB0457" w:rsidRDefault="00F17DA7" w:rsidP="00E07EFF">
      <w:r>
        <w:t xml:space="preserve">The focus groups will be broken down by race and ethnic origin so that issues that impact specific racial and ethnic groups can be explored.  Each focus group participant will answer the race and Hispanic origin question(s) from one of the experimental forms for each household member.  Sex, relationship, and age will also be reported for each household member.  Respondents may also be shown one or more other treatments.  Respondents will then discuss the treatments as well as racial and ethnic identity issues.  </w:t>
      </w:r>
      <w:r w:rsidR="00041A49">
        <w:t xml:space="preserve">  </w:t>
      </w:r>
    </w:p>
    <w:p w:rsidR="00BC1BF8" w:rsidRDefault="00BC1BF8" w:rsidP="00E07EFF"/>
    <w:p w:rsidR="00E42BF1" w:rsidRDefault="00E42BF1" w:rsidP="00E07EFF"/>
    <w:p w:rsidR="00E42BF1" w:rsidRDefault="00E42BF1" w:rsidP="00E07EFF"/>
    <w:p w:rsidR="00E42BF1" w:rsidRDefault="00E42BF1" w:rsidP="00E07EFF"/>
    <w:p w:rsidR="00041A49" w:rsidRDefault="00041A49" w:rsidP="00E07EFF">
      <w:r>
        <w:lastRenderedPageBreak/>
        <w:t>These focus groups serve four main purposes:</w:t>
      </w:r>
    </w:p>
    <w:p w:rsidR="00041A49" w:rsidRDefault="00041A49" w:rsidP="00E07EFF"/>
    <w:p w:rsidR="00375B85" w:rsidRDefault="00375B85" w:rsidP="00375B85">
      <w:pPr>
        <w:numPr>
          <w:ilvl w:val="0"/>
          <w:numId w:val="1"/>
        </w:numPr>
      </w:pPr>
      <w:r>
        <w:t>Help determine why respondents answer a certain way to gain insight into why certain treatments may perform well or not;</w:t>
      </w:r>
    </w:p>
    <w:p w:rsidR="00041A49" w:rsidRDefault="00041A49" w:rsidP="00E07EFF">
      <w:pPr>
        <w:numPr>
          <w:ilvl w:val="0"/>
          <w:numId w:val="1"/>
        </w:numPr>
      </w:pPr>
      <w:r>
        <w:t xml:space="preserve">Help explain patterns observed in </w:t>
      </w:r>
      <w:r w:rsidR="004427DD">
        <w:t xml:space="preserve">2010 </w:t>
      </w:r>
      <w:r w:rsidR="00375B85">
        <w:t xml:space="preserve">AQE </w:t>
      </w:r>
      <w:r>
        <w:t>quantitative data;</w:t>
      </w:r>
    </w:p>
    <w:p w:rsidR="00041A49" w:rsidRDefault="00041A49" w:rsidP="00E07EFF">
      <w:pPr>
        <w:numPr>
          <w:ilvl w:val="0"/>
          <w:numId w:val="1"/>
        </w:numPr>
      </w:pPr>
      <w:r>
        <w:t>Target small race and ethnic groups that may not be well represented in the 2010 AQE;</w:t>
      </w:r>
      <w:r w:rsidR="00BC1BF8">
        <w:t xml:space="preserve"> and</w:t>
      </w:r>
    </w:p>
    <w:p w:rsidR="00041A49" w:rsidRDefault="00041A49" w:rsidP="00E07EFF">
      <w:pPr>
        <w:numPr>
          <w:ilvl w:val="0"/>
          <w:numId w:val="1"/>
        </w:numPr>
      </w:pPr>
      <w:r>
        <w:t xml:space="preserve">Explore areas of research that may </w:t>
      </w:r>
      <w:r w:rsidR="00375B85">
        <w:t xml:space="preserve">require further examination during </w:t>
      </w:r>
      <w:r>
        <w:t>the 2020 testing cycle.</w:t>
      </w:r>
    </w:p>
    <w:p w:rsidR="00041A49" w:rsidRDefault="00041A49" w:rsidP="009D5296"/>
    <w:p w:rsidR="00AB0457" w:rsidRDefault="00AB0457" w:rsidP="00AB0457">
      <w:r>
        <w:t xml:space="preserve">The Census Bureau considers this data collection to be a non-substantive change because these focus groups are based on the </w:t>
      </w:r>
      <w:r w:rsidR="00BC1BF8">
        <w:t xml:space="preserve">2010 </w:t>
      </w:r>
      <w:r>
        <w:t>AQE and will help the Census Bureau to interpret quantitative findings</w:t>
      </w:r>
      <w:r w:rsidR="00BC1BF8">
        <w:t xml:space="preserve"> of the study</w:t>
      </w:r>
      <w:r>
        <w:t>.  E</w:t>
      </w:r>
      <w:r w:rsidRPr="00687BFE">
        <w:t>ven th</w:t>
      </w:r>
      <w:r>
        <w:t>ough this specific activity was un</w:t>
      </w:r>
      <w:r w:rsidRPr="00687BFE">
        <w:t>foreseen when the</w:t>
      </w:r>
      <w:r>
        <w:t xml:space="preserve"> Census Bureau originally asked OMB for approval to conduct the </w:t>
      </w:r>
      <w:r w:rsidR="00202CC9">
        <w:t xml:space="preserve">2010 </w:t>
      </w:r>
      <w:r>
        <w:t xml:space="preserve">AQE, the Census Bureau believes that it </w:t>
      </w:r>
      <w:r w:rsidRPr="00687BFE">
        <w:t xml:space="preserve">fits within the scope of the </w:t>
      </w:r>
      <w:r w:rsidR="00202CC9">
        <w:t xml:space="preserve">2010 </w:t>
      </w:r>
      <w:r>
        <w:t xml:space="preserve">AQE (and thus the </w:t>
      </w:r>
      <w:r w:rsidR="00BC1BF8">
        <w:t xml:space="preserve">Generic Clearance for the 2010 </w:t>
      </w:r>
      <w:r w:rsidRPr="00687BFE">
        <w:t>CPEX</w:t>
      </w:r>
      <w:r>
        <w:t xml:space="preserve">).  </w:t>
      </w:r>
    </w:p>
    <w:p w:rsidR="00AB0457" w:rsidRPr="00D337FB" w:rsidRDefault="00AB0457" w:rsidP="009D5296">
      <w:pPr>
        <w:rPr>
          <w:bCs/>
          <w:color w:val="000000"/>
        </w:rPr>
      </w:pPr>
    </w:p>
    <w:p w:rsidR="00041A49" w:rsidRPr="000E3FEA" w:rsidRDefault="00041A49" w:rsidP="00337EEE">
      <w:pPr>
        <w:rPr>
          <w:b/>
        </w:rPr>
      </w:pPr>
      <w:r w:rsidRPr="000E3FEA">
        <w:rPr>
          <w:b/>
        </w:rPr>
        <w:t>Procedures for Data Collection</w:t>
      </w:r>
    </w:p>
    <w:p w:rsidR="00041A49" w:rsidRDefault="00041A49" w:rsidP="003F1959"/>
    <w:p w:rsidR="00202CC9" w:rsidRDefault="00202CC9" w:rsidP="00202CC9">
      <w:r>
        <w:t xml:space="preserve">The contractor chosen by the Census Bureau to conduct this work will select focus group participants to represent groups within OMB race and ethnic categories (The Census Bureau will not require participants to have responded to the 2010 AQE to be in a focus group).  For example, in the ‘White’ category, the contractor will conduct separate focus groups with people of Middle Eastern, North African, or European descent.  The contractor will also recruit respondents from geographically diverse areas to account for possible geographic differences in racial and ethnic identification.  The reader can find a detailed description of each group, including a rationale for the inclusion of that group, in the attached document.  The document also includes locations of the groups.  </w:t>
      </w:r>
    </w:p>
    <w:p w:rsidR="00202CC9" w:rsidRDefault="00202CC9" w:rsidP="002351A8"/>
    <w:p w:rsidR="005E07F9" w:rsidRDefault="00041A49" w:rsidP="002351A8">
      <w:r>
        <w:t>Each focus group will consist of 10-12 participants</w:t>
      </w:r>
      <w:r w:rsidR="00E42BF1">
        <w:t xml:space="preserve"> and will last approximately two hours.  The Census Bureau expects the contractor to conduct a </w:t>
      </w:r>
      <w:r>
        <w:t>total of 6</w:t>
      </w:r>
      <w:r w:rsidR="00375B85">
        <w:t>7</w:t>
      </w:r>
      <w:r>
        <w:t xml:space="preserve"> focus groups</w:t>
      </w:r>
      <w:r w:rsidR="00E42BF1">
        <w:t xml:space="preserve">.  </w:t>
      </w:r>
      <w:r>
        <w:t xml:space="preserve">Focus groups will </w:t>
      </w:r>
      <w:r w:rsidR="00E42BF1">
        <w:t xml:space="preserve">occur </w:t>
      </w:r>
      <w:r>
        <w:t>from mid-January 2011 through the end of April 2011.  Respondents will be paid a maximum of $75 for their participation in the focus groups.</w:t>
      </w:r>
      <w:r w:rsidR="00F17DA7">
        <w:t xml:space="preserve">  Video recordings of focus group sessions will be used to create transcripts of the sessions that will be used for analysis. </w:t>
      </w:r>
      <w:r>
        <w:t xml:space="preserve">  </w:t>
      </w:r>
    </w:p>
    <w:p w:rsidR="00041A49" w:rsidRDefault="00041A49" w:rsidP="003F1959"/>
    <w:p w:rsidR="00F17DA7" w:rsidRDefault="00F17DA7" w:rsidP="00F17DA7">
      <w:pPr>
        <w:rPr>
          <w:bCs/>
          <w:color w:val="000000"/>
        </w:rPr>
      </w:pPr>
      <w:r>
        <w:rPr>
          <w:b/>
          <w:bCs/>
          <w:color w:val="000000"/>
        </w:rPr>
        <w:t>Assurance of Confidentiality</w:t>
      </w:r>
    </w:p>
    <w:p w:rsidR="00202CC9" w:rsidRDefault="00202CC9" w:rsidP="00F17DA7">
      <w:pPr>
        <w:rPr>
          <w:bCs/>
          <w:color w:val="000000"/>
        </w:rPr>
      </w:pPr>
    </w:p>
    <w:p w:rsidR="00F17DA7" w:rsidRPr="00E54D26" w:rsidRDefault="00F17DA7" w:rsidP="00F17DA7">
      <w:pPr>
        <w:rPr>
          <w:bCs/>
          <w:color w:val="000000"/>
        </w:rPr>
      </w:pPr>
      <w:r>
        <w:rPr>
          <w:bCs/>
          <w:color w:val="000000"/>
        </w:rPr>
        <w:t xml:space="preserve">Information collected during the focus groups </w:t>
      </w:r>
      <w:r w:rsidR="00AE2D68">
        <w:rPr>
          <w:bCs/>
          <w:color w:val="000000"/>
        </w:rPr>
        <w:t xml:space="preserve">is not classified as </w:t>
      </w:r>
      <w:r>
        <w:rPr>
          <w:bCs/>
          <w:color w:val="000000"/>
        </w:rPr>
        <w:t xml:space="preserve">Title 13 data.  Recruitment information will be treated as </w:t>
      </w:r>
      <w:r w:rsidR="003D5A4D">
        <w:rPr>
          <w:bCs/>
          <w:color w:val="000000"/>
        </w:rPr>
        <w:t>Personally Identifiable Information (</w:t>
      </w:r>
      <w:r>
        <w:rPr>
          <w:bCs/>
          <w:color w:val="000000"/>
        </w:rPr>
        <w:t>PII</w:t>
      </w:r>
      <w:proofErr w:type="gramStart"/>
      <w:r w:rsidR="003D5A4D">
        <w:rPr>
          <w:bCs/>
          <w:color w:val="000000"/>
        </w:rPr>
        <w:t>)</w:t>
      </w:r>
      <w:r>
        <w:rPr>
          <w:bCs/>
          <w:color w:val="000000"/>
        </w:rPr>
        <w:t xml:space="preserve"> </w:t>
      </w:r>
      <w:r w:rsidR="00AE2D68">
        <w:rPr>
          <w:bCs/>
          <w:color w:val="000000"/>
        </w:rPr>
        <w:t>,</w:t>
      </w:r>
      <w:r>
        <w:rPr>
          <w:bCs/>
          <w:color w:val="000000"/>
        </w:rPr>
        <w:t>and</w:t>
      </w:r>
      <w:proofErr w:type="gramEnd"/>
      <w:r>
        <w:rPr>
          <w:bCs/>
          <w:color w:val="000000"/>
        </w:rPr>
        <w:t xml:space="preserve"> </w:t>
      </w:r>
      <w:r w:rsidR="00AE2D68">
        <w:rPr>
          <w:bCs/>
          <w:color w:val="000000"/>
        </w:rPr>
        <w:t xml:space="preserve">it </w:t>
      </w:r>
      <w:r>
        <w:rPr>
          <w:bCs/>
          <w:color w:val="000000"/>
        </w:rPr>
        <w:t>will have handling restrictions.  All report summaries will provide respondent anonymity, using designators such as ‘Participant 1, Participant 2’.  All data will be returned to the Census Bureau at the conclusion of the contract.</w:t>
      </w:r>
    </w:p>
    <w:p w:rsidR="00041A49" w:rsidRDefault="00041A49" w:rsidP="00476CF3">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02CC9" w:rsidRDefault="00202CC9" w:rsidP="00476CF3">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02CC9" w:rsidRDefault="00202CC9" w:rsidP="00476CF3">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02CC9" w:rsidRDefault="00202CC9" w:rsidP="00476CF3">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02CC9" w:rsidRDefault="00202CC9" w:rsidP="00476CF3">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41A49" w:rsidRDefault="00041A49" w:rsidP="00DF2B66">
      <w:pPr>
        <w:rPr>
          <w:b/>
          <w:bCs/>
          <w:color w:val="000000"/>
        </w:rPr>
      </w:pPr>
      <w:r>
        <w:rPr>
          <w:b/>
          <w:bCs/>
          <w:color w:val="000000"/>
        </w:rPr>
        <w:t>Estimate of Burden Hours</w:t>
      </w:r>
    </w:p>
    <w:p w:rsidR="00041A49" w:rsidRDefault="00041A49" w:rsidP="00DF2B66">
      <w:pPr>
        <w:rPr>
          <w:b/>
          <w:bCs/>
          <w:color w:val="000000"/>
        </w:rPr>
      </w:pPr>
    </w:p>
    <w:p w:rsidR="00041A49" w:rsidRDefault="00041A49" w:rsidP="00DF2B66"/>
    <w:tbl>
      <w:tblPr>
        <w:tblW w:w="828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1620"/>
        <w:gridCol w:w="1800"/>
        <w:gridCol w:w="2340"/>
      </w:tblGrid>
      <w:tr w:rsidR="00041A49" w:rsidTr="00E978F8">
        <w:trPr>
          <w:cantSplit/>
          <w:tblHeader/>
          <w:jc w:val="center"/>
        </w:trPr>
        <w:tc>
          <w:tcPr>
            <w:tcW w:w="2520" w:type="dxa"/>
            <w:tcBorders>
              <w:top w:val="single" w:sz="12" w:space="0" w:color="auto"/>
              <w:left w:val="nil"/>
              <w:bottom w:val="single" w:sz="12" w:space="0" w:color="auto"/>
              <w:right w:val="nil"/>
            </w:tcBorders>
            <w:shd w:val="clear" w:color="auto" w:fill="D9D9D9"/>
            <w:vAlign w:val="bottom"/>
          </w:tcPr>
          <w:p w:rsidR="00041A49" w:rsidRPr="009F6692" w:rsidRDefault="00041A49" w:rsidP="00DF2B66">
            <w:pPr>
              <w:pStyle w:val="BodyText"/>
              <w:rPr>
                <w:rFonts w:ascii="Arial" w:hAnsi="Arial" w:cs="Arial"/>
                <w:b/>
                <w:bCs/>
                <w:sz w:val="20"/>
              </w:rPr>
            </w:pPr>
            <w:r w:rsidRPr="009F6692">
              <w:rPr>
                <w:rFonts w:ascii="Arial" w:hAnsi="Arial" w:cs="Arial"/>
                <w:b/>
                <w:bCs/>
                <w:sz w:val="20"/>
              </w:rPr>
              <w:t>Experiment/Evaluation</w:t>
            </w:r>
          </w:p>
        </w:tc>
        <w:tc>
          <w:tcPr>
            <w:tcW w:w="1620" w:type="dxa"/>
            <w:tcBorders>
              <w:top w:val="single" w:sz="12" w:space="0" w:color="auto"/>
              <w:left w:val="nil"/>
              <w:bottom w:val="single" w:sz="12" w:space="0" w:color="auto"/>
              <w:right w:val="nil"/>
            </w:tcBorders>
            <w:shd w:val="clear" w:color="auto" w:fill="D9D9D9"/>
            <w:vAlign w:val="bottom"/>
          </w:tcPr>
          <w:p w:rsidR="00041A49" w:rsidRPr="009F6692" w:rsidRDefault="00041A49" w:rsidP="00DF2B66">
            <w:pPr>
              <w:pStyle w:val="BodyText"/>
              <w:spacing w:before="60"/>
              <w:rPr>
                <w:rFonts w:ascii="Arial" w:hAnsi="Arial" w:cs="Arial"/>
                <w:b/>
                <w:bCs/>
                <w:sz w:val="20"/>
              </w:rPr>
            </w:pPr>
            <w:r w:rsidRPr="009F6692">
              <w:rPr>
                <w:rFonts w:ascii="Arial" w:hAnsi="Arial" w:cs="Arial"/>
                <w:b/>
                <w:bCs/>
                <w:sz w:val="20"/>
              </w:rPr>
              <w:t>Total # of Respondents</w:t>
            </w:r>
          </w:p>
        </w:tc>
        <w:tc>
          <w:tcPr>
            <w:tcW w:w="1800" w:type="dxa"/>
            <w:tcBorders>
              <w:top w:val="single" w:sz="12" w:space="0" w:color="auto"/>
              <w:left w:val="nil"/>
              <w:bottom w:val="single" w:sz="12" w:space="0" w:color="auto"/>
              <w:right w:val="nil"/>
            </w:tcBorders>
            <w:shd w:val="clear" w:color="auto" w:fill="D9D9D9"/>
            <w:vAlign w:val="bottom"/>
          </w:tcPr>
          <w:p w:rsidR="00041A49" w:rsidRPr="009F6692" w:rsidRDefault="00041A49" w:rsidP="00DF2B66">
            <w:pPr>
              <w:pStyle w:val="BodyText"/>
              <w:spacing w:before="60"/>
              <w:rPr>
                <w:rFonts w:ascii="Arial" w:hAnsi="Arial" w:cs="Arial"/>
                <w:b/>
                <w:bCs/>
                <w:sz w:val="20"/>
              </w:rPr>
            </w:pPr>
            <w:r w:rsidRPr="009F6692">
              <w:rPr>
                <w:rFonts w:ascii="Arial" w:hAnsi="Arial" w:cs="Arial"/>
                <w:b/>
                <w:bCs/>
                <w:sz w:val="20"/>
              </w:rPr>
              <w:t>Estimated Response Time</w:t>
            </w:r>
          </w:p>
        </w:tc>
        <w:tc>
          <w:tcPr>
            <w:tcW w:w="2340" w:type="dxa"/>
            <w:tcBorders>
              <w:top w:val="single" w:sz="12" w:space="0" w:color="auto"/>
              <w:left w:val="nil"/>
              <w:bottom w:val="single" w:sz="12" w:space="0" w:color="auto"/>
              <w:right w:val="nil"/>
            </w:tcBorders>
            <w:shd w:val="clear" w:color="auto" w:fill="D9D9D9"/>
            <w:vAlign w:val="bottom"/>
          </w:tcPr>
          <w:p w:rsidR="00041A49" w:rsidRPr="009F6692" w:rsidRDefault="00041A49" w:rsidP="00DF2B66">
            <w:pPr>
              <w:pStyle w:val="BodyText"/>
              <w:spacing w:before="60"/>
              <w:rPr>
                <w:rFonts w:ascii="Arial" w:hAnsi="Arial" w:cs="Arial"/>
                <w:b/>
                <w:bCs/>
                <w:sz w:val="20"/>
              </w:rPr>
            </w:pPr>
            <w:r w:rsidRPr="009F6692">
              <w:rPr>
                <w:rFonts w:ascii="Arial" w:hAnsi="Arial" w:cs="Arial"/>
                <w:b/>
                <w:bCs/>
                <w:sz w:val="20"/>
              </w:rPr>
              <w:t>Estimated Burden Hours</w:t>
            </w:r>
          </w:p>
        </w:tc>
      </w:tr>
      <w:tr w:rsidR="00041A49" w:rsidTr="00E978F8">
        <w:trPr>
          <w:cantSplit/>
          <w:jc w:val="center"/>
        </w:trPr>
        <w:tc>
          <w:tcPr>
            <w:tcW w:w="2520" w:type="dxa"/>
            <w:tcBorders>
              <w:left w:val="nil"/>
              <w:right w:val="nil"/>
            </w:tcBorders>
            <w:vAlign w:val="bottom"/>
          </w:tcPr>
          <w:p w:rsidR="00041A49" w:rsidRPr="009F6692" w:rsidRDefault="004427DD" w:rsidP="00DF2B66">
            <w:pPr>
              <w:pStyle w:val="BodyText"/>
              <w:spacing w:before="60" w:after="60"/>
              <w:rPr>
                <w:rFonts w:ascii="Arial" w:hAnsi="Arial" w:cs="Arial"/>
                <w:sz w:val="20"/>
              </w:rPr>
            </w:pPr>
            <w:r>
              <w:rPr>
                <w:rFonts w:ascii="Arial" w:hAnsi="Arial" w:cs="Arial"/>
                <w:sz w:val="20"/>
              </w:rPr>
              <w:t xml:space="preserve">2010 </w:t>
            </w:r>
            <w:r w:rsidR="00041A49" w:rsidRPr="009F6692">
              <w:rPr>
                <w:rFonts w:ascii="Arial" w:hAnsi="Arial" w:cs="Arial"/>
                <w:sz w:val="20"/>
              </w:rPr>
              <w:t>AQE Focus Groups</w:t>
            </w:r>
          </w:p>
        </w:tc>
        <w:tc>
          <w:tcPr>
            <w:tcW w:w="1620" w:type="dxa"/>
            <w:tcBorders>
              <w:left w:val="nil"/>
              <w:right w:val="nil"/>
            </w:tcBorders>
            <w:vAlign w:val="bottom"/>
          </w:tcPr>
          <w:p w:rsidR="00041A49" w:rsidRPr="009F6692" w:rsidRDefault="00041A49" w:rsidP="00DF2B66">
            <w:pPr>
              <w:pStyle w:val="BodyText"/>
              <w:spacing w:before="60" w:after="60"/>
              <w:rPr>
                <w:rFonts w:ascii="Arial" w:hAnsi="Arial" w:cs="Arial"/>
                <w:sz w:val="20"/>
                <w:highlight w:val="yellow"/>
              </w:rPr>
            </w:pPr>
            <w:r>
              <w:rPr>
                <w:rFonts w:ascii="Arial" w:hAnsi="Arial" w:cs="Arial"/>
                <w:sz w:val="20"/>
              </w:rPr>
              <w:t>804</w:t>
            </w:r>
          </w:p>
        </w:tc>
        <w:tc>
          <w:tcPr>
            <w:tcW w:w="1800" w:type="dxa"/>
            <w:tcBorders>
              <w:left w:val="nil"/>
              <w:right w:val="nil"/>
            </w:tcBorders>
            <w:vAlign w:val="bottom"/>
          </w:tcPr>
          <w:p w:rsidR="00041A49" w:rsidRPr="009F6692" w:rsidRDefault="00041A49" w:rsidP="00DF2B66">
            <w:pPr>
              <w:pStyle w:val="BodyText"/>
              <w:spacing w:before="60" w:after="60"/>
              <w:rPr>
                <w:rFonts w:ascii="Arial" w:hAnsi="Arial" w:cs="Arial"/>
                <w:sz w:val="20"/>
              </w:rPr>
            </w:pPr>
            <w:r w:rsidRPr="009F6692">
              <w:rPr>
                <w:rFonts w:ascii="Arial" w:hAnsi="Arial" w:cs="Arial"/>
                <w:sz w:val="20"/>
              </w:rPr>
              <w:t>2 hours</w:t>
            </w:r>
          </w:p>
        </w:tc>
        <w:tc>
          <w:tcPr>
            <w:tcW w:w="2340" w:type="dxa"/>
            <w:tcBorders>
              <w:left w:val="nil"/>
              <w:right w:val="nil"/>
            </w:tcBorders>
            <w:vAlign w:val="bottom"/>
          </w:tcPr>
          <w:p w:rsidR="00041A49" w:rsidRPr="009F6692" w:rsidRDefault="00041A49" w:rsidP="004A42C1">
            <w:pPr>
              <w:pStyle w:val="BodyText"/>
              <w:spacing w:before="60" w:after="60"/>
              <w:rPr>
                <w:rFonts w:ascii="Arial" w:hAnsi="Arial" w:cs="Arial"/>
                <w:sz w:val="20"/>
              </w:rPr>
            </w:pPr>
            <w:r w:rsidRPr="009F6692">
              <w:rPr>
                <w:rFonts w:ascii="Arial" w:hAnsi="Arial" w:cs="Arial"/>
                <w:sz w:val="20"/>
              </w:rPr>
              <w:t>1</w:t>
            </w:r>
            <w:r>
              <w:rPr>
                <w:rFonts w:ascii="Arial" w:hAnsi="Arial" w:cs="Arial"/>
                <w:sz w:val="20"/>
              </w:rPr>
              <w:t>608</w:t>
            </w:r>
          </w:p>
        </w:tc>
      </w:tr>
    </w:tbl>
    <w:p w:rsidR="00041A49" w:rsidRDefault="00041A49" w:rsidP="009D5296"/>
    <w:p w:rsidR="00041A49" w:rsidRDefault="00041A49" w:rsidP="009D5296">
      <w:r>
        <w:t xml:space="preserve">Currently, the CPEX Generic Clearance has a balance of </w:t>
      </w:r>
      <w:r w:rsidR="00BE5F3F">
        <w:t>758</w:t>
      </w:r>
      <w:r>
        <w:t xml:space="preserve"> unused burden hours.  Therefore, this request is for </w:t>
      </w:r>
      <w:r w:rsidR="00BE5F3F">
        <w:t>850</w:t>
      </w:r>
      <w:r>
        <w:t xml:space="preserve"> hours, which is the balance needed to cover the data collection </w:t>
      </w:r>
      <w:r w:rsidR="005E07F9">
        <w:t>described</w:t>
      </w:r>
      <w:r>
        <w:t xml:space="preserve"> above.   </w:t>
      </w:r>
    </w:p>
    <w:p w:rsidR="00041A49" w:rsidRDefault="00041A49" w:rsidP="009D5296"/>
    <w:p w:rsidR="00041A49" w:rsidRDefault="00041A49" w:rsidP="009D5296">
      <w:r>
        <w:t xml:space="preserve">If you need additional information, please contact Jason </w:t>
      </w:r>
      <w:proofErr w:type="spellStart"/>
      <w:r>
        <w:t>Machowski</w:t>
      </w:r>
      <w:proofErr w:type="spellEnd"/>
      <w:r>
        <w:t xml:space="preserve">, 2020 Research Coordination Branch, Decennial Management Division, at (301) 763-4173. </w:t>
      </w:r>
    </w:p>
    <w:p w:rsidR="00041A49" w:rsidRDefault="00041A49" w:rsidP="009D5296"/>
    <w:p w:rsidR="00041A49" w:rsidRPr="005E07F9" w:rsidRDefault="00041A49" w:rsidP="009D5296">
      <w:pPr>
        <w:rPr>
          <w:b/>
        </w:rPr>
      </w:pPr>
      <w:r w:rsidRPr="005E07F9">
        <w:rPr>
          <w:b/>
        </w:rPr>
        <w:t>Attachments</w:t>
      </w:r>
    </w:p>
    <w:p w:rsidR="00041A49" w:rsidRPr="005E07F9" w:rsidRDefault="00041A49" w:rsidP="009D5296">
      <w:pPr>
        <w:rPr>
          <w:b/>
        </w:rPr>
      </w:pPr>
    </w:p>
    <w:p w:rsidR="00041A49" w:rsidRPr="005E07F9" w:rsidRDefault="00041A49" w:rsidP="009D5296">
      <w:r w:rsidRPr="005E07F9">
        <w:t>Attachment A: AQE Focus Groups: Descriptions and Geographic Locations (Excel spreadsheet)</w:t>
      </w:r>
    </w:p>
    <w:p w:rsidR="00041A49" w:rsidRPr="005E07F9" w:rsidRDefault="00041A49" w:rsidP="009D5296"/>
    <w:p w:rsidR="00041A49" w:rsidRPr="005E07F9" w:rsidRDefault="00041A49" w:rsidP="00E978F8">
      <w:pPr>
        <w:ind w:firstLine="720"/>
      </w:pPr>
      <w:r w:rsidRPr="005E07F9">
        <w:t>Tab 1 – Description of Focus Groups: Evaluation, Location, and Variation</w:t>
      </w:r>
    </w:p>
    <w:p w:rsidR="00041A49" w:rsidRPr="005E07F9" w:rsidRDefault="00041A49" w:rsidP="00E978F8">
      <w:pPr>
        <w:ind w:left="2880"/>
      </w:pPr>
    </w:p>
    <w:p w:rsidR="00041A49" w:rsidRPr="00E978F8" w:rsidRDefault="00041A49" w:rsidP="00E978F8">
      <w:pPr>
        <w:ind w:firstLine="720"/>
      </w:pPr>
      <w:r w:rsidRPr="005E07F9">
        <w:t>Tab 2 – Race and Ethnic Groups by Geographic Location</w:t>
      </w:r>
    </w:p>
    <w:sectPr w:rsidR="00041A49" w:rsidRPr="00E978F8" w:rsidSect="00EA02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F0128548"/>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lowerLetter"/>
      <w:lvlText w:val="(%5)"/>
      <w:lvlJc w:val="left"/>
      <w:pPr>
        <w:tabs>
          <w:tab w:val="num" w:pos="0"/>
        </w:tabs>
        <w:ind w:left="2160" w:hanging="360"/>
      </w:pPr>
      <w:rPr>
        <w:rFonts w:cs="Times New Roman"/>
      </w:rPr>
    </w:lvl>
    <w:lvl w:ilvl="5">
      <w:start w:val="1"/>
      <w:numFmt w:val="lowerRoman"/>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lowerLetter"/>
      <w:lvlText w:val="%8."/>
      <w:lvlJc w:val="left"/>
      <w:pPr>
        <w:tabs>
          <w:tab w:val="num" w:pos="0"/>
        </w:tabs>
        <w:ind w:left="3240" w:hanging="360"/>
      </w:pPr>
      <w:rPr>
        <w:rFonts w:cs="Times New Roman"/>
      </w:rPr>
    </w:lvl>
    <w:lvl w:ilvl="8">
      <w:start w:val="1"/>
      <w:numFmt w:val="lowerRoman"/>
      <w:lvlText w:val="%9."/>
      <w:lvlJc w:val="left"/>
      <w:pPr>
        <w:tabs>
          <w:tab w:val="num" w:pos="0"/>
        </w:tabs>
        <w:ind w:left="3600" w:hanging="360"/>
      </w:pPr>
      <w:rPr>
        <w:rFonts w:cs="Times New Roman"/>
      </w:rPr>
    </w:lvl>
  </w:abstractNum>
  <w:abstractNum w:abstractNumId="1">
    <w:nsid w:val="291D0093"/>
    <w:multiLevelType w:val="hybridMultilevel"/>
    <w:tmpl w:val="4DDC58B0"/>
    <w:lvl w:ilvl="0" w:tplc="0000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81533"/>
    <w:multiLevelType w:val="hybridMultilevel"/>
    <w:tmpl w:val="0A5C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EE4C20"/>
    <w:multiLevelType w:val="hybridMultilevel"/>
    <w:tmpl w:val="38928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0C729D"/>
    <w:multiLevelType w:val="hybridMultilevel"/>
    <w:tmpl w:val="A21A2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8414B7"/>
    <w:multiLevelType w:val="multilevel"/>
    <w:tmpl w:val="F0128548"/>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lowerLetter"/>
      <w:lvlText w:val="(%5)"/>
      <w:lvlJc w:val="left"/>
      <w:pPr>
        <w:tabs>
          <w:tab w:val="num" w:pos="0"/>
        </w:tabs>
        <w:ind w:left="2160" w:hanging="360"/>
      </w:pPr>
      <w:rPr>
        <w:rFonts w:cs="Times New Roman"/>
      </w:rPr>
    </w:lvl>
    <w:lvl w:ilvl="5">
      <w:start w:val="1"/>
      <w:numFmt w:val="lowerRoman"/>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lowerLetter"/>
      <w:lvlText w:val="%8."/>
      <w:lvlJc w:val="left"/>
      <w:pPr>
        <w:tabs>
          <w:tab w:val="num" w:pos="0"/>
        </w:tabs>
        <w:ind w:left="3240" w:hanging="360"/>
      </w:pPr>
      <w:rPr>
        <w:rFonts w:cs="Times New Roman"/>
      </w:rPr>
    </w:lvl>
    <w:lvl w:ilvl="8">
      <w:start w:val="1"/>
      <w:numFmt w:val="lowerRoman"/>
      <w:lvlText w:val="%9."/>
      <w:lvlJc w:val="left"/>
      <w:pPr>
        <w:tabs>
          <w:tab w:val="num" w:pos="0"/>
        </w:tabs>
        <w:ind w:left="3600" w:hanging="360"/>
      </w:pPr>
      <w:rPr>
        <w:rFonts w:cs="Times New Roman"/>
      </w:rPr>
    </w:lvl>
  </w:abstractNum>
  <w:abstractNum w:abstractNumId="6">
    <w:nsid w:val="672C4144"/>
    <w:multiLevelType w:val="hybridMultilevel"/>
    <w:tmpl w:val="CB6A4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7E808D3"/>
    <w:multiLevelType w:val="hybridMultilevel"/>
    <w:tmpl w:val="8FE4C0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B724906"/>
    <w:multiLevelType w:val="hybridMultilevel"/>
    <w:tmpl w:val="3F6C85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hanging="360"/>
      </w:pPr>
      <w:rPr>
        <w:rFonts w:ascii="Courier New" w:hAnsi="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9">
    <w:nsid w:val="716042D5"/>
    <w:multiLevelType w:val="hybridMultilevel"/>
    <w:tmpl w:val="A61621F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6"/>
  </w:num>
  <w:num w:numId="4">
    <w:abstractNumId w:val="9"/>
  </w:num>
  <w:num w:numId="5">
    <w:abstractNumId w:val="0"/>
  </w:num>
  <w:num w:numId="6">
    <w:abstractNumId w:val="3"/>
  </w:num>
  <w:num w:numId="7">
    <w:abstractNumId w:val="5"/>
  </w:num>
  <w:num w:numId="8">
    <w:abstractNumId w:val="8"/>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oNotTrackFormatting/>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Empty"/>
  </w:docVars>
  <w:rsids>
    <w:rsidRoot w:val="009D5296"/>
    <w:rsid w:val="000000A5"/>
    <w:rsid w:val="00001125"/>
    <w:rsid w:val="000102E7"/>
    <w:rsid w:val="000325B5"/>
    <w:rsid w:val="00034CC4"/>
    <w:rsid w:val="00036A89"/>
    <w:rsid w:val="00041A49"/>
    <w:rsid w:val="00043302"/>
    <w:rsid w:val="000603BE"/>
    <w:rsid w:val="0006583D"/>
    <w:rsid w:val="00076F98"/>
    <w:rsid w:val="00087732"/>
    <w:rsid w:val="00090855"/>
    <w:rsid w:val="00090A00"/>
    <w:rsid w:val="000A2723"/>
    <w:rsid w:val="000C012C"/>
    <w:rsid w:val="000E3FEA"/>
    <w:rsid w:val="000F10A7"/>
    <w:rsid w:val="000F4FB7"/>
    <w:rsid w:val="00125EA0"/>
    <w:rsid w:val="00130A26"/>
    <w:rsid w:val="00140237"/>
    <w:rsid w:val="00147F77"/>
    <w:rsid w:val="00155D48"/>
    <w:rsid w:val="00155ECC"/>
    <w:rsid w:val="0015609B"/>
    <w:rsid w:val="00157E3C"/>
    <w:rsid w:val="001B196B"/>
    <w:rsid w:val="001D0BB9"/>
    <w:rsid w:val="001D3E5E"/>
    <w:rsid w:val="001D6D36"/>
    <w:rsid w:val="00202CC9"/>
    <w:rsid w:val="00203B3C"/>
    <w:rsid w:val="00214620"/>
    <w:rsid w:val="002351A8"/>
    <w:rsid w:val="002601E8"/>
    <w:rsid w:val="002718B1"/>
    <w:rsid w:val="002A095A"/>
    <w:rsid w:val="002B4C82"/>
    <w:rsid w:val="002B6D29"/>
    <w:rsid w:val="002C30A5"/>
    <w:rsid w:val="002C3489"/>
    <w:rsid w:val="002D4BDC"/>
    <w:rsid w:val="002E0614"/>
    <w:rsid w:val="002E4423"/>
    <w:rsid w:val="002F4DFB"/>
    <w:rsid w:val="002F5C81"/>
    <w:rsid w:val="002F6336"/>
    <w:rsid w:val="00302BDF"/>
    <w:rsid w:val="00310547"/>
    <w:rsid w:val="00317635"/>
    <w:rsid w:val="00320076"/>
    <w:rsid w:val="00322253"/>
    <w:rsid w:val="0032672F"/>
    <w:rsid w:val="00337EEE"/>
    <w:rsid w:val="0036349F"/>
    <w:rsid w:val="00370769"/>
    <w:rsid w:val="00375B85"/>
    <w:rsid w:val="00384720"/>
    <w:rsid w:val="003A455F"/>
    <w:rsid w:val="003C6CB4"/>
    <w:rsid w:val="003D5A4D"/>
    <w:rsid w:val="003F1959"/>
    <w:rsid w:val="00413324"/>
    <w:rsid w:val="00422B10"/>
    <w:rsid w:val="00427DAB"/>
    <w:rsid w:val="004302D0"/>
    <w:rsid w:val="004427DD"/>
    <w:rsid w:val="00457024"/>
    <w:rsid w:val="00461263"/>
    <w:rsid w:val="004624A6"/>
    <w:rsid w:val="00476CF3"/>
    <w:rsid w:val="00492E5A"/>
    <w:rsid w:val="00496602"/>
    <w:rsid w:val="004A42C1"/>
    <w:rsid w:val="004D12E3"/>
    <w:rsid w:val="00502521"/>
    <w:rsid w:val="00523F9E"/>
    <w:rsid w:val="00541E50"/>
    <w:rsid w:val="00546324"/>
    <w:rsid w:val="005466B1"/>
    <w:rsid w:val="00547AC1"/>
    <w:rsid w:val="00552A3E"/>
    <w:rsid w:val="00554FBE"/>
    <w:rsid w:val="00557BEF"/>
    <w:rsid w:val="00563655"/>
    <w:rsid w:val="005702F4"/>
    <w:rsid w:val="00590C6D"/>
    <w:rsid w:val="00592D64"/>
    <w:rsid w:val="005D366E"/>
    <w:rsid w:val="005E07F9"/>
    <w:rsid w:val="005E5125"/>
    <w:rsid w:val="005E7DDA"/>
    <w:rsid w:val="006034CD"/>
    <w:rsid w:val="0060536D"/>
    <w:rsid w:val="00624066"/>
    <w:rsid w:val="00625F1E"/>
    <w:rsid w:val="00684E55"/>
    <w:rsid w:val="00687BFE"/>
    <w:rsid w:val="006A07BA"/>
    <w:rsid w:val="006A2379"/>
    <w:rsid w:val="006A6173"/>
    <w:rsid w:val="006B2CDB"/>
    <w:rsid w:val="006D04C9"/>
    <w:rsid w:val="006E4B32"/>
    <w:rsid w:val="006E7B72"/>
    <w:rsid w:val="006E7BB0"/>
    <w:rsid w:val="006F16F5"/>
    <w:rsid w:val="0071176B"/>
    <w:rsid w:val="00714ADE"/>
    <w:rsid w:val="007276DE"/>
    <w:rsid w:val="00743B1E"/>
    <w:rsid w:val="00746D53"/>
    <w:rsid w:val="0078674F"/>
    <w:rsid w:val="007869F8"/>
    <w:rsid w:val="007A4977"/>
    <w:rsid w:val="007A4B1E"/>
    <w:rsid w:val="007B7C19"/>
    <w:rsid w:val="007C246B"/>
    <w:rsid w:val="007F0A5B"/>
    <w:rsid w:val="007F6FB6"/>
    <w:rsid w:val="00801A35"/>
    <w:rsid w:val="008103AA"/>
    <w:rsid w:val="00810FC7"/>
    <w:rsid w:val="00823216"/>
    <w:rsid w:val="00825C37"/>
    <w:rsid w:val="00831454"/>
    <w:rsid w:val="00861D8B"/>
    <w:rsid w:val="00876A12"/>
    <w:rsid w:val="008B7710"/>
    <w:rsid w:val="008C19DE"/>
    <w:rsid w:val="008D3FAC"/>
    <w:rsid w:val="0091222F"/>
    <w:rsid w:val="00922ED7"/>
    <w:rsid w:val="00932E85"/>
    <w:rsid w:val="00933840"/>
    <w:rsid w:val="00945A70"/>
    <w:rsid w:val="00946581"/>
    <w:rsid w:val="009523EE"/>
    <w:rsid w:val="00952BB7"/>
    <w:rsid w:val="0095379D"/>
    <w:rsid w:val="00953C08"/>
    <w:rsid w:val="00972828"/>
    <w:rsid w:val="00974A72"/>
    <w:rsid w:val="009759C2"/>
    <w:rsid w:val="009770BA"/>
    <w:rsid w:val="00986DF1"/>
    <w:rsid w:val="009C205C"/>
    <w:rsid w:val="009C41F8"/>
    <w:rsid w:val="009D5296"/>
    <w:rsid w:val="009F6692"/>
    <w:rsid w:val="00A003F9"/>
    <w:rsid w:val="00A030ED"/>
    <w:rsid w:val="00A47F05"/>
    <w:rsid w:val="00A52BF3"/>
    <w:rsid w:val="00A64168"/>
    <w:rsid w:val="00A75FC0"/>
    <w:rsid w:val="00A83C16"/>
    <w:rsid w:val="00AA5A39"/>
    <w:rsid w:val="00AB0457"/>
    <w:rsid w:val="00AD0564"/>
    <w:rsid w:val="00AD0C6A"/>
    <w:rsid w:val="00AE2D68"/>
    <w:rsid w:val="00AE7C20"/>
    <w:rsid w:val="00B01863"/>
    <w:rsid w:val="00B04056"/>
    <w:rsid w:val="00B113F6"/>
    <w:rsid w:val="00B276F7"/>
    <w:rsid w:val="00B41ECC"/>
    <w:rsid w:val="00B63D8E"/>
    <w:rsid w:val="00B701F5"/>
    <w:rsid w:val="00B81C7F"/>
    <w:rsid w:val="00B82B9E"/>
    <w:rsid w:val="00B950AE"/>
    <w:rsid w:val="00BC1BF8"/>
    <w:rsid w:val="00BD088E"/>
    <w:rsid w:val="00BD20BA"/>
    <w:rsid w:val="00BD44A2"/>
    <w:rsid w:val="00BE29C0"/>
    <w:rsid w:val="00BE5F3F"/>
    <w:rsid w:val="00BF0C4C"/>
    <w:rsid w:val="00C06D7B"/>
    <w:rsid w:val="00C13DC7"/>
    <w:rsid w:val="00C164E1"/>
    <w:rsid w:val="00C17297"/>
    <w:rsid w:val="00C3622B"/>
    <w:rsid w:val="00C4038D"/>
    <w:rsid w:val="00C4128F"/>
    <w:rsid w:val="00C47C30"/>
    <w:rsid w:val="00C705A4"/>
    <w:rsid w:val="00C72CBE"/>
    <w:rsid w:val="00CB2317"/>
    <w:rsid w:val="00CD66A2"/>
    <w:rsid w:val="00D1141C"/>
    <w:rsid w:val="00D2097A"/>
    <w:rsid w:val="00D22D87"/>
    <w:rsid w:val="00D27425"/>
    <w:rsid w:val="00D337FB"/>
    <w:rsid w:val="00D83175"/>
    <w:rsid w:val="00D917F0"/>
    <w:rsid w:val="00DA02AB"/>
    <w:rsid w:val="00DA0CA8"/>
    <w:rsid w:val="00DA2AF6"/>
    <w:rsid w:val="00DB4743"/>
    <w:rsid w:val="00DC0456"/>
    <w:rsid w:val="00DD0CE5"/>
    <w:rsid w:val="00DE2DA3"/>
    <w:rsid w:val="00DF2B66"/>
    <w:rsid w:val="00E065A0"/>
    <w:rsid w:val="00E07EFF"/>
    <w:rsid w:val="00E1742A"/>
    <w:rsid w:val="00E321C5"/>
    <w:rsid w:val="00E325CC"/>
    <w:rsid w:val="00E42BF1"/>
    <w:rsid w:val="00E446E4"/>
    <w:rsid w:val="00E805ED"/>
    <w:rsid w:val="00E978F8"/>
    <w:rsid w:val="00EA0205"/>
    <w:rsid w:val="00EC0626"/>
    <w:rsid w:val="00EC204B"/>
    <w:rsid w:val="00EC7D75"/>
    <w:rsid w:val="00ED7AB3"/>
    <w:rsid w:val="00F14822"/>
    <w:rsid w:val="00F17DA7"/>
    <w:rsid w:val="00F31638"/>
    <w:rsid w:val="00F6017A"/>
    <w:rsid w:val="00F67B13"/>
    <w:rsid w:val="00F74601"/>
    <w:rsid w:val="00F81AF1"/>
    <w:rsid w:val="00F8305A"/>
    <w:rsid w:val="00FA21E0"/>
    <w:rsid w:val="00FA577C"/>
    <w:rsid w:val="00FB6AB1"/>
    <w:rsid w:val="00FC070A"/>
    <w:rsid w:val="00FE2C10"/>
    <w:rsid w:val="00FF7D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96"/>
    <w:rPr>
      <w:rFonts w:eastAsia="Times New Roman"/>
      <w:sz w:val="24"/>
      <w:szCs w:val="24"/>
    </w:rPr>
  </w:style>
  <w:style w:type="paragraph" w:styleId="Heading3">
    <w:name w:val="heading 3"/>
    <w:basedOn w:val="Normal"/>
    <w:next w:val="Normal"/>
    <w:link w:val="Heading3Char"/>
    <w:uiPriority w:val="99"/>
    <w:qFormat/>
    <w:rsid w:val="009D5296"/>
    <w:pPr>
      <w:keepNext/>
      <w:autoSpaceDE w:val="0"/>
      <w:autoSpaceDN w:val="0"/>
      <w:adjustRightInd w:val="0"/>
      <w:spacing w:line="240" w:lineRule="atLeast"/>
      <w:jc w:val="center"/>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D5296"/>
    <w:rPr>
      <w:rFonts w:eastAsia="Times New Roman" w:cs="Times New Roman"/>
      <w:b/>
      <w:bCs/>
      <w:color w:val="000000"/>
    </w:rPr>
  </w:style>
  <w:style w:type="paragraph" w:styleId="NoSpacing">
    <w:name w:val="No Spacing"/>
    <w:uiPriority w:val="99"/>
    <w:qFormat/>
    <w:rsid w:val="009D5296"/>
    <w:rPr>
      <w:rFonts w:eastAsia="Times New Roman"/>
      <w:sz w:val="24"/>
      <w:szCs w:val="24"/>
    </w:rPr>
  </w:style>
  <w:style w:type="paragraph" w:styleId="BodyText">
    <w:name w:val="Body Text"/>
    <w:basedOn w:val="Normal"/>
    <w:link w:val="BodyTextChar"/>
    <w:uiPriority w:val="99"/>
    <w:semiHidden/>
    <w:rsid w:val="00DF2B66"/>
    <w:rPr>
      <w:color w:val="000000"/>
      <w:szCs w:val="20"/>
    </w:rPr>
  </w:style>
  <w:style w:type="character" w:customStyle="1" w:styleId="BodyTextChar">
    <w:name w:val="Body Text Char"/>
    <w:basedOn w:val="DefaultParagraphFont"/>
    <w:link w:val="BodyText"/>
    <w:uiPriority w:val="99"/>
    <w:semiHidden/>
    <w:locked/>
    <w:rsid w:val="00DF2B66"/>
    <w:rPr>
      <w:rFonts w:eastAsia="Times New Roman" w:cs="Times New Roman"/>
      <w:color w:val="000000"/>
      <w:sz w:val="24"/>
    </w:rPr>
  </w:style>
  <w:style w:type="paragraph" w:customStyle="1" w:styleId="Level1">
    <w:name w:val="Level 1"/>
    <w:basedOn w:val="Normal"/>
    <w:uiPriority w:val="99"/>
    <w:rsid w:val="00861D8B"/>
    <w:pPr>
      <w:widowControl w:val="0"/>
      <w:tabs>
        <w:tab w:val="num" w:pos="0"/>
      </w:tabs>
      <w:suppressAutoHyphens/>
      <w:autoSpaceDE w:val="0"/>
      <w:ind w:left="720" w:hanging="720"/>
    </w:pPr>
    <w:rPr>
      <w:lang w:eastAsia="ar-SA"/>
    </w:rPr>
  </w:style>
  <w:style w:type="paragraph" w:styleId="ListParagraph">
    <w:name w:val="List Paragraph"/>
    <w:basedOn w:val="Normal"/>
    <w:next w:val="Normal"/>
    <w:uiPriority w:val="99"/>
    <w:qFormat/>
    <w:rsid w:val="00861D8B"/>
    <w:pPr>
      <w:suppressAutoHyphens/>
      <w:autoSpaceDE w:val="0"/>
    </w:pPr>
    <w:rPr>
      <w:rFonts w:eastAsia="Calibri"/>
      <w:lang w:eastAsia="ar-SA"/>
    </w:rPr>
  </w:style>
  <w:style w:type="character" w:styleId="CommentReference">
    <w:name w:val="annotation reference"/>
    <w:basedOn w:val="DefaultParagraphFont"/>
    <w:uiPriority w:val="99"/>
    <w:semiHidden/>
    <w:rsid w:val="000E3FEA"/>
    <w:rPr>
      <w:rFonts w:cs="Times New Roman"/>
      <w:sz w:val="16"/>
      <w:szCs w:val="16"/>
    </w:rPr>
  </w:style>
  <w:style w:type="paragraph" w:styleId="CommentText">
    <w:name w:val="annotation text"/>
    <w:basedOn w:val="Normal"/>
    <w:link w:val="CommentTextChar"/>
    <w:uiPriority w:val="99"/>
    <w:semiHidden/>
    <w:rsid w:val="000E3FEA"/>
    <w:rPr>
      <w:sz w:val="20"/>
      <w:szCs w:val="20"/>
    </w:rPr>
  </w:style>
  <w:style w:type="character" w:customStyle="1" w:styleId="CommentTextChar">
    <w:name w:val="Comment Text Char"/>
    <w:basedOn w:val="DefaultParagraphFont"/>
    <w:link w:val="CommentText"/>
    <w:uiPriority w:val="99"/>
    <w:semiHidden/>
    <w:rsid w:val="00364318"/>
    <w:rPr>
      <w:rFonts w:eastAsia="Times New Roman"/>
      <w:sz w:val="20"/>
      <w:szCs w:val="20"/>
    </w:rPr>
  </w:style>
  <w:style w:type="paragraph" w:styleId="CommentSubject">
    <w:name w:val="annotation subject"/>
    <w:basedOn w:val="CommentText"/>
    <w:next w:val="CommentText"/>
    <w:link w:val="CommentSubjectChar"/>
    <w:uiPriority w:val="99"/>
    <w:semiHidden/>
    <w:rsid w:val="000E3FEA"/>
    <w:rPr>
      <w:b/>
      <w:bCs/>
    </w:rPr>
  </w:style>
  <w:style w:type="character" w:customStyle="1" w:styleId="CommentSubjectChar">
    <w:name w:val="Comment Subject Char"/>
    <w:basedOn w:val="CommentTextChar"/>
    <w:link w:val="CommentSubject"/>
    <w:uiPriority w:val="99"/>
    <w:semiHidden/>
    <w:rsid w:val="00364318"/>
    <w:rPr>
      <w:b/>
      <w:bCs/>
    </w:rPr>
  </w:style>
  <w:style w:type="paragraph" w:styleId="BalloonText">
    <w:name w:val="Balloon Text"/>
    <w:basedOn w:val="Normal"/>
    <w:link w:val="BalloonTextChar"/>
    <w:uiPriority w:val="99"/>
    <w:semiHidden/>
    <w:rsid w:val="000E3FEA"/>
    <w:rPr>
      <w:rFonts w:ascii="Tahoma" w:hAnsi="Tahoma" w:cs="Tahoma"/>
      <w:sz w:val="16"/>
      <w:szCs w:val="16"/>
    </w:rPr>
  </w:style>
  <w:style w:type="character" w:customStyle="1" w:styleId="BalloonTextChar">
    <w:name w:val="Balloon Text Char"/>
    <w:basedOn w:val="DefaultParagraphFont"/>
    <w:link w:val="BalloonText"/>
    <w:uiPriority w:val="99"/>
    <w:semiHidden/>
    <w:rsid w:val="00364318"/>
    <w:rPr>
      <w:rFonts w:eastAsia="Times New Roman"/>
      <w:sz w:val="0"/>
      <w:szCs w:val="0"/>
    </w:rPr>
  </w:style>
  <w:style w:type="paragraph" w:styleId="Revision">
    <w:name w:val="Revision"/>
    <w:hidden/>
    <w:uiPriority w:val="99"/>
    <w:semiHidden/>
    <w:rsid w:val="00E42BF1"/>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90DDA-51C3-4C4E-865D-7D0B7F26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2010 Census Program for Evaluations and Experiments Focus Groups </vt:lpstr>
    </vt:vector>
  </TitlesOfParts>
  <Company>U.S. Department of Commerce</Company>
  <LinksUpToDate>false</LinksUpToDate>
  <CharactersWithSpaces>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Census Program for Evaluations and Experiments Focus Groups </dc:title>
  <dc:subject/>
  <dc:creator>love0313</dc:creator>
  <cp:keywords/>
  <dc:description/>
  <cp:lastModifiedBy>love0313</cp:lastModifiedBy>
  <cp:revision>4</cp:revision>
  <cp:lastPrinted>2010-07-01T17:09:00Z</cp:lastPrinted>
  <dcterms:created xsi:type="dcterms:W3CDTF">2010-07-06T12:23:00Z</dcterms:created>
  <dcterms:modified xsi:type="dcterms:W3CDTF">2010-07-06T13:12:00Z</dcterms:modified>
</cp:coreProperties>
</file>