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F3" w:rsidRPr="00B26E35" w:rsidRDefault="000C56F3" w:rsidP="000C56F3">
      <w:pPr>
        <w:tabs>
          <w:tab w:val="left" w:pos="-720"/>
        </w:tabs>
        <w:suppressAutoHyphens/>
        <w:rPr>
          <w:b/>
          <w:sz w:val="28"/>
        </w:rPr>
      </w:pPr>
      <w:r w:rsidRPr="00B26E35">
        <w:rPr>
          <w:b/>
          <w:sz w:val="28"/>
        </w:rPr>
        <w:t>B.  Collections of Information Employing Statistical Methods.</w:t>
      </w:r>
    </w:p>
    <w:p w:rsidR="000C56F3" w:rsidRPr="00B26E35" w:rsidRDefault="000C56F3" w:rsidP="000C56F3">
      <w:pPr>
        <w:tabs>
          <w:tab w:val="left" w:pos="-720"/>
        </w:tabs>
        <w:suppressAutoHyphens/>
      </w:pPr>
      <w:r w:rsidRPr="00B26E35">
        <w:fldChar w:fldCharType="begin"/>
      </w:r>
      <w:r w:rsidRPr="00B26E35">
        <w:instrText>ADVANCE \R 0.95</w:instrText>
      </w:r>
      <w:r w:rsidRPr="00B26E35">
        <w:fldChar w:fldCharType="end"/>
      </w:r>
      <w:r w:rsidRPr="00B26E35">
        <w:fldChar w:fldCharType="begin"/>
      </w:r>
      <w:r w:rsidRPr="00B26E35">
        <w:instrText>ADVANCE \R 0.95</w:instrText>
      </w:r>
      <w:r w:rsidRPr="00B26E35">
        <w:fldChar w:fldCharType="end"/>
      </w:r>
      <w:r w:rsidRPr="00B26E35">
        <w:tab/>
      </w:r>
    </w:p>
    <w:p w:rsidR="000C56F3" w:rsidRPr="00B26E35" w:rsidRDefault="000C56F3" w:rsidP="000C56F3">
      <w:pPr>
        <w:tabs>
          <w:tab w:val="left" w:pos="-720"/>
        </w:tabs>
        <w:suppressAutoHyphens/>
      </w:pPr>
      <w:r w:rsidRPr="00B26E35">
        <w:t>When Item 17 on the Form OMB 83-I is checked “Yes”, the following documentation should be included in the Supporting Statement to the extent it applies to the methods proposed:</w:t>
      </w:r>
    </w:p>
    <w:p w:rsidR="000C56F3" w:rsidRPr="00B26E35" w:rsidRDefault="000C56F3" w:rsidP="000C56F3">
      <w:pPr>
        <w:tabs>
          <w:tab w:val="left" w:pos="-720"/>
        </w:tabs>
        <w:suppressAutoHyphens/>
      </w:pPr>
    </w:p>
    <w:p w:rsidR="000C56F3" w:rsidRPr="00B26E35" w:rsidRDefault="000C56F3" w:rsidP="000C56F3">
      <w:pPr>
        <w:tabs>
          <w:tab w:val="left" w:pos="-720"/>
        </w:tabs>
        <w:suppressAutoHyphens/>
        <w:rPr>
          <w:b/>
        </w:rPr>
      </w:pPr>
    </w:p>
    <w:p w:rsidR="000C56F3" w:rsidRPr="00B26E35" w:rsidRDefault="000C56F3" w:rsidP="000C56F3">
      <w:pPr>
        <w:tabs>
          <w:tab w:val="left" w:pos="-720"/>
          <w:tab w:val="num" w:pos="1080"/>
        </w:tabs>
        <w:suppressAutoHyphens/>
        <w:rPr>
          <w:b/>
          <w:bCs/>
        </w:rPr>
      </w:pPr>
      <w:r w:rsidRPr="00B26E35">
        <w:rPr>
          <w:b/>
          <w:bCs/>
        </w:rPr>
        <w:t>1.  Describe (including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0C56F3" w:rsidRPr="00B26E35" w:rsidRDefault="000C56F3" w:rsidP="000C56F3">
      <w:pPr>
        <w:tabs>
          <w:tab w:val="left" w:pos="-720"/>
          <w:tab w:val="num" w:pos="1080"/>
        </w:tabs>
        <w:suppressAutoHyphens/>
        <w:rPr>
          <w:b/>
          <w:bCs/>
        </w:rPr>
      </w:pPr>
    </w:p>
    <w:p w:rsidR="000C56F3" w:rsidRPr="00B26E35" w:rsidRDefault="000C56F3" w:rsidP="000C56F3">
      <w:pPr>
        <w:tabs>
          <w:tab w:val="left" w:pos="-720"/>
          <w:tab w:val="num" w:pos="0"/>
        </w:tabs>
        <w:suppressAutoHyphens/>
      </w:pPr>
      <w:r w:rsidRPr="00B26E35">
        <w:t xml:space="preserve">The potential respondent pool includes the entire non-institutionalized </w:t>
      </w:r>
      <w:smartTag w:uri="urn:schemas-microsoft-com:office:smarttags" w:element="country-region">
        <w:smartTag w:uri="urn:schemas-microsoft-com:office:smarttags" w:element="place">
          <w:r w:rsidRPr="00B26E35">
            <w:t>U.S.</w:t>
          </w:r>
        </w:smartTag>
      </w:smartTag>
      <w:r w:rsidRPr="00B26E35">
        <w:t xml:space="preserve"> adult population residing in telephone-equipped dwellings.  This population does not include adults in penal, mental, or other institutions; adults living in other group quarters, such as dormitories, barracks, or boarding houses; adults living in a dwelling without a telephone; and/or adults who do not speak English or Spanish well enough to be interviewed.</w:t>
      </w:r>
    </w:p>
    <w:p w:rsidR="000C56F3" w:rsidRPr="00B26E35" w:rsidRDefault="000C56F3" w:rsidP="000C56F3">
      <w:pPr>
        <w:tabs>
          <w:tab w:val="left" w:pos="-720"/>
          <w:tab w:val="num" w:pos="0"/>
        </w:tabs>
        <w:suppressAutoHyphens/>
      </w:pPr>
    </w:p>
    <w:p w:rsidR="000C56F3" w:rsidRDefault="000C56F3" w:rsidP="000C56F3">
      <w:pPr>
        <w:tabs>
          <w:tab w:val="left" w:pos="-720"/>
          <w:tab w:val="num" w:pos="0"/>
        </w:tabs>
        <w:suppressAutoHyphens/>
      </w:pPr>
      <w:r w:rsidRPr="00B26E35">
        <w:t xml:space="preserve">The </w:t>
      </w:r>
      <w:proofErr w:type="spellStart"/>
      <w:r w:rsidRPr="00B26E35">
        <w:t>Genesys</w:t>
      </w:r>
      <w:proofErr w:type="spellEnd"/>
      <w:r w:rsidRPr="00B26E35">
        <w:t xml:space="preserve">-ID system, which contains information on area-code exchange combinations with working numbers and U.S. Census demographic information in geographic regions defined by zip codes, will be used to construct a sampling of </w:t>
      </w:r>
      <w:smartTag w:uri="urn:schemas-microsoft-com:office:smarttags" w:element="country-region">
        <w:smartTag w:uri="urn:schemas-microsoft-com:office:smarttags" w:element="place">
          <w:r w:rsidRPr="00B26E35">
            <w:t>U.S.</w:t>
          </w:r>
        </w:smartTag>
      </w:smartTag>
      <w:r w:rsidRPr="00B26E35">
        <w:t xml:space="preserve"> households.  There will be a target of completed interviews 3</w:t>
      </w:r>
      <w:r>
        <w:t>,</w:t>
      </w:r>
      <w:r w:rsidRPr="00B26E35">
        <w:t xml:space="preserve">500 households nationwide.  </w:t>
      </w:r>
    </w:p>
    <w:p w:rsidR="000C56F3" w:rsidRDefault="000C56F3" w:rsidP="000C56F3">
      <w:pPr>
        <w:tabs>
          <w:tab w:val="left" w:pos="-720"/>
          <w:tab w:val="num" w:pos="0"/>
        </w:tabs>
        <w:suppressAutoHyphens/>
      </w:pPr>
    </w:p>
    <w:p w:rsidR="000C56F3" w:rsidRDefault="000C56F3" w:rsidP="000C56F3">
      <w:pPr>
        <w:tabs>
          <w:tab w:val="left" w:pos="-720"/>
          <w:tab w:val="num" w:pos="0"/>
        </w:tabs>
        <w:suppressAutoHyphens/>
      </w:pPr>
      <w:r w:rsidRPr="00B26E35">
        <w:t xml:space="preserve">In addition, there will be 6 regional </w:t>
      </w:r>
      <w:r>
        <w:t xml:space="preserve">city </w:t>
      </w:r>
      <w:r w:rsidRPr="00B26E35">
        <w:t xml:space="preserve">targets (that correspond to DHS Urban Area Security Initiative jurisdictions in the top tier of the Regional Catastrophic Preparedness Grant Program) as shown below. These locations may change as DHS identifies priority UASI jurisdictions. </w:t>
      </w:r>
    </w:p>
    <w:p w:rsidR="000C56F3" w:rsidRDefault="000C56F3" w:rsidP="000C56F3">
      <w:pPr>
        <w:tabs>
          <w:tab w:val="left" w:pos="-720"/>
          <w:tab w:val="num" w:pos="0"/>
        </w:tabs>
        <w:suppressAutoHyphens/>
      </w:pPr>
    </w:p>
    <w:p w:rsidR="000C56F3" w:rsidRPr="009D0609" w:rsidRDefault="000C56F3" w:rsidP="000C56F3">
      <w:pPr>
        <w:tabs>
          <w:tab w:val="left" w:pos="-720"/>
          <w:tab w:val="num" w:pos="0"/>
        </w:tabs>
        <w:suppressAutoHyphens/>
      </w:pPr>
      <w:r w:rsidRPr="009D0609">
        <w:t xml:space="preserve">We estimate the 6 target city regional samples below as follows </w:t>
      </w:r>
      <w:proofErr w:type="gramStart"/>
      <w:r w:rsidRPr="009D0609">
        <w:t xml:space="preserve">at  </w:t>
      </w:r>
      <w:r w:rsidRPr="009D0609">
        <w:rPr>
          <w:vertAlign w:val="superscript"/>
        </w:rPr>
        <w:t>±</w:t>
      </w:r>
      <w:proofErr w:type="gramEnd"/>
      <w:r w:rsidRPr="009D0609">
        <w:rPr>
          <w:vertAlign w:val="superscript"/>
        </w:rPr>
        <w:t xml:space="preserve"> </w:t>
      </w:r>
      <w:r w:rsidRPr="009D0609">
        <w:t>4.4% and at 95% confidence:</w:t>
      </w:r>
    </w:p>
    <w:p w:rsidR="000C56F3" w:rsidRPr="009D0609" w:rsidRDefault="000C56F3" w:rsidP="000C56F3">
      <w:pPr>
        <w:rPr>
          <w:rFonts w:ascii="Garamond" w:hAnsi="Garamond"/>
        </w:rPr>
      </w:pPr>
      <w:r w:rsidRPr="009D0609">
        <w:rPr>
          <w:rFonts w:ascii="Garamond" w:hAnsi="Garamond"/>
        </w:rPr>
        <w:t xml:space="preserve">  </w:t>
      </w:r>
      <w:r>
        <w:rPr>
          <w:noProof/>
        </w:rPr>
        <w:drawing>
          <wp:inline distT="0" distB="0" distL="0" distR="0">
            <wp:extent cx="1143000"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466725"/>
                    </a:xfrm>
                    <a:prstGeom prst="rect">
                      <a:avLst/>
                    </a:prstGeom>
                    <a:noFill/>
                    <a:ln w="9525">
                      <a:noFill/>
                      <a:miter lim="800000"/>
                      <a:headEnd/>
                      <a:tailEnd/>
                    </a:ln>
                  </pic:spPr>
                </pic:pic>
              </a:graphicData>
            </a:graphic>
          </wp:inline>
        </w:drawing>
      </w:r>
    </w:p>
    <w:p w:rsidR="000C56F3" w:rsidRPr="009D0609" w:rsidRDefault="000C56F3" w:rsidP="000C56F3">
      <w:pPr>
        <w:tabs>
          <w:tab w:val="left" w:pos="-720"/>
          <w:tab w:val="num" w:pos="0"/>
        </w:tabs>
        <w:suppressAutoHyphens/>
      </w:pPr>
    </w:p>
    <w:p w:rsidR="000C56F3" w:rsidRPr="009D0609" w:rsidRDefault="000C56F3" w:rsidP="000C56F3">
      <w:pPr>
        <w:tabs>
          <w:tab w:val="left" w:pos="-720"/>
          <w:tab w:val="num" w:pos="0"/>
        </w:tabs>
        <w:suppressAutoHyphens/>
      </w:pPr>
      <w:r w:rsidRPr="009D0609">
        <w:t>n = 496.0744</w:t>
      </w:r>
    </w:p>
    <w:p w:rsidR="000C56F3" w:rsidRPr="009D0609" w:rsidRDefault="000C56F3" w:rsidP="000C56F3">
      <w:pPr>
        <w:tabs>
          <w:tab w:val="left" w:pos="-720"/>
          <w:tab w:val="num" w:pos="0"/>
        </w:tabs>
        <w:suppressAutoHyphens/>
      </w:pPr>
    </w:p>
    <w:p w:rsidR="000C56F3" w:rsidRPr="009D0609" w:rsidRDefault="000C56F3" w:rsidP="000C56F3">
      <w:pPr>
        <w:tabs>
          <w:tab w:val="left" w:pos="-720"/>
          <w:tab w:val="num" w:pos="0"/>
        </w:tabs>
        <w:suppressAutoHyphens/>
      </w:pPr>
      <w:r w:rsidRPr="009D0609">
        <w:t xml:space="preserve">Therefore, we are requesting a rounded 500 for each of the 6 regional city targets, totaling 3,000 bi-annually as below.  </w:t>
      </w:r>
    </w:p>
    <w:p w:rsidR="000C56F3" w:rsidRDefault="000C56F3" w:rsidP="000C56F3">
      <w:pPr>
        <w:tabs>
          <w:tab w:val="left" w:pos="-720"/>
          <w:tab w:val="num" w:pos="0"/>
        </w:tabs>
        <w:suppressAutoHyphens/>
      </w:pPr>
    </w:p>
    <w:p w:rsidR="000C56F3" w:rsidRPr="00B26E35" w:rsidRDefault="000C56F3" w:rsidP="000C56F3">
      <w:pPr>
        <w:tabs>
          <w:tab w:val="left" w:pos="-720"/>
          <w:tab w:val="num" w:pos="0"/>
        </w:tabs>
        <w:suppressAutoHyphens/>
      </w:pPr>
    </w:p>
    <w:p w:rsidR="000C56F3" w:rsidRPr="001422E5" w:rsidRDefault="000C56F3" w:rsidP="000C56F3">
      <w:pPr>
        <w:tabs>
          <w:tab w:val="left" w:pos="-720"/>
          <w:tab w:val="num" w:pos="0"/>
        </w:tabs>
        <w:suppressAutoHyphens/>
      </w:pPr>
      <w:r w:rsidRPr="001422E5">
        <w:rPr>
          <w:sz w:val="20"/>
          <w:szCs w:val="20"/>
          <w:u w:val="single"/>
        </w:rPr>
        <w:t>Simple</w:t>
      </w:r>
      <w:r w:rsidRPr="001422E5">
        <w:rPr>
          <w:sz w:val="20"/>
          <w:szCs w:val="20"/>
          <w:u w:val="single"/>
        </w:rPr>
        <w:t xml:space="preserve"> </w:t>
      </w:r>
      <w:r w:rsidRPr="001422E5">
        <w:rPr>
          <w:sz w:val="20"/>
          <w:szCs w:val="20"/>
          <w:u w:val="single"/>
        </w:rPr>
        <w:t>R</w:t>
      </w:r>
      <w:r w:rsidRPr="001422E5">
        <w:rPr>
          <w:sz w:val="20"/>
          <w:szCs w:val="20"/>
          <w:u w:val="single"/>
        </w:rPr>
        <w:t xml:space="preserve">andom </w:t>
      </w:r>
      <w:r w:rsidRPr="001422E5">
        <w:rPr>
          <w:sz w:val="20"/>
          <w:szCs w:val="20"/>
          <w:u w:val="single"/>
        </w:rPr>
        <w:t>S</w:t>
      </w:r>
      <w:r w:rsidRPr="001422E5">
        <w:rPr>
          <w:sz w:val="20"/>
          <w:szCs w:val="20"/>
          <w:u w:val="single"/>
        </w:rPr>
        <w:t>ample</w:t>
      </w:r>
      <w:r w:rsidRPr="001422E5">
        <w:rPr>
          <w:sz w:val="20"/>
          <w:szCs w:val="20"/>
          <w:u w:val="single"/>
        </w:rPr>
        <w:t xml:space="preserve"> of Target Cities</w:t>
      </w:r>
      <w:r w:rsidRPr="001422E5">
        <w:rPr>
          <w:sz w:val="20"/>
          <w:szCs w:val="20"/>
        </w:rPr>
        <w:t>:</w:t>
      </w:r>
    </w:p>
    <w:p w:rsidR="000C56F3" w:rsidRPr="001422E5" w:rsidRDefault="000C56F3" w:rsidP="000C56F3">
      <w:pPr>
        <w:tabs>
          <w:tab w:val="left" w:pos="-720"/>
          <w:tab w:val="num" w:pos="0"/>
        </w:tabs>
        <w:suppressAutoHyphens/>
      </w:pPr>
    </w:p>
    <w:tbl>
      <w:tblPr>
        <w:tblW w:w="432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1"/>
        <w:gridCol w:w="1801"/>
      </w:tblGrid>
      <w:tr w:rsidR="000C56F3" w:rsidRPr="001422E5" w:rsidTr="00104228">
        <w:tc>
          <w:tcPr>
            <w:tcW w:w="2521" w:type="dxa"/>
          </w:tcPr>
          <w:p w:rsidR="000C56F3" w:rsidRPr="001422E5" w:rsidRDefault="000C56F3" w:rsidP="00104228">
            <w:pPr>
              <w:rPr>
                <w:rFonts w:eastAsia="Arial Unicode MS"/>
                <w:b/>
              </w:rPr>
            </w:pPr>
            <w:r w:rsidRPr="001422E5">
              <w:rPr>
                <w:rFonts w:eastAsia="Arial Unicode MS"/>
                <w:b/>
              </w:rPr>
              <w:lastRenderedPageBreak/>
              <w:t>Geographic Region</w:t>
            </w:r>
            <w:r>
              <w:rPr>
                <w:rFonts w:eastAsia="Arial Unicode MS"/>
                <w:b/>
              </w:rPr>
              <w:t>al Target Cities</w:t>
            </w:r>
          </w:p>
        </w:tc>
        <w:tc>
          <w:tcPr>
            <w:tcW w:w="1801" w:type="dxa"/>
          </w:tcPr>
          <w:p w:rsidR="000C56F3" w:rsidRPr="001422E5" w:rsidRDefault="000C56F3" w:rsidP="00104228">
            <w:pPr>
              <w:jc w:val="center"/>
              <w:rPr>
                <w:rFonts w:eastAsia="Arial Unicode MS"/>
                <w:b/>
              </w:rPr>
            </w:pPr>
            <w:r w:rsidRPr="001422E5">
              <w:rPr>
                <w:rFonts w:eastAsia="Arial Unicode MS"/>
                <w:b/>
              </w:rPr>
              <w:t>Interviews</w:t>
            </w:r>
          </w:p>
        </w:tc>
      </w:tr>
      <w:tr w:rsidR="000C56F3" w:rsidRPr="001422E5" w:rsidTr="00104228">
        <w:trPr>
          <w:trHeight w:val="70"/>
        </w:trPr>
        <w:tc>
          <w:tcPr>
            <w:tcW w:w="2521" w:type="dxa"/>
          </w:tcPr>
          <w:p w:rsidR="000C56F3" w:rsidRPr="001422E5" w:rsidRDefault="000C56F3" w:rsidP="00104228">
            <w:smartTag w:uri="urn:schemas-microsoft-com:office:smarttags" w:element="City">
              <w:smartTag w:uri="urn:schemas-microsoft-com:office:smarttags" w:element="place">
                <w:r w:rsidRPr="001422E5">
                  <w:t>Houston</w:t>
                </w:r>
              </w:smartTag>
            </w:smartTag>
          </w:p>
        </w:tc>
        <w:tc>
          <w:tcPr>
            <w:tcW w:w="1801" w:type="dxa"/>
          </w:tcPr>
          <w:p w:rsidR="000C56F3" w:rsidRPr="001422E5" w:rsidRDefault="000C56F3" w:rsidP="00104228">
            <w:pPr>
              <w:jc w:val="center"/>
            </w:pPr>
            <w:r w:rsidRPr="001422E5">
              <w:t>500</w:t>
            </w:r>
          </w:p>
        </w:tc>
      </w:tr>
      <w:tr w:rsidR="000C56F3" w:rsidRPr="001422E5" w:rsidTr="00104228">
        <w:tc>
          <w:tcPr>
            <w:tcW w:w="2521" w:type="dxa"/>
          </w:tcPr>
          <w:p w:rsidR="000C56F3" w:rsidRPr="001422E5" w:rsidRDefault="000C56F3" w:rsidP="00104228">
            <w:smartTag w:uri="urn:schemas-microsoft-com:office:smarttags" w:element="City">
              <w:smartTag w:uri="urn:schemas-microsoft-com:office:smarttags" w:element="place">
                <w:r w:rsidRPr="001422E5">
                  <w:t>New York City</w:t>
                </w:r>
              </w:smartTag>
            </w:smartTag>
          </w:p>
        </w:tc>
        <w:tc>
          <w:tcPr>
            <w:tcW w:w="1801" w:type="dxa"/>
          </w:tcPr>
          <w:p w:rsidR="000C56F3" w:rsidRPr="001422E5" w:rsidRDefault="000C56F3" w:rsidP="00104228">
            <w:pPr>
              <w:jc w:val="center"/>
            </w:pPr>
            <w:r w:rsidRPr="001422E5">
              <w:t>500</w:t>
            </w:r>
          </w:p>
        </w:tc>
      </w:tr>
      <w:tr w:rsidR="000C56F3" w:rsidRPr="001422E5" w:rsidTr="00104228">
        <w:tc>
          <w:tcPr>
            <w:tcW w:w="2521" w:type="dxa"/>
          </w:tcPr>
          <w:p w:rsidR="000C56F3" w:rsidRPr="001422E5" w:rsidRDefault="000C56F3" w:rsidP="00104228">
            <w:smartTag w:uri="urn:schemas-microsoft-com:office:smarttags" w:element="City">
              <w:smartTag w:uri="urn:schemas-microsoft-com:office:smarttags" w:element="place">
                <w:r w:rsidRPr="001422E5">
                  <w:t>Chicago</w:t>
                </w:r>
              </w:smartTag>
            </w:smartTag>
          </w:p>
        </w:tc>
        <w:tc>
          <w:tcPr>
            <w:tcW w:w="1801" w:type="dxa"/>
          </w:tcPr>
          <w:p w:rsidR="000C56F3" w:rsidRPr="001422E5" w:rsidRDefault="000C56F3" w:rsidP="00104228">
            <w:pPr>
              <w:jc w:val="center"/>
            </w:pPr>
            <w:r w:rsidRPr="001422E5">
              <w:t>500</w:t>
            </w:r>
          </w:p>
        </w:tc>
      </w:tr>
      <w:tr w:rsidR="000C56F3" w:rsidRPr="001422E5" w:rsidTr="00104228">
        <w:tc>
          <w:tcPr>
            <w:tcW w:w="2521" w:type="dxa"/>
          </w:tcPr>
          <w:p w:rsidR="000C56F3" w:rsidRPr="001422E5" w:rsidRDefault="000C56F3" w:rsidP="00104228">
            <w:smartTag w:uri="urn:schemas-microsoft-com:office:smarttags" w:element="City">
              <w:smartTag w:uri="urn:schemas-microsoft-com:office:smarttags" w:element="place">
                <w:r w:rsidRPr="001422E5">
                  <w:t>San Francisco</w:t>
                </w:r>
              </w:smartTag>
            </w:smartTag>
          </w:p>
        </w:tc>
        <w:tc>
          <w:tcPr>
            <w:tcW w:w="1801" w:type="dxa"/>
          </w:tcPr>
          <w:p w:rsidR="000C56F3" w:rsidRPr="001422E5" w:rsidRDefault="000C56F3" w:rsidP="00104228">
            <w:pPr>
              <w:jc w:val="center"/>
            </w:pPr>
            <w:r w:rsidRPr="001422E5">
              <w:t>500</w:t>
            </w:r>
          </w:p>
        </w:tc>
      </w:tr>
      <w:tr w:rsidR="000C56F3" w:rsidRPr="001422E5" w:rsidTr="00104228">
        <w:tc>
          <w:tcPr>
            <w:tcW w:w="2521" w:type="dxa"/>
          </w:tcPr>
          <w:p w:rsidR="000C56F3" w:rsidRPr="001422E5" w:rsidRDefault="000C56F3" w:rsidP="00104228">
            <w:smartTag w:uri="urn:schemas-microsoft-com:office:smarttags" w:element="City">
              <w:smartTag w:uri="urn:schemas-microsoft-com:office:smarttags" w:element="place">
                <w:r w:rsidRPr="001422E5">
                  <w:t>Los Angeles</w:t>
                </w:r>
              </w:smartTag>
            </w:smartTag>
          </w:p>
        </w:tc>
        <w:tc>
          <w:tcPr>
            <w:tcW w:w="1801" w:type="dxa"/>
          </w:tcPr>
          <w:p w:rsidR="000C56F3" w:rsidRPr="001422E5" w:rsidRDefault="000C56F3" w:rsidP="00104228">
            <w:pPr>
              <w:jc w:val="center"/>
            </w:pPr>
            <w:r w:rsidRPr="001422E5">
              <w:t>500</w:t>
            </w:r>
          </w:p>
        </w:tc>
      </w:tr>
      <w:tr w:rsidR="000C56F3" w:rsidRPr="001422E5" w:rsidTr="00104228">
        <w:tc>
          <w:tcPr>
            <w:tcW w:w="2521" w:type="dxa"/>
          </w:tcPr>
          <w:p w:rsidR="000C56F3" w:rsidRPr="001422E5" w:rsidRDefault="000C56F3" w:rsidP="00104228">
            <w:smartTag w:uri="urn:schemas-microsoft-com:office:smarttags" w:element="place">
              <w:smartTag w:uri="urn:schemas-microsoft-com:office:smarttags" w:element="City">
                <w:r w:rsidRPr="001422E5">
                  <w:t>Washington</w:t>
                </w:r>
              </w:smartTag>
              <w:r w:rsidRPr="001422E5">
                <w:t xml:space="preserve">, </w:t>
              </w:r>
              <w:smartTag w:uri="urn:schemas-microsoft-com:office:smarttags" w:element="State">
                <w:r w:rsidRPr="001422E5">
                  <w:t>DC</w:t>
                </w:r>
              </w:smartTag>
            </w:smartTag>
          </w:p>
        </w:tc>
        <w:tc>
          <w:tcPr>
            <w:tcW w:w="1801" w:type="dxa"/>
          </w:tcPr>
          <w:p w:rsidR="000C56F3" w:rsidRPr="001422E5" w:rsidRDefault="000C56F3" w:rsidP="00104228">
            <w:pPr>
              <w:jc w:val="center"/>
            </w:pPr>
            <w:r w:rsidRPr="001422E5">
              <w:t>500</w:t>
            </w:r>
          </w:p>
        </w:tc>
      </w:tr>
      <w:tr w:rsidR="000C56F3" w:rsidRPr="001422E5" w:rsidTr="00104228">
        <w:tc>
          <w:tcPr>
            <w:tcW w:w="2521" w:type="dxa"/>
          </w:tcPr>
          <w:p w:rsidR="000C56F3" w:rsidRPr="001422E5" w:rsidRDefault="000C56F3" w:rsidP="00104228">
            <w:pPr>
              <w:rPr>
                <w:rFonts w:eastAsia="Arial Unicode MS"/>
                <w:b/>
              </w:rPr>
            </w:pPr>
            <w:r w:rsidRPr="001422E5">
              <w:rPr>
                <w:b/>
              </w:rPr>
              <w:t>Bi-annual Total</w:t>
            </w:r>
          </w:p>
        </w:tc>
        <w:tc>
          <w:tcPr>
            <w:tcW w:w="1801" w:type="dxa"/>
          </w:tcPr>
          <w:p w:rsidR="000C56F3" w:rsidRPr="001422E5" w:rsidRDefault="000C56F3" w:rsidP="00104228">
            <w:pPr>
              <w:jc w:val="center"/>
              <w:rPr>
                <w:rFonts w:eastAsia="Arial Unicode MS"/>
                <w:b/>
              </w:rPr>
            </w:pPr>
            <w:r w:rsidRPr="001422E5">
              <w:rPr>
                <w:b/>
              </w:rPr>
              <w:t>3</w:t>
            </w:r>
            <w:r>
              <w:rPr>
                <w:b/>
              </w:rPr>
              <w:t>,</w:t>
            </w:r>
            <w:r w:rsidRPr="001422E5">
              <w:rPr>
                <w:b/>
              </w:rPr>
              <w:t>000</w:t>
            </w:r>
          </w:p>
        </w:tc>
      </w:tr>
    </w:tbl>
    <w:p w:rsidR="000C56F3" w:rsidRPr="001422E5" w:rsidRDefault="000C56F3" w:rsidP="000C56F3">
      <w:pPr>
        <w:tabs>
          <w:tab w:val="left" w:pos="-720"/>
          <w:tab w:val="num" w:pos="0"/>
        </w:tabs>
        <w:suppressAutoHyphens/>
        <w:rPr>
          <w:highlight w:val="yellow"/>
        </w:rPr>
      </w:pPr>
    </w:p>
    <w:p w:rsidR="000C56F3" w:rsidRPr="009D0609" w:rsidRDefault="000C56F3" w:rsidP="000C56F3">
      <w:pPr>
        <w:tabs>
          <w:tab w:val="left" w:pos="-720"/>
          <w:tab w:val="num" w:pos="0"/>
        </w:tabs>
        <w:suppressAutoHyphens/>
      </w:pPr>
      <w:r w:rsidRPr="009D0609">
        <w:t xml:space="preserve">We estimate the stratified random national sample by FEMA’s 10 regions as follows </w:t>
      </w:r>
      <w:proofErr w:type="gramStart"/>
      <w:r w:rsidRPr="009D0609">
        <w:t xml:space="preserve">at  </w:t>
      </w:r>
      <w:r w:rsidRPr="009D0609">
        <w:rPr>
          <w:vertAlign w:val="superscript"/>
        </w:rPr>
        <w:t>±</w:t>
      </w:r>
      <w:proofErr w:type="gramEnd"/>
      <w:r w:rsidRPr="009D0609">
        <w:rPr>
          <w:vertAlign w:val="superscript"/>
        </w:rPr>
        <w:t xml:space="preserve"> </w:t>
      </w:r>
      <w:r w:rsidRPr="009D0609">
        <w:t>2% and at 95% confidence:</w:t>
      </w:r>
    </w:p>
    <w:p w:rsidR="000C56F3" w:rsidRDefault="000C56F3" w:rsidP="000C56F3">
      <w:pPr>
        <w:tabs>
          <w:tab w:val="left" w:pos="-720"/>
          <w:tab w:val="num" w:pos="0"/>
        </w:tabs>
        <w:suppressAutoHyphens/>
        <w:rPr>
          <w:sz w:val="20"/>
          <w:szCs w:val="20"/>
          <w:u w:val="single"/>
        </w:rPr>
      </w:pPr>
    </w:p>
    <w:p w:rsidR="000C56F3" w:rsidRDefault="000C56F3" w:rsidP="000C56F3">
      <w:pPr>
        <w:tabs>
          <w:tab w:val="left" w:pos="-720"/>
          <w:tab w:val="num" w:pos="0"/>
        </w:tabs>
        <w:suppressAutoHyphens/>
        <w:rPr>
          <w:sz w:val="20"/>
          <w:szCs w:val="20"/>
          <w:u w:val="single"/>
        </w:rPr>
      </w:pPr>
    </w:p>
    <w:p w:rsidR="000C56F3" w:rsidRPr="001422E5" w:rsidRDefault="000C56F3" w:rsidP="000C56F3">
      <w:pPr>
        <w:tabs>
          <w:tab w:val="left" w:pos="-720"/>
          <w:tab w:val="num" w:pos="0"/>
        </w:tabs>
        <w:suppressAutoHyphens/>
      </w:pPr>
      <w:r w:rsidRPr="001422E5">
        <w:rPr>
          <w:sz w:val="20"/>
          <w:szCs w:val="20"/>
          <w:u w:val="single"/>
        </w:rPr>
        <w:t>S</w:t>
      </w:r>
      <w:r w:rsidRPr="001422E5">
        <w:rPr>
          <w:sz w:val="20"/>
          <w:szCs w:val="20"/>
          <w:u w:val="single"/>
        </w:rPr>
        <w:t xml:space="preserve">tratified </w:t>
      </w:r>
      <w:r w:rsidRPr="001422E5">
        <w:rPr>
          <w:sz w:val="20"/>
          <w:szCs w:val="20"/>
          <w:u w:val="single"/>
        </w:rPr>
        <w:t>R</w:t>
      </w:r>
      <w:r w:rsidRPr="001422E5">
        <w:rPr>
          <w:sz w:val="20"/>
          <w:szCs w:val="20"/>
          <w:u w:val="single"/>
        </w:rPr>
        <w:t xml:space="preserve">andom </w:t>
      </w:r>
      <w:r w:rsidRPr="001422E5">
        <w:rPr>
          <w:sz w:val="20"/>
          <w:szCs w:val="20"/>
          <w:u w:val="single"/>
        </w:rPr>
        <w:t>N</w:t>
      </w:r>
      <w:r w:rsidRPr="001422E5">
        <w:rPr>
          <w:sz w:val="20"/>
          <w:szCs w:val="20"/>
          <w:u w:val="single"/>
        </w:rPr>
        <w:t xml:space="preserve">ational </w:t>
      </w:r>
      <w:r w:rsidRPr="001422E5">
        <w:rPr>
          <w:sz w:val="20"/>
          <w:szCs w:val="20"/>
          <w:u w:val="single"/>
        </w:rPr>
        <w:t>S</w:t>
      </w:r>
      <w:r w:rsidRPr="001422E5">
        <w:rPr>
          <w:sz w:val="20"/>
          <w:szCs w:val="20"/>
          <w:u w:val="single"/>
        </w:rPr>
        <w:t>ample</w:t>
      </w:r>
      <w:r w:rsidRPr="001422E5">
        <w:rPr>
          <w:sz w:val="20"/>
          <w:szCs w:val="20"/>
          <w:u w:val="single"/>
        </w:rPr>
        <w:t xml:space="preserve"> by FEMA Regions</w:t>
      </w:r>
      <w:r w:rsidRPr="001422E5">
        <w:rPr>
          <w:sz w:val="20"/>
          <w:szCs w:val="20"/>
        </w:rPr>
        <w:t>:</w:t>
      </w:r>
    </w:p>
    <w:tbl>
      <w:tblPr>
        <w:tblW w:w="432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1"/>
        <w:gridCol w:w="1801"/>
      </w:tblGrid>
      <w:tr w:rsidR="000C56F3" w:rsidRPr="001422E5" w:rsidTr="00104228">
        <w:tc>
          <w:tcPr>
            <w:tcW w:w="2521" w:type="dxa"/>
          </w:tcPr>
          <w:p w:rsidR="000C56F3" w:rsidRPr="001422E5" w:rsidRDefault="000C56F3" w:rsidP="00104228">
            <w:pPr>
              <w:rPr>
                <w:rFonts w:eastAsia="Arial Unicode MS"/>
                <w:b/>
              </w:rPr>
            </w:pPr>
            <w:r w:rsidRPr="001422E5">
              <w:rPr>
                <w:rFonts w:eastAsia="Arial Unicode MS"/>
                <w:b/>
              </w:rPr>
              <w:t>FEMA Regions</w:t>
            </w:r>
          </w:p>
        </w:tc>
        <w:tc>
          <w:tcPr>
            <w:tcW w:w="1801" w:type="dxa"/>
          </w:tcPr>
          <w:p w:rsidR="000C56F3" w:rsidRPr="001422E5" w:rsidRDefault="000C56F3" w:rsidP="00104228">
            <w:pPr>
              <w:jc w:val="center"/>
              <w:rPr>
                <w:rFonts w:eastAsia="Arial Unicode MS"/>
                <w:b/>
              </w:rPr>
            </w:pPr>
            <w:r w:rsidRPr="001422E5">
              <w:rPr>
                <w:rFonts w:eastAsia="Arial Unicode MS"/>
                <w:b/>
              </w:rPr>
              <w:t>Interviews</w:t>
            </w:r>
          </w:p>
        </w:tc>
      </w:tr>
      <w:tr w:rsidR="000C56F3" w:rsidRPr="001422E5" w:rsidTr="00104228">
        <w:trPr>
          <w:trHeight w:val="70"/>
        </w:trPr>
        <w:tc>
          <w:tcPr>
            <w:tcW w:w="2521" w:type="dxa"/>
            <w:vAlign w:val="center"/>
          </w:tcPr>
          <w:p w:rsidR="000C56F3" w:rsidRPr="00F26253" w:rsidRDefault="000C56F3" w:rsidP="00104228">
            <w:pPr>
              <w:pStyle w:val="TableText"/>
              <w:rPr>
                <w:rFonts w:eastAsia="Arial Unicode MS"/>
              </w:rPr>
            </w:pPr>
            <w:r>
              <w:rPr>
                <w:rFonts w:eastAsia="Arial Unicode MS"/>
              </w:rPr>
              <w:t>Region I</w:t>
            </w:r>
          </w:p>
        </w:tc>
        <w:tc>
          <w:tcPr>
            <w:tcW w:w="1801" w:type="dxa"/>
          </w:tcPr>
          <w:p w:rsidR="000C56F3" w:rsidRPr="001422E5" w:rsidRDefault="000C56F3" w:rsidP="00104228">
            <w:pPr>
              <w:jc w:val="center"/>
            </w:pPr>
            <w:r w:rsidRPr="001422E5">
              <w:t>350</w:t>
            </w:r>
          </w:p>
        </w:tc>
      </w:tr>
      <w:tr w:rsidR="000C56F3" w:rsidRPr="001422E5" w:rsidTr="00104228">
        <w:tc>
          <w:tcPr>
            <w:tcW w:w="2521" w:type="dxa"/>
            <w:vAlign w:val="center"/>
          </w:tcPr>
          <w:p w:rsidR="000C56F3" w:rsidRPr="00F26253" w:rsidRDefault="000C56F3" w:rsidP="00104228">
            <w:pPr>
              <w:pStyle w:val="TableText"/>
              <w:rPr>
                <w:rFonts w:eastAsia="Arial Unicode MS"/>
              </w:rPr>
            </w:pPr>
            <w:r>
              <w:rPr>
                <w:rFonts w:eastAsia="Arial Unicode MS"/>
              </w:rPr>
              <w:t>Region II</w:t>
            </w:r>
          </w:p>
        </w:tc>
        <w:tc>
          <w:tcPr>
            <w:tcW w:w="1801" w:type="dxa"/>
          </w:tcPr>
          <w:p w:rsidR="000C56F3" w:rsidRPr="001422E5" w:rsidRDefault="000C56F3" w:rsidP="00104228">
            <w:pPr>
              <w:jc w:val="center"/>
            </w:pPr>
            <w:r w:rsidRPr="001422E5">
              <w:t>350</w:t>
            </w:r>
          </w:p>
        </w:tc>
      </w:tr>
      <w:tr w:rsidR="000C56F3" w:rsidRPr="001422E5" w:rsidTr="00104228">
        <w:tc>
          <w:tcPr>
            <w:tcW w:w="2521" w:type="dxa"/>
            <w:vAlign w:val="center"/>
          </w:tcPr>
          <w:p w:rsidR="000C56F3" w:rsidRPr="00F26253" w:rsidRDefault="000C56F3" w:rsidP="00104228">
            <w:pPr>
              <w:pStyle w:val="TableText"/>
              <w:rPr>
                <w:rFonts w:eastAsia="Arial Unicode MS"/>
              </w:rPr>
            </w:pPr>
            <w:r>
              <w:rPr>
                <w:rFonts w:eastAsia="Arial Unicode MS"/>
              </w:rPr>
              <w:t>Region III</w:t>
            </w:r>
          </w:p>
        </w:tc>
        <w:tc>
          <w:tcPr>
            <w:tcW w:w="1801" w:type="dxa"/>
          </w:tcPr>
          <w:p w:rsidR="000C56F3" w:rsidRPr="001422E5" w:rsidRDefault="000C56F3" w:rsidP="00104228">
            <w:pPr>
              <w:jc w:val="center"/>
            </w:pPr>
            <w:r w:rsidRPr="001422E5">
              <w:t>350</w:t>
            </w:r>
          </w:p>
        </w:tc>
      </w:tr>
      <w:tr w:rsidR="000C56F3" w:rsidRPr="001422E5" w:rsidTr="00104228">
        <w:tc>
          <w:tcPr>
            <w:tcW w:w="2521" w:type="dxa"/>
            <w:vAlign w:val="center"/>
          </w:tcPr>
          <w:p w:rsidR="000C56F3" w:rsidRPr="00F26253" w:rsidRDefault="000C56F3" w:rsidP="00104228">
            <w:pPr>
              <w:pStyle w:val="TableText"/>
              <w:rPr>
                <w:rFonts w:eastAsia="Arial Unicode MS"/>
              </w:rPr>
            </w:pPr>
            <w:r>
              <w:rPr>
                <w:rFonts w:eastAsia="Arial Unicode MS"/>
              </w:rPr>
              <w:t>Region IV</w:t>
            </w:r>
          </w:p>
        </w:tc>
        <w:tc>
          <w:tcPr>
            <w:tcW w:w="1801" w:type="dxa"/>
          </w:tcPr>
          <w:p w:rsidR="000C56F3" w:rsidRPr="001422E5" w:rsidRDefault="000C56F3" w:rsidP="00104228">
            <w:pPr>
              <w:jc w:val="center"/>
            </w:pPr>
            <w:r w:rsidRPr="001422E5">
              <w:t>350</w:t>
            </w:r>
          </w:p>
        </w:tc>
      </w:tr>
      <w:tr w:rsidR="000C56F3" w:rsidRPr="001422E5" w:rsidTr="00104228">
        <w:tc>
          <w:tcPr>
            <w:tcW w:w="2521" w:type="dxa"/>
            <w:vAlign w:val="center"/>
          </w:tcPr>
          <w:p w:rsidR="000C56F3" w:rsidRPr="00F26253" w:rsidRDefault="000C56F3" w:rsidP="00104228">
            <w:pPr>
              <w:pStyle w:val="TableText"/>
              <w:rPr>
                <w:rFonts w:eastAsia="Arial Unicode MS"/>
              </w:rPr>
            </w:pPr>
            <w:r>
              <w:rPr>
                <w:rFonts w:eastAsia="Arial Unicode MS"/>
              </w:rPr>
              <w:t>Region V</w:t>
            </w:r>
          </w:p>
        </w:tc>
        <w:tc>
          <w:tcPr>
            <w:tcW w:w="1801" w:type="dxa"/>
          </w:tcPr>
          <w:p w:rsidR="000C56F3" w:rsidRPr="001422E5" w:rsidRDefault="000C56F3" w:rsidP="00104228">
            <w:pPr>
              <w:jc w:val="center"/>
            </w:pPr>
            <w:r w:rsidRPr="001422E5">
              <w:t>350</w:t>
            </w:r>
          </w:p>
        </w:tc>
      </w:tr>
      <w:tr w:rsidR="000C56F3" w:rsidRPr="001422E5" w:rsidTr="00104228">
        <w:tc>
          <w:tcPr>
            <w:tcW w:w="2521" w:type="dxa"/>
            <w:vAlign w:val="center"/>
          </w:tcPr>
          <w:p w:rsidR="000C56F3" w:rsidRPr="00F26253" w:rsidRDefault="000C56F3" w:rsidP="00104228">
            <w:pPr>
              <w:pStyle w:val="TableText"/>
              <w:rPr>
                <w:rFonts w:eastAsia="Arial Unicode MS"/>
              </w:rPr>
            </w:pPr>
            <w:r>
              <w:rPr>
                <w:rFonts w:eastAsia="Arial Unicode MS"/>
              </w:rPr>
              <w:t>Region VI</w:t>
            </w:r>
          </w:p>
        </w:tc>
        <w:tc>
          <w:tcPr>
            <w:tcW w:w="1801" w:type="dxa"/>
          </w:tcPr>
          <w:p w:rsidR="000C56F3" w:rsidRPr="001422E5" w:rsidRDefault="000C56F3" w:rsidP="00104228">
            <w:pPr>
              <w:jc w:val="center"/>
            </w:pPr>
            <w:r w:rsidRPr="001422E5">
              <w:t>350</w:t>
            </w:r>
          </w:p>
        </w:tc>
      </w:tr>
      <w:tr w:rsidR="000C56F3" w:rsidRPr="001422E5" w:rsidTr="00104228">
        <w:tc>
          <w:tcPr>
            <w:tcW w:w="2521" w:type="dxa"/>
            <w:vAlign w:val="center"/>
          </w:tcPr>
          <w:p w:rsidR="000C56F3" w:rsidRPr="00F26253" w:rsidRDefault="000C56F3" w:rsidP="00104228">
            <w:pPr>
              <w:pStyle w:val="TableText"/>
              <w:rPr>
                <w:rFonts w:eastAsia="Arial Unicode MS"/>
              </w:rPr>
            </w:pPr>
            <w:r>
              <w:rPr>
                <w:rFonts w:eastAsia="Arial Unicode MS"/>
              </w:rPr>
              <w:t>Region VII</w:t>
            </w:r>
          </w:p>
        </w:tc>
        <w:tc>
          <w:tcPr>
            <w:tcW w:w="1801" w:type="dxa"/>
          </w:tcPr>
          <w:p w:rsidR="000C56F3" w:rsidRPr="001422E5" w:rsidRDefault="000C56F3" w:rsidP="00104228">
            <w:pPr>
              <w:jc w:val="center"/>
            </w:pPr>
            <w:r w:rsidRPr="001422E5">
              <w:t>350</w:t>
            </w:r>
          </w:p>
        </w:tc>
      </w:tr>
      <w:tr w:rsidR="000C56F3" w:rsidRPr="001422E5" w:rsidTr="00104228">
        <w:tc>
          <w:tcPr>
            <w:tcW w:w="2521" w:type="dxa"/>
            <w:vAlign w:val="center"/>
          </w:tcPr>
          <w:p w:rsidR="000C56F3" w:rsidRPr="00F26253" w:rsidRDefault="000C56F3" w:rsidP="00104228">
            <w:pPr>
              <w:pStyle w:val="TableText"/>
              <w:rPr>
                <w:rFonts w:eastAsia="Arial Unicode MS"/>
              </w:rPr>
            </w:pPr>
            <w:r>
              <w:rPr>
                <w:rFonts w:eastAsia="Arial Unicode MS"/>
              </w:rPr>
              <w:t>Region VII</w:t>
            </w:r>
          </w:p>
        </w:tc>
        <w:tc>
          <w:tcPr>
            <w:tcW w:w="1801" w:type="dxa"/>
          </w:tcPr>
          <w:p w:rsidR="000C56F3" w:rsidRPr="001422E5" w:rsidRDefault="000C56F3" w:rsidP="00104228">
            <w:pPr>
              <w:jc w:val="center"/>
            </w:pPr>
            <w:r w:rsidRPr="001422E5">
              <w:t>350</w:t>
            </w:r>
          </w:p>
        </w:tc>
      </w:tr>
      <w:tr w:rsidR="000C56F3" w:rsidRPr="001422E5" w:rsidTr="00104228">
        <w:tc>
          <w:tcPr>
            <w:tcW w:w="2521" w:type="dxa"/>
            <w:vAlign w:val="center"/>
          </w:tcPr>
          <w:p w:rsidR="000C56F3" w:rsidRPr="00F26253" w:rsidRDefault="000C56F3" w:rsidP="00104228">
            <w:pPr>
              <w:pStyle w:val="TableText"/>
              <w:rPr>
                <w:rFonts w:eastAsia="Arial Unicode MS"/>
              </w:rPr>
            </w:pPr>
            <w:r>
              <w:rPr>
                <w:rFonts w:eastAsia="Arial Unicode MS"/>
              </w:rPr>
              <w:t>Region IX</w:t>
            </w:r>
          </w:p>
        </w:tc>
        <w:tc>
          <w:tcPr>
            <w:tcW w:w="1801" w:type="dxa"/>
          </w:tcPr>
          <w:p w:rsidR="000C56F3" w:rsidRPr="001422E5" w:rsidRDefault="000C56F3" w:rsidP="00104228">
            <w:pPr>
              <w:jc w:val="center"/>
            </w:pPr>
            <w:r w:rsidRPr="001422E5">
              <w:t>350</w:t>
            </w:r>
          </w:p>
        </w:tc>
      </w:tr>
      <w:tr w:rsidR="000C56F3" w:rsidRPr="001422E5" w:rsidTr="00104228">
        <w:tc>
          <w:tcPr>
            <w:tcW w:w="2521" w:type="dxa"/>
            <w:vAlign w:val="center"/>
          </w:tcPr>
          <w:p w:rsidR="000C56F3" w:rsidRPr="00F26253" w:rsidRDefault="000C56F3" w:rsidP="00104228">
            <w:pPr>
              <w:pStyle w:val="TableText"/>
              <w:rPr>
                <w:rFonts w:eastAsia="Arial Unicode MS"/>
              </w:rPr>
            </w:pPr>
            <w:r>
              <w:rPr>
                <w:rFonts w:eastAsia="Arial Unicode MS"/>
              </w:rPr>
              <w:t>Region X</w:t>
            </w:r>
          </w:p>
        </w:tc>
        <w:tc>
          <w:tcPr>
            <w:tcW w:w="1801" w:type="dxa"/>
          </w:tcPr>
          <w:p w:rsidR="000C56F3" w:rsidRPr="001422E5" w:rsidRDefault="000C56F3" w:rsidP="00104228">
            <w:pPr>
              <w:jc w:val="center"/>
            </w:pPr>
            <w:r w:rsidRPr="001422E5">
              <w:t>350</w:t>
            </w:r>
          </w:p>
        </w:tc>
      </w:tr>
      <w:tr w:rsidR="000C56F3" w:rsidRPr="001422E5" w:rsidTr="00104228">
        <w:tc>
          <w:tcPr>
            <w:tcW w:w="2521" w:type="dxa"/>
          </w:tcPr>
          <w:p w:rsidR="000C56F3" w:rsidRPr="001422E5" w:rsidRDefault="000C56F3" w:rsidP="00104228">
            <w:pPr>
              <w:rPr>
                <w:rFonts w:eastAsia="Arial Unicode MS"/>
                <w:b/>
              </w:rPr>
            </w:pPr>
            <w:r w:rsidRPr="001422E5">
              <w:rPr>
                <w:b/>
              </w:rPr>
              <w:t>Bi-annual Total</w:t>
            </w:r>
          </w:p>
        </w:tc>
        <w:tc>
          <w:tcPr>
            <w:tcW w:w="1801" w:type="dxa"/>
          </w:tcPr>
          <w:p w:rsidR="000C56F3" w:rsidRPr="001422E5" w:rsidRDefault="000C56F3" w:rsidP="00104228">
            <w:pPr>
              <w:jc w:val="center"/>
              <w:rPr>
                <w:rFonts w:eastAsia="Arial Unicode MS"/>
                <w:b/>
              </w:rPr>
            </w:pPr>
            <w:r w:rsidRPr="001422E5">
              <w:rPr>
                <w:b/>
              </w:rPr>
              <w:t>3</w:t>
            </w:r>
            <w:r>
              <w:rPr>
                <w:b/>
              </w:rPr>
              <w:t>,</w:t>
            </w:r>
            <w:r w:rsidRPr="001422E5">
              <w:rPr>
                <w:b/>
              </w:rPr>
              <w:t>500</w:t>
            </w:r>
          </w:p>
        </w:tc>
      </w:tr>
    </w:tbl>
    <w:p w:rsidR="000C56F3" w:rsidRPr="001422E5" w:rsidRDefault="000C56F3" w:rsidP="000C56F3">
      <w:pPr>
        <w:tabs>
          <w:tab w:val="left" w:pos="-720"/>
          <w:tab w:val="num" w:pos="0"/>
        </w:tabs>
        <w:suppressAutoHyphens/>
        <w:rPr>
          <w:highlight w:val="yellow"/>
        </w:rPr>
      </w:pPr>
    </w:p>
    <w:p w:rsidR="000C56F3" w:rsidRPr="001422E5" w:rsidRDefault="000C56F3" w:rsidP="000C56F3">
      <w:pPr>
        <w:tabs>
          <w:tab w:val="left" w:pos="-720"/>
          <w:tab w:val="num" w:pos="0"/>
        </w:tabs>
        <w:suppressAutoHyphens/>
        <w:rPr>
          <w:highlight w:val="yellow"/>
        </w:rPr>
      </w:pPr>
    </w:p>
    <w:p w:rsidR="000C56F3" w:rsidRPr="00827803" w:rsidRDefault="000C56F3" w:rsidP="000C56F3">
      <w:pPr>
        <w:tabs>
          <w:tab w:val="left" w:pos="-720"/>
          <w:tab w:val="num" w:pos="0"/>
        </w:tabs>
        <w:suppressAutoHyphens/>
      </w:pPr>
      <w:r w:rsidRPr="00827803">
        <w:t xml:space="preserve">In addition to the bi-annual regional total above, there will be a </w:t>
      </w:r>
      <w:r w:rsidRPr="00827803">
        <w:t xml:space="preserve">stratified random national sample </w:t>
      </w:r>
      <w:r w:rsidRPr="00827803">
        <w:t>350 from 10 regions</w:t>
      </w:r>
      <w:r w:rsidRPr="00827803">
        <w:t xml:space="preserve">. i.e., 3,500 collected every two years as well totaling 6,500 bi-annual respondents.  Therefore, 9,750 respondents will be in the three year period and there is average of 3,250 respondents per year.  This will result in a total of 6,500 interviews in each survey cycle, which is 2 years in duration.  These phone interviews will be placed using Random Digit Dialing technology, which guarantees equal probability of selection to all households containing at least one working residential telephone number.  Respondents are selected without replacement also so that the same person </w:t>
      </w:r>
      <w:proofErr w:type="spellStart"/>
      <w:r w:rsidRPr="00827803">
        <w:t>can not</w:t>
      </w:r>
      <w:proofErr w:type="spellEnd"/>
      <w:r w:rsidRPr="00827803">
        <w:t xml:space="preserve"> be called for a regional sample and a national sample as well.  The same form is given to both the regional respondents as well as the national.  </w:t>
      </w:r>
    </w:p>
    <w:p w:rsidR="000C56F3" w:rsidRPr="001422E5" w:rsidRDefault="000C56F3" w:rsidP="000C56F3">
      <w:pPr>
        <w:tabs>
          <w:tab w:val="left" w:pos="-720"/>
          <w:tab w:val="num" w:pos="0"/>
        </w:tabs>
        <w:suppressAutoHyphens/>
      </w:pPr>
    </w:p>
    <w:p w:rsidR="000C56F3" w:rsidRPr="001422E5" w:rsidRDefault="000C56F3" w:rsidP="000C56F3">
      <w:pPr>
        <w:tabs>
          <w:tab w:val="left" w:pos="-720"/>
          <w:tab w:val="num" w:pos="0"/>
        </w:tabs>
        <w:suppressAutoHyphens/>
      </w:pPr>
      <w:r w:rsidRPr="001422E5">
        <w:t xml:space="preserve">Additionally, the calls will be made during weekday, weeknight, and weekends to ensure better representation.  Under the direction of a Senior Analyst, results will be weighed according to known parameters, such as age, gender, and race.  This allows the researcher to be confident that the sample frame is a scientifically valid representation of the </w:t>
      </w:r>
      <w:smartTag w:uri="urn:schemas-microsoft-com:office:smarttags" w:element="place">
        <w:smartTag w:uri="urn:schemas-microsoft-com:office:smarttags" w:element="country-region">
          <w:r w:rsidRPr="001422E5">
            <w:t>U.S.</w:t>
          </w:r>
        </w:smartTag>
      </w:smartTag>
      <w:r w:rsidRPr="001422E5">
        <w:t xml:space="preserve"> population. The national response rate for the last cycle of this survey was 80%; we expect future surveys to achieve a similar response rate.</w:t>
      </w:r>
    </w:p>
    <w:p w:rsidR="000C56F3" w:rsidRDefault="000C56F3" w:rsidP="000C56F3">
      <w:pPr>
        <w:pStyle w:val="ResponseLvl2"/>
      </w:pPr>
    </w:p>
    <w:p w:rsidR="000C56F3" w:rsidRDefault="000C56F3" w:rsidP="000C56F3">
      <w:pPr>
        <w:pStyle w:val="ResponseLvl2"/>
      </w:pPr>
      <w:bookmarkStart w:id="0" w:name="OLE_LINK1"/>
      <w:bookmarkStart w:id="1" w:name="OLE_LINK2"/>
      <w:r>
        <w:t>Stratified Random Sample:</w:t>
      </w:r>
    </w:p>
    <w:p w:rsidR="000C56F3" w:rsidRDefault="000C56F3" w:rsidP="000C56F3">
      <w:pPr>
        <w:pStyle w:val="ResponseLvl2"/>
      </w:pPr>
      <w:r>
        <w:t xml:space="preserve">The </w:t>
      </w:r>
      <w:r w:rsidRPr="00F26253">
        <w:t>survey employ</w:t>
      </w:r>
      <w:r>
        <w:t>s</w:t>
      </w:r>
      <w:r w:rsidRPr="00F26253">
        <w:t xml:space="preserve"> </w:t>
      </w:r>
      <w:r>
        <w:t xml:space="preserve">a </w:t>
      </w:r>
      <w:r w:rsidRPr="00F26253">
        <w:t xml:space="preserve">random sample selection based on a 95 percent confidence level and a margin of error of </w:t>
      </w:r>
      <w:r w:rsidRPr="00F26253">
        <w:rPr>
          <w:vertAlign w:val="superscript"/>
        </w:rPr>
        <w:t>±</w:t>
      </w:r>
      <w:r>
        <w:rPr>
          <w:vertAlign w:val="superscript"/>
        </w:rPr>
        <w:t xml:space="preserve"> </w:t>
      </w:r>
      <w:r>
        <w:t>2</w:t>
      </w:r>
      <w:r w:rsidRPr="00F26253">
        <w:t xml:space="preserve"> percentage points</w:t>
      </w:r>
      <w:r>
        <w:t>.</w:t>
      </w:r>
    </w:p>
    <w:p w:rsidR="000C56F3" w:rsidRDefault="000C56F3" w:rsidP="000C56F3">
      <w:pPr>
        <w:pStyle w:val="ResponseLvl2"/>
      </w:pPr>
      <w:r w:rsidRPr="00F26253">
        <w:t>A description of the strata for each site that has elected to use a s</w:t>
      </w:r>
      <w:r>
        <w:t>tratified sample is shown below.</w:t>
      </w:r>
    </w:p>
    <w:p w:rsidR="000C56F3" w:rsidRPr="00F26253" w:rsidRDefault="000C56F3" w:rsidP="000C56F3">
      <w:pPr>
        <w:pStyle w:val="ResponseLvl2"/>
      </w:pPr>
      <w:r>
        <w:t>T</w:t>
      </w:r>
      <w:r w:rsidRPr="00F26253">
        <w:t xml:space="preserve">he simplest form of stratified sampling has been implemented where an </w:t>
      </w:r>
      <w:smartTag w:uri="urn:schemas-microsoft-com:office:smarttags" w:element="stockticker">
        <w:r w:rsidRPr="00F26253">
          <w:t>SRS</w:t>
        </w:r>
      </w:smartTag>
      <w:r w:rsidRPr="00F26253">
        <w:t xml:space="preserve"> is taken from each stratum. </w:t>
      </w:r>
      <w:r>
        <w:t xml:space="preserve"> </w:t>
      </w:r>
      <w:r w:rsidRPr="00F26253">
        <w:t>The variance estimate for each stratum is calculated by using standard statistical formulas as shown below.</w:t>
      </w:r>
    </w:p>
    <w:p w:rsidR="000C56F3" w:rsidRPr="00F26253" w:rsidRDefault="000C56F3" w:rsidP="000C56F3">
      <w:pPr>
        <w:pStyle w:val="ResponseLvl2"/>
        <w:keepNext/>
      </w:pPr>
      <w:r w:rsidRPr="00F26253">
        <w:t>The estimated variance for</w:t>
      </w:r>
      <w:r w:rsidRPr="00F26253">
        <w:rPr>
          <w:position w:val="-12"/>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8pt" o:ole="">
            <v:imagedata r:id="rId8" o:title=""/>
          </v:shape>
          <o:OLEObject Type="Embed" ProgID="Equation.3" ShapeID="_x0000_i1026" DrawAspect="Content" ObjectID="_1329228461" r:id="rId9"/>
        </w:object>
      </w:r>
      <w:r w:rsidRPr="00F26253">
        <w:t xml:space="preserve">, an estimate of a population proportion in stratum </w:t>
      </w:r>
      <w:proofErr w:type="spellStart"/>
      <w:r w:rsidRPr="00F26253">
        <w:rPr>
          <w:i/>
        </w:rPr>
        <w:t>i</w:t>
      </w:r>
      <w:proofErr w:type="spellEnd"/>
      <w:r w:rsidRPr="00F26253">
        <w:t xml:space="preserve"> where stratum </w:t>
      </w:r>
      <w:proofErr w:type="spellStart"/>
      <w:r w:rsidRPr="00F26253">
        <w:rPr>
          <w:i/>
        </w:rPr>
        <w:t>i</w:t>
      </w:r>
      <w:proofErr w:type="spellEnd"/>
      <w:r w:rsidRPr="00F26253">
        <w:t xml:space="preserve"> = 1, 2</w:t>
      </w:r>
      <w:proofErr w:type="gramStart"/>
      <w:r w:rsidRPr="00F26253">
        <w:t>,…,</w:t>
      </w:r>
      <w:proofErr w:type="gramEnd"/>
      <w:r w:rsidRPr="00F26253">
        <w:t xml:space="preserve"> n, is given by</w:t>
      </w:r>
      <w:r w:rsidRPr="00F26253">
        <w:rPr>
          <w:rStyle w:val="FootnoteReference"/>
        </w:rPr>
        <w:footnoteReference w:id="1"/>
      </w:r>
    </w:p>
    <w:p w:rsidR="000C56F3" w:rsidRPr="00F26253" w:rsidRDefault="000C56F3" w:rsidP="000C56F3">
      <w:pPr>
        <w:pStyle w:val="ResponseLvl2"/>
        <w:tabs>
          <w:tab w:val="right" w:pos="8640"/>
        </w:tabs>
      </w:pPr>
      <w:r w:rsidRPr="00F26253">
        <w:rPr>
          <w:position w:val="-30"/>
        </w:rPr>
        <w:object w:dxaOrig="2760" w:dyaOrig="680">
          <v:shape id="_x0000_i1027" type="#_x0000_t75" style="width:165.75pt;height:40.5pt" o:ole="">
            <v:imagedata r:id="rId10" o:title=""/>
          </v:shape>
          <o:OLEObject Type="Embed" ProgID="Equation.3" ShapeID="_x0000_i1027" DrawAspect="Content" ObjectID="_1329228462" r:id="rId11"/>
        </w:object>
      </w:r>
      <w:r w:rsidRPr="00F26253">
        <w:tab/>
        <w:t>(1)</w:t>
      </w:r>
    </w:p>
    <w:p w:rsidR="000C56F3" w:rsidRPr="00F26253" w:rsidRDefault="000C56F3" w:rsidP="000C56F3">
      <w:pPr>
        <w:pStyle w:val="ResponseLvl2"/>
      </w:pPr>
      <w:r w:rsidRPr="00F26253">
        <w:t>The estimated variance for the estimated population proportion of a stratified sample</w:t>
      </w:r>
      <w:proofErr w:type="gramStart"/>
      <w:r w:rsidRPr="00F26253">
        <w:t xml:space="preserve">, </w:t>
      </w:r>
      <w:proofErr w:type="gramEnd"/>
      <w:r w:rsidRPr="00F26253">
        <w:rPr>
          <w:position w:val="-12"/>
        </w:rPr>
        <w:object w:dxaOrig="400" w:dyaOrig="360">
          <v:shape id="_x0000_i1028" type="#_x0000_t75" style="width:20.25pt;height:18pt" o:ole="">
            <v:imagedata r:id="rId12" o:title=""/>
          </v:shape>
          <o:OLEObject Type="Embed" ProgID="Equation.3" ShapeID="_x0000_i1028" DrawAspect="Content" ObjectID="_1329228463" r:id="rId13"/>
        </w:object>
      </w:r>
      <w:r w:rsidRPr="00F26253">
        <w:t>, can be calculated by</w:t>
      </w:r>
      <w:r w:rsidRPr="00F26253">
        <w:rPr>
          <w:rStyle w:val="FootnoteReference"/>
        </w:rPr>
        <w:footnoteReference w:id="2"/>
      </w:r>
    </w:p>
    <w:p w:rsidR="000C56F3" w:rsidRPr="00F26253" w:rsidRDefault="000C56F3" w:rsidP="000C56F3">
      <w:pPr>
        <w:pStyle w:val="ResponseLvl2"/>
        <w:tabs>
          <w:tab w:val="right" w:pos="8640"/>
        </w:tabs>
      </w:pPr>
      <w:r w:rsidRPr="00F26253">
        <w:rPr>
          <w:position w:val="-24"/>
        </w:rPr>
        <w:object w:dxaOrig="2659" w:dyaOrig="620">
          <v:shape id="_x0000_i1029" type="#_x0000_t75" style="width:153pt;height:35.25pt" o:ole="">
            <v:imagedata r:id="rId14" o:title=""/>
          </v:shape>
          <o:OLEObject Type="Embed" ProgID="Equation.3" ShapeID="_x0000_i1029" DrawAspect="Content" ObjectID="_1329228464" r:id="rId15"/>
        </w:object>
      </w:r>
      <w:r w:rsidRPr="00F26253">
        <w:tab/>
        <w:t>(2)</w:t>
      </w:r>
    </w:p>
    <w:p w:rsidR="000C56F3" w:rsidRPr="00F26253" w:rsidRDefault="000C56F3" w:rsidP="000C56F3">
      <w:pPr>
        <w:pStyle w:val="ResponseLvl2"/>
      </w:pPr>
      <w:r w:rsidRPr="00F26253">
        <w:t xml:space="preserve">The estimated variance for the estimated population proportion of an </w:t>
      </w:r>
      <w:smartTag w:uri="urn:schemas-microsoft-com:office:smarttags" w:element="stockticker">
        <w:r w:rsidRPr="00F26253">
          <w:t>SRS</w:t>
        </w:r>
      </w:smartTag>
      <w:proofErr w:type="gramStart"/>
      <w:r w:rsidRPr="00F26253">
        <w:t xml:space="preserve">, </w:t>
      </w:r>
      <w:proofErr w:type="gramEnd"/>
      <w:r w:rsidRPr="00F26253">
        <w:rPr>
          <w:position w:val="-12"/>
        </w:rPr>
        <w:object w:dxaOrig="480" w:dyaOrig="360">
          <v:shape id="_x0000_i1030" type="#_x0000_t75" style="width:24pt;height:18pt" o:ole="">
            <v:imagedata r:id="rId16" o:title=""/>
          </v:shape>
          <o:OLEObject Type="Embed" ProgID="Equation.3" ShapeID="_x0000_i1030" DrawAspect="Content" ObjectID="_1329228465" r:id="rId17"/>
        </w:object>
      </w:r>
      <w:r w:rsidRPr="00F26253">
        <w:t>, can be calculated by</w:t>
      </w:r>
      <w:r w:rsidRPr="00F26253">
        <w:rPr>
          <w:rStyle w:val="FootnoteReference"/>
        </w:rPr>
        <w:footnoteReference w:id="3"/>
      </w:r>
    </w:p>
    <w:p w:rsidR="000C56F3" w:rsidRPr="00F26253" w:rsidRDefault="000C56F3" w:rsidP="000C56F3">
      <w:pPr>
        <w:pStyle w:val="ResponseLvl2"/>
        <w:tabs>
          <w:tab w:val="right" w:pos="8640"/>
        </w:tabs>
      </w:pPr>
      <w:r w:rsidRPr="00F26253">
        <w:rPr>
          <w:position w:val="-28"/>
        </w:rPr>
        <w:object w:dxaOrig="2799" w:dyaOrig="680">
          <v:shape id="_x0000_i1031" type="#_x0000_t75" style="width:161.25pt;height:39pt" o:ole="">
            <v:imagedata r:id="rId18" o:title=""/>
          </v:shape>
          <o:OLEObject Type="Embed" ProgID="Equation.3" ShapeID="_x0000_i1031" DrawAspect="Content" ObjectID="_1329228466" r:id="rId19"/>
        </w:object>
      </w:r>
      <w:r w:rsidRPr="00F26253">
        <w:tab/>
        <w:t>(3)</w:t>
      </w:r>
    </w:p>
    <w:p w:rsidR="000C56F3" w:rsidRPr="00F26253" w:rsidRDefault="000C56F3" w:rsidP="000C56F3">
      <w:pPr>
        <w:pStyle w:val="ResponseLvl2"/>
      </w:pPr>
      <w:r w:rsidRPr="00F26253">
        <w:t xml:space="preserve">The design effect, </w:t>
      </w:r>
      <w:proofErr w:type="spellStart"/>
      <w:r w:rsidRPr="00F26253">
        <w:rPr>
          <w:i/>
        </w:rPr>
        <w:t>deff</w:t>
      </w:r>
      <w:proofErr w:type="spellEnd"/>
      <w:r w:rsidRPr="00F26253">
        <w:t xml:space="preserve">, for a stratified sample over an </w:t>
      </w:r>
      <w:smartTag w:uri="urn:schemas-microsoft-com:office:smarttags" w:element="stockticker">
        <w:r w:rsidRPr="00F26253">
          <w:t>SRS</w:t>
        </w:r>
      </w:smartTag>
      <w:r w:rsidRPr="00F26253">
        <w:t xml:space="preserve"> can be shown by</w:t>
      </w:r>
      <w:r w:rsidRPr="00F26253">
        <w:rPr>
          <w:rStyle w:val="FootnoteReference"/>
        </w:rPr>
        <w:footnoteReference w:id="4"/>
      </w:r>
    </w:p>
    <w:p w:rsidR="000C56F3" w:rsidRPr="00F26253" w:rsidRDefault="000C56F3" w:rsidP="000C56F3">
      <w:pPr>
        <w:pStyle w:val="ResponseLvl2"/>
        <w:tabs>
          <w:tab w:val="right" w:pos="8640"/>
        </w:tabs>
      </w:pPr>
      <w:r w:rsidRPr="00F26253">
        <w:rPr>
          <w:position w:val="-30"/>
        </w:rPr>
        <w:object w:dxaOrig="8440" w:dyaOrig="680">
          <v:shape id="_x0000_i1032" type="#_x0000_t75" style="width:5in;height:28.5pt" o:ole="">
            <v:imagedata r:id="rId20" o:title=""/>
          </v:shape>
          <o:OLEObject Type="Embed" ProgID="Equation.3" ShapeID="_x0000_i1032" DrawAspect="Content" ObjectID="_1329228467" r:id="rId21"/>
        </w:object>
      </w:r>
      <w:r>
        <w:tab/>
      </w:r>
      <w:r w:rsidRPr="00F26253">
        <w:t>(4)</w:t>
      </w:r>
    </w:p>
    <w:p w:rsidR="000C56F3" w:rsidRPr="00F26253" w:rsidRDefault="000C56F3" w:rsidP="000C56F3">
      <w:pPr>
        <w:pStyle w:val="ResponseLvl2"/>
      </w:pPr>
      <w:r w:rsidRPr="00F26253">
        <w:t xml:space="preserve">For each </w:t>
      </w:r>
      <w:r>
        <w:t>regional</w:t>
      </w:r>
      <w:r w:rsidRPr="00F26253">
        <w:t xml:space="preserve"> stratified sample, </w:t>
      </w:r>
      <w:r>
        <w:t xml:space="preserve">the table </w:t>
      </w:r>
      <w:r w:rsidRPr="00F26253">
        <w:t>provides the following information:</w:t>
      </w:r>
    </w:p>
    <w:p w:rsidR="000C56F3" w:rsidRPr="00F26253" w:rsidRDefault="000C56F3" w:rsidP="000C56F3">
      <w:pPr>
        <w:pStyle w:val="Bullet"/>
      </w:pPr>
      <w:r w:rsidRPr="00F26253">
        <w:t>Name of each stratum</w:t>
      </w:r>
    </w:p>
    <w:p w:rsidR="000C56F3" w:rsidRPr="00F26253" w:rsidRDefault="000C56F3" w:rsidP="000C56F3">
      <w:pPr>
        <w:pStyle w:val="Bullet"/>
      </w:pPr>
      <w:r w:rsidRPr="00F26253">
        <w:lastRenderedPageBreak/>
        <w:t>Universe for each stratum</w:t>
      </w:r>
    </w:p>
    <w:p w:rsidR="000C56F3" w:rsidRPr="00F26253" w:rsidRDefault="000C56F3" w:rsidP="000C56F3">
      <w:pPr>
        <w:pStyle w:val="Bullet"/>
      </w:pPr>
      <w:r w:rsidRPr="00F26253">
        <w:t xml:space="preserve">Sample size for each stratum </w:t>
      </w:r>
    </w:p>
    <w:p w:rsidR="000C56F3" w:rsidRPr="00F26253" w:rsidRDefault="000C56F3" w:rsidP="000C56F3">
      <w:pPr>
        <w:pStyle w:val="Bullet"/>
      </w:pPr>
      <w:r w:rsidRPr="00F26253">
        <w:t>Estimated variance, standard error, and margin of error for each stratum</w:t>
      </w:r>
    </w:p>
    <w:p w:rsidR="000C56F3" w:rsidRPr="00F26253" w:rsidRDefault="000C56F3" w:rsidP="000C56F3">
      <w:pPr>
        <w:pStyle w:val="Bullet"/>
      </w:pPr>
      <w:r w:rsidRPr="00F26253">
        <w:t>Estimated variance for each stratified sample</w:t>
      </w:r>
    </w:p>
    <w:p w:rsidR="000C56F3" w:rsidRPr="00F26253" w:rsidRDefault="000C56F3" w:rsidP="000C56F3">
      <w:pPr>
        <w:pStyle w:val="Bullet"/>
      </w:pPr>
      <w:r w:rsidRPr="00F26253">
        <w:t>Estimated variance for an SRS with the same number of observations as the stratified sample</w:t>
      </w:r>
    </w:p>
    <w:p w:rsidR="000C56F3" w:rsidRPr="00F26253" w:rsidRDefault="000C56F3" w:rsidP="000C56F3">
      <w:pPr>
        <w:pStyle w:val="Bullet"/>
      </w:pPr>
      <w:r w:rsidRPr="00F26253">
        <w:t>Estimated design effect for each stratified sample</w:t>
      </w:r>
    </w:p>
    <w:p w:rsidR="000C56F3" w:rsidRPr="00F26253" w:rsidRDefault="000C56F3" w:rsidP="000C56F3">
      <w:pPr>
        <w:pStyle w:val="ResponseLvl2"/>
      </w:pPr>
      <w:r w:rsidRPr="00F26253">
        <w:t xml:space="preserve">The </w:t>
      </w:r>
      <w:r w:rsidRPr="007B220B">
        <w:t xml:space="preserve">variances </w:t>
      </w:r>
      <w:r w:rsidRPr="00F26253">
        <w:t xml:space="preserve">in </w:t>
      </w:r>
      <w:r>
        <w:t xml:space="preserve">the table below </w:t>
      </w:r>
      <w:r w:rsidRPr="00F26253">
        <w:t xml:space="preserve">were calculated with the statistical formulas shown above. </w:t>
      </w:r>
      <w:r>
        <w:t xml:space="preserve"> </w:t>
      </w:r>
      <w:r w:rsidRPr="00F26253">
        <w:t xml:space="preserve">In the surveys the proportion, </w:t>
      </w:r>
      <w:r w:rsidRPr="00F26253">
        <w:rPr>
          <w:i/>
        </w:rPr>
        <w:t>p</w:t>
      </w:r>
      <w:r w:rsidRPr="00F26253">
        <w:t>, will be different for each question on the questionnaire.</w:t>
      </w:r>
      <w:r>
        <w:t xml:space="preserve"> </w:t>
      </w:r>
      <w:r w:rsidRPr="00F26253">
        <w:t xml:space="preserve">Therefore, in the calculations in </w:t>
      </w:r>
      <w:r>
        <w:t>table</w:t>
      </w:r>
      <w:r w:rsidRPr="00F26253">
        <w:t xml:space="preserve"> we used conservative estimates, </w:t>
      </w:r>
      <w:r w:rsidRPr="00F26253">
        <w:rPr>
          <w:position w:val="-12"/>
        </w:rPr>
        <w:object w:dxaOrig="279" w:dyaOrig="360">
          <v:shape id="_x0000_i1033" type="#_x0000_t75" style="width:14.25pt;height:18pt" o:ole="">
            <v:imagedata r:id="rId8" o:title=""/>
          </v:shape>
          <o:OLEObject Type="Embed" ProgID="Equation.3" ShapeID="_x0000_i1033" DrawAspect="Content" ObjectID="_1329228468" r:id="rId22"/>
        </w:object>
      </w:r>
      <w:r w:rsidRPr="00F26253">
        <w:t xml:space="preserve">= 0.5 and </w:t>
      </w:r>
      <w:r w:rsidRPr="00F26253">
        <w:rPr>
          <w:position w:val="-10"/>
        </w:rPr>
        <w:object w:dxaOrig="240" w:dyaOrig="340">
          <v:shape id="_x0000_i1034" type="#_x0000_t75" style="width:12pt;height:17.25pt" o:ole="">
            <v:imagedata r:id="rId23" o:title=""/>
          </v:shape>
          <o:OLEObject Type="Embed" ProgID="Equation.3" ShapeID="_x0000_i1034" DrawAspect="Content" ObjectID="_1329228469" r:id="rId24"/>
        </w:object>
      </w:r>
      <w:r w:rsidRPr="00F26253">
        <w:t xml:space="preserve">=0.5. </w:t>
      </w:r>
      <w:r>
        <w:t xml:space="preserve"> </w:t>
      </w:r>
      <w:r w:rsidRPr="00F26253">
        <w:t>The standard error,</w:t>
      </w:r>
      <w:r w:rsidRPr="00F26253">
        <w:rPr>
          <w:position w:val="-6"/>
        </w:rPr>
        <w:object w:dxaOrig="360" w:dyaOrig="279">
          <v:shape id="_x0000_i1035" type="#_x0000_t75" style="width:18pt;height:14.25pt" o:ole="">
            <v:imagedata r:id="rId25" o:title=""/>
          </v:shape>
          <o:OLEObject Type="Embed" ProgID="Equation.3" ShapeID="_x0000_i1035" DrawAspect="Content" ObjectID="_1329228470" r:id="rId26"/>
        </w:object>
      </w:r>
      <w:proofErr w:type="gramStart"/>
      <w:r w:rsidRPr="00F26253">
        <w:t>,</w:t>
      </w:r>
      <w:proofErr w:type="gramEnd"/>
      <w:r w:rsidRPr="00F26253">
        <w:t xml:space="preserve"> is calculated as the square root of the variance and the margin of error, </w:t>
      </w:r>
      <w:r w:rsidRPr="00F26253">
        <w:rPr>
          <w:position w:val="-4"/>
        </w:rPr>
        <w:object w:dxaOrig="440" w:dyaOrig="260">
          <v:shape id="_x0000_i1036" type="#_x0000_t75" style="width:21.75pt;height:12.75pt" o:ole="">
            <v:imagedata r:id="rId27" o:title=""/>
          </v:shape>
          <o:OLEObject Type="Embed" ProgID="Equation.3" ShapeID="_x0000_i1036" DrawAspect="Content" ObjectID="_1329228471" r:id="rId28"/>
        </w:object>
      </w:r>
      <w:r w:rsidRPr="00F26253">
        <w:t>, is calculated as the standard error multiplied by 1.96.</w:t>
      </w:r>
    </w:p>
    <w:p w:rsidR="000C56F3" w:rsidRDefault="000C56F3" w:rsidP="000C56F3">
      <w:pPr>
        <w:pStyle w:val="ResponseLvl2"/>
      </w:pPr>
      <w:r w:rsidRPr="00F26253">
        <w:t xml:space="preserve">If a </w:t>
      </w:r>
      <w:r>
        <w:t xml:space="preserve">region </w:t>
      </w:r>
      <w:r w:rsidRPr="00F26253">
        <w:t>were to elect to use a complex survey design other than a stratified sample, standard statistical formulas for that precise sampling design would be used to calculate the sampling size, variance, standard error, and margin of error.</w:t>
      </w:r>
    </w:p>
    <w:p w:rsidR="000C56F3" w:rsidRDefault="000C56F3" w:rsidP="000C56F3">
      <w:pPr>
        <w:pStyle w:val="ResponseLvl2"/>
      </w:pPr>
      <w:r>
        <w:br w:type="page"/>
      </w:r>
      <w:bookmarkEnd w:id="0"/>
      <w:bookmarkEnd w:id="1"/>
    </w:p>
    <w:tbl>
      <w:tblPr>
        <w:tblW w:w="19120" w:type="dxa"/>
        <w:tblInd w:w="108" w:type="dxa"/>
        <w:tblLook w:val="04A0"/>
      </w:tblPr>
      <w:tblGrid>
        <w:gridCol w:w="1350"/>
        <w:gridCol w:w="1350"/>
        <w:gridCol w:w="1487"/>
        <w:gridCol w:w="1176"/>
        <w:gridCol w:w="1176"/>
        <w:gridCol w:w="1176"/>
        <w:gridCol w:w="1516"/>
        <w:gridCol w:w="1176"/>
        <w:gridCol w:w="1076"/>
        <w:gridCol w:w="1316"/>
        <w:gridCol w:w="937"/>
        <w:gridCol w:w="436"/>
        <w:gridCol w:w="1736"/>
        <w:gridCol w:w="1616"/>
        <w:gridCol w:w="1596"/>
      </w:tblGrid>
      <w:tr w:rsidR="000C56F3" w:rsidRPr="00374CF5" w:rsidTr="00104228">
        <w:trPr>
          <w:trHeight w:val="270"/>
        </w:trPr>
        <w:tc>
          <w:tcPr>
            <w:tcW w:w="1350" w:type="dxa"/>
            <w:tcBorders>
              <w:top w:val="single" w:sz="12" w:space="0" w:color="C0C0C0"/>
              <w:left w:val="nil"/>
              <w:bottom w:val="nil"/>
              <w:right w:val="nil"/>
            </w:tcBorders>
            <w:shd w:val="clear" w:color="auto" w:fill="auto"/>
            <w:vAlign w:val="bottom"/>
            <w:hideMark/>
          </w:tcPr>
          <w:p w:rsidR="000C56F3" w:rsidRPr="00374CF5" w:rsidRDefault="000C56F3" w:rsidP="00104228">
            <w:pPr>
              <w:jc w:val="center"/>
              <w:rPr>
                <w:rFonts w:ascii="Arial" w:hAnsi="Arial" w:cs="Arial"/>
                <w:b/>
                <w:bCs/>
                <w:color w:val="000000"/>
                <w:sz w:val="16"/>
                <w:szCs w:val="16"/>
              </w:rPr>
            </w:pPr>
            <w:r w:rsidRPr="00374CF5">
              <w:rPr>
                <w:rFonts w:ascii="Arial" w:hAnsi="Arial" w:cs="Arial"/>
                <w:b/>
                <w:bCs/>
                <w:color w:val="000000"/>
                <w:sz w:val="16"/>
                <w:szCs w:val="16"/>
              </w:rPr>
              <w:lastRenderedPageBreak/>
              <w:t>Total Sample</w:t>
            </w:r>
          </w:p>
        </w:tc>
        <w:tc>
          <w:tcPr>
            <w:tcW w:w="1350" w:type="dxa"/>
            <w:tcBorders>
              <w:top w:val="single" w:sz="12" w:space="0" w:color="C0C0C0"/>
              <w:left w:val="nil"/>
              <w:bottom w:val="nil"/>
              <w:right w:val="nil"/>
            </w:tcBorders>
            <w:shd w:val="clear" w:color="auto" w:fill="auto"/>
            <w:vAlign w:val="bottom"/>
            <w:hideMark/>
          </w:tcPr>
          <w:p w:rsidR="000C56F3" w:rsidRPr="00374CF5" w:rsidRDefault="000C56F3" w:rsidP="00104228">
            <w:pPr>
              <w:jc w:val="center"/>
              <w:rPr>
                <w:rFonts w:ascii="Arial" w:hAnsi="Arial" w:cs="Arial"/>
                <w:b/>
                <w:bCs/>
                <w:color w:val="000000"/>
                <w:sz w:val="16"/>
                <w:szCs w:val="16"/>
              </w:rPr>
            </w:pPr>
            <w:r w:rsidRPr="00374CF5">
              <w:rPr>
                <w:rFonts w:ascii="Arial" w:hAnsi="Arial" w:cs="Arial"/>
                <w:b/>
                <w:bCs/>
                <w:color w:val="000000"/>
                <w:sz w:val="16"/>
                <w:szCs w:val="16"/>
              </w:rPr>
              <w:t>Universe:</w:t>
            </w:r>
          </w:p>
        </w:tc>
        <w:tc>
          <w:tcPr>
            <w:tcW w:w="1487" w:type="dxa"/>
            <w:vMerge w:val="restart"/>
            <w:tcBorders>
              <w:top w:val="single" w:sz="12" w:space="0" w:color="C0C0C0"/>
              <w:left w:val="nil"/>
              <w:bottom w:val="double" w:sz="6" w:space="0" w:color="000000"/>
              <w:right w:val="nil"/>
            </w:tcBorders>
            <w:shd w:val="clear" w:color="auto" w:fill="auto"/>
            <w:vAlign w:val="bottom"/>
            <w:hideMark/>
          </w:tcPr>
          <w:p w:rsidR="000C56F3" w:rsidRPr="00374CF5" w:rsidRDefault="000C56F3" w:rsidP="00104228">
            <w:pPr>
              <w:jc w:val="center"/>
              <w:rPr>
                <w:rFonts w:ascii="Arial" w:hAnsi="Arial" w:cs="Arial"/>
                <w:b/>
                <w:bCs/>
                <w:color w:val="000000"/>
                <w:sz w:val="16"/>
                <w:szCs w:val="16"/>
              </w:rPr>
            </w:pPr>
            <w:r>
              <w:rPr>
                <w:rFonts w:ascii="Arial" w:hAnsi="Arial" w:cs="Arial"/>
                <w:b/>
                <w:bCs/>
                <w:color w:val="000000"/>
                <w:sz w:val="16"/>
                <w:szCs w:val="16"/>
              </w:rPr>
              <w:t>Sample Size</w:t>
            </w:r>
          </w:p>
        </w:tc>
        <w:tc>
          <w:tcPr>
            <w:tcW w:w="1176" w:type="dxa"/>
            <w:vMerge w:val="restart"/>
            <w:tcBorders>
              <w:top w:val="nil"/>
              <w:left w:val="nil"/>
              <w:bottom w:val="double" w:sz="6" w:space="0" w:color="000000"/>
              <w:right w:val="nil"/>
            </w:tcBorders>
            <w:shd w:val="clear" w:color="auto" w:fill="auto"/>
            <w:noWrap/>
            <w:vAlign w:val="bottom"/>
            <w:hideMark/>
          </w:tcPr>
          <w:p w:rsidR="000C56F3" w:rsidRPr="00374CF5" w:rsidRDefault="000C56F3" w:rsidP="00104228">
            <w:pPr>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0288" behindDoc="0" locked="0" layoutInCell="1" allowOverlap="0">
                  <wp:simplePos x="0" y="0"/>
                  <wp:positionH relativeFrom="column">
                    <wp:posOffset>95250</wp:posOffset>
                  </wp:positionH>
                  <wp:positionV relativeFrom="paragraph">
                    <wp:posOffset>19050</wp:posOffset>
                  </wp:positionV>
                  <wp:extent cx="400050" cy="15240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srcRect/>
                          <a:stretch>
                            <a:fillRect/>
                          </a:stretch>
                        </pic:blipFill>
                        <pic:spPr bwMode="auto">
                          <a:xfrm>
                            <a:off x="0" y="0"/>
                            <a:ext cx="400050" cy="15240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0C56F3" w:rsidRPr="00374CF5" w:rsidTr="00104228">
              <w:trPr>
                <w:trHeight w:val="184"/>
                <w:tblCellSpacing w:w="0" w:type="dxa"/>
              </w:trPr>
              <w:tc>
                <w:tcPr>
                  <w:tcW w:w="960" w:type="dxa"/>
                  <w:vMerge w:val="restart"/>
                  <w:tcBorders>
                    <w:top w:val="single" w:sz="12" w:space="0" w:color="C0C0C0"/>
                    <w:left w:val="nil"/>
                    <w:bottom w:val="double" w:sz="6" w:space="0" w:color="000000"/>
                    <w:right w:val="nil"/>
                  </w:tcBorders>
                  <w:shd w:val="clear" w:color="auto" w:fill="auto"/>
                  <w:noWrap/>
                  <w:vAlign w:val="bottom"/>
                  <w:hideMark/>
                </w:tcPr>
                <w:p w:rsidR="000C56F3" w:rsidRPr="00374CF5" w:rsidRDefault="000C56F3" w:rsidP="00104228">
                  <w:pPr>
                    <w:rPr>
                      <w:rFonts w:ascii="Arial" w:hAnsi="Arial" w:cs="Arial"/>
                      <w:b/>
                      <w:bCs/>
                      <w:color w:val="000000"/>
                      <w:sz w:val="16"/>
                      <w:szCs w:val="16"/>
                    </w:rPr>
                  </w:pPr>
                  <w:r w:rsidRPr="00374CF5">
                    <w:rPr>
                      <w:rFonts w:ascii="Arial" w:hAnsi="Arial" w:cs="Arial"/>
                      <w:b/>
                      <w:bCs/>
                      <w:color w:val="000000"/>
                      <w:sz w:val="16"/>
                      <w:szCs w:val="16"/>
                    </w:rPr>
                    <w:t> </w:t>
                  </w:r>
                </w:p>
              </w:tc>
            </w:tr>
            <w:tr w:rsidR="000C56F3" w:rsidRPr="00374CF5" w:rsidTr="00104228">
              <w:trPr>
                <w:trHeight w:val="184"/>
                <w:tblCellSpacing w:w="0" w:type="dxa"/>
              </w:trPr>
              <w:tc>
                <w:tcPr>
                  <w:tcW w:w="0" w:type="auto"/>
                  <w:vMerge/>
                  <w:tcBorders>
                    <w:top w:val="single" w:sz="12" w:space="0" w:color="C0C0C0"/>
                    <w:left w:val="nil"/>
                    <w:bottom w:val="double" w:sz="6" w:space="0" w:color="000000"/>
                    <w:right w:val="nil"/>
                  </w:tcBorders>
                  <w:vAlign w:val="center"/>
                  <w:hideMark/>
                </w:tcPr>
                <w:p w:rsidR="000C56F3" w:rsidRPr="00374CF5" w:rsidRDefault="000C56F3" w:rsidP="00104228">
                  <w:pPr>
                    <w:rPr>
                      <w:rFonts w:ascii="Arial" w:hAnsi="Arial" w:cs="Arial"/>
                      <w:b/>
                      <w:bCs/>
                      <w:color w:val="000000"/>
                      <w:sz w:val="16"/>
                      <w:szCs w:val="16"/>
                    </w:rPr>
                  </w:pPr>
                </w:p>
              </w:tc>
            </w:tr>
          </w:tbl>
          <w:p w:rsidR="000C56F3" w:rsidRPr="00374CF5" w:rsidRDefault="000C56F3" w:rsidP="00104228">
            <w:pPr>
              <w:rPr>
                <w:rFonts w:ascii="Arial" w:hAnsi="Arial" w:cs="Arial"/>
                <w:color w:val="000000"/>
                <w:sz w:val="20"/>
                <w:szCs w:val="20"/>
              </w:rPr>
            </w:pPr>
          </w:p>
        </w:tc>
        <w:tc>
          <w:tcPr>
            <w:tcW w:w="1176" w:type="dxa"/>
            <w:vMerge w:val="restart"/>
            <w:tcBorders>
              <w:top w:val="nil"/>
              <w:left w:val="nil"/>
              <w:bottom w:val="double" w:sz="6" w:space="0" w:color="000000"/>
              <w:right w:val="nil"/>
            </w:tcBorders>
            <w:shd w:val="clear" w:color="auto" w:fill="auto"/>
            <w:noWrap/>
            <w:vAlign w:val="bottom"/>
            <w:hideMark/>
          </w:tcPr>
          <w:p w:rsidR="000C56F3" w:rsidRPr="00374CF5" w:rsidRDefault="000C56F3" w:rsidP="00104228">
            <w:pPr>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1312" behindDoc="0" locked="0" layoutInCell="1" allowOverlap="0">
                  <wp:simplePos x="0" y="0"/>
                  <wp:positionH relativeFrom="column">
                    <wp:posOffset>0</wp:posOffset>
                  </wp:positionH>
                  <wp:positionV relativeFrom="paragraph">
                    <wp:posOffset>0</wp:posOffset>
                  </wp:positionV>
                  <wp:extent cx="476250" cy="171450"/>
                  <wp:effectExtent l="19050" t="0" r="0"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476250" cy="17145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0C56F3" w:rsidRPr="00374CF5" w:rsidTr="00104228">
              <w:trPr>
                <w:trHeight w:val="184"/>
                <w:tblCellSpacing w:w="0" w:type="dxa"/>
              </w:trPr>
              <w:tc>
                <w:tcPr>
                  <w:tcW w:w="960" w:type="dxa"/>
                  <w:vMerge w:val="restart"/>
                  <w:tcBorders>
                    <w:top w:val="single" w:sz="12" w:space="0" w:color="C0C0C0"/>
                    <w:left w:val="nil"/>
                    <w:bottom w:val="double" w:sz="6" w:space="0" w:color="000000"/>
                    <w:right w:val="nil"/>
                  </w:tcBorders>
                  <w:shd w:val="clear" w:color="auto" w:fill="auto"/>
                  <w:noWrap/>
                  <w:vAlign w:val="bottom"/>
                  <w:hideMark/>
                </w:tcPr>
                <w:p w:rsidR="000C56F3" w:rsidRPr="00374CF5" w:rsidRDefault="000C56F3" w:rsidP="00104228">
                  <w:pPr>
                    <w:rPr>
                      <w:rFonts w:ascii="Arial" w:hAnsi="Arial" w:cs="Arial"/>
                      <w:b/>
                      <w:bCs/>
                      <w:color w:val="000000"/>
                      <w:sz w:val="16"/>
                      <w:szCs w:val="16"/>
                    </w:rPr>
                  </w:pPr>
                  <w:r w:rsidRPr="00374CF5">
                    <w:rPr>
                      <w:rFonts w:ascii="Arial" w:hAnsi="Arial" w:cs="Arial"/>
                      <w:b/>
                      <w:bCs/>
                      <w:color w:val="000000"/>
                      <w:sz w:val="16"/>
                      <w:szCs w:val="16"/>
                    </w:rPr>
                    <w:t> </w:t>
                  </w:r>
                </w:p>
              </w:tc>
            </w:tr>
            <w:tr w:rsidR="000C56F3" w:rsidRPr="00374CF5" w:rsidTr="00104228">
              <w:trPr>
                <w:trHeight w:val="184"/>
                <w:tblCellSpacing w:w="0" w:type="dxa"/>
              </w:trPr>
              <w:tc>
                <w:tcPr>
                  <w:tcW w:w="0" w:type="auto"/>
                  <w:vMerge/>
                  <w:tcBorders>
                    <w:top w:val="single" w:sz="12" w:space="0" w:color="C0C0C0"/>
                    <w:left w:val="nil"/>
                    <w:bottom w:val="double" w:sz="6" w:space="0" w:color="000000"/>
                    <w:right w:val="nil"/>
                  </w:tcBorders>
                  <w:vAlign w:val="center"/>
                  <w:hideMark/>
                </w:tcPr>
                <w:p w:rsidR="000C56F3" w:rsidRPr="00374CF5" w:rsidRDefault="000C56F3" w:rsidP="00104228">
                  <w:pPr>
                    <w:rPr>
                      <w:rFonts w:ascii="Arial" w:hAnsi="Arial" w:cs="Arial"/>
                      <w:b/>
                      <w:bCs/>
                      <w:color w:val="000000"/>
                      <w:sz w:val="16"/>
                      <w:szCs w:val="16"/>
                    </w:rPr>
                  </w:pPr>
                </w:p>
              </w:tc>
            </w:tr>
          </w:tbl>
          <w:p w:rsidR="000C56F3" w:rsidRPr="00374CF5" w:rsidRDefault="000C56F3" w:rsidP="00104228">
            <w:pPr>
              <w:rPr>
                <w:rFonts w:ascii="Arial" w:hAnsi="Arial" w:cs="Arial"/>
                <w:color w:val="000000"/>
                <w:sz w:val="20"/>
                <w:szCs w:val="20"/>
              </w:rPr>
            </w:pPr>
          </w:p>
        </w:tc>
        <w:tc>
          <w:tcPr>
            <w:tcW w:w="1176" w:type="dxa"/>
            <w:vMerge w:val="restart"/>
            <w:tcBorders>
              <w:top w:val="nil"/>
              <w:left w:val="nil"/>
              <w:bottom w:val="double" w:sz="6" w:space="0" w:color="000000"/>
              <w:right w:val="nil"/>
            </w:tcBorders>
            <w:shd w:val="clear" w:color="auto" w:fill="auto"/>
            <w:noWrap/>
            <w:vAlign w:val="bottom"/>
            <w:hideMark/>
          </w:tcPr>
          <w:p w:rsidR="000C56F3" w:rsidRPr="00374CF5" w:rsidRDefault="000C56F3" w:rsidP="00104228">
            <w:pPr>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2336" behindDoc="0" locked="0" layoutInCell="1" allowOverlap="0">
                  <wp:simplePos x="0" y="0"/>
                  <wp:positionH relativeFrom="column">
                    <wp:posOffset>0</wp:posOffset>
                  </wp:positionH>
                  <wp:positionV relativeFrom="paragraph">
                    <wp:posOffset>0</wp:posOffset>
                  </wp:positionV>
                  <wp:extent cx="523875" cy="17145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srcRect/>
                          <a:stretch>
                            <a:fillRect/>
                          </a:stretch>
                        </pic:blipFill>
                        <pic:spPr bwMode="auto">
                          <a:xfrm>
                            <a:off x="0" y="0"/>
                            <a:ext cx="523875" cy="17145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0C56F3" w:rsidRPr="00374CF5" w:rsidTr="00104228">
              <w:trPr>
                <w:trHeight w:val="184"/>
                <w:tblCellSpacing w:w="0" w:type="dxa"/>
              </w:trPr>
              <w:tc>
                <w:tcPr>
                  <w:tcW w:w="960" w:type="dxa"/>
                  <w:vMerge w:val="restart"/>
                  <w:tcBorders>
                    <w:top w:val="single" w:sz="12" w:space="0" w:color="C0C0C0"/>
                    <w:left w:val="nil"/>
                    <w:bottom w:val="double" w:sz="6" w:space="0" w:color="000000"/>
                    <w:right w:val="nil"/>
                  </w:tcBorders>
                  <w:shd w:val="clear" w:color="auto" w:fill="auto"/>
                  <w:noWrap/>
                  <w:vAlign w:val="bottom"/>
                  <w:hideMark/>
                </w:tcPr>
                <w:p w:rsidR="000C56F3" w:rsidRPr="00374CF5" w:rsidRDefault="000C56F3" w:rsidP="00104228">
                  <w:pPr>
                    <w:rPr>
                      <w:rFonts w:ascii="Arial" w:hAnsi="Arial" w:cs="Arial"/>
                      <w:b/>
                      <w:bCs/>
                      <w:color w:val="000000"/>
                      <w:sz w:val="16"/>
                      <w:szCs w:val="16"/>
                    </w:rPr>
                  </w:pPr>
                  <w:r w:rsidRPr="00374CF5">
                    <w:rPr>
                      <w:rFonts w:ascii="Arial" w:hAnsi="Arial" w:cs="Arial"/>
                      <w:b/>
                      <w:bCs/>
                      <w:color w:val="000000"/>
                      <w:sz w:val="16"/>
                      <w:szCs w:val="16"/>
                    </w:rPr>
                    <w:t> </w:t>
                  </w:r>
                </w:p>
              </w:tc>
            </w:tr>
            <w:tr w:rsidR="000C56F3" w:rsidRPr="00374CF5" w:rsidTr="00104228">
              <w:trPr>
                <w:trHeight w:val="184"/>
                <w:tblCellSpacing w:w="0" w:type="dxa"/>
              </w:trPr>
              <w:tc>
                <w:tcPr>
                  <w:tcW w:w="0" w:type="auto"/>
                  <w:vMerge/>
                  <w:tcBorders>
                    <w:top w:val="single" w:sz="12" w:space="0" w:color="C0C0C0"/>
                    <w:left w:val="nil"/>
                    <w:bottom w:val="double" w:sz="6" w:space="0" w:color="000000"/>
                    <w:right w:val="nil"/>
                  </w:tcBorders>
                  <w:vAlign w:val="center"/>
                  <w:hideMark/>
                </w:tcPr>
                <w:p w:rsidR="000C56F3" w:rsidRPr="00374CF5" w:rsidRDefault="000C56F3" w:rsidP="00104228">
                  <w:pPr>
                    <w:rPr>
                      <w:rFonts w:ascii="Arial" w:hAnsi="Arial" w:cs="Arial"/>
                      <w:b/>
                      <w:bCs/>
                      <w:color w:val="000000"/>
                      <w:sz w:val="16"/>
                      <w:szCs w:val="16"/>
                    </w:rPr>
                  </w:pPr>
                </w:p>
              </w:tc>
            </w:tr>
          </w:tbl>
          <w:p w:rsidR="000C56F3" w:rsidRPr="00374CF5" w:rsidRDefault="000C56F3" w:rsidP="00104228">
            <w:pPr>
              <w:rPr>
                <w:rFonts w:ascii="Arial" w:hAnsi="Arial" w:cs="Arial"/>
                <w:color w:val="000000"/>
                <w:sz w:val="20"/>
                <w:szCs w:val="20"/>
              </w:rPr>
            </w:pPr>
          </w:p>
        </w:tc>
        <w:tc>
          <w:tcPr>
            <w:tcW w:w="1516" w:type="dxa"/>
            <w:vMerge w:val="restart"/>
            <w:tcBorders>
              <w:top w:val="nil"/>
              <w:left w:val="nil"/>
              <w:bottom w:val="double" w:sz="6" w:space="0" w:color="000000"/>
              <w:right w:val="nil"/>
            </w:tcBorders>
            <w:shd w:val="clear" w:color="auto" w:fill="auto"/>
            <w:noWrap/>
            <w:vAlign w:val="bottom"/>
            <w:hideMark/>
          </w:tcPr>
          <w:p w:rsidR="000C56F3" w:rsidRPr="00374CF5" w:rsidRDefault="000C56F3" w:rsidP="00104228">
            <w:pPr>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3360" behindDoc="0" locked="0" layoutInCell="1" allowOverlap="0">
                  <wp:simplePos x="0" y="0"/>
                  <wp:positionH relativeFrom="column">
                    <wp:posOffset>0</wp:posOffset>
                  </wp:positionH>
                  <wp:positionV relativeFrom="paragraph">
                    <wp:posOffset>0</wp:posOffset>
                  </wp:positionV>
                  <wp:extent cx="466725" cy="171450"/>
                  <wp:effectExtent l="0" t="0" r="0" b="0"/>
                  <wp:wrapNone/>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srcRect/>
                          <a:stretch>
                            <a:fillRect/>
                          </a:stretch>
                        </pic:blipFill>
                        <pic:spPr bwMode="auto">
                          <a:xfrm>
                            <a:off x="0" y="0"/>
                            <a:ext cx="466725" cy="17145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1300"/>
            </w:tblGrid>
            <w:tr w:rsidR="000C56F3" w:rsidRPr="00374CF5" w:rsidTr="00104228">
              <w:trPr>
                <w:trHeight w:val="184"/>
                <w:tblCellSpacing w:w="0" w:type="dxa"/>
              </w:trPr>
              <w:tc>
                <w:tcPr>
                  <w:tcW w:w="1300" w:type="dxa"/>
                  <w:vMerge w:val="restart"/>
                  <w:tcBorders>
                    <w:top w:val="single" w:sz="12" w:space="0" w:color="C0C0C0"/>
                    <w:left w:val="nil"/>
                    <w:bottom w:val="double" w:sz="6" w:space="0" w:color="000000"/>
                    <w:right w:val="nil"/>
                  </w:tcBorders>
                  <w:shd w:val="clear" w:color="auto" w:fill="auto"/>
                  <w:noWrap/>
                  <w:vAlign w:val="bottom"/>
                  <w:hideMark/>
                </w:tcPr>
                <w:p w:rsidR="000C56F3" w:rsidRPr="00374CF5" w:rsidRDefault="000C56F3" w:rsidP="00104228">
                  <w:pPr>
                    <w:rPr>
                      <w:rFonts w:ascii="Arial" w:hAnsi="Arial" w:cs="Arial"/>
                      <w:b/>
                      <w:bCs/>
                      <w:color w:val="000000"/>
                      <w:sz w:val="16"/>
                      <w:szCs w:val="16"/>
                    </w:rPr>
                  </w:pPr>
                  <w:r w:rsidRPr="00374CF5">
                    <w:rPr>
                      <w:rFonts w:ascii="Arial" w:hAnsi="Arial" w:cs="Arial"/>
                      <w:b/>
                      <w:bCs/>
                      <w:color w:val="000000"/>
                      <w:sz w:val="16"/>
                      <w:szCs w:val="16"/>
                    </w:rPr>
                    <w:t> </w:t>
                  </w:r>
                </w:p>
              </w:tc>
            </w:tr>
            <w:tr w:rsidR="000C56F3" w:rsidRPr="00374CF5" w:rsidTr="00104228">
              <w:trPr>
                <w:trHeight w:val="184"/>
                <w:tblCellSpacing w:w="0" w:type="dxa"/>
              </w:trPr>
              <w:tc>
                <w:tcPr>
                  <w:tcW w:w="0" w:type="auto"/>
                  <w:vMerge/>
                  <w:tcBorders>
                    <w:top w:val="single" w:sz="12" w:space="0" w:color="C0C0C0"/>
                    <w:left w:val="nil"/>
                    <w:bottom w:val="double" w:sz="6" w:space="0" w:color="000000"/>
                    <w:right w:val="nil"/>
                  </w:tcBorders>
                  <w:vAlign w:val="center"/>
                  <w:hideMark/>
                </w:tcPr>
                <w:p w:rsidR="000C56F3" w:rsidRPr="00374CF5" w:rsidRDefault="000C56F3" w:rsidP="00104228">
                  <w:pPr>
                    <w:rPr>
                      <w:rFonts w:ascii="Arial" w:hAnsi="Arial" w:cs="Arial"/>
                      <w:b/>
                      <w:bCs/>
                      <w:color w:val="000000"/>
                      <w:sz w:val="16"/>
                      <w:szCs w:val="16"/>
                    </w:rPr>
                  </w:pPr>
                </w:p>
              </w:tc>
            </w:tr>
          </w:tbl>
          <w:p w:rsidR="000C56F3" w:rsidRPr="00374CF5" w:rsidRDefault="000C56F3" w:rsidP="00104228">
            <w:pPr>
              <w:rPr>
                <w:rFonts w:ascii="Arial" w:hAnsi="Arial" w:cs="Arial"/>
                <w:color w:val="000000"/>
                <w:sz w:val="20"/>
                <w:szCs w:val="20"/>
              </w:rPr>
            </w:pPr>
          </w:p>
        </w:tc>
        <w:tc>
          <w:tcPr>
            <w:tcW w:w="1176" w:type="dxa"/>
            <w:vMerge w:val="restart"/>
            <w:tcBorders>
              <w:top w:val="nil"/>
              <w:left w:val="nil"/>
              <w:bottom w:val="double" w:sz="6" w:space="0" w:color="000000"/>
              <w:right w:val="nil"/>
            </w:tcBorders>
            <w:shd w:val="clear" w:color="auto" w:fill="auto"/>
            <w:noWrap/>
            <w:vAlign w:val="bottom"/>
            <w:hideMark/>
          </w:tcPr>
          <w:p w:rsidR="000C56F3" w:rsidRPr="00374CF5" w:rsidRDefault="000C56F3" w:rsidP="00104228">
            <w:pPr>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4384" behindDoc="0" locked="0" layoutInCell="1" allowOverlap="0">
                  <wp:simplePos x="0" y="0"/>
                  <wp:positionH relativeFrom="column">
                    <wp:posOffset>0</wp:posOffset>
                  </wp:positionH>
                  <wp:positionV relativeFrom="paragraph">
                    <wp:posOffset>0</wp:posOffset>
                  </wp:positionV>
                  <wp:extent cx="552450" cy="171450"/>
                  <wp:effectExtent l="19050" t="0" r="0" b="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srcRect/>
                          <a:stretch>
                            <a:fillRect/>
                          </a:stretch>
                        </pic:blipFill>
                        <pic:spPr bwMode="auto">
                          <a:xfrm>
                            <a:off x="0" y="0"/>
                            <a:ext cx="552450" cy="17145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0C56F3" w:rsidRPr="00374CF5" w:rsidTr="00104228">
              <w:trPr>
                <w:trHeight w:val="184"/>
                <w:tblCellSpacing w:w="0" w:type="dxa"/>
              </w:trPr>
              <w:tc>
                <w:tcPr>
                  <w:tcW w:w="960" w:type="dxa"/>
                  <w:vMerge w:val="restart"/>
                  <w:tcBorders>
                    <w:top w:val="single" w:sz="12" w:space="0" w:color="C0C0C0"/>
                    <w:left w:val="nil"/>
                    <w:bottom w:val="double" w:sz="6" w:space="0" w:color="000000"/>
                    <w:right w:val="nil"/>
                  </w:tcBorders>
                  <w:shd w:val="clear" w:color="auto" w:fill="auto"/>
                  <w:noWrap/>
                  <w:vAlign w:val="bottom"/>
                  <w:hideMark/>
                </w:tcPr>
                <w:p w:rsidR="000C56F3" w:rsidRPr="00374CF5" w:rsidRDefault="000C56F3" w:rsidP="00104228">
                  <w:pPr>
                    <w:rPr>
                      <w:rFonts w:ascii="Arial" w:hAnsi="Arial" w:cs="Arial"/>
                      <w:b/>
                      <w:bCs/>
                      <w:color w:val="000000"/>
                      <w:sz w:val="16"/>
                      <w:szCs w:val="16"/>
                    </w:rPr>
                  </w:pPr>
                  <w:r w:rsidRPr="00374CF5">
                    <w:rPr>
                      <w:rFonts w:ascii="Arial" w:hAnsi="Arial" w:cs="Arial"/>
                      <w:b/>
                      <w:bCs/>
                      <w:color w:val="000000"/>
                      <w:sz w:val="16"/>
                      <w:szCs w:val="16"/>
                    </w:rPr>
                    <w:t> </w:t>
                  </w:r>
                </w:p>
              </w:tc>
            </w:tr>
            <w:tr w:rsidR="000C56F3" w:rsidRPr="00374CF5" w:rsidTr="00104228">
              <w:trPr>
                <w:trHeight w:val="184"/>
                <w:tblCellSpacing w:w="0" w:type="dxa"/>
              </w:trPr>
              <w:tc>
                <w:tcPr>
                  <w:tcW w:w="0" w:type="auto"/>
                  <w:vMerge/>
                  <w:tcBorders>
                    <w:top w:val="single" w:sz="12" w:space="0" w:color="C0C0C0"/>
                    <w:left w:val="nil"/>
                    <w:bottom w:val="double" w:sz="6" w:space="0" w:color="000000"/>
                    <w:right w:val="nil"/>
                  </w:tcBorders>
                  <w:vAlign w:val="center"/>
                  <w:hideMark/>
                </w:tcPr>
                <w:p w:rsidR="000C56F3" w:rsidRPr="00374CF5" w:rsidRDefault="000C56F3" w:rsidP="00104228">
                  <w:pPr>
                    <w:rPr>
                      <w:rFonts w:ascii="Arial" w:hAnsi="Arial" w:cs="Arial"/>
                      <w:b/>
                      <w:bCs/>
                      <w:color w:val="000000"/>
                      <w:sz w:val="16"/>
                      <w:szCs w:val="16"/>
                    </w:rPr>
                  </w:pPr>
                </w:p>
              </w:tc>
            </w:tr>
          </w:tbl>
          <w:p w:rsidR="000C56F3" w:rsidRPr="00374CF5" w:rsidRDefault="000C56F3" w:rsidP="00104228">
            <w:pPr>
              <w:rPr>
                <w:rFonts w:ascii="Arial" w:hAnsi="Arial" w:cs="Arial"/>
                <w:color w:val="000000"/>
                <w:sz w:val="20"/>
                <w:szCs w:val="20"/>
              </w:rPr>
            </w:pPr>
          </w:p>
        </w:tc>
        <w:tc>
          <w:tcPr>
            <w:tcW w:w="1076" w:type="dxa"/>
            <w:vMerge w:val="restart"/>
            <w:tcBorders>
              <w:top w:val="nil"/>
              <w:left w:val="nil"/>
              <w:bottom w:val="double" w:sz="6" w:space="0" w:color="000000"/>
              <w:right w:val="nil"/>
            </w:tcBorders>
            <w:shd w:val="clear" w:color="auto" w:fill="auto"/>
            <w:noWrap/>
            <w:vAlign w:val="bottom"/>
            <w:hideMark/>
          </w:tcPr>
          <w:p w:rsidR="000C56F3" w:rsidRPr="00374CF5" w:rsidRDefault="000C56F3" w:rsidP="00104228">
            <w:pPr>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5408" behindDoc="0" locked="0" layoutInCell="1" allowOverlap="0">
                  <wp:simplePos x="0" y="0"/>
                  <wp:positionH relativeFrom="column">
                    <wp:posOffset>0</wp:posOffset>
                  </wp:positionH>
                  <wp:positionV relativeFrom="paragraph">
                    <wp:posOffset>0</wp:posOffset>
                  </wp:positionV>
                  <wp:extent cx="542925" cy="171450"/>
                  <wp:effectExtent l="1905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srcRect/>
                          <a:stretch>
                            <a:fillRect/>
                          </a:stretch>
                        </pic:blipFill>
                        <pic:spPr bwMode="auto">
                          <a:xfrm>
                            <a:off x="0" y="0"/>
                            <a:ext cx="542925" cy="171450"/>
                          </a:xfrm>
                          <a:prstGeom prst="rect">
                            <a:avLst/>
                          </a:prstGeom>
                          <a:noFill/>
                          <a:ln w="9525">
                            <a:noFill/>
                            <a:miter lim="800000"/>
                            <a:headEnd/>
                            <a:tailEnd/>
                          </a:ln>
                        </pic:spPr>
                      </pic:pic>
                    </a:graphicData>
                  </a:graphic>
                </wp:anchor>
              </w:drawing>
            </w:r>
            <w:r>
              <w:rPr>
                <w:rFonts w:ascii="Arial" w:hAnsi="Arial" w:cs="Arial"/>
                <w:noProof/>
                <w:color w:val="000000"/>
                <w:sz w:val="20"/>
                <w:szCs w:val="20"/>
              </w:rPr>
              <w:drawing>
                <wp:anchor distT="0" distB="0" distL="114300" distR="114300" simplePos="0" relativeHeight="251666432" behindDoc="0" locked="0" layoutInCell="1" allowOverlap="0">
                  <wp:simplePos x="0" y="0"/>
                  <wp:positionH relativeFrom="column">
                    <wp:posOffset>542925</wp:posOffset>
                  </wp:positionH>
                  <wp:positionV relativeFrom="paragraph">
                    <wp:posOffset>0</wp:posOffset>
                  </wp:positionV>
                  <wp:extent cx="523875" cy="171450"/>
                  <wp:effectExtent l="0" t="0" r="0" b="0"/>
                  <wp:wrapNone/>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srcRect/>
                          <a:stretch>
                            <a:fillRect/>
                          </a:stretch>
                        </pic:blipFill>
                        <pic:spPr bwMode="auto">
                          <a:xfrm>
                            <a:off x="0" y="0"/>
                            <a:ext cx="523875" cy="17145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860"/>
            </w:tblGrid>
            <w:tr w:rsidR="000C56F3" w:rsidRPr="00374CF5" w:rsidTr="00104228">
              <w:trPr>
                <w:trHeight w:val="184"/>
                <w:tblCellSpacing w:w="0" w:type="dxa"/>
              </w:trPr>
              <w:tc>
                <w:tcPr>
                  <w:tcW w:w="860" w:type="dxa"/>
                  <w:vMerge w:val="restart"/>
                  <w:tcBorders>
                    <w:top w:val="single" w:sz="12" w:space="0" w:color="C0C0C0"/>
                    <w:left w:val="nil"/>
                    <w:bottom w:val="double" w:sz="6" w:space="0" w:color="000000"/>
                    <w:right w:val="nil"/>
                  </w:tcBorders>
                  <w:shd w:val="clear" w:color="auto" w:fill="auto"/>
                  <w:noWrap/>
                  <w:vAlign w:val="bottom"/>
                  <w:hideMark/>
                </w:tcPr>
                <w:p w:rsidR="000C56F3" w:rsidRPr="00374CF5" w:rsidRDefault="000C56F3" w:rsidP="00104228">
                  <w:pPr>
                    <w:rPr>
                      <w:rFonts w:ascii="Arial" w:hAnsi="Arial" w:cs="Arial"/>
                      <w:b/>
                      <w:bCs/>
                      <w:color w:val="000000"/>
                      <w:sz w:val="16"/>
                      <w:szCs w:val="16"/>
                    </w:rPr>
                  </w:pPr>
                  <w:r w:rsidRPr="00374CF5">
                    <w:rPr>
                      <w:rFonts w:ascii="Arial" w:hAnsi="Arial" w:cs="Arial"/>
                      <w:b/>
                      <w:bCs/>
                      <w:color w:val="000000"/>
                      <w:sz w:val="16"/>
                      <w:szCs w:val="16"/>
                    </w:rPr>
                    <w:t> </w:t>
                  </w:r>
                </w:p>
              </w:tc>
            </w:tr>
            <w:tr w:rsidR="000C56F3" w:rsidRPr="00374CF5" w:rsidTr="00104228">
              <w:trPr>
                <w:trHeight w:val="184"/>
                <w:tblCellSpacing w:w="0" w:type="dxa"/>
              </w:trPr>
              <w:tc>
                <w:tcPr>
                  <w:tcW w:w="0" w:type="auto"/>
                  <w:vMerge/>
                  <w:tcBorders>
                    <w:top w:val="single" w:sz="12" w:space="0" w:color="C0C0C0"/>
                    <w:left w:val="nil"/>
                    <w:bottom w:val="double" w:sz="6" w:space="0" w:color="000000"/>
                    <w:right w:val="nil"/>
                  </w:tcBorders>
                  <w:vAlign w:val="center"/>
                  <w:hideMark/>
                </w:tcPr>
                <w:p w:rsidR="000C56F3" w:rsidRPr="00374CF5" w:rsidRDefault="000C56F3" w:rsidP="00104228">
                  <w:pPr>
                    <w:rPr>
                      <w:rFonts w:ascii="Arial" w:hAnsi="Arial" w:cs="Arial"/>
                      <w:b/>
                      <w:bCs/>
                      <w:color w:val="000000"/>
                      <w:sz w:val="16"/>
                      <w:szCs w:val="16"/>
                    </w:rPr>
                  </w:pPr>
                </w:p>
              </w:tc>
            </w:tr>
          </w:tbl>
          <w:p w:rsidR="000C56F3" w:rsidRPr="00374CF5" w:rsidRDefault="000C56F3" w:rsidP="00104228">
            <w:pPr>
              <w:rPr>
                <w:rFonts w:ascii="Arial" w:hAnsi="Arial" w:cs="Arial"/>
                <w:color w:val="000000"/>
                <w:sz w:val="20"/>
                <w:szCs w:val="20"/>
              </w:rPr>
            </w:pPr>
          </w:p>
        </w:tc>
        <w:tc>
          <w:tcPr>
            <w:tcW w:w="1316" w:type="dxa"/>
            <w:vMerge w:val="restart"/>
            <w:tcBorders>
              <w:top w:val="single" w:sz="12" w:space="0" w:color="C0C0C0"/>
              <w:left w:val="nil"/>
              <w:bottom w:val="double" w:sz="6" w:space="0" w:color="000000"/>
              <w:right w:val="nil"/>
            </w:tcBorders>
            <w:shd w:val="clear" w:color="auto" w:fill="auto"/>
            <w:noWrap/>
            <w:vAlign w:val="bottom"/>
            <w:hideMark/>
          </w:tcPr>
          <w:p w:rsidR="000C56F3" w:rsidRPr="00374CF5" w:rsidRDefault="000C56F3" w:rsidP="00104228">
            <w:pPr>
              <w:rPr>
                <w:rFonts w:ascii="Arial" w:hAnsi="Arial" w:cs="Arial"/>
                <w:b/>
                <w:bCs/>
                <w:color w:val="000000"/>
                <w:sz w:val="16"/>
                <w:szCs w:val="16"/>
              </w:rPr>
            </w:pPr>
            <w:r w:rsidRPr="00374CF5">
              <w:rPr>
                <w:rFonts w:ascii="Arial" w:hAnsi="Arial" w:cs="Arial"/>
                <w:b/>
                <w:bCs/>
                <w:color w:val="000000"/>
                <w:sz w:val="16"/>
                <w:szCs w:val="16"/>
              </w:rPr>
              <w:t> </w:t>
            </w:r>
          </w:p>
        </w:tc>
        <w:tc>
          <w:tcPr>
            <w:tcW w:w="937" w:type="dxa"/>
            <w:vMerge w:val="restart"/>
            <w:tcBorders>
              <w:top w:val="single" w:sz="12" w:space="0" w:color="C0C0C0"/>
              <w:left w:val="nil"/>
              <w:bottom w:val="double" w:sz="6" w:space="0" w:color="000000"/>
              <w:right w:val="nil"/>
            </w:tcBorders>
            <w:shd w:val="clear" w:color="auto" w:fill="auto"/>
            <w:vAlign w:val="bottom"/>
            <w:hideMark/>
          </w:tcPr>
          <w:p w:rsidR="000C56F3" w:rsidRPr="00374CF5" w:rsidRDefault="000C56F3" w:rsidP="00104228">
            <w:pPr>
              <w:jc w:val="center"/>
              <w:rPr>
                <w:rFonts w:ascii="Arial" w:hAnsi="Arial" w:cs="Arial"/>
                <w:b/>
                <w:bCs/>
                <w:color w:val="000000"/>
                <w:sz w:val="16"/>
                <w:szCs w:val="16"/>
              </w:rPr>
            </w:pPr>
            <w:r w:rsidRPr="00374CF5">
              <w:rPr>
                <w:rFonts w:ascii="Arial" w:hAnsi="Arial" w:cs="Arial"/>
                <w:b/>
                <w:bCs/>
                <w:color w:val="000000"/>
                <w:sz w:val="16"/>
                <w:szCs w:val="16"/>
              </w:rPr>
              <w:t>Design Effect</w:t>
            </w:r>
          </w:p>
        </w:tc>
        <w:tc>
          <w:tcPr>
            <w:tcW w:w="4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61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59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r>
      <w:tr w:rsidR="000C56F3" w:rsidRPr="00374CF5" w:rsidTr="00104228">
        <w:trPr>
          <w:trHeight w:val="255"/>
        </w:trPr>
        <w:tc>
          <w:tcPr>
            <w:tcW w:w="1350" w:type="dxa"/>
            <w:tcBorders>
              <w:top w:val="nil"/>
              <w:left w:val="nil"/>
              <w:bottom w:val="nil"/>
              <w:right w:val="nil"/>
            </w:tcBorders>
            <w:shd w:val="clear" w:color="auto" w:fill="auto"/>
            <w:vAlign w:val="bottom"/>
            <w:hideMark/>
          </w:tcPr>
          <w:p w:rsidR="000C56F3" w:rsidRPr="00374CF5" w:rsidRDefault="000C56F3" w:rsidP="00104228">
            <w:pPr>
              <w:jc w:val="center"/>
              <w:rPr>
                <w:rFonts w:ascii="Arial" w:hAnsi="Arial" w:cs="Arial"/>
                <w:b/>
                <w:bCs/>
                <w:color w:val="000000"/>
                <w:sz w:val="16"/>
                <w:szCs w:val="16"/>
              </w:rPr>
            </w:pPr>
            <w:r w:rsidRPr="00374CF5">
              <w:rPr>
                <w:rFonts w:ascii="Arial" w:hAnsi="Arial" w:cs="Arial"/>
                <w:b/>
                <w:bCs/>
                <w:color w:val="000000"/>
                <w:sz w:val="16"/>
                <w:szCs w:val="16"/>
              </w:rPr>
              <w:t>or</w:t>
            </w:r>
          </w:p>
        </w:tc>
        <w:tc>
          <w:tcPr>
            <w:tcW w:w="1350" w:type="dxa"/>
            <w:tcBorders>
              <w:top w:val="nil"/>
              <w:left w:val="nil"/>
              <w:bottom w:val="nil"/>
              <w:right w:val="nil"/>
            </w:tcBorders>
            <w:shd w:val="clear" w:color="auto" w:fill="auto"/>
            <w:vAlign w:val="bottom"/>
            <w:hideMark/>
          </w:tcPr>
          <w:p w:rsidR="000C56F3" w:rsidRDefault="000C56F3" w:rsidP="00104228">
            <w:pPr>
              <w:jc w:val="center"/>
              <w:rPr>
                <w:rFonts w:ascii="Arial" w:hAnsi="Arial" w:cs="Arial"/>
                <w:b/>
                <w:bCs/>
                <w:color w:val="000000"/>
                <w:sz w:val="16"/>
                <w:szCs w:val="16"/>
              </w:rPr>
            </w:pPr>
            <w:r w:rsidRPr="00374CF5">
              <w:rPr>
                <w:rFonts w:ascii="Arial" w:hAnsi="Arial" w:cs="Arial"/>
                <w:b/>
                <w:bCs/>
                <w:color w:val="000000"/>
                <w:sz w:val="16"/>
                <w:szCs w:val="16"/>
              </w:rPr>
              <w:t xml:space="preserve">Population </w:t>
            </w:r>
          </w:p>
          <w:p w:rsidR="000C56F3" w:rsidRPr="00374CF5" w:rsidRDefault="000C56F3" w:rsidP="00104228">
            <w:pPr>
              <w:jc w:val="center"/>
              <w:rPr>
                <w:rFonts w:ascii="Arial" w:hAnsi="Arial" w:cs="Arial"/>
                <w:b/>
                <w:bCs/>
                <w:color w:val="000000"/>
                <w:sz w:val="16"/>
                <w:szCs w:val="16"/>
              </w:rPr>
            </w:pPr>
            <w:r w:rsidRPr="00374CF5">
              <w:rPr>
                <w:rFonts w:ascii="Arial" w:hAnsi="Arial" w:cs="Arial"/>
                <w:b/>
                <w:bCs/>
                <w:color w:val="000000"/>
                <w:sz w:val="16"/>
                <w:szCs w:val="16"/>
              </w:rPr>
              <w:t>over 18</w:t>
            </w:r>
          </w:p>
        </w:tc>
        <w:tc>
          <w:tcPr>
            <w:tcW w:w="1487" w:type="dxa"/>
            <w:vMerge/>
            <w:tcBorders>
              <w:top w:val="single" w:sz="12" w:space="0" w:color="C0C0C0"/>
              <w:left w:val="nil"/>
              <w:bottom w:val="double" w:sz="6" w:space="0" w:color="000000"/>
              <w:right w:val="nil"/>
            </w:tcBorders>
            <w:vAlign w:val="center"/>
            <w:hideMark/>
          </w:tcPr>
          <w:p w:rsidR="000C56F3" w:rsidRPr="00374CF5" w:rsidRDefault="000C56F3" w:rsidP="00104228">
            <w:pPr>
              <w:rPr>
                <w:rFonts w:ascii="Arial" w:hAnsi="Arial" w:cs="Arial"/>
                <w:b/>
                <w:bCs/>
                <w:color w:val="000000"/>
                <w:sz w:val="16"/>
                <w:szCs w:val="16"/>
              </w:rPr>
            </w:pPr>
          </w:p>
        </w:tc>
        <w:tc>
          <w:tcPr>
            <w:tcW w:w="117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17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17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51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17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07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316" w:type="dxa"/>
            <w:vMerge/>
            <w:tcBorders>
              <w:top w:val="single" w:sz="12" w:space="0" w:color="C0C0C0"/>
              <w:left w:val="nil"/>
              <w:bottom w:val="double" w:sz="6" w:space="0" w:color="000000"/>
              <w:right w:val="nil"/>
            </w:tcBorders>
            <w:vAlign w:val="center"/>
            <w:hideMark/>
          </w:tcPr>
          <w:p w:rsidR="000C56F3" w:rsidRPr="00374CF5" w:rsidRDefault="000C56F3" w:rsidP="00104228">
            <w:pPr>
              <w:rPr>
                <w:rFonts w:ascii="Arial" w:hAnsi="Arial" w:cs="Arial"/>
                <w:b/>
                <w:bCs/>
                <w:color w:val="000000"/>
                <w:sz w:val="16"/>
                <w:szCs w:val="16"/>
              </w:rPr>
            </w:pPr>
          </w:p>
        </w:tc>
        <w:tc>
          <w:tcPr>
            <w:tcW w:w="937" w:type="dxa"/>
            <w:vMerge/>
            <w:tcBorders>
              <w:top w:val="single" w:sz="12" w:space="0" w:color="C0C0C0"/>
              <w:left w:val="nil"/>
              <w:bottom w:val="double" w:sz="6" w:space="0" w:color="000000"/>
              <w:right w:val="nil"/>
            </w:tcBorders>
            <w:vAlign w:val="center"/>
            <w:hideMark/>
          </w:tcPr>
          <w:p w:rsidR="000C56F3" w:rsidRPr="00374CF5" w:rsidRDefault="000C56F3" w:rsidP="00104228">
            <w:pPr>
              <w:rPr>
                <w:rFonts w:ascii="Arial" w:hAnsi="Arial" w:cs="Arial"/>
                <w:b/>
                <w:bCs/>
                <w:color w:val="000000"/>
                <w:sz w:val="16"/>
                <w:szCs w:val="16"/>
              </w:rPr>
            </w:pPr>
          </w:p>
        </w:tc>
        <w:tc>
          <w:tcPr>
            <w:tcW w:w="4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61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59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r>
      <w:tr w:rsidR="000C56F3" w:rsidRPr="00374CF5" w:rsidTr="00104228">
        <w:trPr>
          <w:trHeight w:val="255"/>
        </w:trPr>
        <w:tc>
          <w:tcPr>
            <w:tcW w:w="1350" w:type="dxa"/>
            <w:tcBorders>
              <w:top w:val="nil"/>
              <w:left w:val="nil"/>
              <w:bottom w:val="nil"/>
              <w:right w:val="nil"/>
            </w:tcBorders>
            <w:shd w:val="clear" w:color="auto" w:fill="auto"/>
            <w:vAlign w:val="bottom"/>
            <w:hideMark/>
          </w:tcPr>
          <w:p w:rsidR="000C56F3" w:rsidRPr="00374CF5" w:rsidRDefault="000C56F3" w:rsidP="00104228">
            <w:pPr>
              <w:jc w:val="center"/>
              <w:rPr>
                <w:rFonts w:ascii="Arial" w:hAnsi="Arial" w:cs="Arial"/>
                <w:b/>
                <w:bCs/>
                <w:color w:val="000000"/>
                <w:sz w:val="16"/>
                <w:szCs w:val="16"/>
              </w:rPr>
            </w:pPr>
            <w:r w:rsidRPr="00374CF5">
              <w:rPr>
                <w:rFonts w:ascii="Arial" w:hAnsi="Arial" w:cs="Arial"/>
                <w:b/>
                <w:bCs/>
                <w:color w:val="000000"/>
                <w:sz w:val="16"/>
                <w:szCs w:val="16"/>
              </w:rPr>
              <w:t>Name of Strata</w:t>
            </w:r>
          </w:p>
        </w:tc>
        <w:tc>
          <w:tcPr>
            <w:tcW w:w="1350" w:type="dxa"/>
            <w:tcBorders>
              <w:top w:val="nil"/>
              <w:left w:val="nil"/>
              <w:bottom w:val="nil"/>
              <w:right w:val="nil"/>
            </w:tcBorders>
            <w:shd w:val="clear" w:color="auto" w:fill="auto"/>
            <w:vAlign w:val="bottom"/>
            <w:hideMark/>
          </w:tcPr>
          <w:p w:rsidR="000C56F3" w:rsidRPr="00374CF5" w:rsidRDefault="000C56F3" w:rsidP="00104228">
            <w:pPr>
              <w:rPr>
                <w:rFonts w:ascii="Arial" w:hAnsi="Arial" w:cs="Arial"/>
                <w:color w:val="000000"/>
                <w:sz w:val="16"/>
                <w:szCs w:val="16"/>
              </w:rPr>
            </w:pPr>
          </w:p>
        </w:tc>
        <w:tc>
          <w:tcPr>
            <w:tcW w:w="1487" w:type="dxa"/>
            <w:vMerge/>
            <w:tcBorders>
              <w:top w:val="single" w:sz="12" w:space="0" w:color="C0C0C0"/>
              <w:left w:val="nil"/>
              <w:bottom w:val="double" w:sz="6" w:space="0" w:color="000000"/>
              <w:right w:val="nil"/>
            </w:tcBorders>
            <w:vAlign w:val="center"/>
            <w:hideMark/>
          </w:tcPr>
          <w:p w:rsidR="000C56F3" w:rsidRPr="00374CF5" w:rsidRDefault="000C56F3" w:rsidP="00104228">
            <w:pPr>
              <w:rPr>
                <w:rFonts w:ascii="Arial" w:hAnsi="Arial" w:cs="Arial"/>
                <w:b/>
                <w:bCs/>
                <w:color w:val="000000"/>
                <w:sz w:val="16"/>
                <w:szCs w:val="16"/>
              </w:rPr>
            </w:pPr>
          </w:p>
        </w:tc>
        <w:tc>
          <w:tcPr>
            <w:tcW w:w="117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17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17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51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17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07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316" w:type="dxa"/>
            <w:vMerge/>
            <w:tcBorders>
              <w:top w:val="single" w:sz="12" w:space="0" w:color="C0C0C0"/>
              <w:left w:val="nil"/>
              <w:bottom w:val="double" w:sz="6" w:space="0" w:color="000000"/>
              <w:right w:val="nil"/>
            </w:tcBorders>
            <w:vAlign w:val="center"/>
            <w:hideMark/>
          </w:tcPr>
          <w:p w:rsidR="000C56F3" w:rsidRPr="00374CF5" w:rsidRDefault="000C56F3" w:rsidP="00104228">
            <w:pPr>
              <w:rPr>
                <w:rFonts w:ascii="Arial" w:hAnsi="Arial" w:cs="Arial"/>
                <w:b/>
                <w:bCs/>
                <w:color w:val="000000"/>
                <w:sz w:val="16"/>
                <w:szCs w:val="16"/>
              </w:rPr>
            </w:pPr>
          </w:p>
        </w:tc>
        <w:tc>
          <w:tcPr>
            <w:tcW w:w="937" w:type="dxa"/>
            <w:vMerge/>
            <w:tcBorders>
              <w:top w:val="single" w:sz="12" w:space="0" w:color="C0C0C0"/>
              <w:left w:val="nil"/>
              <w:bottom w:val="double" w:sz="6" w:space="0" w:color="000000"/>
              <w:right w:val="nil"/>
            </w:tcBorders>
            <w:vAlign w:val="center"/>
            <w:hideMark/>
          </w:tcPr>
          <w:p w:rsidR="000C56F3" w:rsidRPr="00374CF5" w:rsidRDefault="000C56F3" w:rsidP="00104228">
            <w:pPr>
              <w:rPr>
                <w:rFonts w:ascii="Arial" w:hAnsi="Arial" w:cs="Arial"/>
                <w:b/>
                <w:bCs/>
                <w:color w:val="000000"/>
                <w:sz w:val="16"/>
                <w:szCs w:val="16"/>
              </w:rPr>
            </w:pPr>
          </w:p>
        </w:tc>
        <w:tc>
          <w:tcPr>
            <w:tcW w:w="4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61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59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r>
      <w:tr w:rsidR="000C56F3" w:rsidRPr="00374CF5" w:rsidTr="00104228">
        <w:trPr>
          <w:trHeight w:val="270"/>
        </w:trPr>
        <w:tc>
          <w:tcPr>
            <w:tcW w:w="1350" w:type="dxa"/>
            <w:tcBorders>
              <w:top w:val="nil"/>
              <w:left w:val="nil"/>
              <w:bottom w:val="double" w:sz="6" w:space="0" w:color="auto"/>
              <w:right w:val="nil"/>
            </w:tcBorders>
            <w:shd w:val="clear" w:color="auto" w:fill="auto"/>
            <w:vAlign w:val="bottom"/>
            <w:hideMark/>
          </w:tcPr>
          <w:p w:rsidR="000C56F3" w:rsidRPr="00374CF5" w:rsidRDefault="000C56F3" w:rsidP="00104228">
            <w:pPr>
              <w:jc w:val="center"/>
              <w:rPr>
                <w:rFonts w:ascii="Arial" w:hAnsi="Arial" w:cs="Arial"/>
                <w:b/>
                <w:bCs/>
                <w:color w:val="000000"/>
                <w:sz w:val="16"/>
                <w:szCs w:val="16"/>
              </w:rPr>
            </w:pPr>
            <w:r w:rsidRPr="00374CF5">
              <w:rPr>
                <w:rFonts w:ascii="Arial" w:hAnsi="Arial" w:cs="Arial"/>
                <w:b/>
                <w:bCs/>
                <w:color w:val="000000"/>
                <w:sz w:val="16"/>
                <w:szCs w:val="16"/>
              </w:rPr>
              <w:t>(FEMA Region)</w:t>
            </w:r>
          </w:p>
        </w:tc>
        <w:tc>
          <w:tcPr>
            <w:tcW w:w="1350" w:type="dxa"/>
            <w:tcBorders>
              <w:top w:val="nil"/>
              <w:left w:val="nil"/>
              <w:bottom w:val="double" w:sz="6" w:space="0" w:color="auto"/>
              <w:right w:val="nil"/>
            </w:tcBorders>
            <w:shd w:val="clear" w:color="auto" w:fill="auto"/>
            <w:vAlign w:val="bottom"/>
            <w:hideMark/>
          </w:tcPr>
          <w:p w:rsidR="000C56F3" w:rsidRPr="00374CF5" w:rsidRDefault="000C56F3" w:rsidP="00104228">
            <w:pPr>
              <w:rPr>
                <w:rFonts w:ascii="Arial" w:hAnsi="Arial" w:cs="Arial"/>
                <w:color w:val="000000"/>
                <w:sz w:val="16"/>
                <w:szCs w:val="16"/>
              </w:rPr>
            </w:pPr>
            <w:r w:rsidRPr="00374CF5">
              <w:rPr>
                <w:rFonts w:ascii="Arial" w:hAnsi="Arial" w:cs="Arial"/>
                <w:color w:val="000000"/>
                <w:sz w:val="16"/>
                <w:szCs w:val="16"/>
              </w:rPr>
              <w:t> </w:t>
            </w:r>
          </w:p>
        </w:tc>
        <w:tc>
          <w:tcPr>
            <w:tcW w:w="1487" w:type="dxa"/>
            <w:vMerge/>
            <w:tcBorders>
              <w:top w:val="single" w:sz="12" w:space="0" w:color="C0C0C0"/>
              <w:left w:val="nil"/>
              <w:bottom w:val="double" w:sz="6" w:space="0" w:color="000000"/>
              <w:right w:val="nil"/>
            </w:tcBorders>
            <w:vAlign w:val="center"/>
            <w:hideMark/>
          </w:tcPr>
          <w:p w:rsidR="000C56F3" w:rsidRPr="00374CF5" w:rsidRDefault="000C56F3" w:rsidP="00104228">
            <w:pPr>
              <w:rPr>
                <w:rFonts w:ascii="Arial" w:hAnsi="Arial" w:cs="Arial"/>
                <w:b/>
                <w:bCs/>
                <w:color w:val="000000"/>
                <w:sz w:val="16"/>
                <w:szCs w:val="16"/>
              </w:rPr>
            </w:pPr>
          </w:p>
        </w:tc>
        <w:tc>
          <w:tcPr>
            <w:tcW w:w="117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17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17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51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17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076" w:type="dxa"/>
            <w:vMerge/>
            <w:tcBorders>
              <w:top w:val="nil"/>
              <w:left w:val="nil"/>
              <w:bottom w:val="double" w:sz="6" w:space="0" w:color="000000"/>
              <w:right w:val="nil"/>
            </w:tcBorders>
            <w:vAlign w:val="center"/>
            <w:hideMark/>
          </w:tcPr>
          <w:p w:rsidR="000C56F3" w:rsidRPr="00374CF5" w:rsidRDefault="000C56F3" w:rsidP="00104228">
            <w:pPr>
              <w:rPr>
                <w:rFonts w:ascii="Arial" w:hAnsi="Arial" w:cs="Arial"/>
                <w:color w:val="000000"/>
                <w:sz w:val="20"/>
                <w:szCs w:val="20"/>
              </w:rPr>
            </w:pPr>
          </w:p>
        </w:tc>
        <w:tc>
          <w:tcPr>
            <w:tcW w:w="1316" w:type="dxa"/>
            <w:vMerge/>
            <w:tcBorders>
              <w:top w:val="single" w:sz="12" w:space="0" w:color="C0C0C0"/>
              <w:left w:val="nil"/>
              <w:bottom w:val="double" w:sz="6" w:space="0" w:color="000000"/>
              <w:right w:val="nil"/>
            </w:tcBorders>
            <w:vAlign w:val="center"/>
            <w:hideMark/>
          </w:tcPr>
          <w:p w:rsidR="000C56F3" w:rsidRPr="00374CF5" w:rsidRDefault="000C56F3" w:rsidP="00104228">
            <w:pPr>
              <w:rPr>
                <w:rFonts w:ascii="Arial" w:hAnsi="Arial" w:cs="Arial"/>
                <w:b/>
                <w:bCs/>
                <w:color w:val="000000"/>
                <w:sz w:val="16"/>
                <w:szCs w:val="16"/>
              </w:rPr>
            </w:pPr>
          </w:p>
        </w:tc>
        <w:tc>
          <w:tcPr>
            <w:tcW w:w="937" w:type="dxa"/>
            <w:vMerge/>
            <w:tcBorders>
              <w:top w:val="single" w:sz="12" w:space="0" w:color="C0C0C0"/>
              <w:left w:val="nil"/>
              <w:bottom w:val="double" w:sz="6" w:space="0" w:color="000000"/>
              <w:right w:val="nil"/>
            </w:tcBorders>
            <w:vAlign w:val="center"/>
            <w:hideMark/>
          </w:tcPr>
          <w:p w:rsidR="000C56F3" w:rsidRPr="00374CF5" w:rsidRDefault="000C56F3" w:rsidP="00104228">
            <w:pPr>
              <w:rPr>
                <w:rFonts w:ascii="Arial" w:hAnsi="Arial" w:cs="Arial"/>
                <w:b/>
                <w:bCs/>
                <w:color w:val="000000"/>
                <w:sz w:val="16"/>
                <w:szCs w:val="16"/>
              </w:rPr>
            </w:pPr>
          </w:p>
        </w:tc>
        <w:tc>
          <w:tcPr>
            <w:tcW w:w="4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r w:rsidRPr="00374CF5">
              <w:rPr>
                <w:rFonts w:ascii="Arial" w:hAnsi="Arial" w:cs="Arial"/>
                <w:color w:val="000000"/>
                <w:sz w:val="16"/>
                <w:szCs w:val="16"/>
              </w:rPr>
              <w:t xml:space="preserve">N Squared sub </w:t>
            </w:r>
            <w:proofErr w:type="spellStart"/>
            <w:r w:rsidRPr="00374CF5">
              <w:rPr>
                <w:rFonts w:ascii="Arial" w:hAnsi="Arial" w:cs="Arial"/>
                <w:color w:val="000000"/>
                <w:sz w:val="16"/>
                <w:szCs w:val="16"/>
              </w:rPr>
              <w:t>i</w:t>
            </w:r>
            <w:proofErr w:type="spellEnd"/>
          </w:p>
        </w:tc>
        <w:tc>
          <w:tcPr>
            <w:tcW w:w="161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r w:rsidRPr="00374CF5">
              <w:rPr>
                <w:rFonts w:ascii="Arial" w:hAnsi="Arial" w:cs="Arial"/>
                <w:color w:val="000000"/>
                <w:sz w:val="16"/>
                <w:szCs w:val="16"/>
              </w:rPr>
              <w:t>N Squared V hat</w:t>
            </w:r>
          </w:p>
        </w:tc>
        <w:tc>
          <w:tcPr>
            <w:tcW w:w="159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r w:rsidRPr="00374CF5">
              <w:rPr>
                <w:rFonts w:ascii="Arial" w:hAnsi="Arial" w:cs="Arial"/>
                <w:color w:val="000000"/>
                <w:sz w:val="16"/>
                <w:szCs w:val="16"/>
              </w:rPr>
              <w:t>Total N Squared</w:t>
            </w:r>
          </w:p>
        </w:tc>
      </w:tr>
      <w:tr w:rsidR="000C56F3" w:rsidRPr="00374CF5" w:rsidTr="00104228">
        <w:trPr>
          <w:trHeight w:val="285"/>
        </w:trPr>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r w:rsidRPr="00374CF5">
              <w:rPr>
                <w:rFonts w:ascii="Arial" w:hAnsi="Arial" w:cs="Arial"/>
                <w:color w:val="000000"/>
                <w:sz w:val="16"/>
                <w:szCs w:val="16"/>
              </w:rPr>
              <w:t>Region I</w:t>
            </w:r>
          </w:p>
        </w:tc>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11010235</w:t>
            </w:r>
          </w:p>
        </w:tc>
        <w:tc>
          <w:tcPr>
            <w:tcW w:w="1487"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350</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0.0007163</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0.0267644</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5%</w:t>
            </w:r>
          </w:p>
        </w:tc>
        <w:tc>
          <w:tcPr>
            <w:tcW w:w="15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0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3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937"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4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1.21225E+14</w:t>
            </w:r>
          </w:p>
        </w:tc>
        <w:tc>
          <w:tcPr>
            <w:tcW w:w="161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86837589366</w:t>
            </w:r>
          </w:p>
        </w:tc>
        <w:tc>
          <w:tcPr>
            <w:tcW w:w="159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r>
      <w:tr w:rsidR="000C56F3" w:rsidRPr="00374CF5" w:rsidTr="00104228">
        <w:trPr>
          <w:trHeight w:val="270"/>
        </w:trPr>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r w:rsidRPr="00374CF5">
              <w:rPr>
                <w:rFonts w:ascii="Arial" w:hAnsi="Arial" w:cs="Arial"/>
                <w:color w:val="000000"/>
                <w:sz w:val="16"/>
                <w:szCs w:val="16"/>
              </w:rPr>
              <w:t>Region II</w:t>
            </w:r>
          </w:p>
        </w:tc>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24387479</w:t>
            </w:r>
          </w:p>
        </w:tc>
        <w:tc>
          <w:tcPr>
            <w:tcW w:w="1487" w:type="dxa"/>
            <w:tcBorders>
              <w:top w:val="nil"/>
              <w:left w:val="nil"/>
              <w:bottom w:val="single" w:sz="8" w:space="0" w:color="auto"/>
              <w:right w:val="nil"/>
            </w:tcBorders>
            <w:shd w:val="clear" w:color="auto" w:fill="auto"/>
            <w:noWrap/>
            <w:hideMark/>
          </w:tcPr>
          <w:p w:rsidR="000C56F3" w:rsidRPr="00374CF5" w:rsidRDefault="000C56F3" w:rsidP="00104228">
            <w:pPr>
              <w:jc w:val="right"/>
              <w:rPr>
                <w:color w:val="000000"/>
                <w:sz w:val="16"/>
                <w:szCs w:val="16"/>
              </w:rPr>
            </w:pPr>
            <w:r w:rsidRPr="00374CF5">
              <w:rPr>
                <w:color w:val="000000"/>
                <w:sz w:val="16"/>
                <w:szCs w:val="16"/>
              </w:rPr>
              <w:t>350</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0.0007163</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0.0267644</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5%</w:t>
            </w:r>
          </w:p>
        </w:tc>
        <w:tc>
          <w:tcPr>
            <w:tcW w:w="15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0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3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937"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4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5.94749E+14</w:t>
            </w:r>
          </w:p>
        </w:tc>
        <w:tc>
          <w:tcPr>
            <w:tcW w:w="161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4.26038E+11</w:t>
            </w:r>
          </w:p>
        </w:tc>
        <w:tc>
          <w:tcPr>
            <w:tcW w:w="159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r>
      <w:tr w:rsidR="000C56F3" w:rsidRPr="00374CF5" w:rsidTr="00104228">
        <w:trPr>
          <w:trHeight w:val="270"/>
        </w:trPr>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r w:rsidRPr="00374CF5">
              <w:rPr>
                <w:rFonts w:ascii="Arial" w:hAnsi="Arial" w:cs="Arial"/>
                <w:color w:val="000000"/>
                <w:sz w:val="16"/>
                <w:szCs w:val="16"/>
              </w:rPr>
              <w:t>Region III</w:t>
            </w:r>
          </w:p>
        </w:tc>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22182424</w:t>
            </w:r>
          </w:p>
        </w:tc>
        <w:tc>
          <w:tcPr>
            <w:tcW w:w="1487" w:type="dxa"/>
            <w:tcBorders>
              <w:top w:val="nil"/>
              <w:left w:val="nil"/>
              <w:bottom w:val="single" w:sz="8" w:space="0" w:color="auto"/>
              <w:right w:val="nil"/>
            </w:tcBorders>
            <w:shd w:val="clear" w:color="auto" w:fill="auto"/>
            <w:noWrap/>
            <w:hideMark/>
          </w:tcPr>
          <w:p w:rsidR="000C56F3" w:rsidRPr="00374CF5" w:rsidRDefault="000C56F3" w:rsidP="00104228">
            <w:pPr>
              <w:jc w:val="right"/>
              <w:rPr>
                <w:color w:val="000000"/>
                <w:sz w:val="16"/>
                <w:szCs w:val="16"/>
              </w:rPr>
            </w:pPr>
            <w:r w:rsidRPr="00374CF5">
              <w:rPr>
                <w:color w:val="000000"/>
                <w:sz w:val="16"/>
                <w:szCs w:val="16"/>
              </w:rPr>
              <w:t>350</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0.0007163</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0.0267644</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5%</w:t>
            </w:r>
          </w:p>
        </w:tc>
        <w:tc>
          <w:tcPr>
            <w:tcW w:w="15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0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3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937"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4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4.9206E+14</w:t>
            </w:r>
          </w:p>
        </w:tc>
        <w:tc>
          <w:tcPr>
            <w:tcW w:w="161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3.52478E+11</w:t>
            </w:r>
          </w:p>
        </w:tc>
        <w:tc>
          <w:tcPr>
            <w:tcW w:w="159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r>
      <w:tr w:rsidR="000C56F3" w:rsidRPr="00374CF5" w:rsidTr="00104228">
        <w:trPr>
          <w:trHeight w:val="270"/>
        </w:trPr>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r w:rsidRPr="00374CF5">
              <w:rPr>
                <w:rFonts w:ascii="Arial" w:hAnsi="Arial" w:cs="Arial"/>
                <w:color w:val="000000"/>
                <w:sz w:val="16"/>
                <w:szCs w:val="16"/>
              </w:rPr>
              <w:t>Region IV</w:t>
            </w:r>
          </w:p>
        </w:tc>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44267423</w:t>
            </w:r>
          </w:p>
        </w:tc>
        <w:tc>
          <w:tcPr>
            <w:tcW w:w="1487" w:type="dxa"/>
            <w:tcBorders>
              <w:top w:val="nil"/>
              <w:left w:val="nil"/>
              <w:bottom w:val="single" w:sz="8" w:space="0" w:color="auto"/>
              <w:right w:val="nil"/>
            </w:tcBorders>
            <w:shd w:val="clear" w:color="auto" w:fill="auto"/>
            <w:noWrap/>
            <w:hideMark/>
          </w:tcPr>
          <w:p w:rsidR="000C56F3" w:rsidRPr="00374CF5" w:rsidRDefault="000C56F3" w:rsidP="00104228">
            <w:pPr>
              <w:jc w:val="right"/>
              <w:rPr>
                <w:color w:val="000000"/>
                <w:sz w:val="16"/>
                <w:szCs w:val="16"/>
              </w:rPr>
            </w:pPr>
            <w:r w:rsidRPr="00374CF5">
              <w:rPr>
                <w:color w:val="000000"/>
                <w:sz w:val="16"/>
                <w:szCs w:val="16"/>
              </w:rPr>
              <w:t>350</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0.0007163</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0.0267644</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5%</w:t>
            </w:r>
          </w:p>
        </w:tc>
        <w:tc>
          <w:tcPr>
            <w:tcW w:w="15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0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3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937"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4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1.9596E+15</w:t>
            </w:r>
          </w:p>
        </w:tc>
        <w:tc>
          <w:tcPr>
            <w:tcW w:w="161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1.40373E+12</w:t>
            </w:r>
          </w:p>
        </w:tc>
        <w:tc>
          <w:tcPr>
            <w:tcW w:w="159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r>
      <w:tr w:rsidR="000C56F3" w:rsidRPr="00374CF5" w:rsidTr="00104228">
        <w:trPr>
          <w:trHeight w:val="270"/>
        </w:trPr>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r w:rsidRPr="00374CF5">
              <w:rPr>
                <w:rFonts w:ascii="Arial" w:hAnsi="Arial" w:cs="Arial"/>
                <w:color w:val="000000"/>
                <w:sz w:val="16"/>
                <w:szCs w:val="16"/>
              </w:rPr>
              <w:t>Region V</w:t>
            </w:r>
          </w:p>
        </w:tc>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38734429</w:t>
            </w:r>
          </w:p>
        </w:tc>
        <w:tc>
          <w:tcPr>
            <w:tcW w:w="1487" w:type="dxa"/>
            <w:tcBorders>
              <w:top w:val="nil"/>
              <w:left w:val="nil"/>
              <w:bottom w:val="single" w:sz="8" w:space="0" w:color="auto"/>
              <w:right w:val="nil"/>
            </w:tcBorders>
            <w:shd w:val="clear" w:color="auto" w:fill="auto"/>
            <w:noWrap/>
            <w:hideMark/>
          </w:tcPr>
          <w:p w:rsidR="000C56F3" w:rsidRPr="00374CF5" w:rsidRDefault="000C56F3" w:rsidP="00104228">
            <w:pPr>
              <w:jc w:val="right"/>
              <w:rPr>
                <w:color w:val="000000"/>
                <w:sz w:val="16"/>
                <w:szCs w:val="16"/>
              </w:rPr>
            </w:pPr>
            <w:r w:rsidRPr="00374CF5">
              <w:rPr>
                <w:color w:val="000000"/>
                <w:sz w:val="16"/>
                <w:szCs w:val="16"/>
              </w:rPr>
              <w:t>350</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0.0007163</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0.0267644</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5%</w:t>
            </w:r>
          </w:p>
        </w:tc>
        <w:tc>
          <w:tcPr>
            <w:tcW w:w="15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0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3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937"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4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1.50036E+15</w:t>
            </w:r>
          </w:p>
        </w:tc>
        <w:tc>
          <w:tcPr>
            <w:tcW w:w="161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1.07475E+12</w:t>
            </w:r>
          </w:p>
        </w:tc>
        <w:tc>
          <w:tcPr>
            <w:tcW w:w="159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r>
      <w:tr w:rsidR="000C56F3" w:rsidRPr="00374CF5" w:rsidTr="00104228">
        <w:trPr>
          <w:trHeight w:val="270"/>
        </w:trPr>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r w:rsidRPr="00374CF5">
              <w:rPr>
                <w:rFonts w:ascii="Arial" w:hAnsi="Arial" w:cs="Arial"/>
                <w:color w:val="000000"/>
                <w:sz w:val="16"/>
                <w:szCs w:val="16"/>
              </w:rPr>
              <w:t>Region VI</w:t>
            </w:r>
          </w:p>
        </w:tc>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26385339</w:t>
            </w:r>
          </w:p>
        </w:tc>
        <w:tc>
          <w:tcPr>
            <w:tcW w:w="1487" w:type="dxa"/>
            <w:tcBorders>
              <w:top w:val="nil"/>
              <w:left w:val="nil"/>
              <w:bottom w:val="single" w:sz="8" w:space="0" w:color="auto"/>
              <w:right w:val="nil"/>
            </w:tcBorders>
            <w:shd w:val="clear" w:color="auto" w:fill="auto"/>
            <w:noWrap/>
            <w:hideMark/>
          </w:tcPr>
          <w:p w:rsidR="000C56F3" w:rsidRPr="00374CF5" w:rsidRDefault="000C56F3" w:rsidP="00104228">
            <w:pPr>
              <w:jc w:val="right"/>
              <w:rPr>
                <w:color w:val="000000"/>
                <w:sz w:val="16"/>
                <w:szCs w:val="16"/>
              </w:rPr>
            </w:pPr>
            <w:r w:rsidRPr="00374CF5">
              <w:rPr>
                <w:color w:val="000000"/>
                <w:sz w:val="16"/>
                <w:szCs w:val="16"/>
              </w:rPr>
              <w:t>350</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0.0007163</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0.0267644</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5%</w:t>
            </w:r>
          </w:p>
        </w:tc>
        <w:tc>
          <w:tcPr>
            <w:tcW w:w="15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0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3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937"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4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6.96186E+14</w:t>
            </w:r>
          </w:p>
        </w:tc>
        <w:tc>
          <w:tcPr>
            <w:tcW w:w="161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4.98701E+11</w:t>
            </w:r>
          </w:p>
        </w:tc>
        <w:tc>
          <w:tcPr>
            <w:tcW w:w="159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r>
      <w:tr w:rsidR="000C56F3" w:rsidRPr="00374CF5" w:rsidTr="00104228">
        <w:trPr>
          <w:trHeight w:val="270"/>
        </w:trPr>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r w:rsidRPr="00374CF5">
              <w:rPr>
                <w:rFonts w:ascii="Arial" w:hAnsi="Arial" w:cs="Arial"/>
                <w:color w:val="000000"/>
                <w:sz w:val="16"/>
                <w:szCs w:val="16"/>
              </w:rPr>
              <w:t>Region VII</w:t>
            </w:r>
          </w:p>
        </w:tc>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10053325</w:t>
            </w:r>
          </w:p>
        </w:tc>
        <w:tc>
          <w:tcPr>
            <w:tcW w:w="1487" w:type="dxa"/>
            <w:tcBorders>
              <w:top w:val="nil"/>
              <w:left w:val="nil"/>
              <w:bottom w:val="single" w:sz="8" w:space="0" w:color="auto"/>
              <w:right w:val="nil"/>
            </w:tcBorders>
            <w:shd w:val="clear" w:color="auto" w:fill="auto"/>
            <w:noWrap/>
            <w:hideMark/>
          </w:tcPr>
          <w:p w:rsidR="000C56F3" w:rsidRPr="00374CF5" w:rsidRDefault="000C56F3" w:rsidP="00104228">
            <w:pPr>
              <w:jc w:val="right"/>
              <w:rPr>
                <w:color w:val="000000"/>
                <w:sz w:val="16"/>
                <w:szCs w:val="16"/>
              </w:rPr>
            </w:pPr>
            <w:r w:rsidRPr="00374CF5">
              <w:rPr>
                <w:color w:val="000000"/>
                <w:sz w:val="16"/>
                <w:szCs w:val="16"/>
              </w:rPr>
              <w:t>350</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0.0007163</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0.0267644</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5%</w:t>
            </w:r>
          </w:p>
        </w:tc>
        <w:tc>
          <w:tcPr>
            <w:tcW w:w="15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0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3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937"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4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1.01069E+14</w:t>
            </w:r>
          </w:p>
        </w:tc>
        <w:tc>
          <w:tcPr>
            <w:tcW w:w="161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72399243235</w:t>
            </w:r>
          </w:p>
        </w:tc>
        <w:tc>
          <w:tcPr>
            <w:tcW w:w="159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r>
      <w:tr w:rsidR="000C56F3" w:rsidRPr="00374CF5" w:rsidTr="00104228">
        <w:trPr>
          <w:trHeight w:val="270"/>
        </w:trPr>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r w:rsidRPr="00374CF5">
              <w:rPr>
                <w:rFonts w:ascii="Arial" w:hAnsi="Arial" w:cs="Arial"/>
                <w:color w:val="000000"/>
                <w:sz w:val="16"/>
                <w:szCs w:val="16"/>
              </w:rPr>
              <w:t>Region VIII</w:t>
            </w:r>
          </w:p>
        </w:tc>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7577034</w:t>
            </w:r>
          </w:p>
        </w:tc>
        <w:tc>
          <w:tcPr>
            <w:tcW w:w="1487" w:type="dxa"/>
            <w:tcBorders>
              <w:top w:val="nil"/>
              <w:left w:val="nil"/>
              <w:bottom w:val="single" w:sz="8" w:space="0" w:color="auto"/>
              <w:right w:val="nil"/>
            </w:tcBorders>
            <w:shd w:val="clear" w:color="auto" w:fill="auto"/>
            <w:noWrap/>
            <w:hideMark/>
          </w:tcPr>
          <w:p w:rsidR="000C56F3" w:rsidRPr="00374CF5" w:rsidRDefault="000C56F3" w:rsidP="00104228">
            <w:pPr>
              <w:jc w:val="right"/>
              <w:rPr>
                <w:color w:val="000000"/>
                <w:sz w:val="16"/>
                <w:szCs w:val="16"/>
              </w:rPr>
            </w:pPr>
            <w:r w:rsidRPr="00374CF5">
              <w:rPr>
                <w:color w:val="000000"/>
                <w:sz w:val="16"/>
                <w:szCs w:val="16"/>
              </w:rPr>
              <w:t>350</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0.0007163</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0.0267644</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5%</w:t>
            </w:r>
          </w:p>
        </w:tc>
        <w:tc>
          <w:tcPr>
            <w:tcW w:w="15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0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3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937"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4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5.74114E+13</w:t>
            </w:r>
          </w:p>
        </w:tc>
        <w:tc>
          <w:tcPr>
            <w:tcW w:w="161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41125676388</w:t>
            </w:r>
          </w:p>
        </w:tc>
        <w:tc>
          <w:tcPr>
            <w:tcW w:w="159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r>
      <w:tr w:rsidR="000C56F3" w:rsidRPr="00374CF5" w:rsidTr="00104228">
        <w:trPr>
          <w:trHeight w:val="270"/>
        </w:trPr>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r w:rsidRPr="00374CF5">
              <w:rPr>
                <w:rFonts w:ascii="Arial" w:hAnsi="Arial" w:cs="Arial"/>
                <w:color w:val="000000"/>
                <w:sz w:val="16"/>
                <w:szCs w:val="16"/>
              </w:rPr>
              <w:t>Region IX</w:t>
            </w:r>
          </w:p>
        </w:tc>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34414017</w:t>
            </w:r>
          </w:p>
        </w:tc>
        <w:tc>
          <w:tcPr>
            <w:tcW w:w="1487" w:type="dxa"/>
            <w:tcBorders>
              <w:top w:val="nil"/>
              <w:left w:val="nil"/>
              <w:bottom w:val="single" w:sz="8" w:space="0" w:color="auto"/>
              <w:right w:val="nil"/>
            </w:tcBorders>
            <w:shd w:val="clear" w:color="auto" w:fill="auto"/>
            <w:noWrap/>
            <w:hideMark/>
          </w:tcPr>
          <w:p w:rsidR="000C56F3" w:rsidRPr="00374CF5" w:rsidRDefault="000C56F3" w:rsidP="00104228">
            <w:pPr>
              <w:jc w:val="right"/>
              <w:rPr>
                <w:color w:val="000000"/>
                <w:sz w:val="16"/>
                <w:szCs w:val="16"/>
              </w:rPr>
            </w:pPr>
            <w:r w:rsidRPr="00374CF5">
              <w:rPr>
                <w:color w:val="000000"/>
                <w:sz w:val="16"/>
                <w:szCs w:val="16"/>
              </w:rPr>
              <w:t>350</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0.0007163</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0.0267644</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5%</w:t>
            </w:r>
          </w:p>
        </w:tc>
        <w:tc>
          <w:tcPr>
            <w:tcW w:w="15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0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3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937"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4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1.18432E+15</w:t>
            </w:r>
          </w:p>
        </w:tc>
        <w:tc>
          <w:tcPr>
            <w:tcW w:w="161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8.4837E+11</w:t>
            </w:r>
          </w:p>
        </w:tc>
        <w:tc>
          <w:tcPr>
            <w:tcW w:w="159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r>
      <w:tr w:rsidR="000C56F3" w:rsidRPr="00374CF5" w:rsidTr="00104228">
        <w:trPr>
          <w:trHeight w:val="270"/>
        </w:trPr>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r w:rsidRPr="00374CF5">
              <w:rPr>
                <w:rFonts w:ascii="Arial" w:hAnsi="Arial" w:cs="Arial"/>
                <w:color w:val="000000"/>
                <w:sz w:val="16"/>
                <w:szCs w:val="16"/>
              </w:rPr>
              <w:t>Region X</w:t>
            </w:r>
          </w:p>
        </w:tc>
        <w:tc>
          <w:tcPr>
            <w:tcW w:w="1350"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9236500</w:t>
            </w:r>
          </w:p>
        </w:tc>
        <w:tc>
          <w:tcPr>
            <w:tcW w:w="1487" w:type="dxa"/>
            <w:tcBorders>
              <w:top w:val="nil"/>
              <w:left w:val="nil"/>
              <w:bottom w:val="single" w:sz="8" w:space="0" w:color="auto"/>
              <w:right w:val="nil"/>
            </w:tcBorders>
            <w:shd w:val="clear" w:color="auto" w:fill="auto"/>
            <w:noWrap/>
            <w:hideMark/>
          </w:tcPr>
          <w:p w:rsidR="000C56F3" w:rsidRPr="00374CF5" w:rsidRDefault="000C56F3" w:rsidP="00104228">
            <w:pPr>
              <w:jc w:val="right"/>
              <w:rPr>
                <w:color w:val="000000"/>
                <w:sz w:val="16"/>
                <w:szCs w:val="16"/>
              </w:rPr>
            </w:pPr>
            <w:r w:rsidRPr="00374CF5">
              <w:rPr>
                <w:color w:val="000000"/>
                <w:sz w:val="16"/>
                <w:szCs w:val="16"/>
              </w:rPr>
              <w:t>350</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0.0007163</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0.0267644</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5%</w:t>
            </w:r>
          </w:p>
        </w:tc>
        <w:tc>
          <w:tcPr>
            <w:tcW w:w="15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1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07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1316"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937" w:type="dxa"/>
            <w:tcBorders>
              <w:top w:val="nil"/>
              <w:left w:val="nil"/>
              <w:bottom w:val="single" w:sz="8" w:space="0" w:color="auto"/>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 </w:t>
            </w:r>
          </w:p>
        </w:tc>
        <w:tc>
          <w:tcPr>
            <w:tcW w:w="4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8.53129E+13</w:t>
            </w:r>
          </w:p>
        </w:tc>
        <w:tc>
          <w:tcPr>
            <w:tcW w:w="161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61112415652</w:t>
            </w:r>
          </w:p>
        </w:tc>
        <w:tc>
          <w:tcPr>
            <w:tcW w:w="159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r>
      <w:tr w:rsidR="000C56F3" w:rsidRPr="00374CF5" w:rsidTr="00104228">
        <w:trPr>
          <w:trHeight w:val="270"/>
        </w:trPr>
        <w:tc>
          <w:tcPr>
            <w:tcW w:w="1350" w:type="dxa"/>
            <w:tcBorders>
              <w:top w:val="nil"/>
              <w:left w:val="nil"/>
              <w:bottom w:val="single" w:sz="12" w:space="0" w:color="C0C0C0"/>
              <w:right w:val="nil"/>
            </w:tcBorders>
            <w:shd w:val="clear" w:color="auto" w:fill="auto"/>
            <w:noWrap/>
            <w:vAlign w:val="bottom"/>
            <w:hideMark/>
          </w:tcPr>
          <w:p w:rsidR="000C56F3" w:rsidRPr="00374CF5" w:rsidRDefault="000C56F3" w:rsidP="00104228">
            <w:pPr>
              <w:rPr>
                <w:rFonts w:ascii="Arial" w:hAnsi="Arial" w:cs="Arial"/>
                <w:b/>
                <w:bCs/>
                <w:color w:val="000000"/>
                <w:sz w:val="16"/>
                <w:szCs w:val="16"/>
              </w:rPr>
            </w:pPr>
            <w:r w:rsidRPr="00374CF5">
              <w:rPr>
                <w:rFonts w:ascii="Arial" w:hAnsi="Arial" w:cs="Arial"/>
                <w:b/>
                <w:bCs/>
                <w:color w:val="000000"/>
                <w:sz w:val="16"/>
                <w:szCs w:val="16"/>
              </w:rPr>
              <w:t>Total Sample</w:t>
            </w:r>
          </w:p>
        </w:tc>
        <w:tc>
          <w:tcPr>
            <w:tcW w:w="1350" w:type="dxa"/>
            <w:tcBorders>
              <w:top w:val="nil"/>
              <w:left w:val="nil"/>
              <w:bottom w:val="single" w:sz="12" w:space="0" w:color="C0C0C0"/>
              <w:right w:val="nil"/>
            </w:tcBorders>
            <w:shd w:val="clear" w:color="auto" w:fill="auto"/>
            <w:noWrap/>
            <w:vAlign w:val="bottom"/>
            <w:hideMark/>
          </w:tcPr>
          <w:p w:rsidR="000C56F3" w:rsidRPr="00374CF5" w:rsidRDefault="000C56F3" w:rsidP="00104228">
            <w:pPr>
              <w:jc w:val="right"/>
              <w:rPr>
                <w:rFonts w:ascii="Arial" w:hAnsi="Arial" w:cs="Arial"/>
                <w:b/>
                <w:bCs/>
                <w:color w:val="000000"/>
                <w:sz w:val="16"/>
                <w:szCs w:val="16"/>
              </w:rPr>
            </w:pPr>
            <w:r w:rsidRPr="00374CF5">
              <w:rPr>
                <w:rFonts w:ascii="Arial" w:hAnsi="Arial" w:cs="Arial"/>
                <w:b/>
                <w:bCs/>
                <w:color w:val="000000"/>
                <w:sz w:val="16"/>
                <w:szCs w:val="16"/>
              </w:rPr>
              <w:t>228248205</w:t>
            </w:r>
          </w:p>
        </w:tc>
        <w:tc>
          <w:tcPr>
            <w:tcW w:w="1487" w:type="dxa"/>
            <w:tcBorders>
              <w:top w:val="nil"/>
              <w:left w:val="nil"/>
              <w:bottom w:val="single" w:sz="12" w:space="0" w:color="C0C0C0"/>
              <w:right w:val="nil"/>
            </w:tcBorders>
            <w:shd w:val="clear" w:color="auto" w:fill="auto"/>
            <w:noWrap/>
            <w:vAlign w:val="bottom"/>
            <w:hideMark/>
          </w:tcPr>
          <w:p w:rsidR="000C56F3" w:rsidRPr="00374CF5" w:rsidRDefault="000C56F3" w:rsidP="00104228">
            <w:pPr>
              <w:jc w:val="right"/>
              <w:rPr>
                <w:rFonts w:ascii="Arial" w:hAnsi="Arial" w:cs="Arial"/>
                <w:b/>
                <w:bCs/>
                <w:color w:val="000000"/>
                <w:sz w:val="16"/>
                <w:szCs w:val="16"/>
              </w:rPr>
            </w:pPr>
            <w:r w:rsidRPr="00374CF5">
              <w:rPr>
                <w:rFonts w:ascii="Arial" w:hAnsi="Arial" w:cs="Arial"/>
                <w:b/>
                <w:bCs/>
                <w:color w:val="000000"/>
                <w:sz w:val="16"/>
                <w:szCs w:val="16"/>
              </w:rPr>
              <w:t>3,500</w:t>
            </w:r>
          </w:p>
        </w:tc>
        <w:tc>
          <w:tcPr>
            <w:tcW w:w="1176" w:type="dxa"/>
            <w:tcBorders>
              <w:top w:val="nil"/>
              <w:left w:val="nil"/>
              <w:bottom w:val="single" w:sz="12" w:space="0" w:color="C0C0C0"/>
              <w:right w:val="nil"/>
            </w:tcBorders>
            <w:shd w:val="clear" w:color="auto" w:fill="auto"/>
            <w:noWrap/>
            <w:vAlign w:val="bottom"/>
            <w:hideMark/>
          </w:tcPr>
          <w:p w:rsidR="000C56F3" w:rsidRPr="00374CF5" w:rsidRDefault="000C56F3" w:rsidP="00104228">
            <w:pPr>
              <w:jc w:val="right"/>
              <w:rPr>
                <w:rFonts w:ascii="Arial" w:hAnsi="Arial" w:cs="Arial"/>
                <w:b/>
                <w:bCs/>
                <w:color w:val="000000"/>
                <w:sz w:val="16"/>
                <w:szCs w:val="16"/>
              </w:rPr>
            </w:pPr>
            <w:r w:rsidRPr="00374CF5">
              <w:rPr>
                <w:rFonts w:ascii="Arial" w:hAnsi="Arial" w:cs="Arial"/>
                <w:b/>
                <w:bCs/>
                <w:color w:val="000000"/>
                <w:sz w:val="16"/>
                <w:szCs w:val="16"/>
              </w:rPr>
              <w:t> </w:t>
            </w:r>
          </w:p>
        </w:tc>
        <w:tc>
          <w:tcPr>
            <w:tcW w:w="1176" w:type="dxa"/>
            <w:tcBorders>
              <w:top w:val="nil"/>
              <w:left w:val="nil"/>
              <w:bottom w:val="single" w:sz="12" w:space="0" w:color="C0C0C0"/>
              <w:right w:val="nil"/>
            </w:tcBorders>
            <w:shd w:val="clear" w:color="auto" w:fill="auto"/>
            <w:noWrap/>
            <w:vAlign w:val="bottom"/>
            <w:hideMark/>
          </w:tcPr>
          <w:p w:rsidR="000C56F3" w:rsidRPr="00374CF5" w:rsidRDefault="000C56F3" w:rsidP="00104228">
            <w:pPr>
              <w:jc w:val="right"/>
              <w:rPr>
                <w:rFonts w:ascii="Arial" w:hAnsi="Arial" w:cs="Arial"/>
                <w:b/>
                <w:bCs/>
                <w:color w:val="000000"/>
                <w:sz w:val="16"/>
                <w:szCs w:val="16"/>
              </w:rPr>
            </w:pPr>
            <w:r w:rsidRPr="00374CF5">
              <w:rPr>
                <w:rFonts w:ascii="Arial" w:hAnsi="Arial" w:cs="Arial"/>
                <w:b/>
                <w:bCs/>
                <w:color w:val="000000"/>
                <w:sz w:val="16"/>
                <w:szCs w:val="16"/>
              </w:rPr>
              <w:t> </w:t>
            </w:r>
          </w:p>
        </w:tc>
        <w:tc>
          <w:tcPr>
            <w:tcW w:w="1176" w:type="dxa"/>
            <w:tcBorders>
              <w:top w:val="nil"/>
              <w:left w:val="nil"/>
              <w:bottom w:val="single" w:sz="12" w:space="0" w:color="C0C0C0"/>
              <w:right w:val="nil"/>
            </w:tcBorders>
            <w:shd w:val="clear" w:color="auto" w:fill="auto"/>
            <w:noWrap/>
            <w:vAlign w:val="bottom"/>
            <w:hideMark/>
          </w:tcPr>
          <w:p w:rsidR="000C56F3" w:rsidRPr="00374CF5" w:rsidRDefault="000C56F3" w:rsidP="00104228">
            <w:pPr>
              <w:jc w:val="right"/>
              <w:rPr>
                <w:rFonts w:ascii="Arial" w:hAnsi="Arial" w:cs="Arial"/>
                <w:b/>
                <w:bCs/>
                <w:color w:val="000000"/>
                <w:sz w:val="16"/>
                <w:szCs w:val="16"/>
              </w:rPr>
            </w:pPr>
            <w:r w:rsidRPr="00374CF5">
              <w:rPr>
                <w:rFonts w:ascii="Arial" w:hAnsi="Arial" w:cs="Arial"/>
                <w:b/>
                <w:bCs/>
                <w:color w:val="000000"/>
                <w:sz w:val="16"/>
                <w:szCs w:val="16"/>
              </w:rPr>
              <w:t> </w:t>
            </w:r>
          </w:p>
        </w:tc>
        <w:tc>
          <w:tcPr>
            <w:tcW w:w="1516" w:type="dxa"/>
            <w:tcBorders>
              <w:top w:val="nil"/>
              <w:left w:val="nil"/>
              <w:bottom w:val="single" w:sz="12" w:space="0" w:color="C0C0C0"/>
              <w:right w:val="nil"/>
            </w:tcBorders>
            <w:shd w:val="clear" w:color="auto" w:fill="auto"/>
            <w:noWrap/>
            <w:vAlign w:val="bottom"/>
            <w:hideMark/>
          </w:tcPr>
          <w:p w:rsidR="000C56F3" w:rsidRPr="00374CF5" w:rsidRDefault="000C56F3" w:rsidP="00104228">
            <w:pPr>
              <w:jc w:val="right"/>
              <w:rPr>
                <w:rFonts w:ascii="Arial" w:hAnsi="Arial" w:cs="Arial"/>
                <w:b/>
                <w:bCs/>
                <w:color w:val="000000"/>
                <w:sz w:val="16"/>
                <w:szCs w:val="16"/>
              </w:rPr>
            </w:pPr>
            <w:r w:rsidRPr="00374CF5">
              <w:rPr>
                <w:rFonts w:ascii="Arial" w:hAnsi="Arial" w:cs="Arial"/>
                <w:b/>
                <w:bCs/>
                <w:color w:val="000000"/>
                <w:sz w:val="16"/>
                <w:szCs w:val="16"/>
              </w:rPr>
              <w:t>9.33935E-05</w:t>
            </w:r>
          </w:p>
        </w:tc>
        <w:tc>
          <w:tcPr>
            <w:tcW w:w="1176" w:type="dxa"/>
            <w:tcBorders>
              <w:top w:val="nil"/>
              <w:left w:val="nil"/>
              <w:bottom w:val="single" w:sz="12" w:space="0" w:color="C0C0C0"/>
              <w:right w:val="nil"/>
            </w:tcBorders>
            <w:shd w:val="clear" w:color="auto" w:fill="auto"/>
            <w:noWrap/>
            <w:vAlign w:val="bottom"/>
            <w:hideMark/>
          </w:tcPr>
          <w:p w:rsidR="000C56F3" w:rsidRPr="00374CF5" w:rsidRDefault="000C56F3" w:rsidP="00104228">
            <w:pPr>
              <w:jc w:val="right"/>
              <w:rPr>
                <w:rFonts w:ascii="Arial" w:hAnsi="Arial" w:cs="Arial"/>
                <w:b/>
                <w:bCs/>
                <w:color w:val="000000"/>
                <w:sz w:val="16"/>
                <w:szCs w:val="16"/>
              </w:rPr>
            </w:pPr>
            <w:r w:rsidRPr="00374CF5">
              <w:rPr>
                <w:rFonts w:ascii="Arial" w:hAnsi="Arial" w:cs="Arial"/>
                <w:b/>
                <w:bCs/>
                <w:color w:val="000000"/>
                <w:sz w:val="16"/>
                <w:szCs w:val="16"/>
              </w:rPr>
              <w:t>0.009664</w:t>
            </w:r>
          </w:p>
        </w:tc>
        <w:tc>
          <w:tcPr>
            <w:tcW w:w="1076" w:type="dxa"/>
            <w:tcBorders>
              <w:top w:val="nil"/>
              <w:left w:val="nil"/>
              <w:bottom w:val="single" w:sz="12" w:space="0" w:color="C0C0C0"/>
              <w:right w:val="nil"/>
            </w:tcBorders>
            <w:shd w:val="clear" w:color="auto" w:fill="auto"/>
            <w:noWrap/>
            <w:vAlign w:val="bottom"/>
            <w:hideMark/>
          </w:tcPr>
          <w:p w:rsidR="000C56F3" w:rsidRPr="00374CF5" w:rsidRDefault="000C56F3" w:rsidP="00104228">
            <w:pPr>
              <w:jc w:val="right"/>
              <w:rPr>
                <w:rFonts w:ascii="Arial" w:hAnsi="Arial" w:cs="Arial"/>
                <w:b/>
                <w:bCs/>
                <w:color w:val="000000"/>
                <w:sz w:val="16"/>
                <w:szCs w:val="16"/>
              </w:rPr>
            </w:pPr>
            <w:r w:rsidRPr="00374CF5">
              <w:rPr>
                <w:rFonts w:ascii="Arial" w:hAnsi="Arial" w:cs="Arial"/>
                <w:b/>
                <w:bCs/>
                <w:color w:val="000000"/>
                <w:sz w:val="16"/>
                <w:szCs w:val="16"/>
              </w:rPr>
              <w:t>2%</w:t>
            </w:r>
          </w:p>
        </w:tc>
        <w:tc>
          <w:tcPr>
            <w:tcW w:w="1316" w:type="dxa"/>
            <w:tcBorders>
              <w:top w:val="nil"/>
              <w:left w:val="nil"/>
              <w:bottom w:val="single" w:sz="12" w:space="0" w:color="C0C0C0"/>
              <w:right w:val="nil"/>
            </w:tcBorders>
            <w:shd w:val="clear" w:color="auto" w:fill="auto"/>
            <w:noWrap/>
            <w:vAlign w:val="bottom"/>
            <w:hideMark/>
          </w:tcPr>
          <w:p w:rsidR="000C56F3" w:rsidRPr="00374CF5" w:rsidRDefault="000C56F3" w:rsidP="00104228">
            <w:pPr>
              <w:jc w:val="right"/>
              <w:rPr>
                <w:rFonts w:ascii="Arial" w:hAnsi="Arial" w:cs="Arial"/>
                <w:b/>
                <w:bCs/>
                <w:color w:val="000000"/>
                <w:sz w:val="16"/>
                <w:szCs w:val="16"/>
              </w:rPr>
            </w:pPr>
            <w:r w:rsidRPr="00374CF5">
              <w:rPr>
                <w:rFonts w:ascii="Arial" w:hAnsi="Arial" w:cs="Arial"/>
                <w:b/>
                <w:bCs/>
                <w:color w:val="000000"/>
                <w:sz w:val="16"/>
                <w:szCs w:val="16"/>
              </w:rPr>
              <w:t>7.14286E-05</w:t>
            </w:r>
          </w:p>
        </w:tc>
        <w:tc>
          <w:tcPr>
            <w:tcW w:w="937" w:type="dxa"/>
            <w:tcBorders>
              <w:top w:val="nil"/>
              <w:left w:val="nil"/>
              <w:bottom w:val="single" w:sz="12" w:space="0" w:color="C0C0C0"/>
              <w:right w:val="nil"/>
            </w:tcBorders>
            <w:shd w:val="clear" w:color="auto" w:fill="auto"/>
            <w:noWrap/>
            <w:vAlign w:val="bottom"/>
            <w:hideMark/>
          </w:tcPr>
          <w:p w:rsidR="000C56F3" w:rsidRPr="00374CF5" w:rsidRDefault="000C56F3" w:rsidP="00104228">
            <w:pPr>
              <w:jc w:val="right"/>
              <w:rPr>
                <w:rFonts w:ascii="Arial" w:hAnsi="Arial" w:cs="Arial"/>
                <w:b/>
                <w:bCs/>
                <w:color w:val="000000"/>
                <w:sz w:val="16"/>
                <w:szCs w:val="16"/>
              </w:rPr>
            </w:pPr>
            <w:r w:rsidRPr="00374CF5">
              <w:rPr>
                <w:rFonts w:ascii="Arial" w:hAnsi="Arial" w:cs="Arial"/>
                <w:b/>
                <w:bCs/>
                <w:color w:val="000000"/>
                <w:sz w:val="16"/>
                <w:szCs w:val="16"/>
              </w:rPr>
              <w:t>1.307509</w:t>
            </w:r>
          </w:p>
        </w:tc>
        <w:tc>
          <w:tcPr>
            <w:tcW w:w="4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rsidR="000C56F3" w:rsidRPr="00374CF5" w:rsidRDefault="000C56F3" w:rsidP="00104228">
            <w:pPr>
              <w:rPr>
                <w:rFonts w:ascii="Arial" w:hAnsi="Arial" w:cs="Arial"/>
                <w:color w:val="000000"/>
                <w:sz w:val="16"/>
                <w:szCs w:val="16"/>
              </w:rPr>
            </w:pPr>
            <w:r w:rsidRPr="00374CF5">
              <w:rPr>
                <w:rFonts w:ascii="Arial" w:hAnsi="Arial" w:cs="Arial"/>
                <w:color w:val="000000"/>
                <w:sz w:val="16"/>
                <w:szCs w:val="16"/>
              </w:rPr>
              <w:t>Total</w:t>
            </w:r>
          </w:p>
        </w:tc>
        <w:tc>
          <w:tcPr>
            <w:tcW w:w="161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4.86554E+12</w:t>
            </w:r>
          </w:p>
        </w:tc>
        <w:tc>
          <w:tcPr>
            <w:tcW w:w="1596" w:type="dxa"/>
            <w:tcBorders>
              <w:top w:val="nil"/>
              <w:left w:val="nil"/>
              <w:bottom w:val="nil"/>
              <w:right w:val="nil"/>
            </w:tcBorders>
            <w:shd w:val="clear" w:color="auto" w:fill="auto"/>
            <w:noWrap/>
            <w:vAlign w:val="bottom"/>
            <w:hideMark/>
          </w:tcPr>
          <w:p w:rsidR="000C56F3" w:rsidRPr="00374CF5" w:rsidRDefault="000C56F3" w:rsidP="00104228">
            <w:pPr>
              <w:jc w:val="right"/>
              <w:rPr>
                <w:rFonts w:ascii="Arial" w:hAnsi="Arial" w:cs="Arial"/>
                <w:color w:val="000000"/>
                <w:sz w:val="16"/>
                <w:szCs w:val="16"/>
              </w:rPr>
            </w:pPr>
            <w:r w:rsidRPr="00374CF5">
              <w:rPr>
                <w:rFonts w:ascii="Arial" w:hAnsi="Arial" w:cs="Arial"/>
                <w:color w:val="000000"/>
                <w:sz w:val="16"/>
                <w:szCs w:val="16"/>
              </w:rPr>
              <w:t>5.20972E+16</w:t>
            </w:r>
          </w:p>
        </w:tc>
      </w:tr>
    </w:tbl>
    <w:p w:rsidR="000C56F3" w:rsidRDefault="000C56F3" w:rsidP="000C56F3"/>
    <w:p w:rsidR="000C56F3" w:rsidRDefault="000C56F3" w:rsidP="000C56F3"/>
    <w:p w:rsidR="000C56F3" w:rsidRDefault="000C56F3" w:rsidP="000C56F3">
      <w:pPr>
        <w:pStyle w:val="ResponseLvl2"/>
        <w:sectPr w:rsidR="000C56F3" w:rsidSect="00ED089F">
          <w:pgSz w:w="12240" w:h="15840"/>
          <w:pgMar w:top="1440" w:right="1800" w:bottom="1440" w:left="1800" w:header="720" w:footer="720" w:gutter="0"/>
          <w:cols w:space="720"/>
          <w:docGrid w:linePitch="326"/>
        </w:sectPr>
      </w:pPr>
    </w:p>
    <w:p w:rsidR="000C56F3" w:rsidRPr="001422E5" w:rsidRDefault="000C56F3" w:rsidP="000C56F3">
      <w:pPr>
        <w:tabs>
          <w:tab w:val="left" w:pos="-720"/>
          <w:tab w:val="num" w:pos="1080"/>
        </w:tabs>
        <w:suppressAutoHyphens/>
        <w:rPr>
          <w:b/>
          <w:bCs/>
        </w:rPr>
      </w:pPr>
      <w:r w:rsidRPr="001422E5">
        <w:rPr>
          <w:b/>
          <w:bCs/>
        </w:rPr>
        <w:lastRenderedPageBreak/>
        <w:t>2.  Describe the procedures for the collection of information including:</w:t>
      </w:r>
    </w:p>
    <w:p w:rsidR="000C56F3" w:rsidRPr="001422E5" w:rsidRDefault="000C56F3" w:rsidP="000C56F3">
      <w:pPr>
        <w:tabs>
          <w:tab w:val="left" w:pos="-720"/>
        </w:tabs>
        <w:suppressAutoHyphens/>
        <w:rPr>
          <w:b/>
          <w:bCs/>
        </w:rPr>
      </w:pPr>
    </w:p>
    <w:p w:rsidR="000C56F3" w:rsidRPr="001422E5" w:rsidRDefault="000C56F3" w:rsidP="000C56F3">
      <w:pPr>
        <w:numPr>
          <w:ilvl w:val="0"/>
          <w:numId w:val="1"/>
        </w:numPr>
        <w:tabs>
          <w:tab w:val="left" w:pos="-720"/>
        </w:tabs>
        <w:suppressAutoHyphens/>
        <w:rPr>
          <w:b/>
          <w:bCs/>
        </w:rPr>
      </w:pPr>
      <w:r w:rsidRPr="001422E5">
        <w:rPr>
          <w:b/>
          <w:bCs/>
        </w:rPr>
        <w:t>Statistical methodology for stratification and sample selection,</w:t>
      </w:r>
    </w:p>
    <w:p w:rsidR="000C56F3" w:rsidRPr="001422E5" w:rsidRDefault="000C56F3" w:rsidP="000C56F3">
      <w:pPr>
        <w:shd w:val="clear" w:color="auto" w:fill="FFFFFF"/>
        <w:tabs>
          <w:tab w:val="left" w:pos="-720"/>
        </w:tabs>
        <w:suppressAutoHyphens/>
        <w:ind w:left="864"/>
      </w:pPr>
    </w:p>
    <w:p w:rsidR="000C56F3" w:rsidRPr="0001110C" w:rsidRDefault="000C56F3" w:rsidP="000C56F3">
      <w:pPr>
        <w:shd w:val="clear" w:color="auto" w:fill="FFFFFF"/>
        <w:tabs>
          <w:tab w:val="left" w:pos="-720"/>
        </w:tabs>
        <w:suppressAutoHyphens/>
        <w:ind w:left="864"/>
      </w:pPr>
      <w:r w:rsidRPr="0001110C">
        <w:t xml:space="preserve">The </w:t>
      </w:r>
      <w:proofErr w:type="spellStart"/>
      <w:r w:rsidRPr="0001110C">
        <w:t>Genesys</w:t>
      </w:r>
      <w:proofErr w:type="spellEnd"/>
      <w:r w:rsidRPr="0001110C">
        <w:t xml:space="preserve">-ID system, which contains information on area-code exchange combinations with working numbers and U.S. Census demographic information in geographic regions defined by zip codes, will be used to construct a nationwide </w:t>
      </w:r>
      <w:r w:rsidRPr="0001110C">
        <w:t>stratified random national sampl</w:t>
      </w:r>
      <w:r w:rsidRPr="0001110C">
        <w:t>ing</w:t>
      </w:r>
      <w:r w:rsidRPr="0001110C">
        <w:t xml:space="preserve"> </w:t>
      </w:r>
      <w:r w:rsidRPr="0001110C">
        <w:t xml:space="preserve">of </w:t>
      </w:r>
      <w:r w:rsidRPr="0001110C">
        <w:t xml:space="preserve">350 </w:t>
      </w:r>
      <w:r w:rsidRPr="0001110C">
        <w:t xml:space="preserve">respondents </w:t>
      </w:r>
      <w:r w:rsidRPr="0001110C">
        <w:t xml:space="preserve">from </w:t>
      </w:r>
      <w:r w:rsidRPr="0001110C">
        <w:t xml:space="preserve">the </w:t>
      </w:r>
      <w:r w:rsidRPr="0001110C">
        <w:t xml:space="preserve">10 </w:t>
      </w:r>
      <w:r w:rsidRPr="0001110C">
        <w:t xml:space="preserve">FEMA </w:t>
      </w:r>
      <w:r w:rsidRPr="0001110C">
        <w:t>regions</w:t>
      </w:r>
      <w:r w:rsidRPr="0001110C">
        <w:t xml:space="preserve"> of </w:t>
      </w:r>
      <w:smartTag w:uri="urn:schemas-microsoft-com:office:smarttags" w:element="country-region">
        <w:smartTag w:uri="urn:schemas-microsoft-com:office:smarttags" w:element="place">
          <w:r w:rsidRPr="0001110C">
            <w:t>U.S.</w:t>
          </w:r>
        </w:smartTag>
      </w:smartTag>
      <w:r w:rsidRPr="0001110C">
        <w:t xml:space="preserve"> households for a total of 3,500 interviews.  The same techniques will be used to construct individual samples for each of the 6 selected regions.  The regions are clearly defined by zip codes and can be identified through </w:t>
      </w:r>
      <w:proofErr w:type="spellStart"/>
      <w:r w:rsidRPr="0001110C">
        <w:t>Genesys</w:t>
      </w:r>
      <w:proofErr w:type="spellEnd"/>
      <w:r w:rsidRPr="0001110C">
        <w:t xml:space="preserve">. These phone interviews will be placed using Random Digit Dialing technology, which guarantees equal probability of selection to all households containing at least one working residential telephone number.  Results will be weighted to known parameters, such as age, gender, and race.  This allows the researcher to be confident that the sample frame is a scientifically valid representation of the population.  It should be noted that the </w:t>
      </w:r>
      <w:r>
        <w:t xml:space="preserve">target city </w:t>
      </w:r>
      <w:r w:rsidRPr="0001110C">
        <w:t xml:space="preserve">regional interviews will not be analyzed with the nationwide interviews, so this is not considered </w:t>
      </w:r>
      <w:proofErr w:type="gramStart"/>
      <w:r w:rsidRPr="0001110C">
        <w:t>a stratification</w:t>
      </w:r>
      <w:proofErr w:type="gramEnd"/>
      <w:r w:rsidRPr="0001110C">
        <w:t xml:space="preserve">.  </w:t>
      </w:r>
    </w:p>
    <w:p w:rsidR="000C56F3" w:rsidRPr="00B26E35" w:rsidRDefault="000C56F3" w:rsidP="000C56F3">
      <w:pPr>
        <w:tabs>
          <w:tab w:val="left" w:pos="-720"/>
        </w:tabs>
        <w:suppressAutoHyphens/>
        <w:ind w:left="864"/>
        <w:rPr>
          <w:b/>
          <w:bCs/>
        </w:rPr>
      </w:pPr>
    </w:p>
    <w:p w:rsidR="000C56F3" w:rsidRPr="00B26E35" w:rsidRDefault="000C56F3" w:rsidP="000C56F3">
      <w:pPr>
        <w:tabs>
          <w:tab w:val="left" w:pos="-720"/>
        </w:tabs>
        <w:suppressAutoHyphens/>
        <w:ind w:left="720"/>
        <w:rPr>
          <w:b/>
          <w:bCs/>
        </w:rPr>
      </w:pPr>
    </w:p>
    <w:p w:rsidR="000C56F3" w:rsidRPr="00B26E35" w:rsidRDefault="000C56F3" w:rsidP="000C56F3">
      <w:pPr>
        <w:numPr>
          <w:ilvl w:val="0"/>
          <w:numId w:val="2"/>
        </w:numPr>
        <w:tabs>
          <w:tab w:val="left" w:pos="-720"/>
        </w:tabs>
        <w:suppressAutoHyphens/>
        <w:rPr>
          <w:b/>
          <w:bCs/>
        </w:rPr>
      </w:pPr>
      <w:r w:rsidRPr="00B26E35">
        <w:rPr>
          <w:b/>
          <w:bCs/>
        </w:rPr>
        <w:t>Estimation procedure,</w:t>
      </w:r>
    </w:p>
    <w:p w:rsidR="000C56F3" w:rsidRPr="00B26E35" w:rsidRDefault="000C56F3" w:rsidP="000C56F3">
      <w:pPr>
        <w:pStyle w:val="Heading3"/>
        <w:ind w:left="1080"/>
        <w:rPr>
          <w:rFonts w:ascii="Times New Roman" w:hAnsi="Times New Roman"/>
          <w:b w:val="0"/>
          <w:sz w:val="24"/>
        </w:rPr>
      </w:pPr>
      <w:r w:rsidRPr="00B26E35">
        <w:rPr>
          <w:rFonts w:ascii="Times New Roman" w:hAnsi="Times New Roman"/>
          <w:b w:val="0"/>
          <w:sz w:val="24"/>
        </w:rPr>
        <w:t xml:space="preserve">The population parameters are the entire non-institutionalized </w:t>
      </w:r>
      <w:smartTag w:uri="urn:schemas-microsoft-com:office:smarttags" w:element="country-region">
        <w:smartTag w:uri="urn:schemas-microsoft-com:office:smarttags" w:element="place">
          <w:r w:rsidRPr="00B26E35">
            <w:rPr>
              <w:rFonts w:ascii="Times New Roman" w:hAnsi="Times New Roman"/>
              <w:b w:val="0"/>
              <w:sz w:val="24"/>
            </w:rPr>
            <w:t>U.S.</w:t>
          </w:r>
        </w:smartTag>
      </w:smartTag>
      <w:r w:rsidRPr="00B26E35">
        <w:rPr>
          <w:rFonts w:ascii="Times New Roman" w:hAnsi="Times New Roman"/>
          <w:b w:val="0"/>
          <w:sz w:val="24"/>
        </w:rPr>
        <w:t xml:space="preserve"> adult population residing in telephone-equipped dwellings.  This population does not include adults in penal, mental, or other institutions; adults living in other group quarters, such as dormitories, barracks, or boarding houses; adults living in a dwelling without a telephone; and/or adults who do not speak English or Spanish well enough to be interviewed.</w:t>
      </w:r>
    </w:p>
    <w:p w:rsidR="000C56F3" w:rsidRPr="00B26E35" w:rsidRDefault="000C56F3" w:rsidP="000C56F3">
      <w:pPr>
        <w:tabs>
          <w:tab w:val="left" w:pos="-720"/>
        </w:tabs>
        <w:suppressAutoHyphens/>
        <w:rPr>
          <w:b/>
          <w:bCs/>
        </w:rPr>
      </w:pPr>
    </w:p>
    <w:p w:rsidR="000C56F3" w:rsidRPr="00B26E35" w:rsidRDefault="000C56F3" w:rsidP="000C56F3">
      <w:pPr>
        <w:numPr>
          <w:ilvl w:val="0"/>
          <w:numId w:val="3"/>
        </w:numPr>
        <w:tabs>
          <w:tab w:val="left" w:pos="-720"/>
        </w:tabs>
        <w:suppressAutoHyphens/>
        <w:rPr>
          <w:b/>
          <w:bCs/>
        </w:rPr>
      </w:pPr>
      <w:r w:rsidRPr="00B26E35">
        <w:rPr>
          <w:b/>
          <w:bCs/>
        </w:rPr>
        <w:t>Degree of accuracy needed for the purpose described in the justification,</w:t>
      </w:r>
    </w:p>
    <w:p w:rsidR="000C56F3" w:rsidRPr="00B26E35" w:rsidRDefault="000C56F3" w:rsidP="000C56F3">
      <w:pPr>
        <w:tabs>
          <w:tab w:val="left" w:pos="-720"/>
        </w:tabs>
        <w:suppressAutoHyphens/>
        <w:ind w:left="864"/>
        <w:rPr>
          <w:b/>
          <w:bCs/>
        </w:rPr>
      </w:pPr>
    </w:p>
    <w:p w:rsidR="000C56F3" w:rsidRDefault="000C56F3" w:rsidP="000C56F3">
      <w:pPr>
        <w:tabs>
          <w:tab w:val="left" w:pos="-720"/>
        </w:tabs>
        <w:suppressAutoHyphens/>
        <w:ind w:left="1080"/>
      </w:pPr>
      <w:r w:rsidRPr="00B26E35">
        <w:t xml:space="preserve">The bi-annual nationwide survey of 3,500 people will provide overall results </w:t>
      </w:r>
      <w:proofErr w:type="gramStart"/>
      <w:r w:rsidRPr="00B26E35">
        <w:t xml:space="preserve">at </w:t>
      </w:r>
      <w:r w:rsidRPr="00F26253">
        <w:t xml:space="preserve"> </w:t>
      </w:r>
      <w:r w:rsidRPr="00F26253">
        <w:rPr>
          <w:vertAlign w:val="superscript"/>
        </w:rPr>
        <w:t>±</w:t>
      </w:r>
      <w:proofErr w:type="gramEnd"/>
      <w:r>
        <w:rPr>
          <w:vertAlign w:val="superscript"/>
        </w:rPr>
        <w:t xml:space="preserve"> </w:t>
      </w:r>
      <w:r w:rsidRPr="00B26E35">
        <w:t>2%, at 95% confidence.</w:t>
      </w:r>
    </w:p>
    <w:p w:rsidR="000C56F3" w:rsidRPr="00B26E35" w:rsidRDefault="000C56F3" w:rsidP="000C56F3">
      <w:pPr>
        <w:tabs>
          <w:tab w:val="left" w:pos="-720"/>
        </w:tabs>
        <w:suppressAutoHyphens/>
        <w:ind w:left="1080"/>
      </w:pPr>
    </w:p>
    <w:p w:rsidR="000C56F3" w:rsidRDefault="000C56F3" w:rsidP="000C56F3">
      <w:pPr>
        <w:tabs>
          <w:tab w:val="left" w:pos="-720"/>
        </w:tabs>
        <w:suppressAutoHyphens/>
        <w:ind w:left="1080"/>
      </w:pPr>
      <w:r w:rsidRPr="00B26E35">
        <w:t xml:space="preserve">The bi-annual regional surveys of 500 people will each provide overall results </w:t>
      </w:r>
      <w:proofErr w:type="gramStart"/>
      <w:r w:rsidRPr="00B26E35">
        <w:t xml:space="preserve">at </w:t>
      </w:r>
      <w:r w:rsidRPr="00F26253">
        <w:t xml:space="preserve"> </w:t>
      </w:r>
      <w:r w:rsidRPr="00F26253">
        <w:rPr>
          <w:vertAlign w:val="superscript"/>
        </w:rPr>
        <w:t>±</w:t>
      </w:r>
      <w:proofErr w:type="gramEnd"/>
      <w:r>
        <w:rPr>
          <w:vertAlign w:val="superscript"/>
        </w:rPr>
        <w:t xml:space="preserve"> </w:t>
      </w:r>
      <w:r w:rsidRPr="00B26E35">
        <w:t>4.4%, at 95% confidence.</w:t>
      </w:r>
    </w:p>
    <w:p w:rsidR="000C56F3" w:rsidRPr="00B26E35" w:rsidRDefault="000C56F3" w:rsidP="000C56F3">
      <w:pPr>
        <w:tabs>
          <w:tab w:val="left" w:pos="-720"/>
        </w:tabs>
        <w:suppressAutoHyphens/>
        <w:ind w:left="1080"/>
        <w:rPr>
          <w:b/>
          <w:bCs/>
        </w:rPr>
      </w:pPr>
      <w:r>
        <w:pict>
          <v:shape id="_x0000_i1037" type="#_x0000_t75" alt="" style="width:90pt;height:36.75pt"/>
        </w:pict>
      </w:r>
      <w:r w:rsidRPr="00827803">
        <w:t xml:space="preserve"> </w:t>
      </w:r>
      <w:r>
        <w:pict>
          <v:shape id="_x0000_i1038" type="#_x0000_t75" alt="" style="width:90pt;height:36.75pt"/>
        </w:pict>
      </w:r>
    </w:p>
    <w:p w:rsidR="000C56F3" w:rsidRPr="00B26E35" w:rsidRDefault="000C56F3" w:rsidP="000C56F3">
      <w:pPr>
        <w:numPr>
          <w:ilvl w:val="0"/>
          <w:numId w:val="4"/>
        </w:numPr>
        <w:tabs>
          <w:tab w:val="left" w:pos="-720"/>
        </w:tabs>
        <w:suppressAutoHyphens/>
        <w:rPr>
          <w:b/>
          <w:bCs/>
        </w:rPr>
      </w:pPr>
      <w:r w:rsidRPr="00B26E35">
        <w:rPr>
          <w:b/>
          <w:bCs/>
        </w:rPr>
        <w:t>Unusual problems requiring specialized sampling procedures, and</w:t>
      </w:r>
    </w:p>
    <w:p w:rsidR="000C56F3" w:rsidRPr="00B26E35" w:rsidRDefault="000C56F3" w:rsidP="000C56F3">
      <w:pPr>
        <w:tabs>
          <w:tab w:val="left" w:pos="-720"/>
        </w:tabs>
        <w:suppressAutoHyphens/>
        <w:ind w:left="864"/>
        <w:rPr>
          <w:b/>
          <w:bCs/>
        </w:rPr>
      </w:pPr>
    </w:p>
    <w:p w:rsidR="000C56F3" w:rsidRPr="00B26E35" w:rsidRDefault="000C56F3" w:rsidP="000C56F3">
      <w:pPr>
        <w:tabs>
          <w:tab w:val="left" w:pos="-720"/>
          <w:tab w:val="left" w:pos="1080"/>
        </w:tabs>
        <w:suppressAutoHyphens/>
        <w:ind w:left="864"/>
      </w:pPr>
      <w:r w:rsidRPr="00B26E35">
        <w:t xml:space="preserve">     Under the direction of a Senior Analyst, results will be weighed according to           known parameters, such as age, gender, and race.  </w:t>
      </w:r>
    </w:p>
    <w:p w:rsidR="000C56F3" w:rsidRPr="00B26E35" w:rsidRDefault="000C56F3" w:rsidP="000C56F3">
      <w:pPr>
        <w:tabs>
          <w:tab w:val="left" w:pos="-720"/>
        </w:tabs>
        <w:suppressAutoHyphens/>
        <w:rPr>
          <w:b/>
          <w:bCs/>
        </w:rPr>
      </w:pPr>
    </w:p>
    <w:p w:rsidR="000C56F3" w:rsidRPr="00B26E35" w:rsidRDefault="000C56F3" w:rsidP="000C56F3">
      <w:pPr>
        <w:numPr>
          <w:ilvl w:val="0"/>
          <w:numId w:val="4"/>
        </w:numPr>
        <w:tabs>
          <w:tab w:val="left" w:pos="-720"/>
        </w:tabs>
        <w:suppressAutoHyphens/>
        <w:rPr>
          <w:b/>
          <w:bCs/>
        </w:rPr>
      </w:pPr>
      <w:r w:rsidRPr="00B26E35">
        <w:rPr>
          <w:b/>
          <w:bCs/>
        </w:rPr>
        <w:lastRenderedPageBreak/>
        <w:t xml:space="preserve">Any use of periodic (less frequent than annual) data collection cycles to </w:t>
      </w:r>
      <w:r w:rsidRPr="00B26E35">
        <w:rPr>
          <w:b/>
          <w:bCs/>
        </w:rPr>
        <w:tab/>
        <w:t>reduce burden.</w:t>
      </w:r>
    </w:p>
    <w:p w:rsidR="000C56F3" w:rsidRPr="00B26E35" w:rsidRDefault="000C56F3" w:rsidP="000C56F3">
      <w:pPr>
        <w:tabs>
          <w:tab w:val="left" w:pos="-720"/>
        </w:tabs>
        <w:suppressAutoHyphens/>
        <w:ind w:left="864"/>
        <w:rPr>
          <w:b/>
          <w:bCs/>
        </w:rPr>
      </w:pPr>
    </w:p>
    <w:p w:rsidR="000C56F3" w:rsidRPr="00B26E35" w:rsidRDefault="000C56F3" w:rsidP="000C56F3">
      <w:pPr>
        <w:pStyle w:val="BodyTextIndent2"/>
        <w:tabs>
          <w:tab w:val="num" w:pos="1800"/>
        </w:tabs>
        <w:spacing w:line="240" w:lineRule="auto"/>
        <w:ind w:left="1080"/>
      </w:pPr>
      <w:r w:rsidRPr="00B26E35">
        <w:rPr>
          <w:b/>
          <w:bCs/>
        </w:rPr>
        <w:t xml:space="preserve">There will not be less frequent than annual data collection cycles.  </w:t>
      </w:r>
      <w:r w:rsidRPr="00B26E35">
        <w:t xml:space="preserve">This survey is scheduled to be conducted every other year. During each survey cycle, new respondents are contacted, so a respondent is only </w:t>
      </w:r>
      <w:proofErr w:type="gramStart"/>
      <w:r w:rsidRPr="00B26E35">
        <w:t>be</w:t>
      </w:r>
      <w:proofErr w:type="gramEnd"/>
      <w:r w:rsidRPr="00B26E35">
        <w:t xml:space="preserve"> burdened for one collection.  </w:t>
      </w:r>
    </w:p>
    <w:p w:rsidR="000C56F3" w:rsidRPr="00B26E35" w:rsidRDefault="000C56F3" w:rsidP="000C56F3">
      <w:pPr>
        <w:tabs>
          <w:tab w:val="left" w:pos="-720"/>
        </w:tabs>
        <w:suppressAutoHyphens/>
        <w:ind w:left="720"/>
        <w:rPr>
          <w:b/>
          <w:bCs/>
        </w:rPr>
      </w:pPr>
    </w:p>
    <w:p w:rsidR="000C56F3" w:rsidRPr="00B26E35" w:rsidRDefault="000C56F3" w:rsidP="000C56F3">
      <w:pPr>
        <w:tabs>
          <w:tab w:val="left" w:pos="-720"/>
        </w:tabs>
        <w:suppressAutoHyphens/>
        <w:rPr>
          <w:b/>
          <w:bCs/>
        </w:rPr>
      </w:pPr>
      <w:r w:rsidRPr="00B26E35">
        <w:rPr>
          <w:b/>
          <w:bCs/>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0C56F3" w:rsidRPr="00B26E35" w:rsidRDefault="000C56F3" w:rsidP="000C56F3">
      <w:pPr>
        <w:tabs>
          <w:tab w:val="left" w:pos="-720"/>
        </w:tabs>
        <w:suppressAutoHyphens/>
        <w:rPr>
          <w:b/>
          <w:bCs/>
        </w:rPr>
      </w:pPr>
    </w:p>
    <w:p w:rsidR="000C56F3" w:rsidRPr="00B26E35" w:rsidRDefault="000C56F3" w:rsidP="000C56F3">
      <w:pPr>
        <w:tabs>
          <w:tab w:val="left" w:pos="-720"/>
        </w:tabs>
        <w:suppressAutoHyphens/>
        <w:rPr>
          <w:b/>
          <w:bCs/>
        </w:rPr>
      </w:pPr>
      <w:r w:rsidRPr="00B26E35">
        <w:rPr>
          <w:bCs/>
          <w:u w:val="single"/>
        </w:rPr>
        <w:t>Methods to Maximize Response Rates</w:t>
      </w:r>
      <w:r w:rsidRPr="00B26E35">
        <w:rPr>
          <w:b/>
          <w:bCs/>
        </w:rPr>
        <w:t>:</w:t>
      </w:r>
    </w:p>
    <w:p w:rsidR="000C56F3" w:rsidRPr="00B26E35" w:rsidRDefault="000C56F3" w:rsidP="000C56F3">
      <w:pPr>
        <w:tabs>
          <w:tab w:val="left" w:pos="-720"/>
        </w:tabs>
        <w:suppressAutoHyphens/>
      </w:pPr>
      <w:r w:rsidRPr="00B26E35">
        <w:t xml:space="preserve">-Surveys will be conducted during weekday, weeknight, and weekend hours to maximize response while minimizing response bias.  </w:t>
      </w:r>
    </w:p>
    <w:p w:rsidR="000C56F3" w:rsidRPr="00B26E35" w:rsidRDefault="000C56F3" w:rsidP="000C56F3">
      <w:pPr>
        <w:tabs>
          <w:tab w:val="left" w:pos="-720"/>
        </w:tabs>
        <w:suppressAutoHyphens/>
      </w:pPr>
    </w:p>
    <w:p w:rsidR="000C56F3" w:rsidRPr="00B26E35" w:rsidRDefault="000C56F3" w:rsidP="000C56F3">
      <w:pPr>
        <w:tabs>
          <w:tab w:val="left" w:pos="-720"/>
        </w:tabs>
        <w:suppressAutoHyphens/>
      </w:pPr>
      <w:r w:rsidRPr="00B26E35">
        <w:t xml:space="preserve">-During the telephone contact period, up to 10 attempts to call a number will be made.  </w:t>
      </w:r>
    </w:p>
    <w:p w:rsidR="000C56F3" w:rsidRPr="00B26E35" w:rsidRDefault="000C56F3" w:rsidP="000C56F3">
      <w:pPr>
        <w:tabs>
          <w:tab w:val="left" w:pos="-720"/>
        </w:tabs>
        <w:suppressAutoHyphens/>
      </w:pPr>
    </w:p>
    <w:p w:rsidR="000C56F3" w:rsidRPr="00B26E35" w:rsidRDefault="000C56F3" w:rsidP="000C56F3">
      <w:pPr>
        <w:tabs>
          <w:tab w:val="left" w:pos="-720"/>
        </w:tabs>
        <w:suppressAutoHyphens/>
      </w:pPr>
      <w:r w:rsidRPr="00B26E35">
        <w:t xml:space="preserve">-The length of the survey is approximately twenty minutes and respondents will be able to break during the survey if they are not able to complete it in one sitting.  </w:t>
      </w:r>
    </w:p>
    <w:p w:rsidR="000C56F3" w:rsidRPr="00B26E35" w:rsidRDefault="000C56F3" w:rsidP="000C56F3">
      <w:pPr>
        <w:tabs>
          <w:tab w:val="left" w:pos="-720"/>
        </w:tabs>
        <w:suppressAutoHyphens/>
      </w:pPr>
    </w:p>
    <w:p w:rsidR="000C56F3" w:rsidRPr="00B26E35" w:rsidRDefault="000C56F3" w:rsidP="000C56F3">
      <w:pPr>
        <w:tabs>
          <w:tab w:val="left" w:pos="-720"/>
        </w:tabs>
        <w:suppressAutoHyphens/>
      </w:pPr>
      <w:r w:rsidRPr="00B26E35">
        <w:t xml:space="preserve">-Respondents will also be provided with a toll-free number that they can call to complete the survey at their convenience.  </w:t>
      </w:r>
    </w:p>
    <w:p w:rsidR="000C56F3" w:rsidRPr="00B26E35" w:rsidRDefault="000C56F3" w:rsidP="000C56F3">
      <w:pPr>
        <w:tabs>
          <w:tab w:val="left" w:pos="-720"/>
        </w:tabs>
        <w:suppressAutoHyphens/>
      </w:pPr>
    </w:p>
    <w:p w:rsidR="000C56F3" w:rsidRPr="00B26E35" w:rsidRDefault="000C56F3" w:rsidP="000C56F3">
      <w:pPr>
        <w:tabs>
          <w:tab w:val="left" w:pos="-720"/>
        </w:tabs>
        <w:suppressAutoHyphens/>
      </w:pPr>
      <w:r w:rsidRPr="00B26E35">
        <w:t xml:space="preserve">-Interviews will also be conducted by bilingual interviewers who can conduct the survey in Spanish or English depending on the respondent’s preference.  </w:t>
      </w:r>
    </w:p>
    <w:p w:rsidR="000C56F3" w:rsidRDefault="000C56F3" w:rsidP="000C56F3">
      <w:pPr>
        <w:pStyle w:val="ResponseLvl1"/>
        <w:ind w:left="0"/>
      </w:pPr>
      <w:r w:rsidRPr="00F26253">
        <w:rPr>
          <w:u w:val="single"/>
        </w:rPr>
        <w:t>Control for Non-Response Bias</w:t>
      </w:r>
      <w:r w:rsidRPr="00EE4BFD">
        <w:t>:</w:t>
      </w:r>
      <w:r>
        <w:t xml:space="preserve"> </w:t>
      </w:r>
      <w:r w:rsidRPr="00B26E35">
        <w:t xml:space="preserve"> </w:t>
      </w:r>
      <w:r>
        <w:t>T</w:t>
      </w:r>
      <w:r w:rsidRPr="00B26E35">
        <w:t>he national response rate for the last cycle of this survey was 80%; we expect future surveys to achieve a similar response rate.  It is expected that these measures will help to maintain sufficiently high response rates suitable to analysis, but in the event of response rates falling below 80%, a non-response analysis will be performed on the group(s) in question.  These analyses will be conducted by using the “SPSS Analysis of Missing Data” module of the general SPSS software package and the findings of the analysis will be addressed accordingly.</w:t>
      </w:r>
    </w:p>
    <w:p w:rsidR="000C56F3" w:rsidRPr="009D0609" w:rsidRDefault="000C56F3" w:rsidP="000C56F3">
      <w:pPr>
        <w:pStyle w:val="ResponseLvl1"/>
        <w:ind w:left="0"/>
      </w:pPr>
      <w:r w:rsidRPr="009D0609">
        <w:t xml:space="preserve">If there is substantial suspicion of a non-response bias in the survey results, a sub-sample of the </w:t>
      </w:r>
      <w:proofErr w:type="spellStart"/>
      <w:r w:rsidRPr="009D0609">
        <w:t>nonrespondents</w:t>
      </w:r>
      <w:proofErr w:type="spellEnd"/>
      <w:r w:rsidRPr="009D0609">
        <w:t xml:space="preserve"> will be collected and analyzed.  If a </w:t>
      </w:r>
      <w:proofErr w:type="spellStart"/>
      <w:r w:rsidRPr="009D0609">
        <w:t>nonresponse</w:t>
      </w:r>
      <w:proofErr w:type="spellEnd"/>
      <w:r w:rsidRPr="009D0609">
        <w:t xml:space="preserve"> bias is found in the analysis, we would use weights to adjust the data for </w:t>
      </w:r>
      <w:proofErr w:type="spellStart"/>
      <w:r w:rsidRPr="009D0609">
        <w:t>nonresponse</w:t>
      </w:r>
      <w:proofErr w:type="spellEnd"/>
      <w:r w:rsidRPr="009D0609">
        <w:t xml:space="preserve">. From the analysis of the respondents and </w:t>
      </w:r>
      <w:proofErr w:type="spellStart"/>
      <w:r w:rsidRPr="009D0609">
        <w:t>nonrepondents</w:t>
      </w:r>
      <w:proofErr w:type="spellEnd"/>
      <w:r w:rsidRPr="009D0609">
        <w:t>, we would determine the probability of responding to the survey for each person, which we will call A</w:t>
      </w:r>
      <w:r w:rsidRPr="009D0609">
        <w:rPr>
          <w:i/>
        </w:rPr>
        <w:t>i</w:t>
      </w:r>
      <w:r w:rsidRPr="009D0609">
        <w:t xml:space="preserve"> for person </w:t>
      </w:r>
      <w:proofErr w:type="spellStart"/>
      <w:r w:rsidRPr="009D0609">
        <w:rPr>
          <w:i/>
        </w:rPr>
        <w:t>i</w:t>
      </w:r>
      <w:proofErr w:type="spellEnd"/>
      <w:r w:rsidRPr="009D0609">
        <w:t xml:space="preserve">. We would then calculate the probability that person </w:t>
      </w:r>
      <w:proofErr w:type="spellStart"/>
      <w:r w:rsidRPr="009D0609">
        <w:rPr>
          <w:i/>
        </w:rPr>
        <w:t>i</w:t>
      </w:r>
      <w:proofErr w:type="spellEnd"/>
      <w:r w:rsidRPr="009D0609">
        <w:t xml:space="preserve"> is measured in the survey, P (unit </w:t>
      </w:r>
      <w:proofErr w:type="spellStart"/>
      <w:r w:rsidRPr="009D0609">
        <w:rPr>
          <w:i/>
        </w:rPr>
        <w:t>i</w:t>
      </w:r>
      <w:proofErr w:type="spellEnd"/>
      <w:r w:rsidRPr="009D0609">
        <w:t xml:space="preserve"> selected in the sample and </w:t>
      </w:r>
      <w:r w:rsidRPr="009D0609">
        <w:lastRenderedPageBreak/>
        <w:t xml:space="preserve">responds) = </w:t>
      </w:r>
      <w:proofErr w:type="spellStart"/>
      <w:r w:rsidRPr="009D0609">
        <w:t>A</w:t>
      </w:r>
      <w:r w:rsidRPr="009D0609">
        <w:rPr>
          <w:i/>
        </w:rPr>
        <w:t>i</w:t>
      </w:r>
      <w:r w:rsidRPr="009D0609">
        <w:t>B</w:t>
      </w:r>
      <w:r w:rsidRPr="009D0609">
        <w:rPr>
          <w:i/>
        </w:rPr>
        <w:t>i</w:t>
      </w:r>
      <w:proofErr w:type="spellEnd"/>
      <w:r w:rsidRPr="009D0609">
        <w:t>, where B</w:t>
      </w:r>
      <w:r w:rsidRPr="009D0609">
        <w:rPr>
          <w:i/>
        </w:rPr>
        <w:t>i</w:t>
      </w:r>
      <w:r w:rsidRPr="009D0609">
        <w:t xml:space="preserve"> is the probability that person </w:t>
      </w:r>
      <w:proofErr w:type="spellStart"/>
      <w:r w:rsidRPr="009D0609">
        <w:rPr>
          <w:i/>
        </w:rPr>
        <w:t>i</w:t>
      </w:r>
      <w:proofErr w:type="spellEnd"/>
      <w:r w:rsidRPr="009D0609">
        <w:t xml:space="preserve"> will be selected in the sample. The final weight for each person </w:t>
      </w:r>
      <w:proofErr w:type="spellStart"/>
      <w:r w:rsidRPr="009D0609">
        <w:rPr>
          <w:i/>
        </w:rPr>
        <w:t>i</w:t>
      </w:r>
      <w:proofErr w:type="spellEnd"/>
      <w:r w:rsidRPr="009D0609">
        <w:t xml:space="preserve"> will be</w:t>
      </w:r>
      <w:proofErr w:type="gramStart"/>
      <w:r w:rsidRPr="009D0609">
        <w:t xml:space="preserve">: </w:t>
      </w:r>
      <w:proofErr w:type="gramEnd"/>
      <w:r w:rsidRPr="009D0609">
        <w:rPr>
          <w:b/>
          <w:position w:val="-32"/>
        </w:rPr>
        <w:object w:dxaOrig="560" w:dyaOrig="700">
          <v:shape id="_x0000_i1039" type="#_x0000_t75" style="width:27.75pt;height:35.25pt" o:ole="">
            <v:imagedata r:id="rId36" o:title=""/>
          </v:shape>
          <o:OLEObject Type="Embed" ProgID="Equation.3" ShapeID="_x0000_i1039" DrawAspect="Content" ObjectID="_1329228472" r:id="rId37"/>
        </w:object>
      </w:r>
      <w:r w:rsidRPr="009D0609">
        <w:rPr>
          <w:b/>
        </w:rPr>
        <w:t>.</w:t>
      </w:r>
      <w:r w:rsidRPr="009D0609">
        <w:rPr>
          <w:rStyle w:val="FootnoteReference"/>
          <w:bCs/>
        </w:rPr>
        <w:footnoteReference w:id="5"/>
      </w:r>
    </w:p>
    <w:p w:rsidR="000C56F3" w:rsidRPr="00B26E35" w:rsidRDefault="000C56F3" w:rsidP="000C56F3">
      <w:pPr>
        <w:shd w:val="clear" w:color="auto" w:fill="FFFFFF"/>
        <w:tabs>
          <w:tab w:val="left" w:pos="-720"/>
          <w:tab w:val="num" w:pos="0"/>
        </w:tabs>
        <w:suppressAutoHyphens/>
      </w:pPr>
    </w:p>
    <w:p w:rsidR="000C56F3" w:rsidRPr="00B26E35" w:rsidRDefault="000C56F3" w:rsidP="000C56F3">
      <w:pPr>
        <w:tabs>
          <w:tab w:val="left" w:pos="-720"/>
          <w:tab w:val="left" w:pos="900"/>
          <w:tab w:val="num" w:pos="1080"/>
        </w:tabs>
        <w:suppressAutoHyphens/>
        <w:rPr>
          <w:b/>
          <w:bCs/>
        </w:rPr>
      </w:pPr>
      <w:r w:rsidRPr="00B26E35">
        <w:rPr>
          <w:b/>
        </w:rPr>
        <w:t>4.</w:t>
      </w:r>
      <w:r w:rsidRPr="00B26E35">
        <w:t xml:space="preserve">  </w:t>
      </w:r>
      <w:r w:rsidRPr="00B26E35">
        <w:rPr>
          <w:b/>
          <w:bCs/>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0C56F3" w:rsidRPr="00B26E35" w:rsidRDefault="000C56F3" w:rsidP="000C56F3">
      <w:pPr>
        <w:pStyle w:val="BodyTextIndent"/>
        <w:shd w:val="clear" w:color="auto" w:fill="auto"/>
        <w:ind w:left="0"/>
        <w:rPr>
          <w:sz w:val="24"/>
        </w:rPr>
      </w:pPr>
    </w:p>
    <w:p w:rsidR="000C56F3" w:rsidRPr="00B26E35" w:rsidRDefault="000C56F3" w:rsidP="000C56F3">
      <w:pPr>
        <w:pStyle w:val="BodyTextIndent"/>
        <w:shd w:val="clear" w:color="auto" w:fill="FFFFFF"/>
        <w:ind w:left="0"/>
        <w:rPr>
          <w:sz w:val="24"/>
        </w:rPr>
      </w:pPr>
      <w:r w:rsidRPr="00B26E35">
        <w:rPr>
          <w:sz w:val="24"/>
        </w:rPr>
        <w:t>The CATI survey is tested with fewer than 10 respondents, prior to fielding, to ensure correct skip patterns and procedures.</w:t>
      </w:r>
    </w:p>
    <w:p w:rsidR="000C56F3" w:rsidRDefault="000C56F3" w:rsidP="000C56F3">
      <w:pPr>
        <w:pStyle w:val="BodyTextIndent"/>
        <w:shd w:val="clear" w:color="auto" w:fill="auto"/>
        <w:ind w:left="0"/>
        <w:rPr>
          <w:sz w:val="24"/>
        </w:rPr>
      </w:pPr>
    </w:p>
    <w:p w:rsidR="000C56F3" w:rsidRDefault="000C56F3" w:rsidP="000C56F3">
      <w:pPr>
        <w:pStyle w:val="BodyTextIndent"/>
        <w:shd w:val="clear" w:color="auto" w:fill="auto"/>
        <w:ind w:left="0"/>
        <w:rPr>
          <w:b/>
          <w:sz w:val="24"/>
          <w:szCs w:val="24"/>
        </w:rPr>
      </w:pPr>
      <w:r w:rsidRPr="0012366D">
        <w:rPr>
          <w:b/>
          <w:sz w:val="24"/>
          <w:szCs w:val="24"/>
        </w:rPr>
        <w:t>5.  Provide the name and telephone number of individuals consulted on statistical aspects of the design and the name of the agency unit, contractor(s), grantee(s), or other person(s) who will actually collect and/or analyze the information for the agency.</w:t>
      </w:r>
      <w:r w:rsidRPr="0012366D">
        <w:rPr>
          <w:b/>
          <w:sz w:val="24"/>
          <w:szCs w:val="24"/>
        </w:rPr>
        <w:fldChar w:fldCharType="begin"/>
      </w:r>
      <w:r w:rsidRPr="0012366D">
        <w:rPr>
          <w:b/>
          <w:sz w:val="24"/>
          <w:szCs w:val="24"/>
        </w:rPr>
        <w:instrText>ADVANCE \R 0.95</w:instrText>
      </w:r>
      <w:r w:rsidRPr="0012366D">
        <w:rPr>
          <w:b/>
          <w:sz w:val="24"/>
          <w:szCs w:val="24"/>
        </w:rPr>
        <w:fldChar w:fldCharType="end"/>
      </w:r>
    </w:p>
    <w:p w:rsidR="000C56F3" w:rsidRPr="00762E51" w:rsidRDefault="000C56F3" w:rsidP="000C56F3">
      <w:pPr>
        <w:shd w:val="clear" w:color="auto" w:fill="FFFFFF"/>
        <w:tabs>
          <w:tab w:val="left" w:pos="-720"/>
          <w:tab w:val="num" w:pos="0"/>
        </w:tabs>
        <w:suppressAutoHyphens/>
      </w:pPr>
      <w:r w:rsidRPr="00762E51">
        <w:t>The information collection is conducted for the Community Preparedness Division Office of Citizen Corps by a contractor:</w:t>
      </w:r>
    </w:p>
    <w:p w:rsidR="000C56F3" w:rsidRPr="00762E51" w:rsidRDefault="000C56F3" w:rsidP="000C56F3">
      <w:pPr>
        <w:shd w:val="clear" w:color="auto" w:fill="FFFFFF"/>
        <w:tabs>
          <w:tab w:val="left" w:pos="-720"/>
          <w:tab w:val="num" w:pos="0"/>
        </w:tabs>
        <w:suppressAutoHyphens/>
      </w:pPr>
    </w:p>
    <w:p w:rsidR="000C56F3" w:rsidRPr="00762E51" w:rsidRDefault="000C56F3" w:rsidP="000C56F3">
      <w:pPr>
        <w:shd w:val="clear" w:color="auto" w:fill="FFFFFF"/>
        <w:tabs>
          <w:tab w:val="left" w:pos="-720"/>
          <w:tab w:val="num" w:pos="0"/>
        </w:tabs>
        <w:suppressAutoHyphens/>
      </w:pPr>
      <w:r w:rsidRPr="00762E51">
        <w:t>ICF Macro</w:t>
      </w:r>
    </w:p>
    <w:p w:rsidR="000C56F3" w:rsidRPr="00762E51" w:rsidRDefault="000C56F3" w:rsidP="000C56F3">
      <w:pPr>
        <w:shd w:val="clear" w:color="auto" w:fill="FFFFFF"/>
        <w:tabs>
          <w:tab w:val="left" w:pos="-720"/>
          <w:tab w:val="num" w:pos="0"/>
        </w:tabs>
        <w:suppressAutoHyphens/>
      </w:pPr>
      <w:r w:rsidRPr="00762E51">
        <w:t>11420 Rockville Pike</w:t>
      </w:r>
    </w:p>
    <w:p w:rsidR="000C56F3" w:rsidRPr="00762E51" w:rsidRDefault="000C56F3" w:rsidP="000C56F3">
      <w:pPr>
        <w:shd w:val="clear" w:color="auto" w:fill="FFFFFF"/>
        <w:tabs>
          <w:tab w:val="left" w:pos="-720"/>
          <w:tab w:val="num" w:pos="0"/>
        </w:tabs>
        <w:suppressAutoHyphens/>
      </w:pPr>
      <w:smartTag w:uri="urn:schemas-microsoft-com:office:smarttags" w:element="place">
        <w:smartTag w:uri="urn:schemas-microsoft-com:office:smarttags" w:element="City">
          <w:r w:rsidRPr="00762E51">
            <w:t>Rockville</w:t>
          </w:r>
        </w:smartTag>
        <w:r w:rsidRPr="00762E51">
          <w:t xml:space="preserve">, </w:t>
        </w:r>
        <w:smartTag w:uri="urn:schemas-microsoft-com:office:smarttags" w:element="State">
          <w:r w:rsidRPr="00762E51">
            <w:t>MD</w:t>
          </w:r>
        </w:smartTag>
        <w:r w:rsidRPr="00762E51">
          <w:t xml:space="preserve"> </w:t>
        </w:r>
        <w:smartTag w:uri="urn:schemas-microsoft-com:office:smarttags" w:element="PostalCode">
          <w:r w:rsidRPr="00762E51">
            <w:t>20852</w:t>
          </w:r>
        </w:smartTag>
      </w:smartTag>
    </w:p>
    <w:p w:rsidR="000C56F3" w:rsidRPr="00762E51" w:rsidRDefault="000C56F3" w:rsidP="000C56F3">
      <w:pPr>
        <w:shd w:val="clear" w:color="auto" w:fill="FFFFFF"/>
        <w:tabs>
          <w:tab w:val="left" w:pos="-720"/>
          <w:tab w:val="num" w:pos="0"/>
        </w:tabs>
        <w:suppressAutoHyphens/>
      </w:pPr>
      <w:r w:rsidRPr="00762E51">
        <w:t>301-770-5800</w:t>
      </w:r>
      <w:r w:rsidRPr="00762E51">
        <w:tab/>
        <w:t xml:space="preserve">       </w:t>
      </w:r>
    </w:p>
    <w:p w:rsidR="000C56F3" w:rsidRPr="00762E51" w:rsidRDefault="000C56F3" w:rsidP="000C56F3">
      <w:pPr>
        <w:shd w:val="clear" w:color="auto" w:fill="FFFFFF"/>
        <w:tabs>
          <w:tab w:val="left" w:pos="-720"/>
          <w:tab w:val="num" w:pos="0"/>
        </w:tabs>
        <w:suppressAutoHyphens/>
      </w:pPr>
    </w:p>
    <w:p w:rsidR="000C56F3" w:rsidRPr="00762E51" w:rsidRDefault="000C56F3" w:rsidP="000C56F3">
      <w:pPr>
        <w:pStyle w:val="a"/>
        <w:widowControl/>
        <w:tabs>
          <w:tab w:val="left" w:pos="-1080"/>
          <w:tab w:val="left" w:pos="-72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ind w:left="0"/>
        <w:rPr>
          <w:snapToGrid/>
        </w:rPr>
      </w:pPr>
      <w:r w:rsidRPr="00762E51">
        <w:rPr>
          <w:snapToGrid/>
        </w:rPr>
        <w:t xml:space="preserve">The representatives of the contractor who consulted on statistical aspects of design and will be responsible for conducting the planned data collection are: </w:t>
      </w:r>
    </w:p>
    <w:p w:rsidR="000C56F3" w:rsidRPr="00762E51" w:rsidRDefault="000C56F3" w:rsidP="000C56F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ind w:firstLine="720"/>
      </w:pPr>
      <w:r w:rsidRPr="00762E51">
        <w:t xml:space="preserve"> </w:t>
      </w:r>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rsidRPr="00762E51">
        <w:t>Carol Freeman</w:t>
      </w:r>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rsidRPr="00762E51">
        <w:t>Project Director</w:t>
      </w:r>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rsidRPr="00762E51">
        <w:t>ICF Macro</w:t>
      </w:r>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rsidRPr="00762E51">
        <w:t>11420 Rockville Pike</w:t>
      </w:r>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smartTag w:uri="urn:schemas-microsoft-com:office:smarttags" w:element="place">
        <w:smartTag w:uri="urn:schemas-microsoft-com:office:smarttags" w:element="City">
          <w:r w:rsidRPr="00762E51">
            <w:t>Rockville</w:t>
          </w:r>
        </w:smartTag>
        <w:r w:rsidRPr="00762E51">
          <w:t xml:space="preserve">, </w:t>
        </w:r>
        <w:smartTag w:uri="urn:schemas-microsoft-com:office:smarttags" w:element="State">
          <w:r w:rsidRPr="00762E51">
            <w:t>MD</w:t>
          </w:r>
        </w:smartTag>
        <w:r w:rsidRPr="00762E51">
          <w:t xml:space="preserve"> </w:t>
        </w:r>
        <w:smartTag w:uri="urn:schemas-microsoft-com:office:smarttags" w:element="PostalCode">
          <w:r w:rsidRPr="00762E51">
            <w:t>20852</w:t>
          </w:r>
        </w:smartTag>
      </w:smartTag>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rsidRPr="00762E51">
        <w:t xml:space="preserve">240-747-4901 </w:t>
      </w:r>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rsidRPr="00762E51">
        <w:rPr>
          <w:rStyle w:val="Hypertext"/>
        </w:rPr>
        <w:t>carol.freeman@macrointernational.com</w:t>
      </w:r>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rsidRPr="00762E51">
        <w:t xml:space="preserve">Randal </w:t>
      </w:r>
      <w:proofErr w:type="spellStart"/>
      <w:r w:rsidRPr="00762E51">
        <w:t>ZuWallack</w:t>
      </w:r>
      <w:proofErr w:type="spellEnd"/>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rsidRPr="00762E51">
        <w:t>Senior Research Manager</w:t>
      </w:r>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rsidRPr="00762E51">
        <w:t>ICF Macro</w:t>
      </w:r>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smartTag w:uri="urn:schemas-microsoft-com:office:smarttags" w:element="Street">
        <w:smartTag w:uri="urn:schemas-microsoft-com:office:smarttags" w:element="address">
          <w:r w:rsidRPr="00762E51">
            <w:t>126 College Street</w:t>
          </w:r>
        </w:smartTag>
      </w:smartTag>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smartTag w:uri="urn:schemas-microsoft-com:office:smarttags" w:element="place">
        <w:smartTag w:uri="urn:schemas-microsoft-com:office:smarttags" w:element="City">
          <w:r w:rsidRPr="00762E51">
            <w:t>Burlington</w:t>
          </w:r>
        </w:smartTag>
        <w:r w:rsidRPr="00762E51">
          <w:t xml:space="preserve">, </w:t>
        </w:r>
        <w:smartTag w:uri="urn:schemas-microsoft-com:office:smarttags" w:element="State">
          <w:r w:rsidRPr="00762E51">
            <w:t>VT</w:t>
          </w:r>
        </w:smartTag>
        <w:r w:rsidRPr="00762E51">
          <w:t xml:space="preserve"> </w:t>
        </w:r>
        <w:smartTag w:uri="urn:schemas-microsoft-com:office:smarttags" w:element="PostalCode">
          <w:r w:rsidRPr="00762E51">
            <w:t>05401</w:t>
          </w:r>
        </w:smartTag>
      </w:smartTag>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rsidRPr="00762E51">
        <w:t>802-264-3724</w:t>
      </w:r>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rPr>
          <w:b/>
        </w:rPr>
      </w:pPr>
      <w:r w:rsidRPr="00762E51">
        <w:rPr>
          <w:rStyle w:val="Hypertext"/>
        </w:rPr>
        <w:t>Randal.ZuWallack@macrointernational.com</w:t>
      </w:r>
    </w:p>
    <w:p w:rsidR="000C56F3" w:rsidRPr="00762E51" w:rsidRDefault="000C56F3" w:rsidP="000C56F3">
      <w:pPr>
        <w:shd w:val="clear" w:color="auto" w:fill="FFFFFF"/>
        <w:tabs>
          <w:tab w:val="left" w:pos="-720"/>
          <w:tab w:val="num" w:pos="0"/>
        </w:tabs>
        <w:suppressAutoHyphens/>
      </w:pPr>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rsidRPr="00762E51">
        <w:lastRenderedPageBreak/>
        <w:t>Nicole Vincent</w:t>
      </w:r>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rsidRPr="00762E51">
        <w:t xml:space="preserve">Research </w:t>
      </w:r>
      <w:proofErr w:type="gramStart"/>
      <w:r w:rsidRPr="00762E51">
        <w:t>and  Communications</w:t>
      </w:r>
      <w:proofErr w:type="gramEnd"/>
      <w:r w:rsidRPr="00762E51">
        <w:t xml:space="preserve"> Analyst</w:t>
      </w:r>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rsidRPr="00762E51">
        <w:t>ICF Macro</w:t>
      </w:r>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rsidRPr="00762E51">
        <w:t>11420 Rockville Pike</w:t>
      </w:r>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smartTag w:uri="urn:schemas-microsoft-com:office:smarttags" w:element="place">
        <w:smartTag w:uri="urn:schemas-microsoft-com:office:smarttags" w:element="City">
          <w:r w:rsidRPr="00762E51">
            <w:t>Rockville</w:t>
          </w:r>
        </w:smartTag>
        <w:r w:rsidRPr="00762E51">
          <w:t xml:space="preserve">, </w:t>
        </w:r>
        <w:smartTag w:uri="urn:schemas-microsoft-com:office:smarttags" w:element="State">
          <w:r w:rsidRPr="00762E51">
            <w:t>MD</w:t>
          </w:r>
        </w:smartTag>
        <w:r w:rsidRPr="00762E51">
          <w:t xml:space="preserve"> </w:t>
        </w:r>
        <w:smartTag w:uri="urn:schemas-microsoft-com:office:smarttags" w:element="PostalCode">
          <w:r w:rsidRPr="00762E51">
            <w:t>20852</w:t>
          </w:r>
        </w:smartTag>
      </w:smartTag>
    </w:p>
    <w:p w:rsidR="000C56F3" w:rsidRPr="00762E51" w:rsidRDefault="000C56F3" w:rsidP="000C56F3">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rsidRPr="00762E51">
        <w:t xml:space="preserve">240-747-4942 </w:t>
      </w:r>
    </w:p>
    <w:p w:rsidR="000C56F3" w:rsidRPr="001E1AB7" w:rsidRDefault="000C56F3" w:rsidP="000C56F3">
      <w:hyperlink r:id="rId38" w:history="1">
        <w:r w:rsidRPr="00762E51">
          <w:rPr>
            <w:rStyle w:val="Hyperlink"/>
          </w:rPr>
          <w:t>nicole.vincent@macrointernational.com</w:t>
        </w:r>
      </w:hyperlink>
    </w:p>
    <w:p w:rsidR="00E06DF0" w:rsidRDefault="000C56F3"/>
    <w:sectPr w:rsidR="00E06DF0">
      <w:footerReference w:type="even" r:id="rId39"/>
      <w:footerReference w:type="default" r:id="rId40"/>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6F3" w:rsidRDefault="000C56F3" w:rsidP="000C56F3">
      <w:r>
        <w:separator/>
      </w:r>
    </w:p>
  </w:endnote>
  <w:endnote w:type="continuationSeparator" w:id="0">
    <w:p w:rsidR="000C56F3" w:rsidRDefault="000C56F3" w:rsidP="000C5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489" w:rsidRDefault="000C56F3"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4489" w:rsidRDefault="000C56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489" w:rsidRDefault="000C56F3"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D4489" w:rsidRDefault="000C56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6F3" w:rsidRDefault="000C56F3" w:rsidP="000C56F3">
      <w:r>
        <w:separator/>
      </w:r>
    </w:p>
  </w:footnote>
  <w:footnote w:type="continuationSeparator" w:id="0">
    <w:p w:rsidR="000C56F3" w:rsidRDefault="000C56F3" w:rsidP="000C56F3">
      <w:r>
        <w:continuationSeparator/>
      </w:r>
    </w:p>
  </w:footnote>
  <w:footnote w:id="1">
    <w:p w:rsidR="000C56F3" w:rsidRDefault="000C56F3" w:rsidP="000C56F3">
      <w:pPr>
        <w:pStyle w:val="FootnoteText"/>
      </w:pPr>
      <w:r>
        <w:rPr>
          <w:rStyle w:val="FootnoteReference"/>
        </w:rPr>
        <w:footnoteRef/>
      </w:r>
      <w:r>
        <w:t xml:space="preserve"> </w:t>
      </w:r>
      <w:proofErr w:type="spellStart"/>
      <w:proofErr w:type="gramStart"/>
      <w:r>
        <w:t>Scheaffer</w:t>
      </w:r>
      <w:proofErr w:type="spellEnd"/>
      <w:r>
        <w:t xml:space="preserve">, Richard L., Mendenhall William, and </w:t>
      </w:r>
      <w:proofErr w:type="spellStart"/>
      <w:r>
        <w:t>Ott</w:t>
      </w:r>
      <w:proofErr w:type="spellEnd"/>
      <w:r>
        <w:t xml:space="preserve"> Lyman (1979).</w:t>
      </w:r>
      <w:proofErr w:type="gramEnd"/>
      <w:r>
        <w:t xml:space="preserve"> </w:t>
      </w:r>
      <w:proofErr w:type="gramStart"/>
      <w:r>
        <w:t>Elementary Survey Sampling 2nd Edition.</w:t>
      </w:r>
      <w:proofErr w:type="gramEnd"/>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Duxbury Press, p. 78.</w:t>
      </w:r>
    </w:p>
  </w:footnote>
  <w:footnote w:id="2">
    <w:p w:rsidR="000C56F3" w:rsidRDefault="000C56F3" w:rsidP="000C56F3">
      <w:pPr>
        <w:pStyle w:val="FootnoteText"/>
      </w:pPr>
      <w:r>
        <w:rPr>
          <w:rStyle w:val="FootnoteReference"/>
        </w:rPr>
        <w:footnoteRef/>
      </w:r>
      <w:r>
        <w:t xml:space="preserve"> ibid.</w:t>
      </w:r>
    </w:p>
  </w:footnote>
  <w:footnote w:id="3">
    <w:p w:rsidR="000C56F3" w:rsidRDefault="000C56F3" w:rsidP="000C56F3">
      <w:pPr>
        <w:pStyle w:val="FootnoteText"/>
      </w:pPr>
      <w:r>
        <w:rPr>
          <w:rStyle w:val="FootnoteReference"/>
        </w:rPr>
        <w:footnoteRef/>
      </w:r>
      <w:r>
        <w:t xml:space="preserve"> </w:t>
      </w:r>
      <w:proofErr w:type="spellStart"/>
      <w:r>
        <w:t>Lohr</w:t>
      </w:r>
      <w:proofErr w:type="spellEnd"/>
      <w:r>
        <w:t>, Sharon L. (1999) Sampling Design and Analysis. Brooks/Cole Publishing Company, p. 35.</w:t>
      </w:r>
    </w:p>
  </w:footnote>
  <w:footnote w:id="4">
    <w:p w:rsidR="000C56F3" w:rsidRDefault="000C56F3" w:rsidP="000C56F3">
      <w:pPr>
        <w:pStyle w:val="FootnoteText"/>
      </w:pPr>
      <w:r>
        <w:rPr>
          <w:rStyle w:val="FootnoteReference"/>
        </w:rPr>
        <w:footnoteRef/>
      </w:r>
      <w:r>
        <w:t xml:space="preserve"> </w:t>
      </w:r>
      <w:proofErr w:type="spellStart"/>
      <w:r>
        <w:t>Lohr</w:t>
      </w:r>
      <w:proofErr w:type="spellEnd"/>
      <w:r>
        <w:t>, Sharon L. (1999) Sampling Design and Analysis. Brooks/Cole Publishing Company, p. 239.</w:t>
      </w:r>
    </w:p>
  </w:footnote>
  <w:footnote w:id="5">
    <w:p w:rsidR="000C56F3" w:rsidRDefault="000C56F3" w:rsidP="000C56F3">
      <w:pPr>
        <w:pStyle w:val="FootnoteText"/>
      </w:pPr>
      <w:r>
        <w:rPr>
          <w:rStyle w:val="FootnoteReference"/>
        </w:rPr>
        <w:footnoteRef/>
      </w:r>
      <w:r>
        <w:t xml:space="preserve"> </w:t>
      </w:r>
      <w:proofErr w:type="spellStart"/>
      <w:r>
        <w:t>Lohr</w:t>
      </w:r>
      <w:proofErr w:type="spellEnd"/>
      <w:r>
        <w:t>, Sharon L. (1999) Sampling Design and Analysis. Brooks/Cole Publishing Company, p. 265-266.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3">
    <w:nsid w:val="73F55FE6"/>
    <w:multiLevelType w:val="multilevel"/>
    <w:tmpl w:val="7D8A8FF6"/>
    <w:lvl w:ilvl="0">
      <w:start w:val="1"/>
      <w:numFmt w:val="bullet"/>
      <w:pStyle w:val="Bullet"/>
      <w:lvlText w:val=""/>
      <w:lvlJc w:val="left"/>
      <w:pPr>
        <w:tabs>
          <w:tab w:val="num" w:pos="1080"/>
        </w:tabs>
        <w:ind w:left="1080" w:hanging="360"/>
      </w:pPr>
      <w:rPr>
        <w:rFonts w:ascii="Wingdings" w:hAnsi="Wingdings"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bullet"/>
      <w:lvlText w:val=""/>
      <w:lvlJc w:val="left"/>
      <w:pPr>
        <w:tabs>
          <w:tab w:val="num" w:pos="1440"/>
        </w:tabs>
        <w:ind w:left="1440" w:hanging="360"/>
      </w:pPr>
      <w:rPr>
        <w:rFonts w:ascii="Symbol" w:hAnsi="Symbol" w:hint="default"/>
        <w:b w:val="0"/>
        <w:i w:val="0"/>
        <w:color w:val="auto"/>
        <w:sz w:val="22"/>
      </w:rPr>
    </w:lvl>
    <w:lvl w:ilvl="2">
      <w:start w:val="1"/>
      <w:numFmt w:val="bullet"/>
      <w:lvlText w:val="o"/>
      <w:lvlJc w:val="left"/>
      <w:pPr>
        <w:tabs>
          <w:tab w:val="num" w:pos="1800"/>
        </w:tabs>
        <w:ind w:left="1800" w:hanging="360"/>
      </w:pPr>
      <w:rPr>
        <w:rFonts w:ascii="Courier New" w:hAnsi="Courier New" w:hint="default"/>
        <w:b w:val="0"/>
        <w:i w:val="0"/>
        <w:caps w:val="0"/>
        <w:strike w:val="0"/>
        <w:dstrike w:val="0"/>
        <w:outline w:val="0"/>
        <w:shadow w:val="0"/>
        <w:emboss w:val="0"/>
        <w:imprint w:val="0"/>
        <w:vanish w:val="0"/>
        <w:sz w:val="20"/>
        <w:vertAlign w:val="baseline"/>
      </w:rPr>
    </w:lvl>
    <w:lvl w:ilvl="3">
      <w:start w:val="1"/>
      <w:numFmt w:val="bullet"/>
      <w:lvlText w:val="-"/>
      <w:lvlJc w:val="left"/>
      <w:pPr>
        <w:tabs>
          <w:tab w:val="num" w:pos="1890"/>
        </w:tabs>
        <w:ind w:left="1890" w:hanging="360"/>
      </w:pPr>
      <w:rPr>
        <w:rFonts w:ascii="Courier New" w:hAnsi="Courier New" w:hint="default"/>
      </w:rPr>
    </w:lvl>
    <w:lvl w:ilvl="4">
      <w:start w:val="1"/>
      <w:numFmt w:val="bullet"/>
      <w:lvlText w:val=""/>
      <w:lvlJc w:val="left"/>
      <w:pPr>
        <w:tabs>
          <w:tab w:val="num" w:pos="2250"/>
        </w:tabs>
        <w:ind w:left="2250" w:hanging="360"/>
      </w:pPr>
      <w:rPr>
        <w:rFonts w:ascii="Wingdings" w:hAnsi="Wingdings" w:hint="default"/>
      </w:rPr>
    </w:lvl>
    <w:lvl w:ilvl="5">
      <w:start w:val="1"/>
      <w:numFmt w:val="decimal"/>
      <w:lvlText w:val="%1.%2.%3.%4.%5.%6."/>
      <w:lvlJc w:val="left"/>
      <w:pPr>
        <w:tabs>
          <w:tab w:val="num" w:pos="2941"/>
        </w:tabs>
        <w:ind w:left="2797" w:hanging="936"/>
      </w:pPr>
      <w:rPr>
        <w:rFonts w:hint="default"/>
      </w:rPr>
    </w:lvl>
    <w:lvl w:ilvl="6">
      <w:start w:val="1"/>
      <w:numFmt w:val="decimal"/>
      <w:lvlText w:val="%1.%2.%3.%4.%5.%6.%7."/>
      <w:lvlJc w:val="left"/>
      <w:pPr>
        <w:tabs>
          <w:tab w:val="num" w:pos="3661"/>
        </w:tabs>
        <w:ind w:left="3301" w:hanging="1080"/>
      </w:pPr>
      <w:rPr>
        <w:rFonts w:hint="default"/>
      </w:rPr>
    </w:lvl>
    <w:lvl w:ilvl="7">
      <w:start w:val="1"/>
      <w:numFmt w:val="decimal"/>
      <w:lvlText w:val="%1.%2.%3.%4.%5.%6.%7.%8."/>
      <w:lvlJc w:val="left"/>
      <w:pPr>
        <w:tabs>
          <w:tab w:val="num" w:pos="4021"/>
        </w:tabs>
        <w:ind w:left="3805" w:hanging="1224"/>
      </w:pPr>
      <w:rPr>
        <w:rFonts w:hint="default"/>
      </w:rPr>
    </w:lvl>
    <w:lvl w:ilvl="8">
      <w:start w:val="1"/>
      <w:numFmt w:val="decimal"/>
      <w:lvlText w:val="%1.%2.%3.%4.%5.%6.%7.%8.%9."/>
      <w:lvlJc w:val="left"/>
      <w:pPr>
        <w:tabs>
          <w:tab w:val="num" w:pos="4741"/>
        </w:tabs>
        <w:ind w:left="4381" w:hanging="1440"/>
      </w:pPr>
      <w:rPr>
        <w:rFonts w:hint="default"/>
      </w:rPr>
    </w:lvl>
  </w:abstractNum>
  <w:abstractNum w:abstractNumId="4">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56F3"/>
    <w:rsid w:val="000C56F3"/>
    <w:rsid w:val="00731EFF"/>
    <w:rsid w:val="00C0472D"/>
    <w:rsid w:val="00C21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F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0C56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C56F3"/>
    <w:rPr>
      <w:rFonts w:ascii="Arial" w:eastAsia="Times New Roman" w:hAnsi="Arial" w:cs="Arial"/>
      <w:b/>
      <w:bCs/>
      <w:sz w:val="26"/>
      <w:szCs w:val="26"/>
    </w:rPr>
  </w:style>
  <w:style w:type="character" w:styleId="Hyperlink">
    <w:name w:val="Hyperlink"/>
    <w:basedOn w:val="DefaultParagraphFont"/>
    <w:rsid w:val="000C56F3"/>
    <w:rPr>
      <w:color w:val="0000FF"/>
      <w:u w:val="single"/>
    </w:rPr>
  </w:style>
  <w:style w:type="paragraph" w:styleId="BodyTextIndent">
    <w:name w:val="Body Text Indent"/>
    <w:basedOn w:val="Normal"/>
    <w:link w:val="BodyTextIndentChar"/>
    <w:rsid w:val="000C56F3"/>
    <w:pPr>
      <w:shd w:val="pct25" w:color="auto" w:fill="FFFFFF"/>
      <w:tabs>
        <w:tab w:val="left" w:pos="-720"/>
      </w:tabs>
      <w:suppressAutoHyphens/>
      <w:ind w:left="510"/>
    </w:pPr>
    <w:rPr>
      <w:sz w:val="26"/>
      <w:szCs w:val="20"/>
    </w:rPr>
  </w:style>
  <w:style w:type="character" w:customStyle="1" w:styleId="BodyTextIndentChar">
    <w:name w:val="Body Text Indent Char"/>
    <w:basedOn w:val="DefaultParagraphFont"/>
    <w:link w:val="BodyTextIndent"/>
    <w:rsid w:val="000C56F3"/>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0C56F3"/>
    <w:pPr>
      <w:tabs>
        <w:tab w:val="center" w:pos="4320"/>
        <w:tab w:val="right" w:pos="8640"/>
      </w:tabs>
    </w:pPr>
  </w:style>
  <w:style w:type="character" w:customStyle="1" w:styleId="FooterChar">
    <w:name w:val="Footer Char"/>
    <w:basedOn w:val="DefaultParagraphFont"/>
    <w:link w:val="Footer"/>
    <w:rsid w:val="000C56F3"/>
    <w:rPr>
      <w:rFonts w:ascii="Times New Roman" w:eastAsia="Times New Roman" w:hAnsi="Times New Roman" w:cs="Times New Roman"/>
      <w:sz w:val="24"/>
      <w:szCs w:val="24"/>
    </w:rPr>
  </w:style>
  <w:style w:type="character" w:styleId="PageNumber">
    <w:name w:val="page number"/>
    <w:basedOn w:val="DefaultParagraphFont"/>
    <w:rsid w:val="000C56F3"/>
  </w:style>
  <w:style w:type="paragraph" w:styleId="BodyTextIndent2">
    <w:name w:val="Body Text Indent 2"/>
    <w:basedOn w:val="Normal"/>
    <w:link w:val="BodyTextIndent2Char"/>
    <w:rsid w:val="000C56F3"/>
    <w:pPr>
      <w:spacing w:after="120" w:line="480" w:lineRule="auto"/>
      <w:ind w:left="360"/>
    </w:pPr>
  </w:style>
  <w:style w:type="character" w:customStyle="1" w:styleId="BodyTextIndent2Char">
    <w:name w:val="Body Text Indent 2 Char"/>
    <w:basedOn w:val="DefaultParagraphFont"/>
    <w:link w:val="BodyTextIndent2"/>
    <w:rsid w:val="000C56F3"/>
    <w:rPr>
      <w:rFonts w:ascii="Times New Roman" w:eastAsia="Times New Roman" w:hAnsi="Times New Roman" w:cs="Times New Roman"/>
      <w:sz w:val="24"/>
      <w:szCs w:val="24"/>
    </w:rPr>
  </w:style>
  <w:style w:type="paragraph" w:customStyle="1" w:styleId="a">
    <w:name w:val="_"/>
    <w:rsid w:val="000C56F3"/>
    <w:pPr>
      <w:widowControl w:val="0"/>
      <w:spacing w:after="0" w:line="240" w:lineRule="auto"/>
      <w:ind w:left="720"/>
    </w:pPr>
    <w:rPr>
      <w:rFonts w:ascii="Times New Roman" w:eastAsia="Times New Roman" w:hAnsi="Times New Roman" w:cs="Times New Roman"/>
      <w:snapToGrid w:val="0"/>
      <w:sz w:val="24"/>
      <w:szCs w:val="20"/>
    </w:rPr>
  </w:style>
  <w:style w:type="character" w:customStyle="1" w:styleId="Hypertext">
    <w:name w:val="Hypertext"/>
    <w:rsid w:val="000C56F3"/>
    <w:rPr>
      <w:color w:val="0000FF"/>
      <w:u w:val="single"/>
    </w:rPr>
  </w:style>
  <w:style w:type="paragraph" w:styleId="FootnoteText">
    <w:name w:val="footnote text"/>
    <w:basedOn w:val="Normal"/>
    <w:link w:val="FootnoteTextChar"/>
    <w:semiHidden/>
    <w:rsid w:val="000C56F3"/>
    <w:rPr>
      <w:sz w:val="20"/>
      <w:szCs w:val="20"/>
    </w:rPr>
  </w:style>
  <w:style w:type="character" w:customStyle="1" w:styleId="FootnoteTextChar">
    <w:name w:val="Footnote Text Char"/>
    <w:basedOn w:val="DefaultParagraphFont"/>
    <w:link w:val="FootnoteText"/>
    <w:semiHidden/>
    <w:rsid w:val="000C56F3"/>
    <w:rPr>
      <w:rFonts w:ascii="Times New Roman" w:eastAsia="Times New Roman" w:hAnsi="Times New Roman" w:cs="Times New Roman"/>
      <w:sz w:val="20"/>
      <w:szCs w:val="20"/>
    </w:rPr>
  </w:style>
  <w:style w:type="character" w:styleId="FootnoteReference">
    <w:name w:val="footnote reference"/>
    <w:basedOn w:val="DefaultParagraphFont"/>
    <w:semiHidden/>
    <w:rsid w:val="000C56F3"/>
    <w:rPr>
      <w:vertAlign w:val="superscript"/>
    </w:rPr>
  </w:style>
  <w:style w:type="paragraph" w:customStyle="1" w:styleId="ResponseLvl1">
    <w:name w:val="Response_Lvl1"/>
    <w:basedOn w:val="Normal"/>
    <w:link w:val="ResponseLvl1Char"/>
    <w:rsid w:val="000C56F3"/>
    <w:pPr>
      <w:spacing w:before="240"/>
      <w:ind w:left="360"/>
    </w:pPr>
  </w:style>
  <w:style w:type="character" w:customStyle="1" w:styleId="ResponseLvl1Char">
    <w:name w:val="Response_Lvl1 Char"/>
    <w:basedOn w:val="DefaultParagraphFont"/>
    <w:link w:val="ResponseLvl1"/>
    <w:rsid w:val="000C56F3"/>
    <w:rPr>
      <w:rFonts w:ascii="Times New Roman" w:eastAsia="Times New Roman" w:hAnsi="Times New Roman" w:cs="Times New Roman"/>
      <w:sz w:val="24"/>
      <w:szCs w:val="24"/>
    </w:rPr>
  </w:style>
  <w:style w:type="character" w:customStyle="1" w:styleId="FEMAEmployee">
    <w:name w:val="EmailStyle31"/>
    <w:aliases w:val="EmailStyle31"/>
    <w:basedOn w:val="DefaultParagraphFont"/>
    <w:semiHidden/>
    <w:personal/>
    <w:personalReply/>
    <w:rsid w:val="000C56F3"/>
    <w:rPr>
      <w:rFonts w:ascii="Arial" w:hAnsi="Arial" w:cs="Arial"/>
      <w:color w:val="000080"/>
      <w:sz w:val="20"/>
      <w:szCs w:val="20"/>
    </w:rPr>
  </w:style>
  <w:style w:type="paragraph" w:customStyle="1" w:styleId="ResponseLvl2">
    <w:name w:val="Response_Lvl2"/>
    <w:basedOn w:val="ResponseLvl1"/>
    <w:link w:val="ResponseLvl2Char"/>
    <w:rsid w:val="000C56F3"/>
    <w:pPr>
      <w:ind w:left="720"/>
    </w:pPr>
  </w:style>
  <w:style w:type="character" w:customStyle="1" w:styleId="ResponseLvl2Char">
    <w:name w:val="Response_Lvl2 Char"/>
    <w:basedOn w:val="ResponseLvl1Char"/>
    <w:link w:val="ResponseLvl2"/>
    <w:rsid w:val="000C56F3"/>
  </w:style>
  <w:style w:type="paragraph" w:customStyle="1" w:styleId="TableText">
    <w:name w:val="TableText"/>
    <w:basedOn w:val="Normal"/>
    <w:rsid w:val="000C56F3"/>
    <w:pPr>
      <w:spacing w:before="10" w:after="10"/>
    </w:pPr>
    <w:rPr>
      <w:rFonts w:ascii="Arial" w:hAnsi="Arial" w:cs="Arial"/>
      <w:sz w:val="20"/>
      <w:szCs w:val="20"/>
    </w:rPr>
  </w:style>
  <w:style w:type="paragraph" w:customStyle="1" w:styleId="Bullet">
    <w:name w:val="Bullet"/>
    <w:basedOn w:val="Normal"/>
    <w:rsid w:val="000C56F3"/>
    <w:pPr>
      <w:numPr>
        <w:numId w:val="5"/>
      </w:numPr>
      <w:spacing w:before="120"/>
    </w:pPr>
    <w:rPr>
      <w:szCs w:val="20"/>
    </w:rPr>
  </w:style>
  <w:style w:type="paragraph" w:styleId="BalloonText">
    <w:name w:val="Balloon Text"/>
    <w:basedOn w:val="Normal"/>
    <w:link w:val="BalloonTextChar"/>
    <w:uiPriority w:val="99"/>
    <w:semiHidden/>
    <w:unhideWhenUsed/>
    <w:rsid w:val="000C56F3"/>
    <w:rPr>
      <w:rFonts w:ascii="Tahoma" w:hAnsi="Tahoma" w:cs="Tahoma"/>
      <w:sz w:val="16"/>
      <w:szCs w:val="16"/>
    </w:rPr>
  </w:style>
  <w:style w:type="character" w:customStyle="1" w:styleId="BalloonTextChar">
    <w:name w:val="Balloon Text Char"/>
    <w:basedOn w:val="DefaultParagraphFont"/>
    <w:link w:val="BalloonText"/>
    <w:uiPriority w:val="99"/>
    <w:semiHidden/>
    <w:rsid w:val="000C56F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6.wmf"/><Relationship Id="rId38" Type="http://schemas.openxmlformats.org/officeDocument/2006/relationships/hyperlink" Target="mailto:name.m.last@macrointernational.com"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9.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2137</Words>
  <Characters>12184</Characters>
  <Application>Microsoft Office Word</Application>
  <DocSecurity>0</DocSecurity>
  <Lines>101</Lines>
  <Paragraphs>28</Paragraphs>
  <ScaleCrop>false</ScaleCrop>
  <Company>FEMA</Company>
  <LinksUpToDate>false</LinksUpToDate>
  <CharactersWithSpaces>14293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nbouchet</dc:creator>
  <cp:keywords/>
  <dc:description/>
  <cp:lastModifiedBy>nbouchet</cp:lastModifiedBy>
  <cp:revision>1</cp:revision>
  <dcterms:created xsi:type="dcterms:W3CDTF">2010-03-04T22:18:00Z</dcterms:created>
  <dcterms:modified xsi:type="dcterms:W3CDTF">2010-03-04T22:21:00Z</dcterms:modified>
</cp:coreProperties>
</file>