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Supporting Statement for Paperwork Reduction Act Submissions</w:t>
      </w:r>
    </w:p>
    <w:p w:rsidR="00F61DB0" w:rsidRDefault="00F61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p>
    <w:p w:rsidR="00F61DB0" w:rsidRDefault="00F61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Capital Fund Education and Training Community Facilities (CFCF)</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514D44" w:rsidRDefault="00654127" w:rsidP="00DD6B4B">
      <w:pPr>
        <w:pStyle w:val="BodyText"/>
        <w:tabs>
          <w:tab w:val="left" w:pos="480"/>
        </w:tabs>
        <w:ind w:left="360"/>
        <w:rPr>
          <w:sz w:val="22"/>
        </w:rPr>
      </w:pPr>
      <w:r>
        <w:rPr>
          <w:szCs w:val="24"/>
        </w:rPr>
        <w:tab/>
      </w:r>
      <w:r w:rsidR="00514D44">
        <w:rPr>
          <w:sz w:val="22"/>
        </w:rPr>
        <w:tab/>
      </w:r>
      <w:r w:rsidRPr="00E25B40">
        <w:rPr>
          <w:szCs w:val="24"/>
        </w:rPr>
        <w:t>The Department of Housing and Urban Development Appropriations Act, 2010 (Public Law 111-117, enacted on December 16, 2009) permits the HUD Secretary to use up to $</w:t>
      </w:r>
      <w:r>
        <w:rPr>
          <w:szCs w:val="24"/>
        </w:rPr>
        <w:t>40</w:t>
      </w:r>
      <w:r w:rsidRPr="00E25B40">
        <w:rPr>
          <w:szCs w:val="24"/>
        </w:rPr>
        <w:t xml:space="preserve">,000,000 of the </w:t>
      </w:r>
      <w:r>
        <w:rPr>
          <w:szCs w:val="24"/>
        </w:rPr>
        <w:t>Capital Fund</w:t>
      </w:r>
      <w:r w:rsidRPr="00E25B40">
        <w:rPr>
          <w:szCs w:val="24"/>
        </w:rPr>
        <w:t xml:space="preserve"> appropriations for </w:t>
      </w:r>
      <w:r w:rsidRPr="00376E7C">
        <w:rPr>
          <w:szCs w:val="24"/>
        </w:rPr>
        <w:t>grant funding to develop facilities to provide early childhood education, adult education, and/or job training programs for public housing residents based on an identified need.  PHAs may use funds for construction of new facilities, rehabilitation of existing facilities, or rehabilitation of vacant space.</w:t>
      </w:r>
      <w:r w:rsidRPr="00E25B40">
        <w:rPr>
          <w:szCs w:val="24"/>
        </w:rPr>
        <w:t xml:space="preserve">  </w:t>
      </w:r>
      <w:r w:rsidRPr="0088529D">
        <w:rPr>
          <w:szCs w:val="24"/>
        </w:rPr>
        <w:t>These facilities will offer comprehensive, integrated supportive services to help public housing residents achieve better educational and economic outcomes resulting in long-term economic self-sufficiency.</w:t>
      </w:r>
      <w:r>
        <w:rPr>
          <w:szCs w:val="24"/>
        </w:rPr>
        <w:t xml:space="preserve">  </w:t>
      </w:r>
      <w:r w:rsidR="00514D44">
        <w:rPr>
          <w:sz w:val="22"/>
        </w:rPr>
        <w:t xml:space="preserve"> </w:t>
      </w:r>
    </w:p>
    <w:p w:rsidR="00514D44" w:rsidRPr="00265AB0" w:rsidRDefault="00514D44">
      <w:pPr>
        <w:pStyle w:val="BodyText"/>
        <w:tabs>
          <w:tab w:val="left" w:pos="480"/>
        </w:tabs>
        <w:ind w:left="480" w:hanging="480"/>
        <w:rPr>
          <w:sz w:val="22"/>
        </w:rPr>
      </w:pPr>
      <w:r>
        <w:rPr>
          <w:sz w:val="22"/>
        </w:rPr>
        <w:tab/>
      </w:r>
      <w:r w:rsidR="007D063E">
        <w:rPr>
          <w:sz w:val="22"/>
        </w:rPr>
        <w:tab/>
      </w:r>
    </w:p>
    <w:p w:rsidR="00514D44" w:rsidRDefault="00514D44">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514D44" w:rsidRDefault="00F7025F" w:rsidP="004C6F22">
      <w:pPr>
        <w:pStyle w:val="BodyTextIndent2"/>
        <w:ind w:firstLine="360"/>
        <w:rPr>
          <w:sz w:val="22"/>
        </w:rPr>
      </w:pPr>
      <w:r>
        <w:rPr>
          <w:color w:val="000000"/>
        </w:rPr>
        <w:t xml:space="preserve">PHAs can submit an application for funding in response to the </w:t>
      </w:r>
      <w:r w:rsidRPr="00F7025F">
        <w:rPr>
          <w:bCs/>
          <w:sz w:val="22"/>
        </w:rPr>
        <w:t xml:space="preserve">Capital Fund Education and Training Community Facilities (CFCF) </w:t>
      </w:r>
      <w:r w:rsidRPr="00F7025F">
        <w:rPr>
          <w:color w:val="000000"/>
        </w:rPr>
        <w:t xml:space="preserve">Notice of Funding Availability (NOFA).  The funding will be awarded in a competitive process based on the applications received. </w:t>
      </w:r>
      <w:r>
        <w:tab/>
      </w:r>
      <w:r w:rsidR="008A7E5A">
        <w:t xml:space="preserve">The information collection covers the information needed from applicants to determine which applicants should be funded.  The information provided demonstrates the applicants’ plans to implement the grant requirements, and includes related applicant history.  The application will include such information as narrative exhibits, certifications, data forms, supporting documentation, maps, and drawings.  The information will be used by HUD staff to evaluate threshold requirements and rate and rank grant applications.  </w:t>
      </w:r>
      <w:r w:rsidR="00514D44">
        <w:rPr>
          <w:sz w:val="22"/>
        </w:rPr>
        <w:t>The following types of information are included in this collection:</w:t>
      </w:r>
    </w:p>
    <w:p w:rsidR="00654127" w:rsidRDefault="00654127">
      <w:pPr>
        <w:pStyle w:val="BodyTextIndent2"/>
        <w:tabs>
          <w:tab w:val="left" w:pos="960"/>
        </w:tabs>
        <w:ind w:left="480"/>
        <w:rPr>
          <w:sz w:val="22"/>
        </w:rPr>
      </w:pPr>
    </w:p>
    <w:p w:rsidR="00223C1C" w:rsidRDefault="00514D44" w:rsidP="00F52D85">
      <w:pPr>
        <w:pStyle w:val="BodyTextIndent2"/>
        <w:ind w:left="480"/>
        <w:rPr>
          <w:color w:val="000000"/>
          <w:sz w:val="22"/>
        </w:rPr>
      </w:pPr>
      <w:r>
        <w:rPr>
          <w:b/>
          <w:bCs/>
          <w:sz w:val="22"/>
        </w:rPr>
        <w:t xml:space="preserve">Request for </w:t>
      </w:r>
      <w:r w:rsidR="00F52D85">
        <w:rPr>
          <w:b/>
          <w:bCs/>
          <w:sz w:val="22"/>
        </w:rPr>
        <w:t xml:space="preserve">Funding of Capital Fund Education and Training </w:t>
      </w:r>
      <w:r w:rsidR="00870E07">
        <w:rPr>
          <w:b/>
          <w:bCs/>
          <w:sz w:val="22"/>
        </w:rPr>
        <w:t xml:space="preserve">Community </w:t>
      </w:r>
      <w:r w:rsidR="00F52D85">
        <w:rPr>
          <w:b/>
          <w:bCs/>
          <w:sz w:val="22"/>
        </w:rPr>
        <w:t>Facilities</w:t>
      </w:r>
      <w:r w:rsidR="00870E07">
        <w:rPr>
          <w:b/>
          <w:bCs/>
          <w:sz w:val="22"/>
        </w:rPr>
        <w:t xml:space="preserve"> (CFCF</w:t>
      </w:r>
      <w:proofErr w:type="gramStart"/>
      <w:r w:rsidR="00870E07">
        <w:rPr>
          <w:b/>
          <w:bCs/>
          <w:sz w:val="22"/>
        </w:rPr>
        <w:t>)</w:t>
      </w:r>
      <w:r w:rsidR="00F52D85">
        <w:rPr>
          <w:b/>
          <w:bCs/>
          <w:sz w:val="22"/>
        </w:rPr>
        <w:t xml:space="preserve"> </w:t>
      </w:r>
      <w:r w:rsidR="00870E07">
        <w:rPr>
          <w:b/>
          <w:bCs/>
          <w:sz w:val="22"/>
        </w:rPr>
        <w:t xml:space="preserve"> </w:t>
      </w:r>
      <w:r w:rsidR="00870E07" w:rsidRPr="00870E07">
        <w:rPr>
          <w:bCs/>
          <w:sz w:val="22"/>
        </w:rPr>
        <w:t>PHAs</w:t>
      </w:r>
      <w:proofErr w:type="gramEnd"/>
      <w:r w:rsidR="00870E07">
        <w:rPr>
          <w:bCs/>
          <w:sz w:val="22"/>
        </w:rPr>
        <w:t xml:space="preserve"> must submit an application package based on the requirements of the HUD NOFA in order to be funded under the Education and Training Facilities set aside which Congress included in the HUD appropriations law.  </w:t>
      </w:r>
      <w:r w:rsidR="00870E07">
        <w:t>The purpose of the Capital Fund Education and Training Community Facilities (CFCF) program is to provide capital funding to Public Housing Agencies (PHAs) for the construction, rehabilitation, or purchase of facilities to provide early childhood education, adult education, and/or job training programs for public housing residents.  Additionally, PHAs may use CFCF program funding to rehabilitate existing community facilities that host other supportive services</w:t>
      </w:r>
      <w:r w:rsidR="00870E07">
        <w:rPr>
          <w:b/>
        </w:rPr>
        <w:t>.</w:t>
      </w:r>
      <w:r w:rsidR="00870E07">
        <w:t xml:space="preserve">  These facilities will offer comprehensive, integrated supportive services to help public housing residents achieve better educational and economic outcomes resulting in long-term economic self-sufficiency.  The funding will be awarded on a competitive basis based on HUD established criteria and the information contained in each PHAs application.</w:t>
      </w:r>
    </w:p>
    <w:p w:rsidR="00514D44" w:rsidRDefault="00514D44">
      <w:pPr>
        <w:pStyle w:val="BodyTextIndent2"/>
        <w:tabs>
          <w:tab w:val="left" w:pos="960"/>
        </w:tabs>
        <w:spacing w:after="120"/>
        <w:ind w:left="480"/>
        <w:rPr>
          <w:sz w:val="22"/>
        </w:rPr>
      </w:pPr>
    </w:p>
    <w:tbl>
      <w:tblPr>
        <w:tblW w:w="10700" w:type="dxa"/>
        <w:tblCellMar>
          <w:left w:w="0" w:type="dxa"/>
          <w:right w:w="0" w:type="dxa"/>
        </w:tblCellMar>
        <w:tblLook w:val="0000"/>
      </w:tblPr>
      <w:tblGrid>
        <w:gridCol w:w="1880"/>
        <w:gridCol w:w="3200"/>
        <w:gridCol w:w="5620"/>
      </w:tblGrid>
      <w:tr w:rsidR="00514D44">
        <w:trPr>
          <w:trHeight w:val="450"/>
        </w:trPr>
        <w:tc>
          <w:tcPr>
            <w:tcW w:w="1880"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Pr="004C6F22" w:rsidRDefault="00514D44">
            <w:pPr>
              <w:jc w:val="center"/>
              <w:rPr>
                <w:rFonts w:ascii="Helvetica" w:hAnsi="Helvetica" w:cs="Arial"/>
                <w:b/>
                <w:sz w:val="16"/>
                <w:szCs w:val="16"/>
              </w:rPr>
            </w:pPr>
            <w:r w:rsidRPr="004C6F22">
              <w:rPr>
                <w:rFonts w:ascii="Helvetica" w:hAnsi="Helvetica" w:cs="Arial"/>
                <w:b/>
                <w:sz w:val="16"/>
              </w:rPr>
              <w:t>Form/Document</w:t>
            </w:r>
          </w:p>
        </w:tc>
        <w:tc>
          <w:tcPr>
            <w:tcW w:w="320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4C6F22" w:rsidRDefault="00514D44">
            <w:pPr>
              <w:jc w:val="center"/>
              <w:rPr>
                <w:rFonts w:ascii="Helvetica" w:hAnsi="Helvetica" w:cs="Arial"/>
                <w:b/>
                <w:sz w:val="16"/>
                <w:szCs w:val="16"/>
              </w:rPr>
            </w:pPr>
            <w:r w:rsidRPr="004C6F22">
              <w:rPr>
                <w:rFonts w:ascii="Helvetica" w:hAnsi="Helvetica" w:cs="Arial"/>
                <w:b/>
                <w:sz w:val="16"/>
              </w:rPr>
              <w:t>Title</w:t>
            </w:r>
          </w:p>
        </w:tc>
        <w:tc>
          <w:tcPr>
            <w:tcW w:w="562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4C6F22" w:rsidRDefault="00514D44">
            <w:pPr>
              <w:jc w:val="center"/>
              <w:rPr>
                <w:rFonts w:ascii="Helvetica" w:hAnsi="Helvetica" w:cs="Arial"/>
                <w:b/>
                <w:sz w:val="16"/>
                <w:szCs w:val="16"/>
              </w:rPr>
            </w:pPr>
            <w:r w:rsidRPr="004C6F22">
              <w:rPr>
                <w:rFonts w:ascii="Helvetica" w:hAnsi="Helvetica" w:cs="Arial"/>
                <w:b/>
                <w:sz w:val="16"/>
              </w:rPr>
              <w:t>Description</w:t>
            </w:r>
          </w:p>
        </w:tc>
      </w:tr>
      <w:tr w:rsidR="008D27CC">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D27CC" w:rsidRDefault="008D27CC">
            <w:pPr>
              <w:rPr>
                <w:rFonts w:ascii="Helvetica" w:hAnsi="Helvetica" w:cs="Arial"/>
                <w:sz w:val="18"/>
                <w:szCs w:val="18"/>
              </w:rPr>
            </w:pP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8D27CC" w:rsidRDefault="008D27CC">
            <w:pPr>
              <w:rPr>
                <w:rFonts w:ascii="Helvetica" w:hAnsi="Helvetica" w:cs="Arial"/>
                <w:sz w:val="18"/>
                <w:szCs w:val="18"/>
              </w:rPr>
            </w:pPr>
            <w:r>
              <w:rPr>
                <w:rFonts w:ascii="Helvetica" w:hAnsi="Helvetica" w:cs="Arial"/>
                <w:sz w:val="18"/>
                <w:szCs w:val="18"/>
              </w:rPr>
              <w:t xml:space="preserve">Application for Education and Training Facilities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8D27CC" w:rsidRDefault="008D27CC">
            <w:pPr>
              <w:rPr>
                <w:rFonts w:ascii="Helvetica" w:hAnsi="Helvetica" w:cs="Arial"/>
                <w:sz w:val="18"/>
                <w:szCs w:val="18"/>
              </w:rPr>
            </w:pPr>
            <w:r>
              <w:rPr>
                <w:rFonts w:ascii="Helvetica" w:hAnsi="Helvetica" w:cs="Arial"/>
                <w:sz w:val="18"/>
                <w:szCs w:val="18"/>
              </w:rPr>
              <w:t>Information used to score PHAs application for funding of education and training facilities</w:t>
            </w:r>
          </w:p>
        </w:tc>
      </w:tr>
      <w:tr w:rsidR="00110735">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10735" w:rsidRDefault="00110735" w:rsidP="00601FE1">
            <w:pPr>
              <w:rPr>
                <w:rFonts w:ascii="Helvetica" w:hAnsi="Helvetica" w:cs="Arial"/>
                <w:sz w:val="18"/>
                <w:szCs w:val="18"/>
              </w:rPr>
            </w:pPr>
            <w:r>
              <w:rPr>
                <w:rFonts w:ascii="Helvetica" w:hAnsi="Helvetica" w:cs="Arial"/>
                <w:sz w:val="18"/>
                <w:szCs w:val="18"/>
              </w:rPr>
              <w:t>SF-LLL</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60C5" w:rsidRPr="003D60C5" w:rsidRDefault="00693F8D" w:rsidP="003D60C5">
            <w:pPr>
              <w:numPr>
                <w:ilvl w:val="0"/>
                <w:numId w:val="11"/>
              </w:numPr>
              <w:tabs>
                <w:tab w:val="clear" w:pos="720"/>
                <w:tab w:val="num" w:pos="0"/>
              </w:tabs>
              <w:overflowPunct/>
              <w:autoSpaceDE/>
              <w:autoSpaceDN/>
              <w:adjustRightInd/>
              <w:ind w:left="0"/>
              <w:textAlignment w:val="auto"/>
              <w:outlineLvl w:val="3"/>
              <w:rPr>
                <w:rFonts w:ascii="Helvetica" w:hAnsi="Helvetica" w:cs="Arial"/>
                <w:sz w:val="18"/>
                <w:szCs w:val="18"/>
              </w:rPr>
            </w:pPr>
            <w:hyperlink r:id="rId7" w:history="1">
              <w:r w:rsidR="003D60C5">
                <w:rPr>
                  <w:rFonts w:ascii="Helvetica" w:hAnsi="Helvetica"/>
                  <w:sz w:val="18"/>
                  <w:szCs w:val="18"/>
                </w:rPr>
                <w:t>Disclosure</w:t>
              </w:r>
            </w:hyperlink>
            <w:r w:rsidR="003D60C5">
              <w:rPr>
                <w:rFonts w:ascii="Helvetica" w:hAnsi="Helvetica" w:cs="Arial"/>
                <w:sz w:val="18"/>
                <w:szCs w:val="18"/>
              </w:rPr>
              <w:t xml:space="preserve"> of Lobbying Activities</w:t>
            </w:r>
          </w:p>
          <w:p w:rsidR="00110735" w:rsidRDefault="00110735">
            <w:pPr>
              <w:rPr>
                <w:rFonts w:ascii="Helvetica" w:hAnsi="Helvetica" w:cs="Arial"/>
                <w:sz w:val="18"/>
                <w:szCs w:val="18"/>
              </w:rPr>
            </w:pP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110735" w:rsidRDefault="003D60C5">
            <w:pPr>
              <w:rPr>
                <w:rFonts w:ascii="Helvetica" w:hAnsi="Helvetica" w:cs="Arial"/>
                <w:sz w:val="18"/>
                <w:szCs w:val="18"/>
              </w:rPr>
            </w:pPr>
            <w:r>
              <w:rPr>
                <w:rFonts w:ascii="Helvetica" w:hAnsi="Helvetica" w:cs="Arial"/>
                <w:sz w:val="18"/>
                <w:szCs w:val="18"/>
              </w:rPr>
              <w:t>Required for grant recipients</w:t>
            </w:r>
          </w:p>
        </w:tc>
      </w:tr>
      <w:tr w:rsidR="00110735">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10735" w:rsidRDefault="00110735" w:rsidP="00601FE1">
            <w:pPr>
              <w:rPr>
                <w:rFonts w:ascii="Helvetica" w:hAnsi="Helvetica" w:cs="Arial"/>
                <w:sz w:val="18"/>
                <w:szCs w:val="18"/>
              </w:rPr>
            </w:pPr>
            <w:r>
              <w:rPr>
                <w:rFonts w:ascii="Helvetica" w:hAnsi="Helvetica" w:cs="Arial"/>
                <w:sz w:val="18"/>
                <w:szCs w:val="18"/>
              </w:rPr>
              <w:t>SF-424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110735" w:rsidRDefault="00110735">
            <w:pPr>
              <w:rPr>
                <w:rFonts w:ascii="Helvetica" w:hAnsi="Helvetica" w:cs="Arial"/>
                <w:sz w:val="18"/>
                <w:szCs w:val="18"/>
              </w:rPr>
            </w:pP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110735" w:rsidRDefault="005A32D0">
            <w:pPr>
              <w:rPr>
                <w:rFonts w:ascii="Helvetica" w:hAnsi="Helvetica" w:cs="Arial"/>
                <w:sz w:val="18"/>
                <w:szCs w:val="18"/>
              </w:rPr>
            </w:pPr>
            <w:r>
              <w:rPr>
                <w:rFonts w:ascii="Helvetica" w:hAnsi="Helvetica" w:cs="Arial"/>
                <w:sz w:val="18"/>
                <w:szCs w:val="18"/>
              </w:rPr>
              <w:t>Required for grant recipients</w:t>
            </w:r>
          </w:p>
        </w:tc>
      </w:tr>
      <w:tr w:rsidR="00110735">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10735" w:rsidRDefault="00110735" w:rsidP="00601FE1">
            <w:pPr>
              <w:rPr>
                <w:rFonts w:ascii="Helvetica" w:hAnsi="Helvetica" w:cs="Arial"/>
                <w:sz w:val="18"/>
                <w:szCs w:val="18"/>
              </w:rPr>
            </w:pPr>
            <w:r>
              <w:rPr>
                <w:rFonts w:ascii="Helvetica" w:hAnsi="Helvetica" w:cs="Arial"/>
                <w:sz w:val="18"/>
                <w:szCs w:val="18"/>
              </w:rPr>
              <w:t>HUD-2990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110735" w:rsidRPr="00110735" w:rsidRDefault="00110735" w:rsidP="00110735">
            <w:pPr>
              <w:overflowPunct/>
              <w:textAlignment w:val="auto"/>
              <w:rPr>
                <w:rFonts w:ascii="Helvetica" w:hAnsi="Helvetica" w:cs="Arial"/>
                <w:sz w:val="18"/>
                <w:szCs w:val="18"/>
              </w:rPr>
            </w:pPr>
            <w:r w:rsidRPr="00110735">
              <w:rPr>
                <w:rFonts w:ascii="Helvetica" w:hAnsi="Helvetica" w:cs="Arial"/>
                <w:sz w:val="18"/>
                <w:szCs w:val="18"/>
              </w:rPr>
              <w:t>Certificatio</w:t>
            </w:r>
            <w:r w:rsidRPr="003D60C5">
              <w:rPr>
                <w:rFonts w:ascii="Helvetica" w:hAnsi="Helvetica" w:cs="Arial"/>
                <w:b/>
                <w:sz w:val="18"/>
                <w:szCs w:val="18"/>
              </w:rPr>
              <w:t>n</w:t>
            </w:r>
            <w:r w:rsidRPr="00110735">
              <w:rPr>
                <w:rFonts w:ascii="Helvetica" w:hAnsi="Helvetica" w:cs="Arial"/>
                <w:sz w:val="18"/>
                <w:szCs w:val="18"/>
              </w:rPr>
              <w:t xml:space="preserve"> of</w:t>
            </w:r>
            <w:r>
              <w:rPr>
                <w:rFonts w:ascii="Helvetica" w:hAnsi="Helvetica" w:cs="Arial"/>
                <w:sz w:val="18"/>
                <w:szCs w:val="18"/>
              </w:rPr>
              <w:t xml:space="preserve"> </w:t>
            </w:r>
            <w:r w:rsidRPr="00110735">
              <w:rPr>
                <w:rFonts w:ascii="Helvetica" w:hAnsi="Helvetica" w:cs="Arial"/>
                <w:sz w:val="18"/>
                <w:szCs w:val="18"/>
              </w:rPr>
              <w:t>Consistency with</w:t>
            </w:r>
          </w:p>
          <w:p w:rsidR="00110735" w:rsidRDefault="00110735" w:rsidP="00110735">
            <w:pPr>
              <w:overflowPunct/>
              <w:textAlignment w:val="auto"/>
              <w:rPr>
                <w:rFonts w:ascii="Helvetica" w:hAnsi="Helvetica" w:cs="Arial"/>
                <w:sz w:val="18"/>
                <w:szCs w:val="18"/>
              </w:rPr>
            </w:pPr>
            <w:r w:rsidRPr="00110735">
              <w:rPr>
                <w:rFonts w:ascii="Helvetica" w:hAnsi="Helvetica" w:cs="Arial"/>
                <w:sz w:val="18"/>
                <w:szCs w:val="18"/>
              </w:rPr>
              <w:t>the RC/EZ/EC-IIs</w:t>
            </w:r>
            <w:r>
              <w:rPr>
                <w:rFonts w:ascii="Helvetica" w:hAnsi="Helvetica" w:cs="Arial"/>
                <w:sz w:val="18"/>
                <w:szCs w:val="18"/>
              </w:rPr>
              <w:t xml:space="preserve"> </w:t>
            </w:r>
            <w:r w:rsidRPr="00110735">
              <w:rPr>
                <w:rFonts w:ascii="Helvetica" w:hAnsi="Helvetica" w:cs="Arial"/>
                <w:sz w:val="18"/>
                <w:szCs w:val="18"/>
              </w:rPr>
              <w:t>Strategic Plan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110735" w:rsidRDefault="00110735" w:rsidP="00110735">
            <w:pPr>
              <w:overflowPunct/>
              <w:textAlignment w:val="auto"/>
              <w:rPr>
                <w:rFonts w:ascii="Helvetica" w:hAnsi="Helvetica" w:cs="Helvetica"/>
                <w:sz w:val="18"/>
                <w:szCs w:val="18"/>
              </w:rPr>
            </w:pPr>
            <w:r>
              <w:rPr>
                <w:rFonts w:ascii="Helvetica" w:hAnsi="Helvetica" w:cs="Helvetica"/>
                <w:sz w:val="18"/>
                <w:szCs w:val="18"/>
              </w:rPr>
              <w:t xml:space="preserve">Proposed activities/projects in application are consistent with the </w:t>
            </w:r>
          </w:p>
          <w:p w:rsidR="00110735" w:rsidRDefault="00110735" w:rsidP="00110735">
            <w:pPr>
              <w:overflowPunct/>
              <w:textAlignment w:val="auto"/>
              <w:rPr>
                <w:rFonts w:ascii="Helvetica" w:hAnsi="Helvetica" w:cs="Arial"/>
                <w:sz w:val="18"/>
                <w:szCs w:val="18"/>
              </w:rPr>
            </w:pPr>
            <w:r>
              <w:rPr>
                <w:rFonts w:ascii="Helvetica" w:hAnsi="Helvetica" w:cs="Helvetica"/>
                <w:sz w:val="18"/>
                <w:szCs w:val="18"/>
              </w:rPr>
              <w:t>empowerment zone (EZ), or rural renewal community (RC) designated by HUD, or the strategic plan for an enterprise community (EC) rules</w:t>
            </w:r>
          </w:p>
        </w:tc>
      </w:tr>
      <w:tr w:rsidR="00110735">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10735" w:rsidRDefault="00110735" w:rsidP="00601FE1">
            <w:pPr>
              <w:rPr>
                <w:rFonts w:ascii="Helvetica" w:hAnsi="Helvetica" w:cs="Arial"/>
                <w:sz w:val="18"/>
                <w:szCs w:val="18"/>
              </w:rPr>
            </w:pPr>
            <w:r>
              <w:rPr>
                <w:rFonts w:ascii="Helvetica" w:hAnsi="Helvetica" w:cs="Arial"/>
                <w:sz w:val="18"/>
                <w:szCs w:val="18"/>
              </w:rPr>
              <w:t>HUD-50075.1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110735" w:rsidRDefault="003D60C5">
            <w:pPr>
              <w:rPr>
                <w:rFonts w:ascii="Helvetica" w:hAnsi="Helvetica" w:cs="Arial"/>
                <w:sz w:val="18"/>
                <w:szCs w:val="18"/>
              </w:rPr>
            </w:pPr>
            <w:r w:rsidRPr="003D60C5">
              <w:rPr>
                <w:rFonts w:ascii="Helvetica" w:hAnsi="Helvetica" w:cs="Arial"/>
                <w:sz w:val="18"/>
                <w:szCs w:val="18"/>
              </w:rPr>
              <w:t>Annual Statement/Performance and Evaluation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110735" w:rsidRDefault="003D60C5">
            <w:pPr>
              <w:rPr>
                <w:rFonts w:ascii="Helvetica" w:hAnsi="Helvetica" w:cs="Arial"/>
                <w:sz w:val="18"/>
                <w:szCs w:val="18"/>
              </w:rPr>
            </w:pPr>
            <w:r>
              <w:rPr>
                <w:rFonts w:ascii="Helvetica" w:hAnsi="Helvetica" w:cs="Arial"/>
                <w:sz w:val="18"/>
                <w:szCs w:val="18"/>
              </w:rPr>
              <w:t>Project Budget</w:t>
            </w:r>
          </w:p>
        </w:tc>
      </w:tr>
    </w:tbl>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ED5CD1" w:rsidRDefault="00514D44">
      <w:pPr>
        <w:pStyle w:val="BodyText"/>
        <w:tabs>
          <w:tab w:val="left" w:pos="480"/>
        </w:tabs>
        <w:ind w:left="480" w:hanging="480"/>
        <w:rPr>
          <w:sz w:val="22"/>
        </w:rPr>
      </w:pPr>
      <w:r>
        <w:rPr>
          <w:sz w:val="22"/>
        </w:rPr>
        <w:tab/>
      </w:r>
      <w:r w:rsidR="00ED5CD1">
        <w:rPr>
          <w:sz w:val="22"/>
        </w:rPr>
        <w:tab/>
      </w:r>
      <w:r w:rsidR="00ED5CD1" w:rsidRPr="00622A25">
        <w:rPr>
          <w:sz w:val="22"/>
        </w:rPr>
        <w:t xml:space="preserve">The Application for Education and Training Facilities </w:t>
      </w:r>
      <w:r w:rsidR="000D2C62">
        <w:rPr>
          <w:sz w:val="22"/>
        </w:rPr>
        <w:t xml:space="preserve">Community </w:t>
      </w:r>
      <w:r w:rsidR="00ED5CD1" w:rsidRPr="00622A25">
        <w:rPr>
          <w:sz w:val="22"/>
        </w:rPr>
        <w:t>will be collected through electronic means and PHAs will be notified of grant award through electronic means as well.</w:t>
      </w:r>
      <w:r w:rsidR="00ED5CD1">
        <w:rPr>
          <w:sz w:val="22"/>
        </w:rPr>
        <w:t xml:space="preserve"> </w:t>
      </w:r>
    </w:p>
    <w:p w:rsidR="00514D44" w:rsidRDefault="00514D44" w:rsidP="00E81BCA">
      <w:pPr>
        <w:pStyle w:val="BodyText"/>
        <w:tabs>
          <w:tab w:val="left" w:pos="0"/>
        </w:tabs>
        <w:ind w:left="480" w:hanging="480"/>
        <w:rPr>
          <w:sz w:val="22"/>
        </w:rPr>
      </w:pPr>
      <w:r>
        <w:rPr>
          <w:sz w:val="22"/>
        </w:rPr>
        <w:tab/>
      </w:r>
      <w:r>
        <w:rPr>
          <w:sz w:val="22"/>
        </w:rPr>
        <w:tab/>
      </w: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 xml:space="preserve">This information is not being collected elsewhere.  The information being collected is specific to current funding, therefore the information </w:t>
      </w:r>
      <w:r w:rsidR="00C06849">
        <w:rPr>
          <w:sz w:val="22"/>
        </w:rPr>
        <w:t>PHAs</w:t>
      </w:r>
      <w:r>
        <w:rPr>
          <w:sz w:val="22"/>
        </w:rPr>
        <w:t xml:space="preserve"> no</w:t>
      </w:r>
      <w:r w:rsidR="00A2115E">
        <w:rPr>
          <w:sz w:val="22"/>
        </w:rPr>
        <w:t>t</w:t>
      </w:r>
      <w:r>
        <w:rPr>
          <w:sz w:val="22"/>
        </w:rPr>
        <w:t xml:space="preserve"> been previously collected.</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pPr>
        <w:pStyle w:val="BodyTextIndent"/>
        <w:keepNext/>
        <w:ind w:left="480" w:firstLine="0"/>
        <w:rPr>
          <w:sz w:val="22"/>
        </w:rPr>
      </w:pPr>
      <w:r>
        <w:rPr>
          <w:sz w:val="22"/>
        </w:rPr>
        <w:t>This collection of information does not significantly impact small businesses or entities.</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514D44" w:rsidRDefault="00514D44">
      <w:pPr>
        <w:pStyle w:val="BodyTextIndent"/>
        <w:ind w:left="480" w:firstLine="0"/>
        <w:rPr>
          <w:sz w:val="22"/>
        </w:rPr>
      </w:pPr>
      <w:r>
        <w:rPr>
          <w:sz w:val="22"/>
        </w:rPr>
        <w:t>The Department would not be able to ensure that funds were distributed and used effectively if this collection was conducted less frequently.  This collection ensures that participants act responsibly with the Program funds.</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9C55C9">
      <w:pPr>
        <w:pStyle w:val="BodyTextIndent"/>
        <w:ind w:left="480" w:firstLine="0"/>
        <w:rPr>
          <w:sz w:val="22"/>
        </w:rPr>
      </w:pPr>
      <w:r>
        <w:rPr>
          <w:sz w:val="22"/>
        </w:rPr>
        <w:t>NA</w:t>
      </w:r>
    </w:p>
    <w:p w:rsidR="00514D44" w:rsidRDefault="00514D44">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9C55C9" w:rsidRDefault="006937E9" w:rsidP="006937E9">
      <w:pPr>
        <w:ind w:left="480"/>
        <w:rPr>
          <w:sz w:val="22"/>
        </w:rPr>
      </w:pPr>
      <w:r w:rsidRPr="006937E9">
        <w:rPr>
          <w:sz w:val="22"/>
        </w:rPr>
        <w:t xml:space="preserve">A notice of proposed information collection for the </w:t>
      </w:r>
      <w:r w:rsidR="009C55C9">
        <w:rPr>
          <w:sz w:val="22"/>
        </w:rPr>
        <w:t>Capital Fund Education and Training Community Facilities</w:t>
      </w:r>
      <w:r w:rsidRPr="006937E9">
        <w:rPr>
          <w:sz w:val="22"/>
        </w:rPr>
        <w:t xml:space="preserve"> was published in the Federal Regis</w:t>
      </w:r>
      <w:r w:rsidR="007F7DB2">
        <w:rPr>
          <w:sz w:val="22"/>
        </w:rPr>
        <w:t xml:space="preserve">ter on </w:t>
      </w:r>
      <w:r w:rsidR="004E446D">
        <w:rPr>
          <w:b/>
          <w:sz w:val="22"/>
        </w:rPr>
        <w:t>July27</w:t>
      </w:r>
      <w:r w:rsidR="009C55C9" w:rsidRPr="00BF6C49">
        <w:rPr>
          <w:b/>
          <w:sz w:val="22"/>
        </w:rPr>
        <w:t>, 2010</w:t>
      </w:r>
      <w:r w:rsidR="007F7DB2" w:rsidRPr="00BF6C49">
        <w:rPr>
          <w:b/>
          <w:sz w:val="22"/>
        </w:rPr>
        <w:t xml:space="preserve">, page </w:t>
      </w:r>
      <w:r w:rsidR="004E446D">
        <w:rPr>
          <w:b/>
          <w:sz w:val="22"/>
        </w:rPr>
        <w:t>44005</w:t>
      </w:r>
      <w:r w:rsidRPr="006937E9">
        <w:rPr>
          <w:sz w:val="22"/>
        </w:rPr>
        <w:t xml:space="preserve"> to solicit public comment.</w:t>
      </w:r>
      <w:r w:rsidR="007F7DB2">
        <w:rPr>
          <w:sz w:val="22"/>
        </w:rPr>
        <w:t xml:space="preserve">  No comments were received.</w:t>
      </w:r>
    </w:p>
    <w:p w:rsidR="00514D44" w:rsidRPr="006937E9" w:rsidRDefault="007F7DB2" w:rsidP="006937E9">
      <w:pPr>
        <w:ind w:left="480"/>
        <w:rPr>
          <w:sz w:val="22"/>
        </w:rPr>
      </w:pPr>
      <w:r>
        <w:rPr>
          <w:sz w:val="22"/>
        </w:rPr>
        <w:t xml:space="preserve">  </w:t>
      </w: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514D44">
      <w:pPr>
        <w:pStyle w:val="BodyTextIndent"/>
        <w:ind w:left="480" w:firstLine="0"/>
        <w:rPr>
          <w:sz w:val="22"/>
        </w:rPr>
      </w:pPr>
      <w:r>
        <w:rPr>
          <w:sz w:val="22"/>
        </w:rPr>
        <w:t>The information provided is not of a confidential nature.</w:t>
      </w:r>
    </w:p>
    <w:p w:rsidR="00514D44" w:rsidRDefault="00514D44">
      <w:pPr>
        <w:pStyle w:val="BodyTextIndent"/>
        <w:ind w:left="480" w:hanging="480"/>
        <w:rPr>
          <w:sz w:val="22"/>
        </w:rPr>
      </w:pPr>
    </w:p>
    <w:p w:rsidR="00514D44" w:rsidRDefault="00514D44">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514D44" w:rsidRDefault="00514D44">
      <w:pPr>
        <w:pStyle w:val="BodyTextIndent"/>
        <w:ind w:left="480" w:firstLine="0"/>
        <w:rPr>
          <w:sz w:val="22"/>
        </w:rPr>
      </w:pPr>
      <w:r w:rsidRPr="00622A25">
        <w:rPr>
          <w:sz w:val="22"/>
        </w:rPr>
        <w:t xml:space="preserve">The annual reporting burden hours are based on the experience and estimated amount of time that takes to report the requested information.  For non-Mixed-Finance development, the number of respondents is based on the fact that there are 3,100 housing authorities nation-wide and all of these housing authorities receive funds from, and are subject to the requirements of, the Capital Fund program.  In some cases the number of respondents is less than 3,100.  These respondent numbers are based on HUD’s historic number of public housing or Mixed-Finance development projects that begin annually. All respondents are sub-sets of the 3,100 </w:t>
      </w:r>
      <w:r w:rsidR="005253BF" w:rsidRPr="00622A25">
        <w:rPr>
          <w:sz w:val="22"/>
        </w:rPr>
        <w:t>PHAs</w:t>
      </w:r>
      <w:r w:rsidRPr="00622A25">
        <w:rPr>
          <w:sz w:val="22"/>
        </w:rPr>
        <w:t>, except for approximately 5 homeownership and 5 mixed-finance projects per year, which are implemented by units of local government under a relatively small, annual set-aside of HOPE VI appropriated funds.</w:t>
      </w:r>
    </w:p>
    <w:p w:rsidR="00514D44" w:rsidRDefault="00514D44">
      <w:pPr>
        <w:pStyle w:val="BodyTextIndent"/>
        <w:ind w:left="480" w:firstLine="0"/>
      </w:pPr>
    </w:p>
    <w:tbl>
      <w:tblPr>
        <w:tblW w:w="9817" w:type="dxa"/>
        <w:tblCellMar>
          <w:left w:w="0" w:type="dxa"/>
          <w:right w:w="0" w:type="dxa"/>
        </w:tblCellMar>
        <w:tblLook w:val="0000"/>
      </w:tblPr>
      <w:tblGrid>
        <w:gridCol w:w="393"/>
        <w:gridCol w:w="1698"/>
        <w:gridCol w:w="1078"/>
        <w:gridCol w:w="1066"/>
        <w:gridCol w:w="1290"/>
        <w:gridCol w:w="1064"/>
        <w:gridCol w:w="1068"/>
        <w:gridCol w:w="1044"/>
        <w:gridCol w:w="1116"/>
      </w:tblGrid>
      <w:tr w:rsidR="00514D44" w:rsidTr="00DC1AC4">
        <w:trPr>
          <w:trHeight w:val="450"/>
          <w:tblHeader/>
        </w:trPr>
        <w:tc>
          <w:tcPr>
            <w:tcW w:w="39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keepNext/>
              <w:jc w:val="center"/>
            </w:pPr>
            <w:r>
              <w:t> </w:t>
            </w:r>
          </w:p>
        </w:tc>
        <w:tc>
          <w:tcPr>
            <w:tcW w:w="169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Form/Document</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No. of Respondents</w:t>
            </w:r>
          </w:p>
        </w:tc>
        <w:tc>
          <w:tcPr>
            <w:tcW w:w="1066"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Frequency</w:t>
            </w:r>
          </w:p>
        </w:tc>
        <w:tc>
          <w:tcPr>
            <w:tcW w:w="129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Total Responses</w:t>
            </w:r>
          </w:p>
        </w:tc>
        <w:tc>
          <w:tcPr>
            <w:tcW w:w="106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Hours per Response</w:t>
            </w:r>
          </w:p>
        </w:tc>
        <w:tc>
          <w:tcPr>
            <w:tcW w:w="106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Total Hours</w:t>
            </w:r>
          </w:p>
        </w:tc>
        <w:tc>
          <w:tcPr>
            <w:tcW w:w="104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Cost per hour</w:t>
            </w:r>
          </w:p>
        </w:tc>
        <w:tc>
          <w:tcPr>
            <w:tcW w:w="1116"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Pr="00DC1AC4" w:rsidRDefault="00514D44">
            <w:pPr>
              <w:jc w:val="center"/>
              <w:rPr>
                <w:rFonts w:ascii="Arial" w:hAnsi="Arial" w:cs="Arial"/>
                <w:b/>
                <w:sz w:val="16"/>
                <w:szCs w:val="16"/>
              </w:rPr>
            </w:pPr>
            <w:r w:rsidRPr="00DC1AC4">
              <w:rPr>
                <w:rFonts w:ascii="Arial" w:hAnsi="Arial" w:cs="Arial"/>
                <w:b/>
                <w:sz w:val="16"/>
                <w:szCs w:val="16"/>
              </w:rPr>
              <w:t>Total Cost</w:t>
            </w:r>
          </w:p>
        </w:tc>
      </w:tr>
      <w:tr w:rsidR="006A51F1" w:rsidTr="00DC1AC4">
        <w:trPr>
          <w:trHeight w:val="975"/>
        </w:trPr>
        <w:tc>
          <w:tcPr>
            <w:tcW w:w="393"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A51F1" w:rsidRDefault="00DC1AC4" w:rsidP="006A51F1">
            <w:pPr>
              <w:jc w:val="right"/>
              <w:rPr>
                <w:rFonts w:ascii="Arial" w:hAnsi="Arial" w:cs="Arial"/>
                <w:sz w:val="18"/>
                <w:szCs w:val="18"/>
              </w:rPr>
            </w:pPr>
            <w:r>
              <w:rPr>
                <w:rFonts w:ascii="Arial" w:hAnsi="Arial" w:cs="Arial"/>
                <w:sz w:val="18"/>
                <w:szCs w:val="18"/>
              </w:rPr>
              <w:t>1</w:t>
            </w:r>
          </w:p>
        </w:tc>
        <w:tc>
          <w:tcPr>
            <w:tcW w:w="169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rPr>
                <w:rFonts w:ascii="Helvetica" w:hAnsi="Helvetica" w:cs="Arial"/>
                <w:sz w:val="18"/>
                <w:szCs w:val="18"/>
              </w:rPr>
            </w:pPr>
            <w:r>
              <w:rPr>
                <w:rFonts w:ascii="Helvetica" w:hAnsi="Helvetica" w:cs="Arial"/>
                <w:sz w:val="18"/>
                <w:szCs w:val="18"/>
              </w:rPr>
              <w:t>Application for Education and Training Facilities</w:t>
            </w:r>
          </w:p>
        </w:tc>
        <w:tc>
          <w:tcPr>
            <w:tcW w:w="107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1</w:t>
            </w:r>
          </w:p>
        </w:tc>
        <w:tc>
          <w:tcPr>
            <w:tcW w:w="1290"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rPr>
                <w:rFonts w:ascii="Arial" w:hAnsi="Arial" w:cs="Arial"/>
                <w:sz w:val="18"/>
                <w:szCs w:val="18"/>
              </w:rPr>
            </w:pPr>
            <w:r>
              <w:rPr>
                <w:rFonts w:ascii="Arial" w:hAnsi="Arial" w:cs="Arial"/>
                <w:sz w:val="18"/>
                <w:szCs w:val="18"/>
              </w:rPr>
              <w:t>40</w:t>
            </w:r>
          </w:p>
        </w:tc>
        <w:tc>
          <w:tcPr>
            <w:tcW w:w="106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rPr>
                <w:rFonts w:ascii="Arial" w:hAnsi="Arial" w:cs="Arial"/>
                <w:sz w:val="18"/>
                <w:szCs w:val="18"/>
              </w:rPr>
            </w:pPr>
            <w:r>
              <w:rPr>
                <w:rFonts w:ascii="Arial" w:hAnsi="Arial" w:cs="Arial"/>
                <w:sz w:val="18"/>
                <w:szCs w:val="18"/>
              </w:rPr>
              <w:t>12</w:t>
            </w:r>
            <w:r w:rsidR="006A51F1">
              <w:rPr>
                <w:rFonts w:ascii="Arial" w:hAnsi="Arial" w:cs="Arial"/>
                <w:sz w:val="18"/>
                <w:szCs w:val="18"/>
              </w:rPr>
              <w:t>,000</w:t>
            </w:r>
          </w:p>
        </w:tc>
        <w:tc>
          <w:tcPr>
            <w:tcW w:w="104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$47</w:t>
            </w:r>
          </w:p>
        </w:tc>
        <w:tc>
          <w:tcPr>
            <w:tcW w:w="111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rsidP="00477487">
            <w:pPr>
              <w:jc w:val="right"/>
              <w:rPr>
                <w:rFonts w:ascii="Arial" w:hAnsi="Arial" w:cs="Arial"/>
                <w:sz w:val="18"/>
                <w:szCs w:val="18"/>
              </w:rPr>
            </w:pPr>
            <w:r>
              <w:rPr>
                <w:rFonts w:ascii="Arial" w:hAnsi="Arial" w:cs="Arial"/>
                <w:sz w:val="18"/>
                <w:szCs w:val="18"/>
              </w:rPr>
              <w:t>$</w:t>
            </w:r>
            <w:r w:rsidR="00477487">
              <w:rPr>
                <w:rFonts w:ascii="Arial" w:hAnsi="Arial" w:cs="Arial"/>
                <w:sz w:val="18"/>
                <w:szCs w:val="18"/>
              </w:rPr>
              <w:t>564</w:t>
            </w:r>
            <w:r>
              <w:rPr>
                <w:rFonts w:ascii="Arial" w:hAnsi="Arial" w:cs="Arial"/>
                <w:sz w:val="18"/>
                <w:szCs w:val="18"/>
              </w:rPr>
              <w:t>,000</w:t>
            </w:r>
          </w:p>
        </w:tc>
      </w:tr>
      <w:tr w:rsidR="006A51F1" w:rsidTr="00DC1AC4">
        <w:trPr>
          <w:trHeight w:val="975"/>
        </w:trPr>
        <w:tc>
          <w:tcPr>
            <w:tcW w:w="393"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A51F1" w:rsidRDefault="00DC1AC4" w:rsidP="006A51F1">
            <w:pPr>
              <w:jc w:val="right"/>
              <w:rPr>
                <w:rFonts w:ascii="Arial" w:hAnsi="Arial" w:cs="Arial"/>
                <w:sz w:val="18"/>
                <w:szCs w:val="18"/>
              </w:rPr>
            </w:pPr>
            <w:r>
              <w:rPr>
                <w:rFonts w:ascii="Arial" w:hAnsi="Arial" w:cs="Arial"/>
                <w:sz w:val="18"/>
                <w:szCs w:val="18"/>
              </w:rPr>
              <w:t>2</w:t>
            </w:r>
          </w:p>
        </w:tc>
        <w:tc>
          <w:tcPr>
            <w:tcW w:w="169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rPr>
                <w:rFonts w:ascii="Helvetica" w:hAnsi="Helvetica" w:cs="Arial"/>
                <w:sz w:val="18"/>
                <w:szCs w:val="18"/>
              </w:rPr>
            </w:pPr>
            <w:r>
              <w:rPr>
                <w:rFonts w:ascii="Helvetica" w:hAnsi="Helvetica" w:cs="Arial"/>
                <w:sz w:val="18"/>
                <w:szCs w:val="18"/>
              </w:rPr>
              <w:t>SF-LLL</w:t>
            </w:r>
          </w:p>
        </w:tc>
        <w:tc>
          <w:tcPr>
            <w:tcW w:w="107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1</w:t>
            </w:r>
          </w:p>
        </w:tc>
        <w:tc>
          <w:tcPr>
            <w:tcW w:w="1290"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rPr>
                <w:rFonts w:ascii="Arial" w:hAnsi="Arial" w:cs="Arial"/>
                <w:sz w:val="18"/>
                <w:szCs w:val="18"/>
              </w:rPr>
            </w:pPr>
            <w:r>
              <w:rPr>
                <w:rFonts w:ascii="Arial" w:hAnsi="Arial" w:cs="Arial"/>
                <w:sz w:val="18"/>
                <w:szCs w:val="18"/>
              </w:rPr>
              <w:t>0.25</w:t>
            </w:r>
          </w:p>
        </w:tc>
        <w:tc>
          <w:tcPr>
            <w:tcW w:w="106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rsidP="004A47A7">
            <w:pPr>
              <w:jc w:val="right"/>
              <w:rPr>
                <w:rFonts w:ascii="Arial" w:hAnsi="Arial" w:cs="Arial"/>
                <w:sz w:val="18"/>
                <w:szCs w:val="18"/>
              </w:rPr>
            </w:pPr>
            <w:r>
              <w:rPr>
                <w:rFonts w:ascii="Arial" w:hAnsi="Arial" w:cs="Arial"/>
                <w:sz w:val="18"/>
                <w:szCs w:val="18"/>
              </w:rPr>
              <w:t>75</w:t>
            </w:r>
          </w:p>
        </w:tc>
        <w:tc>
          <w:tcPr>
            <w:tcW w:w="104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$47</w:t>
            </w:r>
          </w:p>
        </w:tc>
        <w:tc>
          <w:tcPr>
            <w:tcW w:w="111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rsidP="00477487">
            <w:pPr>
              <w:jc w:val="right"/>
              <w:rPr>
                <w:rFonts w:ascii="Arial" w:hAnsi="Arial" w:cs="Arial"/>
                <w:sz w:val="18"/>
                <w:szCs w:val="18"/>
              </w:rPr>
            </w:pPr>
            <w:r>
              <w:rPr>
                <w:rFonts w:ascii="Arial" w:hAnsi="Arial" w:cs="Arial"/>
                <w:sz w:val="18"/>
                <w:szCs w:val="18"/>
              </w:rPr>
              <w:t>$</w:t>
            </w:r>
            <w:r w:rsidR="00477487">
              <w:rPr>
                <w:rFonts w:ascii="Arial" w:hAnsi="Arial" w:cs="Arial"/>
                <w:sz w:val="18"/>
                <w:szCs w:val="18"/>
              </w:rPr>
              <w:t>3,525</w:t>
            </w:r>
          </w:p>
        </w:tc>
      </w:tr>
      <w:tr w:rsidR="006A51F1" w:rsidTr="00DC1AC4">
        <w:trPr>
          <w:trHeight w:val="975"/>
        </w:trPr>
        <w:tc>
          <w:tcPr>
            <w:tcW w:w="393"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A51F1" w:rsidRDefault="00DC1AC4" w:rsidP="006A51F1">
            <w:pPr>
              <w:jc w:val="right"/>
              <w:rPr>
                <w:rFonts w:ascii="Arial" w:hAnsi="Arial" w:cs="Arial"/>
                <w:sz w:val="18"/>
                <w:szCs w:val="18"/>
              </w:rPr>
            </w:pPr>
            <w:r>
              <w:rPr>
                <w:rFonts w:ascii="Arial" w:hAnsi="Arial" w:cs="Arial"/>
                <w:sz w:val="18"/>
                <w:szCs w:val="18"/>
              </w:rPr>
              <w:lastRenderedPageBreak/>
              <w:t>3</w:t>
            </w:r>
          </w:p>
        </w:tc>
        <w:tc>
          <w:tcPr>
            <w:tcW w:w="169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rsidP="00F41B82">
            <w:pPr>
              <w:rPr>
                <w:rFonts w:ascii="Helvetica" w:hAnsi="Helvetica" w:cs="Arial"/>
                <w:sz w:val="18"/>
                <w:szCs w:val="18"/>
              </w:rPr>
            </w:pPr>
            <w:r>
              <w:rPr>
                <w:rFonts w:ascii="Helvetica" w:hAnsi="Helvetica" w:cs="Arial"/>
                <w:sz w:val="18"/>
                <w:szCs w:val="18"/>
              </w:rPr>
              <w:t>SF-424</w:t>
            </w:r>
          </w:p>
        </w:tc>
        <w:tc>
          <w:tcPr>
            <w:tcW w:w="107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rsidP="00F41B82">
            <w:pPr>
              <w:jc w:val="right"/>
            </w:pPr>
            <w:r>
              <w:t>300</w:t>
            </w:r>
          </w:p>
        </w:tc>
        <w:tc>
          <w:tcPr>
            <w:tcW w:w="106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rsidP="00F41B82">
            <w:pPr>
              <w:jc w:val="right"/>
            </w:pPr>
            <w:r>
              <w:t>1</w:t>
            </w:r>
          </w:p>
        </w:tc>
        <w:tc>
          <w:tcPr>
            <w:tcW w:w="1290"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rsidP="00F41B82">
            <w:pPr>
              <w:jc w:val="right"/>
            </w:pPr>
            <w:r>
              <w:t>300</w:t>
            </w:r>
          </w:p>
        </w:tc>
        <w:tc>
          <w:tcPr>
            <w:tcW w:w="106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rsidP="00F41B82">
            <w:pPr>
              <w:jc w:val="right"/>
              <w:rPr>
                <w:rFonts w:ascii="Arial" w:hAnsi="Arial" w:cs="Arial"/>
                <w:sz w:val="18"/>
                <w:szCs w:val="18"/>
              </w:rPr>
            </w:pPr>
            <w:r>
              <w:rPr>
                <w:rFonts w:ascii="Arial" w:hAnsi="Arial" w:cs="Arial"/>
                <w:sz w:val="18"/>
                <w:szCs w:val="18"/>
              </w:rPr>
              <w:t>0.25</w:t>
            </w:r>
          </w:p>
        </w:tc>
        <w:tc>
          <w:tcPr>
            <w:tcW w:w="106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rsidP="00F41B82">
            <w:pPr>
              <w:jc w:val="right"/>
              <w:rPr>
                <w:rFonts w:ascii="Arial" w:hAnsi="Arial" w:cs="Arial"/>
                <w:sz w:val="18"/>
                <w:szCs w:val="18"/>
              </w:rPr>
            </w:pPr>
            <w:r>
              <w:rPr>
                <w:rFonts w:ascii="Arial" w:hAnsi="Arial" w:cs="Arial"/>
                <w:sz w:val="18"/>
                <w:szCs w:val="18"/>
              </w:rPr>
              <w:t>75</w:t>
            </w:r>
          </w:p>
        </w:tc>
        <w:tc>
          <w:tcPr>
            <w:tcW w:w="104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rsidP="00F41B82">
            <w:pPr>
              <w:jc w:val="right"/>
            </w:pPr>
            <w:r>
              <w:t>$47</w:t>
            </w:r>
          </w:p>
        </w:tc>
        <w:tc>
          <w:tcPr>
            <w:tcW w:w="111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477487" w:rsidP="00F41B82">
            <w:pPr>
              <w:jc w:val="right"/>
              <w:rPr>
                <w:rFonts w:ascii="Arial" w:hAnsi="Arial" w:cs="Arial"/>
                <w:sz w:val="18"/>
                <w:szCs w:val="18"/>
              </w:rPr>
            </w:pPr>
            <w:r>
              <w:rPr>
                <w:rFonts w:ascii="Arial" w:hAnsi="Arial" w:cs="Arial"/>
                <w:sz w:val="18"/>
                <w:szCs w:val="18"/>
              </w:rPr>
              <w:t>$3,525</w:t>
            </w:r>
          </w:p>
        </w:tc>
      </w:tr>
      <w:tr w:rsidR="006A51F1" w:rsidTr="00DC1AC4">
        <w:trPr>
          <w:trHeight w:val="975"/>
        </w:trPr>
        <w:tc>
          <w:tcPr>
            <w:tcW w:w="393"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A51F1" w:rsidRDefault="006A51F1" w:rsidP="00DC1AC4">
            <w:pPr>
              <w:jc w:val="right"/>
              <w:rPr>
                <w:rFonts w:ascii="Arial" w:hAnsi="Arial" w:cs="Arial"/>
                <w:sz w:val="18"/>
                <w:szCs w:val="18"/>
              </w:rPr>
            </w:pPr>
            <w:r>
              <w:rPr>
                <w:rFonts w:ascii="Arial" w:hAnsi="Arial" w:cs="Arial"/>
                <w:sz w:val="18"/>
                <w:szCs w:val="18"/>
              </w:rPr>
              <w:t>4</w:t>
            </w:r>
          </w:p>
        </w:tc>
        <w:tc>
          <w:tcPr>
            <w:tcW w:w="169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rPr>
                <w:rFonts w:ascii="Helvetica" w:hAnsi="Helvetica" w:cs="Arial"/>
                <w:sz w:val="18"/>
                <w:szCs w:val="18"/>
              </w:rPr>
            </w:pPr>
            <w:r>
              <w:rPr>
                <w:rFonts w:ascii="Helvetica" w:hAnsi="Helvetica" w:cs="Arial"/>
                <w:sz w:val="18"/>
                <w:szCs w:val="18"/>
              </w:rPr>
              <w:t>HUD-2990</w:t>
            </w:r>
          </w:p>
        </w:tc>
        <w:tc>
          <w:tcPr>
            <w:tcW w:w="107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1</w:t>
            </w:r>
          </w:p>
        </w:tc>
        <w:tc>
          <w:tcPr>
            <w:tcW w:w="1290"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rPr>
                <w:rFonts w:ascii="Arial" w:hAnsi="Arial" w:cs="Arial"/>
                <w:sz w:val="18"/>
                <w:szCs w:val="18"/>
              </w:rPr>
            </w:pPr>
            <w:r>
              <w:rPr>
                <w:rFonts w:ascii="Arial" w:hAnsi="Arial" w:cs="Arial"/>
                <w:sz w:val="18"/>
                <w:szCs w:val="18"/>
              </w:rPr>
              <w:t>0.25</w:t>
            </w:r>
          </w:p>
        </w:tc>
        <w:tc>
          <w:tcPr>
            <w:tcW w:w="106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rPr>
                <w:rFonts w:ascii="Arial" w:hAnsi="Arial" w:cs="Arial"/>
                <w:sz w:val="18"/>
                <w:szCs w:val="18"/>
              </w:rPr>
            </w:pPr>
            <w:r>
              <w:rPr>
                <w:rFonts w:ascii="Arial" w:hAnsi="Arial" w:cs="Arial"/>
                <w:sz w:val="18"/>
                <w:szCs w:val="18"/>
              </w:rPr>
              <w:t>75</w:t>
            </w:r>
          </w:p>
        </w:tc>
        <w:tc>
          <w:tcPr>
            <w:tcW w:w="104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$47</w:t>
            </w:r>
          </w:p>
        </w:tc>
        <w:tc>
          <w:tcPr>
            <w:tcW w:w="111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477487">
            <w:pPr>
              <w:jc w:val="right"/>
              <w:rPr>
                <w:rFonts w:ascii="Arial" w:hAnsi="Arial" w:cs="Arial"/>
                <w:sz w:val="18"/>
                <w:szCs w:val="18"/>
              </w:rPr>
            </w:pPr>
            <w:r>
              <w:rPr>
                <w:rFonts w:ascii="Arial" w:hAnsi="Arial" w:cs="Arial"/>
                <w:sz w:val="18"/>
                <w:szCs w:val="18"/>
              </w:rPr>
              <w:t>$3,525</w:t>
            </w:r>
          </w:p>
        </w:tc>
      </w:tr>
      <w:tr w:rsidR="006A51F1" w:rsidTr="00DC1AC4">
        <w:trPr>
          <w:trHeight w:val="975"/>
        </w:trPr>
        <w:tc>
          <w:tcPr>
            <w:tcW w:w="393"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6A51F1" w:rsidRDefault="00DC1AC4" w:rsidP="006A51F1">
            <w:pPr>
              <w:jc w:val="right"/>
              <w:rPr>
                <w:rFonts w:ascii="Arial" w:hAnsi="Arial" w:cs="Arial"/>
                <w:sz w:val="18"/>
                <w:szCs w:val="18"/>
              </w:rPr>
            </w:pPr>
            <w:r>
              <w:rPr>
                <w:rFonts w:ascii="Arial" w:hAnsi="Arial" w:cs="Arial"/>
                <w:sz w:val="18"/>
                <w:szCs w:val="18"/>
              </w:rPr>
              <w:t>5</w:t>
            </w:r>
          </w:p>
        </w:tc>
        <w:tc>
          <w:tcPr>
            <w:tcW w:w="169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rPr>
                <w:rFonts w:ascii="Helvetica" w:hAnsi="Helvetica" w:cs="Arial"/>
                <w:sz w:val="18"/>
                <w:szCs w:val="18"/>
              </w:rPr>
            </w:pPr>
            <w:r>
              <w:rPr>
                <w:rFonts w:ascii="Helvetica" w:hAnsi="Helvetica" w:cs="Arial"/>
                <w:sz w:val="18"/>
                <w:szCs w:val="18"/>
              </w:rPr>
              <w:t>HUD-50075.1</w:t>
            </w:r>
          </w:p>
        </w:tc>
        <w:tc>
          <w:tcPr>
            <w:tcW w:w="107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1</w:t>
            </w:r>
          </w:p>
        </w:tc>
        <w:tc>
          <w:tcPr>
            <w:tcW w:w="1290"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pPr>
              <w:jc w:val="right"/>
            </w:pPr>
            <w:r>
              <w:t>300</w:t>
            </w:r>
          </w:p>
        </w:tc>
        <w:tc>
          <w:tcPr>
            <w:tcW w:w="106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rPr>
                <w:rFonts w:ascii="Arial" w:hAnsi="Arial" w:cs="Arial"/>
                <w:sz w:val="18"/>
                <w:szCs w:val="18"/>
              </w:rPr>
            </w:pPr>
            <w:r>
              <w:rPr>
                <w:rFonts w:ascii="Arial" w:hAnsi="Arial" w:cs="Arial"/>
                <w:sz w:val="18"/>
                <w:szCs w:val="18"/>
              </w:rPr>
              <w:t>7</w:t>
            </w:r>
          </w:p>
        </w:tc>
        <w:tc>
          <w:tcPr>
            <w:tcW w:w="1068"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722C84" w:rsidP="00722C84">
            <w:pPr>
              <w:jc w:val="right"/>
              <w:rPr>
                <w:rFonts w:ascii="Arial" w:hAnsi="Arial" w:cs="Arial"/>
                <w:sz w:val="18"/>
                <w:szCs w:val="18"/>
              </w:rPr>
            </w:pPr>
            <w:r>
              <w:rPr>
                <w:rFonts w:ascii="Arial" w:hAnsi="Arial" w:cs="Arial"/>
                <w:sz w:val="18"/>
                <w:szCs w:val="18"/>
              </w:rPr>
              <w:t>2,100</w:t>
            </w:r>
          </w:p>
        </w:tc>
        <w:tc>
          <w:tcPr>
            <w:tcW w:w="1044"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pPr>
              <w:jc w:val="right"/>
            </w:pPr>
            <w:r>
              <w:t>$47</w:t>
            </w:r>
          </w:p>
        </w:tc>
        <w:tc>
          <w:tcPr>
            <w:tcW w:w="1116" w:type="dxa"/>
            <w:tcBorders>
              <w:top w:val="nil"/>
              <w:left w:val="nil"/>
              <w:bottom w:val="double" w:sz="6" w:space="0" w:color="auto"/>
              <w:right w:val="single" w:sz="4" w:space="0" w:color="auto"/>
            </w:tcBorders>
            <w:tcMar>
              <w:top w:w="14" w:type="dxa"/>
              <w:left w:w="14" w:type="dxa"/>
              <w:bottom w:w="0" w:type="dxa"/>
              <w:right w:w="14" w:type="dxa"/>
            </w:tcMar>
            <w:vAlign w:val="center"/>
          </w:tcPr>
          <w:p w:rsidR="006A51F1" w:rsidRDefault="006A51F1" w:rsidP="00477487">
            <w:pPr>
              <w:jc w:val="right"/>
              <w:rPr>
                <w:rFonts w:ascii="Arial" w:hAnsi="Arial" w:cs="Arial"/>
                <w:sz w:val="18"/>
                <w:szCs w:val="18"/>
              </w:rPr>
            </w:pPr>
            <w:r>
              <w:rPr>
                <w:rFonts w:ascii="Arial" w:hAnsi="Arial" w:cs="Arial"/>
                <w:sz w:val="18"/>
                <w:szCs w:val="18"/>
              </w:rPr>
              <w:t>$</w:t>
            </w:r>
            <w:r w:rsidR="00477487">
              <w:rPr>
                <w:rFonts w:ascii="Arial" w:hAnsi="Arial" w:cs="Arial"/>
                <w:sz w:val="18"/>
                <w:szCs w:val="18"/>
              </w:rPr>
              <w:t>98</w:t>
            </w:r>
            <w:r>
              <w:rPr>
                <w:rFonts w:ascii="Arial" w:hAnsi="Arial" w:cs="Arial"/>
                <w:sz w:val="18"/>
                <w:szCs w:val="18"/>
              </w:rPr>
              <w:t>,</w:t>
            </w:r>
            <w:r w:rsidR="00477487">
              <w:rPr>
                <w:rFonts w:ascii="Arial" w:hAnsi="Arial" w:cs="Arial"/>
                <w:sz w:val="18"/>
                <w:szCs w:val="18"/>
              </w:rPr>
              <w:t>7</w:t>
            </w:r>
            <w:r>
              <w:rPr>
                <w:rFonts w:ascii="Arial" w:hAnsi="Arial" w:cs="Arial"/>
                <w:sz w:val="18"/>
                <w:szCs w:val="18"/>
              </w:rPr>
              <w:t>00</w:t>
            </w:r>
          </w:p>
        </w:tc>
      </w:tr>
      <w:tr w:rsidR="006A51F1" w:rsidTr="00DC1AC4">
        <w:tblPrEx>
          <w:tblCellMar>
            <w:left w:w="108" w:type="dxa"/>
            <w:right w:w="108" w:type="dxa"/>
          </w:tblCellMar>
        </w:tblPrEx>
        <w:trPr>
          <w:trHeight w:val="330"/>
        </w:trPr>
        <w:tc>
          <w:tcPr>
            <w:tcW w:w="393" w:type="dxa"/>
            <w:tcBorders>
              <w:top w:val="nil"/>
              <w:left w:val="single" w:sz="4" w:space="0" w:color="auto"/>
              <w:bottom w:val="single" w:sz="4" w:space="0" w:color="auto"/>
              <w:right w:val="single" w:sz="4" w:space="0" w:color="auto"/>
            </w:tcBorders>
            <w:vAlign w:val="center"/>
          </w:tcPr>
          <w:p w:rsidR="006A51F1" w:rsidRDefault="006A51F1">
            <w:r>
              <w:t> </w:t>
            </w:r>
          </w:p>
        </w:tc>
        <w:tc>
          <w:tcPr>
            <w:tcW w:w="1698" w:type="dxa"/>
            <w:tcBorders>
              <w:top w:val="nil"/>
              <w:left w:val="nil"/>
              <w:bottom w:val="single" w:sz="4" w:space="0" w:color="auto"/>
              <w:right w:val="single" w:sz="4" w:space="0" w:color="auto"/>
            </w:tcBorders>
            <w:vAlign w:val="center"/>
          </w:tcPr>
          <w:p w:rsidR="006A51F1" w:rsidRDefault="006A51F1">
            <w:pPr>
              <w:rPr>
                <w:sz w:val="24"/>
                <w:szCs w:val="24"/>
              </w:rPr>
            </w:pPr>
            <w:r>
              <w:t>Totals</w:t>
            </w:r>
          </w:p>
        </w:tc>
        <w:tc>
          <w:tcPr>
            <w:tcW w:w="1078" w:type="dxa"/>
            <w:tcBorders>
              <w:top w:val="nil"/>
              <w:left w:val="nil"/>
              <w:bottom w:val="single" w:sz="4" w:space="0" w:color="auto"/>
              <w:right w:val="single" w:sz="4" w:space="0" w:color="auto"/>
            </w:tcBorders>
            <w:vAlign w:val="center"/>
          </w:tcPr>
          <w:p w:rsidR="006A51F1" w:rsidRDefault="006A51F1">
            <w:pPr>
              <w:jc w:val="right"/>
            </w:pPr>
            <w:r>
              <w:t> </w:t>
            </w:r>
          </w:p>
        </w:tc>
        <w:tc>
          <w:tcPr>
            <w:tcW w:w="1066" w:type="dxa"/>
            <w:tcBorders>
              <w:top w:val="nil"/>
              <w:left w:val="nil"/>
              <w:bottom w:val="single" w:sz="4" w:space="0" w:color="auto"/>
              <w:right w:val="single" w:sz="4" w:space="0" w:color="auto"/>
            </w:tcBorders>
            <w:vAlign w:val="center"/>
          </w:tcPr>
          <w:p w:rsidR="006A51F1" w:rsidRDefault="006A51F1">
            <w:pPr>
              <w:jc w:val="right"/>
            </w:pPr>
            <w:r>
              <w:t> </w:t>
            </w:r>
          </w:p>
        </w:tc>
        <w:tc>
          <w:tcPr>
            <w:tcW w:w="1290" w:type="dxa"/>
            <w:tcBorders>
              <w:top w:val="nil"/>
              <w:left w:val="nil"/>
              <w:bottom w:val="single" w:sz="4" w:space="0" w:color="auto"/>
              <w:right w:val="single" w:sz="4" w:space="0" w:color="auto"/>
            </w:tcBorders>
            <w:vAlign w:val="center"/>
          </w:tcPr>
          <w:p w:rsidR="006A51F1" w:rsidRPr="00465731" w:rsidRDefault="00F04F0F" w:rsidP="004307EF">
            <w:pPr>
              <w:jc w:val="right"/>
              <w:rPr>
                <w:rFonts w:ascii="Arial" w:hAnsi="Arial" w:cs="Arial"/>
                <w:sz w:val="18"/>
                <w:szCs w:val="18"/>
              </w:rPr>
            </w:pPr>
            <w:r>
              <w:rPr>
                <w:rFonts w:ascii="Arial" w:hAnsi="Arial" w:cs="Arial"/>
                <w:color w:val="000000"/>
                <w:sz w:val="18"/>
                <w:szCs w:val="18"/>
              </w:rPr>
              <w:t>300</w:t>
            </w:r>
          </w:p>
        </w:tc>
        <w:tc>
          <w:tcPr>
            <w:tcW w:w="1064" w:type="dxa"/>
            <w:tcBorders>
              <w:top w:val="nil"/>
              <w:left w:val="nil"/>
              <w:bottom w:val="single" w:sz="4" w:space="0" w:color="auto"/>
              <w:right w:val="single" w:sz="4" w:space="0" w:color="auto"/>
            </w:tcBorders>
            <w:vAlign w:val="center"/>
          </w:tcPr>
          <w:p w:rsidR="006A51F1" w:rsidRDefault="006A51F1">
            <w:pPr>
              <w:jc w:val="right"/>
              <w:rPr>
                <w:rFonts w:ascii="Arial" w:hAnsi="Arial" w:cs="Arial"/>
                <w:sz w:val="18"/>
                <w:szCs w:val="18"/>
              </w:rPr>
            </w:pPr>
            <w:r>
              <w:rPr>
                <w:rFonts w:ascii="Arial" w:hAnsi="Arial" w:cs="Arial"/>
                <w:sz w:val="18"/>
                <w:szCs w:val="18"/>
              </w:rPr>
              <w:t> </w:t>
            </w:r>
          </w:p>
        </w:tc>
        <w:tc>
          <w:tcPr>
            <w:tcW w:w="1068" w:type="dxa"/>
            <w:tcBorders>
              <w:top w:val="nil"/>
              <w:left w:val="nil"/>
              <w:bottom w:val="single" w:sz="4" w:space="0" w:color="auto"/>
              <w:right w:val="single" w:sz="4" w:space="0" w:color="auto"/>
            </w:tcBorders>
            <w:vAlign w:val="center"/>
          </w:tcPr>
          <w:p w:rsidR="006A51F1" w:rsidRPr="00647ADB" w:rsidRDefault="00F04F0F" w:rsidP="009A2F82">
            <w:pPr>
              <w:jc w:val="right"/>
              <w:rPr>
                <w:rFonts w:ascii="Arial" w:hAnsi="Arial" w:cs="Arial"/>
                <w:sz w:val="18"/>
                <w:szCs w:val="18"/>
              </w:rPr>
            </w:pPr>
            <w:r>
              <w:rPr>
                <w:rFonts w:ascii="Arial" w:hAnsi="Arial" w:cs="Arial"/>
                <w:sz w:val="18"/>
                <w:szCs w:val="18"/>
              </w:rPr>
              <w:t>14,325</w:t>
            </w:r>
          </w:p>
        </w:tc>
        <w:tc>
          <w:tcPr>
            <w:tcW w:w="1044" w:type="dxa"/>
            <w:tcBorders>
              <w:top w:val="nil"/>
              <w:left w:val="nil"/>
              <w:bottom w:val="single" w:sz="4" w:space="0" w:color="auto"/>
              <w:right w:val="single" w:sz="4" w:space="0" w:color="auto"/>
            </w:tcBorders>
            <w:vAlign w:val="center"/>
          </w:tcPr>
          <w:p w:rsidR="006A51F1" w:rsidRDefault="006A51F1">
            <w:pPr>
              <w:jc w:val="right"/>
              <w:rPr>
                <w:rFonts w:ascii="Arial" w:hAnsi="Arial" w:cs="Arial"/>
                <w:sz w:val="18"/>
                <w:szCs w:val="18"/>
              </w:rPr>
            </w:pPr>
            <w:r>
              <w:rPr>
                <w:rFonts w:ascii="Arial" w:hAnsi="Arial" w:cs="Arial"/>
                <w:sz w:val="18"/>
                <w:szCs w:val="18"/>
              </w:rPr>
              <w:t> </w:t>
            </w:r>
          </w:p>
        </w:tc>
        <w:tc>
          <w:tcPr>
            <w:tcW w:w="1116" w:type="dxa"/>
            <w:tcBorders>
              <w:top w:val="nil"/>
              <w:left w:val="nil"/>
              <w:bottom w:val="single" w:sz="4" w:space="0" w:color="auto"/>
              <w:right w:val="single" w:sz="4" w:space="0" w:color="auto"/>
            </w:tcBorders>
            <w:vAlign w:val="center"/>
          </w:tcPr>
          <w:p w:rsidR="006A51F1" w:rsidRPr="00465731" w:rsidRDefault="00624CA6" w:rsidP="00600CAF">
            <w:pPr>
              <w:jc w:val="right"/>
              <w:rPr>
                <w:rFonts w:ascii="Arial" w:hAnsi="Arial" w:cs="Arial"/>
                <w:sz w:val="18"/>
                <w:szCs w:val="18"/>
              </w:rPr>
            </w:pPr>
            <w:r w:rsidRPr="00624CA6">
              <w:t>$</w:t>
            </w:r>
            <w:r w:rsidR="00600CAF">
              <w:t>673,275</w:t>
            </w:r>
          </w:p>
        </w:tc>
      </w:tr>
    </w:tbl>
    <w:p w:rsidR="00514D44" w:rsidRDefault="00514D44">
      <w:pPr>
        <w:pStyle w:val="BodyTextIndent"/>
        <w:ind w:left="480" w:firstLine="0"/>
      </w:pP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514D44" w:rsidRDefault="00514D44">
      <w:pPr>
        <w:pStyle w:val="BodyTextIndent"/>
        <w:tabs>
          <w:tab w:val="left" w:pos="480"/>
        </w:tabs>
        <w:ind w:left="480" w:hanging="480"/>
        <w:rPr>
          <w:sz w:val="22"/>
        </w:rPr>
      </w:pPr>
      <w:r>
        <w:tab/>
      </w:r>
      <w:r>
        <w:rPr>
          <w:sz w:val="22"/>
        </w:rPr>
        <w:t>The estimated annualized cost to the Federal Government is based on the hourly rate of $4</w:t>
      </w:r>
      <w:r w:rsidR="006322D4">
        <w:rPr>
          <w:sz w:val="22"/>
        </w:rPr>
        <w:t>7</w:t>
      </w:r>
      <w:r>
        <w:rPr>
          <w:sz w:val="22"/>
        </w:rPr>
        <w:t>, the 200</w:t>
      </w:r>
      <w:r w:rsidR="006322D4">
        <w:rPr>
          <w:sz w:val="22"/>
        </w:rPr>
        <w:t>8</w:t>
      </w:r>
      <w:r>
        <w:rPr>
          <w:sz w:val="22"/>
        </w:rPr>
        <w:t xml:space="preserve"> General Pay Scale for a GS 14 Step 1, which represents the staff of HUD’s Office of Public Housing Investments (OPHI).  </w:t>
      </w:r>
      <w:r w:rsidRPr="00091DFF">
        <w:rPr>
          <w:sz w:val="22"/>
        </w:rPr>
        <w:t xml:space="preserve">This </w:t>
      </w:r>
      <w:r w:rsidRPr="00622A25">
        <w:rPr>
          <w:sz w:val="22"/>
        </w:rPr>
        <w:t xml:space="preserve">office primarily administers the Capital Fund Program, and both </w:t>
      </w:r>
      <w:r w:rsidR="00A45487" w:rsidRPr="00622A25">
        <w:rPr>
          <w:sz w:val="22"/>
        </w:rPr>
        <w:t>administe</w:t>
      </w:r>
      <w:r w:rsidR="004E4B93">
        <w:rPr>
          <w:sz w:val="22"/>
        </w:rPr>
        <w:t>r</w:t>
      </w:r>
      <w:r w:rsidRPr="00622A25">
        <w:rPr>
          <w:sz w:val="22"/>
        </w:rPr>
        <w:t xml:space="preserve"> and </w:t>
      </w:r>
      <w:r w:rsidR="00A45487" w:rsidRPr="00622A25">
        <w:rPr>
          <w:sz w:val="22"/>
        </w:rPr>
        <w:t>implement</w:t>
      </w:r>
      <w:r w:rsidRPr="00622A25">
        <w:rPr>
          <w:sz w:val="22"/>
        </w:rPr>
        <w:t xml:space="preserve"> the Capital Fund Financing Program, and Mixed-Finance transactions for the Capital Fund, Capital Fund Financing, and HOPE VI Programs.  OPHI</w:t>
      </w:r>
      <w:r w:rsidR="00BC3463" w:rsidRPr="00622A25">
        <w:rPr>
          <w:sz w:val="22"/>
        </w:rPr>
        <w:t xml:space="preserve"> has</w:t>
      </w:r>
      <w:r w:rsidRPr="00622A25">
        <w:rPr>
          <w:sz w:val="22"/>
        </w:rPr>
        <w:t xml:space="preserve"> approximately 40 full-time employees that work on these programs.  40 x $4</w:t>
      </w:r>
      <w:r w:rsidR="006322D4" w:rsidRPr="00622A25">
        <w:rPr>
          <w:sz w:val="22"/>
        </w:rPr>
        <w:t>7</w:t>
      </w:r>
      <w:r w:rsidRPr="00622A25">
        <w:rPr>
          <w:sz w:val="22"/>
        </w:rPr>
        <w:t xml:space="preserve"> x 2080 hours per year, equals $3,</w:t>
      </w:r>
      <w:r w:rsidR="006322D4" w:rsidRPr="00622A25">
        <w:rPr>
          <w:sz w:val="22"/>
        </w:rPr>
        <w:t>910</w:t>
      </w:r>
      <w:r w:rsidRPr="00622A25">
        <w:rPr>
          <w:sz w:val="22"/>
        </w:rPr>
        <w:t>,</w:t>
      </w:r>
      <w:r w:rsidR="006322D4" w:rsidRPr="00622A25">
        <w:rPr>
          <w:sz w:val="22"/>
        </w:rPr>
        <w:t>4</w:t>
      </w:r>
      <w:r w:rsidRPr="00622A25">
        <w:rPr>
          <w:sz w:val="22"/>
        </w:rPr>
        <w:t>00.</w:t>
      </w:r>
    </w:p>
    <w:p w:rsidR="0030144B" w:rsidRDefault="0030144B">
      <w:pPr>
        <w:pStyle w:val="BodyTextIndent"/>
        <w:tabs>
          <w:tab w:val="left" w:pos="480"/>
        </w:tabs>
        <w:ind w:left="480" w:hanging="480"/>
        <w:rPr>
          <w:sz w:val="22"/>
        </w:rPr>
      </w:pPr>
    </w:p>
    <w:p w:rsidR="00514D44" w:rsidRDefault="00514D44">
      <w:pPr>
        <w:pStyle w:val="BodyTextIndent"/>
        <w:tabs>
          <w:tab w:val="left" w:pos="480"/>
        </w:tabs>
        <w:ind w:left="480" w:hanging="480"/>
        <w:rPr>
          <w:sz w:val="22"/>
        </w:rPr>
      </w:pPr>
      <w:r>
        <w:rPr>
          <w:sz w:val="22"/>
        </w:rPr>
        <w:tab/>
      </w:r>
      <w:r>
        <w:rPr>
          <w:sz w:val="22"/>
        </w:rPr>
        <w:tab/>
        <w:t>There is no additional cost to the Government related to processing less complex Capital Fund public housing development, since such processing is included as part of standard Field Office staff work.</w:t>
      </w:r>
    </w:p>
    <w:p w:rsidR="00514D44" w:rsidRDefault="00514D44">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514D44" w:rsidRDefault="00514D44" w:rsidP="00A45487">
      <w:pPr>
        <w:pStyle w:val="BodyText"/>
        <w:tabs>
          <w:tab w:val="left" w:pos="480"/>
        </w:tabs>
        <w:ind w:left="480" w:hanging="480"/>
        <w:rPr>
          <w:sz w:val="22"/>
        </w:rPr>
      </w:pPr>
      <w:r>
        <w:rPr>
          <w:sz w:val="22"/>
        </w:rPr>
        <w:tab/>
      </w:r>
      <w:r w:rsidR="00A45487">
        <w:rPr>
          <w:sz w:val="22"/>
        </w:rPr>
        <w:t>This is a new collection.</w:t>
      </w:r>
    </w:p>
    <w:p w:rsidR="00514D44" w:rsidRDefault="00514D44">
      <w:pPr>
        <w:tabs>
          <w:tab w:val="left" w:pos="480"/>
        </w:tabs>
        <w:ind w:left="480" w:hanging="48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693F8D">
      <w:pgSz w:w="12240" w:h="15840"/>
      <w:pgMar w:top="720" w:right="720" w:bottom="960" w:left="72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756" w:rsidRDefault="00281756">
      <w:r>
        <w:separator/>
      </w:r>
    </w:p>
  </w:endnote>
  <w:endnote w:type="continuationSeparator" w:id="0">
    <w:p w:rsidR="00281756" w:rsidRDefault="00281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756" w:rsidRDefault="00281756">
      <w:r>
        <w:separator/>
      </w:r>
    </w:p>
  </w:footnote>
  <w:footnote w:type="continuationSeparator" w:id="0">
    <w:p w:rsidR="00281756" w:rsidRDefault="00281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556E0D"/>
    <w:multiLevelType w:val="multilevel"/>
    <w:tmpl w:val="5B7E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9"/>
  </w:num>
  <w:num w:numId="3">
    <w:abstractNumId w:val="0"/>
  </w:num>
  <w:num w:numId="4">
    <w:abstractNumId w:val="8"/>
  </w:num>
  <w:num w:numId="5">
    <w:abstractNumId w:val="7"/>
  </w:num>
  <w:num w:numId="6">
    <w:abstractNumId w:val="4"/>
  </w:num>
  <w:num w:numId="7">
    <w:abstractNumId w:val="6"/>
  </w:num>
  <w:num w:numId="8">
    <w:abstractNumId w:val="5"/>
  </w:num>
  <w:num w:numId="9">
    <w:abstractNumId w:val="10"/>
  </w:num>
  <w:num w:numId="10">
    <w:abstractNumId w:val="2"/>
  </w:num>
  <w:num w:numId="1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14752"/>
    <w:rsid w:val="000173C8"/>
    <w:rsid w:val="00050DC8"/>
    <w:rsid w:val="00057CBF"/>
    <w:rsid w:val="0008119A"/>
    <w:rsid w:val="00081AC7"/>
    <w:rsid w:val="00091DFF"/>
    <w:rsid w:val="00092067"/>
    <w:rsid w:val="000A75D8"/>
    <w:rsid w:val="000B1735"/>
    <w:rsid w:val="000C4F16"/>
    <w:rsid w:val="000D2C62"/>
    <w:rsid w:val="000F47EA"/>
    <w:rsid w:val="00107F9D"/>
    <w:rsid w:val="00110735"/>
    <w:rsid w:val="001132F0"/>
    <w:rsid w:val="00117231"/>
    <w:rsid w:val="00124B14"/>
    <w:rsid w:val="001473A8"/>
    <w:rsid w:val="00150B42"/>
    <w:rsid w:val="001610A8"/>
    <w:rsid w:val="001801B8"/>
    <w:rsid w:val="00186CAB"/>
    <w:rsid w:val="001A673D"/>
    <w:rsid w:val="001B3CFA"/>
    <w:rsid w:val="001B762D"/>
    <w:rsid w:val="001C408A"/>
    <w:rsid w:val="001E2D6B"/>
    <w:rsid w:val="0020725B"/>
    <w:rsid w:val="00223C1C"/>
    <w:rsid w:val="00225D3C"/>
    <w:rsid w:val="00233E91"/>
    <w:rsid w:val="002402B7"/>
    <w:rsid w:val="0025700A"/>
    <w:rsid w:val="00265AB0"/>
    <w:rsid w:val="002701F7"/>
    <w:rsid w:val="0027143A"/>
    <w:rsid w:val="00271B4B"/>
    <w:rsid w:val="00281727"/>
    <w:rsid w:val="00281756"/>
    <w:rsid w:val="00290D3E"/>
    <w:rsid w:val="002B5DF1"/>
    <w:rsid w:val="002C2DD4"/>
    <w:rsid w:val="002E4A1D"/>
    <w:rsid w:val="002F68D4"/>
    <w:rsid w:val="003007A2"/>
    <w:rsid w:val="0030144B"/>
    <w:rsid w:val="00323406"/>
    <w:rsid w:val="00323AF5"/>
    <w:rsid w:val="0033165E"/>
    <w:rsid w:val="00336918"/>
    <w:rsid w:val="003434A3"/>
    <w:rsid w:val="003622A9"/>
    <w:rsid w:val="00367AB5"/>
    <w:rsid w:val="00385441"/>
    <w:rsid w:val="003944AE"/>
    <w:rsid w:val="003A014D"/>
    <w:rsid w:val="003A054F"/>
    <w:rsid w:val="003A2174"/>
    <w:rsid w:val="003A7D97"/>
    <w:rsid w:val="003B682F"/>
    <w:rsid w:val="003D08F7"/>
    <w:rsid w:val="003D0988"/>
    <w:rsid w:val="003D3080"/>
    <w:rsid w:val="003D60C5"/>
    <w:rsid w:val="003E07C6"/>
    <w:rsid w:val="003F4221"/>
    <w:rsid w:val="00411613"/>
    <w:rsid w:val="00412358"/>
    <w:rsid w:val="004229C4"/>
    <w:rsid w:val="004307EF"/>
    <w:rsid w:val="00465731"/>
    <w:rsid w:val="00467311"/>
    <w:rsid w:val="00477487"/>
    <w:rsid w:val="0048238C"/>
    <w:rsid w:val="00484261"/>
    <w:rsid w:val="00487E34"/>
    <w:rsid w:val="00496925"/>
    <w:rsid w:val="004A47A7"/>
    <w:rsid w:val="004C16C3"/>
    <w:rsid w:val="004C6F22"/>
    <w:rsid w:val="004C7E3B"/>
    <w:rsid w:val="004E446D"/>
    <w:rsid w:val="004E4B93"/>
    <w:rsid w:val="00503A99"/>
    <w:rsid w:val="005047E7"/>
    <w:rsid w:val="00504CC2"/>
    <w:rsid w:val="00510853"/>
    <w:rsid w:val="00512AD9"/>
    <w:rsid w:val="00514D44"/>
    <w:rsid w:val="00520336"/>
    <w:rsid w:val="005253BF"/>
    <w:rsid w:val="00525840"/>
    <w:rsid w:val="00527508"/>
    <w:rsid w:val="00570C77"/>
    <w:rsid w:val="00577317"/>
    <w:rsid w:val="005944AB"/>
    <w:rsid w:val="005A32D0"/>
    <w:rsid w:val="005A5FCF"/>
    <w:rsid w:val="005B6194"/>
    <w:rsid w:val="005B6D94"/>
    <w:rsid w:val="005C7630"/>
    <w:rsid w:val="005D1941"/>
    <w:rsid w:val="005D2936"/>
    <w:rsid w:val="005D3476"/>
    <w:rsid w:val="005F498E"/>
    <w:rsid w:val="00600CAF"/>
    <w:rsid w:val="00601FE1"/>
    <w:rsid w:val="00622A25"/>
    <w:rsid w:val="00624CA6"/>
    <w:rsid w:val="00625B21"/>
    <w:rsid w:val="006322D4"/>
    <w:rsid w:val="006324A2"/>
    <w:rsid w:val="00633BE2"/>
    <w:rsid w:val="006365A8"/>
    <w:rsid w:val="00647ADB"/>
    <w:rsid w:val="00652A3B"/>
    <w:rsid w:val="00654127"/>
    <w:rsid w:val="00660203"/>
    <w:rsid w:val="00663592"/>
    <w:rsid w:val="00665908"/>
    <w:rsid w:val="00666D8B"/>
    <w:rsid w:val="006937E9"/>
    <w:rsid w:val="00693F8D"/>
    <w:rsid w:val="006959D0"/>
    <w:rsid w:val="00696A2A"/>
    <w:rsid w:val="006A51F1"/>
    <w:rsid w:val="006A70C7"/>
    <w:rsid w:val="006B70A8"/>
    <w:rsid w:val="006C6B1F"/>
    <w:rsid w:val="006D33F9"/>
    <w:rsid w:val="006D7909"/>
    <w:rsid w:val="00712764"/>
    <w:rsid w:val="00722C84"/>
    <w:rsid w:val="00725EB5"/>
    <w:rsid w:val="00733AB0"/>
    <w:rsid w:val="00735272"/>
    <w:rsid w:val="00736905"/>
    <w:rsid w:val="00747E19"/>
    <w:rsid w:val="00762E70"/>
    <w:rsid w:val="00765876"/>
    <w:rsid w:val="00777A32"/>
    <w:rsid w:val="00781955"/>
    <w:rsid w:val="00784B47"/>
    <w:rsid w:val="007936C2"/>
    <w:rsid w:val="007C6DD3"/>
    <w:rsid w:val="007D063E"/>
    <w:rsid w:val="007D19D3"/>
    <w:rsid w:val="007F7DB2"/>
    <w:rsid w:val="00811F49"/>
    <w:rsid w:val="00815645"/>
    <w:rsid w:val="0081597B"/>
    <w:rsid w:val="0083009E"/>
    <w:rsid w:val="00833216"/>
    <w:rsid w:val="00836960"/>
    <w:rsid w:val="00853ED0"/>
    <w:rsid w:val="008544A2"/>
    <w:rsid w:val="00861AB3"/>
    <w:rsid w:val="00863E97"/>
    <w:rsid w:val="00866DD3"/>
    <w:rsid w:val="00870E07"/>
    <w:rsid w:val="00874274"/>
    <w:rsid w:val="008749D8"/>
    <w:rsid w:val="00874D66"/>
    <w:rsid w:val="00877064"/>
    <w:rsid w:val="008847A0"/>
    <w:rsid w:val="008A640B"/>
    <w:rsid w:val="008A7E5A"/>
    <w:rsid w:val="008C67D7"/>
    <w:rsid w:val="008C72B4"/>
    <w:rsid w:val="008D27CC"/>
    <w:rsid w:val="008F66B6"/>
    <w:rsid w:val="00904047"/>
    <w:rsid w:val="0092622F"/>
    <w:rsid w:val="00933919"/>
    <w:rsid w:val="00940A07"/>
    <w:rsid w:val="00942A51"/>
    <w:rsid w:val="00977E52"/>
    <w:rsid w:val="00995610"/>
    <w:rsid w:val="009A0472"/>
    <w:rsid w:val="009A1805"/>
    <w:rsid w:val="009A2F82"/>
    <w:rsid w:val="009A3267"/>
    <w:rsid w:val="009A56AE"/>
    <w:rsid w:val="009B5799"/>
    <w:rsid w:val="009C397B"/>
    <w:rsid w:val="009C55C9"/>
    <w:rsid w:val="009C7973"/>
    <w:rsid w:val="009D7D98"/>
    <w:rsid w:val="009F2F54"/>
    <w:rsid w:val="00A053D0"/>
    <w:rsid w:val="00A12061"/>
    <w:rsid w:val="00A2115E"/>
    <w:rsid w:val="00A33E5E"/>
    <w:rsid w:val="00A45487"/>
    <w:rsid w:val="00A522AC"/>
    <w:rsid w:val="00A53697"/>
    <w:rsid w:val="00A57306"/>
    <w:rsid w:val="00A627C2"/>
    <w:rsid w:val="00A829F4"/>
    <w:rsid w:val="00A82E7F"/>
    <w:rsid w:val="00A849C0"/>
    <w:rsid w:val="00A93AC0"/>
    <w:rsid w:val="00AE4507"/>
    <w:rsid w:val="00B009BB"/>
    <w:rsid w:val="00B12100"/>
    <w:rsid w:val="00B14BE1"/>
    <w:rsid w:val="00B177E1"/>
    <w:rsid w:val="00B27A78"/>
    <w:rsid w:val="00B36500"/>
    <w:rsid w:val="00B41A2C"/>
    <w:rsid w:val="00B45B6A"/>
    <w:rsid w:val="00B561E6"/>
    <w:rsid w:val="00B84A56"/>
    <w:rsid w:val="00BA332D"/>
    <w:rsid w:val="00BB32C0"/>
    <w:rsid w:val="00BC3463"/>
    <w:rsid w:val="00BC5435"/>
    <w:rsid w:val="00BF6C49"/>
    <w:rsid w:val="00C06849"/>
    <w:rsid w:val="00C16424"/>
    <w:rsid w:val="00C215D3"/>
    <w:rsid w:val="00C27E70"/>
    <w:rsid w:val="00C41B00"/>
    <w:rsid w:val="00C5260B"/>
    <w:rsid w:val="00C62A19"/>
    <w:rsid w:val="00C65194"/>
    <w:rsid w:val="00C6756D"/>
    <w:rsid w:val="00C929F7"/>
    <w:rsid w:val="00C930AB"/>
    <w:rsid w:val="00CC03A0"/>
    <w:rsid w:val="00CC3B46"/>
    <w:rsid w:val="00CD2387"/>
    <w:rsid w:val="00CF2B89"/>
    <w:rsid w:val="00D03B75"/>
    <w:rsid w:val="00D07448"/>
    <w:rsid w:val="00D20E54"/>
    <w:rsid w:val="00D31AED"/>
    <w:rsid w:val="00D556DB"/>
    <w:rsid w:val="00D61036"/>
    <w:rsid w:val="00D673A1"/>
    <w:rsid w:val="00D67FFE"/>
    <w:rsid w:val="00D85740"/>
    <w:rsid w:val="00D961FF"/>
    <w:rsid w:val="00D96908"/>
    <w:rsid w:val="00DA281B"/>
    <w:rsid w:val="00DA5FD6"/>
    <w:rsid w:val="00DB09BA"/>
    <w:rsid w:val="00DB5983"/>
    <w:rsid w:val="00DC1AC4"/>
    <w:rsid w:val="00DD5BDA"/>
    <w:rsid w:val="00DD6B4B"/>
    <w:rsid w:val="00DF0C3E"/>
    <w:rsid w:val="00DF3759"/>
    <w:rsid w:val="00DF4EBA"/>
    <w:rsid w:val="00E11CCF"/>
    <w:rsid w:val="00E1308C"/>
    <w:rsid w:val="00E228AB"/>
    <w:rsid w:val="00E73C34"/>
    <w:rsid w:val="00E7700A"/>
    <w:rsid w:val="00E81BCA"/>
    <w:rsid w:val="00E820F3"/>
    <w:rsid w:val="00E84053"/>
    <w:rsid w:val="00EA5E30"/>
    <w:rsid w:val="00EB2531"/>
    <w:rsid w:val="00EB3648"/>
    <w:rsid w:val="00EC4332"/>
    <w:rsid w:val="00ED5CD1"/>
    <w:rsid w:val="00EE21D0"/>
    <w:rsid w:val="00EE7301"/>
    <w:rsid w:val="00F04F0F"/>
    <w:rsid w:val="00F34ACB"/>
    <w:rsid w:val="00F35359"/>
    <w:rsid w:val="00F41B82"/>
    <w:rsid w:val="00F52D85"/>
    <w:rsid w:val="00F61DB0"/>
    <w:rsid w:val="00F63644"/>
    <w:rsid w:val="00F7025F"/>
    <w:rsid w:val="00F73C40"/>
    <w:rsid w:val="00F74376"/>
    <w:rsid w:val="00F86C73"/>
    <w:rsid w:val="00FB5C73"/>
    <w:rsid w:val="00FD4C3B"/>
    <w:rsid w:val="00FE5FB4"/>
    <w:rsid w:val="00FE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F8D"/>
    <w:pPr>
      <w:overflowPunct w:val="0"/>
      <w:autoSpaceDE w:val="0"/>
      <w:autoSpaceDN w:val="0"/>
      <w:adjustRightInd w:val="0"/>
      <w:textAlignment w:val="baseline"/>
    </w:pPr>
  </w:style>
  <w:style w:type="paragraph" w:styleId="Heading1">
    <w:name w:val="heading 1"/>
    <w:basedOn w:val="Normal"/>
    <w:next w:val="Normal"/>
    <w:qFormat/>
    <w:rsid w:val="00693F8D"/>
    <w:pPr>
      <w:keepNext/>
      <w:jc w:val="center"/>
      <w:outlineLvl w:val="0"/>
    </w:pPr>
    <w:rPr>
      <w:b/>
      <w:bCs/>
      <w:sz w:val="24"/>
      <w:u w:val="single"/>
    </w:rPr>
  </w:style>
  <w:style w:type="paragraph" w:styleId="Heading2">
    <w:name w:val="heading 2"/>
    <w:basedOn w:val="Normal"/>
    <w:next w:val="Normal"/>
    <w:qFormat/>
    <w:rsid w:val="00693F8D"/>
    <w:pPr>
      <w:keepNext/>
      <w:jc w:val="center"/>
      <w:outlineLvl w:val="1"/>
    </w:pPr>
    <w:rPr>
      <w:b/>
      <w:bCs/>
      <w:sz w:val="24"/>
    </w:rPr>
  </w:style>
  <w:style w:type="paragraph" w:styleId="Heading3">
    <w:name w:val="heading 3"/>
    <w:basedOn w:val="Normal"/>
    <w:next w:val="Normal"/>
    <w:qFormat/>
    <w:rsid w:val="00693F8D"/>
    <w:pPr>
      <w:keepNext/>
      <w:outlineLvl w:val="2"/>
    </w:pPr>
    <w:rPr>
      <w:sz w:val="24"/>
    </w:rPr>
  </w:style>
  <w:style w:type="paragraph" w:styleId="Heading4">
    <w:name w:val="heading 4"/>
    <w:basedOn w:val="Normal"/>
    <w:next w:val="Normal"/>
    <w:qFormat/>
    <w:rsid w:val="00693F8D"/>
    <w:pPr>
      <w:keepNext/>
      <w:ind w:left="720"/>
      <w:outlineLvl w:val="3"/>
    </w:pPr>
    <w:rPr>
      <w:sz w:val="24"/>
    </w:rPr>
  </w:style>
  <w:style w:type="paragraph" w:styleId="Heading5">
    <w:name w:val="heading 5"/>
    <w:basedOn w:val="Normal"/>
    <w:next w:val="Normal"/>
    <w:qFormat/>
    <w:rsid w:val="00693F8D"/>
    <w:pPr>
      <w:keepNext/>
      <w:outlineLvl w:val="4"/>
    </w:pPr>
    <w:rPr>
      <w:b/>
      <w:bCs/>
      <w:sz w:val="24"/>
    </w:rPr>
  </w:style>
  <w:style w:type="paragraph" w:styleId="Heading6">
    <w:name w:val="heading 6"/>
    <w:basedOn w:val="Normal"/>
    <w:next w:val="Normal"/>
    <w:qFormat/>
    <w:rsid w:val="00693F8D"/>
    <w:pPr>
      <w:keepNext/>
      <w:outlineLvl w:val="5"/>
    </w:pPr>
    <w:rPr>
      <w:b/>
      <w:bCs/>
      <w:i/>
      <w:iCs/>
      <w:sz w:val="24"/>
    </w:rPr>
  </w:style>
  <w:style w:type="paragraph" w:styleId="Heading7">
    <w:name w:val="heading 7"/>
    <w:basedOn w:val="Normal"/>
    <w:next w:val="Normal"/>
    <w:qFormat/>
    <w:rsid w:val="00693F8D"/>
    <w:pPr>
      <w:keepNext/>
      <w:outlineLvl w:val="6"/>
    </w:pPr>
    <w:rPr>
      <w:b/>
      <w:bCs/>
      <w:i/>
      <w:iCs/>
      <w:color w:val="000000"/>
      <w:sz w:val="24"/>
    </w:rPr>
  </w:style>
  <w:style w:type="paragraph" w:styleId="Heading8">
    <w:name w:val="heading 8"/>
    <w:basedOn w:val="Normal"/>
    <w:next w:val="Normal"/>
    <w:qFormat/>
    <w:rsid w:val="00693F8D"/>
    <w:pPr>
      <w:spacing w:before="240" w:after="60"/>
      <w:outlineLvl w:val="7"/>
    </w:pPr>
    <w:rPr>
      <w:rFonts w:ascii="Arial" w:hAnsi="Arial"/>
      <w:i/>
      <w:color w:val="000000"/>
      <w:sz w:val="24"/>
    </w:rPr>
  </w:style>
  <w:style w:type="paragraph" w:styleId="Heading9">
    <w:name w:val="heading 9"/>
    <w:basedOn w:val="Normal"/>
    <w:next w:val="Normal"/>
    <w:qFormat/>
    <w:rsid w:val="00693F8D"/>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F8D"/>
    <w:pPr>
      <w:tabs>
        <w:tab w:val="center" w:pos="4320"/>
        <w:tab w:val="right" w:pos="8640"/>
      </w:tabs>
    </w:pPr>
  </w:style>
  <w:style w:type="paragraph" w:styleId="Footer">
    <w:name w:val="footer"/>
    <w:basedOn w:val="Normal"/>
    <w:rsid w:val="00693F8D"/>
    <w:pPr>
      <w:tabs>
        <w:tab w:val="center" w:pos="4320"/>
        <w:tab w:val="right" w:pos="8640"/>
      </w:tabs>
    </w:pPr>
  </w:style>
  <w:style w:type="character" w:styleId="PageNumber">
    <w:name w:val="page number"/>
    <w:basedOn w:val="DefaultParagraphFont"/>
    <w:rsid w:val="00693F8D"/>
  </w:style>
  <w:style w:type="paragraph" w:styleId="Title">
    <w:name w:val="Title"/>
    <w:basedOn w:val="Normal"/>
    <w:qFormat/>
    <w:rsid w:val="00693F8D"/>
    <w:pPr>
      <w:jc w:val="center"/>
    </w:pPr>
    <w:rPr>
      <w:rFonts w:ascii="Helvetica" w:hAnsi="Helvetica"/>
      <w:b/>
      <w:sz w:val="28"/>
    </w:rPr>
  </w:style>
  <w:style w:type="paragraph" w:customStyle="1" w:styleId="OmniPage1">
    <w:name w:val="OmniPage #1"/>
    <w:basedOn w:val="Normal"/>
    <w:rsid w:val="00693F8D"/>
    <w:pPr>
      <w:tabs>
        <w:tab w:val="right" w:pos="5876"/>
      </w:tabs>
      <w:spacing w:line="282" w:lineRule="exact"/>
      <w:ind w:left="50" w:right="50"/>
      <w:jc w:val="center"/>
    </w:pPr>
    <w:rPr>
      <w:noProof/>
    </w:rPr>
  </w:style>
  <w:style w:type="paragraph" w:customStyle="1" w:styleId="OmniPage2">
    <w:name w:val="OmniPage #2"/>
    <w:basedOn w:val="Normal"/>
    <w:rsid w:val="00693F8D"/>
    <w:pPr>
      <w:tabs>
        <w:tab w:val="right" w:pos="2236"/>
      </w:tabs>
      <w:spacing w:line="268" w:lineRule="exact"/>
      <w:ind w:left="50" w:right="50"/>
    </w:pPr>
    <w:rPr>
      <w:noProof/>
    </w:rPr>
  </w:style>
  <w:style w:type="paragraph" w:styleId="BodyText">
    <w:name w:val="Body Text"/>
    <w:basedOn w:val="Normal"/>
    <w:rsid w:val="00693F8D"/>
    <w:rPr>
      <w:sz w:val="24"/>
    </w:rPr>
  </w:style>
  <w:style w:type="paragraph" w:styleId="BodyTextIndent">
    <w:name w:val="Body Text Indent"/>
    <w:basedOn w:val="Normal"/>
    <w:rsid w:val="00693F8D"/>
    <w:pPr>
      <w:ind w:left="720" w:hanging="720"/>
    </w:pPr>
    <w:rPr>
      <w:sz w:val="24"/>
    </w:rPr>
  </w:style>
  <w:style w:type="paragraph" w:styleId="BodyTextIndent2">
    <w:name w:val="Body Text Indent 2"/>
    <w:basedOn w:val="Normal"/>
    <w:rsid w:val="00693F8D"/>
    <w:pPr>
      <w:ind w:left="360"/>
    </w:pPr>
    <w:rPr>
      <w:sz w:val="24"/>
    </w:rPr>
  </w:style>
  <w:style w:type="paragraph" w:styleId="BodyTextIndent3">
    <w:name w:val="Body Text Indent 3"/>
    <w:basedOn w:val="Normal"/>
    <w:rsid w:val="00693F8D"/>
    <w:pPr>
      <w:ind w:firstLine="360"/>
    </w:pPr>
    <w:rPr>
      <w:sz w:val="24"/>
    </w:rPr>
  </w:style>
  <w:style w:type="character" w:styleId="Hyperlink">
    <w:name w:val="Hyperlink"/>
    <w:basedOn w:val="DefaultParagraphFont"/>
    <w:rsid w:val="00693F8D"/>
    <w:rPr>
      <w:color w:val="0000FF"/>
      <w:u w:val="single"/>
    </w:rPr>
  </w:style>
  <w:style w:type="paragraph" w:styleId="BodyText2">
    <w:name w:val="Body Text 2"/>
    <w:basedOn w:val="Normal"/>
    <w:rsid w:val="00693F8D"/>
    <w:rPr>
      <w:rFonts w:ascii="Helvetica" w:hAnsi="Helvetica"/>
      <w:sz w:val="16"/>
    </w:rPr>
  </w:style>
  <w:style w:type="character" w:styleId="FollowedHyperlink">
    <w:name w:val="FollowedHyperlink"/>
    <w:basedOn w:val="DefaultParagraphFont"/>
    <w:rsid w:val="00693F8D"/>
    <w:rPr>
      <w:color w:val="800080"/>
      <w:u w:val="single"/>
    </w:rPr>
  </w:style>
  <w:style w:type="paragraph" w:styleId="HTMLPreformatted">
    <w:name w:val="HTML Preformatted"/>
    <w:basedOn w:val="Normal"/>
    <w:rsid w:val="0069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693F8D"/>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693F8D"/>
    <w:pPr>
      <w:overflowPunct/>
      <w:autoSpaceDE/>
      <w:autoSpaceDN/>
      <w:adjustRightInd/>
      <w:jc w:val="center"/>
      <w:textAlignment w:val="auto"/>
    </w:pPr>
    <w:rPr>
      <w:b/>
      <w:bCs/>
      <w:szCs w:val="24"/>
    </w:rPr>
  </w:style>
  <w:style w:type="paragraph" w:styleId="BlockText">
    <w:name w:val="Block Text"/>
    <w:basedOn w:val="Normal"/>
    <w:rsid w:val="00693F8D"/>
    <w:pPr>
      <w:tabs>
        <w:tab w:val="left" w:pos="240"/>
      </w:tabs>
      <w:spacing w:after="60"/>
      <w:ind w:left="120" w:right="-120"/>
    </w:pPr>
    <w:rPr>
      <w:sz w:val="22"/>
    </w:rPr>
  </w:style>
  <w:style w:type="paragraph" w:customStyle="1" w:styleId="xl24">
    <w:name w:val="xl24"/>
    <w:basedOn w:val="Normal"/>
    <w:rsid w:val="00693F8D"/>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693F8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693F8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693F8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693F8D"/>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693F8D"/>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693F8D"/>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693F8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693F8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693F8D"/>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693F8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693F8D"/>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693F8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693F8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693F8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693F8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693F8D"/>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693F8D"/>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693F8D"/>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693F8D"/>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693F8D"/>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693F8D"/>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693F8D"/>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693F8D"/>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693F8D"/>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693F8D"/>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693F8D"/>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323049494">
      <w:bodyDiv w:val="1"/>
      <w:marLeft w:val="0"/>
      <w:marRight w:val="0"/>
      <w:marTop w:val="45"/>
      <w:marBottom w:val="45"/>
      <w:divBdr>
        <w:top w:val="none" w:sz="0" w:space="0" w:color="auto"/>
        <w:left w:val="none" w:sz="0" w:space="0" w:color="auto"/>
        <w:bottom w:val="none" w:sz="0" w:space="0" w:color="auto"/>
        <w:right w:val="none" w:sz="0" w:space="0" w:color="auto"/>
      </w:divBdr>
      <w:divsChild>
        <w:div w:id="959803876">
          <w:marLeft w:val="0"/>
          <w:marRight w:val="0"/>
          <w:marTop w:val="0"/>
          <w:marBottom w:val="0"/>
          <w:divBdr>
            <w:top w:val="none" w:sz="0" w:space="0" w:color="auto"/>
            <w:left w:val="none" w:sz="0" w:space="0" w:color="auto"/>
            <w:bottom w:val="none" w:sz="0" w:space="0" w:color="auto"/>
            <w:right w:val="none" w:sz="0" w:space="0" w:color="auto"/>
          </w:divBdr>
          <w:divsChild>
            <w:div w:id="1579435581">
              <w:marLeft w:val="0"/>
              <w:marRight w:val="0"/>
              <w:marTop w:val="0"/>
              <w:marBottom w:val="0"/>
              <w:divBdr>
                <w:top w:val="none" w:sz="0" w:space="0" w:color="auto"/>
                <w:left w:val="none" w:sz="0" w:space="0" w:color="auto"/>
                <w:bottom w:val="none" w:sz="0" w:space="0" w:color="auto"/>
                <w:right w:val="none" w:sz="0" w:space="0" w:color="auto"/>
              </w:divBdr>
              <w:divsChild>
                <w:div w:id="1031999975">
                  <w:marLeft w:val="2385"/>
                  <w:marRight w:val="3960"/>
                  <w:marTop w:val="0"/>
                  <w:marBottom w:val="0"/>
                  <w:divBdr>
                    <w:top w:val="none" w:sz="0" w:space="0" w:color="auto"/>
                    <w:left w:val="single" w:sz="6" w:space="0" w:color="D3E1F9"/>
                    <w:bottom w:val="none" w:sz="0" w:space="0" w:color="auto"/>
                    <w:right w:val="none" w:sz="0" w:space="0" w:color="auto"/>
                  </w:divBdr>
                  <w:divsChild>
                    <w:div w:id="1967663986">
                      <w:marLeft w:val="0"/>
                      <w:marRight w:val="0"/>
                      <w:marTop w:val="0"/>
                      <w:marBottom w:val="0"/>
                      <w:divBdr>
                        <w:top w:val="none" w:sz="0" w:space="0" w:color="auto"/>
                        <w:left w:val="none" w:sz="0" w:space="0" w:color="auto"/>
                        <w:bottom w:val="none" w:sz="0" w:space="0" w:color="auto"/>
                        <w:right w:val="none" w:sz="0" w:space="0" w:color="auto"/>
                      </w:divBdr>
                      <w:divsChild>
                        <w:div w:id="1527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tehouse.gov/omb/grants/sflll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1205</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8393</CharactersWithSpaces>
  <SharedDoc>false</SharedDoc>
  <HLinks>
    <vt:vector size="6" baseType="variant">
      <vt:variant>
        <vt:i4>262236</vt:i4>
      </vt:variant>
      <vt:variant>
        <vt:i4>0</vt:i4>
      </vt:variant>
      <vt:variant>
        <vt:i4>0</vt:i4>
      </vt:variant>
      <vt:variant>
        <vt:i4>5</vt:i4>
      </vt:variant>
      <vt:variant>
        <vt:lpwstr>http://www.whitehouse.gov/omb/grants/sflllin.pdf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4</cp:revision>
  <cp:lastPrinted>2010-06-25T15:57:00Z</cp:lastPrinted>
  <dcterms:created xsi:type="dcterms:W3CDTF">2010-07-27T18:36:00Z</dcterms:created>
  <dcterms:modified xsi:type="dcterms:W3CDTF">2010-07-27T18:44:00Z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-46235913</vt:i4>
  </property>
  <property fmtid="{D5CDD505-2E9C-101B-9397-08002B2CF9AE}" pid="4" name="_EmailSubject">
    <vt:lpwstr>Information Collection for Cap Fund Education and Training Fac.</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83140280</vt:i4>
  </property>
  <property fmtid="{D5CDD505-2E9C-101B-9397-08002B2CF9AE}" pid="8" name="_ReviewingToolsShownOnce">
    <vt:lpwstr/>
  </property>
</Properties>
</file>