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EA" w:rsidRDefault="00145DEA" w:rsidP="00145DEA">
      <w:pPr>
        <w:jc w:val="right"/>
        <w:rPr>
          <w:b/>
        </w:rPr>
      </w:pPr>
      <w:r>
        <w:rPr>
          <w:b/>
        </w:rPr>
        <w:t>3060-</w:t>
      </w:r>
      <w:r w:rsidR="009B1572">
        <w:rPr>
          <w:b/>
        </w:rPr>
        <w:t>1110</w:t>
      </w:r>
    </w:p>
    <w:p w:rsidR="00145DEA" w:rsidRDefault="00920602" w:rsidP="00145DEA">
      <w:pPr>
        <w:jc w:val="right"/>
      </w:pPr>
      <w:r>
        <w:t>October 2010</w:t>
      </w:r>
    </w:p>
    <w:p w:rsidR="00145DEA" w:rsidRDefault="00145DEA" w:rsidP="00145DEA">
      <w:pPr>
        <w:jc w:val="right"/>
      </w:pPr>
    </w:p>
    <w:p w:rsidR="00145DEA" w:rsidRDefault="00145DEA" w:rsidP="00145DEA">
      <w:pPr>
        <w:jc w:val="center"/>
      </w:pPr>
      <w:r>
        <w:t>SUPPORTING STATEMENT</w:t>
      </w:r>
    </w:p>
    <w:p w:rsidR="00145DEA" w:rsidRDefault="00145DEA" w:rsidP="00145DEA">
      <w:pPr>
        <w:jc w:val="center"/>
      </w:pPr>
    </w:p>
    <w:p w:rsidR="00145DEA" w:rsidRDefault="00145DEA" w:rsidP="00145DEA">
      <w:pPr>
        <w:jc w:val="center"/>
      </w:pPr>
    </w:p>
    <w:p w:rsidR="00145DEA" w:rsidRDefault="00145DEA" w:rsidP="00145DEA">
      <w:pPr>
        <w:numPr>
          <w:ilvl w:val="0"/>
          <w:numId w:val="1"/>
        </w:numPr>
        <w:tabs>
          <w:tab w:val="clear" w:pos="720"/>
          <w:tab w:val="num" w:pos="360"/>
        </w:tabs>
        <w:ind w:hanging="720"/>
      </w:pPr>
      <w:r>
        <w:rPr>
          <w:b/>
          <w:u w:val="single"/>
        </w:rPr>
        <w:t>Justification</w:t>
      </w:r>
    </w:p>
    <w:p w:rsidR="00145DEA" w:rsidRDefault="00145DEA" w:rsidP="00145DEA">
      <w:pPr>
        <w:ind w:left="360"/>
      </w:pPr>
    </w:p>
    <w:p w:rsidR="00145DEA" w:rsidRDefault="00145DEA" w:rsidP="00DF448C">
      <w:pPr>
        <w:numPr>
          <w:ilvl w:val="1"/>
          <w:numId w:val="1"/>
        </w:numPr>
      </w:pPr>
      <w:r>
        <w:t xml:space="preserve">On June 15, 2007, the Federal Communications Commission released a </w:t>
      </w:r>
      <w:r>
        <w:rPr>
          <w:i/>
        </w:rPr>
        <w:t>Memorandum Opinion and Order</w:t>
      </w:r>
      <w:r>
        <w:t xml:space="preserve"> (MO&amp;O) in the matter of the Sunset of the Cellular Radiotelephone Analog Service Requirement and Related Matters, RM No. 11355, FCC 07-103.   In the MO&amp;O, the Commission denied a petition for rulemaking to extend the </w:t>
      </w:r>
      <w:r w:rsidRPr="00652609">
        <w:t xml:space="preserve">requirement that all cellular </w:t>
      </w:r>
      <w:r>
        <w:t>r</w:t>
      </w:r>
      <w:r w:rsidRPr="00516094">
        <w:t xml:space="preserve">adiotelephone </w:t>
      </w:r>
      <w:r w:rsidRPr="00652609">
        <w:t xml:space="preserve">licensees provide analog service to subscribers and roamers whose equipment conforms to the Advanced Mobile Phone Service (AMPS) standard.  </w:t>
      </w:r>
      <w:r w:rsidR="00920602">
        <w:t xml:space="preserve">This requirement </w:t>
      </w:r>
      <w:r>
        <w:t xml:space="preserve">sunset on February 18, 2008.  In the MO&amp;O, the Commission also directed cellular radiotelephone service licensees to </w:t>
      </w:r>
      <w:r w:rsidRPr="0034020A">
        <w:t>notify</w:t>
      </w:r>
      <w:r>
        <w:t xml:space="preserve"> their </w:t>
      </w:r>
      <w:r w:rsidRPr="0034020A">
        <w:t>remaining analog subscriber</w:t>
      </w:r>
      <w:r>
        <w:t>s</w:t>
      </w:r>
      <w:r w:rsidRPr="0034020A">
        <w:t xml:space="preserve"> of the sunset date</w:t>
      </w:r>
      <w:r>
        <w:t xml:space="preserve"> and of their intention to discontinue AMPS-compatible analog service at least four months before such discontinuance, and a second time, at least 30 days before such discontinuance (the “consumer-notice requirement”).</w:t>
      </w:r>
    </w:p>
    <w:p w:rsidR="00DF448C" w:rsidRDefault="00DF448C" w:rsidP="00DF448C">
      <w:pPr>
        <w:ind w:left="90"/>
      </w:pPr>
    </w:p>
    <w:p w:rsidR="00DF448C" w:rsidRDefault="00DF448C" w:rsidP="00DF448C">
      <w:pPr>
        <w:ind w:left="360"/>
      </w:pPr>
      <w:r>
        <w:t xml:space="preserve">The Commission is now seeking an extension (no change in the reporting and third party disclosure requirements).   The Commission is reporting a decrease of 8,016 hours.   This adjustment is because of the 452 respondents who were required to meet the reporting requirement, 118 remaining licensees have yet to report.   </w:t>
      </w:r>
    </w:p>
    <w:p w:rsidR="00145DEA" w:rsidRDefault="00145DEA" w:rsidP="00145DEA"/>
    <w:p w:rsidR="00145DEA" w:rsidRDefault="00145DEA" w:rsidP="00145DEA">
      <w:pPr>
        <w:ind w:left="360"/>
        <w:rPr>
          <w:szCs w:val="22"/>
        </w:rPr>
      </w:pPr>
      <w:r>
        <w:rPr>
          <w:szCs w:val="22"/>
        </w:rPr>
        <w:t>Statutory authority for this information collection is found in s</w:t>
      </w:r>
      <w:r w:rsidRPr="00652609">
        <w:rPr>
          <w:szCs w:val="22"/>
        </w:rPr>
        <w:t xml:space="preserve">ections 4(i), 201, and 303(r) of the Communications Act of 1934, 47 U.S.C. §§ 154(i), 201, and 303(r), </w:t>
      </w:r>
      <w:r>
        <w:rPr>
          <w:szCs w:val="22"/>
        </w:rPr>
        <w:t>and s</w:t>
      </w:r>
      <w:r w:rsidRPr="00652609">
        <w:rPr>
          <w:szCs w:val="22"/>
        </w:rPr>
        <w:t>ection 5(d) of the Administrative Procedure Act, 5 U.S.C. § 554(e)</w:t>
      </w:r>
      <w:r>
        <w:rPr>
          <w:szCs w:val="22"/>
        </w:rPr>
        <w:t>.</w:t>
      </w:r>
    </w:p>
    <w:p w:rsidR="00145DEA" w:rsidRDefault="00145DEA" w:rsidP="00145DEA">
      <w:pPr>
        <w:rPr>
          <w:szCs w:val="22"/>
        </w:rPr>
      </w:pPr>
    </w:p>
    <w:p w:rsidR="00145DEA" w:rsidRDefault="00145DEA" w:rsidP="00145DEA">
      <w:pPr>
        <w:ind w:left="360"/>
      </w:pPr>
      <w:r>
        <w:rPr>
          <w:szCs w:val="22"/>
        </w:rPr>
        <w:t xml:space="preserve">As noted on the </w:t>
      </w:r>
      <w:r w:rsidRPr="002571D7">
        <w:rPr>
          <w:szCs w:val="22"/>
        </w:rPr>
        <w:t>Form OMB 83-I</w:t>
      </w:r>
      <w:r>
        <w:rPr>
          <w:szCs w:val="22"/>
        </w:rPr>
        <w:t>, this information collection does not affect individuals or households; thus, there are no impacts under the Privacy Act.</w:t>
      </w:r>
    </w:p>
    <w:p w:rsidR="00145DEA" w:rsidRDefault="00145DEA" w:rsidP="00145DEA">
      <w:pPr>
        <w:ind w:left="360"/>
      </w:pPr>
      <w:r>
        <w:t xml:space="preserve"> </w:t>
      </w:r>
    </w:p>
    <w:p w:rsidR="00145DEA" w:rsidRDefault="00145DEA" w:rsidP="00145DEA">
      <w:pPr>
        <w:numPr>
          <w:ilvl w:val="0"/>
          <w:numId w:val="6"/>
        </w:numPr>
        <w:tabs>
          <w:tab w:val="clear" w:pos="720"/>
          <w:tab w:val="num" w:pos="360"/>
        </w:tabs>
        <w:ind w:left="360"/>
        <w:rPr>
          <w:szCs w:val="22"/>
        </w:rPr>
      </w:pPr>
      <w:r>
        <w:t xml:space="preserve">The consumer-notice requirement will </w:t>
      </w:r>
      <w:r w:rsidRPr="00652609">
        <w:rPr>
          <w:szCs w:val="22"/>
        </w:rPr>
        <w:t xml:space="preserve">ensure that </w:t>
      </w:r>
      <w:r>
        <w:rPr>
          <w:szCs w:val="22"/>
        </w:rPr>
        <w:t xml:space="preserve">remaining analog cellular service subscribers, including </w:t>
      </w:r>
      <w:r w:rsidRPr="00652609">
        <w:rPr>
          <w:szCs w:val="22"/>
        </w:rPr>
        <w:t>persons with hearing disabilities</w:t>
      </w:r>
      <w:r>
        <w:rPr>
          <w:szCs w:val="22"/>
        </w:rPr>
        <w:t>,</w:t>
      </w:r>
      <w:r w:rsidRPr="00652609">
        <w:rPr>
          <w:szCs w:val="22"/>
        </w:rPr>
        <w:t xml:space="preserve"> are fully apprised of the sunset of the analog </w:t>
      </w:r>
      <w:r>
        <w:rPr>
          <w:szCs w:val="22"/>
        </w:rPr>
        <w:t xml:space="preserve">cellular </w:t>
      </w:r>
      <w:r w:rsidRPr="00652609">
        <w:rPr>
          <w:szCs w:val="22"/>
        </w:rPr>
        <w:t>service requirement</w:t>
      </w:r>
      <w:r>
        <w:rPr>
          <w:szCs w:val="22"/>
        </w:rPr>
        <w:t>.</w:t>
      </w:r>
    </w:p>
    <w:p w:rsidR="00145DEA" w:rsidRDefault="00145DEA" w:rsidP="00145DEA">
      <w:pPr>
        <w:rPr>
          <w:szCs w:val="22"/>
        </w:rPr>
      </w:pPr>
    </w:p>
    <w:p w:rsidR="00145DEA" w:rsidRDefault="00145DEA" w:rsidP="00145DEA">
      <w:pPr>
        <w:numPr>
          <w:ilvl w:val="0"/>
          <w:numId w:val="6"/>
        </w:numPr>
        <w:tabs>
          <w:tab w:val="clear" w:pos="720"/>
          <w:tab w:val="num" w:pos="360"/>
        </w:tabs>
        <w:ind w:left="360"/>
      </w:pPr>
      <w:r>
        <w:t>The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w:t>
      </w:r>
    </w:p>
    <w:p w:rsidR="00145DEA" w:rsidRDefault="00145DEA" w:rsidP="00145DEA"/>
    <w:p w:rsidR="00145DEA" w:rsidRDefault="00145DEA" w:rsidP="00145DEA">
      <w:pPr>
        <w:numPr>
          <w:ilvl w:val="0"/>
          <w:numId w:val="6"/>
        </w:numPr>
        <w:tabs>
          <w:tab w:val="clear" w:pos="720"/>
          <w:tab w:val="num" w:pos="360"/>
        </w:tabs>
        <w:ind w:left="360"/>
      </w:pPr>
      <w:r>
        <w:t>This agency does not impose a similar information collection on the respondents.  There is no similar data available.</w:t>
      </w:r>
    </w:p>
    <w:p w:rsidR="00145DEA" w:rsidRDefault="00145DEA" w:rsidP="00145DEA"/>
    <w:p w:rsidR="00145DEA" w:rsidRDefault="00145DEA" w:rsidP="00145DEA">
      <w:pPr>
        <w:numPr>
          <w:ilvl w:val="0"/>
          <w:numId w:val="6"/>
        </w:numPr>
        <w:tabs>
          <w:tab w:val="clear" w:pos="720"/>
          <w:tab w:val="num" w:pos="360"/>
        </w:tabs>
        <w:ind w:left="360"/>
      </w:pPr>
      <w:r>
        <w:lastRenderedPageBreak/>
        <w:t>In conformance with the Paperwork Reduction Act of 1995, the Commission is making an effort to minimize the burden on all respondents, regardless of size.  The Commission has limited the information requirements to those absolutely necessary.</w:t>
      </w:r>
    </w:p>
    <w:p w:rsidR="00145DEA" w:rsidRDefault="00145DEA" w:rsidP="00145DEA"/>
    <w:p w:rsidR="00145DEA" w:rsidRPr="00145DEA" w:rsidRDefault="00145DEA" w:rsidP="00145DEA">
      <w:pPr>
        <w:numPr>
          <w:ilvl w:val="0"/>
          <w:numId w:val="6"/>
        </w:numPr>
        <w:tabs>
          <w:tab w:val="clear" w:pos="720"/>
          <w:tab w:val="num" w:pos="360"/>
        </w:tabs>
        <w:ind w:left="360"/>
      </w:pPr>
      <w:r>
        <w:t xml:space="preserve">If cellular licensees were not required to notify analog-only subscribers individually of their intention to discontinue analog service, then some analog service subscribers, including </w:t>
      </w:r>
      <w:r w:rsidRPr="00652609">
        <w:rPr>
          <w:szCs w:val="22"/>
        </w:rPr>
        <w:t xml:space="preserve">persons with hearing disabilities, </w:t>
      </w:r>
      <w:r>
        <w:rPr>
          <w:szCs w:val="22"/>
        </w:rPr>
        <w:t xml:space="preserve">may not be adequately notified of the potential loss of analog service and the need to make alternative service arrangements. </w:t>
      </w:r>
    </w:p>
    <w:p w:rsidR="00145DEA" w:rsidRDefault="00145DEA" w:rsidP="00145DEA"/>
    <w:p w:rsidR="00145DEA" w:rsidRPr="00145DEA" w:rsidRDefault="00145DEA" w:rsidP="00145DEA">
      <w:pPr>
        <w:numPr>
          <w:ilvl w:val="0"/>
          <w:numId w:val="6"/>
        </w:numPr>
        <w:tabs>
          <w:tab w:val="clear" w:pos="720"/>
          <w:tab w:val="num" w:pos="360"/>
        </w:tabs>
        <w:ind w:left="360"/>
      </w:pPr>
      <w:r>
        <w:rPr>
          <w:szCs w:val="22"/>
        </w:rPr>
        <w:t>Current data collection is consistent with 5 CFR §1320.8.</w:t>
      </w:r>
    </w:p>
    <w:p w:rsidR="00145DEA" w:rsidRDefault="00145DEA" w:rsidP="00145DEA"/>
    <w:p w:rsidR="00145DEA" w:rsidRPr="00145DEA" w:rsidRDefault="00145DEA" w:rsidP="00145DEA">
      <w:pPr>
        <w:numPr>
          <w:ilvl w:val="0"/>
          <w:numId w:val="6"/>
        </w:numPr>
        <w:tabs>
          <w:tab w:val="clear" w:pos="720"/>
          <w:tab w:val="num" w:pos="360"/>
        </w:tabs>
        <w:ind w:left="360"/>
      </w:pPr>
      <w:r w:rsidRPr="00FF0A2A">
        <w:rPr>
          <w:szCs w:val="24"/>
        </w:rPr>
        <w:t>The</w:t>
      </w:r>
      <w:r>
        <w:rPr>
          <w:szCs w:val="22"/>
        </w:rPr>
        <w:t xml:space="preserve"> Commission published a Notice of the consumer-notice requirement in the Federal Register on </w:t>
      </w:r>
      <w:r w:rsidR="00DF448C">
        <w:rPr>
          <w:szCs w:val="22"/>
        </w:rPr>
        <w:t>August 4, 2010</w:t>
      </w:r>
      <w:r>
        <w:rPr>
          <w:szCs w:val="22"/>
        </w:rPr>
        <w:t xml:space="preserve"> (7</w:t>
      </w:r>
      <w:r w:rsidR="00DF448C">
        <w:rPr>
          <w:szCs w:val="22"/>
        </w:rPr>
        <w:t>5</w:t>
      </w:r>
      <w:r>
        <w:rPr>
          <w:szCs w:val="22"/>
        </w:rPr>
        <w:t xml:space="preserve"> FR </w:t>
      </w:r>
      <w:r w:rsidR="00DF448C">
        <w:rPr>
          <w:szCs w:val="22"/>
        </w:rPr>
        <w:t>46936</w:t>
      </w:r>
      <w:r>
        <w:rPr>
          <w:szCs w:val="22"/>
        </w:rPr>
        <w:t>), in compliance with 5 CFR § 1320.5(d</w:t>
      </w:r>
      <w:proofErr w:type="gramStart"/>
      <w:r>
        <w:rPr>
          <w:szCs w:val="22"/>
        </w:rPr>
        <w:t>)(</w:t>
      </w:r>
      <w:proofErr w:type="gramEnd"/>
      <w:r>
        <w:rPr>
          <w:szCs w:val="22"/>
        </w:rPr>
        <w:t>2).</w:t>
      </w:r>
      <w:r w:rsidR="00DF448C">
        <w:rPr>
          <w:szCs w:val="22"/>
        </w:rPr>
        <w:t xml:space="preserve">   No comments were received.</w:t>
      </w:r>
    </w:p>
    <w:p w:rsidR="00145DEA" w:rsidRDefault="00145DEA" w:rsidP="00145DEA"/>
    <w:p w:rsidR="00145DEA" w:rsidRDefault="00145DEA" w:rsidP="00145DEA">
      <w:pPr>
        <w:numPr>
          <w:ilvl w:val="0"/>
          <w:numId w:val="6"/>
        </w:numPr>
        <w:tabs>
          <w:tab w:val="clear" w:pos="720"/>
          <w:tab w:val="num" w:pos="360"/>
        </w:tabs>
        <w:ind w:left="360"/>
      </w:pPr>
      <w:r>
        <w:t>There are no payments of gifts to respondents.</w:t>
      </w:r>
    </w:p>
    <w:p w:rsidR="00145DEA" w:rsidRDefault="00145DEA" w:rsidP="00145DEA"/>
    <w:p w:rsidR="00145DEA" w:rsidRDefault="00145DEA" w:rsidP="00145DEA">
      <w:pPr>
        <w:numPr>
          <w:ilvl w:val="0"/>
          <w:numId w:val="6"/>
        </w:numPr>
        <w:tabs>
          <w:tab w:val="clear" w:pos="720"/>
          <w:tab w:val="num" w:pos="360"/>
        </w:tabs>
        <w:ind w:left="360"/>
      </w:pPr>
      <w:r>
        <w:t>No questions of a confidential nature are asked.</w:t>
      </w:r>
    </w:p>
    <w:p w:rsidR="00145DEA" w:rsidRDefault="00145DEA" w:rsidP="00145DEA"/>
    <w:p w:rsidR="00145DEA" w:rsidRDefault="00145DEA" w:rsidP="00145DEA">
      <w:pPr>
        <w:numPr>
          <w:ilvl w:val="0"/>
          <w:numId w:val="6"/>
        </w:numPr>
        <w:tabs>
          <w:tab w:val="clear" w:pos="720"/>
          <w:tab w:val="num" w:pos="360"/>
        </w:tabs>
        <w:ind w:left="360"/>
      </w:pPr>
      <w:r>
        <w:t>This does not address any private matters of a sensitive nature.</w:t>
      </w:r>
    </w:p>
    <w:p w:rsidR="00444EA2" w:rsidRDefault="00444EA2" w:rsidP="00444EA2"/>
    <w:p w:rsidR="00145DEA" w:rsidRDefault="00444EA2" w:rsidP="00444EA2">
      <w:pPr>
        <w:numPr>
          <w:ilvl w:val="0"/>
          <w:numId w:val="6"/>
        </w:numPr>
        <w:tabs>
          <w:tab w:val="clear" w:pos="720"/>
          <w:tab w:val="num" w:pos="360"/>
        </w:tabs>
        <w:ind w:left="360"/>
      </w:pPr>
      <w:r>
        <w:t>A</w:t>
      </w:r>
      <w:r w:rsidR="00145DEA">
        <w:t xml:space="preserve">ccording to the Commission ULS/CORES database, there are </w:t>
      </w:r>
      <w:r w:rsidR="0083440F">
        <w:t>only 118</w:t>
      </w:r>
      <w:r w:rsidR="00145DEA" w:rsidRPr="002571D7">
        <w:t xml:space="preserve"> </w:t>
      </w:r>
      <w:r w:rsidR="0083440F">
        <w:t xml:space="preserve">remaining </w:t>
      </w:r>
      <w:r w:rsidR="00145DEA" w:rsidRPr="002571D7">
        <w:t>cellular radiotelephone service licensees</w:t>
      </w:r>
      <w:r w:rsidR="00145DEA">
        <w:t xml:space="preserve"> who are required to notify each analog-only subscriber of their intention to discontinue analog service at least four months before such discontinuance, and a second time, at least 30 days before such discontinuance.  We anticipate that each licensee will notify subscribers via billing inserts, direct mail and/or direct telephone calls, among other methods.  We estimate it will take each licensee 24 hours on average to meet both phases of the notification requirement.   Licensees with only a few remaining analog subscribers may be able to accomplish the notification process in substantially less time, while those with many</w:t>
      </w:r>
      <w:r w:rsidR="00145DEA" w:rsidRPr="002571D7">
        <w:t xml:space="preserve"> </w:t>
      </w:r>
      <w:r w:rsidR="00145DEA">
        <w:t>remaining analog subscribers may require additional time</w:t>
      </w:r>
      <w:r w:rsidR="00145DEA" w:rsidRPr="002571D7">
        <w:t xml:space="preserve"> </w:t>
      </w:r>
      <w:r w:rsidR="00145DEA">
        <w:t xml:space="preserve">to accomplish the notification process.  </w:t>
      </w:r>
    </w:p>
    <w:p w:rsidR="00145DEA" w:rsidRDefault="00145DEA" w:rsidP="00145DEA"/>
    <w:p w:rsidR="00145DEA" w:rsidRDefault="0083440F" w:rsidP="00444EA2">
      <w:pPr>
        <w:ind w:firstLine="720"/>
      </w:pPr>
      <w:r>
        <w:t>118</w:t>
      </w:r>
      <w:r w:rsidR="00145DEA">
        <w:t xml:space="preserve"> (licensees) x 24 hrs = </w:t>
      </w:r>
      <w:r>
        <w:t>2,832</w:t>
      </w:r>
      <w:r w:rsidR="00145DEA">
        <w:t xml:space="preserve"> total hours.</w:t>
      </w:r>
    </w:p>
    <w:p w:rsidR="00145DEA" w:rsidRDefault="00145DEA" w:rsidP="00145DEA"/>
    <w:p w:rsidR="00145DEA" w:rsidRDefault="00444EA2" w:rsidP="00444EA2">
      <w:pPr>
        <w:ind w:firstLine="720"/>
      </w:pPr>
      <w:r>
        <w:rPr>
          <w:smallCaps/>
        </w:rPr>
        <w:t>The total hour b</w:t>
      </w:r>
      <w:r w:rsidR="00145DEA" w:rsidRPr="005B1FEB">
        <w:rPr>
          <w:smallCaps/>
        </w:rPr>
        <w:t>urden is</w:t>
      </w:r>
      <w:r w:rsidR="00145DEA">
        <w:t xml:space="preserve">:  </w:t>
      </w:r>
      <w:r w:rsidR="0083440F" w:rsidRPr="00DF448C">
        <w:rPr>
          <w:b/>
        </w:rPr>
        <w:t>2,832</w:t>
      </w:r>
      <w:r w:rsidR="00145DEA" w:rsidRPr="00DF448C">
        <w:rPr>
          <w:b/>
        </w:rPr>
        <w:t xml:space="preserve"> hours.</w:t>
      </w:r>
    </w:p>
    <w:p w:rsidR="00145DEA" w:rsidRDefault="00145DEA" w:rsidP="00145DEA"/>
    <w:p w:rsidR="00683F89" w:rsidRDefault="00145DEA" w:rsidP="00145DEA">
      <w:r>
        <w:t xml:space="preserve">13.  </w:t>
      </w:r>
      <w:r w:rsidRPr="001D1D8C">
        <w:rPr>
          <w:u w:val="single"/>
        </w:rPr>
        <w:t>Estimate of cost to respondents</w:t>
      </w:r>
      <w:r>
        <w:t xml:space="preserve">:  </w:t>
      </w:r>
    </w:p>
    <w:p w:rsidR="00683F89" w:rsidRDefault="00145DEA" w:rsidP="00145DEA">
      <w:r>
        <w:t xml:space="preserve">(a) There are no capital or start-up costs.  </w:t>
      </w:r>
    </w:p>
    <w:p w:rsidR="00145DEA" w:rsidRDefault="00145DEA" w:rsidP="00145DEA">
      <w:bookmarkStart w:id="0" w:name="_GoBack"/>
      <w:bookmarkEnd w:id="0"/>
      <w:r>
        <w:t xml:space="preserve">(b)  We estimate licensees will use in-house programming and marketing personnel to notify </w:t>
      </w:r>
      <w:r w:rsidRPr="001B11EA">
        <w:t>subscribers</w:t>
      </w:r>
      <w:r>
        <w:t xml:space="preserve"> @ $30.00 per hr.  </w:t>
      </w:r>
    </w:p>
    <w:p w:rsidR="00145DEA" w:rsidRDefault="00145DEA" w:rsidP="00145DEA">
      <w:pPr>
        <w:rPr>
          <w:u w:val="single"/>
        </w:rPr>
      </w:pPr>
    </w:p>
    <w:p w:rsidR="00145DEA" w:rsidRPr="001B11EA" w:rsidRDefault="0083440F" w:rsidP="00145DEA">
      <w:pPr>
        <w:ind w:left="360"/>
      </w:pPr>
      <w:r>
        <w:t>2,832</w:t>
      </w:r>
      <w:r w:rsidR="00145DEA" w:rsidRPr="001B11EA">
        <w:t xml:space="preserve"> hours</w:t>
      </w:r>
      <w:r w:rsidR="00145DEA">
        <w:t xml:space="preserve"> @ $30/hr. = $</w:t>
      </w:r>
      <w:r>
        <w:t>84,960</w:t>
      </w:r>
      <w:r w:rsidR="00145DEA">
        <w:t>.00</w:t>
      </w:r>
    </w:p>
    <w:p w:rsidR="00145DEA" w:rsidRDefault="00145DEA" w:rsidP="00145DEA"/>
    <w:p w:rsidR="00145DEA" w:rsidRDefault="00145DEA" w:rsidP="00145DEA">
      <w:pPr>
        <w:ind w:firstLine="360"/>
      </w:pPr>
      <w:r w:rsidRPr="005B1FEB">
        <w:rPr>
          <w:smallCaps/>
        </w:rPr>
        <w:t xml:space="preserve">The total annual </w:t>
      </w:r>
      <w:r w:rsidR="00DF448C">
        <w:rPr>
          <w:smallCaps/>
        </w:rPr>
        <w:t xml:space="preserve">in-house </w:t>
      </w:r>
      <w:r w:rsidRPr="005B1FEB">
        <w:rPr>
          <w:smallCaps/>
        </w:rPr>
        <w:t>cost burden is</w:t>
      </w:r>
      <w:r>
        <w:t>:  $</w:t>
      </w:r>
      <w:r w:rsidR="0083440F">
        <w:t>84,960</w:t>
      </w:r>
      <w:r>
        <w:t>.00</w:t>
      </w:r>
    </w:p>
    <w:p w:rsidR="00145DEA" w:rsidRDefault="00145DEA" w:rsidP="00145DEA"/>
    <w:p w:rsidR="00145DEA" w:rsidRDefault="00145DEA" w:rsidP="00145DEA">
      <w:pPr>
        <w:numPr>
          <w:ilvl w:val="0"/>
          <w:numId w:val="7"/>
        </w:numPr>
        <w:tabs>
          <w:tab w:val="clear" w:pos="720"/>
          <w:tab w:val="num" w:pos="360"/>
        </w:tabs>
        <w:ind w:hanging="720"/>
      </w:pPr>
      <w:r>
        <w:lastRenderedPageBreak/>
        <w:t xml:space="preserve"> Estimate of cost to the Federal Government.  None.</w:t>
      </w:r>
    </w:p>
    <w:p w:rsidR="00145DEA" w:rsidRDefault="00145DEA" w:rsidP="00145DEA"/>
    <w:p w:rsidR="00145DEA" w:rsidRDefault="00145DEA" w:rsidP="0083440F">
      <w:pPr>
        <w:numPr>
          <w:ilvl w:val="0"/>
          <w:numId w:val="7"/>
        </w:numPr>
        <w:tabs>
          <w:tab w:val="clear" w:pos="720"/>
          <w:tab w:val="num" w:pos="360"/>
        </w:tabs>
        <w:ind w:left="0" w:firstLine="0"/>
      </w:pPr>
      <w:r>
        <w:t>Th</w:t>
      </w:r>
      <w:r w:rsidR="0083440F">
        <w:t xml:space="preserve">e Commission is reporting an adjustment to </w:t>
      </w:r>
      <w:r w:rsidR="00E52B4B">
        <w:t xml:space="preserve">the hour burden in </w:t>
      </w:r>
      <w:r w:rsidR="0083440F">
        <w:t xml:space="preserve">this information collection due to </w:t>
      </w:r>
      <w:r w:rsidR="00E15971">
        <w:t>a</w:t>
      </w:r>
      <w:r w:rsidR="0083440F">
        <w:t xml:space="preserve"> decrease of -334 </w:t>
      </w:r>
      <w:r w:rsidR="00E15971">
        <w:t xml:space="preserve">of the 452 respondents </w:t>
      </w:r>
      <w:r w:rsidR="0083440F">
        <w:t xml:space="preserve">who </w:t>
      </w:r>
      <w:r w:rsidR="00E15971">
        <w:t>we</w:t>
      </w:r>
      <w:r w:rsidR="0083440F">
        <w:t>re required to meet th</w:t>
      </w:r>
      <w:r w:rsidR="00E15971">
        <w:t>is</w:t>
      </w:r>
      <w:r w:rsidR="0083440F">
        <w:t xml:space="preserve"> reporting requirement.  The</w:t>
      </w:r>
      <w:r w:rsidR="00E15971">
        <w:t>re are 118</w:t>
      </w:r>
      <w:r w:rsidR="0083440F">
        <w:t xml:space="preserve"> remaining licensees </w:t>
      </w:r>
      <w:r w:rsidR="00E15971">
        <w:t>who have yet to report.  The</w:t>
      </w:r>
      <w:r w:rsidR="002A4852">
        <w:t>refore, the</w:t>
      </w:r>
      <w:r w:rsidR="00E52B4B">
        <w:t xml:space="preserve"> </w:t>
      </w:r>
      <w:r w:rsidR="00E15971">
        <w:t>Commission is</w:t>
      </w:r>
      <w:r w:rsidR="00E52B4B">
        <w:t xml:space="preserve"> </w:t>
      </w:r>
      <w:r w:rsidR="00E15971">
        <w:t xml:space="preserve">seeking an extension in order to obtain the full three year clearance from the OMB. </w:t>
      </w:r>
    </w:p>
    <w:p w:rsidR="00145DEA" w:rsidRDefault="00145DEA" w:rsidP="00145DEA"/>
    <w:p w:rsidR="00145DEA" w:rsidRDefault="00145DEA" w:rsidP="00145DEA">
      <w:pPr>
        <w:numPr>
          <w:ilvl w:val="0"/>
          <w:numId w:val="7"/>
        </w:numPr>
        <w:tabs>
          <w:tab w:val="clear" w:pos="720"/>
          <w:tab w:val="num" w:pos="360"/>
        </w:tabs>
        <w:ind w:hanging="720"/>
      </w:pPr>
      <w:r>
        <w:t>The data will not be published for statistical use.</w:t>
      </w:r>
    </w:p>
    <w:p w:rsidR="00145DEA" w:rsidRDefault="00145DEA" w:rsidP="00145DEA"/>
    <w:p w:rsidR="00145DEA" w:rsidRDefault="00145DEA" w:rsidP="00145DEA">
      <w:pPr>
        <w:numPr>
          <w:ilvl w:val="0"/>
          <w:numId w:val="7"/>
        </w:numPr>
        <w:tabs>
          <w:tab w:val="clear" w:pos="720"/>
          <w:tab w:val="num" w:pos="360"/>
        </w:tabs>
        <w:ind w:hanging="720"/>
      </w:pPr>
      <w:r>
        <w:t>No expiration date will be displayed.</w:t>
      </w:r>
    </w:p>
    <w:p w:rsidR="00145DEA" w:rsidRDefault="00145DEA" w:rsidP="00145DEA"/>
    <w:p w:rsidR="00145DEA" w:rsidRDefault="00145DEA" w:rsidP="00145DEA">
      <w:pPr>
        <w:numPr>
          <w:ilvl w:val="0"/>
          <w:numId w:val="7"/>
        </w:numPr>
        <w:tabs>
          <w:tab w:val="clear" w:pos="720"/>
          <w:tab w:val="num" w:pos="360"/>
        </w:tabs>
        <w:ind w:hanging="720"/>
      </w:pPr>
      <w:r>
        <w:t xml:space="preserve">There are no exceptions to </w:t>
      </w:r>
      <w:r w:rsidRPr="001B11EA">
        <w:t>Item 19</w:t>
      </w:r>
      <w:r>
        <w:t>.</w:t>
      </w:r>
    </w:p>
    <w:p w:rsidR="00145DEA" w:rsidRDefault="00145DEA" w:rsidP="00145DEA"/>
    <w:p w:rsidR="00145DEA" w:rsidRDefault="00145DEA" w:rsidP="00145DEA">
      <w:pPr>
        <w:numPr>
          <w:ilvl w:val="0"/>
          <w:numId w:val="1"/>
        </w:numPr>
        <w:tabs>
          <w:tab w:val="clear" w:pos="720"/>
          <w:tab w:val="num" w:pos="360"/>
        </w:tabs>
        <w:ind w:hanging="720"/>
      </w:pPr>
      <w:r>
        <w:rPr>
          <w:b/>
          <w:u w:val="single"/>
        </w:rPr>
        <w:t>Collections of Information Employing Statistical Methods:</w:t>
      </w:r>
    </w:p>
    <w:p w:rsidR="00145DEA" w:rsidRDefault="00145DEA" w:rsidP="00145DEA"/>
    <w:p w:rsidR="00145DEA" w:rsidRPr="005B1FEB" w:rsidRDefault="00145DEA" w:rsidP="00145DEA">
      <w:pPr>
        <w:ind w:left="360"/>
      </w:pPr>
      <w:r>
        <w:t xml:space="preserve">No </w:t>
      </w:r>
      <w:r w:rsidR="005B3FF1">
        <w:t>s</w:t>
      </w:r>
      <w:r>
        <w:t>tatistical methods are employed.</w:t>
      </w:r>
    </w:p>
    <w:p w:rsidR="00145DEA" w:rsidRDefault="00145DEA" w:rsidP="00145DEA">
      <w:pPr>
        <w:ind w:left="360"/>
      </w:pPr>
    </w:p>
    <w:p w:rsidR="00145DEA" w:rsidRPr="001E66AA" w:rsidRDefault="00145DEA" w:rsidP="00145DEA"/>
    <w:p w:rsidR="00365383" w:rsidRDefault="00365383"/>
    <w:sectPr w:rsidR="003653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04" w:rsidRDefault="00EC5404">
      <w:r>
        <w:separator/>
      </w:r>
    </w:p>
  </w:endnote>
  <w:endnote w:type="continuationSeparator" w:id="0">
    <w:p w:rsidR="00EC5404" w:rsidRDefault="00EC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04" w:rsidRDefault="00EC5404">
      <w:r>
        <w:separator/>
      </w:r>
    </w:p>
  </w:footnote>
  <w:footnote w:type="continuationSeparator" w:id="0">
    <w:p w:rsidR="00EC5404" w:rsidRDefault="00EC5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998"/>
    <w:multiLevelType w:val="hybridMultilevel"/>
    <w:tmpl w:val="026E888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B1315"/>
    <w:multiLevelType w:val="hybridMultilevel"/>
    <w:tmpl w:val="2244F0B6"/>
    <w:lvl w:ilvl="0" w:tplc="5142D5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130939"/>
    <w:multiLevelType w:val="hybridMultilevel"/>
    <w:tmpl w:val="EE443DF4"/>
    <w:lvl w:ilvl="0" w:tplc="0409000F">
      <w:start w:val="1"/>
      <w:numFmt w:val="decimal"/>
      <w:lvlText w:val="%1."/>
      <w:lvlJc w:val="left"/>
      <w:pPr>
        <w:tabs>
          <w:tab w:val="num" w:pos="720"/>
        </w:tabs>
        <w:ind w:left="720" w:hanging="360"/>
      </w:pPr>
      <w:rPr>
        <w:rFonts w:hint="default"/>
      </w:rPr>
    </w:lvl>
    <w:lvl w:ilvl="1" w:tplc="43C8A0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376CE"/>
    <w:multiLevelType w:val="multilevel"/>
    <w:tmpl w:val="6CF215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584714D"/>
    <w:multiLevelType w:val="hybridMultilevel"/>
    <w:tmpl w:val="68C83E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822ADC"/>
    <w:multiLevelType w:val="hybridMultilevel"/>
    <w:tmpl w:val="5BAC6356"/>
    <w:lvl w:ilvl="0" w:tplc="66A05DEE">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450"/>
        </w:tabs>
        <w:ind w:left="45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804884"/>
    <w:multiLevelType w:val="hybridMultilevel"/>
    <w:tmpl w:val="56AEBF04"/>
    <w:lvl w:ilvl="0" w:tplc="5142D51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EA"/>
    <w:rsid w:val="00082E58"/>
    <w:rsid w:val="00145DEA"/>
    <w:rsid w:val="002A4852"/>
    <w:rsid w:val="00365383"/>
    <w:rsid w:val="003A39CB"/>
    <w:rsid w:val="00444EA2"/>
    <w:rsid w:val="00512E47"/>
    <w:rsid w:val="005B3FF1"/>
    <w:rsid w:val="005E4B01"/>
    <w:rsid w:val="00683F89"/>
    <w:rsid w:val="006C09F4"/>
    <w:rsid w:val="0083440F"/>
    <w:rsid w:val="00874895"/>
    <w:rsid w:val="00920602"/>
    <w:rsid w:val="009B1572"/>
    <w:rsid w:val="00BA5BC2"/>
    <w:rsid w:val="00DF448C"/>
    <w:rsid w:val="00E13B5F"/>
    <w:rsid w:val="00E15971"/>
    <w:rsid w:val="00E344B9"/>
    <w:rsid w:val="00E52B4B"/>
    <w:rsid w:val="00EC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DE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DE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Terry.Conway</dc:creator>
  <cp:keywords/>
  <cp:lastModifiedBy>judith</cp:lastModifiedBy>
  <cp:revision>2</cp:revision>
  <cp:lastPrinted>2010-07-14T15:34:00Z</cp:lastPrinted>
  <dcterms:created xsi:type="dcterms:W3CDTF">2010-10-05T19:34:00Z</dcterms:created>
  <dcterms:modified xsi:type="dcterms:W3CDTF">2010-10-05T19:34:00Z</dcterms:modified>
</cp:coreProperties>
</file>