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43" w:rsidRPr="00C141E2" w:rsidRDefault="00782A43" w:rsidP="003D66D7">
      <w:pPr>
        <w:jc w:val="center"/>
        <w:rPr>
          <w:b/>
          <w:bCs/>
        </w:rPr>
      </w:pPr>
      <w:r w:rsidRPr="00C141E2">
        <w:rPr>
          <w:b/>
          <w:bCs/>
        </w:rPr>
        <w:t xml:space="preserve">TARGETED CAPACITY EXPANSION </w:t>
      </w:r>
      <w:r>
        <w:rPr>
          <w:b/>
          <w:bCs/>
        </w:rPr>
        <w:t xml:space="preserve">PROGRAM FOR SUBSTANCE ABUSE TREATMENT AND HIV/AIDS </w:t>
      </w:r>
      <w:r w:rsidRPr="00C141E2">
        <w:rPr>
          <w:b/>
          <w:bCs/>
        </w:rPr>
        <w:t>(TCE-HIV)</w:t>
      </w:r>
      <w:r>
        <w:rPr>
          <w:b/>
          <w:bCs/>
        </w:rPr>
        <w:t xml:space="preserve"> SERVICES</w:t>
      </w:r>
      <w:r w:rsidRPr="00C141E2">
        <w:rPr>
          <w:b/>
          <w:bCs/>
        </w:rPr>
        <w:t xml:space="preserve"> </w:t>
      </w:r>
    </w:p>
    <w:p w:rsidR="00782A43" w:rsidRDefault="00782A43" w:rsidP="003D66D7">
      <w:pPr>
        <w:jc w:val="center"/>
        <w:rPr>
          <w:b/>
          <w:bCs/>
        </w:rPr>
      </w:pPr>
      <w:r w:rsidRPr="00C141E2">
        <w:rPr>
          <w:b/>
          <w:bCs/>
        </w:rPr>
        <w:t>MULTI-SITE EVALUATION</w:t>
      </w:r>
    </w:p>
    <w:p w:rsidR="00782A43" w:rsidRDefault="00782A43" w:rsidP="003D66D7">
      <w:pPr>
        <w:jc w:val="center"/>
        <w:rPr>
          <w:b/>
          <w:bCs/>
        </w:rPr>
      </w:pPr>
    </w:p>
    <w:p w:rsidR="00782A43" w:rsidRPr="00C141E2" w:rsidRDefault="00782A43" w:rsidP="00602D20">
      <w:pPr>
        <w:jc w:val="center"/>
        <w:rPr>
          <w:b/>
          <w:bCs/>
        </w:rPr>
      </w:pPr>
      <w:bookmarkStart w:id="0" w:name="_Toc67387400"/>
      <w:r w:rsidRPr="00C141E2">
        <w:rPr>
          <w:b/>
          <w:bCs/>
        </w:rPr>
        <w:t>SUPPORTING STATEMENT</w:t>
      </w:r>
      <w:bookmarkEnd w:id="0"/>
      <w:r w:rsidRPr="00C141E2">
        <w:rPr>
          <w:b/>
          <w:bCs/>
        </w:rPr>
        <w:t xml:space="preserve"> </w:t>
      </w:r>
    </w:p>
    <w:p w:rsidR="00782A43" w:rsidRPr="00C141E2" w:rsidRDefault="00782A43" w:rsidP="003D66D7">
      <w:pPr>
        <w:jc w:val="center"/>
        <w:rPr>
          <w:b/>
          <w:bCs/>
        </w:rPr>
      </w:pPr>
    </w:p>
    <w:p w:rsidR="00782A43" w:rsidRPr="000916CF" w:rsidRDefault="00782A43" w:rsidP="003D66D7"/>
    <w:p w:rsidR="00782A43" w:rsidRPr="004D6522" w:rsidRDefault="00782A43" w:rsidP="003D66D7"/>
    <w:p w:rsidR="00782A43" w:rsidRPr="004D6522" w:rsidRDefault="00782A43" w:rsidP="003D66D7">
      <w:pPr>
        <w:rPr>
          <w:b/>
          <w:bCs/>
        </w:rPr>
      </w:pPr>
      <w:bookmarkStart w:id="1" w:name="_Toc79980788"/>
      <w:bookmarkStart w:id="2" w:name="_Toc88277949"/>
      <w:bookmarkStart w:id="3" w:name="_Toc131564338"/>
      <w:r w:rsidRPr="004D6522">
        <w:rPr>
          <w:b/>
          <w:bCs/>
        </w:rPr>
        <w:t>A.</w:t>
      </w:r>
      <w:r w:rsidRPr="004D6522">
        <w:rPr>
          <w:b/>
          <w:bCs/>
        </w:rPr>
        <w:tab/>
        <w:t>JUSTIFICATION</w:t>
      </w:r>
      <w:bookmarkEnd w:id="1"/>
      <w:bookmarkEnd w:id="2"/>
      <w:bookmarkEnd w:id="3"/>
      <w:r w:rsidRPr="004D6522">
        <w:rPr>
          <w:b/>
          <w:bCs/>
        </w:rPr>
        <w:t xml:space="preserve"> </w:t>
      </w:r>
    </w:p>
    <w:p w:rsidR="00782A43" w:rsidRPr="004D6522" w:rsidRDefault="00782A43" w:rsidP="003D66D7">
      <w:pPr>
        <w:rPr>
          <w:b/>
          <w:bCs/>
        </w:rPr>
      </w:pPr>
    </w:p>
    <w:p w:rsidR="00782A43" w:rsidRDefault="00782A43">
      <w:pPr>
        <w:tabs>
          <w:tab w:val="left" w:pos="720"/>
        </w:tabs>
        <w:rPr>
          <w:b/>
          <w:bCs/>
        </w:rPr>
      </w:pPr>
      <w:bookmarkStart w:id="4" w:name="_Toc88277950"/>
      <w:bookmarkStart w:id="5" w:name="_Toc131564339"/>
      <w:r>
        <w:rPr>
          <w:b/>
          <w:bCs/>
        </w:rPr>
        <w:tab/>
      </w:r>
      <w:r w:rsidRPr="004D6522">
        <w:rPr>
          <w:b/>
          <w:bCs/>
        </w:rPr>
        <w:t>1.</w:t>
      </w:r>
      <w:r w:rsidRPr="004D6522">
        <w:rPr>
          <w:b/>
          <w:bCs/>
        </w:rPr>
        <w:tab/>
      </w:r>
      <w:r w:rsidRPr="004D6522">
        <w:rPr>
          <w:b/>
          <w:bCs/>
          <w:u w:val="single"/>
        </w:rPr>
        <w:t>Circumstances of Information Collection</w:t>
      </w:r>
      <w:bookmarkEnd w:id="4"/>
      <w:bookmarkEnd w:id="5"/>
    </w:p>
    <w:p w:rsidR="00782A43" w:rsidRPr="004D6522" w:rsidRDefault="00782A43" w:rsidP="003D66D7"/>
    <w:p w:rsidR="00782A43" w:rsidRDefault="00782A43">
      <w:pPr>
        <w:ind w:left="720"/>
      </w:pPr>
      <w:r>
        <w:t>T</w:t>
      </w:r>
      <w:r w:rsidRPr="004D6522">
        <w:t xml:space="preserve">he Substance Abuse and Mental Health Services Administration’s (SAMHSA) Center for Substance Abuse Treatment </w:t>
      </w:r>
      <w:r w:rsidRPr="0034455B">
        <w:t>(CSAT</w:t>
      </w:r>
      <w:r w:rsidRPr="004D6522">
        <w:t xml:space="preserve">) is requesting approval from the Office of Management and Budget (OMB) for the data collection activities </w:t>
      </w:r>
      <w:r>
        <w:t xml:space="preserve">for the </w:t>
      </w:r>
      <w:r w:rsidRPr="004D6522">
        <w:t>Targeted Capacity Expansion</w:t>
      </w:r>
      <w:r>
        <w:t xml:space="preserve"> Program for Substance Abuse Treatment and HIV/AIDS </w:t>
      </w:r>
      <w:r w:rsidRPr="004D6522">
        <w:t>(TCE-HIV)</w:t>
      </w:r>
      <w:r>
        <w:t xml:space="preserve"> Services </w:t>
      </w:r>
      <w:r w:rsidRPr="004D6522">
        <w:t>Multi-Site Evaluation</w:t>
      </w:r>
      <w:r>
        <w:t xml:space="preserve"> (hereafter referred to as the </w:t>
      </w:r>
      <w:r w:rsidRPr="004D6522">
        <w:t>Multi-Site Evaluation</w:t>
      </w:r>
      <w:r>
        <w:t xml:space="preserve">).  </w:t>
      </w:r>
      <w:r w:rsidRPr="001D6DE0">
        <w:t xml:space="preserve">There are a total of 8 data collection instruments for this evaluation (i.e., administrative </w:t>
      </w:r>
      <w:r>
        <w:t xml:space="preserve">staff </w:t>
      </w:r>
      <w:r w:rsidRPr="001D6DE0">
        <w:t xml:space="preserve">semi-structured interview guide, grantee </w:t>
      </w:r>
      <w:r>
        <w:t xml:space="preserve">direct services </w:t>
      </w:r>
      <w:r w:rsidRPr="001D6DE0">
        <w:t>staff semi-structured interview guide, partner/collaborator semi-structured interview guide, client focus group guide, baseline client level survey, discharge client level survey, six month follow up client level survey and client dosage form).</w:t>
      </w:r>
      <w:r>
        <w:t xml:space="preserve">  </w:t>
      </w:r>
      <w:r w:rsidRPr="004D6522">
        <w:t xml:space="preserve">The </w:t>
      </w:r>
      <w:r>
        <w:t xml:space="preserve">evaluation </w:t>
      </w:r>
      <w:r w:rsidRPr="004D6522">
        <w:t xml:space="preserve">activities </w:t>
      </w:r>
      <w:r>
        <w:t xml:space="preserve">will be conducted with 48 Grantees, 40 of which are treatment Grantees and 8 of which are outreach/pretreatment Grantees. Evaluation activities will </w:t>
      </w:r>
      <w:r w:rsidRPr="004D6522">
        <w:t>include the administration of baseline</w:t>
      </w:r>
      <w:r>
        <w:t>, discharge,</w:t>
      </w:r>
      <w:r w:rsidRPr="004D6522">
        <w:t xml:space="preserve"> and follow-up surveys of clients receiving TCE-HIV treatment services</w:t>
      </w:r>
      <w:r>
        <w:t>;</w:t>
      </w:r>
      <w:r w:rsidRPr="004D6522">
        <w:t xml:space="preserve"> conducting focus groups with clients receiving substance </w:t>
      </w:r>
      <w:r>
        <w:t>ab</w:t>
      </w:r>
      <w:r w:rsidRPr="004D6522">
        <w:t>use treatment</w:t>
      </w:r>
      <w:r>
        <w:t>;</w:t>
      </w:r>
      <w:r w:rsidRPr="004D6522">
        <w:t xml:space="preserve"> and conducting semi-structured interviews with TCE-HIV program staff and program collaborators/partners</w:t>
      </w:r>
      <w:r w:rsidRPr="00552587">
        <w:t xml:space="preserve"> </w:t>
      </w:r>
      <w:proofErr w:type="gramStart"/>
      <w:r w:rsidRPr="00792AD6">
        <w:t>who</w:t>
      </w:r>
      <w:proofErr w:type="gramEnd"/>
      <w:r w:rsidRPr="00792AD6">
        <w:t xml:space="preserve"> are overseeing or delivering TCE-HIV services.</w:t>
      </w:r>
      <w:r w:rsidRPr="00C141E2">
        <w:rPr>
          <w:color w:val="339966"/>
        </w:rPr>
        <w:t xml:space="preserve"> </w:t>
      </w:r>
      <w:r>
        <w:rPr>
          <w:color w:val="339966"/>
        </w:rPr>
        <w:t xml:space="preserve"> </w:t>
      </w:r>
      <w:r>
        <w:t xml:space="preserve">The evaluation </w:t>
      </w:r>
      <w:r w:rsidRPr="004D6522">
        <w:t xml:space="preserve">is intended to provide insight </w:t>
      </w:r>
      <w:r>
        <w:t>about</w:t>
      </w:r>
      <w:r w:rsidRPr="004D6522">
        <w:t xml:space="preserve"> the impact of </w:t>
      </w:r>
      <w:r>
        <w:t xml:space="preserve">outreach/pretreatment and </w:t>
      </w:r>
      <w:r w:rsidRPr="004D6522">
        <w:t>treatment programs offered through SAMH</w:t>
      </w:r>
      <w:r>
        <w:t>S</w:t>
      </w:r>
      <w:r w:rsidRPr="004D6522">
        <w:t xml:space="preserve">A TCE-HIV grant funding, and to better understand the mechanisms by which TCE-HIV programs affect positive change in the reduction of substance abuse and HIV risk behaviors in racial and ethnic minority </w:t>
      </w:r>
      <w:r>
        <w:t>communities</w:t>
      </w:r>
      <w:r w:rsidRPr="004D6522">
        <w:t xml:space="preserve">. </w:t>
      </w:r>
    </w:p>
    <w:p w:rsidR="00782A43" w:rsidRPr="00C141E2" w:rsidRDefault="00782A43" w:rsidP="000444AB">
      <w:pPr>
        <w:rPr>
          <w:b/>
          <w:bCs/>
        </w:rPr>
      </w:pPr>
    </w:p>
    <w:p w:rsidR="00782A43" w:rsidRDefault="00782A43">
      <w:pPr>
        <w:ind w:left="720"/>
      </w:pPr>
      <w:r w:rsidRPr="00C141E2">
        <w:t xml:space="preserve">The </w:t>
      </w:r>
      <w:r>
        <w:t xml:space="preserve">TCE-HIV grants are </w:t>
      </w:r>
      <w:r w:rsidRPr="00C141E2">
        <w:t>authorized under Section 509 of the Public Health Service Act</w:t>
      </w:r>
      <w:r>
        <w:t xml:space="preserve"> (42 U.S.C.290bb-2)</w:t>
      </w:r>
      <w:r w:rsidRPr="00C141E2">
        <w:t xml:space="preserve">, as </w:t>
      </w:r>
      <w:r w:rsidRPr="009015DA">
        <w:t>amended</w:t>
      </w:r>
      <w:r>
        <w:t xml:space="preserve">.  </w:t>
      </w:r>
      <w:r w:rsidRPr="007B54DD">
        <w:t xml:space="preserve">The program also addresses </w:t>
      </w:r>
      <w:r>
        <w:t>Healthy People 202</w:t>
      </w:r>
      <w:r w:rsidRPr="007B54DD">
        <w:t>0 Focus A</w:t>
      </w:r>
      <w:r>
        <w:t>rea 2020-</w:t>
      </w:r>
      <w:r w:rsidRPr="007B54DD">
        <w:t>6 (Substance Abuse)</w:t>
      </w:r>
      <w:r>
        <w:t xml:space="preserve"> (</w:t>
      </w:r>
      <w:r w:rsidRPr="00BA4B25">
        <w:t>U.S.</w:t>
      </w:r>
      <w:r w:rsidRPr="00D12FE6">
        <w:t xml:space="preserve"> </w:t>
      </w:r>
      <w:r w:rsidRPr="00D638FD">
        <w:t>Department</w:t>
      </w:r>
      <w:r w:rsidRPr="00D12FE6">
        <w:t xml:space="preserve"> of Health and Human Services</w:t>
      </w:r>
      <w:r>
        <w:t>)</w:t>
      </w:r>
      <w:r w:rsidRPr="007B54DD">
        <w:t xml:space="preserve">. </w:t>
      </w:r>
    </w:p>
    <w:p w:rsidR="00782A43" w:rsidRPr="00C141E2" w:rsidRDefault="00782A43" w:rsidP="000444AB">
      <w:pPr>
        <w:rPr>
          <w:b/>
          <w:bCs/>
        </w:rPr>
      </w:pPr>
    </w:p>
    <w:p w:rsidR="00782A43" w:rsidRDefault="00782A43">
      <w:pPr>
        <w:ind w:left="720"/>
      </w:pPr>
      <w:bookmarkStart w:id="6" w:name="OLE_LINK1"/>
      <w:bookmarkStart w:id="7" w:name="OLE_LINK2"/>
      <w:r w:rsidRPr="00337AA4">
        <w:t>SAMHSA/CSAT</w:t>
      </w:r>
      <w:r w:rsidRPr="004D6522">
        <w:t xml:space="preserve"> recognize</w:t>
      </w:r>
      <w:r>
        <w:t>d</w:t>
      </w:r>
      <w:r w:rsidRPr="004D6522">
        <w:t xml:space="preserve"> the association between substance abuse and HIV risk and developed the TCE-HIV </w:t>
      </w:r>
      <w:r>
        <w:t>services g</w:t>
      </w:r>
      <w:r w:rsidRPr="004D6522">
        <w:t xml:space="preserve">rant program to improve the delivery of services to racial and ethnic minority </w:t>
      </w:r>
      <w:r>
        <w:t>communities</w:t>
      </w:r>
      <w:r w:rsidRPr="004D6522">
        <w:t xml:space="preserve"> disproportionately impacted by substance </w:t>
      </w:r>
      <w:r>
        <w:t>ab</w:t>
      </w:r>
      <w:r w:rsidRPr="004D6522">
        <w:t>use and HIV across the United States (</w:t>
      </w:r>
      <w:r w:rsidRPr="00D638FD">
        <w:t>Centers</w:t>
      </w:r>
      <w:r w:rsidRPr="00BA4B25">
        <w:t xml:space="preserve"> for Disease Control and Prevention</w:t>
      </w:r>
      <w:r w:rsidRPr="004D6522">
        <w:t>, 200</w:t>
      </w:r>
      <w:r>
        <w:t>6)</w:t>
      </w:r>
      <w:r w:rsidRPr="004D6522">
        <w:t xml:space="preserve">. </w:t>
      </w:r>
      <w:bookmarkEnd w:id="6"/>
      <w:bookmarkEnd w:id="7"/>
      <w:r w:rsidRPr="004D6522">
        <w:t>The TCE-HIV Grantees are tasked with enhancing and expanding substance abuse treatment and/or outreach and pretreatment services in conjunction with HIV/AIDS services in high</w:t>
      </w:r>
      <w:r>
        <w:t>-</w:t>
      </w:r>
      <w:r w:rsidRPr="004D6522">
        <w:t xml:space="preserve">risk, underserved communities highly affected by both substance abuse and HIV/AIDS. </w:t>
      </w:r>
      <w:r w:rsidRPr="00337AA4">
        <w:t>SAMHSA/CSAT’s</w:t>
      </w:r>
      <w:r w:rsidRPr="004D6522">
        <w:t xml:space="preserve"> TCE-HIV program is funded by Minority AIDS Initiative (</w:t>
      </w:r>
      <w:r w:rsidRPr="00D638FD">
        <w:t>MAI</w:t>
      </w:r>
      <w:r>
        <w:t>, 1998)</w:t>
      </w:r>
      <w:r w:rsidRPr="004D6522">
        <w:t xml:space="preserve"> appropriated dollars. The MAI was established in October 1998 in </w:t>
      </w:r>
      <w:proofErr w:type="gramStart"/>
      <w:r w:rsidRPr="004D6522">
        <w:lastRenderedPageBreak/>
        <w:t>response</w:t>
      </w:r>
      <w:proofErr w:type="gramEnd"/>
      <w:r w:rsidRPr="004D6522">
        <w:t xml:space="preserve"> to the growing concern </w:t>
      </w:r>
      <w:r>
        <w:t>about</w:t>
      </w:r>
      <w:r w:rsidRPr="004D6522">
        <w:t xml:space="preserve"> the impact of </w:t>
      </w:r>
      <w:r w:rsidRPr="00E14DC5">
        <w:t>HIV/AIDS on racial and ethnic minorities in the United States. The goals of the MAI are to improve HIV-related health outcomes for racial and ethnic minorities in communities disproportionately affected by HIV/AIDS, and to reduce HIV/AIDS related health disparities.</w:t>
      </w:r>
    </w:p>
    <w:p w:rsidR="00782A43" w:rsidRPr="004D6522" w:rsidRDefault="00782A43" w:rsidP="004773B8"/>
    <w:p w:rsidR="00782A43" w:rsidRDefault="00782A43">
      <w:pPr>
        <w:ind w:left="720"/>
      </w:pPr>
      <w:r w:rsidRPr="00337AA4">
        <w:t>SAMHSA/CSAT</w:t>
      </w:r>
      <w:r w:rsidRPr="004D6522">
        <w:t xml:space="preserve"> provides the MAI funds for grants to </w:t>
      </w:r>
      <w:r>
        <w:t xml:space="preserve">expand treatment through increasing access and availability of services to a larger number of clients and/or to enhance services by improving the quality and/or the intensity of services </w:t>
      </w:r>
      <w:r w:rsidRPr="004D6522">
        <w:t>in conjunction with HIV/AIDS services in African-American, Hispanic, and/or other racial and ethnic communities affected by the twin epidemics of substance abuse and HIV/AIDS. Enhanced and expanded services will, in turn, improve outcomes related to substance use</w:t>
      </w:r>
      <w:r>
        <w:t xml:space="preserve"> and</w:t>
      </w:r>
      <w:r w:rsidRPr="004D6522">
        <w:t xml:space="preserve"> substance abuse prevention, HIV/AIDS </w:t>
      </w:r>
      <w:r w:rsidRPr="00E14DC5">
        <w:t>prevention, criminal activities and criminal justice involvement, and risk behaviors for HIV infection. The primary goal of SAMHSA/CSAT’s TCE-HIV program is to improve access to substance abuse treatment services through increasing capacity and outreach to racial and ethnic minority populations. The current cohort includes 48 Grantees, which are located in 19 states. As part of their SAMHSA/CSAT TCE-HIV initiative grant requirements, Grantees have agreed to provide data for outreach/pretreatment and clinical</w:t>
      </w:r>
      <w:r>
        <w:t xml:space="preserve"> treatment as part of their </w:t>
      </w:r>
      <w:r w:rsidRPr="004D6522">
        <w:t>participat</w:t>
      </w:r>
      <w:r>
        <w:t>ion</w:t>
      </w:r>
      <w:r w:rsidRPr="004D6522">
        <w:t xml:space="preserve"> in an ongoing </w:t>
      </w:r>
      <w:r>
        <w:t>M</w:t>
      </w:r>
      <w:r w:rsidRPr="004D6522">
        <w:t>ulti-</w:t>
      </w:r>
      <w:r>
        <w:t>S</w:t>
      </w:r>
      <w:r w:rsidRPr="004D6522">
        <w:t xml:space="preserve">ite </w:t>
      </w:r>
      <w:r>
        <w:t>E</w:t>
      </w:r>
      <w:r w:rsidRPr="004D6522">
        <w:t xml:space="preserve">valuation. It is </w:t>
      </w:r>
      <w:r w:rsidRPr="00337AA4">
        <w:t>SAMHSA/CSAT’s</w:t>
      </w:r>
      <w:r w:rsidRPr="004D6522">
        <w:t xml:space="preserve"> intention</w:t>
      </w:r>
      <w:r w:rsidRPr="0086465A">
        <w:t xml:space="preserve"> </w:t>
      </w:r>
      <w:r>
        <w:t>to use</w:t>
      </w:r>
      <w:r w:rsidRPr="004D6522">
        <w:t xml:space="preserve"> the successful conceptualization, planning</w:t>
      </w:r>
      <w:r>
        <w:t>,</w:t>
      </w:r>
      <w:r w:rsidRPr="004D6522">
        <w:t xml:space="preserve"> and implementation of a </w:t>
      </w:r>
      <w:r>
        <w:t>m</w:t>
      </w:r>
      <w:r w:rsidRPr="004D6522">
        <w:t>ulti-</w:t>
      </w:r>
      <w:r>
        <w:t>s</w:t>
      </w:r>
      <w:r w:rsidRPr="004D6522">
        <w:t xml:space="preserve">ite </w:t>
      </w:r>
      <w:r>
        <w:t>e</w:t>
      </w:r>
      <w:r w:rsidRPr="004D6522">
        <w:t xml:space="preserve">valuation </w:t>
      </w:r>
      <w:r w:rsidRPr="00BB66D5">
        <w:t xml:space="preserve">to independently evaluate </w:t>
      </w:r>
      <w:r>
        <w:t>the TCE-HIV program</w:t>
      </w:r>
      <w:r w:rsidRPr="00BB66D5">
        <w:t xml:space="preserve"> in a manner that is comprehensive (i.e., process, outcome), will establish baseline and long-term performance goals, and will describe the </w:t>
      </w:r>
      <w:r>
        <w:t>effects</w:t>
      </w:r>
      <w:r w:rsidRPr="00BB66D5">
        <w:t xml:space="preserve"> of </w:t>
      </w:r>
      <w:r>
        <w:t>the TCE-HIV program</w:t>
      </w:r>
      <w:r w:rsidRPr="00BB66D5">
        <w:t>.</w:t>
      </w:r>
      <w:r>
        <w:t xml:space="preserve"> </w:t>
      </w:r>
      <w:r w:rsidRPr="0086465A">
        <w:t xml:space="preserve">Further, this first-of-a-kind </w:t>
      </w:r>
      <w:r>
        <w:t>multi-site evaluation</w:t>
      </w:r>
      <w:r w:rsidRPr="0086465A">
        <w:t xml:space="preserve"> will allow </w:t>
      </w:r>
      <w:r w:rsidRPr="00337AA4">
        <w:t>SAMHSA/CSAT</w:t>
      </w:r>
      <w:r w:rsidRPr="0086465A">
        <w:t xml:space="preserve"> to investigate the influence of the </w:t>
      </w:r>
      <w:r>
        <w:t xml:space="preserve">grant </w:t>
      </w:r>
      <w:r w:rsidRPr="0086465A">
        <w:t>awards on the providers, the clients they serve, and the community, as well as the efficacy of differing treatment modalities (e.g., outpatient treatment, residential treatment) on changes in substance abuse</w:t>
      </w:r>
      <w:r>
        <w:t>,</w:t>
      </w:r>
      <w:r w:rsidRPr="0086465A">
        <w:t xml:space="preserve"> HIV risk behaviors</w:t>
      </w:r>
      <w:r>
        <w:t>,</w:t>
      </w:r>
      <w:r w:rsidRPr="0086465A">
        <w:t xml:space="preserve"> and health-related outcomes.</w:t>
      </w:r>
      <w:r>
        <w:t xml:space="preserve"> </w:t>
      </w:r>
    </w:p>
    <w:p w:rsidR="00782A43" w:rsidRDefault="00782A43" w:rsidP="000444AB"/>
    <w:p w:rsidR="00782A43" w:rsidRDefault="00782A43">
      <w:pPr>
        <w:ind w:left="720"/>
      </w:pPr>
      <w:r w:rsidRPr="00D31116">
        <w:t>Studies demonstrate the effectiveness of substance abuse treatment in reducing drug use and HIV risk behavior</w:t>
      </w:r>
      <w:r>
        <w:t>s</w:t>
      </w:r>
      <w:r w:rsidRPr="00D31116">
        <w:t xml:space="preserve"> (</w:t>
      </w:r>
      <w:r w:rsidRPr="00D638FD">
        <w:rPr>
          <w:rStyle w:val="bb-header1"/>
          <w:rFonts w:eastAsia="MS Mincho"/>
          <w:color w:val="auto"/>
        </w:rPr>
        <w:t>General</w:t>
      </w:r>
      <w:r w:rsidRPr="00140174">
        <w:rPr>
          <w:rStyle w:val="bb-header1"/>
          <w:rFonts w:eastAsia="MS Mincho"/>
          <w:color w:val="auto"/>
        </w:rPr>
        <w:t xml:space="preserve"> Accounting Office</w:t>
      </w:r>
      <w:r w:rsidRPr="00D31116">
        <w:t>, 1998). Treatment of drug dependence has been associated with decreases in HIV risk behavior and transmission (</w:t>
      </w:r>
      <w:r w:rsidRPr="00D638FD">
        <w:t>Metzger</w:t>
      </w:r>
      <w:r>
        <w:t xml:space="preserve"> et al., 1993; </w:t>
      </w:r>
      <w:r w:rsidRPr="00D638FD">
        <w:t>Booth</w:t>
      </w:r>
      <w:r>
        <w:t>, Crowley,</w:t>
      </w:r>
      <w:r w:rsidRPr="00D31116">
        <w:t xml:space="preserve"> &amp; Zhang, 1996</w:t>
      </w:r>
      <w:r>
        <w:t xml:space="preserve">; </w:t>
      </w:r>
      <w:r w:rsidRPr="00D638FD">
        <w:t>Prendergast</w:t>
      </w:r>
      <w:r>
        <w:t xml:space="preserve">, </w:t>
      </w:r>
      <w:proofErr w:type="spellStart"/>
      <w:r>
        <w:t>Urada</w:t>
      </w:r>
      <w:proofErr w:type="spellEnd"/>
      <w:r>
        <w:t xml:space="preserve">, &amp; </w:t>
      </w:r>
      <w:proofErr w:type="spellStart"/>
      <w:r>
        <w:t>Podus</w:t>
      </w:r>
      <w:proofErr w:type="spellEnd"/>
      <w:r>
        <w:t>, 2001</w:t>
      </w:r>
      <w:r w:rsidRPr="00D31116">
        <w:t>). Consistently, studies demonstrate that substance abuse treatment decreases sexual behaviors associated with increased risk of HIV infection (</w:t>
      </w:r>
      <w:r w:rsidRPr="00BA4B25">
        <w:t>Broome</w:t>
      </w:r>
      <w:r w:rsidRPr="00D31116">
        <w:t xml:space="preserve">, Joe, &amp; Simpson, 1999; </w:t>
      </w:r>
      <w:proofErr w:type="spellStart"/>
      <w:r w:rsidRPr="00D638FD">
        <w:t>Magura</w:t>
      </w:r>
      <w:proofErr w:type="spellEnd"/>
      <w:r w:rsidRPr="00D31116">
        <w:t xml:space="preserve">, </w:t>
      </w:r>
      <w:proofErr w:type="spellStart"/>
      <w:r w:rsidRPr="00D31116">
        <w:t>Rosenblum</w:t>
      </w:r>
      <w:proofErr w:type="spellEnd"/>
      <w:r w:rsidRPr="00D31116">
        <w:t xml:space="preserve">, &amp; Rodriguez, 1998; </w:t>
      </w:r>
      <w:r w:rsidRPr="00D638FD">
        <w:t>Camacho</w:t>
      </w:r>
      <w:r w:rsidRPr="00D31116">
        <w:t>, Bartholomew, Joe, Cloud</w:t>
      </w:r>
      <w:r>
        <w:t xml:space="preserve">, &amp; Simpson, 1996; </w:t>
      </w:r>
      <w:r w:rsidRPr="00D638FD">
        <w:t>Banks</w:t>
      </w:r>
      <w:r>
        <w:t>, Brown,</w:t>
      </w:r>
      <w:r w:rsidRPr="00D31116">
        <w:t xml:space="preserve"> &amp; </w:t>
      </w:r>
      <w:proofErr w:type="spellStart"/>
      <w:r w:rsidRPr="00D31116">
        <w:t>Ajuluchukwu</w:t>
      </w:r>
      <w:proofErr w:type="spellEnd"/>
      <w:r w:rsidRPr="00D31116">
        <w:t xml:space="preserve">, 1991; </w:t>
      </w:r>
      <w:proofErr w:type="spellStart"/>
      <w:r w:rsidRPr="00D638FD">
        <w:t>Bastos</w:t>
      </w:r>
      <w:proofErr w:type="spellEnd"/>
      <w:r w:rsidRPr="00D31116">
        <w:t>,</w:t>
      </w:r>
      <w:r>
        <w:t xml:space="preserve"> et al.,</w:t>
      </w:r>
      <w:r w:rsidRPr="00D31116">
        <w:t xml:space="preserve"> 2000; </w:t>
      </w:r>
      <w:proofErr w:type="spellStart"/>
      <w:r w:rsidRPr="00D638FD">
        <w:t>Somlai</w:t>
      </w:r>
      <w:proofErr w:type="spellEnd"/>
      <w:r>
        <w:t xml:space="preserve">, Kelly, McAuliffe, </w:t>
      </w:r>
      <w:proofErr w:type="spellStart"/>
      <w:r>
        <w:t>Ksobiech</w:t>
      </w:r>
      <w:proofErr w:type="spellEnd"/>
      <w:r>
        <w:t>,</w:t>
      </w:r>
      <w:r w:rsidRPr="00D31116">
        <w:t xml:space="preserve"> &amp; </w:t>
      </w:r>
      <w:proofErr w:type="spellStart"/>
      <w:r w:rsidRPr="00D31116">
        <w:t>Hackel</w:t>
      </w:r>
      <w:proofErr w:type="spellEnd"/>
      <w:r w:rsidRPr="00D31116">
        <w:t>,</w:t>
      </w:r>
      <w:r w:rsidRPr="00D31116">
        <w:rPr>
          <w:color w:val="333399"/>
        </w:rPr>
        <w:t xml:space="preserve"> </w:t>
      </w:r>
      <w:r w:rsidRPr="00D31116">
        <w:t xml:space="preserve">2003; </w:t>
      </w:r>
      <w:proofErr w:type="spellStart"/>
      <w:r w:rsidRPr="00D638FD">
        <w:t>Hartel</w:t>
      </w:r>
      <w:proofErr w:type="spellEnd"/>
      <w:r w:rsidRPr="00D31116">
        <w:t xml:space="preserve"> &amp; </w:t>
      </w:r>
      <w:proofErr w:type="spellStart"/>
      <w:r w:rsidRPr="00D31116">
        <w:t>Schoenbaum</w:t>
      </w:r>
      <w:proofErr w:type="spellEnd"/>
      <w:r w:rsidRPr="00D31116">
        <w:t xml:space="preserve">, </w:t>
      </w:r>
      <w:r>
        <w:t xml:space="preserve">1998; </w:t>
      </w:r>
      <w:r w:rsidRPr="00D638FD">
        <w:t>Sullivan</w:t>
      </w:r>
      <w:r>
        <w:t xml:space="preserve">, Metzger, </w:t>
      </w:r>
      <w:proofErr w:type="spellStart"/>
      <w:r>
        <w:t>Fudala</w:t>
      </w:r>
      <w:proofErr w:type="spellEnd"/>
      <w:r>
        <w:t>,</w:t>
      </w:r>
      <w:r w:rsidRPr="00D31116">
        <w:t xml:space="preserve"> &amp; </w:t>
      </w:r>
      <w:proofErr w:type="spellStart"/>
      <w:r w:rsidRPr="00D31116">
        <w:t>Fielli</w:t>
      </w:r>
      <w:r>
        <w:t>n</w:t>
      </w:r>
      <w:proofErr w:type="spellEnd"/>
      <w:r w:rsidRPr="00D31116">
        <w:t>,</w:t>
      </w:r>
      <w:r w:rsidRPr="00D31116">
        <w:rPr>
          <w:color w:val="333399"/>
        </w:rPr>
        <w:t xml:space="preserve"> </w:t>
      </w:r>
      <w:r w:rsidRPr="00D31116">
        <w:t>2005</w:t>
      </w:r>
      <w:r>
        <w:t xml:space="preserve">; </w:t>
      </w:r>
      <w:r w:rsidRPr="00D638FD">
        <w:t>Murphy</w:t>
      </w:r>
      <w:r>
        <w:t>, et al., 2008</w:t>
      </w:r>
      <w:r w:rsidRPr="00D31116">
        <w:t>). These and other studies led the Institute of Medicine</w:t>
      </w:r>
      <w:r>
        <w:t xml:space="preserve"> (IOM)</w:t>
      </w:r>
      <w:r w:rsidRPr="00D31116">
        <w:t xml:space="preserve"> to identify substance abuse treatment as a critical component in preventing the spread of HIV infection (</w:t>
      </w:r>
      <w:r w:rsidRPr="00D638FD">
        <w:t>IOM</w:t>
      </w:r>
      <w:r w:rsidRPr="00D31116">
        <w:t>, 2001). In addition to research findings of the effectiveness of substance abuse treatment in reducing drug use and HIV risky behavior, research also demonstrates that substance abuse treatment for persons who are HIV infected is associated with positive behaviors (e.g., increased antiretroviral adherence, decrease</w:t>
      </w:r>
      <w:r>
        <w:t>d</w:t>
      </w:r>
      <w:r w:rsidRPr="00D31116">
        <w:t xml:space="preserve"> repeated emergency department visits, decrease</w:t>
      </w:r>
      <w:r>
        <w:t>d</w:t>
      </w:r>
      <w:r w:rsidRPr="00D31116">
        <w:t xml:space="preserve"> hospitalizations, </w:t>
      </w:r>
      <w:r w:rsidRPr="00D31116">
        <w:lastRenderedPageBreak/>
        <w:t>and increased denta</w:t>
      </w:r>
      <w:r>
        <w:t>l care) (</w:t>
      </w:r>
      <w:r w:rsidRPr="00D638FD">
        <w:t>Turner</w:t>
      </w:r>
      <w:r>
        <w:t xml:space="preserve">, </w:t>
      </w:r>
      <w:proofErr w:type="spellStart"/>
      <w:r>
        <w:t>Laine</w:t>
      </w:r>
      <w:proofErr w:type="spellEnd"/>
      <w:r>
        <w:t xml:space="preserve">, </w:t>
      </w:r>
      <w:proofErr w:type="spellStart"/>
      <w:r>
        <w:t>Cosler</w:t>
      </w:r>
      <w:proofErr w:type="spellEnd"/>
      <w:r>
        <w:t xml:space="preserve">, &amp; Hauck, 2003; </w:t>
      </w:r>
      <w:r w:rsidRPr="00D638FD">
        <w:t>Turner</w:t>
      </w:r>
      <w:r w:rsidRPr="00BA4B25">
        <w:t>,</w:t>
      </w:r>
      <w:r>
        <w:t xml:space="preserve"> </w:t>
      </w:r>
      <w:proofErr w:type="spellStart"/>
      <w:r>
        <w:t>Laine</w:t>
      </w:r>
      <w:proofErr w:type="spellEnd"/>
      <w:r>
        <w:t xml:space="preserve">, Yang, &amp; </w:t>
      </w:r>
      <w:r w:rsidRPr="00140174">
        <w:t>Hauck,</w:t>
      </w:r>
      <w:r w:rsidRPr="00D31116">
        <w:t xml:space="preserve"> 2003; </w:t>
      </w:r>
      <w:proofErr w:type="spellStart"/>
      <w:r w:rsidRPr="00476C6E">
        <w:t>Palepu</w:t>
      </w:r>
      <w:proofErr w:type="spellEnd"/>
      <w:r>
        <w:t xml:space="preserve"> et al.</w:t>
      </w:r>
      <w:r w:rsidRPr="00D31116">
        <w:t>, 2001).</w:t>
      </w:r>
    </w:p>
    <w:p w:rsidR="00782A43" w:rsidRPr="004D6522" w:rsidRDefault="00782A43" w:rsidP="00AE015D"/>
    <w:p w:rsidR="00782A43" w:rsidRDefault="00782A43">
      <w:pPr>
        <w:ind w:left="720"/>
      </w:pPr>
      <w:r w:rsidRPr="00C141E2">
        <w:t xml:space="preserve">The existing literature on substance </w:t>
      </w:r>
      <w:r>
        <w:t>ab</w:t>
      </w:r>
      <w:r w:rsidRPr="00C141E2">
        <w:t>use and HIV risk provides a baseline of research evidence, upon which the Multi-Site Evaluation is built. The impact and success of pretreatment/outreach</w:t>
      </w:r>
      <w:r>
        <w:t xml:space="preserve"> and </w:t>
      </w:r>
      <w:r w:rsidRPr="00C141E2">
        <w:t>substance abuse treatment approach</w:t>
      </w:r>
      <w:r>
        <w:t>es</w:t>
      </w:r>
      <w:r w:rsidRPr="00C141E2">
        <w:t xml:space="preserve"> can be greatly affected by community, program, and client variables</w:t>
      </w:r>
      <w:r>
        <w:t>,</w:t>
      </w:r>
      <w:r w:rsidRPr="00C141E2">
        <w:t xml:space="preserve"> such as community involvement/support, implementation of evidence</w:t>
      </w:r>
      <w:r>
        <w:t>-</w:t>
      </w:r>
      <w:r w:rsidRPr="00C141E2">
        <w:t>based practices (EBPs), and staff experience and training</w:t>
      </w:r>
      <w:r>
        <w:t>, which</w:t>
      </w:r>
      <w:r w:rsidRPr="00C141E2">
        <w:t xml:space="preserve"> can serve to support a program’s success or impede it.</w:t>
      </w:r>
      <w:r w:rsidRPr="00C141E2">
        <w:rPr>
          <w:rFonts w:ascii="Arial" w:hAnsi="Arial" w:cs="Arial"/>
        </w:rPr>
        <w:t xml:space="preserve"> </w:t>
      </w:r>
      <w:r w:rsidRPr="00C141E2">
        <w:t xml:space="preserve">The Multi-Site Evaluation provides an opportunity to address and more thoroughly examine a number of areas </w:t>
      </w:r>
      <w:r>
        <w:t>about</w:t>
      </w:r>
      <w:r w:rsidRPr="00C141E2">
        <w:t xml:space="preserve"> which there is comparatively little research (e.g., interaction of treatment modality, dosage, and length of stay at substance abuse </w:t>
      </w:r>
      <w:r>
        <w:t>organizations</w:t>
      </w:r>
      <w:r w:rsidRPr="00C141E2">
        <w:t>), and will thereby improve understanding of the mechanisms underlying effective substance abuse treatment</w:t>
      </w:r>
      <w:r w:rsidRPr="00550758">
        <w:t xml:space="preserve"> </w:t>
      </w:r>
      <w:r w:rsidRPr="00C141E2">
        <w:t xml:space="preserve">and </w:t>
      </w:r>
      <w:r>
        <w:t xml:space="preserve">reduced </w:t>
      </w:r>
      <w:r w:rsidRPr="00C141E2">
        <w:t>HIV</w:t>
      </w:r>
      <w:r>
        <w:t xml:space="preserve"> risk behaviors</w:t>
      </w:r>
      <w:r w:rsidRPr="00C141E2">
        <w:t xml:space="preserve">. </w:t>
      </w:r>
    </w:p>
    <w:p w:rsidR="00782A43" w:rsidRDefault="00782A43" w:rsidP="006C7FE5"/>
    <w:p w:rsidR="00782A43" w:rsidRDefault="00782A43">
      <w:pPr>
        <w:ind w:left="720"/>
      </w:pPr>
      <w:r w:rsidRPr="008A1813">
        <w:t xml:space="preserve">The Multi-Site Evaluation is </w:t>
      </w:r>
      <w:r>
        <w:t>grounded</w:t>
      </w:r>
      <w:r w:rsidRPr="008A1813">
        <w:t xml:space="preserve"> theoretically in an ecological systems approach, based on the presumption that positive treatment outcomes are determined by multiple tiers within a hierarchy of influence, and that a given client’s treatment success will be a function of treatment program operations, individual characteristics, and broader community contextual and socio-cultural environmental influences. Our approach combines an ecological theory with a risk and resiliency framework. The ecological model highlights the interaction between the clients served and their environments such as peers, community, and culture. The resiliency framework focuses on risk and protective processes for each ecological system. </w:t>
      </w:r>
    </w:p>
    <w:p w:rsidR="00782A43" w:rsidRPr="008A1813" w:rsidRDefault="00782A43" w:rsidP="008A1813"/>
    <w:p w:rsidR="00782A43" w:rsidRDefault="00782A43">
      <w:pPr>
        <w:ind w:left="720"/>
      </w:pPr>
      <w:r w:rsidRPr="008A1813">
        <w:t>According to the ecological model (</w:t>
      </w:r>
      <w:proofErr w:type="spellStart"/>
      <w:r w:rsidRPr="00476C6E">
        <w:t>Bronfenbrenner</w:t>
      </w:r>
      <w:proofErr w:type="spellEnd"/>
      <w:r w:rsidRPr="008A1813">
        <w:t>, 1979)</w:t>
      </w:r>
      <w:proofErr w:type="gramStart"/>
      <w:r>
        <w:t>,</w:t>
      </w:r>
      <w:proofErr w:type="gramEnd"/>
      <w:r w:rsidRPr="008A1813">
        <w:t xml:space="preserve"> four primary subsystems influence client behavior and behavioral change:</w:t>
      </w:r>
    </w:p>
    <w:p w:rsidR="00782A43" w:rsidRDefault="00782A43">
      <w:pPr>
        <w:ind w:left="720"/>
      </w:pPr>
    </w:p>
    <w:p w:rsidR="00782A43" w:rsidRPr="008A1813" w:rsidRDefault="00782A43" w:rsidP="008A1813">
      <w:pPr>
        <w:pStyle w:val="ListParagraph"/>
        <w:numPr>
          <w:ilvl w:val="0"/>
          <w:numId w:val="13"/>
        </w:numPr>
      </w:pPr>
      <w:proofErr w:type="spellStart"/>
      <w:r w:rsidRPr="008A1813">
        <w:t>Macrosystem</w:t>
      </w:r>
      <w:proofErr w:type="spellEnd"/>
      <w:r w:rsidRPr="008A1813">
        <w:t>: Larger societal factors affecting client</w:t>
      </w:r>
      <w:r>
        <w:t>s</w:t>
      </w:r>
      <w:r w:rsidRPr="008A1813">
        <w:t>, such as culture and local policies</w:t>
      </w:r>
    </w:p>
    <w:p w:rsidR="00782A43" w:rsidRPr="008A1813" w:rsidRDefault="00782A43" w:rsidP="008A1813">
      <w:pPr>
        <w:pStyle w:val="ListParagraph"/>
        <w:numPr>
          <w:ilvl w:val="0"/>
          <w:numId w:val="13"/>
        </w:numPr>
      </w:pPr>
      <w:proofErr w:type="spellStart"/>
      <w:r w:rsidRPr="008A1813">
        <w:t>Exosystem</w:t>
      </w:r>
      <w:proofErr w:type="spellEnd"/>
      <w:r w:rsidRPr="008A1813">
        <w:t>: Community and the TCE-HIV funded programs located within the community context</w:t>
      </w:r>
    </w:p>
    <w:p w:rsidR="00782A43" w:rsidRPr="008A1813" w:rsidRDefault="00782A43" w:rsidP="008A1813">
      <w:pPr>
        <w:pStyle w:val="ListParagraph"/>
        <w:numPr>
          <w:ilvl w:val="0"/>
          <w:numId w:val="13"/>
        </w:numPr>
      </w:pPr>
      <w:proofErr w:type="spellStart"/>
      <w:r w:rsidRPr="008A1813">
        <w:t>Mesosystem</w:t>
      </w:r>
      <w:proofErr w:type="spellEnd"/>
      <w:r w:rsidRPr="008A1813">
        <w:t>: Families, peers, and other relational contexts</w:t>
      </w:r>
    </w:p>
    <w:p w:rsidR="00782A43" w:rsidRPr="008A1813" w:rsidRDefault="00782A43" w:rsidP="008A1813">
      <w:pPr>
        <w:pStyle w:val="ListParagraph"/>
        <w:numPr>
          <w:ilvl w:val="0"/>
          <w:numId w:val="13"/>
        </w:numPr>
      </w:pPr>
      <w:proofErr w:type="spellStart"/>
      <w:r w:rsidRPr="008A1813">
        <w:t>Microsystem</w:t>
      </w:r>
      <w:proofErr w:type="spellEnd"/>
      <w:r w:rsidRPr="008A1813">
        <w:t>: Individuals/clients</w:t>
      </w:r>
    </w:p>
    <w:p w:rsidR="00782A43" w:rsidRPr="008A1813" w:rsidRDefault="00782A43" w:rsidP="008A1813"/>
    <w:p w:rsidR="00782A43" w:rsidRDefault="00782A43">
      <w:pPr>
        <w:ind w:left="720"/>
      </w:pPr>
      <w:proofErr w:type="spellStart"/>
      <w:r w:rsidRPr="00476C6E">
        <w:t>Bronfenbrenner’s</w:t>
      </w:r>
      <w:proofErr w:type="spellEnd"/>
      <w:r w:rsidRPr="00BA4B25">
        <w:t xml:space="preserve"> (1979, 1986) ecological model integrated with a risk and resiliency framework (</w:t>
      </w:r>
      <w:proofErr w:type="spellStart"/>
      <w:r w:rsidRPr="00476C6E">
        <w:t>Dekovic</w:t>
      </w:r>
      <w:proofErr w:type="spellEnd"/>
      <w:r w:rsidRPr="00BA4B25">
        <w:t xml:space="preserve">, 1999; </w:t>
      </w:r>
      <w:proofErr w:type="spellStart"/>
      <w:r w:rsidRPr="00476C6E">
        <w:t>Rutter</w:t>
      </w:r>
      <w:proofErr w:type="spellEnd"/>
      <w:r w:rsidRPr="008A1813">
        <w:t>, 1987) is appropriate for examining the influence of community-, Grantee-, and client-level factors on clients’ behavior.</w:t>
      </w:r>
      <w:r>
        <w:t xml:space="preserve"> </w:t>
      </w:r>
    </w:p>
    <w:p w:rsidR="00782A43" w:rsidRDefault="00782A43" w:rsidP="003D66D7"/>
    <w:p w:rsidR="00782A43" w:rsidRDefault="00782A43">
      <w:pPr>
        <w:ind w:left="720"/>
      </w:pPr>
      <w:r w:rsidRPr="00DA1351">
        <w:t xml:space="preserve">Within the ecological subsystems exists constructs that help define and </w:t>
      </w:r>
      <w:proofErr w:type="spellStart"/>
      <w:r w:rsidRPr="00DA1351">
        <w:t>operationalize</w:t>
      </w:r>
      <w:proofErr w:type="spellEnd"/>
      <w:r w:rsidRPr="00DA1351">
        <w:t xml:space="preserve"> the Multi-Site Evaluation. Based on the results of our comprehensive literat</w:t>
      </w:r>
      <w:r>
        <w:t>ure review and the previous studies summarized above,</w:t>
      </w:r>
      <w:r w:rsidRPr="00DA1351">
        <w:t xml:space="preserve"> nine constructs have been identified within the ecological framework as critical </w:t>
      </w:r>
      <w:r>
        <w:t>influences on</w:t>
      </w:r>
      <w:r w:rsidRPr="00DA1351">
        <w:t xml:space="preserve"> TCE-HIV program services and client behavior.</w:t>
      </w:r>
      <w:r>
        <w:t xml:space="preserve"> These constructs are presented in Exhibit 1.</w:t>
      </w:r>
    </w:p>
    <w:p w:rsidR="00782A43" w:rsidRDefault="00782A43">
      <w:r>
        <w:br w:type="page"/>
      </w:r>
    </w:p>
    <w:p w:rsidR="00782A43" w:rsidRDefault="00782A43" w:rsidP="00DA1351">
      <w:pPr>
        <w:rPr>
          <w:b/>
          <w:bCs/>
        </w:rPr>
      </w:pPr>
      <w:r>
        <w:tab/>
      </w:r>
      <w:r w:rsidRPr="00885334">
        <w:rPr>
          <w:b/>
          <w:bCs/>
        </w:rPr>
        <w:t>Exhibit 1: Ecological Model and Multi-Site Evaluation Constructs</w:t>
      </w:r>
      <w:r>
        <w:rPr>
          <w:b/>
          <w:bCs/>
        </w:rPr>
        <w:t xml:space="preserve">    </w:t>
      </w:r>
    </w:p>
    <w:tbl>
      <w:tblPr>
        <w:tblW w:w="9240" w:type="dxa"/>
        <w:tblInd w:w="-106" w:type="dxa"/>
        <w:tblLayout w:type="fixed"/>
        <w:tblLook w:val="0000"/>
      </w:tblPr>
      <w:tblGrid>
        <w:gridCol w:w="4440"/>
        <w:gridCol w:w="4800"/>
      </w:tblGrid>
      <w:tr w:rsidR="00782A43" w:rsidRPr="00C141E2">
        <w:tc>
          <w:tcPr>
            <w:tcW w:w="4440" w:type="dxa"/>
          </w:tcPr>
          <w:p w:rsidR="00782A43" w:rsidRDefault="00782A43">
            <w:pPr>
              <w:ind w:left="634" w:hanging="634"/>
              <w:jc w:val="center"/>
              <w:rPr>
                <w:b/>
                <w:bCs/>
              </w:rPr>
            </w:pPr>
          </w:p>
          <w:p w:rsidR="00782A43" w:rsidRDefault="00782A43">
            <w:pPr>
              <w:ind w:left="634" w:hanging="634"/>
              <w:jc w:val="center"/>
              <w:rPr>
                <w:b/>
                <w:bCs/>
              </w:rPr>
            </w:pPr>
            <w:r w:rsidRPr="00250173">
              <w:rPr>
                <w:b/>
                <w:bCs/>
              </w:rPr>
              <w:t>Ecological Subsystem</w:t>
            </w:r>
            <w:r w:rsidRPr="00C53ACD">
              <w:rPr>
                <w:b/>
                <w:bCs/>
              </w:rPr>
              <w:t xml:space="preserve"> </w:t>
            </w:r>
          </w:p>
        </w:tc>
        <w:tc>
          <w:tcPr>
            <w:tcW w:w="4800" w:type="dxa"/>
          </w:tcPr>
          <w:p w:rsidR="00782A43" w:rsidRDefault="00782A43" w:rsidP="00220CCD">
            <w:pPr>
              <w:jc w:val="center"/>
            </w:pPr>
            <w:r w:rsidRPr="00250173">
              <w:rPr>
                <w:b/>
                <w:bCs/>
              </w:rPr>
              <w:t>Construct</w:t>
            </w:r>
          </w:p>
        </w:tc>
      </w:tr>
      <w:tr w:rsidR="00782A43" w:rsidRPr="001056B2">
        <w:tc>
          <w:tcPr>
            <w:tcW w:w="4440" w:type="dxa"/>
          </w:tcPr>
          <w:p w:rsidR="00782A43" w:rsidRDefault="00782A43" w:rsidP="00B67C5F">
            <w:pPr>
              <w:ind w:left="144"/>
            </w:pPr>
            <w:proofErr w:type="spellStart"/>
            <w:r w:rsidRPr="00250173">
              <w:t>Macrosystem</w:t>
            </w:r>
            <w:proofErr w:type="spellEnd"/>
            <w:r w:rsidRPr="00250173">
              <w:t xml:space="preserve"> (Community</w:t>
            </w:r>
            <w:r>
              <w:t xml:space="preserve"> Level</w:t>
            </w:r>
            <w:r w:rsidRPr="00250173">
              <w:t>)</w:t>
            </w:r>
          </w:p>
        </w:tc>
        <w:tc>
          <w:tcPr>
            <w:tcW w:w="4800" w:type="dxa"/>
          </w:tcPr>
          <w:p w:rsidR="00782A43" w:rsidRDefault="00782A43" w:rsidP="00B67C5F">
            <w:pPr>
              <w:pStyle w:val="ListParagraph"/>
              <w:ind w:left="288"/>
            </w:pPr>
            <w:r w:rsidRPr="00250173">
              <w:t>Community/Contextual Environment</w:t>
            </w:r>
          </w:p>
          <w:p w:rsidR="00782A43" w:rsidRDefault="00782A43" w:rsidP="00B67C5F">
            <w:pPr>
              <w:ind w:left="288"/>
            </w:pPr>
            <w:r w:rsidRPr="00250173">
              <w:t>Collaborations/Partnerships</w:t>
            </w:r>
          </w:p>
        </w:tc>
      </w:tr>
      <w:tr w:rsidR="00782A43" w:rsidRPr="001056B2">
        <w:tc>
          <w:tcPr>
            <w:tcW w:w="4440" w:type="dxa"/>
          </w:tcPr>
          <w:p w:rsidR="00782A43" w:rsidRDefault="00782A43" w:rsidP="00B67C5F">
            <w:pPr>
              <w:ind w:left="144"/>
            </w:pPr>
            <w:proofErr w:type="spellStart"/>
            <w:r w:rsidRPr="00250173">
              <w:t>Exosystem</w:t>
            </w:r>
            <w:proofErr w:type="spellEnd"/>
            <w:r w:rsidRPr="00250173">
              <w:t xml:space="preserve"> (Grantee</w:t>
            </w:r>
            <w:r>
              <w:t xml:space="preserve"> Level</w:t>
            </w:r>
            <w:r w:rsidRPr="00250173">
              <w:t>)</w:t>
            </w:r>
          </w:p>
        </w:tc>
        <w:tc>
          <w:tcPr>
            <w:tcW w:w="4800" w:type="dxa"/>
          </w:tcPr>
          <w:p w:rsidR="00782A43" w:rsidRDefault="00782A43" w:rsidP="00B67C5F">
            <w:pPr>
              <w:pStyle w:val="ListParagraph"/>
              <w:ind w:left="288"/>
            </w:pPr>
            <w:r w:rsidRPr="00250173">
              <w:t>Evidence-Based Practices (EBPs)</w:t>
            </w:r>
          </w:p>
          <w:p w:rsidR="00782A43" w:rsidRDefault="00782A43" w:rsidP="00B67C5F">
            <w:pPr>
              <w:pStyle w:val="ListParagraph"/>
              <w:ind w:left="288"/>
            </w:pPr>
            <w:r w:rsidRPr="00250173">
              <w:t>Staffing/Training</w:t>
            </w:r>
          </w:p>
          <w:p w:rsidR="00782A43" w:rsidRDefault="00782A43" w:rsidP="00B67C5F">
            <w:pPr>
              <w:ind w:left="288"/>
              <w:rPr>
                <w:lang w:val="fr-FR"/>
              </w:rPr>
            </w:pPr>
            <w:r w:rsidRPr="00250173">
              <w:t>HIV Testing</w:t>
            </w:r>
          </w:p>
        </w:tc>
      </w:tr>
      <w:tr w:rsidR="00782A43" w:rsidRPr="00DB0166">
        <w:tc>
          <w:tcPr>
            <w:tcW w:w="4440" w:type="dxa"/>
          </w:tcPr>
          <w:p w:rsidR="00782A43" w:rsidRDefault="00782A43" w:rsidP="00B67C5F">
            <w:pPr>
              <w:ind w:left="144"/>
            </w:pPr>
            <w:proofErr w:type="spellStart"/>
            <w:r w:rsidRPr="00250173">
              <w:t>Mesosystem</w:t>
            </w:r>
            <w:proofErr w:type="spellEnd"/>
            <w:r w:rsidRPr="00250173">
              <w:t>/</w:t>
            </w:r>
            <w:proofErr w:type="spellStart"/>
            <w:r w:rsidRPr="00250173">
              <w:t>Microsystem</w:t>
            </w:r>
            <w:proofErr w:type="spellEnd"/>
            <w:r w:rsidRPr="00250173">
              <w:t xml:space="preserve"> (Client</w:t>
            </w:r>
            <w:r>
              <w:t xml:space="preserve"> Level</w:t>
            </w:r>
            <w:r w:rsidRPr="00250173">
              <w:t>)</w:t>
            </w:r>
          </w:p>
        </w:tc>
        <w:tc>
          <w:tcPr>
            <w:tcW w:w="4800" w:type="dxa"/>
          </w:tcPr>
          <w:p w:rsidR="00782A43" w:rsidRDefault="00782A43" w:rsidP="00B67C5F">
            <w:pPr>
              <w:pStyle w:val="ListParagraph"/>
              <w:ind w:left="288"/>
            </w:pPr>
            <w:r>
              <w:t xml:space="preserve">Substance Abuse and HIV </w:t>
            </w:r>
            <w:r w:rsidRPr="00250173">
              <w:t>Risk Behavior</w:t>
            </w:r>
            <w:r>
              <w:t>s</w:t>
            </w:r>
            <w:r w:rsidRPr="00250173">
              <w:t xml:space="preserve"> </w:t>
            </w:r>
          </w:p>
          <w:p w:rsidR="00782A43" w:rsidRDefault="00782A43" w:rsidP="00B67C5F">
            <w:pPr>
              <w:pStyle w:val="ListParagraph"/>
              <w:ind w:left="288"/>
            </w:pPr>
            <w:r w:rsidRPr="00250173">
              <w:t>Social System</w:t>
            </w:r>
          </w:p>
          <w:p w:rsidR="00782A43" w:rsidRDefault="00782A43" w:rsidP="00B67C5F">
            <w:pPr>
              <w:pStyle w:val="ListParagraph"/>
              <w:ind w:left="288"/>
            </w:pPr>
            <w:r w:rsidRPr="00250173">
              <w:t>Quality of Life</w:t>
            </w:r>
          </w:p>
          <w:p w:rsidR="00782A43" w:rsidRDefault="00782A43" w:rsidP="00B67C5F">
            <w:pPr>
              <w:pStyle w:val="ListParagraph"/>
              <w:ind w:left="288"/>
            </w:pPr>
            <w:r w:rsidRPr="00250173">
              <w:t>Client Satisfaction</w:t>
            </w:r>
          </w:p>
        </w:tc>
      </w:tr>
    </w:tbl>
    <w:p w:rsidR="00782A43" w:rsidRPr="00DA1351" w:rsidRDefault="00782A43" w:rsidP="00DA1351">
      <w:pPr>
        <w:rPr>
          <w:i/>
          <w:iCs/>
        </w:rPr>
      </w:pPr>
    </w:p>
    <w:p w:rsidR="00782A43" w:rsidRDefault="00782A43">
      <w:pPr>
        <w:ind w:left="720"/>
      </w:pPr>
      <w:r w:rsidRPr="00DA1351">
        <w:t>We propose a rigorous evaluation approach examining the full ecological hierarchy in which clients live to facilitate a comprehensive analysis of client outcomes. Through the evaluation of the fiscal year 200</w:t>
      </w:r>
      <w:r>
        <w:t>8</w:t>
      </w:r>
      <w:r w:rsidRPr="00DA1351">
        <w:t xml:space="preserve"> (FY0</w:t>
      </w:r>
      <w:r>
        <w:t>8</w:t>
      </w:r>
      <w:r w:rsidRPr="00DA1351">
        <w:t xml:space="preserve">) TCE-HIV Grantees, the Multi-Site Evaluation Team can identify associations between treatment approaches and client outcomes. </w:t>
      </w:r>
    </w:p>
    <w:p w:rsidR="00782A43" w:rsidRPr="00DA1351" w:rsidRDefault="00782A43" w:rsidP="003D66D7"/>
    <w:p w:rsidR="00782A43" w:rsidRDefault="00782A43">
      <w:pPr>
        <w:ind w:left="720"/>
      </w:pPr>
      <w:r w:rsidRPr="00A7010F">
        <w:t>The Multi-Site Evaluation will be able to address several overarching questions and provide SAMH</w:t>
      </w:r>
      <w:r>
        <w:t>S</w:t>
      </w:r>
      <w:r w:rsidRPr="00A7010F">
        <w:t>A</w:t>
      </w:r>
      <w:r>
        <w:t>/CSAT</w:t>
      </w:r>
      <w:r w:rsidRPr="00A7010F">
        <w:t xml:space="preserve"> with valuable knowledge regarding how the TCE-HIV program is meeting the overall goals of the MAI. Specifically, questions to be addressed in this evaluation include:</w:t>
      </w:r>
    </w:p>
    <w:p w:rsidR="00782A43" w:rsidRDefault="00782A43">
      <w:pPr>
        <w:ind w:left="720"/>
      </w:pPr>
    </w:p>
    <w:p w:rsidR="00782A43" w:rsidRPr="00C00A8A" w:rsidRDefault="00782A43" w:rsidP="0016699A">
      <w:pPr>
        <w:numPr>
          <w:ilvl w:val="0"/>
          <w:numId w:val="8"/>
        </w:numPr>
      </w:pPr>
      <w:r w:rsidRPr="00C00A8A">
        <w:t xml:space="preserve">What are the community and contextual conditions </w:t>
      </w:r>
      <w:r>
        <w:t>with</w:t>
      </w:r>
      <w:r w:rsidRPr="00C00A8A">
        <w:t>in which the TCE-HIV programs exist and provide services?</w:t>
      </w:r>
    </w:p>
    <w:p w:rsidR="00782A43" w:rsidRPr="00C00A8A" w:rsidRDefault="00782A43" w:rsidP="0016699A">
      <w:pPr>
        <w:numPr>
          <w:ilvl w:val="0"/>
          <w:numId w:val="8"/>
        </w:numPr>
      </w:pPr>
      <w:r w:rsidRPr="00C00A8A">
        <w:t>How do TCE-HIV Grantee characteristics facilitate or impede program activ</w:t>
      </w:r>
      <w:r>
        <w:t>i</w:t>
      </w:r>
      <w:r w:rsidRPr="00C00A8A">
        <w:t>t</w:t>
      </w:r>
      <w:r>
        <w:t>i</w:t>
      </w:r>
      <w:r w:rsidRPr="00C00A8A">
        <w:t>es</w:t>
      </w:r>
      <w:r>
        <w:t>,</w:t>
      </w:r>
      <w:r w:rsidRPr="00C00A8A">
        <w:t xml:space="preserve"> such as comprehensive services, service coordination/integration, and expanded organizational/ programmatic capacity?</w:t>
      </w:r>
    </w:p>
    <w:p w:rsidR="00782A43" w:rsidRPr="00C00A8A" w:rsidRDefault="00782A43" w:rsidP="0016699A">
      <w:pPr>
        <w:numPr>
          <w:ilvl w:val="0"/>
          <w:numId w:val="8"/>
        </w:numPr>
      </w:pPr>
      <w:r w:rsidRPr="00C00A8A">
        <w:t>What impact do Grantee characteristics have on client-level outcomes?</w:t>
      </w:r>
    </w:p>
    <w:p w:rsidR="00782A43" w:rsidRPr="00C00A8A" w:rsidRDefault="00782A43" w:rsidP="0016699A">
      <w:pPr>
        <w:numPr>
          <w:ilvl w:val="0"/>
          <w:numId w:val="8"/>
        </w:numPr>
      </w:pPr>
      <w:r w:rsidRPr="00C00A8A">
        <w:t>How do client characteristics (e.g., education, employment, income, family and living conditions, social support, satisfaction) lead to behavioral changes?</w:t>
      </w:r>
    </w:p>
    <w:p w:rsidR="00782A43" w:rsidRPr="00C00A8A" w:rsidRDefault="00782A43" w:rsidP="003D66D7">
      <w:pPr>
        <w:numPr>
          <w:ilvl w:val="0"/>
          <w:numId w:val="8"/>
        </w:numPr>
      </w:pPr>
      <w:r w:rsidRPr="00C00A8A">
        <w:t>What impact does the TCE-HIV program have on client-level outcomes?</w:t>
      </w:r>
    </w:p>
    <w:p w:rsidR="00782A43" w:rsidRPr="00C00A8A" w:rsidRDefault="00782A43" w:rsidP="00911549">
      <w:pPr>
        <w:pStyle w:val="bodytext"/>
        <w:spacing w:after="0" w:line="240" w:lineRule="auto"/>
      </w:pPr>
    </w:p>
    <w:p w:rsidR="00782A43" w:rsidRDefault="00782A43" w:rsidP="00CC2F07">
      <w:pPr>
        <w:pStyle w:val="bodytext"/>
        <w:spacing w:after="0" w:line="240" w:lineRule="auto"/>
        <w:ind w:left="720"/>
      </w:pPr>
      <w:r w:rsidRPr="00C00A8A">
        <w:t>Th</w:t>
      </w:r>
      <w:r>
        <w:t>is</w:t>
      </w:r>
      <w:r w:rsidRPr="00C00A8A">
        <w:t xml:space="preserve"> Multi-Site Evaluation </w:t>
      </w:r>
      <w:r>
        <w:t xml:space="preserve">is the first TCE-HIV evaluation and </w:t>
      </w:r>
      <w:r w:rsidRPr="00C00A8A">
        <w:t xml:space="preserve">represents the most comprehensive assessment of </w:t>
      </w:r>
      <w:r w:rsidRPr="00AA0E3D">
        <w:t>SAMHSA/CSAT’s</w:t>
      </w:r>
      <w:r w:rsidRPr="00C00A8A">
        <w:t xml:space="preserve"> TCE-HIV program ever undertaken. Th</w:t>
      </w:r>
      <w:r>
        <w:t>is</w:t>
      </w:r>
      <w:r w:rsidRPr="00C00A8A">
        <w:t xml:space="preserve"> complete evaluation will allow </w:t>
      </w:r>
      <w:r w:rsidRPr="00AA0E3D">
        <w:t>SAMHSA/CSAT</w:t>
      </w:r>
      <w:r w:rsidRPr="00C00A8A">
        <w:t xml:space="preserve"> to determine the extent to which the TCE-HIV program has met its objective of expanding and </w:t>
      </w:r>
      <w:r>
        <w:t>enhancing</w:t>
      </w:r>
      <w:r w:rsidRPr="00C00A8A">
        <w:t xml:space="preserve"> substance abuse outreach/pretreatment and treatment services in conjunction with HIV/AIDS services to racial and ethnic minority </w:t>
      </w:r>
      <w:r>
        <w:t>communities</w:t>
      </w:r>
      <w:r w:rsidRPr="00C00A8A">
        <w:t xml:space="preserve">; and the resultant </w:t>
      </w:r>
      <w:r>
        <w:t>effects</w:t>
      </w:r>
      <w:r w:rsidRPr="00C00A8A">
        <w:t xml:space="preserve"> of </w:t>
      </w:r>
      <w:r>
        <w:t xml:space="preserve">the </w:t>
      </w:r>
      <w:r w:rsidRPr="00C00A8A">
        <w:t xml:space="preserve">TCE-HIV </w:t>
      </w:r>
      <w:r>
        <w:t xml:space="preserve">program </w:t>
      </w:r>
      <w:r w:rsidRPr="00C00A8A">
        <w:t xml:space="preserve">on </w:t>
      </w:r>
      <w:r>
        <w:t>clients served</w:t>
      </w:r>
      <w:r w:rsidRPr="00C00A8A">
        <w:t xml:space="preserve">. </w:t>
      </w:r>
    </w:p>
    <w:p w:rsidR="00782A43" w:rsidRDefault="00782A43">
      <w:r>
        <w:br w:type="page"/>
      </w:r>
    </w:p>
    <w:p w:rsidR="00782A43" w:rsidRDefault="00782A43">
      <w:pPr>
        <w:numPr>
          <w:ilvl w:val="0"/>
          <w:numId w:val="1"/>
        </w:numPr>
        <w:tabs>
          <w:tab w:val="clear" w:pos="1800"/>
          <w:tab w:val="num" w:pos="720"/>
          <w:tab w:val="num" w:pos="1440"/>
        </w:tabs>
        <w:ind w:left="720" w:firstLine="0"/>
        <w:rPr>
          <w:b/>
          <w:bCs/>
          <w:u w:val="single"/>
        </w:rPr>
      </w:pPr>
      <w:bookmarkStart w:id="8" w:name="_Toc88277951"/>
      <w:bookmarkStart w:id="9" w:name="_Toc131564340"/>
      <w:r w:rsidRPr="002D33C1">
        <w:rPr>
          <w:b/>
          <w:bCs/>
          <w:u w:val="single"/>
        </w:rPr>
        <w:t>Purpose and Use of Information</w:t>
      </w:r>
      <w:bookmarkEnd w:id="8"/>
      <w:bookmarkEnd w:id="9"/>
    </w:p>
    <w:p w:rsidR="00782A43" w:rsidRPr="002D33C1" w:rsidRDefault="00782A43" w:rsidP="003D66D7">
      <w:pPr>
        <w:ind w:left="360"/>
      </w:pPr>
    </w:p>
    <w:p w:rsidR="00782A43" w:rsidRDefault="00782A43">
      <w:pPr>
        <w:ind w:left="720"/>
      </w:pPr>
      <w:r>
        <w:t xml:space="preserve">The purpose of this evaluation </w:t>
      </w:r>
      <w:r w:rsidRPr="004D6522">
        <w:t xml:space="preserve">is to provide insight </w:t>
      </w:r>
      <w:r>
        <w:t>about</w:t>
      </w:r>
      <w:r w:rsidRPr="004D6522">
        <w:t xml:space="preserve"> the </w:t>
      </w:r>
      <w:r>
        <w:t>effects</w:t>
      </w:r>
      <w:r w:rsidRPr="004D6522">
        <w:t xml:space="preserve"> of </w:t>
      </w:r>
      <w:r>
        <w:t xml:space="preserve">substance abuse outreach/pretreatment and </w:t>
      </w:r>
      <w:r w:rsidRPr="004D6522">
        <w:t>treatment programs offered through SAMH</w:t>
      </w:r>
      <w:r>
        <w:t>S</w:t>
      </w:r>
      <w:r w:rsidRPr="004D6522">
        <w:t xml:space="preserve">A TCE-HIV grant funding, and to better understand the mechanisms by which TCE-HIV programs affect positive change in the reduction of substance abuse and HIV risk behaviors in racial and ethnic minority </w:t>
      </w:r>
      <w:r>
        <w:t>communities</w:t>
      </w:r>
      <w:r w:rsidRPr="004D6522">
        <w:t>.</w:t>
      </w:r>
      <w:r>
        <w:t xml:space="preserve"> These data collected will be utilized to address the purpose of the Multi-Site Evaluation, which </w:t>
      </w:r>
      <w:r w:rsidRPr="008A1813">
        <w:t xml:space="preserve">is theoretically </w:t>
      </w:r>
      <w:r>
        <w:t xml:space="preserve">grounded </w:t>
      </w:r>
      <w:r w:rsidRPr="008A1813">
        <w:t xml:space="preserve">in an ecological systems approach, </w:t>
      </w:r>
      <w:r>
        <w:t>and based</w:t>
      </w:r>
      <w:r w:rsidRPr="008A1813">
        <w:t xml:space="preserve"> on the presumption that positive treatment outcomes are determined by multiple tiers within a hierarchy of influence, and that a given client’s treatment success will be a function of treatment program operations</w:t>
      </w:r>
      <w:r>
        <w:t xml:space="preserve"> (i.e., Grantee level)</w:t>
      </w:r>
      <w:r w:rsidRPr="008A1813">
        <w:t>, individual</w:t>
      </w:r>
      <w:r>
        <w:t>/relationship</w:t>
      </w:r>
      <w:r w:rsidRPr="008A1813">
        <w:t xml:space="preserve"> characteristics</w:t>
      </w:r>
      <w:r>
        <w:t xml:space="preserve"> (i.e., Client level)</w:t>
      </w:r>
      <w:r w:rsidRPr="008A1813">
        <w:t>, and broader community contextual and socio-cultural environmental influences</w:t>
      </w:r>
      <w:r>
        <w:t xml:space="preserve"> (i.e., Community level)</w:t>
      </w:r>
      <w:r w:rsidRPr="008A1813">
        <w:t>.</w:t>
      </w:r>
      <w:r>
        <w:t xml:space="preserve"> Based on this theoretical framework, two </w:t>
      </w:r>
      <w:r w:rsidRPr="00C141E2">
        <w:t>interrelated evaluation efforts</w:t>
      </w:r>
      <w:r>
        <w:t xml:space="preserve"> are supported</w:t>
      </w:r>
      <w:r w:rsidRPr="00C141E2">
        <w:t xml:space="preserve">: a process evaluation and an outcome evaluation. The process evaluation will serve the critical role of establishing the overall evaluation’s context and consequently </w:t>
      </w:r>
      <w:r>
        <w:t xml:space="preserve">will </w:t>
      </w:r>
      <w:r w:rsidRPr="00C141E2">
        <w:t xml:space="preserve">aid in the interpretation of its findings. The process evaluation will also describe the content of Grantees’ interventions and their underlying evidence base. </w:t>
      </w:r>
      <w:r>
        <w:t>Moreover, t</w:t>
      </w:r>
      <w:r w:rsidRPr="00C141E2">
        <w:t xml:space="preserve">he process evaluation will provide information about </w:t>
      </w:r>
      <w:r>
        <w:t xml:space="preserve">the </w:t>
      </w:r>
      <w:r w:rsidRPr="00C141E2">
        <w:t xml:space="preserve">TCE-HIV services delivered, who delivered them, how they were delivered, to whom they were delivered, and </w:t>
      </w:r>
      <w:r>
        <w:t>whether</w:t>
      </w:r>
      <w:r w:rsidRPr="00C141E2">
        <w:t xml:space="preserve"> these services modif</w:t>
      </w:r>
      <w:r>
        <w:t>ied</w:t>
      </w:r>
      <w:r w:rsidRPr="00C141E2">
        <w:t xml:space="preserve"> the Grantee’s overall substance abuse treatment service delivery system. </w:t>
      </w:r>
    </w:p>
    <w:p w:rsidR="00782A43" w:rsidRPr="00C141E2" w:rsidRDefault="00782A43" w:rsidP="00D72626"/>
    <w:p w:rsidR="00782A43" w:rsidRDefault="00782A43">
      <w:pPr>
        <w:ind w:left="720"/>
      </w:pPr>
      <w:r w:rsidRPr="00C141E2">
        <w:t>While the process evaluation will collect data from all 4</w:t>
      </w:r>
      <w:r>
        <w:t>8</w:t>
      </w:r>
      <w:r w:rsidRPr="00C141E2">
        <w:t xml:space="preserve"> Grantees, the outcome evaluation component is focused on client-level </w:t>
      </w:r>
      <w:r w:rsidRPr="00B04C61">
        <w:t>treatment</w:t>
      </w:r>
      <w:r w:rsidRPr="00C141E2">
        <w:t xml:space="preserve"> outcomes and will</w:t>
      </w:r>
      <w:r>
        <w:t>, therefore,</w:t>
      </w:r>
      <w:r w:rsidRPr="00C141E2">
        <w:t xml:space="preserve"> focus only on the 4</w:t>
      </w:r>
      <w:r>
        <w:t>0</w:t>
      </w:r>
      <w:r w:rsidRPr="00C141E2">
        <w:t xml:space="preserve"> Grantees providing </w:t>
      </w:r>
      <w:r>
        <w:t xml:space="preserve">substance abuse </w:t>
      </w:r>
      <w:r w:rsidRPr="00C141E2">
        <w:t xml:space="preserve">treatment services. The outcome evaluation will provide evidence on the effects of the TCE-HIV </w:t>
      </w:r>
      <w:r>
        <w:t xml:space="preserve">treatment </w:t>
      </w:r>
      <w:r w:rsidRPr="00C141E2">
        <w:t>interventions on Grantees and clients. In a Multi-Site Evaluation such as th</w:t>
      </w:r>
      <w:r>
        <w:t>is</w:t>
      </w:r>
      <w:r w:rsidRPr="00C141E2">
        <w:t xml:space="preserve"> TCE-HIV evaluation, the outcome evaluation provides critical information on the Grantee characteristics that are believed to affect TCE-HIV client outcomes. Consolidating the information on program components across Grantees provides the basis for </w:t>
      </w:r>
      <w:r>
        <w:t xml:space="preserve">identifying </w:t>
      </w:r>
      <w:r w:rsidRPr="00C141E2">
        <w:t>commonalities among the diverse programs and populations being served. Using the variation across Grantees, the Multi-Site Evaluation can assess the effect of specific variable</w:t>
      </w:r>
      <w:r>
        <w:t>s</w:t>
      </w:r>
      <w:r w:rsidRPr="00C141E2">
        <w:t xml:space="preserve"> </w:t>
      </w:r>
      <w:r>
        <w:t xml:space="preserve">on clients’ outcomes </w:t>
      </w:r>
      <w:r w:rsidRPr="00C141E2">
        <w:t xml:space="preserve">in ways that the individual Grantees cannot. The outcome evaluation will also provide evidence on how specific programmatic characteristics relate to effectiveness in reducing substance </w:t>
      </w:r>
      <w:r>
        <w:t>ab</w:t>
      </w:r>
      <w:r w:rsidRPr="00C141E2">
        <w:t xml:space="preserve">use and HIV </w:t>
      </w:r>
      <w:r>
        <w:t xml:space="preserve">risk </w:t>
      </w:r>
      <w:r w:rsidRPr="00C141E2">
        <w:t>behavior</w:t>
      </w:r>
      <w:r>
        <w:t>s</w:t>
      </w:r>
      <w:r w:rsidRPr="00C141E2">
        <w:t xml:space="preserve">. </w:t>
      </w:r>
    </w:p>
    <w:p w:rsidR="00782A43" w:rsidRPr="00C141E2" w:rsidRDefault="00782A43" w:rsidP="00D72626"/>
    <w:p w:rsidR="00782A43" w:rsidRDefault="00782A43">
      <w:pPr>
        <w:ind w:left="720"/>
      </w:pPr>
      <w:r w:rsidRPr="00C141E2">
        <w:t>Process and outcome data collection call for different measurement and collection strategies. To address the different data needs of</w:t>
      </w:r>
      <w:r>
        <w:t xml:space="preserve"> the</w:t>
      </w:r>
      <w:r w:rsidRPr="00C141E2">
        <w:t xml:space="preserve"> process and outcome evaluations, </w:t>
      </w:r>
      <w:r>
        <w:t xml:space="preserve">process </w:t>
      </w:r>
      <w:r w:rsidRPr="00C141E2">
        <w:t>data collection</w:t>
      </w:r>
      <w:r>
        <w:t xml:space="preserve"> will be implemented</w:t>
      </w:r>
      <w:r w:rsidRPr="00C141E2">
        <w:t xml:space="preserve"> at two distinct points in time</w:t>
      </w:r>
      <w:r>
        <w:t>,</w:t>
      </w:r>
      <w:r w:rsidRPr="00C141E2">
        <w:t xml:space="preserve"> via site visits</w:t>
      </w:r>
      <w:r>
        <w:t>;</w:t>
      </w:r>
      <w:r w:rsidRPr="00C141E2">
        <w:t xml:space="preserve"> </w:t>
      </w:r>
      <w:r>
        <w:t xml:space="preserve">outcome data collection will be implemented </w:t>
      </w:r>
      <w:r w:rsidRPr="00C141E2">
        <w:t xml:space="preserve">continuously </w:t>
      </w:r>
      <w:r>
        <w:t xml:space="preserve">via </w:t>
      </w:r>
      <w:r w:rsidRPr="00C141E2">
        <w:t>counselor</w:t>
      </w:r>
      <w:r>
        <w:t>-</w:t>
      </w:r>
      <w:r w:rsidRPr="00C141E2">
        <w:t xml:space="preserve">administered </w:t>
      </w:r>
      <w:r w:rsidRPr="00182B52">
        <w:t>client surveys</w:t>
      </w:r>
      <w:r>
        <w:t xml:space="preserve"> and counselor-completed </w:t>
      </w:r>
      <w:r w:rsidRPr="00182B52">
        <w:t>dosage forms</w:t>
      </w:r>
      <w:r>
        <w:t xml:space="preserve"> upon client discharge. </w:t>
      </w:r>
      <w:r w:rsidRPr="00C141E2">
        <w:t xml:space="preserve">The purpose of the site visits are to observe program processes, to conduct semi-structured interviews with project staff and partners/collaborators, to conduct client focus groups, and to </w:t>
      </w:r>
      <w:r w:rsidRPr="00C141E2">
        <w:lastRenderedPageBreak/>
        <w:t xml:space="preserve">provide </w:t>
      </w:r>
      <w:r>
        <w:t>any technical assistance needed</w:t>
      </w:r>
      <w:r w:rsidRPr="00C141E2">
        <w:t xml:space="preserve"> </w:t>
      </w:r>
      <w:r>
        <w:t>for</w:t>
      </w:r>
      <w:r w:rsidRPr="00C141E2">
        <w:t xml:space="preserve"> client survey </w:t>
      </w:r>
      <w:r>
        <w:t>administration</w:t>
      </w:r>
      <w:r w:rsidRPr="00C141E2">
        <w:t xml:space="preserve"> and dosage </w:t>
      </w:r>
      <w:r>
        <w:t>form</w:t>
      </w:r>
      <w:r w:rsidRPr="00C141E2">
        <w:t xml:space="preserve"> co</w:t>
      </w:r>
      <w:r>
        <w:t>mpletion</w:t>
      </w:r>
      <w:r w:rsidRPr="00C141E2">
        <w:t xml:space="preserve">. </w:t>
      </w:r>
    </w:p>
    <w:p w:rsidR="00782A43" w:rsidRDefault="00782A43" w:rsidP="00E33DFA"/>
    <w:p w:rsidR="00782A43" w:rsidRDefault="00782A43">
      <w:pPr>
        <w:ind w:left="720"/>
      </w:pPr>
      <w:r>
        <w:t>P</w:t>
      </w:r>
      <w:r w:rsidRPr="00C141E2">
        <w:t>rocess measures</w:t>
      </w:r>
      <w:r>
        <w:t xml:space="preserve"> will be collected</w:t>
      </w:r>
      <w:r w:rsidRPr="00C141E2">
        <w:t xml:space="preserve"> through a site visit during the first data collection point (Year 2). </w:t>
      </w:r>
      <w:r w:rsidRPr="005B35E4">
        <w:t xml:space="preserve">The process measures are designed to capture information on the specific activities associated with implementation, the staff involved in </w:t>
      </w:r>
      <w:r>
        <w:t xml:space="preserve">program </w:t>
      </w:r>
      <w:r w:rsidRPr="005B35E4">
        <w:t xml:space="preserve">implementation activities, and the amount of time required </w:t>
      </w:r>
      <w:r>
        <w:t>for a client to complete treatment.</w:t>
      </w:r>
      <w:r>
        <w:rPr>
          <w:rFonts w:ascii="Arial" w:hAnsi="Arial" w:cs="Arial"/>
        </w:rPr>
        <w:t xml:space="preserve"> </w:t>
      </w:r>
      <w:r w:rsidRPr="00C141E2">
        <w:t xml:space="preserve">The second </w:t>
      </w:r>
      <w:r>
        <w:t xml:space="preserve">process </w:t>
      </w:r>
      <w:r w:rsidRPr="00C141E2">
        <w:t xml:space="preserve">data collection point (Year 4) will consist of a follow-up site visit to collect a repeat measure of all data collected during Year 2. </w:t>
      </w:r>
      <w:r>
        <w:t xml:space="preserve">In addition to data collection, the Multi-Site evaluation team will </w:t>
      </w:r>
      <w:r w:rsidRPr="00975F48">
        <w:t xml:space="preserve">provide </w:t>
      </w:r>
      <w:r>
        <w:t>technical assistance</w:t>
      </w:r>
      <w:r w:rsidRPr="00975F48">
        <w:t xml:space="preserve"> </w:t>
      </w:r>
      <w:r>
        <w:t xml:space="preserve">to Grantees </w:t>
      </w:r>
      <w:r w:rsidRPr="00975F48">
        <w:t>on</w:t>
      </w:r>
      <w:r>
        <w:t xml:space="preserve"> client</w:t>
      </w:r>
      <w:r w:rsidRPr="00975F48">
        <w:t xml:space="preserve"> survey </w:t>
      </w:r>
      <w:r>
        <w:t>administration</w:t>
      </w:r>
      <w:r w:rsidRPr="00975F48">
        <w:t xml:space="preserve"> and </w:t>
      </w:r>
      <w:r>
        <w:t>dosage form</w:t>
      </w:r>
      <w:r w:rsidRPr="00975F48">
        <w:t xml:space="preserve"> </w:t>
      </w:r>
      <w:r>
        <w:t xml:space="preserve">completion. To </w:t>
      </w:r>
      <w:r w:rsidRPr="00C141E2">
        <w:t>determine the effect of TCE-HIV services, baseline measures</w:t>
      </w:r>
      <w:r>
        <w:t xml:space="preserve"> will be compared</w:t>
      </w:r>
      <w:r w:rsidRPr="00C141E2">
        <w:t xml:space="preserve"> with the same indicators approximately 24 months after </w:t>
      </w:r>
      <w:r>
        <w:t>the</w:t>
      </w:r>
      <w:r w:rsidRPr="00C141E2">
        <w:t xml:space="preserve"> initial measurement. Comparisons </w:t>
      </w:r>
      <w:r>
        <w:t>between</w:t>
      </w:r>
      <w:r w:rsidRPr="00C141E2">
        <w:t xml:space="preserve"> these time points will yield information on community</w:t>
      </w:r>
      <w:r>
        <w:t xml:space="preserve"> and </w:t>
      </w:r>
      <w:r w:rsidRPr="00C141E2">
        <w:t>program</w:t>
      </w:r>
      <w:r>
        <w:t xml:space="preserve"> </w:t>
      </w:r>
      <w:r w:rsidRPr="00C141E2">
        <w:t xml:space="preserve">changes as measured </w:t>
      </w:r>
      <w:r>
        <w:t xml:space="preserve">by site visit instruments. </w:t>
      </w:r>
      <w:r w:rsidRPr="00C141E2">
        <w:t xml:space="preserve">Simultaneously, client </w:t>
      </w:r>
      <w:r>
        <w:t xml:space="preserve">outcome </w:t>
      </w:r>
      <w:r w:rsidRPr="00C141E2">
        <w:t xml:space="preserve">measures </w:t>
      </w:r>
      <w:r>
        <w:t xml:space="preserve">and client dosage data </w:t>
      </w:r>
      <w:r w:rsidRPr="00C141E2">
        <w:t xml:space="preserve">will be collected continuously </w:t>
      </w:r>
      <w:r>
        <w:t>via</w:t>
      </w:r>
      <w:r w:rsidRPr="00C141E2">
        <w:t xml:space="preserve"> a counselor</w:t>
      </w:r>
      <w:r>
        <w:t>-</w:t>
      </w:r>
      <w:r w:rsidRPr="00C141E2">
        <w:t xml:space="preserve">administered </w:t>
      </w:r>
      <w:r>
        <w:t>c</w:t>
      </w:r>
      <w:r w:rsidRPr="00C141E2">
        <w:t xml:space="preserve">lient </w:t>
      </w:r>
      <w:r>
        <w:t>s</w:t>
      </w:r>
      <w:r w:rsidRPr="00C141E2">
        <w:t>urvey</w:t>
      </w:r>
      <w:r>
        <w:t xml:space="preserve"> and review of client charts to document service exposure, respectively</w:t>
      </w:r>
      <w:r w:rsidRPr="00C141E2">
        <w:t xml:space="preserve">. </w:t>
      </w:r>
      <w:r w:rsidRPr="000470F5">
        <w:t xml:space="preserve">The </w:t>
      </w:r>
      <w:r>
        <w:t>client surveys</w:t>
      </w:r>
      <w:r w:rsidRPr="000470F5">
        <w:t xml:space="preserve"> are designed</w:t>
      </w:r>
      <w:r>
        <w:t xml:space="preserve"> to assess</w:t>
      </w:r>
      <w:r w:rsidRPr="00E10B20">
        <w:t xml:space="preserve"> whether and to what extent TCE-HIV services are associated with changes in the </w:t>
      </w:r>
      <w:r>
        <w:t xml:space="preserve">key constructs of interest (i.e., HIV risk behaviors, social connectedness, quality of life) for clients. </w:t>
      </w:r>
      <w:r w:rsidRPr="00C141E2">
        <w:t xml:space="preserve">TCE-HIV counselors will facilitate the completion of the </w:t>
      </w:r>
      <w:r>
        <w:t>c</w:t>
      </w:r>
      <w:r w:rsidRPr="00C141E2">
        <w:t xml:space="preserve">lient </w:t>
      </w:r>
      <w:r>
        <w:t>s</w:t>
      </w:r>
      <w:r w:rsidRPr="00C141E2">
        <w:t xml:space="preserve">urvey </w:t>
      </w:r>
      <w:r>
        <w:t xml:space="preserve">for each treatment client </w:t>
      </w:r>
      <w:r w:rsidRPr="00C141E2">
        <w:t xml:space="preserve">at baseline, discharge, and </w:t>
      </w:r>
      <w:r>
        <w:t>6 months</w:t>
      </w:r>
      <w:r w:rsidRPr="00C141E2">
        <w:t xml:space="preserve"> post </w:t>
      </w:r>
      <w:r>
        <w:t>baseline</w:t>
      </w:r>
      <w:r w:rsidRPr="00C141E2">
        <w:t xml:space="preserve">. </w:t>
      </w:r>
      <w:r>
        <w:t xml:space="preserve">Program staff will complete the dosage form for each client upon treatment discharge. </w:t>
      </w:r>
    </w:p>
    <w:p w:rsidR="00782A43" w:rsidRPr="00C141E2" w:rsidRDefault="00782A43" w:rsidP="00B91CD1">
      <w:pPr>
        <w:pStyle w:val="bodytext"/>
        <w:spacing w:after="0" w:line="240" w:lineRule="auto"/>
      </w:pPr>
    </w:p>
    <w:p w:rsidR="00782A43" w:rsidRDefault="00782A43">
      <w:pPr>
        <w:pStyle w:val="bodytext"/>
        <w:spacing w:after="0" w:line="240" w:lineRule="auto"/>
        <w:ind w:left="720"/>
      </w:pPr>
      <w:proofErr w:type="gramStart"/>
      <w:r w:rsidRPr="008E42BB">
        <w:rPr>
          <w:b/>
          <w:bCs/>
        </w:rPr>
        <w:t>Process Evaluation</w:t>
      </w:r>
      <w:r>
        <w:rPr>
          <w:b/>
          <w:bCs/>
        </w:rPr>
        <w:t>.</w:t>
      </w:r>
      <w:proofErr w:type="gramEnd"/>
      <w:r>
        <w:t xml:space="preserve"> </w:t>
      </w:r>
      <w:r w:rsidRPr="00C141E2">
        <w:t>The process evaluation of the 4</w:t>
      </w:r>
      <w:r w:rsidRPr="00772F84">
        <w:t>8</w:t>
      </w:r>
      <w:r w:rsidRPr="00C141E2">
        <w:t xml:space="preserve"> TCE-HIV Grantees will focus on </w:t>
      </w:r>
      <w:r>
        <w:t xml:space="preserve">the </w:t>
      </w:r>
      <w:r w:rsidRPr="00C141E2">
        <w:t xml:space="preserve">implementation evaluation questions. </w:t>
      </w:r>
      <w:r>
        <w:t>P</w:t>
      </w:r>
      <w:r w:rsidRPr="00C141E2">
        <w:t>rimarily</w:t>
      </w:r>
      <w:r>
        <w:t xml:space="preserve">, </w:t>
      </w:r>
      <w:r w:rsidRPr="00C141E2">
        <w:t xml:space="preserve">questions related to the service delivery process </w:t>
      </w:r>
      <w:r>
        <w:t>will be addressed; these</w:t>
      </w:r>
      <w:r w:rsidRPr="00C141E2">
        <w:t xml:space="preserve"> will determine activities required of Grantees to implement and sustain TCE-HIV services. Specifically, process data will assess:</w:t>
      </w:r>
    </w:p>
    <w:p w:rsidR="00782A43" w:rsidRDefault="00782A43">
      <w:pPr>
        <w:pStyle w:val="bodytext"/>
        <w:spacing w:after="0" w:line="240" w:lineRule="auto"/>
        <w:ind w:left="720"/>
      </w:pPr>
    </w:p>
    <w:p w:rsidR="00782A43" w:rsidRPr="00C141E2" w:rsidRDefault="00782A43" w:rsidP="00CC2F07">
      <w:pPr>
        <w:pStyle w:val="ListParagraph"/>
        <w:numPr>
          <w:ilvl w:val="0"/>
          <w:numId w:val="10"/>
        </w:numPr>
        <w:tabs>
          <w:tab w:val="clear" w:pos="1440"/>
        </w:tabs>
        <w:ind w:hanging="270"/>
      </w:pPr>
      <w:r w:rsidRPr="00C141E2">
        <w:t>Community/</w:t>
      </w:r>
      <w:r>
        <w:t>c</w:t>
      </w:r>
      <w:r w:rsidRPr="00C141E2">
        <w:t xml:space="preserve">ontextual </w:t>
      </w:r>
      <w:r>
        <w:t>c</w:t>
      </w:r>
      <w:r w:rsidRPr="00C141E2">
        <w:t>onditions</w:t>
      </w:r>
    </w:p>
    <w:p w:rsidR="00782A43" w:rsidRPr="00C141E2" w:rsidRDefault="00782A43" w:rsidP="00CC2F07">
      <w:pPr>
        <w:pStyle w:val="ListParagraph"/>
        <w:numPr>
          <w:ilvl w:val="0"/>
          <w:numId w:val="10"/>
        </w:numPr>
        <w:tabs>
          <w:tab w:val="clear" w:pos="1440"/>
        </w:tabs>
        <w:ind w:hanging="270"/>
      </w:pPr>
      <w:r w:rsidRPr="00C141E2">
        <w:t xml:space="preserve">Community </w:t>
      </w:r>
      <w:r>
        <w:t>p</w:t>
      </w:r>
      <w:r w:rsidRPr="00C141E2">
        <w:t>artnerships</w:t>
      </w:r>
    </w:p>
    <w:p w:rsidR="00782A43" w:rsidRPr="00C141E2" w:rsidRDefault="00782A43" w:rsidP="00CC2F07">
      <w:pPr>
        <w:pStyle w:val="ListParagraph"/>
        <w:numPr>
          <w:ilvl w:val="0"/>
          <w:numId w:val="10"/>
        </w:numPr>
        <w:tabs>
          <w:tab w:val="clear" w:pos="1440"/>
        </w:tabs>
        <w:ind w:hanging="270"/>
      </w:pPr>
      <w:r w:rsidRPr="00C141E2">
        <w:t xml:space="preserve">Program </w:t>
      </w:r>
      <w:r>
        <w:t>c</w:t>
      </w:r>
      <w:r w:rsidRPr="00C141E2">
        <w:t>haracteristics</w:t>
      </w:r>
    </w:p>
    <w:p w:rsidR="00782A43" w:rsidRPr="00C141E2" w:rsidRDefault="00782A43" w:rsidP="00CC2F07">
      <w:pPr>
        <w:pStyle w:val="ListParagraph"/>
        <w:numPr>
          <w:ilvl w:val="0"/>
          <w:numId w:val="10"/>
        </w:numPr>
        <w:tabs>
          <w:tab w:val="clear" w:pos="1440"/>
        </w:tabs>
        <w:ind w:hanging="270"/>
      </w:pPr>
      <w:r w:rsidRPr="00C141E2">
        <w:t xml:space="preserve">System </w:t>
      </w:r>
      <w:r>
        <w:t>r</w:t>
      </w:r>
      <w:r w:rsidRPr="00C141E2">
        <w:t>esources</w:t>
      </w:r>
    </w:p>
    <w:p w:rsidR="00782A43" w:rsidRPr="00C141E2" w:rsidRDefault="00782A43" w:rsidP="00CC2F07">
      <w:pPr>
        <w:pStyle w:val="ListParagraph"/>
        <w:numPr>
          <w:ilvl w:val="0"/>
          <w:numId w:val="10"/>
        </w:numPr>
        <w:tabs>
          <w:tab w:val="clear" w:pos="1440"/>
        </w:tabs>
        <w:ind w:hanging="270"/>
      </w:pPr>
      <w:r w:rsidRPr="00C141E2">
        <w:t xml:space="preserve">Grantee </w:t>
      </w:r>
      <w:r>
        <w:t>a</w:t>
      </w:r>
      <w:r w:rsidRPr="00C141E2">
        <w:t xml:space="preserve">ctivities and </w:t>
      </w:r>
      <w:r>
        <w:t>o</w:t>
      </w:r>
      <w:r w:rsidRPr="00C141E2">
        <w:t>perations</w:t>
      </w:r>
    </w:p>
    <w:p w:rsidR="00782A43" w:rsidRPr="00C141E2" w:rsidRDefault="00782A43" w:rsidP="00CC2F07">
      <w:pPr>
        <w:pStyle w:val="ListParagraph"/>
        <w:numPr>
          <w:ilvl w:val="0"/>
          <w:numId w:val="10"/>
        </w:numPr>
        <w:tabs>
          <w:tab w:val="clear" w:pos="1440"/>
        </w:tabs>
        <w:ind w:hanging="270"/>
      </w:pPr>
      <w:r w:rsidRPr="00C141E2">
        <w:t xml:space="preserve">Staffing and </w:t>
      </w:r>
      <w:r>
        <w:t>t</w:t>
      </w:r>
      <w:r w:rsidRPr="00C141E2">
        <w:t>raining</w:t>
      </w:r>
    </w:p>
    <w:p w:rsidR="00782A43" w:rsidRPr="00D167D6" w:rsidRDefault="00782A43" w:rsidP="00CC2F07">
      <w:pPr>
        <w:pStyle w:val="ListParagraph"/>
        <w:numPr>
          <w:ilvl w:val="0"/>
          <w:numId w:val="10"/>
        </w:numPr>
        <w:tabs>
          <w:tab w:val="clear" w:pos="1440"/>
        </w:tabs>
        <w:ind w:hanging="270"/>
      </w:pPr>
      <w:r w:rsidRPr="00D167D6">
        <w:t xml:space="preserve">Client </w:t>
      </w:r>
      <w:r>
        <w:t>c</w:t>
      </w:r>
      <w:r w:rsidRPr="00D167D6">
        <w:t>onditions</w:t>
      </w:r>
      <w:r>
        <w:t xml:space="preserve"> (e.g., barriers to receiving services) </w:t>
      </w:r>
    </w:p>
    <w:p w:rsidR="00782A43" w:rsidRPr="00C141E2" w:rsidRDefault="00782A43" w:rsidP="00B91CD1">
      <w:pPr>
        <w:pStyle w:val="bodytext"/>
        <w:spacing w:after="0" w:line="240" w:lineRule="auto"/>
      </w:pPr>
    </w:p>
    <w:p w:rsidR="00782A43" w:rsidRDefault="00782A43">
      <w:pPr>
        <w:pStyle w:val="bodytext"/>
        <w:spacing w:after="0" w:line="240" w:lineRule="auto"/>
        <w:ind w:left="720"/>
      </w:pPr>
      <w:r w:rsidRPr="00C141E2">
        <w:t>The semi-structured interviews with project directors, Grantee staff, and community collaborators/partners</w:t>
      </w:r>
      <w:r>
        <w:t xml:space="preserve">, along with client focus groups </w:t>
      </w:r>
      <w:r w:rsidRPr="00C141E2">
        <w:t xml:space="preserve">will provide </w:t>
      </w:r>
      <w:r>
        <w:t xml:space="preserve">the </w:t>
      </w:r>
      <w:r w:rsidRPr="00C141E2">
        <w:t xml:space="preserve">data necessary to conduct the process evaluation. </w:t>
      </w:r>
      <w:r w:rsidRPr="006A4C6E">
        <w:t xml:space="preserve">The following </w:t>
      </w:r>
      <w:r>
        <w:t xml:space="preserve">sections </w:t>
      </w:r>
      <w:r w:rsidRPr="006A4C6E">
        <w:t xml:space="preserve">present a description of the </w:t>
      </w:r>
      <w:r>
        <w:t>process data collection methodologies.</w:t>
      </w:r>
    </w:p>
    <w:p w:rsidR="00782A43" w:rsidRPr="00811D21" w:rsidRDefault="00782A43" w:rsidP="00B91CD1">
      <w:pPr>
        <w:pStyle w:val="bodytext"/>
        <w:spacing w:after="0" w:line="240" w:lineRule="auto"/>
      </w:pPr>
    </w:p>
    <w:p w:rsidR="00782A43" w:rsidRDefault="00782A43">
      <w:pPr>
        <w:pStyle w:val="bodytext"/>
        <w:spacing w:after="0" w:line="240" w:lineRule="auto"/>
        <w:ind w:left="720"/>
      </w:pPr>
      <w:r w:rsidRPr="00967F3D">
        <w:rPr>
          <w:u w:val="single"/>
        </w:rPr>
        <w:t>Administrat</w:t>
      </w:r>
      <w:r>
        <w:rPr>
          <w:u w:val="single"/>
        </w:rPr>
        <w:t>ive Staff</w:t>
      </w:r>
      <w:r w:rsidRPr="00967F3D">
        <w:rPr>
          <w:u w:val="single"/>
        </w:rPr>
        <w:t xml:space="preserve"> Semi-Structured Interviews</w:t>
      </w:r>
      <w:r w:rsidRPr="009015DA">
        <w:rPr>
          <w:u w:val="single"/>
        </w:rPr>
        <w:t>:</w:t>
      </w:r>
      <w:r w:rsidRPr="009015DA">
        <w:t xml:space="preserve"> (See </w:t>
      </w:r>
      <w:r>
        <w:t>Attachment 3 - Document 1.</w:t>
      </w:r>
      <w:r w:rsidRPr="005A7873">
        <w:t>)</w:t>
      </w:r>
      <w:r w:rsidRPr="00967F3D">
        <w:t xml:space="preserve"> The goal of this interview </w:t>
      </w:r>
      <w:r>
        <w:t>is</w:t>
      </w:r>
      <w:r w:rsidRPr="00967F3D">
        <w:t xml:space="preserve"> to collect information regarding the development and changes in TCE-HIV program operations, staffing, training</w:t>
      </w:r>
      <w:r>
        <w:t>,</w:t>
      </w:r>
      <w:r w:rsidRPr="00967F3D">
        <w:t xml:space="preserve"> and programming (e.g., outreach-pretreatment and/or treatment activities); to provide improved understanding of program, agency, and community capacity changes that result from TCE-HIV activities; and to </w:t>
      </w:r>
      <w:r w:rsidRPr="00967F3D">
        <w:lastRenderedPageBreak/>
        <w:t xml:space="preserve">collect documentation of changes in the number or nature of partnerships and collaborations both internal and external to the TCE-HIV program agency. </w:t>
      </w:r>
    </w:p>
    <w:p w:rsidR="00782A43" w:rsidRPr="00967F3D" w:rsidRDefault="00782A43" w:rsidP="00B91CD1">
      <w:pPr>
        <w:pStyle w:val="bodytext"/>
        <w:spacing w:after="0" w:line="240" w:lineRule="auto"/>
      </w:pPr>
      <w:r>
        <w:tab/>
      </w:r>
    </w:p>
    <w:p w:rsidR="00782A43" w:rsidRDefault="00782A43">
      <w:pPr>
        <w:pStyle w:val="bodytext"/>
        <w:spacing w:after="0" w:line="240" w:lineRule="auto"/>
        <w:ind w:left="720"/>
      </w:pPr>
      <w:r w:rsidRPr="00967F3D">
        <w:t xml:space="preserve">Individuals who perform administrative tasks related to the TCE-HIV program (e.g., Project Director, Program Manager, and Executive Director) are eligible to be interviewed. It is estimated that one administrative staff member per Grantee site will be interviewed during a given interview session. The administrator interviews will be conducted </w:t>
      </w:r>
      <w:r w:rsidRPr="00967F3D">
        <w:rPr>
          <w:rFonts w:eastAsia="MS Mincho"/>
        </w:rPr>
        <w:t xml:space="preserve">in two parts. The first part will be conducted with an </w:t>
      </w:r>
      <w:r>
        <w:rPr>
          <w:rFonts w:eastAsia="MS Mincho"/>
        </w:rPr>
        <w:t>e</w:t>
      </w:r>
      <w:r w:rsidRPr="00967F3D">
        <w:rPr>
          <w:rFonts w:eastAsia="MS Mincho"/>
        </w:rPr>
        <w:t xml:space="preserve">xecutive </w:t>
      </w:r>
      <w:r>
        <w:rPr>
          <w:rFonts w:eastAsia="MS Mincho"/>
        </w:rPr>
        <w:t>s</w:t>
      </w:r>
      <w:r w:rsidRPr="00967F3D">
        <w:rPr>
          <w:rFonts w:eastAsia="MS Mincho"/>
        </w:rPr>
        <w:t xml:space="preserve">taff </w:t>
      </w:r>
      <w:r>
        <w:rPr>
          <w:rFonts w:eastAsia="MS Mincho"/>
        </w:rPr>
        <w:t xml:space="preserve">member </w:t>
      </w:r>
      <w:r w:rsidRPr="00967F3D">
        <w:rPr>
          <w:rFonts w:eastAsia="MS Mincho"/>
        </w:rPr>
        <w:t>of the agency; and the second part with the Project Director or Coordinator of the TCE-HIV project.</w:t>
      </w:r>
      <w:r>
        <w:rPr>
          <w:rFonts w:eastAsia="MS Mincho"/>
        </w:rPr>
        <w:t xml:space="preserve"> </w:t>
      </w:r>
      <w:r w:rsidRPr="00967F3D">
        <w:rPr>
          <w:rFonts w:eastAsia="MS Mincho"/>
        </w:rPr>
        <w:t xml:space="preserve">It is likely that one person from the agency </w:t>
      </w:r>
      <w:r>
        <w:rPr>
          <w:rFonts w:eastAsia="MS Mincho"/>
        </w:rPr>
        <w:t xml:space="preserve">may </w:t>
      </w:r>
      <w:r w:rsidRPr="00967F3D">
        <w:rPr>
          <w:rFonts w:eastAsia="MS Mincho"/>
        </w:rPr>
        <w:t xml:space="preserve">fulfill both roles/positions. If this is </w:t>
      </w:r>
      <w:r w:rsidRPr="009015DA">
        <w:rPr>
          <w:rFonts w:eastAsia="MS Mincho"/>
        </w:rPr>
        <w:t xml:space="preserve">the case, the full interview </w:t>
      </w:r>
      <w:r>
        <w:rPr>
          <w:rFonts w:eastAsia="MS Mincho"/>
        </w:rPr>
        <w:t>will</w:t>
      </w:r>
      <w:r w:rsidRPr="009015DA">
        <w:rPr>
          <w:rFonts w:eastAsia="MS Mincho"/>
        </w:rPr>
        <w:t xml:space="preserve"> be conducted with that person.</w:t>
      </w:r>
    </w:p>
    <w:p w:rsidR="00782A43" w:rsidRPr="009015DA" w:rsidRDefault="00782A43" w:rsidP="00B91CD1">
      <w:pPr>
        <w:pStyle w:val="bodytext"/>
        <w:spacing w:after="0" w:line="240" w:lineRule="auto"/>
      </w:pPr>
    </w:p>
    <w:p w:rsidR="00782A43" w:rsidRDefault="00782A43">
      <w:pPr>
        <w:keepNext/>
        <w:ind w:left="720"/>
      </w:pPr>
      <w:r>
        <w:rPr>
          <w:u w:val="single"/>
        </w:rPr>
        <w:t xml:space="preserve">Direct Services </w:t>
      </w:r>
      <w:r w:rsidRPr="009015DA">
        <w:rPr>
          <w:u w:val="single"/>
        </w:rPr>
        <w:t>Staff Semi-Structured Interviews:</w:t>
      </w:r>
      <w:r w:rsidRPr="009015DA">
        <w:t xml:space="preserve"> (See </w:t>
      </w:r>
      <w:r>
        <w:t>Attachment 5 - Document 1</w:t>
      </w:r>
      <w:r w:rsidRPr="005A7873">
        <w:t>.)</w:t>
      </w:r>
      <w:r w:rsidRPr="009015DA">
        <w:t xml:space="preserve"> The goal of this interview will be to collect information regarding the development of outreach/pretreatment and treatment operations/activities and to improve the understanding of program changes that result from TCE-HIV activities. Individuals from the Grantee organization who have direct contact with clients to perform outreach/pretreatment and treatment</w:t>
      </w:r>
      <w:r>
        <w:t>-</w:t>
      </w:r>
      <w:r w:rsidRPr="009015DA">
        <w:t xml:space="preserve">related tasks will be eligible to be interviewed. Administrative staff members and direct </w:t>
      </w:r>
      <w:r>
        <w:t xml:space="preserve">services </w:t>
      </w:r>
      <w:r w:rsidRPr="009015DA">
        <w:t xml:space="preserve">staff members (e.g., outreach workers, counselors) perform different functions in grantee organizations and can each provide a different vantage point on treatment operations/activities within an organization. </w:t>
      </w:r>
      <w:r>
        <w:t>T</w:t>
      </w:r>
      <w:r w:rsidRPr="009015DA">
        <w:t xml:space="preserve">o obtain a balanced set of data, information will be collected from both. Examples of those performing direct service tasks include outreach workers, </w:t>
      </w:r>
      <w:r>
        <w:t xml:space="preserve">treatment </w:t>
      </w:r>
      <w:r w:rsidRPr="009015DA">
        <w:t xml:space="preserve">counselors, and case managers. It is estimated that more than one direct </w:t>
      </w:r>
      <w:r>
        <w:t xml:space="preserve">services </w:t>
      </w:r>
      <w:r w:rsidRPr="009015DA">
        <w:t xml:space="preserve">staff </w:t>
      </w:r>
      <w:r>
        <w:t xml:space="preserve">member </w:t>
      </w:r>
      <w:r w:rsidRPr="009015DA">
        <w:t>will participate in a given interview session.</w:t>
      </w:r>
    </w:p>
    <w:p w:rsidR="00782A43" w:rsidRPr="009015DA" w:rsidRDefault="00782A43" w:rsidP="00B91CD1">
      <w:pPr>
        <w:pStyle w:val="bodytext"/>
        <w:spacing w:after="0" w:line="240" w:lineRule="auto"/>
      </w:pPr>
    </w:p>
    <w:p w:rsidR="00782A43" w:rsidRDefault="00782A43">
      <w:pPr>
        <w:keepNext/>
        <w:ind w:left="720"/>
      </w:pPr>
      <w:r w:rsidRPr="009015DA">
        <w:rPr>
          <w:u w:val="single"/>
        </w:rPr>
        <w:t>Partner/Collaborator Semi-Structured Interviews</w:t>
      </w:r>
      <w:r w:rsidRPr="009015DA">
        <w:t xml:space="preserve">: (See </w:t>
      </w:r>
      <w:r>
        <w:t>Attachment 7 - Document 1</w:t>
      </w:r>
      <w:r w:rsidRPr="005A7873">
        <w:t>.)</w:t>
      </w:r>
      <w:r w:rsidRPr="009015DA">
        <w:t xml:space="preserve"> The goal of this interview will be to collect information regarding the development of the relationship between partners and the TCE-HIV Grantee agency; to document the types of activities and services the partners provide in collaboration with the Grantee; and to assess partners’ perceptions of improved client outcomes related to collaboration between partner and Grantee agency.</w:t>
      </w:r>
      <w:r>
        <w:t xml:space="preserve"> </w:t>
      </w:r>
      <w:r w:rsidRPr="009015DA">
        <w:t>“Partner/collaborator” refers to agencies or organizations that provide services and activities related to the TCE-HIV program. It is estimated that one to two individuals per community partner agency will participate in a given interview session.</w:t>
      </w:r>
    </w:p>
    <w:p w:rsidR="00782A43" w:rsidRPr="00F014D5" w:rsidRDefault="00782A43" w:rsidP="0045038F">
      <w:pPr>
        <w:ind w:left="360"/>
      </w:pPr>
    </w:p>
    <w:p w:rsidR="00782A43" w:rsidRDefault="00782A43" w:rsidP="00CC2F07">
      <w:pPr>
        <w:pStyle w:val="bodytext"/>
        <w:spacing w:after="120" w:line="240" w:lineRule="auto"/>
        <w:ind w:left="720"/>
      </w:pPr>
      <w:r w:rsidRPr="009015DA">
        <w:rPr>
          <w:u w:val="single"/>
        </w:rPr>
        <w:t>Client Focus Groups:</w:t>
      </w:r>
      <w:r w:rsidRPr="009015DA">
        <w:t xml:space="preserve"> (See </w:t>
      </w:r>
      <w:r>
        <w:t>Attachment 1a - Document 1</w:t>
      </w:r>
      <w:r w:rsidRPr="005A7873">
        <w:t>.)</w:t>
      </w:r>
      <w:r w:rsidRPr="009015DA">
        <w:rPr>
          <w:color w:val="339966"/>
        </w:rPr>
        <w:t xml:space="preserve"> </w:t>
      </w:r>
      <w:r w:rsidRPr="009015DA">
        <w:t xml:space="preserve">The goal of the </w:t>
      </w:r>
      <w:r>
        <w:t>c</w:t>
      </w:r>
      <w:r w:rsidRPr="009015DA">
        <w:t xml:space="preserve">lient </w:t>
      </w:r>
      <w:r>
        <w:t>f</w:t>
      </w:r>
      <w:r w:rsidRPr="009015DA">
        <w:t xml:space="preserve">ocus </w:t>
      </w:r>
      <w:r>
        <w:t>g</w:t>
      </w:r>
      <w:r w:rsidRPr="009015DA">
        <w:t xml:space="preserve">roup conducted </w:t>
      </w:r>
      <w:r>
        <w:t>during</w:t>
      </w:r>
      <w:r w:rsidRPr="009015DA">
        <w:t xml:space="preserve"> </w:t>
      </w:r>
      <w:r w:rsidRPr="001F4AA1">
        <w:t xml:space="preserve">TCE-HIV Multi-Site Evaluation site visits will be to collect data from a subsample of TCE-HIV treatment clients regarding </w:t>
      </w:r>
      <w:r>
        <w:t>their</w:t>
      </w:r>
      <w:r w:rsidRPr="001F4AA1">
        <w:t xml:space="preserve"> satisfaction with the treatment program, barriers and facilitators of treatment services, and client-level outcomes (i.e., substance use/abuse, risk behavior, quality of life). The Multi-Site Evaluation staff will work collaboratively with Grantee staff to identify client focus group participants. Only those clients who have been administered the GPRA and who are receiving TCE-HIV funded treatment services will be eligible to participate in the client focus group. Several inclusion and exclusion criteria will be used to ensure client participants are representative of the target audience served by the Grantee. For example, </w:t>
      </w:r>
      <w:r w:rsidRPr="001F4AA1">
        <w:lastRenderedPageBreak/>
        <w:t xml:space="preserve">clients </w:t>
      </w:r>
      <w:r>
        <w:t>who</w:t>
      </w:r>
      <w:r w:rsidRPr="001F4AA1">
        <w:t xml:space="preserve"> have been in treatment for </w:t>
      </w:r>
      <w:r>
        <w:t>fewer</w:t>
      </w:r>
      <w:r w:rsidRPr="001F4AA1">
        <w:t xml:space="preserve"> than 14 days may be unable to share information based on their limited time in treatment. Additionally, the recruitment of clients for the focus groups will strive for a balance in participants with regard to gender and age. A specified list of focus group inclusion and exclusion criteria will be developed and shared with the Grantees to aid in client identification. It is estimated that up to nine clients will participate in</w:t>
      </w:r>
      <w:r w:rsidRPr="00871746">
        <w:t xml:space="preserve"> </w:t>
      </w:r>
      <w:r>
        <w:t>each</w:t>
      </w:r>
      <w:r w:rsidRPr="00871746">
        <w:t xml:space="preserve"> focus group</w:t>
      </w:r>
      <w:r>
        <w:t xml:space="preserve"> session</w:t>
      </w:r>
      <w:r w:rsidRPr="00871746">
        <w:t>.</w:t>
      </w:r>
    </w:p>
    <w:p w:rsidR="00782A43" w:rsidRDefault="00782A43">
      <w:pPr>
        <w:ind w:left="720"/>
      </w:pPr>
      <w:proofErr w:type="gramStart"/>
      <w:r w:rsidRPr="00A000E2">
        <w:rPr>
          <w:b/>
          <w:bCs/>
        </w:rPr>
        <w:t>Outcome Evaluation</w:t>
      </w:r>
      <w:r>
        <w:rPr>
          <w:b/>
          <w:bCs/>
        </w:rPr>
        <w:t>.</w:t>
      </w:r>
      <w:proofErr w:type="gramEnd"/>
      <w:r w:rsidRPr="00A000E2">
        <w:rPr>
          <w:b/>
          <w:bCs/>
        </w:rPr>
        <w:t xml:space="preserve"> </w:t>
      </w:r>
      <w:r w:rsidRPr="00A000E2">
        <w:t xml:space="preserve">While the process evaluation will produce critically useful descriptive information </w:t>
      </w:r>
      <w:r>
        <w:t xml:space="preserve">at a community level and grantee level </w:t>
      </w:r>
      <w:r w:rsidRPr="00A000E2">
        <w:t>regarding the TCE-HIV Grantees</w:t>
      </w:r>
      <w:r>
        <w:t>,</w:t>
      </w:r>
      <w:r w:rsidRPr="00A000E2">
        <w:t xml:space="preserve"> how their programs are implemented</w:t>
      </w:r>
      <w:r>
        <w:t>,</w:t>
      </w:r>
      <w:r w:rsidRPr="00A000E2">
        <w:t xml:space="preserve"> and changes through the course of the 5-year funding cycle, the outcome evaluation of the 4</w:t>
      </w:r>
      <w:r>
        <w:t>0</w:t>
      </w:r>
      <w:r w:rsidRPr="00A000E2">
        <w:t xml:space="preserve"> treatment Grantees will provide evidence on the effects of the TCE-HIV interventions on clients. </w:t>
      </w:r>
    </w:p>
    <w:p w:rsidR="00782A43" w:rsidRDefault="00782A43" w:rsidP="00F06383"/>
    <w:p w:rsidR="00782A43" w:rsidRDefault="00782A43">
      <w:pPr>
        <w:ind w:firstLine="720"/>
      </w:pPr>
      <w:r w:rsidRPr="002D33C1">
        <w:t>Specifically the outcome evaluation will provide data regarding:</w:t>
      </w:r>
    </w:p>
    <w:p w:rsidR="00782A43" w:rsidRDefault="00782A43">
      <w:pPr>
        <w:ind w:firstLine="720"/>
      </w:pPr>
    </w:p>
    <w:p w:rsidR="00782A43" w:rsidRPr="002D33C1" w:rsidRDefault="00782A43" w:rsidP="00CC2F07">
      <w:pPr>
        <w:numPr>
          <w:ilvl w:val="0"/>
          <w:numId w:val="11"/>
        </w:numPr>
        <w:tabs>
          <w:tab w:val="clear" w:pos="1800"/>
        </w:tabs>
        <w:ind w:left="1620"/>
      </w:pPr>
      <w:r w:rsidRPr="002D33C1">
        <w:t xml:space="preserve">Client </w:t>
      </w:r>
      <w:r>
        <w:t>c</w:t>
      </w:r>
      <w:r w:rsidRPr="002D33C1">
        <w:t>haracteristics</w:t>
      </w:r>
    </w:p>
    <w:p w:rsidR="00782A43" w:rsidRPr="002D33C1" w:rsidRDefault="00782A43" w:rsidP="00CC2F07">
      <w:pPr>
        <w:pStyle w:val="ListParagraph"/>
        <w:numPr>
          <w:ilvl w:val="0"/>
          <w:numId w:val="11"/>
        </w:numPr>
        <w:tabs>
          <w:tab w:val="clear" w:pos="1800"/>
        </w:tabs>
        <w:ind w:left="1620"/>
      </w:pPr>
      <w:r w:rsidRPr="002D33C1">
        <w:t xml:space="preserve">HIV </w:t>
      </w:r>
      <w:r>
        <w:t>t</w:t>
      </w:r>
      <w:r w:rsidRPr="002D33C1">
        <w:t xml:space="preserve">esting and </w:t>
      </w:r>
      <w:r>
        <w:t>s</w:t>
      </w:r>
      <w:r w:rsidRPr="002D33C1">
        <w:t>tatus</w:t>
      </w:r>
    </w:p>
    <w:p w:rsidR="00782A43" w:rsidRPr="002D33C1" w:rsidRDefault="00782A43" w:rsidP="00CC2F07">
      <w:pPr>
        <w:pStyle w:val="ListParagraph"/>
        <w:numPr>
          <w:ilvl w:val="0"/>
          <w:numId w:val="11"/>
        </w:numPr>
        <w:tabs>
          <w:tab w:val="clear" w:pos="1800"/>
        </w:tabs>
        <w:ind w:left="1620"/>
      </w:pPr>
      <w:r w:rsidRPr="002D33C1">
        <w:t xml:space="preserve">Criminal </w:t>
      </w:r>
      <w:r>
        <w:t>a</w:t>
      </w:r>
      <w:r w:rsidRPr="002D33C1">
        <w:t>ctivity</w:t>
      </w:r>
    </w:p>
    <w:p w:rsidR="00782A43" w:rsidRPr="002D33C1" w:rsidRDefault="00782A43" w:rsidP="00CC2F07">
      <w:pPr>
        <w:pStyle w:val="ListParagraph"/>
        <w:numPr>
          <w:ilvl w:val="0"/>
          <w:numId w:val="11"/>
        </w:numPr>
        <w:tabs>
          <w:tab w:val="clear" w:pos="1800"/>
        </w:tabs>
        <w:ind w:left="1620"/>
      </w:pPr>
      <w:r w:rsidRPr="002D33C1">
        <w:t xml:space="preserve">Education and </w:t>
      </w:r>
      <w:r>
        <w:t>h</w:t>
      </w:r>
      <w:r w:rsidRPr="002D33C1">
        <w:t>ousing</w:t>
      </w:r>
    </w:p>
    <w:p w:rsidR="00782A43" w:rsidRPr="002D33C1" w:rsidRDefault="00782A43" w:rsidP="00CC2F07">
      <w:pPr>
        <w:pStyle w:val="ListParagraph"/>
        <w:numPr>
          <w:ilvl w:val="0"/>
          <w:numId w:val="11"/>
        </w:numPr>
        <w:tabs>
          <w:tab w:val="clear" w:pos="1800"/>
        </w:tabs>
        <w:ind w:left="1620"/>
      </w:pPr>
      <w:r w:rsidRPr="002D33C1">
        <w:t xml:space="preserve">Client </w:t>
      </w:r>
      <w:r>
        <w:t>s</w:t>
      </w:r>
      <w:r w:rsidRPr="002D33C1">
        <w:t>atisfaction</w:t>
      </w:r>
    </w:p>
    <w:p w:rsidR="00782A43" w:rsidRPr="002D33C1" w:rsidRDefault="00782A43" w:rsidP="00CC2F07">
      <w:pPr>
        <w:pStyle w:val="ListParagraph"/>
        <w:numPr>
          <w:ilvl w:val="0"/>
          <w:numId w:val="11"/>
        </w:numPr>
        <w:tabs>
          <w:tab w:val="clear" w:pos="1800"/>
        </w:tabs>
        <w:ind w:left="1620"/>
      </w:pPr>
      <w:r w:rsidRPr="002D33C1">
        <w:t xml:space="preserve">Substance </w:t>
      </w:r>
      <w:r>
        <w:t>abu</w:t>
      </w:r>
      <w:r w:rsidRPr="002D33C1">
        <w:t>se</w:t>
      </w:r>
      <w:r>
        <w:t xml:space="preserve"> (the sole measure is the GPRA questionnaire)</w:t>
      </w:r>
    </w:p>
    <w:p w:rsidR="00782A43" w:rsidRDefault="00782A43" w:rsidP="00CC2F07">
      <w:pPr>
        <w:pStyle w:val="ListParagraph"/>
        <w:numPr>
          <w:ilvl w:val="0"/>
          <w:numId w:val="11"/>
        </w:numPr>
        <w:tabs>
          <w:tab w:val="clear" w:pos="1800"/>
        </w:tabs>
        <w:ind w:left="1620"/>
      </w:pPr>
      <w:r w:rsidRPr="002D33C1">
        <w:t xml:space="preserve">HIV </w:t>
      </w:r>
      <w:r>
        <w:t>risk</w:t>
      </w:r>
      <w:r w:rsidRPr="002D33C1">
        <w:t xml:space="preserve"> </w:t>
      </w:r>
      <w:r>
        <w:t>b</w:t>
      </w:r>
      <w:r w:rsidRPr="002D33C1">
        <w:t>ehavior</w:t>
      </w:r>
    </w:p>
    <w:p w:rsidR="00782A43" w:rsidRDefault="00782A43" w:rsidP="00CC2F07">
      <w:pPr>
        <w:pStyle w:val="ListParagraph"/>
        <w:numPr>
          <w:ilvl w:val="0"/>
          <w:numId w:val="11"/>
        </w:numPr>
        <w:tabs>
          <w:tab w:val="clear" w:pos="1800"/>
        </w:tabs>
        <w:ind w:left="1620"/>
      </w:pPr>
      <w:r>
        <w:t>Exposure to s</w:t>
      </w:r>
      <w:r w:rsidRPr="00C141E2">
        <w:t>ervices (</w:t>
      </w:r>
      <w:r>
        <w:t>i.e., d</w:t>
      </w:r>
      <w:r w:rsidRPr="00C141E2">
        <w:t>osage)</w:t>
      </w:r>
    </w:p>
    <w:p w:rsidR="00782A43" w:rsidRPr="002D33C1" w:rsidRDefault="00782A43" w:rsidP="00F06383"/>
    <w:p w:rsidR="00782A43" w:rsidRDefault="00782A43">
      <w:pPr>
        <w:ind w:left="720"/>
      </w:pPr>
      <w:r w:rsidRPr="00A000E2">
        <w:t>The client survey</w:t>
      </w:r>
      <w:r>
        <w:t xml:space="preserve">s </w:t>
      </w:r>
      <w:r w:rsidRPr="00A000E2">
        <w:t>will provide the data necessary to conduct a complete outcome evaluation.</w:t>
      </w:r>
      <w:r>
        <w:t xml:space="preserve"> </w:t>
      </w:r>
      <w:r w:rsidRPr="00A000E2">
        <w:t>The following paragraphs present a description of the client survey</w:t>
      </w:r>
      <w:r>
        <w:t>.</w:t>
      </w:r>
    </w:p>
    <w:p w:rsidR="00782A43" w:rsidRPr="00A000E2" w:rsidRDefault="00782A43" w:rsidP="00BD1309"/>
    <w:p w:rsidR="00782A43" w:rsidRDefault="00782A43">
      <w:pPr>
        <w:ind w:left="720"/>
      </w:pPr>
      <w:r w:rsidRPr="00A000E2">
        <w:rPr>
          <w:u w:val="single"/>
        </w:rPr>
        <w:t>Client Survey</w:t>
      </w:r>
      <w:r w:rsidRPr="00A000E2">
        <w:t>:</w:t>
      </w:r>
      <w:r>
        <w:t xml:space="preserve"> (See </w:t>
      </w:r>
      <w:r w:rsidRPr="005A7873">
        <w:t xml:space="preserve">Attachment </w:t>
      </w:r>
      <w:r>
        <w:t xml:space="preserve">1a - Documents 2 &amp; 3, Attachment 1b - Document 1.) </w:t>
      </w:r>
      <w:r w:rsidRPr="00A000E2">
        <w:t xml:space="preserve">The goals of the </w:t>
      </w:r>
      <w:r>
        <w:t>c</w:t>
      </w:r>
      <w:r w:rsidRPr="00A000E2">
        <w:t xml:space="preserve">lient </w:t>
      </w:r>
      <w:r>
        <w:t>s</w:t>
      </w:r>
      <w:r w:rsidRPr="00A000E2">
        <w:t xml:space="preserve">urvey are to collect information that will document client HIV </w:t>
      </w:r>
      <w:r>
        <w:t xml:space="preserve">risk </w:t>
      </w:r>
      <w:r w:rsidRPr="00A000E2">
        <w:t>behavior and client conditions. This includes measuring variables that impact a client’s situation.</w:t>
      </w:r>
      <w:r>
        <w:t xml:space="preserve"> </w:t>
      </w:r>
      <w:r w:rsidRPr="00A000E2">
        <w:t xml:space="preserve">For example, social connectedness measures a client’s family and living arrangements, as well as use of recovery services. In addition, clients can be impacted by their quality of life (e.g., educational status, employment status, criminal justice involvement, trauma exposure), which will </w:t>
      </w:r>
      <w:r w:rsidRPr="009015DA">
        <w:t xml:space="preserve">also be assessed. </w:t>
      </w:r>
    </w:p>
    <w:p w:rsidR="00782A43" w:rsidRPr="009015DA" w:rsidRDefault="00782A43" w:rsidP="00BD1309"/>
    <w:p w:rsidR="00782A43" w:rsidRDefault="00782A43">
      <w:pPr>
        <w:ind w:left="720"/>
      </w:pPr>
      <w:r w:rsidRPr="009015DA">
        <w:t xml:space="preserve">The targeted </w:t>
      </w:r>
      <w:r>
        <w:t>audience</w:t>
      </w:r>
      <w:r w:rsidRPr="009015DA">
        <w:t xml:space="preserve"> for the TCE-HIV evaluation client surveys </w:t>
      </w:r>
      <w:r>
        <w:t>is</w:t>
      </w:r>
      <w:r w:rsidRPr="009015DA">
        <w:t xml:space="preserve"> clients in a treatment program </w:t>
      </w:r>
      <w:r>
        <w:t>administered by the</w:t>
      </w:r>
      <w:r w:rsidRPr="009015DA">
        <w:t xml:space="preserve"> 4</w:t>
      </w:r>
      <w:r>
        <w:t>0</w:t>
      </w:r>
      <w:r w:rsidRPr="009015DA">
        <w:t xml:space="preserve"> Grantee treatment programs. The client surveys will be administered by Grantee program counselors. All </w:t>
      </w:r>
      <w:r>
        <w:t>clients who received</w:t>
      </w:r>
      <w:r w:rsidRPr="009015DA">
        <w:t xml:space="preserve"> the initial baseline survey (see </w:t>
      </w:r>
      <w:r>
        <w:t>Attachment 1a - Document 2</w:t>
      </w:r>
      <w:r w:rsidRPr="005A7873">
        <w:t>)</w:t>
      </w:r>
      <w:r w:rsidRPr="009015DA">
        <w:t xml:space="preserve"> will be asked to complete a follow-up survey at discharge (see </w:t>
      </w:r>
      <w:r w:rsidRPr="005A7873">
        <w:t>Attachment</w:t>
      </w:r>
      <w:r w:rsidRPr="009015DA">
        <w:t xml:space="preserve"> </w:t>
      </w:r>
      <w:r>
        <w:t>1a -Document 3</w:t>
      </w:r>
      <w:r w:rsidRPr="009015DA">
        <w:t xml:space="preserve">), and at </w:t>
      </w:r>
      <w:r>
        <w:t>6 months</w:t>
      </w:r>
      <w:r w:rsidRPr="009015DA">
        <w:t xml:space="preserve"> post baseline (see </w:t>
      </w:r>
      <w:r>
        <w:t>Attachment 1b - Document 1</w:t>
      </w:r>
      <w:r w:rsidRPr="005A7873">
        <w:t>).</w:t>
      </w:r>
      <w:r w:rsidRPr="009015DA" w:rsidDel="00A52F6A">
        <w:t xml:space="preserve"> </w:t>
      </w:r>
      <w:r w:rsidRPr="009015DA">
        <w:t xml:space="preserve">Data collection at the two follow-up points is necessary to measure the short- and longer-term client </w:t>
      </w:r>
      <w:r w:rsidRPr="00F544D3">
        <w:t>outcomes</w:t>
      </w:r>
      <w:r w:rsidRPr="009015DA">
        <w:t xml:space="preserve"> associated with Grantee treatment approaches, which is one of the primary objectives of the TCE-HIV Multi-Site Evaluation.</w:t>
      </w:r>
    </w:p>
    <w:p w:rsidR="00782A43" w:rsidRPr="00F504C5" w:rsidRDefault="00782A43" w:rsidP="00BD1309"/>
    <w:p w:rsidR="00782A43" w:rsidRDefault="00782A43">
      <w:pPr>
        <w:ind w:left="720"/>
      </w:pPr>
      <w:r>
        <w:t xml:space="preserve">The client survey was developed from a combination of new questions (i.e., Sections A–C, Section E13–E25) and from subscales of existing measures (i.e., </w:t>
      </w:r>
      <w:r w:rsidRPr="00F82FD1">
        <w:t>Sections D, E1</w:t>
      </w:r>
      <w:r>
        <w:t>–</w:t>
      </w:r>
      <w:r w:rsidRPr="00F82FD1">
        <w:t>E1</w:t>
      </w:r>
      <w:r>
        <w:t>2</w:t>
      </w:r>
      <w:r w:rsidRPr="00F82FD1">
        <w:t xml:space="preserve"> </w:t>
      </w:r>
      <w:r w:rsidRPr="00F82FD1">
        <w:lastRenderedPageBreak/>
        <w:t>and Section F</w:t>
      </w:r>
      <w:r>
        <w:t>).</w:t>
      </w:r>
      <w:r w:rsidRPr="00F82FD1">
        <w:t xml:space="preserve"> </w:t>
      </w:r>
      <w:r>
        <w:t>Each subscale was carefully selected to assess the construct of interest yet maintain its ability to be a stand-alone subscale that can be scored separately from the entire measure.</w:t>
      </w:r>
    </w:p>
    <w:p w:rsidR="00782A43" w:rsidRDefault="00782A43" w:rsidP="00F01A76"/>
    <w:p w:rsidR="00782A43" w:rsidRDefault="00782A43">
      <w:pPr>
        <w:ind w:left="720"/>
      </w:pPr>
      <w:r w:rsidRPr="00F82FD1">
        <w:t>Section D (items D1–D9) on the client survey is from the Social Support subscale questions from the T</w:t>
      </w:r>
      <w:r>
        <w:t xml:space="preserve">exas </w:t>
      </w:r>
      <w:r w:rsidRPr="00F82FD1">
        <w:t>C</w:t>
      </w:r>
      <w:r>
        <w:t xml:space="preserve">hristian </w:t>
      </w:r>
      <w:r w:rsidRPr="00F82FD1">
        <w:t>U</w:t>
      </w:r>
      <w:r>
        <w:t>niversity</w:t>
      </w:r>
      <w:r w:rsidRPr="00F82FD1">
        <w:t xml:space="preserve"> C</w:t>
      </w:r>
      <w:r>
        <w:t xml:space="preserve">lient </w:t>
      </w:r>
      <w:r w:rsidRPr="00F82FD1">
        <w:t>E</w:t>
      </w:r>
      <w:r>
        <w:t xml:space="preserve">valuation of </w:t>
      </w:r>
      <w:r w:rsidRPr="00F82FD1">
        <w:t>S</w:t>
      </w:r>
      <w:r>
        <w:t xml:space="preserve">elf and </w:t>
      </w:r>
      <w:r w:rsidRPr="00F82FD1">
        <w:t>T</w:t>
      </w:r>
      <w:r>
        <w:t>reatment (TCU CEST)</w:t>
      </w:r>
      <w:r w:rsidRPr="00F82FD1">
        <w:t>. Questions for Section E1</w:t>
      </w:r>
      <w:r>
        <w:t>–</w:t>
      </w:r>
      <w:r w:rsidRPr="00F82FD1">
        <w:t xml:space="preserve">E12 are the </w:t>
      </w:r>
      <w:r>
        <w:t>d</w:t>
      </w:r>
      <w:r w:rsidRPr="00F82FD1">
        <w:t xml:space="preserve">epression and </w:t>
      </w:r>
      <w:r>
        <w:t>a</w:t>
      </w:r>
      <w:r w:rsidRPr="00F82FD1">
        <w:t>nxiety symptom dimensions from the B</w:t>
      </w:r>
      <w:r>
        <w:t xml:space="preserve">rief </w:t>
      </w:r>
      <w:r w:rsidRPr="00F82FD1">
        <w:t>S</w:t>
      </w:r>
      <w:r>
        <w:t xml:space="preserve">ymptom </w:t>
      </w:r>
      <w:r w:rsidRPr="00F82FD1">
        <w:t>I</w:t>
      </w:r>
      <w:r>
        <w:t>nventory (BSI)</w:t>
      </w:r>
      <w:r w:rsidRPr="00F82FD1">
        <w:t xml:space="preserve">. Section F </w:t>
      </w:r>
      <w:r>
        <w:t>contains</w:t>
      </w:r>
      <w:r w:rsidRPr="00F82FD1">
        <w:t xml:space="preserve"> the Taking Steps subscale questions from the </w:t>
      </w:r>
      <w:r w:rsidRPr="000E24D1">
        <w:t>Stages of Change Readiness and Treatment Eagerness Scale</w:t>
      </w:r>
      <w:r w:rsidRPr="00F82FD1">
        <w:rPr>
          <w:i/>
          <w:iCs/>
        </w:rPr>
        <w:t xml:space="preserve"> </w:t>
      </w:r>
      <w:r>
        <w:t>(</w:t>
      </w:r>
      <w:r w:rsidRPr="00F82FD1">
        <w:t>SOCRATES</w:t>
      </w:r>
      <w:r>
        <w:t>).</w:t>
      </w:r>
      <w:r w:rsidRPr="00F82FD1">
        <w:t xml:space="preserve"> A general description of these existing measures and the reliability and validity information for each subscale can be found below. </w:t>
      </w:r>
    </w:p>
    <w:p w:rsidR="00782A43" w:rsidRDefault="00782A43">
      <w:pPr>
        <w:ind w:left="720"/>
      </w:pPr>
    </w:p>
    <w:p w:rsidR="00782A43" w:rsidRDefault="00782A43" w:rsidP="00F01A76">
      <w:pPr>
        <w:pStyle w:val="Default"/>
        <w:numPr>
          <w:ilvl w:val="0"/>
          <w:numId w:val="18"/>
        </w:numPr>
        <w:ind w:right="1440"/>
      </w:pPr>
      <w:r w:rsidRPr="0058538A">
        <w:rPr>
          <w:i/>
          <w:iCs/>
        </w:rPr>
        <w:t>Texas Christian University Client Evaluation of Self and Treatment</w:t>
      </w:r>
      <w:r w:rsidRPr="0058538A">
        <w:t xml:space="preserve"> (TCU CEST) (</w:t>
      </w:r>
      <w:r w:rsidRPr="00476C6E">
        <w:t>Texas</w:t>
      </w:r>
      <w:r w:rsidRPr="0058538A">
        <w:t xml:space="preserve"> Christian University, 2005). The Client Evaluation of Self and Treatment (TCU CEST) was developed as part of NIDA Grant R37 DA13093, </w:t>
      </w:r>
      <w:r w:rsidRPr="0058538A">
        <w:rPr>
          <w:i/>
          <w:iCs/>
        </w:rPr>
        <w:t>Transferring Drug Abuse Treatment and Assessment Resources</w:t>
      </w:r>
      <w:r w:rsidRPr="0058538A">
        <w:t>. The TCU CEST includes a set of assessments that “target” specific needs and status of clients in different stages of change during treatment.</w:t>
      </w:r>
      <w:r>
        <w:t xml:space="preserve"> </w:t>
      </w:r>
      <w:r w:rsidRPr="0058538A">
        <w:t xml:space="preserve">The coefficient alpha for the Social Support Scale is .84. </w:t>
      </w:r>
    </w:p>
    <w:p w:rsidR="00782A43" w:rsidRPr="00F82FD1" w:rsidRDefault="00782A43" w:rsidP="00F01A76">
      <w:pPr>
        <w:pStyle w:val="Default"/>
        <w:numPr>
          <w:ilvl w:val="0"/>
          <w:numId w:val="18"/>
        </w:numPr>
        <w:ind w:right="1440"/>
      </w:pPr>
      <w:r w:rsidRPr="00F82FD1">
        <w:rPr>
          <w:i/>
          <w:iCs/>
        </w:rPr>
        <w:t>Brief Symptom Inventory</w:t>
      </w:r>
      <w:r w:rsidRPr="009C1D31">
        <w:t xml:space="preserve"> (BSI)</w:t>
      </w:r>
      <w:r>
        <w:t xml:space="preserve"> (</w:t>
      </w:r>
      <w:proofErr w:type="spellStart"/>
      <w:r w:rsidRPr="00476C6E">
        <w:t>Derogatis</w:t>
      </w:r>
      <w:proofErr w:type="spellEnd"/>
      <w:r w:rsidRPr="00A01C60">
        <w:t>,</w:t>
      </w:r>
      <w:r>
        <w:t xml:space="preserve"> 1993). The purpose of this measure is to identify </w:t>
      </w:r>
      <w:r w:rsidRPr="00F82FD1">
        <w:t>self-reported</w:t>
      </w:r>
      <w:r>
        <w:t>,</w:t>
      </w:r>
      <w:r w:rsidRPr="00F82FD1">
        <w:t xml:space="preserve"> clinically relevant psychological symptoms in adults. Internal consistency estimates for the two subscales are .85 (depression) and</w:t>
      </w:r>
      <w:r>
        <w:t xml:space="preserve"> </w:t>
      </w:r>
      <w:r w:rsidRPr="00F82FD1">
        <w:t xml:space="preserve">.81 (anxiety). </w:t>
      </w:r>
      <w:r w:rsidRPr="0058538A">
        <w:t xml:space="preserve">Good internal consistency reliability is </w:t>
      </w:r>
      <w:r w:rsidRPr="0058538A">
        <w:rPr>
          <w:color w:val="auto"/>
        </w:rPr>
        <w:t>supported by several other independent studies (</w:t>
      </w:r>
      <w:proofErr w:type="spellStart"/>
      <w:r w:rsidRPr="00476C6E">
        <w:rPr>
          <w:color w:val="auto"/>
        </w:rPr>
        <w:t>Croog</w:t>
      </w:r>
      <w:proofErr w:type="spellEnd"/>
      <w:r>
        <w:rPr>
          <w:color w:val="auto"/>
        </w:rPr>
        <w:t xml:space="preserve">, Levine, </w:t>
      </w:r>
      <w:proofErr w:type="spellStart"/>
      <w:r>
        <w:rPr>
          <w:color w:val="auto"/>
        </w:rPr>
        <w:t>Testa</w:t>
      </w:r>
      <w:proofErr w:type="spellEnd"/>
      <w:r>
        <w:rPr>
          <w:color w:val="auto"/>
        </w:rPr>
        <w:t xml:space="preserve">, &amp; Brown, </w:t>
      </w:r>
      <w:r w:rsidRPr="0058538A">
        <w:rPr>
          <w:color w:val="auto"/>
        </w:rPr>
        <w:t xml:space="preserve">1986; </w:t>
      </w:r>
      <w:proofErr w:type="spellStart"/>
      <w:r w:rsidRPr="00476C6E">
        <w:rPr>
          <w:color w:val="auto"/>
        </w:rPr>
        <w:t>Derogatis</w:t>
      </w:r>
      <w:proofErr w:type="spellEnd"/>
      <w:r>
        <w:rPr>
          <w:color w:val="auto"/>
        </w:rPr>
        <w:t xml:space="preserve"> &amp; Coons</w:t>
      </w:r>
      <w:r w:rsidRPr="0058538A">
        <w:rPr>
          <w:color w:val="auto"/>
        </w:rPr>
        <w:t xml:space="preserve">, 1993). </w:t>
      </w:r>
    </w:p>
    <w:p w:rsidR="00782A43" w:rsidRDefault="00782A43" w:rsidP="00F01A76">
      <w:pPr>
        <w:pStyle w:val="Default"/>
        <w:numPr>
          <w:ilvl w:val="0"/>
          <w:numId w:val="18"/>
        </w:numPr>
        <w:ind w:right="1440"/>
      </w:pPr>
      <w:r w:rsidRPr="00F82FD1">
        <w:rPr>
          <w:i/>
          <w:iCs/>
        </w:rPr>
        <w:t xml:space="preserve">Stages of Change Readiness and Treatment Eagerness Scale </w:t>
      </w:r>
      <w:r w:rsidRPr="00F82FD1">
        <w:t xml:space="preserve">(SOCRATES) </w:t>
      </w:r>
      <w:r>
        <w:t>(</w:t>
      </w:r>
      <w:r w:rsidRPr="00476C6E">
        <w:t>Miller</w:t>
      </w:r>
      <w:r>
        <w:t xml:space="preserve"> &amp; </w:t>
      </w:r>
      <w:proofErr w:type="spellStart"/>
      <w:r>
        <w:t>Tonigan</w:t>
      </w:r>
      <w:proofErr w:type="spellEnd"/>
      <w:r>
        <w:t>, 1997</w:t>
      </w:r>
      <w:r w:rsidRPr="00F82FD1">
        <w:t>). Psychometric analyses reveal the following psychometric characteristics of the Taking Steps scale questions:</w:t>
      </w:r>
    </w:p>
    <w:p w:rsidR="00782A43" w:rsidRDefault="00782A43">
      <w:pPr>
        <w:pStyle w:val="Default"/>
        <w:ind w:left="1440" w:right="1440"/>
      </w:pPr>
    </w:p>
    <w:p w:rsidR="00782A43" w:rsidRPr="00F82FD1" w:rsidRDefault="00782A43" w:rsidP="00F01A76">
      <w:pPr>
        <w:numPr>
          <w:ilvl w:val="2"/>
          <w:numId w:val="19"/>
        </w:numPr>
        <w:autoSpaceDE w:val="0"/>
        <w:autoSpaceDN w:val="0"/>
        <w:adjustRightInd w:val="0"/>
      </w:pPr>
      <w:proofErr w:type="spellStart"/>
      <w:r w:rsidRPr="00F82FD1">
        <w:t>Cronbach</w:t>
      </w:r>
      <w:proofErr w:type="spellEnd"/>
      <w:r w:rsidRPr="00F82FD1">
        <w:t xml:space="preserve"> Alpha</w:t>
      </w:r>
      <w:r>
        <w:t xml:space="preserve"> </w:t>
      </w:r>
      <w:r w:rsidRPr="00F82FD1">
        <w:t xml:space="preserve">= .83 </w:t>
      </w:r>
      <w:r>
        <w:t>–</w:t>
      </w:r>
      <w:r w:rsidRPr="00F82FD1">
        <w:t xml:space="preserve"> .96</w:t>
      </w:r>
    </w:p>
    <w:p w:rsidR="00782A43" w:rsidRPr="00F82FD1" w:rsidRDefault="00782A43" w:rsidP="00F01A76">
      <w:pPr>
        <w:numPr>
          <w:ilvl w:val="2"/>
          <w:numId w:val="19"/>
        </w:numPr>
        <w:autoSpaceDE w:val="0"/>
        <w:autoSpaceDN w:val="0"/>
        <w:adjustRightInd w:val="0"/>
      </w:pPr>
      <w:proofErr w:type="spellStart"/>
      <w:r w:rsidRPr="00F82FD1">
        <w:t>Intraclass</w:t>
      </w:r>
      <w:proofErr w:type="spellEnd"/>
      <w:r w:rsidRPr="00F82FD1">
        <w:t xml:space="preserve"> Test-Retest Reliability = .91</w:t>
      </w:r>
    </w:p>
    <w:p w:rsidR="00782A43" w:rsidRPr="00F82FD1" w:rsidRDefault="00782A43" w:rsidP="00F01A76">
      <w:pPr>
        <w:numPr>
          <w:ilvl w:val="2"/>
          <w:numId w:val="19"/>
        </w:numPr>
        <w:autoSpaceDE w:val="0"/>
        <w:autoSpaceDN w:val="0"/>
        <w:adjustRightInd w:val="0"/>
      </w:pPr>
      <w:r w:rsidRPr="00F82FD1">
        <w:t>Pearson Test-Retest Reliability = .93</w:t>
      </w:r>
    </w:p>
    <w:p w:rsidR="00782A43" w:rsidRDefault="00782A43" w:rsidP="00DE6626">
      <w:pPr>
        <w:widowControl w:val="0"/>
        <w:rPr>
          <w:u w:val="single"/>
        </w:rPr>
      </w:pPr>
    </w:p>
    <w:p w:rsidR="00782A43" w:rsidRDefault="00782A43">
      <w:pPr>
        <w:widowControl w:val="0"/>
        <w:ind w:left="360"/>
      </w:pPr>
      <w:r>
        <w:rPr>
          <w:u w:val="single"/>
        </w:rPr>
        <w:t xml:space="preserve">Client Dosage </w:t>
      </w:r>
      <w:r w:rsidRPr="009015DA">
        <w:rPr>
          <w:u w:val="single"/>
        </w:rPr>
        <w:t>Form</w:t>
      </w:r>
      <w:r w:rsidRPr="009015DA">
        <w:t xml:space="preserve">: (See </w:t>
      </w:r>
      <w:r>
        <w:t>Attachment 1b - Document 2</w:t>
      </w:r>
      <w:r w:rsidRPr="005A7873">
        <w:t>.)</w:t>
      </w:r>
      <w:r w:rsidRPr="009015DA">
        <w:rPr>
          <w:color w:val="339966"/>
        </w:rPr>
        <w:t xml:space="preserve"> </w:t>
      </w:r>
      <w:r w:rsidRPr="009015DA">
        <w:t xml:space="preserve">The goal of this form </w:t>
      </w:r>
      <w:r>
        <w:t>is</w:t>
      </w:r>
      <w:r w:rsidRPr="009015DA">
        <w:t xml:space="preserve"> to collect data regarding</w:t>
      </w:r>
      <w:r w:rsidRPr="009015DA">
        <w:rPr>
          <w:color w:val="339966"/>
        </w:rPr>
        <w:t xml:space="preserve"> </w:t>
      </w:r>
      <w:r w:rsidRPr="009015DA">
        <w:t xml:space="preserve">the </w:t>
      </w:r>
      <w:r w:rsidRPr="00B04C61">
        <w:t xml:space="preserve">type </w:t>
      </w:r>
      <w:r w:rsidRPr="009015DA">
        <w:t xml:space="preserve">and </w:t>
      </w:r>
      <w:r w:rsidRPr="00B04C61">
        <w:t xml:space="preserve">amount </w:t>
      </w:r>
      <w:r w:rsidRPr="009015DA">
        <w:t>of contact that a client has with the program.</w:t>
      </w:r>
      <w:r w:rsidRPr="009015DA">
        <w:rPr>
          <w:rFonts w:ascii="Arial" w:hAnsi="Arial" w:cs="Arial"/>
        </w:rPr>
        <w:t xml:space="preserve"> </w:t>
      </w:r>
      <w:r w:rsidRPr="009015DA">
        <w:t>Individual clients in the TCE-HIV program will likely have very different types and amounts of contact (due to absences, participation in different components, or dropping out), thus</w:t>
      </w:r>
      <w:r w:rsidRPr="009D4F2C">
        <w:t xml:space="preserve"> it is critical to have dosage information to accurately assess program effects</w:t>
      </w:r>
      <w:r>
        <w:t>. The client dosage form will be completed by the Grantee counselor at client discharge.</w:t>
      </w:r>
    </w:p>
    <w:p w:rsidR="00782A43" w:rsidRPr="004C7390" w:rsidRDefault="00782A43" w:rsidP="00BD1309"/>
    <w:p w:rsidR="00782A43" w:rsidRDefault="00782A43" w:rsidP="00CC2F07">
      <w:pPr>
        <w:ind w:left="360"/>
      </w:pPr>
      <w:r w:rsidRPr="00DF4362">
        <w:t>Data collected via semi-structured interviews</w:t>
      </w:r>
      <w:r>
        <w:t xml:space="preserve">, </w:t>
      </w:r>
      <w:r w:rsidRPr="00DF4362">
        <w:t>dosage forms,</w:t>
      </w:r>
      <w:r>
        <w:t xml:space="preserve"> client </w:t>
      </w:r>
      <w:r w:rsidRPr="00DF4362">
        <w:t>focus groups</w:t>
      </w:r>
      <w:r>
        <w:t>, and surveys</w:t>
      </w:r>
      <w:r w:rsidRPr="00DF4362">
        <w:t xml:space="preserve"> will </w:t>
      </w:r>
      <w:r>
        <w:t xml:space="preserve">be used to </w:t>
      </w:r>
      <w:r w:rsidRPr="00DF4362">
        <w:t xml:space="preserve">enable </w:t>
      </w:r>
      <w:r w:rsidRPr="00E63C56">
        <w:t>SAMHSA/CSAT’s</w:t>
      </w:r>
      <w:r w:rsidRPr="00DF4362">
        <w:t xml:space="preserve"> TCE-HIV program to increase its effectiveness in providing substance abuse treatment and HIV services for minority populations. </w:t>
      </w:r>
      <w:r w:rsidRPr="00DF4362">
        <w:lastRenderedPageBreak/>
        <w:t xml:space="preserve">Additionally, </w:t>
      </w:r>
      <w:r>
        <w:t>t</w:t>
      </w:r>
      <w:r w:rsidRPr="00DF4362">
        <w:t xml:space="preserve">he Multi-Site Evaluation will help </w:t>
      </w:r>
      <w:r w:rsidRPr="00E63C56">
        <w:t>SAMHSA/CSAT</w:t>
      </w:r>
      <w:r w:rsidRPr="00DF4362">
        <w:t xml:space="preserve"> achieve the goals of its TCE-HIV program and the Minority A</w:t>
      </w:r>
      <w:r>
        <w:t>IDS</w:t>
      </w:r>
      <w:r w:rsidRPr="00DF4362">
        <w:t xml:space="preserve"> Initiative (MAI). Specifically findings of the</w:t>
      </w:r>
      <w:r>
        <w:t xml:space="preserve"> </w:t>
      </w:r>
      <w:r w:rsidRPr="00DF4362">
        <w:t>evaluation will:</w:t>
      </w:r>
    </w:p>
    <w:p w:rsidR="00782A43" w:rsidRDefault="00782A43" w:rsidP="009D0603"/>
    <w:p w:rsidR="00782A43" w:rsidRDefault="00782A43">
      <w:pPr>
        <w:numPr>
          <w:ilvl w:val="0"/>
          <w:numId w:val="9"/>
        </w:numPr>
      </w:pPr>
      <w:r w:rsidRPr="00DF4362">
        <w:t xml:space="preserve">Determine the </w:t>
      </w:r>
      <w:r>
        <w:t xml:space="preserve">effect </w:t>
      </w:r>
      <w:r w:rsidRPr="00DF4362">
        <w:t>of the TCE-HIV services programs</w:t>
      </w:r>
    </w:p>
    <w:p w:rsidR="00782A43" w:rsidRDefault="00782A43">
      <w:pPr>
        <w:numPr>
          <w:ilvl w:val="0"/>
          <w:numId w:val="9"/>
        </w:numPr>
      </w:pPr>
      <w:r w:rsidRPr="00DF4362">
        <w:t>Identify the extent to which the programs have achieved the goals of the MAI</w:t>
      </w:r>
    </w:p>
    <w:p w:rsidR="00782A43" w:rsidRPr="00DF4362" w:rsidRDefault="00782A43" w:rsidP="00132D5E">
      <w:pPr>
        <w:numPr>
          <w:ilvl w:val="0"/>
          <w:numId w:val="9"/>
        </w:numPr>
      </w:pPr>
      <w:r w:rsidRPr="00DF4362">
        <w:t>Document TCE</w:t>
      </w:r>
      <w:r>
        <w:t>-</w:t>
      </w:r>
      <w:r w:rsidRPr="00DF4362">
        <w:t>HIV models and ascertain which models contribute to significant reduction in risk behaviors among drug-using populations.</w:t>
      </w:r>
    </w:p>
    <w:p w:rsidR="00782A43" w:rsidRPr="00DF4362" w:rsidRDefault="00782A43" w:rsidP="00BD1309"/>
    <w:p w:rsidR="00782A43" w:rsidRPr="00DF4362" w:rsidRDefault="00782A43" w:rsidP="003D66D7">
      <w:pPr>
        <w:tabs>
          <w:tab w:val="left" w:pos="720"/>
        </w:tabs>
        <w:rPr>
          <w:b/>
          <w:bCs/>
        </w:rPr>
      </w:pPr>
      <w:bookmarkStart w:id="10" w:name="_Toc88277952"/>
      <w:bookmarkStart w:id="11" w:name="_Toc131564341"/>
      <w:r>
        <w:rPr>
          <w:b/>
          <w:bCs/>
        </w:rPr>
        <w:tab/>
      </w:r>
      <w:r w:rsidRPr="00DF4362">
        <w:rPr>
          <w:b/>
          <w:bCs/>
        </w:rPr>
        <w:t>3.</w:t>
      </w:r>
      <w:r w:rsidRPr="00DF4362">
        <w:rPr>
          <w:b/>
          <w:bCs/>
        </w:rPr>
        <w:tab/>
      </w:r>
      <w:r w:rsidRPr="00DF4362">
        <w:rPr>
          <w:b/>
          <w:bCs/>
          <w:u w:val="single"/>
        </w:rPr>
        <w:t>Use of Information Technology</w:t>
      </w:r>
      <w:bookmarkEnd w:id="10"/>
      <w:bookmarkEnd w:id="11"/>
    </w:p>
    <w:p w:rsidR="00782A43" w:rsidRPr="00DF4362" w:rsidRDefault="00782A43" w:rsidP="003D66D7"/>
    <w:p w:rsidR="00782A43" w:rsidRDefault="00782A43">
      <w:pPr>
        <w:ind w:left="720"/>
      </w:pPr>
      <w:r>
        <w:t xml:space="preserve">Data collection for the outcome evaluation component requires the use of information technology to develop an online data collection system. This online system will provide the three client surveys (i.e., baseline, discharge, </w:t>
      </w:r>
      <w:proofErr w:type="gramStart"/>
      <w:r>
        <w:t>6</w:t>
      </w:r>
      <w:proofErr w:type="gramEnd"/>
      <w:r>
        <w:t xml:space="preserve"> months post baseline) for data entry by Grantee staff. Additionally, the client dosage form, which is completed through a review of clients’ records by Grantee staff at client discharge, will </w:t>
      </w:r>
      <w:proofErr w:type="gramStart"/>
      <w:r>
        <w:t>also</w:t>
      </w:r>
      <w:proofErr w:type="gramEnd"/>
      <w:r>
        <w:t xml:space="preserve"> be available through the online data collection system. Technology will be used to manage, secure, and store the data to ensure data management control. </w:t>
      </w:r>
    </w:p>
    <w:p w:rsidR="00782A43" w:rsidRDefault="00782A43" w:rsidP="008C5AE4"/>
    <w:p w:rsidR="00782A43" w:rsidRDefault="00782A43">
      <w:pPr>
        <w:ind w:left="720"/>
      </w:pPr>
      <w:r w:rsidRPr="00DF29CA">
        <w:rPr>
          <w:u w:val="single"/>
        </w:rPr>
        <w:t xml:space="preserve">Client </w:t>
      </w:r>
      <w:r>
        <w:rPr>
          <w:u w:val="single"/>
        </w:rPr>
        <w:t>S</w:t>
      </w:r>
      <w:r w:rsidRPr="00DF29CA">
        <w:rPr>
          <w:u w:val="single"/>
        </w:rPr>
        <w:t>urveys:</w:t>
      </w:r>
      <w:r w:rsidRPr="00DF4362">
        <w:t xml:space="preserve"> Grantee staff will administer the client survey during </w:t>
      </w:r>
      <w:r>
        <w:t xml:space="preserve">a </w:t>
      </w:r>
      <w:r w:rsidRPr="00DF4362">
        <w:t>face-to-face encounter at baseline, at discharge</w:t>
      </w:r>
      <w:r>
        <w:t>,</w:t>
      </w:r>
      <w:r w:rsidRPr="00DF4362">
        <w:t xml:space="preserve"> and at 6 months post </w:t>
      </w:r>
      <w:r>
        <w:t>baseline</w:t>
      </w:r>
      <w:r w:rsidRPr="00DF4362">
        <w:t xml:space="preserve">. </w:t>
      </w:r>
      <w:r w:rsidRPr="005E6596">
        <w:t xml:space="preserve">Client survey data will be entered into an online system </w:t>
      </w:r>
      <w:r>
        <w:t xml:space="preserve">at the Grantee site </w:t>
      </w:r>
      <w:r w:rsidRPr="005E6596">
        <w:t>that will be password protected. Each day, the T</w:t>
      </w:r>
      <w:r>
        <w:t>C</w:t>
      </w:r>
      <w:r w:rsidRPr="005E6596">
        <w:t xml:space="preserve">E-HIV evaluation staff will upload the data over a secure network connection directly to a server at JBS headquarters where </w:t>
      </w:r>
      <w:r>
        <w:t>the data</w:t>
      </w:r>
      <w:r w:rsidRPr="005E6596">
        <w:t xml:space="preserve"> will also be encrypted and password protected. Details on </w:t>
      </w:r>
      <w:r>
        <w:t>JBS’</w:t>
      </w:r>
      <w:r w:rsidRPr="005E6596">
        <w:t xml:space="preserve"> network security procedures and security protocols are presented in </w:t>
      </w:r>
      <w:r>
        <w:t>Attachment 2a - Document 1</w:t>
      </w:r>
      <w:r w:rsidRPr="005A7873">
        <w:t>.</w:t>
      </w:r>
      <w:r w:rsidRPr="005E6596">
        <w:t xml:space="preserve"> Using protected electronic data is the most secure form of data management because it eliminates the possibility of paper documents being lost by the survey staff or of data being lost in transit or delivered to an incorrect location. However, not all the Grantees may be equipped to enter th</w:t>
      </w:r>
      <w:r>
        <w:t>i</w:t>
      </w:r>
      <w:r w:rsidRPr="005E6596">
        <w:t>s data into the online system, in which case</w:t>
      </w:r>
      <w:r>
        <w:t xml:space="preserve"> </w:t>
      </w:r>
      <w:r w:rsidRPr="005E6596">
        <w:t xml:space="preserve">paper copies of the </w:t>
      </w:r>
      <w:r>
        <w:t xml:space="preserve">completed </w:t>
      </w:r>
      <w:r w:rsidRPr="005E6596">
        <w:t>surveys from these Grantees</w:t>
      </w:r>
      <w:r>
        <w:t xml:space="preserve"> will be submitted to JBS only with unique alphanumeric identifiers and the data will be entered into the online system at JBS</w:t>
      </w:r>
      <w:r w:rsidRPr="005E6596">
        <w:t>.</w:t>
      </w:r>
      <w:r>
        <w:t xml:space="preserve"> Paper copies will be stored in a locked file cabinet, with no name/identifying information attached. </w:t>
      </w:r>
    </w:p>
    <w:p w:rsidR="00782A43" w:rsidRDefault="00782A43" w:rsidP="00884197"/>
    <w:p w:rsidR="00782A43" w:rsidRDefault="00782A43">
      <w:pPr>
        <w:ind w:left="720"/>
      </w:pPr>
      <w:r w:rsidRPr="00DF29CA">
        <w:rPr>
          <w:u w:val="single"/>
        </w:rPr>
        <w:t xml:space="preserve">Client </w:t>
      </w:r>
      <w:r>
        <w:rPr>
          <w:u w:val="single"/>
        </w:rPr>
        <w:t>D</w:t>
      </w:r>
      <w:r w:rsidRPr="00DF29CA">
        <w:rPr>
          <w:u w:val="single"/>
        </w:rPr>
        <w:t xml:space="preserve">osage </w:t>
      </w:r>
      <w:r>
        <w:rPr>
          <w:u w:val="single"/>
        </w:rPr>
        <w:t>F</w:t>
      </w:r>
      <w:r w:rsidRPr="00DF29CA">
        <w:rPr>
          <w:u w:val="single"/>
        </w:rPr>
        <w:t>orm:</w:t>
      </w:r>
      <w:r>
        <w:t xml:space="preserve"> Grantee staff will review client treatment records and complete the client dosage form for each client upon his or her discharge from the program. Similar to the client survey, password-</w:t>
      </w:r>
      <w:r w:rsidRPr="005E6596">
        <w:t>protected</w:t>
      </w:r>
      <w:r>
        <w:t xml:space="preserve"> dosage </w:t>
      </w:r>
      <w:r w:rsidRPr="005E6596">
        <w:t xml:space="preserve">data will be entered into an online system </w:t>
      </w:r>
      <w:r>
        <w:t>at the Grantee site</w:t>
      </w:r>
      <w:r w:rsidRPr="005E6596">
        <w:t xml:space="preserve">. </w:t>
      </w:r>
      <w:r>
        <w:t>On a daily basis</w:t>
      </w:r>
      <w:r w:rsidRPr="005E6596">
        <w:t>, the T</w:t>
      </w:r>
      <w:r>
        <w:t>C</w:t>
      </w:r>
      <w:r w:rsidRPr="005E6596">
        <w:t xml:space="preserve">E-HIV </w:t>
      </w:r>
      <w:r>
        <w:t>evaluation staff will upload these</w:t>
      </w:r>
      <w:r w:rsidRPr="005E6596">
        <w:t xml:space="preserve"> data over a secure network connection directly to a server at JBS headquarters where they will also be encrypted and password protected.</w:t>
      </w:r>
      <w:r>
        <w:t xml:space="preserve"> In the event that Grantees are not </w:t>
      </w:r>
      <w:r w:rsidRPr="005E6596">
        <w:t>equipped to enter th</w:t>
      </w:r>
      <w:r>
        <w:t>ese</w:t>
      </w:r>
      <w:r w:rsidRPr="005E6596">
        <w:t xml:space="preserve"> data into the online system, paper copies of the </w:t>
      </w:r>
      <w:r>
        <w:t>completed dosage forms</w:t>
      </w:r>
      <w:r w:rsidRPr="005E6596">
        <w:t xml:space="preserve"> from these Grantees</w:t>
      </w:r>
      <w:r>
        <w:t xml:space="preserve"> will be submitted to JBS with only unique alphanumeric identification and the data will be entered at JBS</w:t>
      </w:r>
      <w:r w:rsidRPr="005E6596">
        <w:t>.</w:t>
      </w:r>
      <w:r>
        <w:t xml:space="preserve"> All paper copies will be stored in a locked file cabinet, with no name/identifying information attached.</w:t>
      </w:r>
    </w:p>
    <w:p w:rsidR="00782A43" w:rsidRDefault="00782A43">
      <w:r>
        <w:br w:type="page"/>
      </w:r>
    </w:p>
    <w:p w:rsidR="00782A43" w:rsidRPr="00BB2B86" w:rsidRDefault="00782A43" w:rsidP="00420B98">
      <w:pPr>
        <w:numPr>
          <w:ilvl w:val="0"/>
          <w:numId w:val="7"/>
        </w:numPr>
        <w:tabs>
          <w:tab w:val="left" w:pos="0"/>
        </w:tabs>
        <w:ind w:hanging="720"/>
        <w:rPr>
          <w:b/>
          <w:bCs/>
        </w:rPr>
      </w:pPr>
      <w:bookmarkStart w:id="12" w:name="_Toc88277953"/>
      <w:bookmarkStart w:id="13" w:name="_Toc131564342"/>
      <w:r w:rsidRPr="00BB2B86">
        <w:rPr>
          <w:b/>
          <w:bCs/>
          <w:u w:val="single"/>
        </w:rPr>
        <w:t>Effort to Identify Duplication</w:t>
      </w:r>
      <w:bookmarkEnd w:id="12"/>
      <w:bookmarkEnd w:id="13"/>
    </w:p>
    <w:p w:rsidR="00782A43" w:rsidRPr="00F014D5" w:rsidRDefault="00782A43" w:rsidP="003D66D7">
      <w:pPr>
        <w:tabs>
          <w:tab w:val="left" w:pos="702"/>
        </w:tabs>
        <w:rPr>
          <w:highlight w:val="green"/>
        </w:rPr>
      </w:pPr>
    </w:p>
    <w:p w:rsidR="00782A43" w:rsidRDefault="00782A43">
      <w:pPr>
        <w:ind w:left="720"/>
      </w:pPr>
      <w:r w:rsidRPr="00C3522E">
        <w:t>The Multi-Site Evaluation Team has identified items answered through G</w:t>
      </w:r>
      <w:r w:rsidR="009D7F52">
        <w:t>PR</w:t>
      </w:r>
      <w:r w:rsidRPr="00C3522E">
        <w:t>A data collection that are of interest to the TCE-HIV evaluation.</w:t>
      </w:r>
      <w:r w:rsidRPr="00C3522E">
        <w:rPr>
          <w:rFonts w:ascii="Arial" w:hAnsi="Arial" w:cs="Arial"/>
          <w:sz w:val="20"/>
          <w:szCs w:val="20"/>
        </w:rPr>
        <w:t xml:space="preserve"> </w:t>
      </w:r>
      <w:r w:rsidRPr="00C3522E">
        <w:t xml:space="preserve">To ensure minimal duplication, </w:t>
      </w:r>
      <w:r>
        <w:t xml:space="preserve">the </w:t>
      </w:r>
      <w:r w:rsidRPr="00C3522E">
        <w:t xml:space="preserve">Multi-Site Evaluation team has eliminated these items </w:t>
      </w:r>
      <w:r>
        <w:t xml:space="preserve">(e.g., demographic information, substance use information) </w:t>
      </w:r>
      <w:r w:rsidRPr="00C3522E">
        <w:t xml:space="preserve">from our Multi-Site Evaluation instruments. This action was taken to </w:t>
      </w:r>
      <w:r>
        <w:t>reduce</w:t>
      </w:r>
      <w:r w:rsidRPr="00C3522E">
        <w:t xml:space="preserve"> </w:t>
      </w:r>
      <w:r>
        <w:t>Grantees’</w:t>
      </w:r>
      <w:r w:rsidRPr="00674897">
        <w:t xml:space="preserve"> </w:t>
      </w:r>
      <w:r w:rsidRPr="00C3522E">
        <w:t xml:space="preserve">burden. This action, however, was taken with the understanding that </w:t>
      </w:r>
      <w:r w:rsidRPr="00E63C56">
        <w:t>SAMHSA/CSAT</w:t>
      </w:r>
      <w:r>
        <w:t xml:space="preserve"> will provide the contractor for the </w:t>
      </w:r>
      <w:r w:rsidRPr="00C3522E">
        <w:t xml:space="preserve">Multi-Site Evaluation </w:t>
      </w:r>
      <w:r>
        <w:t xml:space="preserve">with access </w:t>
      </w:r>
      <w:r w:rsidRPr="00C3522E">
        <w:t xml:space="preserve">to </w:t>
      </w:r>
      <w:r>
        <w:t>all</w:t>
      </w:r>
      <w:r w:rsidRPr="00C3522E">
        <w:t xml:space="preserve"> raw TCE-HIV Grantee GPRA data at the three data collection points (i.e., baseline, discharge, </w:t>
      </w:r>
      <w:proofErr w:type="gramStart"/>
      <w:r>
        <w:t>6</w:t>
      </w:r>
      <w:proofErr w:type="gramEnd"/>
      <w:r>
        <w:t xml:space="preserve"> months</w:t>
      </w:r>
      <w:r w:rsidRPr="00C3522E">
        <w:t xml:space="preserve"> post baseline). It is critical to the TCE-HIV evaluation to have access to raw individual GPRA data as these items include:</w:t>
      </w:r>
    </w:p>
    <w:p w:rsidR="00782A43" w:rsidRDefault="00782A43">
      <w:pPr>
        <w:ind w:left="720"/>
      </w:pPr>
    </w:p>
    <w:p w:rsidR="00782A43" w:rsidRPr="00C3522E" w:rsidRDefault="00782A43" w:rsidP="00D87992">
      <w:pPr>
        <w:numPr>
          <w:ilvl w:val="0"/>
          <w:numId w:val="21"/>
        </w:numPr>
        <w:tabs>
          <w:tab w:val="left" w:pos="1620"/>
        </w:tabs>
        <w:ind w:left="1620"/>
      </w:pPr>
      <w:r w:rsidRPr="00C3522E">
        <w:t>Client demographics</w:t>
      </w:r>
    </w:p>
    <w:p w:rsidR="00782A43" w:rsidRPr="00C3522E" w:rsidRDefault="00782A43" w:rsidP="00D87992">
      <w:pPr>
        <w:numPr>
          <w:ilvl w:val="0"/>
          <w:numId w:val="21"/>
        </w:numPr>
        <w:tabs>
          <w:tab w:val="left" w:pos="1620"/>
        </w:tabs>
        <w:ind w:left="1620"/>
      </w:pPr>
      <w:r w:rsidRPr="00C3522E">
        <w:t>Client substance use/abuse</w:t>
      </w:r>
    </w:p>
    <w:p w:rsidR="00782A43" w:rsidRPr="00C3522E" w:rsidRDefault="00782A43" w:rsidP="00D87992">
      <w:pPr>
        <w:numPr>
          <w:ilvl w:val="0"/>
          <w:numId w:val="21"/>
        </w:numPr>
        <w:tabs>
          <w:tab w:val="left" w:pos="1620"/>
        </w:tabs>
        <w:ind w:left="1620"/>
      </w:pPr>
      <w:r w:rsidRPr="00C3522E">
        <w:t>Family living conditions</w:t>
      </w:r>
    </w:p>
    <w:p w:rsidR="00782A43" w:rsidRPr="00C3522E" w:rsidRDefault="00782A43" w:rsidP="00D87992">
      <w:pPr>
        <w:numPr>
          <w:ilvl w:val="0"/>
          <w:numId w:val="21"/>
        </w:numPr>
        <w:tabs>
          <w:tab w:val="left" w:pos="1620"/>
        </w:tabs>
        <w:ind w:left="1620"/>
      </w:pPr>
      <w:r w:rsidRPr="00C3522E">
        <w:t>Education, employment, and income</w:t>
      </w:r>
    </w:p>
    <w:p w:rsidR="00782A43" w:rsidRPr="00C3522E" w:rsidRDefault="00782A43" w:rsidP="00D87992">
      <w:pPr>
        <w:numPr>
          <w:ilvl w:val="0"/>
          <w:numId w:val="21"/>
        </w:numPr>
        <w:tabs>
          <w:tab w:val="left" w:pos="1620"/>
        </w:tabs>
        <w:ind w:left="1620"/>
      </w:pPr>
      <w:r w:rsidRPr="00C3522E">
        <w:t>Crime and criminal justice status</w:t>
      </w:r>
    </w:p>
    <w:p w:rsidR="00782A43" w:rsidRPr="00C3522E" w:rsidRDefault="00782A43" w:rsidP="00D87992">
      <w:pPr>
        <w:numPr>
          <w:ilvl w:val="0"/>
          <w:numId w:val="21"/>
        </w:numPr>
        <w:tabs>
          <w:tab w:val="left" w:pos="1620"/>
        </w:tabs>
        <w:ind w:left="1620"/>
      </w:pPr>
      <w:r w:rsidRPr="00C3522E">
        <w:t xml:space="preserve">Mental and physical health </w:t>
      </w:r>
    </w:p>
    <w:p w:rsidR="00782A43" w:rsidRPr="00C3522E" w:rsidRDefault="00782A43" w:rsidP="00D87992">
      <w:pPr>
        <w:numPr>
          <w:ilvl w:val="0"/>
          <w:numId w:val="21"/>
        </w:numPr>
        <w:tabs>
          <w:tab w:val="left" w:pos="1620"/>
        </w:tabs>
        <w:ind w:left="1620"/>
      </w:pPr>
      <w:r w:rsidRPr="00C3522E">
        <w:t>Social connectedness.</w:t>
      </w:r>
    </w:p>
    <w:p w:rsidR="00782A43" w:rsidRPr="00C3522E" w:rsidRDefault="00782A43" w:rsidP="00793BDD"/>
    <w:p w:rsidR="00782A43" w:rsidRDefault="00782A43">
      <w:pPr>
        <w:ind w:left="720"/>
      </w:pPr>
      <w:r w:rsidRPr="00C3522E">
        <w:t xml:space="preserve">Without access to the raw GPRA data for these measures, </w:t>
      </w:r>
      <w:r>
        <w:t xml:space="preserve">the contractor for the </w:t>
      </w:r>
      <w:r w:rsidRPr="00C3522E">
        <w:t xml:space="preserve">Multi-Site Evaluation will be unable to provide </w:t>
      </w:r>
      <w:r w:rsidRPr="0034455B">
        <w:t>SAMHSA/CSAT</w:t>
      </w:r>
      <w:r w:rsidRPr="00C3522E">
        <w:t xml:space="preserve"> with answers to TCE-HIV evaluation questions.</w:t>
      </w:r>
      <w:r>
        <w:t xml:space="preserve"> </w:t>
      </w:r>
    </w:p>
    <w:p w:rsidR="00782A43" w:rsidRDefault="00782A43" w:rsidP="00A11250"/>
    <w:p w:rsidR="00782A43" w:rsidRDefault="00782A43">
      <w:pPr>
        <w:ind w:left="720"/>
      </w:pPr>
      <w:r>
        <w:t xml:space="preserve">The GPRA data will be made available for the purposes of this evaluation, as a key and sole measure of client substance use/abuse as well as a supplement to other measures of the client survey data. Because </w:t>
      </w:r>
      <w:r w:rsidRPr="00C141E2">
        <w:t xml:space="preserve">the GPRA data </w:t>
      </w:r>
      <w:r>
        <w:t>represents a critical client data source for substance use/abuse data, the client survey</w:t>
      </w:r>
      <w:r w:rsidRPr="00C141E2">
        <w:t xml:space="preserve"> </w:t>
      </w:r>
      <w:r>
        <w:t>has been created to</w:t>
      </w:r>
      <w:r w:rsidRPr="00FB4E68">
        <w:t xml:space="preserve"> </w:t>
      </w:r>
      <w:r>
        <w:t xml:space="preserve">supplement the GPRA questionnaire by including </w:t>
      </w:r>
      <w:r w:rsidRPr="00FB4E68">
        <w:t xml:space="preserve">additional measures </w:t>
      </w:r>
      <w:r>
        <w:t xml:space="preserve">(i.e., not including substance use/abuse items) </w:t>
      </w:r>
      <w:r w:rsidRPr="00FB4E68">
        <w:t xml:space="preserve">necessary for evaluating the full spectrum of client outcomes and the moderators and mediators of those outcomes. </w:t>
      </w:r>
      <w:r>
        <w:t xml:space="preserve">Grantees will be asked to use the client GPRA identification number on the client survey at the three data collection points, so that the client surveys can be linked to the GPRA data, which contains demographics, 30-day substance use, and </w:t>
      </w:r>
      <w:r w:rsidRPr="00D41572">
        <w:t xml:space="preserve">other constructs (e.g., social connectedness, </w:t>
      </w:r>
      <w:r>
        <w:t>family living conditions</w:t>
      </w:r>
      <w:r w:rsidRPr="00D41572">
        <w:t>, employment) that are needed to answer the evaluation questions.</w:t>
      </w:r>
      <w:r>
        <w:t xml:space="preserve">  Due to the availability of the GPRA data, the client surveys were designed to avoid any duplication. To aid in this process, discussions with Grantee staff were conducted to verify the kind of data being collected. </w:t>
      </w:r>
    </w:p>
    <w:p w:rsidR="00782A43" w:rsidRPr="00FB4E68" w:rsidRDefault="00782A43" w:rsidP="00E76098"/>
    <w:p w:rsidR="00782A43" w:rsidRDefault="00782A43">
      <w:pPr>
        <w:ind w:firstLine="720"/>
        <w:rPr>
          <w:b/>
          <w:bCs/>
        </w:rPr>
      </w:pPr>
      <w:bookmarkStart w:id="14" w:name="_Toc88277954"/>
      <w:bookmarkStart w:id="15" w:name="_Toc131564343"/>
      <w:r w:rsidRPr="00FB4E68">
        <w:rPr>
          <w:b/>
          <w:bCs/>
        </w:rPr>
        <w:t>5.</w:t>
      </w:r>
      <w:r w:rsidRPr="00FB4E68">
        <w:rPr>
          <w:b/>
          <w:bCs/>
        </w:rPr>
        <w:tab/>
      </w:r>
      <w:r w:rsidRPr="00FB4E68">
        <w:rPr>
          <w:b/>
          <w:bCs/>
          <w:u w:val="single"/>
        </w:rPr>
        <w:t>Involvement of Small Entities</w:t>
      </w:r>
      <w:bookmarkEnd w:id="14"/>
      <w:bookmarkEnd w:id="15"/>
    </w:p>
    <w:p w:rsidR="00782A43" w:rsidRPr="00933EB0" w:rsidRDefault="00782A43" w:rsidP="003D66D7"/>
    <w:p w:rsidR="00782A43" w:rsidRDefault="00782A43">
      <w:pPr>
        <w:pStyle w:val="CM46"/>
        <w:spacing w:line="276" w:lineRule="atLeast"/>
        <w:ind w:left="720"/>
      </w:pPr>
      <w:r w:rsidRPr="00933EB0">
        <w:t>It is likely that many of the project’s respondents will be from relatively small treatment programs.</w:t>
      </w:r>
      <w:r>
        <w:t xml:space="preserve"> </w:t>
      </w:r>
      <w:r w:rsidRPr="00933EB0">
        <w:t>Information collection for this study is not anticipated to have a significant impact on the individuals or on the programs or practices with which respondents may be affiliated.</w:t>
      </w:r>
      <w:r>
        <w:br w:type="page"/>
      </w:r>
    </w:p>
    <w:p w:rsidR="00782A43" w:rsidRDefault="00782A43">
      <w:pPr>
        <w:ind w:left="720"/>
      </w:pPr>
      <w:r w:rsidRPr="00933EB0">
        <w:t>The information to be obtained from respondents is the minimum necessary to achieve the objectives of the evaluation; however, completion of survey instruments, participation in focus groups, and/or participation in semi-structured interviews will likely induce burden.</w:t>
      </w:r>
      <w:r>
        <w:t xml:space="preserve"> </w:t>
      </w:r>
      <w:r w:rsidRPr="00933EB0">
        <w:t>To reduce this burden, every attempt will be made to move respondents quickly through questions.</w:t>
      </w:r>
      <w:r>
        <w:t xml:space="preserve"> </w:t>
      </w:r>
      <w:r w:rsidRPr="00933EB0">
        <w:t xml:space="preserve">For example, a screener question will be used in the </w:t>
      </w:r>
      <w:r>
        <w:t xml:space="preserve">client </w:t>
      </w:r>
      <w:r w:rsidRPr="00933EB0">
        <w:t xml:space="preserve">survey that asks about </w:t>
      </w:r>
      <w:r>
        <w:t>previous testing with HIV positive results</w:t>
      </w:r>
      <w:r w:rsidRPr="00933EB0">
        <w:t>. If the respondent indicates that he/she has no</w:t>
      </w:r>
      <w:r>
        <w:t>t previously tested HIV positive</w:t>
      </w:r>
      <w:r w:rsidRPr="00933EB0">
        <w:t>, th</w:t>
      </w:r>
      <w:r>
        <w:t>e</w:t>
      </w:r>
      <w:r w:rsidRPr="00933EB0">
        <w:t xml:space="preserve"> </w:t>
      </w:r>
      <w:r>
        <w:t>interviewer</w:t>
      </w:r>
      <w:r w:rsidRPr="00933EB0">
        <w:t xml:space="preserve"> </w:t>
      </w:r>
      <w:r>
        <w:t>will</w:t>
      </w:r>
      <w:r w:rsidRPr="00933EB0">
        <w:t xml:space="preserve"> skip to the next category.</w:t>
      </w:r>
      <w:r>
        <w:rPr>
          <w:color w:val="0000FF"/>
        </w:rPr>
        <w:t xml:space="preserve"> </w:t>
      </w:r>
    </w:p>
    <w:p w:rsidR="00782A43" w:rsidRDefault="00782A43" w:rsidP="003D66D7">
      <w:pPr>
        <w:rPr>
          <w:b/>
          <w:bCs/>
        </w:rPr>
      </w:pPr>
      <w:bookmarkStart w:id="16" w:name="_Toc88277955"/>
      <w:bookmarkStart w:id="17" w:name="_Toc131564344"/>
    </w:p>
    <w:p w:rsidR="00782A43" w:rsidRDefault="00782A43">
      <w:pPr>
        <w:ind w:firstLine="720"/>
        <w:rPr>
          <w:b/>
          <w:bCs/>
        </w:rPr>
      </w:pPr>
      <w:r w:rsidRPr="00500690">
        <w:rPr>
          <w:b/>
          <w:bCs/>
        </w:rPr>
        <w:t>6.</w:t>
      </w:r>
      <w:r w:rsidRPr="00500690">
        <w:rPr>
          <w:b/>
          <w:bCs/>
        </w:rPr>
        <w:tab/>
      </w:r>
      <w:r w:rsidRPr="00500690">
        <w:rPr>
          <w:b/>
          <w:bCs/>
          <w:u w:val="single"/>
        </w:rPr>
        <w:t xml:space="preserve">Consequences </w:t>
      </w:r>
      <w:r>
        <w:rPr>
          <w:b/>
          <w:bCs/>
          <w:u w:val="single"/>
        </w:rPr>
        <w:t>i</w:t>
      </w:r>
      <w:r w:rsidRPr="00500690">
        <w:rPr>
          <w:b/>
          <w:bCs/>
          <w:u w:val="single"/>
        </w:rPr>
        <w:t xml:space="preserve">f Information </w:t>
      </w:r>
      <w:r>
        <w:rPr>
          <w:b/>
          <w:bCs/>
          <w:u w:val="single"/>
        </w:rPr>
        <w:t xml:space="preserve">Is </w:t>
      </w:r>
      <w:r w:rsidRPr="00500690">
        <w:rPr>
          <w:b/>
          <w:bCs/>
          <w:u w:val="single"/>
        </w:rPr>
        <w:t>Collected Less Frequently</w:t>
      </w:r>
      <w:bookmarkStart w:id="18" w:name="_Toc131564345"/>
      <w:bookmarkEnd w:id="16"/>
      <w:bookmarkEnd w:id="17"/>
    </w:p>
    <w:p w:rsidR="00782A43" w:rsidRDefault="00782A43" w:rsidP="003D66D7">
      <w:pPr>
        <w:rPr>
          <w:u w:val="single"/>
        </w:rPr>
      </w:pPr>
    </w:p>
    <w:p w:rsidR="00782A43" w:rsidRDefault="00782A43">
      <w:pPr>
        <w:ind w:left="720"/>
      </w:pPr>
      <w:r w:rsidRPr="00C05CC8">
        <w:t>During this 5-year multi-site evaluation</w:t>
      </w:r>
      <w:r>
        <w:t>, the frequency of data collection from the Grantees and the clients they serve is held to the minimum necessary to meet the needs of the evaluation objectives. The data collection points for the process evaluation component are generally acceptable intervals (i.e., in year 2 and year 4) for assessing changes in the community- and program-level constructs that will be assessed. Similarly, the outcome data collection points for the client survey are at acceptable intervals (i.e., baseline, discharge, 6 months post baseline) to coincide with GPRA data collection. The single data collection point for the client dosage form at discharge is ideal for assessing client exposure to services while in treatment.</w:t>
      </w:r>
    </w:p>
    <w:p w:rsidR="00782A43" w:rsidRDefault="00782A43" w:rsidP="003D66D7"/>
    <w:p w:rsidR="00782A43" w:rsidRDefault="00782A43">
      <w:pPr>
        <w:ind w:left="720"/>
      </w:pPr>
      <w:r w:rsidRPr="00500690">
        <w:rPr>
          <w:u w:val="single"/>
        </w:rPr>
        <w:t>Client Survey</w:t>
      </w:r>
      <w:bookmarkEnd w:id="18"/>
      <w:r w:rsidRPr="00500690">
        <w:rPr>
          <w:u w:val="single"/>
        </w:rPr>
        <w:t>s:</w:t>
      </w:r>
      <w:r w:rsidRPr="00500690">
        <w:t xml:space="preserve"> Client surveys will be administered to each client receiving treatment from the 4</w:t>
      </w:r>
      <w:r>
        <w:t>0</w:t>
      </w:r>
      <w:r w:rsidRPr="00500690">
        <w:t xml:space="preserve"> treatment Grantees. All clients completing the survey at baseline will also complete the survey at discharge from treatment, and 6</w:t>
      </w:r>
      <w:r>
        <w:t xml:space="preserve"> </w:t>
      </w:r>
      <w:r w:rsidRPr="00500690">
        <w:t xml:space="preserve">months following </w:t>
      </w:r>
      <w:r>
        <w:t>baseline to mirror the GPRA questionnaire administration</w:t>
      </w:r>
      <w:r w:rsidRPr="00500690">
        <w:t>. Data collection at discharge and 6</w:t>
      </w:r>
      <w:r>
        <w:t xml:space="preserve"> </w:t>
      </w:r>
      <w:r w:rsidRPr="00500690">
        <w:t xml:space="preserve">months following </w:t>
      </w:r>
      <w:r>
        <w:t>baseline</w:t>
      </w:r>
      <w:r w:rsidRPr="00500690">
        <w:t xml:space="preserve"> is necessary to measure the short- and longer-term outcomes of the TCE-HIV program. </w:t>
      </w:r>
    </w:p>
    <w:p w:rsidR="00782A43" w:rsidRPr="00500690" w:rsidRDefault="00782A43" w:rsidP="003D66D7"/>
    <w:p w:rsidR="00782A43" w:rsidRDefault="00782A43">
      <w:pPr>
        <w:ind w:left="720"/>
      </w:pPr>
      <w:r w:rsidRPr="00500690">
        <w:t xml:space="preserve">Data collection at discharge is necessary to measure short-term outcomes related to treatment services provided </w:t>
      </w:r>
      <w:r>
        <w:t>b</w:t>
      </w:r>
      <w:r w:rsidRPr="00500690">
        <w:t xml:space="preserve">y TCE-HIV Grantees. These outcomes include: changes in HIV </w:t>
      </w:r>
      <w:r>
        <w:t>risk</w:t>
      </w:r>
      <w:r w:rsidRPr="00500690">
        <w:t xml:space="preserve"> behaviors, social support, and quality of life. Following up at 6</w:t>
      </w:r>
      <w:r>
        <w:t xml:space="preserve"> </w:t>
      </w:r>
      <w:r w:rsidRPr="00500690">
        <w:t xml:space="preserve">months post </w:t>
      </w:r>
      <w:r>
        <w:t xml:space="preserve">baseline </w:t>
      </w:r>
      <w:r w:rsidRPr="00500690">
        <w:t xml:space="preserve">is optimal for producing useful outcome data. Waiting until 6 months after </w:t>
      </w:r>
      <w:r>
        <w:t>baseline</w:t>
      </w:r>
      <w:r w:rsidRPr="00500690">
        <w:t xml:space="preserve"> from treatment services allows enough time for any longer-term effects of TCE-HIV services including changes in </w:t>
      </w:r>
      <w:r>
        <w:t>risk</w:t>
      </w:r>
      <w:r w:rsidRPr="00500690">
        <w:t xml:space="preserve"> behavior</w:t>
      </w:r>
      <w:r>
        <w:t>s</w:t>
      </w:r>
      <w:r w:rsidRPr="00500690">
        <w:t xml:space="preserve"> and/or secondary outcomes, such as education and housing status, criminal involvement, arrests, and other health care utilization. Alternatively, waiting more than 6 months jeopardizes the validity of the data collected. As time passes, self-reported data become less accurate. Moreover, follow-up response rates, especially among much of the population to which TCE-HIV is being delivered, decrease over time. </w:t>
      </w:r>
    </w:p>
    <w:p w:rsidR="00782A43" w:rsidRPr="00500690" w:rsidRDefault="00782A43" w:rsidP="003D66D7">
      <w:bookmarkStart w:id="19" w:name="_Toc131564346"/>
    </w:p>
    <w:bookmarkEnd w:id="19"/>
    <w:p w:rsidR="00782A43" w:rsidRDefault="00782A43">
      <w:pPr>
        <w:ind w:left="720"/>
      </w:pPr>
      <w:r w:rsidRPr="00500690">
        <w:rPr>
          <w:u w:val="single"/>
        </w:rPr>
        <w:t xml:space="preserve">Semi-Structured Interviews: </w:t>
      </w:r>
      <w:r w:rsidRPr="00500690">
        <w:t>The semi-structured interviews will be administered to staff and partners/collaborators from each of the 4</w:t>
      </w:r>
      <w:r w:rsidRPr="00A02EF3">
        <w:t>8</w:t>
      </w:r>
      <w:r w:rsidRPr="00500690">
        <w:t xml:space="preserve"> TCE-HIV Grantees during site visits conducted in</w:t>
      </w:r>
      <w:r>
        <w:t xml:space="preserve"> </w:t>
      </w:r>
      <w:r w:rsidRPr="00500690">
        <w:t xml:space="preserve">Year 2. To determine the effect of TCE-HIV services, </w:t>
      </w:r>
      <w:r>
        <w:t>evaluation staff</w:t>
      </w:r>
      <w:r w:rsidRPr="00500690">
        <w:t xml:space="preserve"> will compare baseline measures with the same indicators approximately 24 months (Year 4) after </w:t>
      </w:r>
      <w:r>
        <w:t>the</w:t>
      </w:r>
      <w:r w:rsidRPr="00500690">
        <w:t xml:space="preserve"> initial measurement. Comparisons </w:t>
      </w:r>
      <w:r>
        <w:t>between</w:t>
      </w:r>
      <w:r w:rsidRPr="00500690">
        <w:t xml:space="preserve"> these time points will yield </w:t>
      </w:r>
      <w:r w:rsidRPr="00500690">
        <w:lastRenderedPageBreak/>
        <w:t xml:space="preserve">information on community, program, and </w:t>
      </w:r>
      <w:r>
        <w:t>staff</w:t>
      </w:r>
      <w:r w:rsidRPr="00500690">
        <w:t xml:space="preserve"> changes as measured at </w:t>
      </w:r>
      <w:r>
        <w:t>Year 2 and Year 4.</w:t>
      </w:r>
      <w:r w:rsidRPr="00500690" w:rsidDel="00FC1915">
        <w:t xml:space="preserve"> </w:t>
      </w:r>
      <w:r w:rsidRPr="00500690">
        <w:t>Collecting follow-up data at 24 months after the Year 2 site visit is optimal for producing useful comparison data, as community and programmatic level changes are likely to be manifested within the 24 month cycle</w:t>
      </w:r>
      <w:r w:rsidRPr="000746F1">
        <w:t xml:space="preserve">. Alternatively, if the information is collected after more than 24 months, the </w:t>
      </w:r>
      <w:r>
        <w:t xml:space="preserve">resultant </w:t>
      </w:r>
      <w:r w:rsidRPr="000746F1">
        <w:t xml:space="preserve">shortened period for data analysis may result in a lack of important information for </w:t>
      </w:r>
      <w:r w:rsidRPr="00E63C56">
        <w:t>SAMHSA/CSAT</w:t>
      </w:r>
      <w:r w:rsidRPr="000746F1">
        <w:t xml:space="preserve"> on how best to understand the community and contextual conditions in which the TCE-HIV programs exist and provide services.</w:t>
      </w:r>
    </w:p>
    <w:p w:rsidR="00782A43" w:rsidRPr="00500690" w:rsidRDefault="00782A43" w:rsidP="003D66D7"/>
    <w:p w:rsidR="00782A43" w:rsidRDefault="00782A43">
      <w:pPr>
        <w:ind w:left="720"/>
      </w:pPr>
      <w:r w:rsidRPr="00500690">
        <w:rPr>
          <w:u w:val="single"/>
        </w:rPr>
        <w:t>Client Focus Groups:</w:t>
      </w:r>
      <w:r w:rsidRPr="00500690">
        <w:t xml:space="preserve"> Focus groups will be conducted</w:t>
      </w:r>
      <w:r w:rsidRPr="00B01327">
        <w:t xml:space="preserve"> </w:t>
      </w:r>
      <w:r w:rsidRPr="00500690">
        <w:t xml:space="preserve">during </w:t>
      </w:r>
      <w:r>
        <w:t xml:space="preserve">site visits in </w:t>
      </w:r>
      <w:r w:rsidRPr="00500690">
        <w:t>Year 2</w:t>
      </w:r>
      <w:r>
        <w:t xml:space="preserve"> and Year 4 with a subsample of treatment clients at </w:t>
      </w:r>
      <w:r w:rsidRPr="00500690">
        <w:t>each of the 4</w:t>
      </w:r>
      <w:r>
        <w:t>0</w:t>
      </w:r>
      <w:r w:rsidRPr="00500690">
        <w:t xml:space="preserve"> treatment Grantee</w:t>
      </w:r>
      <w:r>
        <w:t xml:space="preserve">s. </w:t>
      </w:r>
      <w:r w:rsidRPr="00500690">
        <w:t xml:space="preserve">The goals of the </w:t>
      </w:r>
      <w:r>
        <w:t>c</w:t>
      </w:r>
      <w:r w:rsidRPr="00500690">
        <w:t xml:space="preserve">lient </w:t>
      </w:r>
      <w:r>
        <w:t>f</w:t>
      </w:r>
      <w:r w:rsidRPr="00500690">
        <w:t xml:space="preserve">ocus </w:t>
      </w:r>
      <w:r>
        <w:t>g</w:t>
      </w:r>
      <w:r w:rsidRPr="00500690">
        <w:t xml:space="preserve">roups are to gather information about client substance abuse treatment history, client behavior (i.e., substance use/abuse, risk behavior, quality of life), client perception of social support, </w:t>
      </w:r>
      <w:r>
        <w:t xml:space="preserve">and </w:t>
      </w:r>
      <w:r w:rsidRPr="00500690">
        <w:t xml:space="preserve">client satisfaction with the TCE-HIV program. </w:t>
      </w:r>
    </w:p>
    <w:p w:rsidR="00782A43" w:rsidRPr="00F014D5" w:rsidRDefault="00782A43" w:rsidP="003D66D7"/>
    <w:p w:rsidR="00782A43" w:rsidRPr="00736721" w:rsidRDefault="00782A43">
      <w:pPr>
        <w:ind w:left="720"/>
      </w:pPr>
      <w:r>
        <w:t>No technical or legal barriers to reduce burden exist if information is collected less frequently.</w:t>
      </w:r>
    </w:p>
    <w:p w:rsidR="00782A43" w:rsidRPr="00F014D5" w:rsidRDefault="00782A43" w:rsidP="003D66D7"/>
    <w:p w:rsidR="00782A43" w:rsidRDefault="00782A43">
      <w:pPr>
        <w:ind w:firstLine="720"/>
        <w:rPr>
          <w:b/>
          <w:bCs/>
        </w:rPr>
      </w:pPr>
      <w:bookmarkStart w:id="20" w:name="_Toc88277956"/>
      <w:bookmarkStart w:id="21" w:name="_Toc131564347"/>
      <w:r w:rsidRPr="00C141E2">
        <w:rPr>
          <w:b/>
          <w:bCs/>
        </w:rPr>
        <w:t>7.</w:t>
      </w:r>
      <w:r w:rsidRPr="00C141E2">
        <w:rPr>
          <w:b/>
          <w:bCs/>
        </w:rPr>
        <w:tab/>
      </w:r>
      <w:r w:rsidRPr="00C141E2">
        <w:rPr>
          <w:b/>
          <w:bCs/>
          <w:u w:val="single"/>
        </w:rPr>
        <w:t>Consistency with the Guidelines in 5 CFR 1320.5</w:t>
      </w:r>
      <w:bookmarkEnd w:id="20"/>
      <w:bookmarkEnd w:id="21"/>
      <w:r w:rsidRPr="00C141E2">
        <w:rPr>
          <w:b/>
          <w:bCs/>
          <w:u w:val="single"/>
        </w:rPr>
        <w:t>(d</w:t>
      </w:r>
      <w:proofErr w:type="gramStart"/>
      <w:r w:rsidRPr="00C141E2">
        <w:rPr>
          <w:b/>
          <w:bCs/>
          <w:u w:val="single"/>
        </w:rPr>
        <w:t>)(</w:t>
      </w:r>
      <w:proofErr w:type="gramEnd"/>
      <w:r w:rsidRPr="00C141E2">
        <w:rPr>
          <w:b/>
          <w:bCs/>
          <w:u w:val="single"/>
        </w:rPr>
        <w:t>2)</w:t>
      </w:r>
    </w:p>
    <w:p w:rsidR="00782A43" w:rsidRPr="00C141E2" w:rsidRDefault="00782A43" w:rsidP="003D66D7"/>
    <w:p w:rsidR="00782A43" w:rsidRDefault="00782A43">
      <w:pPr>
        <w:ind w:firstLine="720"/>
      </w:pPr>
      <w:r w:rsidRPr="00C141E2">
        <w:t>This information collection fully complies with the guidelines in 5 CFR 1320.5(d</w:t>
      </w:r>
      <w:proofErr w:type="gramStart"/>
      <w:r w:rsidRPr="00C141E2">
        <w:t>)(</w:t>
      </w:r>
      <w:proofErr w:type="gramEnd"/>
      <w:r w:rsidRPr="00C141E2">
        <w:t>2)</w:t>
      </w:r>
      <w:r>
        <w:t xml:space="preserve">. </w:t>
      </w:r>
    </w:p>
    <w:p w:rsidR="00782A43" w:rsidRPr="00F014D5" w:rsidRDefault="00782A43" w:rsidP="003D66D7">
      <w:bookmarkStart w:id="22" w:name="_Toc88277957"/>
      <w:bookmarkStart w:id="23" w:name="_Toc131564348"/>
    </w:p>
    <w:p w:rsidR="00782A43" w:rsidRDefault="00782A43">
      <w:pPr>
        <w:ind w:firstLine="720"/>
        <w:rPr>
          <w:b/>
          <w:bCs/>
        </w:rPr>
      </w:pPr>
      <w:r w:rsidRPr="00C141E2">
        <w:rPr>
          <w:b/>
          <w:bCs/>
        </w:rPr>
        <w:t>8.</w:t>
      </w:r>
      <w:r w:rsidRPr="00C141E2">
        <w:rPr>
          <w:b/>
          <w:bCs/>
        </w:rPr>
        <w:tab/>
      </w:r>
      <w:r w:rsidRPr="00C141E2">
        <w:rPr>
          <w:b/>
          <w:bCs/>
          <w:u w:val="single"/>
        </w:rPr>
        <w:t xml:space="preserve">Consultation </w:t>
      </w:r>
      <w:proofErr w:type="gramStart"/>
      <w:r w:rsidRPr="00C141E2">
        <w:rPr>
          <w:b/>
          <w:bCs/>
          <w:u w:val="single"/>
        </w:rPr>
        <w:t>Outside</w:t>
      </w:r>
      <w:proofErr w:type="gramEnd"/>
      <w:r w:rsidRPr="00C141E2">
        <w:rPr>
          <w:b/>
          <w:bCs/>
          <w:u w:val="single"/>
        </w:rPr>
        <w:t xml:space="preserve"> the Agency</w:t>
      </w:r>
      <w:bookmarkEnd w:id="22"/>
      <w:bookmarkEnd w:id="23"/>
    </w:p>
    <w:p w:rsidR="00782A43" w:rsidRPr="00C141E2" w:rsidRDefault="00782A43" w:rsidP="003D66D7"/>
    <w:p w:rsidR="00782A43" w:rsidRDefault="00782A43">
      <w:pPr>
        <w:ind w:left="720"/>
      </w:pPr>
      <w:r w:rsidRPr="00C141E2">
        <w:t xml:space="preserve">The notice required by 5 </w:t>
      </w:r>
      <w:proofErr w:type="gramStart"/>
      <w:r w:rsidRPr="00C141E2">
        <w:t>CFR1320.8(</w:t>
      </w:r>
      <w:proofErr w:type="gramEnd"/>
      <w:r w:rsidRPr="00C141E2">
        <w:t xml:space="preserve">d) was published in the </w:t>
      </w:r>
      <w:r w:rsidRPr="00C141E2">
        <w:rPr>
          <w:i/>
          <w:iCs/>
        </w:rPr>
        <w:t>Federal Register</w:t>
      </w:r>
      <w:r w:rsidRPr="00C141E2">
        <w:t xml:space="preserve"> on </w:t>
      </w:r>
      <w:r w:rsidRPr="00772BF8">
        <w:t>October 23,</w:t>
      </w:r>
      <w:r>
        <w:rPr>
          <w:rFonts w:ascii="Arial" w:hAnsi="Arial" w:cs="Arial"/>
          <w:sz w:val="20"/>
          <w:szCs w:val="20"/>
        </w:rPr>
        <w:t xml:space="preserve"> </w:t>
      </w:r>
      <w:r w:rsidRPr="00772BF8">
        <w:t>2009 (74 FR 54830-54831).</w:t>
      </w:r>
      <w:r w:rsidRPr="00610005">
        <w:rPr>
          <w:rFonts w:ascii="Arial" w:hAnsi="Arial" w:cs="Arial"/>
          <w:sz w:val="20"/>
          <w:szCs w:val="20"/>
        </w:rPr>
        <w:t xml:space="preserve"> </w:t>
      </w:r>
      <w:r w:rsidRPr="00C141E2">
        <w:t xml:space="preserve">No comments were received in response to this notice. </w:t>
      </w:r>
    </w:p>
    <w:p w:rsidR="00782A43" w:rsidRPr="00C141E2" w:rsidRDefault="00782A43" w:rsidP="003D66D7">
      <w:r>
        <w:tab/>
      </w:r>
    </w:p>
    <w:p w:rsidR="00782A43" w:rsidRDefault="00782A43">
      <w:pPr>
        <w:ind w:left="720"/>
      </w:pPr>
      <w:r w:rsidRPr="00C141E2">
        <w:t xml:space="preserve">SAMHSA has made extensive use of experts in the area of </w:t>
      </w:r>
      <w:r w:rsidRPr="004772FF">
        <w:t>substance abuse and HIV/AIDS</w:t>
      </w:r>
      <w:r>
        <w:rPr>
          <w:color w:val="FF0000"/>
        </w:rPr>
        <w:t xml:space="preserve"> </w:t>
      </w:r>
      <w:r w:rsidRPr="00C141E2">
        <w:t xml:space="preserve">research to provide guidance on the design of the </w:t>
      </w:r>
      <w:r>
        <w:t>M</w:t>
      </w:r>
      <w:r w:rsidRPr="00C141E2">
        <w:t>ulti-</w:t>
      </w:r>
      <w:r>
        <w:t>S</w:t>
      </w:r>
      <w:r w:rsidRPr="00C141E2">
        <w:t xml:space="preserve">ite </w:t>
      </w:r>
      <w:r>
        <w:t>E</w:t>
      </w:r>
      <w:r w:rsidRPr="00C141E2">
        <w:t xml:space="preserve">valuation. An expert panel meeting was held in </w:t>
      </w:r>
      <w:r w:rsidRPr="004772FF">
        <w:t>November</w:t>
      </w:r>
      <w:r>
        <w:t xml:space="preserve"> 17–18</w:t>
      </w:r>
      <w:r w:rsidRPr="004772FF">
        <w:t>, 2008</w:t>
      </w:r>
      <w:r w:rsidRPr="00C141E2">
        <w:t xml:space="preserve"> to review various aspects of the </w:t>
      </w:r>
      <w:r>
        <w:t>M</w:t>
      </w:r>
      <w:r w:rsidRPr="00C141E2">
        <w:t>ulti-</w:t>
      </w:r>
      <w:r>
        <w:t>S</w:t>
      </w:r>
      <w:r w:rsidRPr="00C141E2">
        <w:t xml:space="preserve">ite </w:t>
      </w:r>
      <w:r>
        <w:t>E</w:t>
      </w:r>
      <w:r w:rsidRPr="00C141E2">
        <w:t xml:space="preserve">valuation, including the evaluation plan, data collection procedures, methods, and literature review. The list of experts </w:t>
      </w:r>
      <w:r>
        <w:t xml:space="preserve">who participated </w:t>
      </w:r>
      <w:r w:rsidRPr="00C141E2">
        <w:t xml:space="preserve">is provided in Exhibit </w:t>
      </w:r>
      <w:r>
        <w:t>2</w:t>
      </w:r>
      <w:r w:rsidRPr="00C141E2">
        <w:t xml:space="preserve">. </w:t>
      </w:r>
    </w:p>
    <w:p w:rsidR="00782A43" w:rsidRPr="006131F5" w:rsidRDefault="00782A43">
      <w:pPr>
        <w:rPr>
          <w:b/>
          <w:bCs/>
          <w:sz w:val="16"/>
          <w:szCs w:val="16"/>
        </w:rPr>
      </w:pPr>
      <w:bookmarkStart w:id="24" w:name="_Toc93987695"/>
      <w:bookmarkStart w:id="25" w:name="_Toc131566256"/>
      <w:r>
        <w:br w:type="page"/>
      </w:r>
      <w:r w:rsidRPr="00714F9F">
        <w:rPr>
          <w:b/>
          <w:bCs/>
          <w:sz w:val="16"/>
          <w:szCs w:val="16"/>
        </w:rPr>
        <w:lastRenderedPageBreak/>
        <w:t>Exhibit 2: Expert Panel Members</w:t>
      </w:r>
      <w:bookmarkEnd w:id="24"/>
      <w:bookmarkEnd w:id="25"/>
    </w:p>
    <w:tbl>
      <w:tblPr>
        <w:tblW w:w="9310" w:type="dxa"/>
        <w:tblInd w:w="-84"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86" w:type="dxa"/>
          <w:right w:w="86" w:type="dxa"/>
        </w:tblCellMar>
        <w:tblLook w:val="0000"/>
      </w:tblPr>
      <w:tblGrid>
        <w:gridCol w:w="2590"/>
        <w:gridCol w:w="3720"/>
        <w:gridCol w:w="3000"/>
      </w:tblGrid>
      <w:tr w:rsidR="00782A43" w:rsidRPr="002A1A67">
        <w:trPr>
          <w:cantSplit/>
          <w:tblHeader/>
        </w:trPr>
        <w:tc>
          <w:tcPr>
            <w:tcW w:w="2590" w:type="dxa"/>
            <w:tcBorders>
              <w:top w:val="double" w:sz="6" w:space="0" w:color="auto"/>
            </w:tcBorders>
            <w:vAlign w:val="bottom"/>
          </w:tcPr>
          <w:p w:rsidR="00782A43" w:rsidRPr="002A1A67" w:rsidRDefault="00782A43" w:rsidP="006C7FE5">
            <w:pPr>
              <w:jc w:val="center"/>
              <w:rPr>
                <w:sz w:val="16"/>
                <w:szCs w:val="16"/>
              </w:rPr>
            </w:pPr>
            <w:r w:rsidRPr="00714F9F">
              <w:rPr>
                <w:b/>
                <w:bCs/>
                <w:sz w:val="16"/>
                <w:szCs w:val="16"/>
              </w:rPr>
              <w:t>Expert</w:t>
            </w:r>
          </w:p>
        </w:tc>
        <w:tc>
          <w:tcPr>
            <w:tcW w:w="3720" w:type="dxa"/>
            <w:tcBorders>
              <w:top w:val="double" w:sz="6" w:space="0" w:color="auto"/>
            </w:tcBorders>
            <w:vAlign w:val="bottom"/>
          </w:tcPr>
          <w:p w:rsidR="00782A43" w:rsidRPr="002A1A67" w:rsidRDefault="00782A43" w:rsidP="006C7FE5">
            <w:pPr>
              <w:jc w:val="center"/>
              <w:rPr>
                <w:sz w:val="16"/>
                <w:szCs w:val="16"/>
              </w:rPr>
            </w:pPr>
            <w:r w:rsidRPr="00714F9F">
              <w:rPr>
                <w:b/>
                <w:bCs/>
                <w:sz w:val="16"/>
                <w:szCs w:val="16"/>
              </w:rPr>
              <w:t>Affiliation</w:t>
            </w:r>
          </w:p>
        </w:tc>
        <w:tc>
          <w:tcPr>
            <w:tcW w:w="3000" w:type="dxa"/>
            <w:tcBorders>
              <w:top w:val="double" w:sz="6" w:space="0" w:color="auto"/>
            </w:tcBorders>
            <w:vAlign w:val="bottom"/>
          </w:tcPr>
          <w:p w:rsidR="00782A43" w:rsidRPr="002A1A67" w:rsidRDefault="00782A43" w:rsidP="006C7FE5">
            <w:pPr>
              <w:jc w:val="center"/>
              <w:rPr>
                <w:sz w:val="16"/>
                <w:szCs w:val="16"/>
              </w:rPr>
            </w:pPr>
            <w:r w:rsidRPr="00714F9F">
              <w:rPr>
                <w:b/>
                <w:bCs/>
                <w:sz w:val="16"/>
                <w:szCs w:val="16"/>
              </w:rPr>
              <w:t>Contact Information</w:t>
            </w:r>
          </w:p>
        </w:tc>
      </w:tr>
      <w:tr w:rsidR="00782A43" w:rsidRPr="002A1A67">
        <w:trPr>
          <w:cantSplit/>
        </w:trPr>
        <w:tc>
          <w:tcPr>
            <w:tcW w:w="2590" w:type="dxa"/>
          </w:tcPr>
          <w:p w:rsidR="00782A43" w:rsidRPr="002A1A67" w:rsidRDefault="00782A43" w:rsidP="00255E03">
            <w:pPr>
              <w:rPr>
                <w:sz w:val="16"/>
                <w:szCs w:val="16"/>
              </w:rPr>
            </w:pPr>
            <w:r w:rsidRPr="00714F9F">
              <w:rPr>
                <w:sz w:val="16"/>
                <w:szCs w:val="16"/>
              </w:rPr>
              <w:t xml:space="preserve">Faye </w:t>
            </w:r>
            <w:proofErr w:type="spellStart"/>
            <w:r w:rsidRPr="00714F9F">
              <w:rPr>
                <w:sz w:val="16"/>
                <w:szCs w:val="16"/>
              </w:rPr>
              <w:t>Belgrave</w:t>
            </w:r>
            <w:proofErr w:type="spellEnd"/>
            <w:r w:rsidRPr="00714F9F">
              <w:rPr>
                <w:sz w:val="16"/>
                <w:szCs w:val="16"/>
              </w:rPr>
              <w:t>, PhD</w:t>
            </w:r>
          </w:p>
          <w:p w:rsidR="00782A43" w:rsidRPr="002A1A67" w:rsidRDefault="00782A43" w:rsidP="003D66D7">
            <w:pPr>
              <w:rPr>
                <w:sz w:val="16"/>
                <w:szCs w:val="16"/>
              </w:rPr>
            </w:pPr>
          </w:p>
        </w:tc>
        <w:tc>
          <w:tcPr>
            <w:tcW w:w="3720" w:type="dxa"/>
          </w:tcPr>
          <w:p w:rsidR="00782A43" w:rsidRPr="002A1A67" w:rsidRDefault="00782A43" w:rsidP="003D66D7">
            <w:pPr>
              <w:rPr>
                <w:sz w:val="16"/>
                <w:szCs w:val="16"/>
              </w:rPr>
            </w:pPr>
            <w:r w:rsidRPr="00714F9F">
              <w:rPr>
                <w:sz w:val="16"/>
                <w:szCs w:val="16"/>
              </w:rPr>
              <w:t xml:space="preserve">Director, Center for Cultural Experiences in Prevention </w:t>
            </w:r>
            <w:r w:rsidRPr="00714F9F">
              <w:rPr>
                <w:sz w:val="16"/>
                <w:szCs w:val="16"/>
              </w:rPr>
              <w:br/>
              <w:t>Virginia Commonwealth University</w:t>
            </w:r>
            <w:r w:rsidRPr="00714F9F">
              <w:rPr>
                <w:sz w:val="16"/>
                <w:szCs w:val="16"/>
              </w:rPr>
              <w:br/>
              <w:t>College of Humanities and Sciences</w:t>
            </w:r>
            <w:r w:rsidRPr="00714F9F">
              <w:rPr>
                <w:sz w:val="16"/>
                <w:szCs w:val="16"/>
              </w:rPr>
              <w:br/>
              <w:t>Department of Psychology</w:t>
            </w:r>
            <w:r w:rsidRPr="00714F9F">
              <w:rPr>
                <w:sz w:val="16"/>
                <w:szCs w:val="16"/>
              </w:rPr>
              <w:br/>
              <w:t>806 West Franklin Street</w:t>
            </w:r>
            <w:r w:rsidRPr="00714F9F">
              <w:rPr>
                <w:sz w:val="16"/>
                <w:szCs w:val="16"/>
              </w:rPr>
              <w:br/>
              <w:t>Richmond, VA 23284-2018</w:t>
            </w:r>
          </w:p>
        </w:tc>
        <w:tc>
          <w:tcPr>
            <w:tcW w:w="3000" w:type="dxa"/>
          </w:tcPr>
          <w:p w:rsidR="00782A43" w:rsidRPr="002A1A67" w:rsidRDefault="00782A43" w:rsidP="00255E03">
            <w:pPr>
              <w:rPr>
                <w:sz w:val="16"/>
                <w:szCs w:val="16"/>
              </w:rPr>
            </w:pPr>
            <w:r w:rsidRPr="00714F9F">
              <w:rPr>
                <w:sz w:val="16"/>
                <w:szCs w:val="16"/>
              </w:rPr>
              <w:t>Phone:</w:t>
            </w:r>
            <w:r w:rsidRPr="00714F9F">
              <w:rPr>
                <w:sz w:val="16"/>
                <w:szCs w:val="16"/>
              </w:rPr>
              <w:tab/>
              <w:t>804-827-3908</w:t>
            </w:r>
            <w:r w:rsidRPr="00714F9F">
              <w:rPr>
                <w:sz w:val="16"/>
                <w:szCs w:val="16"/>
              </w:rPr>
              <w:br/>
              <w:t>E-mail:</w:t>
            </w:r>
            <w:r w:rsidRPr="00714F9F">
              <w:rPr>
                <w:sz w:val="16"/>
                <w:szCs w:val="16"/>
              </w:rPr>
              <w:tab/>
            </w:r>
            <w:hyperlink r:id="rId7" w:history="1">
              <w:r w:rsidRPr="00714F9F">
                <w:rPr>
                  <w:rStyle w:val="Hyperlink"/>
                  <w:color w:val="auto"/>
                  <w:sz w:val="16"/>
                  <w:szCs w:val="16"/>
                  <w:u w:val="none"/>
                </w:rPr>
                <w:t>fzbelgra@vcu.edu</w:t>
              </w:r>
            </w:hyperlink>
          </w:p>
          <w:p w:rsidR="00782A43" w:rsidRPr="002A1A67" w:rsidRDefault="00782A43" w:rsidP="003D66D7">
            <w:pPr>
              <w:rPr>
                <w:sz w:val="16"/>
                <w:szCs w:val="16"/>
              </w:rPr>
            </w:pPr>
          </w:p>
        </w:tc>
      </w:tr>
      <w:tr w:rsidR="00782A43" w:rsidRPr="00EC6923">
        <w:trPr>
          <w:cantSplit/>
        </w:trPr>
        <w:tc>
          <w:tcPr>
            <w:tcW w:w="2590" w:type="dxa"/>
          </w:tcPr>
          <w:p w:rsidR="00782A43" w:rsidRPr="002A1A67" w:rsidRDefault="00782A43" w:rsidP="003D66D7">
            <w:pPr>
              <w:rPr>
                <w:sz w:val="16"/>
                <w:szCs w:val="16"/>
              </w:rPr>
            </w:pPr>
            <w:r w:rsidRPr="00714F9F">
              <w:rPr>
                <w:sz w:val="16"/>
                <w:szCs w:val="16"/>
              </w:rPr>
              <w:t>Benjamin Bowser, PhD</w:t>
            </w:r>
          </w:p>
        </w:tc>
        <w:tc>
          <w:tcPr>
            <w:tcW w:w="3720" w:type="dxa"/>
          </w:tcPr>
          <w:p w:rsidR="00782A43" w:rsidRPr="002A1A67" w:rsidRDefault="00782A43" w:rsidP="003D66D7">
            <w:pPr>
              <w:rPr>
                <w:sz w:val="16"/>
                <w:szCs w:val="16"/>
              </w:rPr>
            </w:pPr>
            <w:r w:rsidRPr="00714F9F">
              <w:rPr>
                <w:sz w:val="16"/>
                <w:szCs w:val="16"/>
              </w:rPr>
              <w:t>Interim Dean, California State University, East Bay</w:t>
            </w:r>
            <w:r w:rsidRPr="00714F9F">
              <w:rPr>
                <w:sz w:val="16"/>
                <w:szCs w:val="16"/>
              </w:rPr>
              <w:br/>
              <w:t xml:space="preserve">3103 </w:t>
            </w:r>
            <w:proofErr w:type="spellStart"/>
            <w:r w:rsidRPr="00714F9F">
              <w:rPr>
                <w:sz w:val="16"/>
                <w:szCs w:val="16"/>
              </w:rPr>
              <w:t>Meiklejohn</w:t>
            </w:r>
            <w:proofErr w:type="spellEnd"/>
            <w:r w:rsidRPr="00714F9F">
              <w:rPr>
                <w:sz w:val="16"/>
                <w:szCs w:val="16"/>
              </w:rPr>
              <w:t xml:space="preserve"> Hall</w:t>
            </w:r>
            <w:r w:rsidRPr="00714F9F">
              <w:rPr>
                <w:sz w:val="16"/>
                <w:szCs w:val="16"/>
              </w:rPr>
              <w:br/>
              <w:t>Hayward, CA 94542</w:t>
            </w:r>
          </w:p>
        </w:tc>
        <w:tc>
          <w:tcPr>
            <w:tcW w:w="3000" w:type="dxa"/>
          </w:tcPr>
          <w:p w:rsidR="00782A43" w:rsidRPr="002A1A67" w:rsidRDefault="00782A43" w:rsidP="003D66D7">
            <w:pPr>
              <w:rPr>
                <w:sz w:val="16"/>
                <w:szCs w:val="16"/>
                <w:lang w:val="fr-FR"/>
              </w:rPr>
            </w:pPr>
            <w:r w:rsidRPr="00714F9F">
              <w:rPr>
                <w:sz w:val="16"/>
                <w:szCs w:val="16"/>
                <w:lang w:val="fr-FR"/>
              </w:rPr>
              <w:t>Phone:</w:t>
            </w:r>
            <w:r w:rsidRPr="00714F9F">
              <w:rPr>
                <w:sz w:val="16"/>
                <w:szCs w:val="16"/>
                <w:lang w:val="fr-FR"/>
              </w:rPr>
              <w:tab/>
              <w:t>510-885-3173</w:t>
            </w:r>
            <w:r w:rsidRPr="00714F9F">
              <w:rPr>
                <w:sz w:val="16"/>
                <w:szCs w:val="16"/>
                <w:lang w:val="fr-FR"/>
              </w:rPr>
              <w:br/>
              <w:t>Fax: 510-885-2390</w:t>
            </w:r>
          </w:p>
          <w:p w:rsidR="00782A43" w:rsidRPr="002A1A67" w:rsidRDefault="00782A43" w:rsidP="003D66D7">
            <w:pPr>
              <w:rPr>
                <w:sz w:val="16"/>
                <w:szCs w:val="16"/>
                <w:lang w:val="fr-FR"/>
              </w:rPr>
            </w:pPr>
            <w:r w:rsidRPr="00714F9F">
              <w:rPr>
                <w:sz w:val="16"/>
                <w:szCs w:val="16"/>
                <w:lang w:val="fr-FR"/>
              </w:rPr>
              <w:t xml:space="preserve">E-mail: </w:t>
            </w:r>
            <w:hyperlink r:id="rId8" w:history="1">
              <w:r w:rsidRPr="00714F9F">
                <w:rPr>
                  <w:rStyle w:val="Hyperlink"/>
                  <w:color w:val="auto"/>
                  <w:sz w:val="16"/>
                  <w:szCs w:val="16"/>
                  <w:u w:val="none"/>
                  <w:lang w:val="fr-FR"/>
                </w:rPr>
                <w:t>benjamin.bowser@csueastbay.edu</w:t>
              </w:r>
            </w:hyperlink>
          </w:p>
        </w:tc>
      </w:tr>
      <w:tr w:rsidR="00782A43" w:rsidRPr="00EC6923">
        <w:trPr>
          <w:cantSplit/>
        </w:trPr>
        <w:tc>
          <w:tcPr>
            <w:tcW w:w="2590" w:type="dxa"/>
          </w:tcPr>
          <w:p w:rsidR="00782A43" w:rsidRPr="002A1A67" w:rsidRDefault="00782A43" w:rsidP="00D34CBF">
            <w:pPr>
              <w:rPr>
                <w:sz w:val="16"/>
                <w:szCs w:val="16"/>
              </w:rPr>
            </w:pPr>
            <w:r w:rsidRPr="00714F9F">
              <w:rPr>
                <w:sz w:val="16"/>
                <w:szCs w:val="16"/>
              </w:rPr>
              <w:t xml:space="preserve">Karen </w:t>
            </w:r>
            <w:proofErr w:type="spellStart"/>
            <w:r w:rsidRPr="00714F9F">
              <w:rPr>
                <w:sz w:val="16"/>
                <w:szCs w:val="16"/>
              </w:rPr>
              <w:t>Corsi</w:t>
            </w:r>
            <w:proofErr w:type="spellEnd"/>
            <w:r w:rsidRPr="00714F9F">
              <w:rPr>
                <w:sz w:val="16"/>
                <w:szCs w:val="16"/>
              </w:rPr>
              <w:t>, ScD</w:t>
            </w:r>
          </w:p>
          <w:p w:rsidR="00782A43" w:rsidRPr="002A1A67" w:rsidRDefault="00782A43" w:rsidP="003D66D7">
            <w:pPr>
              <w:rPr>
                <w:sz w:val="16"/>
                <w:szCs w:val="16"/>
              </w:rPr>
            </w:pPr>
          </w:p>
        </w:tc>
        <w:tc>
          <w:tcPr>
            <w:tcW w:w="3720" w:type="dxa"/>
          </w:tcPr>
          <w:p w:rsidR="00782A43" w:rsidRPr="002A1A67" w:rsidRDefault="00782A43" w:rsidP="003D66D7">
            <w:pPr>
              <w:rPr>
                <w:sz w:val="16"/>
                <w:szCs w:val="16"/>
              </w:rPr>
            </w:pPr>
            <w:r w:rsidRPr="00714F9F">
              <w:rPr>
                <w:sz w:val="16"/>
                <w:szCs w:val="16"/>
              </w:rPr>
              <w:t xml:space="preserve">University of Colorado Medical School––Project Safe </w:t>
            </w:r>
            <w:r w:rsidRPr="00714F9F">
              <w:rPr>
                <w:sz w:val="16"/>
                <w:szCs w:val="16"/>
              </w:rPr>
              <w:br/>
              <w:t>1741 Vine St.</w:t>
            </w:r>
            <w:r w:rsidRPr="00714F9F">
              <w:rPr>
                <w:sz w:val="16"/>
                <w:szCs w:val="16"/>
              </w:rPr>
              <w:br/>
              <w:t>Denver, CO 80206</w:t>
            </w:r>
          </w:p>
        </w:tc>
        <w:tc>
          <w:tcPr>
            <w:tcW w:w="3000" w:type="dxa"/>
          </w:tcPr>
          <w:p w:rsidR="00782A43" w:rsidRPr="002A1A67" w:rsidRDefault="00782A43" w:rsidP="003D66D7">
            <w:pPr>
              <w:rPr>
                <w:sz w:val="16"/>
                <w:szCs w:val="16"/>
                <w:lang w:val="fr-FR"/>
              </w:rPr>
            </w:pPr>
            <w:r w:rsidRPr="00714F9F">
              <w:rPr>
                <w:sz w:val="16"/>
                <w:szCs w:val="16"/>
                <w:lang w:val="fr-FR"/>
              </w:rPr>
              <w:t>Phone: 303-315-0951</w:t>
            </w:r>
            <w:r w:rsidRPr="00714F9F">
              <w:rPr>
                <w:sz w:val="16"/>
                <w:szCs w:val="16"/>
                <w:lang w:val="fr-FR"/>
              </w:rPr>
              <w:br/>
              <w:t>Fax: 303-316-7697</w:t>
            </w:r>
            <w:r w:rsidRPr="00714F9F">
              <w:rPr>
                <w:sz w:val="16"/>
                <w:szCs w:val="16"/>
                <w:lang w:val="fr-FR"/>
              </w:rPr>
              <w:br/>
              <w:t xml:space="preserve">E-mail: </w:t>
            </w:r>
            <w:hyperlink r:id="rId9" w:history="1">
              <w:r w:rsidRPr="00714F9F">
                <w:rPr>
                  <w:rStyle w:val="Hyperlink"/>
                  <w:color w:val="auto"/>
                  <w:sz w:val="16"/>
                  <w:szCs w:val="16"/>
                  <w:u w:val="none"/>
                  <w:lang w:val="fr-FR"/>
                </w:rPr>
                <w:t>karen.corsi@uchsc.edu</w:t>
              </w:r>
            </w:hyperlink>
          </w:p>
        </w:tc>
      </w:tr>
      <w:tr w:rsidR="00782A43" w:rsidRPr="002A1A67">
        <w:trPr>
          <w:cantSplit/>
        </w:trPr>
        <w:tc>
          <w:tcPr>
            <w:tcW w:w="2590" w:type="dxa"/>
          </w:tcPr>
          <w:p w:rsidR="00782A43" w:rsidRPr="002A1A67" w:rsidRDefault="00782A43" w:rsidP="00A42C74">
            <w:pPr>
              <w:rPr>
                <w:sz w:val="16"/>
                <w:szCs w:val="16"/>
              </w:rPr>
            </w:pPr>
            <w:proofErr w:type="spellStart"/>
            <w:r w:rsidRPr="00714F9F">
              <w:rPr>
                <w:sz w:val="16"/>
                <w:szCs w:val="16"/>
              </w:rPr>
              <w:t>Chinazo</w:t>
            </w:r>
            <w:proofErr w:type="spellEnd"/>
            <w:r w:rsidRPr="00714F9F">
              <w:rPr>
                <w:sz w:val="16"/>
                <w:szCs w:val="16"/>
              </w:rPr>
              <w:t xml:space="preserve"> Cunningham, MD</w:t>
            </w:r>
          </w:p>
          <w:p w:rsidR="00782A43" w:rsidRPr="002A1A67" w:rsidRDefault="00782A43" w:rsidP="003D66D7">
            <w:pPr>
              <w:rPr>
                <w:sz w:val="16"/>
                <w:szCs w:val="16"/>
              </w:rPr>
            </w:pPr>
          </w:p>
        </w:tc>
        <w:tc>
          <w:tcPr>
            <w:tcW w:w="3720" w:type="dxa"/>
          </w:tcPr>
          <w:p w:rsidR="00782A43" w:rsidRPr="002A1A67" w:rsidRDefault="00782A43" w:rsidP="003D66D7">
            <w:pPr>
              <w:rPr>
                <w:sz w:val="16"/>
                <w:szCs w:val="16"/>
              </w:rPr>
            </w:pPr>
            <w:r w:rsidRPr="00714F9F">
              <w:rPr>
                <w:sz w:val="16"/>
                <w:szCs w:val="16"/>
              </w:rPr>
              <w:t>Clinical Faculty, Residency</w:t>
            </w:r>
            <w:r w:rsidRPr="00714F9F">
              <w:rPr>
                <w:sz w:val="16"/>
                <w:szCs w:val="16"/>
              </w:rPr>
              <w:br/>
              <w:t xml:space="preserve">Program in Social Internal Medicine and Primary Care    </w:t>
            </w:r>
            <w:r w:rsidRPr="00714F9F">
              <w:rPr>
                <w:sz w:val="16"/>
                <w:szCs w:val="16"/>
              </w:rPr>
              <w:br/>
            </w:r>
            <w:proofErr w:type="spellStart"/>
            <w:r w:rsidRPr="00714F9F">
              <w:rPr>
                <w:sz w:val="16"/>
                <w:szCs w:val="16"/>
              </w:rPr>
              <w:t>Montefiore</w:t>
            </w:r>
            <w:proofErr w:type="spellEnd"/>
            <w:r w:rsidRPr="00714F9F">
              <w:rPr>
                <w:sz w:val="16"/>
                <w:szCs w:val="16"/>
              </w:rPr>
              <w:t xml:space="preserve"> Medical Center</w:t>
            </w:r>
            <w:r w:rsidRPr="00714F9F">
              <w:rPr>
                <w:sz w:val="16"/>
                <w:szCs w:val="16"/>
              </w:rPr>
              <w:br/>
              <w:t>111 East 210th Street</w:t>
            </w:r>
            <w:r w:rsidRPr="00714F9F">
              <w:rPr>
                <w:sz w:val="16"/>
                <w:szCs w:val="16"/>
              </w:rPr>
              <w:br/>
              <w:t>Bronx, NY 10467</w:t>
            </w:r>
          </w:p>
        </w:tc>
        <w:tc>
          <w:tcPr>
            <w:tcW w:w="3000" w:type="dxa"/>
          </w:tcPr>
          <w:p w:rsidR="00782A43" w:rsidRPr="002A1A67" w:rsidRDefault="00782A43" w:rsidP="00A42C74">
            <w:pPr>
              <w:rPr>
                <w:sz w:val="16"/>
                <w:szCs w:val="16"/>
              </w:rPr>
            </w:pPr>
            <w:r w:rsidRPr="00714F9F">
              <w:rPr>
                <w:sz w:val="16"/>
                <w:szCs w:val="16"/>
              </w:rPr>
              <w:t xml:space="preserve">E-mail: </w:t>
            </w:r>
            <w:hyperlink r:id="rId10" w:history="1">
              <w:r w:rsidRPr="00714F9F">
                <w:rPr>
                  <w:rStyle w:val="Hyperlink"/>
                  <w:color w:val="auto"/>
                  <w:sz w:val="16"/>
                  <w:szCs w:val="16"/>
                  <w:u w:val="none"/>
                </w:rPr>
                <w:t>ccunning@montefiore.org</w:t>
              </w:r>
            </w:hyperlink>
          </w:p>
          <w:p w:rsidR="00782A43" w:rsidRPr="002A1A67" w:rsidRDefault="00782A43" w:rsidP="003D66D7">
            <w:pPr>
              <w:rPr>
                <w:sz w:val="16"/>
                <w:szCs w:val="16"/>
              </w:rPr>
            </w:pPr>
          </w:p>
        </w:tc>
      </w:tr>
      <w:tr w:rsidR="00782A43" w:rsidRPr="002A1A67">
        <w:trPr>
          <w:cantSplit/>
        </w:trPr>
        <w:tc>
          <w:tcPr>
            <w:tcW w:w="2590" w:type="dxa"/>
          </w:tcPr>
          <w:p w:rsidR="00782A43" w:rsidRPr="002A1A67" w:rsidRDefault="00782A43" w:rsidP="00A42C74">
            <w:pPr>
              <w:rPr>
                <w:sz w:val="16"/>
                <w:szCs w:val="16"/>
              </w:rPr>
            </w:pPr>
            <w:r w:rsidRPr="00714F9F">
              <w:rPr>
                <w:sz w:val="16"/>
                <w:szCs w:val="16"/>
              </w:rPr>
              <w:t>Agatha Eke, PhD</w:t>
            </w:r>
          </w:p>
          <w:p w:rsidR="00782A43" w:rsidRPr="002A1A67" w:rsidRDefault="00782A43" w:rsidP="003D66D7">
            <w:pPr>
              <w:rPr>
                <w:sz w:val="16"/>
                <w:szCs w:val="16"/>
              </w:rPr>
            </w:pPr>
          </w:p>
        </w:tc>
        <w:tc>
          <w:tcPr>
            <w:tcW w:w="3720" w:type="dxa"/>
          </w:tcPr>
          <w:p w:rsidR="00782A43" w:rsidRPr="002A1A67" w:rsidRDefault="00782A43" w:rsidP="00A42C74">
            <w:pPr>
              <w:rPr>
                <w:sz w:val="16"/>
                <w:szCs w:val="16"/>
              </w:rPr>
            </w:pPr>
            <w:r w:rsidRPr="00714F9F">
              <w:rPr>
                <w:sz w:val="16"/>
                <w:szCs w:val="16"/>
              </w:rPr>
              <w:t>Centers for Disease Control and Prevention</w:t>
            </w:r>
          </w:p>
          <w:p w:rsidR="00782A43" w:rsidRPr="002A1A67" w:rsidRDefault="00782A43" w:rsidP="00A42C74">
            <w:pPr>
              <w:rPr>
                <w:sz w:val="16"/>
                <w:szCs w:val="16"/>
              </w:rPr>
            </w:pPr>
            <w:r w:rsidRPr="00714F9F">
              <w:rPr>
                <w:sz w:val="16"/>
                <w:szCs w:val="16"/>
              </w:rPr>
              <w:t xml:space="preserve">1600 Clifton Rd., NE </w:t>
            </w:r>
          </w:p>
          <w:p w:rsidR="00782A43" w:rsidRPr="002A1A67" w:rsidRDefault="00782A43" w:rsidP="003D66D7">
            <w:pPr>
              <w:rPr>
                <w:sz w:val="16"/>
                <w:szCs w:val="16"/>
              </w:rPr>
            </w:pPr>
            <w:r w:rsidRPr="00714F9F">
              <w:rPr>
                <w:sz w:val="16"/>
                <w:szCs w:val="16"/>
              </w:rPr>
              <w:t>Mailstop E-37</w:t>
            </w:r>
            <w:r w:rsidRPr="00714F9F">
              <w:rPr>
                <w:sz w:val="16"/>
                <w:szCs w:val="16"/>
              </w:rPr>
              <w:br/>
              <w:t xml:space="preserve">Atlanta, GA 30333 </w:t>
            </w:r>
          </w:p>
        </w:tc>
        <w:tc>
          <w:tcPr>
            <w:tcW w:w="3000" w:type="dxa"/>
          </w:tcPr>
          <w:p w:rsidR="00782A43" w:rsidRPr="002A1A67" w:rsidRDefault="00782A43" w:rsidP="00A42C74">
            <w:pPr>
              <w:rPr>
                <w:color w:val="000000"/>
                <w:sz w:val="16"/>
                <w:szCs w:val="16"/>
              </w:rPr>
            </w:pPr>
            <w:r w:rsidRPr="00714F9F">
              <w:rPr>
                <w:sz w:val="16"/>
                <w:szCs w:val="16"/>
              </w:rPr>
              <w:t xml:space="preserve">Phone: </w:t>
            </w:r>
            <w:r w:rsidRPr="00714F9F">
              <w:rPr>
                <w:color w:val="000000"/>
                <w:sz w:val="16"/>
                <w:szCs w:val="16"/>
              </w:rPr>
              <w:t>404-639-1906</w:t>
            </w:r>
          </w:p>
          <w:p w:rsidR="00782A43" w:rsidRPr="002A1A67" w:rsidRDefault="00782A43" w:rsidP="00A42C74">
            <w:pPr>
              <w:rPr>
                <w:sz w:val="16"/>
                <w:szCs w:val="16"/>
                <w:lang w:val="fr-FR"/>
              </w:rPr>
            </w:pPr>
            <w:r w:rsidRPr="00714F9F">
              <w:rPr>
                <w:color w:val="000000"/>
                <w:sz w:val="16"/>
                <w:szCs w:val="16"/>
                <w:lang w:val="fr-FR"/>
              </w:rPr>
              <w:t>Fax: 404-639-1950</w:t>
            </w:r>
          </w:p>
          <w:p w:rsidR="00782A43" w:rsidRPr="002A1A67" w:rsidRDefault="00782A43" w:rsidP="00A42C74">
            <w:pPr>
              <w:rPr>
                <w:sz w:val="16"/>
                <w:szCs w:val="16"/>
                <w:lang w:val="fr-FR"/>
              </w:rPr>
            </w:pPr>
            <w:r w:rsidRPr="00714F9F">
              <w:rPr>
                <w:sz w:val="16"/>
                <w:szCs w:val="16"/>
                <w:lang w:val="fr-FR"/>
              </w:rPr>
              <w:t>E-mail:</w:t>
            </w:r>
            <w:r w:rsidRPr="00714F9F">
              <w:rPr>
                <w:sz w:val="16"/>
                <w:szCs w:val="16"/>
                <w:lang w:val="fr-FR"/>
              </w:rPr>
              <w:tab/>
            </w:r>
            <w:hyperlink r:id="rId11" w:history="1">
              <w:r w:rsidRPr="00714F9F">
                <w:rPr>
                  <w:rStyle w:val="Hyperlink"/>
                  <w:color w:val="auto"/>
                  <w:sz w:val="16"/>
                  <w:szCs w:val="16"/>
                  <w:u w:val="none"/>
                  <w:lang w:val="fr-FR"/>
                </w:rPr>
                <w:t>aeke@cdc.gov</w:t>
              </w:r>
            </w:hyperlink>
          </w:p>
          <w:p w:rsidR="00782A43" w:rsidRPr="002A1A67" w:rsidRDefault="00782A43" w:rsidP="003D66D7">
            <w:pPr>
              <w:rPr>
                <w:sz w:val="16"/>
                <w:szCs w:val="16"/>
                <w:lang w:val="fr-FR"/>
              </w:rPr>
            </w:pPr>
          </w:p>
        </w:tc>
      </w:tr>
      <w:tr w:rsidR="00782A43" w:rsidRPr="002A1A67">
        <w:trPr>
          <w:cantSplit/>
        </w:trPr>
        <w:tc>
          <w:tcPr>
            <w:tcW w:w="2590" w:type="dxa"/>
          </w:tcPr>
          <w:p w:rsidR="00782A43" w:rsidRPr="002A1A67" w:rsidRDefault="00782A43" w:rsidP="00A42C74">
            <w:pPr>
              <w:rPr>
                <w:sz w:val="16"/>
                <w:szCs w:val="16"/>
              </w:rPr>
            </w:pPr>
            <w:r w:rsidRPr="00714F9F">
              <w:rPr>
                <w:sz w:val="16"/>
                <w:szCs w:val="16"/>
              </w:rPr>
              <w:t>Jeffrey Friedman, MA</w:t>
            </w:r>
          </w:p>
          <w:p w:rsidR="00782A43" w:rsidRPr="002A1A67" w:rsidRDefault="00782A43" w:rsidP="003D66D7">
            <w:pPr>
              <w:rPr>
                <w:sz w:val="16"/>
                <w:szCs w:val="16"/>
              </w:rPr>
            </w:pPr>
          </w:p>
        </w:tc>
        <w:tc>
          <w:tcPr>
            <w:tcW w:w="3720" w:type="dxa"/>
          </w:tcPr>
          <w:p w:rsidR="00782A43" w:rsidRPr="002A1A67" w:rsidRDefault="00782A43" w:rsidP="003D66D7">
            <w:pPr>
              <w:rPr>
                <w:sz w:val="16"/>
                <w:szCs w:val="16"/>
              </w:rPr>
            </w:pPr>
            <w:r w:rsidRPr="00714F9F">
              <w:rPr>
                <w:sz w:val="16"/>
                <w:szCs w:val="16"/>
              </w:rPr>
              <w:t>Long Island Association for AIDS Care</w:t>
            </w:r>
            <w:r w:rsidRPr="00714F9F">
              <w:rPr>
                <w:sz w:val="16"/>
                <w:szCs w:val="16"/>
              </w:rPr>
              <w:br/>
              <w:t xml:space="preserve">60 Adams Ave. </w:t>
            </w:r>
            <w:r w:rsidRPr="00714F9F">
              <w:rPr>
                <w:sz w:val="16"/>
                <w:szCs w:val="16"/>
              </w:rPr>
              <w:br/>
              <w:t>Hauppauge, NY 11788</w:t>
            </w:r>
          </w:p>
        </w:tc>
        <w:tc>
          <w:tcPr>
            <w:tcW w:w="3000" w:type="dxa"/>
          </w:tcPr>
          <w:p w:rsidR="00782A43" w:rsidRPr="002A1A67" w:rsidRDefault="00782A43" w:rsidP="003D66D7">
            <w:pPr>
              <w:rPr>
                <w:sz w:val="16"/>
                <w:szCs w:val="16"/>
              </w:rPr>
            </w:pPr>
            <w:r w:rsidRPr="00714F9F">
              <w:rPr>
                <w:sz w:val="16"/>
                <w:szCs w:val="16"/>
              </w:rPr>
              <w:t>Phone:</w:t>
            </w:r>
            <w:r w:rsidRPr="00714F9F">
              <w:rPr>
                <w:sz w:val="16"/>
                <w:szCs w:val="16"/>
              </w:rPr>
              <w:tab/>
              <w:t>631-385-2451</w:t>
            </w:r>
          </w:p>
          <w:p w:rsidR="00782A43" w:rsidRPr="002A1A67" w:rsidRDefault="00782A43" w:rsidP="003D66D7">
            <w:pPr>
              <w:rPr>
                <w:sz w:val="16"/>
                <w:szCs w:val="16"/>
              </w:rPr>
            </w:pPr>
            <w:r w:rsidRPr="00714F9F">
              <w:rPr>
                <w:sz w:val="16"/>
                <w:szCs w:val="16"/>
              </w:rPr>
              <w:t>E-mail:</w:t>
            </w:r>
            <w:r w:rsidRPr="00714F9F">
              <w:rPr>
                <w:sz w:val="16"/>
                <w:szCs w:val="16"/>
              </w:rPr>
              <w:tab/>
            </w:r>
            <w:hyperlink r:id="rId12" w:history="1">
              <w:r w:rsidRPr="00714F9F">
                <w:rPr>
                  <w:rStyle w:val="Hyperlink"/>
                  <w:color w:val="auto"/>
                  <w:sz w:val="16"/>
                  <w:szCs w:val="16"/>
                  <w:u w:val="none"/>
                </w:rPr>
                <w:t>jfriedman@liaac.com</w:t>
              </w:r>
            </w:hyperlink>
          </w:p>
        </w:tc>
      </w:tr>
      <w:tr w:rsidR="00782A43" w:rsidRPr="002A1A67">
        <w:trPr>
          <w:cantSplit/>
        </w:trPr>
        <w:tc>
          <w:tcPr>
            <w:tcW w:w="2590" w:type="dxa"/>
          </w:tcPr>
          <w:p w:rsidR="00782A43" w:rsidRPr="002A1A67" w:rsidRDefault="00782A43" w:rsidP="00B17824">
            <w:pPr>
              <w:rPr>
                <w:sz w:val="16"/>
                <w:szCs w:val="16"/>
              </w:rPr>
            </w:pPr>
            <w:r w:rsidRPr="00714F9F">
              <w:rPr>
                <w:sz w:val="16"/>
                <w:szCs w:val="16"/>
              </w:rPr>
              <w:t xml:space="preserve">Robert </w:t>
            </w:r>
            <w:proofErr w:type="spellStart"/>
            <w:r w:rsidRPr="00714F9F">
              <w:rPr>
                <w:sz w:val="16"/>
                <w:szCs w:val="16"/>
              </w:rPr>
              <w:t>Fullilove</w:t>
            </w:r>
            <w:proofErr w:type="spellEnd"/>
            <w:r w:rsidRPr="00714F9F">
              <w:rPr>
                <w:sz w:val="16"/>
                <w:szCs w:val="16"/>
              </w:rPr>
              <w:t xml:space="preserve">, </w:t>
            </w:r>
            <w:proofErr w:type="spellStart"/>
            <w:r w:rsidRPr="00714F9F">
              <w:rPr>
                <w:sz w:val="16"/>
                <w:szCs w:val="16"/>
              </w:rPr>
              <w:t>EdD</w:t>
            </w:r>
            <w:proofErr w:type="spellEnd"/>
          </w:p>
          <w:p w:rsidR="00782A43" w:rsidRPr="002A1A67" w:rsidRDefault="00782A43" w:rsidP="003D66D7">
            <w:pPr>
              <w:rPr>
                <w:sz w:val="16"/>
                <w:szCs w:val="16"/>
              </w:rPr>
            </w:pPr>
          </w:p>
        </w:tc>
        <w:tc>
          <w:tcPr>
            <w:tcW w:w="3720" w:type="dxa"/>
          </w:tcPr>
          <w:p w:rsidR="00782A43" w:rsidRPr="002A1A67" w:rsidRDefault="00782A43" w:rsidP="00B17824">
            <w:pPr>
              <w:rPr>
                <w:sz w:val="16"/>
                <w:szCs w:val="16"/>
              </w:rPr>
            </w:pPr>
            <w:r w:rsidRPr="00714F9F">
              <w:rPr>
                <w:sz w:val="16"/>
                <w:szCs w:val="16"/>
              </w:rPr>
              <w:t xml:space="preserve">Associate Dean, Community and Minority Affairs </w:t>
            </w:r>
          </w:p>
          <w:p w:rsidR="00782A43" w:rsidRPr="002A1A67" w:rsidRDefault="00782A43" w:rsidP="00B17824">
            <w:pPr>
              <w:rPr>
                <w:sz w:val="16"/>
                <w:szCs w:val="16"/>
              </w:rPr>
            </w:pPr>
            <w:r w:rsidRPr="00714F9F">
              <w:rPr>
                <w:sz w:val="16"/>
                <w:szCs w:val="16"/>
              </w:rPr>
              <w:t xml:space="preserve">Professor, Clinical </w:t>
            </w:r>
            <w:proofErr w:type="spellStart"/>
            <w:r w:rsidRPr="00714F9F">
              <w:rPr>
                <w:sz w:val="16"/>
                <w:szCs w:val="16"/>
              </w:rPr>
              <w:t>Sociomedical</w:t>
            </w:r>
            <w:proofErr w:type="spellEnd"/>
            <w:r w:rsidRPr="00714F9F">
              <w:rPr>
                <w:sz w:val="16"/>
                <w:szCs w:val="16"/>
              </w:rPr>
              <w:t xml:space="preserve"> Sciences</w:t>
            </w:r>
            <w:r w:rsidRPr="00714F9F">
              <w:rPr>
                <w:sz w:val="16"/>
                <w:szCs w:val="16"/>
              </w:rPr>
              <w:br/>
              <w:t>Co-Director, Community Research Group.</w:t>
            </w:r>
          </w:p>
          <w:p w:rsidR="00782A43" w:rsidRPr="002A1A67" w:rsidRDefault="00782A43" w:rsidP="003D66D7">
            <w:pPr>
              <w:rPr>
                <w:sz w:val="16"/>
                <w:szCs w:val="16"/>
              </w:rPr>
            </w:pPr>
            <w:r w:rsidRPr="00714F9F">
              <w:rPr>
                <w:sz w:val="16"/>
                <w:szCs w:val="16"/>
              </w:rPr>
              <w:t>Columbia University</w:t>
            </w:r>
            <w:r w:rsidRPr="00714F9F">
              <w:rPr>
                <w:sz w:val="16"/>
                <w:szCs w:val="16"/>
              </w:rPr>
              <w:br/>
              <w:t>Mailman School of Public Health</w:t>
            </w:r>
            <w:r w:rsidRPr="00714F9F">
              <w:rPr>
                <w:sz w:val="16"/>
                <w:szCs w:val="16"/>
              </w:rPr>
              <w:br/>
              <w:t xml:space="preserve">722 West 168th Street </w:t>
            </w:r>
            <w:r w:rsidRPr="00714F9F">
              <w:rPr>
                <w:sz w:val="16"/>
                <w:szCs w:val="16"/>
              </w:rPr>
              <w:br/>
              <w:t>New York, NY 10032</w:t>
            </w:r>
          </w:p>
        </w:tc>
        <w:tc>
          <w:tcPr>
            <w:tcW w:w="3000" w:type="dxa"/>
          </w:tcPr>
          <w:p w:rsidR="00782A43" w:rsidRPr="002A1A67" w:rsidRDefault="00782A43" w:rsidP="003D66D7">
            <w:pPr>
              <w:rPr>
                <w:sz w:val="16"/>
                <w:szCs w:val="16"/>
              </w:rPr>
            </w:pPr>
            <w:r w:rsidRPr="00714F9F">
              <w:rPr>
                <w:sz w:val="16"/>
                <w:szCs w:val="16"/>
              </w:rPr>
              <w:t>Phone:</w:t>
            </w:r>
            <w:r w:rsidRPr="00714F9F">
              <w:rPr>
                <w:sz w:val="16"/>
                <w:szCs w:val="16"/>
              </w:rPr>
              <w:tab/>
              <w:t>212-305-4734</w:t>
            </w:r>
            <w:r w:rsidRPr="00714F9F">
              <w:rPr>
                <w:sz w:val="16"/>
                <w:szCs w:val="16"/>
              </w:rPr>
              <w:br/>
              <w:t>E-mail:</w:t>
            </w:r>
            <w:r w:rsidRPr="00714F9F">
              <w:rPr>
                <w:sz w:val="16"/>
                <w:szCs w:val="16"/>
              </w:rPr>
              <w:tab/>
            </w:r>
            <w:hyperlink r:id="rId13" w:history="1">
              <w:r w:rsidRPr="00714F9F">
                <w:rPr>
                  <w:rStyle w:val="Hyperlink"/>
                  <w:color w:val="auto"/>
                  <w:sz w:val="16"/>
                  <w:szCs w:val="16"/>
                  <w:u w:val="none"/>
                </w:rPr>
                <w:t>ref5@columbia.edu</w:t>
              </w:r>
            </w:hyperlink>
          </w:p>
        </w:tc>
      </w:tr>
      <w:tr w:rsidR="00782A43" w:rsidRPr="00EC6923">
        <w:trPr>
          <w:cantSplit/>
        </w:trPr>
        <w:tc>
          <w:tcPr>
            <w:tcW w:w="2590" w:type="dxa"/>
          </w:tcPr>
          <w:p w:rsidR="00782A43" w:rsidRPr="002A1A67" w:rsidRDefault="00782A43" w:rsidP="003D66D7">
            <w:pPr>
              <w:rPr>
                <w:sz w:val="16"/>
                <w:szCs w:val="16"/>
              </w:rPr>
            </w:pPr>
            <w:r w:rsidRPr="00714F9F">
              <w:rPr>
                <w:sz w:val="16"/>
                <w:szCs w:val="16"/>
              </w:rPr>
              <w:t xml:space="preserve">Vincent </w:t>
            </w:r>
            <w:proofErr w:type="spellStart"/>
            <w:r w:rsidRPr="00714F9F">
              <w:rPr>
                <w:sz w:val="16"/>
                <w:szCs w:val="16"/>
              </w:rPr>
              <w:t>Guilamo</w:t>
            </w:r>
            <w:proofErr w:type="spellEnd"/>
            <w:r w:rsidRPr="00714F9F">
              <w:rPr>
                <w:sz w:val="16"/>
                <w:szCs w:val="16"/>
              </w:rPr>
              <w:t>-Ramos, PhD</w:t>
            </w:r>
          </w:p>
        </w:tc>
        <w:tc>
          <w:tcPr>
            <w:tcW w:w="3720" w:type="dxa"/>
          </w:tcPr>
          <w:p w:rsidR="00782A43" w:rsidRPr="002A1A67" w:rsidRDefault="00782A43" w:rsidP="00B17824">
            <w:pPr>
              <w:rPr>
                <w:sz w:val="16"/>
                <w:szCs w:val="16"/>
              </w:rPr>
            </w:pPr>
            <w:r w:rsidRPr="00714F9F">
              <w:rPr>
                <w:sz w:val="16"/>
                <w:szCs w:val="16"/>
              </w:rPr>
              <w:t xml:space="preserve">Columbia University, Associate Professor, School of Social Work   </w:t>
            </w:r>
          </w:p>
          <w:p w:rsidR="00782A43" w:rsidRPr="002A1A67" w:rsidRDefault="00782A43" w:rsidP="00B17824">
            <w:pPr>
              <w:rPr>
                <w:sz w:val="16"/>
                <w:szCs w:val="16"/>
              </w:rPr>
            </w:pPr>
            <w:r w:rsidRPr="00714F9F">
              <w:rPr>
                <w:sz w:val="16"/>
                <w:szCs w:val="16"/>
              </w:rPr>
              <w:t xml:space="preserve">1255 Amsterdam Avenue          </w:t>
            </w:r>
          </w:p>
          <w:p w:rsidR="00782A43" w:rsidRPr="002A1A67" w:rsidRDefault="00782A43" w:rsidP="00B17824">
            <w:pPr>
              <w:rPr>
                <w:sz w:val="16"/>
                <w:szCs w:val="16"/>
              </w:rPr>
            </w:pPr>
            <w:r w:rsidRPr="00714F9F">
              <w:rPr>
                <w:sz w:val="16"/>
                <w:szCs w:val="16"/>
              </w:rPr>
              <w:t xml:space="preserve">New York, NY 10027 </w:t>
            </w:r>
          </w:p>
        </w:tc>
        <w:tc>
          <w:tcPr>
            <w:tcW w:w="3000" w:type="dxa"/>
          </w:tcPr>
          <w:p w:rsidR="00782A43" w:rsidRPr="002A1A67" w:rsidRDefault="00782A43" w:rsidP="00B17824">
            <w:pPr>
              <w:rPr>
                <w:sz w:val="16"/>
                <w:szCs w:val="16"/>
                <w:lang w:val="fr-FR"/>
              </w:rPr>
            </w:pPr>
            <w:r w:rsidRPr="00714F9F">
              <w:rPr>
                <w:sz w:val="16"/>
                <w:szCs w:val="16"/>
                <w:lang w:val="fr-FR"/>
              </w:rPr>
              <w:t>Phone:</w:t>
            </w:r>
            <w:r w:rsidRPr="00714F9F">
              <w:rPr>
                <w:sz w:val="16"/>
                <w:szCs w:val="16"/>
                <w:lang w:val="fr-FR"/>
              </w:rPr>
              <w:tab/>
              <w:t>212-851-1659</w:t>
            </w:r>
            <w:r w:rsidRPr="00714F9F">
              <w:rPr>
                <w:sz w:val="16"/>
                <w:szCs w:val="16"/>
                <w:lang w:val="fr-FR"/>
              </w:rPr>
              <w:br/>
              <w:t>Fax: 212-851-2206</w:t>
            </w:r>
            <w:r w:rsidRPr="00714F9F">
              <w:rPr>
                <w:sz w:val="16"/>
                <w:szCs w:val="16"/>
                <w:lang w:val="fr-FR"/>
              </w:rPr>
              <w:br/>
              <w:t>E-mail:</w:t>
            </w:r>
            <w:r w:rsidRPr="00714F9F">
              <w:rPr>
                <w:sz w:val="16"/>
                <w:szCs w:val="16"/>
                <w:lang w:val="fr-FR"/>
              </w:rPr>
              <w:tab/>
              <w:t xml:space="preserve"> </w:t>
            </w:r>
            <w:hyperlink r:id="rId14" w:history="1">
              <w:r w:rsidRPr="00714F9F">
                <w:rPr>
                  <w:rStyle w:val="Hyperlink"/>
                  <w:color w:val="auto"/>
                  <w:sz w:val="16"/>
                  <w:szCs w:val="16"/>
                  <w:u w:val="none"/>
                  <w:lang w:val="fr-FR"/>
                </w:rPr>
                <w:t>rg650@columbia.edu</w:t>
              </w:r>
            </w:hyperlink>
          </w:p>
          <w:p w:rsidR="00782A43" w:rsidRPr="002A1A67" w:rsidRDefault="00782A43" w:rsidP="003D66D7">
            <w:pPr>
              <w:rPr>
                <w:sz w:val="16"/>
                <w:szCs w:val="16"/>
                <w:lang w:val="fr-FR"/>
              </w:rPr>
            </w:pPr>
          </w:p>
        </w:tc>
      </w:tr>
      <w:tr w:rsidR="00782A43" w:rsidRPr="00EC6923">
        <w:trPr>
          <w:cantSplit/>
        </w:trPr>
        <w:tc>
          <w:tcPr>
            <w:tcW w:w="2590" w:type="dxa"/>
          </w:tcPr>
          <w:p w:rsidR="00782A43" w:rsidRPr="002A1A67" w:rsidRDefault="00782A43" w:rsidP="00DC65B1">
            <w:pPr>
              <w:rPr>
                <w:sz w:val="16"/>
                <w:szCs w:val="16"/>
              </w:rPr>
            </w:pPr>
            <w:r w:rsidRPr="00714F9F">
              <w:rPr>
                <w:sz w:val="16"/>
                <w:szCs w:val="16"/>
              </w:rPr>
              <w:t>Lena Lundgren, PhD</w:t>
            </w:r>
          </w:p>
          <w:p w:rsidR="00782A43" w:rsidRPr="002A1A67" w:rsidRDefault="00782A43" w:rsidP="003D66D7">
            <w:pPr>
              <w:rPr>
                <w:sz w:val="16"/>
                <w:szCs w:val="16"/>
              </w:rPr>
            </w:pPr>
          </w:p>
        </w:tc>
        <w:tc>
          <w:tcPr>
            <w:tcW w:w="3720" w:type="dxa"/>
          </w:tcPr>
          <w:p w:rsidR="00782A43" w:rsidRPr="002A1A67" w:rsidRDefault="00782A43" w:rsidP="003D66D7">
            <w:pPr>
              <w:rPr>
                <w:sz w:val="16"/>
                <w:szCs w:val="16"/>
              </w:rPr>
            </w:pPr>
            <w:r w:rsidRPr="00714F9F">
              <w:rPr>
                <w:sz w:val="16"/>
                <w:szCs w:val="16"/>
              </w:rPr>
              <w:t xml:space="preserve">Boston University Center for Addictions Research and Services </w:t>
            </w:r>
            <w:r w:rsidRPr="00714F9F">
              <w:rPr>
                <w:sz w:val="16"/>
                <w:szCs w:val="16"/>
              </w:rPr>
              <w:br/>
              <w:t>232 Bay State Road, 4th Floor</w:t>
            </w:r>
            <w:r w:rsidRPr="00714F9F">
              <w:rPr>
                <w:sz w:val="16"/>
                <w:szCs w:val="16"/>
              </w:rPr>
              <w:br/>
              <w:t>Boston, Massachusetts 02215</w:t>
            </w:r>
          </w:p>
        </w:tc>
        <w:tc>
          <w:tcPr>
            <w:tcW w:w="3000" w:type="dxa"/>
          </w:tcPr>
          <w:p w:rsidR="00782A43" w:rsidRPr="002A1A67" w:rsidRDefault="00782A43" w:rsidP="00DC65B1">
            <w:pPr>
              <w:rPr>
                <w:sz w:val="16"/>
                <w:szCs w:val="16"/>
                <w:lang w:val="fr-FR"/>
              </w:rPr>
            </w:pPr>
            <w:r w:rsidRPr="00714F9F">
              <w:rPr>
                <w:sz w:val="16"/>
                <w:szCs w:val="16"/>
                <w:lang w:val="fr-FR"/>
              </w:rPr>
              <w:t xml:space="preserve">Phone: 617-353-7222 </w:t>
            </w:r>
          </w:p>
          <w:p w:rsidR="00782A43" w:rsidRPr="002A1A67" w:rsidRDefault="00782A43" w:rsidP="00DC65B1">
            <w:pPr>
              <w:rPr>
                <w:sz w:val="16"/>
                <w:szCs w:val="16"/>
                <w:lang w:val="fr-FR"/>
              </w:rPr>
            </w:pPr>
            <w:r w:rsidRPr="00714F9F">
              <w:rPr>
                <w:sz w:val="16"/>
                <w:szCs w:val="16"/>
                <w:lang w:val="fr-FR"/>
              </w:rPr>
              <w:t>Fax: 617-358-2368</w:t>
            </w:r>
            <w:r w:rsidRPr="00714F9F">
              <w:rPr>
                <w:sz w:val="16"/>
                <w:szCs w:val="16"/>
                <w:lang w:val="fr-FR"/>
              </w:rPr>
              <w:br/>
              <w:t xml:space="preserve">E-mail: </w:t>
            </w:r>
            <w:hyperlink r:id="rId15" w:history="1">
              <w:r w:rsidRPr="00714F9F">
                <w:rPr>
                  <w:rStyle w:val="Hyperlink"/>
                  <w:color w:val="auto"/>
                  <w:sz w:val="16"/>
                  <w:szCs w:val="16"/>
                  <w:u w:val="none"/>
                  <w:lang w:val="fr-FR"/>
                </w:rPr>
                <w:t>llundgre@bu.edu</w:t>
              </w:r>
            </w:hyperlink>
          </w:p>
        </w:tc>
      </w:tr>
      <w:tr w:rsidR="00782A43" w:rsidRPr="00EC6923">
        <w:trPr>
          <w:cantSplit/>
        </w:trPr>
        <w:tc>
          <w:tcPr>
            <w:tcW w:w="2590" w:type="dxa"/>
          </w:tcPr>
          <w:p w:rsidR="00782A43" w:rsidRPr="002A1A67" w:rsidRDefault="00782A43" w:rsidP="00DC65B1">
            <w:pPr>
              <w:rPr>
                <w:sz w:val="16"/>
                <w:szCs w:val="16"/>
              </w:rPr>
            </w:pPr>
            <w:r w:rsidRPr="00714F9F">
              <w:rPr>
                <w:sz w:val="16"/>
                <w:szCs w:val="16"/>
              </w:rPr>
              <w:t>Jacques Normand, PhD</w:t>
            </w:r>
          </w:p>
          <w:p w:rsidR="00782A43" w:rsidRPr="002A1A67" w:rsidRDefault="00782A43" w:rsidP="003D66D7">
            <w:pPr>
              <w:rPr>
                <w:sz w:val="16"/>
                <w:szCs w:val="16"/>
              </w:rPr>
            </w:pPr>
          </w:p>
        </w:tc>
        <w:tc>
          <w:tcPr>
            <w:tcW w:w="3720" w:type="dxa"/>
          </w:tcPr>
          <w:p w:rsidR="00782A43" w:rsidRPr="002A1A67" w:rsidRDefault="00782A43" w:rsidP="003D66D7">
            <w:pPr>
              <w:rPr>
                <w:sz w:val="16"/>
                <w:szCs w:val="16"/>
              </w:rPr>
            </w:pPr>
            <w:r w:rsidRPr="00714F9F">
              <w:rPr>
                <w:sz w:val="16"/>
                <w:szCs w:val="16"/>
              </w:rPr>
              <w:t>Director AIDS Research Program National Institute on Drug</w:t>
            </w:r>
            <w:r w:rsidRPr="00714F9F">
              <w:rPr>
                <w:sz w:val="16"/>
                <w:szCs w:val="16"/>
              </w:rPr>
              <w:br/>
              <w:t xml:space="preserve">Abuse (NIDA) </w:t>
            </w:r>
          </w:p>
          <w:p w:rsidR="00782A43" w:rsidRPr="002A1A67" w:rsidRDefault="00782A43" w:rsidP="003D66D7">
            <w:pPr>
              <w:rPr>
                <w:sz w:val="16"/>
                <w:szCs w:val="16"/>
              </w:rPr>
            </w:pPr>
            <w:r w:rsidRPr="00714F9F">
              <w:rPr>
                <w:sz w:val="16"/>
                <w:szCs w:val="16"/>
              </w:rPr>
              <w:t>6001 Executive Boulevard Bethesda, MD 20892</w:t>
            </w:r>
          </w:p>
        </w:tc>
        <w:tc>
          <w:tcPr>
            <w:tcW w:w="3000" w:type="dxa"/>
          </w:tcPr>
          <w:p w:rsidR="00782A43" w:rsidRPr="002A1A67" w:rsidRDefault="00782A43" w:rsidP="003D66D7">
            <w:pPr>
              <w:rPr>
                <w:sz w:val="16"/>
                <w:szCs w:val="16"/>
                <w:lang w:val="fr-FR"/>
              </w:rPr>
            </w:pPr>
            <w:r w:rsidRPr="00714F9F">
              <w:rPr>
                <w:sz w:val="16"/>
                <w:szCs w:val="16"/>
                <w:lang w:val="fr-FR"/>
              </w:rPr>
              <w:t xml:space="preserve">Phone: 301-402-1919 </w:t>
            </w:r>
          </w:p>
          <w:p w:rsidR="00782A43" w:rsidRPr="002A1A67" w:rsidRDefault="00782A43" w:rsidP="003D66D7">
            <w:pPr>
              <w:rPr>
                <w:sz w:val="16"/>
                <w:szCs w:val="16"/>
                <w:lang w:val="fr-FR"/>
              </w:rPr>
            </w:pPr>
            <w:r w:rsidRPr="00714F9F">
              <w:rPr>
                <w:sz w:val="16"/>
                <w:szCs w:val="16"/>
                <w:lang w:val="fr-FR"/>
              </w:rPr>
              <w:t xml:space="preserve">E-mail: </w:t>
            </w:r>
            <w:hyperlink r:id="rId16" w:history="1">
              <w:r w:rsidRPr="00714F9F">
                <w:rPr>
                  <w:rStyle w:val="Hyperlink"/>
                  <w:color w:val="auto"/>
                  <w:sz w:val="16"/>
                  <w:szCs w:val="16"/>
                  <w:u w:val="none"/>
                  <w:lang w:val="fr-FR"/>
                </w:rPr>
                <w:t>jnormand@nida.nih.gov</w:t>
              </w:r>
            </w:hyperlink>
          </w:p>
        </w:tc>
      </w:tr>
      <w:tr w:rsidR="00782A43" w:rsidRPr="00EC6923">
        <w:trPr>
          <w:cantSplit/>
        </w:trPr>
        <w:tc>
          <w:tcPr>
            <w:tcW w:w="2590" w:type="dxa"/>
          </w:tcPr>
          <w:p w:rsidR="00782A43" w:rsidRPr="002A1A67" w:rsidRDefault="00782A43" w:rsidP="0070279E">
            <w:pPr>
              <w:pStyle w:val="BodyText0"/>
              <w:rPr>
                <w:sz w:val="16"/>
                <w:szCs w:val="16"/>
              </w:rPr>
            </w:pPr>
            <w:r w:rsidRPr="00714F9F">
              <w:rPr>
                <w:sz w:val="16"/>
                <w:szCs w:val="16"/>
              </w:rPr>
              <w:t>Sybil Ward, AA</w:t>
            </w:r>
          </w:p>
          <w:p w:rsidR="00782A43" w:rsidRPr="002A1A67" w:rsidRDefault="00782A43" w:rsidP="0070279E">
            <w:pPr>
              <w:jc w:val="right"/>
              <w:rPr>
                <w:sz w:val="16"/>
                <w:szCs w:val="16"/>
              </w:rPr>
            </w:pPr>
          </w:p>
        </w:tc>
        <w:tc>
          <w:tcPr>
            <w:tcW w:w="3720" w:type="dxa"/>
          </w:tcPr>
          <w:p w:rsidR="00782A43" w:rsidRPr="002A1A67" w:rsidRDefault="00782A43" w:rsidP="0070279E">
            <w:pPr>
              <w:rPr>
                <w:sz w:val="16"/>
                <w:szCs w:val="16"/>
              </w:rPr>
            </w:pPr>
            <w:r w:rsidRPr="00714F9F">
              <w:rPr>
                <w:sz w:val="16"/>
                <w:szCs w:val="16"/>
              </w:rPr>
              <w:t xml:space="preserve">Jefferson Comprehensive Care System   </w:t>
            </w:r>
            <w:r w:rsidRPr="00714F9F">
              <w:rPr>
                <w:sz w:val="16"/>
                <w:szCs w:val="16"/>
              </w:rPr>
              <w:br/>
              <w:t>2020 W. 3rd Street, Suite 201</w:t>
            </w:r>
            <w:r w:rsidRPr="00714F9F">
              <w:rPr>
                <w:sz w:val="16"/>
                <w:szCs w:val="16"/>
              </w:rPr>
              <w:br/>
              <w:t>Little Rock, AR 72205</w:t>
            </w:r>
          </w:p>
        </w:tc>
        <w:tc>
          <w:tcPr>
            <w:tcW w:w="3000" w:type="dxa"/>
          </w:tcPr>
          <w:p w:rsidR="00782A43" w:rsidRPr="002A1A67" w:rsidRDefault="00782A43" w:rsidP="0070279E">
            <w:pPr>
              <w:rPr>
                <w:sz w:val="16"/>
                <w:szCs w:val="16"/>
                <w:lang w:val="fr-FR"/>
              </w:rPr>
            </w:pPr>
            <w:r w:rsidRPr="00714F9F">
              <w:rPr>
                <w:sz w:val="16"/>
                <w:szCs w:val="16"/>
                <w:lang w:val="fr-FR"/>
              </w:rPr>
              <w:t xml:space="preserve">Phone: 501-663-7166 </w:t>
            </w:r>
            <w:r w:rsidRPr="00714F9F">
              <w:rPr>
                <w:sz w:val="16"/>
                <w:szCs w:val="16"/>
                <w:lang w:val="fr-FR"/>
              </w:rPr>
              <w:br/>
              <w:t xml:space="preserve">E-mail: </w:t>
            </w:r>
            <w:hyperlink r:id="rId17" w:history="1">
              <w:r w:rsidRPr="00714F9F">
                <w:rPr>
                  <w:rStyle w:val="Hyperlink"/>
                  <w:color w:val="auto"/>
                  <w:sz w:val="16"/>
                  <w:szCs w:val="16"/>
                  <w:u w:val="none"/>
                  <w:lang w:val="fr-FR"/>
                </w:rPr>
                <w:t>sybilwardjccsi@comcast.net</w:t>
              </w:r>
            </w:hyperlink>
          </w:p>
        </w:tc>
      </w:tr>
      <w:tr w:rsidR="00782A43" w:rsidRPr="00EC6923">
        <w:trPr>
          <w:cantSplit/>
        </w:trPr>
        <w:tc>
          <w:tcPr>
            <w:tcW w:w="2590" w:type="dxa"/>
          </w:tcPr>
          <w:p w:rsidR="00782A43" w:rsidRPr="002A1A67" w:rsidRDefault="00782A43" w:rsidP="00760C2C">
            <w:pPr>
              <w:rPr>
                <w:sz w:val="16"/>
                <w:szCs w:val="16"/>
              </w:rPr>
            </w:pPr>
            <w:proofErr w:type="spellStart"/>
            <w:r w:rsidRPr="00714F9F">
              <w:rPr>
                <w:sz w:val="16"/>
                <w:szCs w:val="16"/>
              </w:rPr>
              <w:t>Chyvette</w:t>
            </w:r>
            <w:proofErr w:type="spellEnd"/>
            <w:r w:rsidRPr="00714F9F">
              <w:rPr>
                <w:sz w:val="16"/>
                <w:szCs w:val="16"/>
              </w:rPr>
              <w:t xml:space="preserve"> Williams, PhD</w:t>
            </w:r>
          </w:p>
          <w:p w:rsidR="00782A43" w:rsidRPr="002A1A67" w:rsidRDefault="00782A43" w:rsidP="00DC65B1">
            <w:pPr>
              <w:pStyle w:val="BodyText0"/>
              <w:rPr>
                <w:sz w:val="16"/>
                <w:szCs w:val="16"/>
              </w:rPr>
            </w:pPr>
          </w:p>
        </w:tc>
        <w:tc>
          <w:tcPr>
            <w:tcW w:w="3720" w:type="dxa"/>
          </w:tcPr>
          <w:p w:rsidR="00782A43" w:rsidRPr="002A1A67" w:rsidRDefault="00782A43" w:rsidP="00760C2C">
            <w:pPr>
              <w:rPr>
                <w:sz w:val="16"/>
                <w:szCs w:val="16"/>
              </w:rPr>
            </w:pPr>
            <w:r w:rsidRPr="00714F9F">
              <w:rPr>
                <w:sz w:val="16"/>
                <w:szCs w:val="16"/>
              </w:rPr>
              <w:t>Assistant Professor</w:t>
            </w:r>
            <w:r w:rsidRPr="00714F9F">
              <w:rPr>
                <w:sz w:val="16"/>
                <w:szCs w:val="16"/>
              </w:rPr>
              <w:br/>
              <w:t>Health and Policy Administration</w:t>
            </w:r>
            <w:r w:rsidRPr="00714F9F">
              <w:rPr>
                <w:sz w:val="16"/>
                <w:szCs w:val="16"/>
              </w:rPr>
              <w:br/>
              <w:t>School of Public Health (MC 923)</w:t>
            </w:r>
            <w:r w:rsidRPr="00714F9F">
              <w:rPr>
                <w:sz w:val="16"/>
                <w:szCs w:val="16"/>
              </w:rPr>
              <w:br/>
              <w:t>University of Illinois at Chicago</w:t>
            </w:r>
            <w:r w:rsidRPr="00714F9F">
              <w:rPr>
                <w:sz w:val="16"/>
                <w:szCs w:val="16"/>
              </w:rPr>
              <w:br/>
              <w:t>1603 W. Taylor Street</w:t>
            </w:r>
          </w:p>
          <w:p w:rsidR="00782A43" w:rsidRPr="002A1A67" w:rsidRDefault="00782A43" w:rsidP="00760C2C">
            <w:pPr>
              <w:jc w:val="both"/>
              <w:rPr>
                <w:sz w:val="16"/>
                <w:szCs w:val="16"/>
              </w:rPr>
            </w:pPr>
            <w:r w:rsidRPr="00714F9F">
              <w:rPr>
                <w:sz w:val="16"/>
                <w:szCs w:val="16"/>
              </w:rPr>
              <w:t>Chicago, IL 60612</w:t>
            </w:r>
          </w:p>
        </w:tc>
        <w:tc>
          <w:tcPr>
            <w:tcW w:w="3000" w:type="dxa"/>
          </w:tcPr>
          <w:p w:rsidR="00782A43" w:rsidRPr="002A1A67" w:rsidRDefault="00782A43" w:rsidP="003D66D7">
            <w:pPr>
              <w:rPr>
                <w:sz w:val="16"/>
                <w:szCs w:val="16"/>
                <w:lang w:val="fr-FR"/>
              </w:rPr>
            </w:pPr>
            <w:r w:rsidRPr="00714F9F">
              <w:rPr>
                <w:sz w:val="16"/>
                <w:szCs w:val="16"/>
                <w:lang w:val="fr-FR"/>
              </w:rPr>
              <w:t>Phone: 312-355-5299</w:t>
            </w:r>
          </w:p>
          <w:p w:rsidR="00782A43" w:rsidRPr="002A1A67" w:rsidRDefault="00782A43" w:rsidP="00760C2C">
            <w:pPr>
              <w:rPr>
                <w:sz w:val="16"/>
                <w:szCs w:val="16"/>
                <w:lang w:val="fr-FR"/>
              </w:rPr>
            </w:pPr>
            <w:r w:rsidRPr="00714F9F">
              <w:rPr>
                <w:sz w:val="16"/>
                <w:szCs w:val="16"/>
                <w:lang w:val="fr-FR"/>
              </w:rPr>
              <w:t xml:space="preserve">E-mail: </w:t>
            </w:r>
            <w:hyperlink r:id="rId18" w:history="1">
              <w:r w:rsidRPr="00714F9F">
                <w:rPr>
                  <w:rStyle w:val="Hyperlink"/>
                  <w:color w:val="auto"/>
                  <w:sz w:val="16"/>
                  <w:szCs w:val="16"/>
                  <w:u w:val="none"/>
                  <w:lang w:val="fr-FR"/>
                </w:rPr>
                <w:t>chevy@uic.edu</w:t>
              </w:r>
            </w:hyperlink>
          </w:p>
          <w:p w:rsidR="00782A43" w:rsidRPr="002A1A67" w:rsidRDefault="00782A43" w:rsidP="003D66D7">
            <w:pPr>
              <w:rPr>
                <w:sz w:val="16"/>
                <w:szCs w:val="16"/>
                <w:lang w:val="fr-FR"/>
              </w:rPr>
            </w:pPr>
          </w:p>
        </w:tc>
      </w:tr>
      <w:tr w:rsidR="00782A43" w:rsidRPr="002A1A67">
        <w:trPr>
          <w:cantSplit/>
        </w:trPr>
        <w:tc>
          <w:tcPr>
            <w:tcW w:w="2590" w:type="dxa"/>
          </w:tcPr>
          <w:p w:rsidR="00782A43" w:rsidRPr="002A1A67" w:rsidRDefault="00782A43" w:rsidP="00760C2C">
            <w:pPr>
              <w:rPr>
                <w:sz w:val="16"/>
                <w:szCs w:val="16"/>
              </w:rPr>
            </w:pPr>
            <w:r w:rsidRPr="00714F9F">
              <w:rPr>
                <w:sz w:val="16"/>
                <w:szCs w:val="16"/>
              </w:rPr>
              <w:t xml:space="preserve">Nickolas </w:t>
            </w:r>
            <w:proofErr w:type="spellStart"/>
            <w:r w:rsidRPr="00714F9F">
              <w:rPr>
                <w:sz w:val="16"/>
                <w:szCs w:val="16"/>
              </w:rPr>
              <w:t>Zaller</w:t>
            </w:r>
            <w:proofErr w:type="spellEnd"/>
            <w:r w:rsidRPr="00714F9F">
              <w:rPr>
                <w:sz w:val="16"/>
                <w:szCs w:val="16"/>
              </w:rPr>
              <w:t>, PhD</w:t>
            </w:r>
          </w:p>
          <w:p w:rsidR="00782A43" w:rsidRPr="002A1A67" w:rsidRDefault="00782A43" w:rsidP="003D66D7">
            <w:pPr>
              <w:rPr>
                <w:sz w:val="16"/>
                <w:szCs w:val="16"/>
              </w:rPr>
            </w:pPr>
          </w:p>
        </w:tc>
        <w:tc>
          <w:tcPr>
            <w:tcW w:w="3720" w:type="dxa"/>
          </w:tcPr>
          <w:p w:rsidR="00782A43" w:rsidRPr="002A1A67" w:rsidRDefault="00782A43" w:rsidP="003D66D7">
            <w:pPr>
              <w:rPr>
                <w:sz w:val="16"/>
                <w:szCs w:val="16"/>
              </w:rPr>
            </w:pPr>
            <w:r w:rsidRPr="00714F9F">
              <w:rPr>
                <w:sz w:val="16"/>
                <w:szCs w:val="16"/>
              </w:rPr>
              <w:t>The Miriam Hospital Immunology Center</w:t>
            </w:r>
            <w:r w:rsidRPr="00714F9F">
              <w:rPr>
                <w:sz w:val="16"/>
                <w:szCs w:val="16"/>
              </w:rPr>
              <w:br/>
              <w:t>164 Summit Ave</w:t>
            </w:r>
            <w:r w:rsidRPr="00714F9F">
              <w:rPr>
                <w:sz w:val="16"/>
                <w:szCs w:val="16"/>
              </w:rPr>
              <w:br/>
              <w:t>RISE/CFAR Building</w:t>
            </w:r>
            <w:r w:rsidRPr="00714F9F">
              <w:rPr>
                <w:sz w:val="16"/>
                <w:szCs w:val="16"/>
              </w:rPr>
              <w:br/>
              <w:t>Providence, RI 02096</w:t>
            </w:r>
          </w:p>
        </w:tc>
        <w:tc>
          <w:tcPr>
            <w:tcW w:w="3000" w:type="dxa"/>
          </w:tcPr>
          <w:p w:rsidR="00782A43" w:rsidRPr="002A1A67" w:rsidRDefault="00782A43" w:rsidP="003D66D7">
            <w:pPr>
              <w:rPr>
                <w:sz w:val="16"/>
                <w:szCs w:val="16"/>
              </w:rPr>
            </w:pPr>
            <w:r w:rsidRPr="00714F9F">
              <w:rPr>
                <w:sz w:val="16"/>
                <w:szCs w:val="16"/>
              </w:rPr>
              <w:t>Phone:</w:t>
            </w:r>
            <w:r w:rsidRPr="00714F9F">
              <w:rPr>
                <w:sz w:val="16"/>
                <w:szCs w:val="16"/>
              </w:rPr>
              <w:tab/>
              <w:t>401-793-4875</w:t>
            </w:r>
            <w:r w:rsidRPr="00714F9F">
              <w:rPr>
                <w:sz w:val="16"/>
                <w:szCs w:val="16"/>
              </w:rPr>
              <w:br/>
              <w:t>E-mail:</w:t>
            </w:r>
            <w:r w:rsidRPr="00714F9F">
              <w:rPr>
                <w:sz w:val="16"/>
                <w:szCs w:val="16"/>
              </w:rPr>
              <w:tab/>
            </w:r>
            <w:hyperlink r:id="rId19" w:history="1">
              <w:r w:rsidRPr="00714F9F">
                <w:rPr>
                  <w:rStyle w:val="Hyperlink"/>
                  <w:color w:val="auto"/>
                  <w:sz w:val="16"/>
                  <w:szCs w:val="16"/>
                  <w:u w:val="none"/>
                </w:rPr>
                <w:t>nzaller@lifespan.org</w:t>
              </w:r>
            </w:hyperlink>
          </w:p>
        </w:tc>
      </w:tr>
    </w:tbl>
    <w:p w:rsidR="00782A43" w:rsidRPr="000746F1" w:rsidRDefault="00782A43" w:rsidP="00543169">
      <w:pPr>
        <w:autoSpaceDE w:val="0"/>
        <w:autoSpaceDN w:val="0"/>
        <w:adjustRightInd w:val="0"/>
      </w:pPr>
    </w:p>
    <w:p w:rsidR="00782A43" w:rsidRDefault="00782A43">
      <w:r>
        <w:br w:type="page"/>
      </w:r>
    </w:p>
    <w:p w:rsidR="00782A43" w:rsidRDefault="00782A43">
      <w:pPr>
        <w:autoSpaceDE w:val="0"/>
        <w:autoSpaceDN w:val="0"/>
        <w:adjustRightInd w:val="0"/>
        <w:ind w:left="720"/>
      </w:pPr>
      <w:r>
        <w:t xml:space="preserve">Additional consultation was sought after substantive work was completed on the TCE-HIV Multi-Site Evaluation design. A smaller </w:t>
      </w:r>
      <w:r>
        <w:rPr>
          <w:color w:val="000000"/>
        </w:rPr>
        <w:t>Project Working Group (</w:t>
      </w:r>
      <w:r w:rsidRPr="00543169">
        <w:rPr>
          <w:color w:val="000000"/>
        </w:rPr>
        <w:t>PWG</w:t>
      </w:r>
      <w:r>
        <w:rPr>
          <w:color w:val="000000"/>
        </w:rPr>
        <w:t>)</w:t>
      </w:r>
      <w:r w:rsidRPr="00543169">
        <w:rPr>
          <w:color w:val="000000"/>
        </w:rPr>
        <w:t xml:space="preserve"> </w:t>
      </w:r>
      <w:r>
        <w:rPr>
          <w:color w:val="000000"/>
        </w:rPr>
        <w:t xml:space="preserve">was convened </w:t>
      </w:r>
      <w:r w:rsidRPr="00543169">
        <w:rPr>
          <w:color w:val="000000"/>
        </w:rPr>
        <w:t xml:space="preserve">to advise and provide recommendations to </w:t>
      </w:r>
      <w:r w:rsidRPr="007F286F">
        <w:t>SAMHSA/CSAT</w:t>
      </w:r>
      <w:r w:rsidRPr="00543169">
        <w:rPr>
          <w:color w:val="000000"/>
        </w:rPr>
        <w:t xml:space="preserve"> and the JBS Evaluation Team on all phases of the TCE-HIV </w:t>
      </w:r>
      <w:r>
        <w:rPr>
          <w:color w:val="000000"/>
        </w:rPr>
        <w:t>M</w:t>
      </w:r>
      <w:r w:rsidRPr="00543169">
        <w:rPr>
          <w:color w:val="000000"/>
        </w:rPr>
        <w:t>ulti-</w:t>
      </w:r>
      <w:r>
        <w:rPr>
          <w:color w:val="000000"/>
        </w:rPr>
        <w:t>S</w:t>
      </w:r>
      <w:r w:rsidRPr="00543169">
        <w:rPr>
          <w:color w:val="000000"/>
        </w:rPr>
        <w:t xml:space="preserve">ite </w:t>
      </w:r>
      <w:r>
        <w:rPr>
          <w:color w:val="000000"/>
        </w:rPr>
        <w:t>E</w:t>
      </w:r>
      <w:r w:rsidRPr="00543169">
        <w:rPr>
          <w:color w:val="000000"/>
        </w:rPr>
        <w:t xml:space="preserve">valuation </w:t>
      </w:r>
      <w:r>
        <w:rPr>
          <w:color w:val="000000"/>
        </w:rPr>
        <w:t>including</w:t>
      </w:r>
      <w:r w:rsidRPr="00543169">
        <w:rPr>
          <w:color w:val="000000"/>
        </w:rPr>
        <w:t xml:space="preserve"> the design, instrumentation development, implementation, </w:t>
      </w:r>
      <w:r>
        <w:rPr>
          <w:color w:val="000000"/>
        </w:rPr>
        <w:t xml:space="preserve">and </w:t>
      </w:r>
      <w:r w:rsidRPr="00543169">
        <w:rPr>
          <w:color w:val="000000"/>
        </w:rPr>
        <w:t>an</w:t>
      </w:r>
      <w:r w:rsidRPr="009015DA">
        <w:rPr>
          <w:color w:val="000000"/>
        </w:rPr>
        <w:t xml:space="preserve">alysis. As a result of PWG consultation and feedback, data collection instruments have been revised. See </w:t>
      </w:r>
      <w:r>
        <w:rPr>
          <w:color w:val="000000"/>
        </w:rPr>
        <w:t>Attachment 2a - Document 2</w:t>
      </w:r>
      <w:r w:rsidRPr="009015DA">
        <w:rPr>
          <w:color w:val="000000"/>
        </w:rPr>
        <w:t xml:space="preserve"> for summary of PWG feedback and revisions made to instruments. The scope and </w:t>
      </w:r>
      <w:r w:rsidRPr="009937BF">
        <w:rPr>
          <w:rStyle w:val="Emphasis"/>
          <w:i w:val="0"/>
          <w:iCs w:val="0"/>
          <w:color w:val="000000"/>
        </w:rPr>
        <w:t>purpose</w:t>
      </w:r>
      <w:r w:rsidRPr="009015DA">
        <w:rPr>
          <w:color w:val="000000"/>
        </w:rPr>
        <w:t xml:space="preserve"> of the</w:t>
      </w:r>
      <w:r w:rsidRPr="00543169">
        <w:rPr>
          <w:color w:val="000000"/>
        </w:rPr>
        <w:t xml:space="preserve"> </w:t>
      </w:r>
      <w:r w:rsidRPr="006C7FE5">
        <w:rPr>
          <w:rStyle w:val="Emphasis"/>
          <w:i w:val="0"/>
          <w:iCs w:val="0"/>
          <w:color w:val="000000"/>
        </w:rPr>
        <w:t>PWG</w:t>
      </w:r>
      <w:r w:rsidRPr="00543169">
        <w:rPr>
          <w:color w:val="000000"/>
        </w:rPr>
        <w:t xml:space="preserve"> will evolve in response to the changing needs of the project as the evaluation is implemented and the JBS Team engages in data collection, management</w:t>
      </w:r>
      <w:r>
        <w:rPr>
          <w:color w:val="000000"/>
        </w:rPr>
        <w:t>,</w:t>
      </w:r>
      <w:r w:rsidRPr="00543169">
        <w:rPr>
          <w:color w:val="000000"/>
        </w:rPr>
        <w:t xml:space="preserve"> and analysis.</w:t>
      </w:r>
      <w:r>
        <w:t xml:space="preserve"> </w:t>
      </w:r>
      <w:r w:rsidRPr="00543169">
        <w:t>The PWG will meet frequently (i.e., quarterly) during the initial phase of the evaluation project</w:t>
      </w:r>
      <w:r>
        <w:t xml:space="preserve"> </w:t>
      </w:r>
      <w:r w:rsidRPr="00543169">
        <w:t>and will meet as needed during the implementation</w:t>
      </w:r>
      <w:r>
        <w:t>,</w:t>
      </w:r>
      <w:r w:rsidRPr="00543169">
        <w:t xml:space="preserve"> analysis</w:t>
      </w:r>
      <w:r>
        <w:t>,</w:t>
      </w:r>
      <w:r w:rsidRPr="00543169">
        <w:t xml:space="preserve"> </w:t>
      </w:r>
      <w:r>
        <w:t xml:space="preserve">and reporting </w:t>
      </w:r>
      <w:r w:rsidRPr="00543169">
        <w:t>phase</w:t>
      </w:r>
      <w:r>
        <w:t>s</w:t>
      </w:r>
      <w:r w:rsidRPr="00543169">
        <w:t>.</w:t>
      </w:r>
    </w:p>
    <w:p w:rsidR="00782A43" w:rsidRDefault="00782A43" w:rsidP="00543169"/>
    <w:p w:rsidR="00782A43" w:rsidRDefault="00782A43" w:rsidP="00D87992">
      <w:pPr>
        <w:ind w:left="720"/>
      </w:pPr>
      <w:r w:rsidRPr="00543169">
        <w:t>The PWG is an interdisciplinary group of Federal staff, the JBS Team, and external consultants (i.e., evaluators and researchers) who can provide a broad perspective on the various evaluation</w:t>
      </w:r>
      <w:r>
        <w:t>-</w:t>
      </w:r>
      <w:r w:rsidRPr="00543169">
        <w:t xml:space="preserve">related tasks. The PWG members have expertise in substance abuse treatment and prevention issues, HIV testing and prevention, program implementation, minority populations, and program evaluation. The </w:t>
      </w:r>
      <w:r>
        <w:t>list of PWG</w:t>
      </w:r>
      <w:r w:rsidRPr="00543169">
        <w:t xml:space="preserve"> </w:t>
      </w:r>
      <w:r>
        <w:t>members is provided in Exhibit 3.</w:t>
      </w:r>
    </w:p>
    <w:p w:rsidR="00782A43" w:rsidRDefault="00782A43">
      <w:r>
        <w:br w:type="page"/>
      </w:r>
    </w:p>
    <w:p w:rsidR="00782A43" w:rsidRPr="002A1A67" w:rsidRDefault="00782A43" w:rsidP="00C300ED">
      <w:pPr>
        <w:rPr>
          <w:b/>
          <w:bCs/>
          <w:sz w:val="18"/>
          <w:szCs w:val="18"/>
        </w:rPr>
      </w:pPr>
      <w:r w:rsidRPr="00714F9F">
        <w:rPr>
          <w:b/>
          <w:bCs/>
          <w:sz w:val="18"/>
          <w:szCs w:val="18"/>
        </w:rPr>
        <w:t>Exhibit 3: Project Working Group Members</w:t>
      </w:r>
    </w:p>
    <w:tbl>
      <w:tblPr>
        <w:tblW w:w="9310" w:type="dxa"/>
        <w:tblInd w:w="-84"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86" w:type="dxa"/>
          <w:right w:w="86" w:type="dxa"/>
        </w:tblCellMar>
        <w:tblLook w:val="0000"/>
      </w:tblPr>
      <w:tblGrid>
        <w:gridCol w:w="2590"/>
        <w:gridCol w:w="3720"/>
        <w:gridCol w:w="3000"/>
      </w:tblGrid>
      <w:tr w:rsidR="00782A43" w:rsidRPr="002A1A67">
        <w:trPr>
          <w:cantSplit/>
          <w:tblHeader/>
        </w:trPr>
        <w:tc>
          <w:tcPr>
            <w:tcW w:w="2590" w:type="dxa"/>
            <w:tcBorders>
              <w:top w:val="double" w:sz="6" w:space="0" w:color="auto"/>
            </w:tcBorders>
            <w:vAlign w:val="bottom"/>
          </w:tcPr>
          <w:p w:rsidR="00782A43" w:rsidRPr="002A1A67" w:rsidRDefault="00782A43" w:rsidP="006C7FE5">
            <w:pPr>
              <w:jc w:val="center"/>
              <w:rPr>
                <w:b/>
                <w:bCs/>
                <w:sz w:val="18"/>
                <w:szCs w:val="18"/>
              </w:rPr>
            </w:pPr>
            <w:r w:rsidRPr="00714F9F">
              <w:rPr>
                <w:b/>
                <w:bCs/>
                <w:sz w:val="18"/>
                <w:szCs w:val="18"/>
              </w:rPr>
              <w:t>Member</w:t>
            </w:r>
          </w:p>
        </w:tc>
        <w:tc>
          <w:tcPr>
            <w:tcW w:w="3720" w:type="dxa"/>
            <w:tcBorders>
              <w:top w:val="double" w:sz="6" w:space="0" w:color="auto"/>
            </w:tcBorders>
            <w:vAlign w:val="bottom"/>
          </w:tcPr>
          <w:p w:rsidR="00782A43" w:rsidRPr="002A1A67" w:rsidRDefault="00782A43" w:rsidP="006C7FE5">
            <w:pPr>
              <w:jc w:val="center"/>
              <w:rPr>
                <w:sz w:val="18"/>
                <w:szCs w:val="18"/>
              </w:rPr>
            </w:pPr>
            <w:r w:rsidRPr="00714F9F">
              <w:rPr>
                <w:b/>
                <w:bCs/>
                <w:sz w:val="18"/>
                <w:szCs w:val="18"/>
              </w:rPr>
              <w:t>Affiliation</w:t>
            </w:r>
          </w:p>
        </w:tc>
        <w:tc>
          <w:tcPr>
            <w:tcW w:w="3000" w:type="dxa"/>
            <w:tcBorders>
              <w:top w:val="double" w:sz="6" w:space="0" w:color="auto"/>
            </w:tcBorders>
            <w:vAlign w:val="bottom"/>
          </w:tcPr>
          <w:p w:rsidR="00782A43" w:rsidRPr="002A1A67" w:rsidRDefault="00782A43" w:rsidP="006C7FE5">
            <w:pPr>
              <w:jc w:val="center"/>
              <w:rPr>
                <w:sz w:val="18"/>
                <w:szCs w:val="18"/>
              </w:rPr>
            </w:pPr>
            <w:r w:rsidRPr="00714F9F">
              <w:rPr>
                <w:b/>
                <w:bCs/>
                <w:sz w:val="18"/>
                <w:szCs w:val="18"/>
              </w:rPr>
              <w:t>Contact Information</w:t>
            </w:r>
          </w:p>
        </w:tc>
      </w:tr>
      <w:tr w:rsidR="00782A43" w:rsidRPr="002A1A67">
        <w:trPr>
          <w:cantSplit/>
        </w:trPr>
        <w:tc>
          <w:tcPr>
            <w:tcW w:w="2590" w:type="dxa"/>
          </w:tcPr>
          <w:p w:rsidR="00782A43" w:rsidRPr="002A1A67" w:rsidRDefault="00782A43" w:rsidP="006F6EA0">
            <w:pPr>
              <w:rPr>
                <w:sz w:val="18"/>
                <w:szCs w:val="18"/>
              </w:rPr>
            </w:pPr>
            <w:proofErr w:type="spellStart"/>
            <w:r w:rsidRPr="00714F9F">
              <w:rPr>
                <w:sz w:val="18"/>
                <w:szCs w:val="18"/>
              </w:rPr>
              <w:t>Ravinia</w:t>
            </w:r>
            <w:proofErr w:type="spellEnd"/>
            <w:r w:rsidRPr="00714F9F">
              <w:rPr>
                <w:sz w:val="18"/>
                <w:szCs w:val="18"/>
              </w:rPr>
              <w:t xml:space="preserve"> Hayes-Cozier</w:t>
            </w:r>
          </w:p>
        </w:tc>
        <w:tc>
          <w:tcPr>
            <w:tcW w:w="3720" w:type="dxa"/>
          </w:tcPr>
          <w:p w:rsidR="00782A43" w:rsidRPr="002A1A67" w:rsidRDefault="00782A43" w:rsidP="006F6EA0">
            <w:pPr>
              <w:rPr>
                <w:sz w:val="18"/>
                <w:szCs w:val="18"/>
              </w:rPr>
            </w:pPr>
            <w:r w:rsidRPr="00714F9F">
              <w:rPr>
                <w:sz w:val="18"/>
                <w:szCs w:val="18"/>
              </w:rPr>
              <w:t>National Minority AIDS Council</w:t>
            </w:r>
          </w:p>
          <w:p w:rsidR="00782A43" w:rsidRPr="002A1A67" w:rsidRDefault="00782A43" w:rsidP="006F6EA0">
            <w:pPr>
              <w:autoSpaceDE w:val="0"/>
              <w:autoSpaceDN w:val="0"/>
              <w:adjustRightInd w:val="0"/>
              <w:rPr>
                <w:sz w:val="18"/>
                <w:szCs w:val="18"/>
              </w:rPr>
            </w:pPr>
            <w:r w:rsidRPr="00714F9F">
              <w:rPr>
                <w:sz w:val="18"/>
                <w:szCs w:val="18"/>
              </w:rPr>
              <w:t>Director of Government Relations and Public Policy</w:t>
            </w:r>
          </w:p>
          <w:p w:rsidR="00782A43" w:rsidRPr="002A1A67" w:rsidRDefault="00782A43" w:rsidP="006F6EA0">
            <w:pPr>
              <w:autoSpaceDE w:val="0"/>
              <w:autoSpaceDN w:val="0"/>
              <w:adjustRightInd w:val="0"/>
              <w:rPr>
                <w:sz w:val="18"/>
                <w:szCs w:val="18"/>
              </w:rPr>
            </w:pPr>
            <w:r w:rsidRPr="00714F9F">
              <w:rPr>
                <w:sz w:val="18"/>
                <w:szCs w:val="18"/>
              </w:rPr>
              <w:t>1931 13</w:t>
            </w:r>
            <w:r w:rsidRPr="00714F9F">
              <w:rPr>
                <w:sz w:val="18"/>
                <w:szCs w:val="18"/>
                <w:vertAlign w:val="superscript"/>
              </w:rPr>
              <w:t>th</w:t>
            </w:r>
            <w:r w:rsidRPr="00714F9F">
              <w:rPr>
                <w:sz w:val="18"/>
                <w:szCs w:val="18"/>
              </w:rPr>
              <w:t xml:space="preserve"> St. NW</w:t>
            </w:r>
          </w:p>
          <w:p w:rsidR="00782A43" w:rsidRPr="002A1A67" w:rsidRDefault="00782A43" w:rsidP="006F6EA0">
            <w:pPr>
              <w:autoSpaceDE w:val="0"/>
              <w:autoSpaceDN w:val="0"/>
              <w:adjustRightInd w:val="0"/>
              <w:rPr>
                <w:sz w:val="18"/>
                <w:szCs w:val="18"/>
              </w:rPr>
            </w:pPr>
            <w:r w:rsidRPr="00714F9F">
              <w:rPr>
                <w:sz w:val="18"/>
                <w:szCs w:val="18"/>
              </w:rPr>
              <w:t>Washington, DC 20009-4432</w:t>
            </w:r>
          </w:p>
        </w:tc>
        <w:tc>
          <w:tcPr>
            <w:tcW w:w="3000" w:type="dxa"/>
          </w:tcPr>
          <w:p w:rsidR="00782A43" w:rsidRPr="002A1A67" w:rsidRDefault="00782A43" w:rsidP="006F6EA0">
            <w:pPr>
              <w:rPr>
                <w:sz w:val="18"/>
                <w:szCs w:val="18"/>
              </w:rPr>
            </w:pPr>
            <w:r w:rsidRPr="00714F9F">
              <w:rPr>
                <w:sz w:val="18"/>
                <w:szCs w:val="18"/>
              </w:rPr>
              <w:t>Phone: 202-483-6622 ext. 308</w:t>
            </w:r>
          </w:p>
          <w:p w:rsidR="00782A43" w:rsidRPr="002A1A67" w:rsidRDefault="00782A43" w:rsidP="006F6EA0">
            <w:pPr>
              <w:rPr>
                <w:sz w:val="18"/>
                <w:szCs w:val="18"/>
              </w:rPr>
            </w:pPr>
            <w:r w:rsidRPr="00714F9F">
              <w:rPr>
                <w:sz w:val="18"/>
                <w:szCs w:val="18"/>
              </w:rPr>
              <w:t>Fax: 202-483-1135</w:t>
            </w:r>
          </w:p>
          <w:p w:rsidR="00782A43" w:rsidRPr="002A1A67" w:rsidRDefault="00782A43" w:rsidP="006F6EA0">
            <w:pPr>
              <w:rPr>
                <w:sz w:val="18"/>
                <w:szCs w:val="18"/>
              </w:rPr>
            </w:pPr>
            <w:r w:rsidRPr="00714F9F">
              <w:rPr>
                <w:sz w:val="18"/>
                <w:szCs w:val="18"/>
              </w:rPr>
              <w:t>E-mail: rhayescozier@nmac.org</w:t>
            </w:r>
          </w:p>
        </w:tc>
      </w:tr>
      <w:tr w:rsidR="00782A43" w:rsidRPr="00EC6923">
        <w:trPr>
          <w:cantSplit/>
        </w:trPr>
        <w:tc>
          <w:tcPr>
            <w:tcW w:w="2590" w:type="dxa"/>
          </w:tcPr>
          <w:p w:rsidR="00782A43" w:rsidRPr="002A1A67" w:rsidRDefault="00782A43" w:rsidP="006F6EA0">
            <w:pPr>
              <w:rPr>
                <w:sz w:val="18"/>
                <w:szCs w:val="18"/>
              </w:rPr>
            </w:pPr>
            <w:r w:rsidRPr="00714F9F">
              <w:rPr>
                <w:sz w:val="18"/>
                <w:szCs w:val="18"/>
              </w:rPr>
              <w:t>Jim Derzon, PhD</w:t>
            </w:r>
          </w:p>
        </w:tc>
        <w:tc>
          <w:tcPr>
            <w:tcW w:w="3720" w:type="dxa"/>
          </w:tcPr>
          <w:p w:rsidR="00782A43" w:rsidRPr="002A1A67" w:rsidRDefault="00782A43" w:rsidP="006F6EA0">
            <w:pPr>
              <w:rPr>
                <w:sz w:val="18"/>
                <w:szCs w:val="18"/>
              </w:rPr>
            </w:pPr>
            <w:r w:rsidRPr="00714F9F">
              <w:rPr>
                <w:sz w:val="18"/>
                <w:szCs w:val="18"/>
              </w:rPr>
              <w:t>Battelle Memorial Institute</w:t>
            </w:r>
          </w:p>
          <w:p w:rsidR="00782A43" w:rsidRPr="002A1A67" w:rsidRDefault="00782A43" w:rsidP="006F6EA0">
            <w:pPr>
              <w:tabs>
                <w:tab w:val="left" w:pos="-1080"/>
                <w:tab w:val="left" w:pos="-720"/>
                <w:tab w:val="left" w:pos="997"/>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780"/>
                <w:tab w:val="left" w:pos="13230"/>
                <w:tab w:val="left" w:pos="13680"/>
                <w:tab w:val="left" w:pos="14400"/>
                <w:tab w:val="left" w:pos="15120"/>
                <w:tab w:val="left" w:pos="15840"/>
                <w:tab w:val="left" w:pos="16560"/>
                <w:tab w:val="left" w:pos="17280"/>
                <w:tab w:val="left" w:pos="18000"/>
                <w:tab w:val="left" w:pos="18720"/>
              </w:tabs>
              <w:rPr>
                <w:sz w:val="18"/>
                <w:szCs w:val="18"/>
                <w:lang w:val="fr-FR"/>
              </w:rPr>
            </w:pPr>
            <w:r w:rsidRPr="00714F9F">
              <w:rPr>
                <w:sz w:val="18"/>
                <w:szCs w:val="18"/>
              </w:rPr>
              <w:t>Task Lead for Quantitative Analysis</w:t>
            </w:r>
            <w:r w:rsidRPr="00714F9F">
              <w:rPr>
                <w:sz w:val="18"/>
                <w:szCs w:val="18"/>
                <w:lang w:val="fr-FR"/>
              </w:rPr>
              <w:t xml:space="preserve"> 2101 Wilson Boulevard</w:t>
            </w:r>
          </w:p>
          <w:p w:rsidR="00782A43" w:rsidRPr="002A1A67" w:rsidRDefault="00782A43" w:rsidP="006F6EA0">
            <w:pPr>
              <w:tabs>
                <w:tab w:val="left" w:pos="-1080"/>
                <w:tab w:val="left" w:pos="-720"/>
                <w:tab w:val="left" w:pos="997"/>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780"/>
                <w:tab w:val="left" w:pos="13230"/>
                <w:tab w:val="left" w:pos="13680"/>
                <w:tab w:val="left" w:pos="14400"/>
                <w:tab w:val="left" w:pos="15120"/>
                <w:tab w:val="left" w:pos="15840"/>
                <w:tab w:val="left" w:pos="16560"/>
                <w:tab w:val="left" w:pos="17280"/>
                <w:tab w:val="left" w:pos="18000"/>
                <w:tab w:val="left" w:pos="18720"/>
              </w:tabs>
              <w:rPr>
                <w:sz w:val="18"/>
                <w:szCs w:val="18"/>
                <w:lang w:val="fr-FR"/>
              </w:rPr>
            </w:pPr>
            <w:r w:rsidRPr="00714F9F">
              <w:rPr>
                <w:sz w:val="18"/>
                <w:szCs w:val="18"/>
                <w:lang w:val="fr-FR"/>
              </w:rPr>
              <w:t>Suite 800</w:t>
            </w:r>
          </w:p>
          <w:p w:rsidR="00782A43" w:rsidRPr="002A1A67" w:rsidRDefault="00782A43" w:rsidP="006F6EA0">
            <w:pPr>
              <w:rPr>
                <w:sz w:val="18"/>
                <w:szCs w:val="18"/>
              </w:rPr>
            </w:pPr>
            <w:r w:rsidRPr="00714F9F">
              <w:rPr>
                <w:sz w:val="18"/>
                <w:szCs w:val="18"/>
                <w:lang w:val="fr-FR"/>
              </w:rPr>
              <w:t>Arlington, VA 22201-3008</w:t>
            </w:r>
          </w:p>
        </w:tc>
        <w:tc>
          <w:tcPr>
            <w:tcW w:w="3000" w:type="dxa"/>
          </w:tcPr>
          <w:p w:rsidR="00782A43" w:rsidRPr="002A1A67" w:rsidRDefault="00782A43" w:rsidP="006F6EA0">
            <w:pPr>
              <w:rPr>
                <w:sz w:val="18"/>
                <w:szCs w:val="18"/>
                <w:lang w:val="fr-FR"/>
              </w:rPr>
            </w:pPr>
            <w:r w:rsidRPr="00714F9F">
              <w:rPr>
                <w:sz w:val="18"/>
                <w:szCs w:val="18"/>
                <w:lang w:val="fr-FR"/>
              </w:rPr>
              <w:t>Phone: 703-248-1640</w:t>
            </w:r>
          </w:p>
          <w:p w:rsidR="00782A43" w:rsidRPr="002A1A67" w:rsidRDefault="00782A43" w:rsidP="006F6EA0">
            <w:pPr>
              <w:rPr>
                <w:sz w:val="18"/>
                <w:szCs w:val="18"/>
                <w:lang w:val="fr-FR"/>
              </w:rPr>
            </w:pPr>
            <w:r w:rsidRPr="00714F9F">
              <w:rPr>
                <w:sz w:val="18"/>
                <w:szCs w:val="18"/>
                <w:lang w:val="fr-FR"/>
              </w:rPr>
              <w:t>Fax: 703-527-5640</w:t>
            </w:r>
          </w:p>
          <w:p w:rsidR="00782A43" w:rsidRPr="002A1A67" w:rsidRDefault="00782A43" w:rsidP="006F6EA0">
            <w:pPr>
              <w:rPr>
                <w:sz w:val="18"/>
                <w:szCs w:val="18"/>
                <w:lang w:val="fr-FR"/>
              </w:rPr>
            </w:pPr>
            <w:r w:rsidRPr="00714F9F">
              <w:rPr>
                <w:sz w:val="18"/>
                <w:szCs w:val="18"/>
                <w:lang w:val="fr-FR"/>
              </w:rPr>
              <w:t>E-mail: Derzonj@battelle.org</w:t>
            </w:r>
          </w:p>
        </w:tc>
      </w:tr>
      <w:tr w:rsidR="00782A43" w:rsidRPr="00EC6923">
        <w:trPr>
          <w:cantSplit/>
        </w:trPr>
        <w:tc>
          <w:tcPr>
            <w:tcW w:w="2590" w:type="dxa"/>
          </w:tcPr>
          <w:p w:rsidR="00782A43" w:rsidRPr="002A1A67" w:rsidRDefault="00782A43" w:rsidP="006F6EA0">
            <w:pPr>
              <w:rPr>
                <w:sz w:val="18"/>
                <w:szCs w:val="18"/>
              </w:rPr>
            </w:pPr>
            <w:r w:rsidRPr="00714F9F">
              <w:rPr>
                <w:sz w:val="18"/>
                <w:szCs w:val="18"/>
              </w:rPr>
              <w:t>Colin Flynn</w:t>
            </w:r>
          </w:p>
        </w:tc>
        <w:tc>
          <w:tcPr>
            <w:tcW w:w="3720" w:type="dxa"/>
          </w:tcPr>
          <w:p w:rsidR="00782A43" w:rsidRPr="002A1A67" w:rsidRDefault="00782A43" w:rsidP="006F6EA0">
            <w:pPr>
              <w:rPr>
                <w:sz w:val="18"/>
                <w:szCs w:val="18"/>
              </w:rPr>
            </w:pPr>
            <w:r w:rsidRPr="00714F9F">
              <w:rPr>
                <w:sz w:val="18"/>
                <w:szCs w:val="18"/>
              </w:rPr>
              <w:t>Department of Health and Mental Hygiene</w:t>
            </w:r>
          </w:p>
          <w:p w:rsidR="00782A43" w:rsidRPr="002A1A67" w:rsidRDefault="00782A43" w:rsidP="006F6EA0">
            <w:pPr>
              <w:rPr>
                <w:sz w:val="18"/>
                <w:szCs w:val="18"/>
              </w:rPr>
            </w:pPr>
            <w:r w:rsidRPr="00714F9F">
              <w:rPr>
                <w:sz w:val="18"/>
                <w:szCs w:val="18"/>
              </w:rPr>
              <w:t>Chief, Center for HIV Surveillance and Epidemiology</w:t>
            </w:r>
          </w:p>
          <w:p w:rsidR="00782A43" w:rsidRPr="002A1A67" w:rsidRDefault="00782A43" w:rsidP="006F6EA0">
            <w:pPr>
              <w:rPr>
                <w:sz w:val="18"/>
                <w:szCs w:val="18"/>
              </w:rPr>
            </w:pPr>
            <w:r w:rsidRPr="00714F9F">
              <w:rPr>
                <w:sz w:val="18"/>
                <w:szCs w:val="18"/>
              </w:rPr>
              <w:t>500 North Calvert St.</w:t>
            </w:r>
          </w:p>
          <w:p w:rsidR="00782A43" w:rsidRPr="002A1A67" w:rsidRDefault="00782A43" w:rsidP="006F6EA0">
            <w:pPr>
              <w:rPr>
                <w:sz w:val="18"/>
                <w:szCs w:val="18"/>
              </w:rPr>
            </w:pPr>
            <w:proofErr w:type="spellStart"/>
            <w:r w:rsidRPr="00714F9F">
              <w:rPr>
                <w:sz w:val="18"/>
                <w:szCs w:val="18"/>
              </w:rPr>
              <w:t>Shillman</w:t>
            </w:r>
            <w:proofErr w:type="spellEnd"/>
            <w:r w:rsidRPr="00714F9F">
              <w:rPr>
                <w:sz w:val="18"/>
                <w:szCs w:val="18"/>
              </w:rPr>
              <w:t xml:space="preserve"> Building, 5</w:t>
            </w:r>
            <w:r w:rsidRPr="00714F9F">
              <w:rPr>
                <w:sz w:val="18"/>
                <w:szCs w:val="18"/>
                <w:vertAlign w:val="superscript"/>
              </w:rPr>
              <w:t>th</w:t>
            </w:r>
            <w:r w:rsidRPr="00714F9F">
              <w:rPr>
                <w:sz w:val="18"/>
                <w:szCs w:val="18"/>
              </w:rPr>
              <w:t xml:space="preserve"> Floor</w:t>
            </w:r>
          </w:p>
          <w:p w:rsidR="00782A43" w:rsidRPr="002A1A67" w:rsidRDefault="00782A43" w:rsidP="006F6EA0">
            <w:pPr>
              <w:rPr>
                <w:sz w:val="18"/>
                <w:szCs w:val="18"/>
              </w:rPr>
            </w:pPr>
            <w:r w:rsidRPr="00714F9F">
              <w:rPr>
                <w:sz w:val="18"/>
                <w:szCs w:val="18"/>
              </w:rPr>
              <w:t>Baltimore, MD 21202</w:t>
            </w:r>
          </w:p>
        </w:tc>
        <w:tc>
          <w:tcPr>
            <w:tcW w:w="3000" w:type="dxa"/>
          </w:tcPr>
          <w:p w:rsidR="00782A43" w:rsidRPr="002A1A67" w:rsidRDefault="00782A43" w:rsidP="006F6EA0">
            <w:pPr>
              <w:rPr>
                <w:sz w:val="18"/>
                <w:szCs w:val="18"/>
                <w:lang w:val="fr-FR"/>
              </w:rPr>
            </w:pPr>
            <w:r w:rsidRPr="00714F9F">
              <w:rPr>
                <w:sz w:val="18"/>
                <w:szCs w:val="18"/>
                <w:lang w:val="fr-FR"/>
              </w:rPr>
              <w:t>Phone: 410-767-5050</w:t>
            </w:r>
          </w:p>
          <w:p w:rsidR="00782A43" w:rsidRPr="002A1A67" w:rsidRDefault="00782A43" w:rsidP="006F6EA0">
            <w:pPr>
              <w:rPr>
                <w:sz w:val="18"/>
                <w:szCs w:val="18"/>
                <w:lang w:val="fr-FR"/>
              </w:rPr>
            </w:pPr>
            <w:r w:rsidRPr="00714F9F">
              <w:rPr>
                <w:sz w:val="18"/>
                <w:szCs w:val="18"/>
                <w:lang w:val="fr-FR"/>
              </w:rPr>
              <w:t>Fax: 410-767-6489</w:t>
            </w:r>
          </w:p>
          <w:p w:rsidR="00782A43" w:rsidRPr="002A1A67" w:rsidRDefault="00782A43" w:rsidP="006F6EA0">
            <w:pPr>
              <w:rPr>
                <w:sz w:val="18"/>
                <w:szCs w:val="18"/>
                <w:lang w:val="fr-FR"/>
              </w:rPr>
            </w:pPr>
            <w:r w:rsidRPr="00714F9F">
              <w:rPr>
                <w:sz w:val="18"/>
                <w:szCs w:val="18"/>
                <w:lang w:val="fr-FR"/>
              </w:rPr>
              <w:t>E-mail: flynnc@dhmh.state.md.us</w:t>
            </w:r>
          </w:p>
        </w:tc>
      </w:tr>
      <w:tr w:rsidR="00782A43" w:rsidRPr="00EC6923">
        <w:trPr>
          <w:cantSplit/>
        </w:trPr>
        <w:tc>
          <w:tcPr>
            <w:tcW w:w="2590" w:type="dxa"/>
          </w:tcPr>
          <w:p w:rsidR="00782A43" w:rsidRPr="002A1A67" w:rsidRDefault="00782A43" w:rsidP="006F6EA0">
            <w:pPr>
              <w:rPr>
                <w:sz w:val="18"/>
                <w:szCs w:val="18"/>
              </w:rPr>
            </w:pPr>
            <w:r w:rsidRPr="00714F9F">
              <w:rPr>
                <w:sz w:val="18"/>
                <w:szCs w:val="18"/>
              </w:rPr>
              <w:t xml:space="preserve">Vincent </w:t>
            </w:r>
            <w:proofErr w:type="spellStart"/>
            <w:r w:rsidRPr="00714F9F">
              <w:rPr>
                <w:sz w:val="18"/>
                <w:szCs w:val="18"/>
              </w:rPr>
              <w:t>Guilamo</w:t>
            </w:r>
            <w:proofErr w:type="spellEnd"/>
            <w:r w:rsidRPr="00714F9F">
              <w:rPr>
                <w:sz w:val="18"/>
                <w:szCs w:val="18"/>
              </w:rPr>
              <w:t>-Ramos, PhD</w:t>
            </w:r>
          </w:p>
        </w:tc>
        <w:tc>
          <w:tcPr>
            <w:tcW w:w="3720" w:type="dxa"/>
          </w:tcPr>
          <w:p w:rsidR="00782A43" w:rsidRPr="002A1A67" w:rsidRDefault="00782A43" w:rsidP="006F6EA0">
            <w:pPr>
              <w:rPr>
                <w:sz w:val="18"/>
                <w:szCs w:val="18"/>
              </w:rPr>
            </w:pPr>
            <w:r w:rsidRPr="00714F9F">
              <w:rPr>
                <w:sz w:val="18"/>
                <w:szCs w:val="18"/>
              </w:rPr>
              <w:t xml:space="preserve">Columbia University, Associate Professor, School of Social Work   </w:t>
            </w:r>
          </w:p>
          <w:p w:rsidR="00782A43" w:rsidRPr="002A1A67" w:rsidRDefault="00782A43" w:rsidP="006F6EA0">
            <w:pPr>
              <w:rPr>
                <w:sz w:val="18"/>
                <w:szCs w:val="18"/>
              </w:rPr>
            </w:pPr>
            <w:r w:rsidRPr="00714F9F">
              <w:rPr>
                <w:sz w:val="18"/>
                <w:szCs w:val="18"/>
              </w:rPr>
              <w:t xml:space="preserve">1255 Amsterdam Avenue          </w:t>
            </w:r>
          </w:p>
          <w:p w:rsidR="00782A43" w:rsidRPr="002A1A67" w:rsidRDefault="00782A43" w:rsidP="006F6EA0">
            <w:pPr>
              <w:rPr>
                <w:sz w:val="18"/>
                <w:szCs w:val="18"/>
              </w:rPr>
            </w:pPr>
            <w:r w:rsidRPr="00714F9F">
              <w:rPr>
                <w:sz w:val="18"/>
                <w:szCs w:val="18"/>
              </w:rPr>
              <w:t xml:space="preserve">New York, NY 10027 </w:t>
            </w:r>
          </w:p>
        </w:tc>
        <w:tc>
          <w:tcPr>
            <w:tcW w:w="3000" w:type="dxa"/>
          </w:tcPr>
          <w:p w:rsidR="00782A43" w:rsidRPr="002A1A67" w:rsidRDefault="00782A43" w:rsidP="006F6EA0">
            <w:pPr>
              <w:rPr>
                <w:sz w:val="18"/>
                <w:szCs w:val="18"/>
                <w:lang w:val="fr-FR"/>
              </w:rPr>
            </w:pPr>
            <w:r w:rsidRPr="00714F9F">
              <w:rPr>
                <w:sz w:val="18"/>
                <w:szCs w:val="18"/>
                <w:lang w:val="fr-FR"/>
              </w:rPr>
              <w:t>Phone:</w:t>
            </w:r>
            <w:r w:rsidRPr="00714F9F">
              <w:rPr>
                <w:sz w:val="18"/>
                <w:szCs w:val="18"/>
                <w:lang w:val="fr-FR"/>
              </w:rPr>
              <w:tab/>
              <w:t>212-851-1659</w:t>
            </w:r>
            <w:r w:rsidRPr="00714F9F">
              <w:rPr>
                <w:sz w:val="18"/>
                <w:szCs w:val="18"/>
                <w:lang w:val="fr-FR"/>
              </w:rPr>
              <w:br/>
              <w:t>Fax: 212-851-2206</w:t>
            </w:r>
            <w:r w:rsidRPr="00714F9F">
              <w:rPr>
                <w:sz w:val="18"/>
                <w:szCs w:val="18"/>
                <w:lang w:val="fr-FR"/>
              </w:rPr>
              <w:br/>
              <w:t>E-mail:</w:t>
            </w:r>
            <w:r w:rsidRPr="00714F9F">
              <w:rPr>
                <w:sz w:val="18"/>
                <w:szCs w:val="18"/>
                <w:lang w:val="fr-FR"/>
              </w:rPr>
              <w:tab/>
              <w:t xml:space="preserve"> </w:t>
            </w:r>
            <w:hyperlink r:id="rId20" w:history="1">
              <w:r w:rsidRPr="00714F9F">
                <w:rPr>
                  <w:rStyle w:val="Hyperlink"/>
                  <w:color w:val="auto"/>
                  <w:sz w:val="18"/>
                  <w:szCs w:val="18"/>
                  <w:u w:val="none"/>
                  <w:lang w:val="fr-FR"/>
                </w:rPr>
                <w:t>rg650@columbia.edu</w:t>
              </w:r>
            </w:hyperlink>
          </w:p>
          <w:p w:rsidR="00782A43" w:rsidRPr="002A1A67" w:rsidRDefault="00782A43" w:rsidP="006F6EA0">
            <w:pPr>
              <w:rPr>
                <w:sz w:val="18"/>
                <w:szCs w:val="18"/>
                <w:lang w:val="fr-FR"/>
              </w:rPr>
            </w:pPr>
          </w:p>
        </w:tc>
      </w:tr>
      <w:tr w:rsidR="00782A43" w:rsidRPr="002A1A67">
        <w:trPr>
          <w:cantSplit/>
        </w:trPr>
        <w:tc>
          <w:tcPr>
            <w:tcW w:w="2590" w:type="dxa"/>
          </w:tcPr>
          <w:p w:rsidR="00782A43" w:rsidRPr="002A1A67" w:rsidRDefault="00782A43" w:rsidP="006F6EA0">
            <w:pPr>
              <w:rPr>
                <w:sz w:val="18"/>
                <w:szCs w:val="18"/>
              </w:rPr>
            </w:pPr>
            <w:r w:rsidRPr="00714F9F">
              <w:rPr>
                <w:sz w:val="18"/>
                <w:szCs w:val="18"/>
              </w:rPr>
              <w:t>Susan Hayashi, PhD</w:t>
            </w:r>
          </w:p>
        </w:tc>
        <w:tc>
          <w:tcPr>
            <w:tcW w:w="3720" w:type="dxa"/>
          </w:tcPr>
          <w:p w:rsidR="00782A43" w:rsidRPr="002A1A67" w:rsidRDefault="00782A43" w:rsidP="006F6EA0">
            <w:pPr>
              <w:pStyle w:val="HTMLAddress"/>
              <w:rPr>
                <w:i w:val="0"/>
                <w:iCs w:val="0"/>
                <w:sz w:val="18"/>
                <w:szCs w:val="18"/>
              </w:rPr>
            </w:pPr>
            <w:r w:rsidRPr="00714F9F">
              <w:rPr>
                <w:i w:val="0"/>
                <w:iCs w:val="0"/>
                <w:sz w:val="18"/>
                <w:szCs w:val="18"/>
              </w:rPr>
              <w:t>JBS International, Inc.</w:t>
            </w:r>
          </w:p>
          <w:p w:rsidR="00782A43" w:rsidRPr="002A1A67" w:rsidRDefault="00782A43" w:rsidP="006F6EA0">
            <w:pPr>
              <w:pStyle w:val="HTMLAddress"/>
              <w:rPr>
                <w:i w:val="0"/>
                <w:iCs w:val="0"/>
                <w:sz w:val="18"/>
                <w:szCs w:val="18"/>
              </w:rPr>
            </w:pPr>
            <w:r w:rsidRPr="00714F9F">
              <w:rPr>
                <w:i w:val="0"/>
                <w:iCs w:val="0"/>
                <w:sz w:val="18"/>
                <w:szCs w:val="18"/>
              </w:rPr>
              <w:t>Vice President</w:t>
            </w:r>
          </w:p>
          <w:p w:rsidR="00782A43" w:rsidRPr="002A1A67" w:rsidRDefault="00782A43" w:rsidP="006F6EA0">
            <w:pPr>
              <w:pStyle w:val="HTMLAddress"/>
              <w:rPr>
                <w:i w:val="0"/>
                <w:iCs w:val="0"/>
                <w:sz w:val="18"/>
                <w:szCs w:val="18"/>
              </w:rPr>
            </w:pPr>
            <w:r w:rsidRPr="00714F9F">
              <w:rPr>
                <w:i w:val="0"/>
                <w:iCs w:val="0"/>
                <w:sz w:val="18"/>
                <w:szCs w:val="18"/>
              </w:rPr>
              <w:t>5515 Security Lane, Suite 800</w:t>
            </w:r>
            <w:r w:rsidRPr="00714F9F">
              <w:rPr>
                <w:i w:val="0"/>
                <w:iCs w:val="0"/>
                <w:sz w:val="18"/>
                <w:szCs w:val="18"/>
              </w:rPr>
              <w:br/>
              <w:t>North Bethesda, MD 20852-5007</w:t>
            </w:r>
          </w:p>
        </w:tc>
        <w:tc>
          <w:tcPr>
            <w:tcW w:w="3000" w:type="dxa"/>
          </w:tcPr>
          <w:p w:rsidR="00782A43" w:rsidRPr="002A1A67" w:rsidRDefault="00782A43" w:rsidP="006F6EA0">
            <w:pPr>
              <w:pStyle w:val="HTMLAddress"/>
              <w:rPr>
                <w:i w:val="0"/>
                <w:iCs w:val="0"/>
                <w:sz w:val="18"/>
                <w:szCs w:val="18"/>
              </w:rPr>
            </w:pPr>
            <w:r w:rsidRPr="00714F9F">
              <w:rPr>
                <w:i w:val="0"/>
                <w:iCs w:val="0"/>
                <w:sz w:val="18"/>
                <w:szCs w:val="18"/>
              </w:rPr>
              <w:t>Phone: 301-495-1080 ext. 4588</w:t>
            </w:r>
          </w:p>
          <w:p w:rsidR="00782A43" w:rsidRPr="002A1A67" w:rsidRDefault="00782A43" w:rsidP="006F6EA0">
            <w:pPr>
              <w:pStyle w:val="HTMLAddress"/>
              <w:rPr>
                <w:i w:val="0"/>
                <w:iCs w:val="0"/>
                <w:sz w:val="18"/>
                <w:szCs w:val="18"/>
              </w:rPr>
            </w:pPr>
            <w:r w:rsidRPr="00714F9F">
              <w:rPr>
                <w:i w:val="0"/>
                <w:iCs w:val="0"/>
                <w:sz w:val="18"/>
                <w:szCs w:val="18"/>
              </w:rPr>
              <w:t>Fax: 301-587-4352</w:t>
            </w:r>
          </w:p>
          <w:p w:rsidR="00782A43" w:rsidRPr="002A1A67" w:rsidRDefault="00782A43" w:rsidP="006F6EA0">
            <w:pPr>
              <w:pStyle w:val="HTMLAddress"/>
              <w:rPr>
                <w:i w:val="0"/>
                <w:iCs w:val="0"/>
                <w:sz w:val="18"/>
                <w:szCs w:val="18"/>
              </w:rPr>
            </w:pPr>
            <w:r w:rsidRPr="00714F9F">
              <w:rPr>
                <w:i w:val="0"/>
                <w:iCs w:val="0"/>
                <w:sz w:val="18"/>
                <w:szCs w:val="18"/>
              </w:rPr>
              <w:t>E-mail: shayashi@jbsinternational.com</w:t>
            </w:r>
          </w:p>
          <w:p w:rsidR="00782A43" w:rsidRPr="002A1A67" w:rsidRDefault="00782A43" w:rsidP="006F6EA0">
            <w:pPr>
              <w:rPr>
                <w:sz w:val="18"/>
                <w:szCs w:val="18"/>
              </w:rPr>
            </w:pPr>
          </w:p>
        </w:tc>
      </w:tr>
      <w:tr w:rsidR="00782A43" w:rsidRPr="00EC6923">
        <w:trPr>
          <w:cantSplit/>
        </w:trPr>
        <w:tc>
          <w:tcPr>
            <w:tcW w:w="2590" w:type="dxa"/>
          </w:tcPr>
          <w:p w:rsidR="00782A43" w:rsidRPr="002A1A67" w:rsidRDefault="00782A43" w:rsidP="006F6EA0">
            <w:pPr>
              <w:rPr>
                <w:sz w:val="18"/>
                <w:szCs w:val="18"/>
              </w:rPr>
            </w:pPr>
            <w:r w:rsidRPr="00714F9F">
              <w:rPr>
                <w:sz w:val="18"/>
                <w:szCs w:val="18"/>
              </w:rPr>
              <w:t>Warren Hewitt, MS</w:t>
            </w:r>
          </w:p>
        </w:tc>
        <w:tc>
          <w:tcPr>
            <w:tcW w:w="3720" w:type="dxa"/>
          </w:tcPr>
          <w:p w:rsidR="00782A43" w:rsidRPr="002A1A67" w:rsidRDefault="00782A43" w:rsidP="006F6EA0">
            <w:pPr>
              <w:rPr>
                <w:sz w:val="18"/>
                <w:szCs w:val="18"/>
              </w:rPr>
            </w:pPr>
            <w:r w:rsidRPr="00714F9F">
              <w:rPr>
                <w:sz w:val="18"/>
                <w:szCs w:val="18"/>
              </w:rPr>
              <w:t>SAMHSA/CSAT</w:t>
            </w:r>
          </w:p>
          <w:p w:rsidR="00782A43" w:rsidRPr="002A1A67" w:rsidRDefault="00782A43" w:rsidP="006F6EA0">
            <w:pPr>
              <w:rPr>
                <w:sz w:val="18"/>
                <w:szCs w:val="18"/>
              </w:rPr>
            </w:pPr>
            <w:r w:rsidRPr="00714F9F">
              <w:rPr>
                <w:sz w:val="18"/>
                <w:szCs w:val="18"/>
              </w:rPr>
              <w:t>AIDS Coordinator</w:t>
            </w:r>
          </w:p>
          <w:p w:rsidR="00782A43" w:rsidRPr="002A1A67" w:rsidRDefault="00782A43" w:rsidP="006F6EA0">
            <w:pPr>
              <w:rPr>
                <w:sz w:val="18"/>
                <w:szCs w:val="18"/>
              </w:rPr>
            </w:pPr>
            <w:r w:rsidRPr="00714F9F">
              <w:rPr>
                <w:sz w:val="18"/>
                <w:szCs w:val="18"/>
              </w:rPr>
              <w:t>1 Choke Cherry Rd</w:t>
            </w:r>
          </w:p>
          <w:p w:rsidR="00782A43" w:rsidRPr="002A1A67" w:rsidRDefault="00782A43" w:rsidP="006F6EA0">
            <w:pPr>
              <w:rPr>
                <w:sz w:val="18"/>
                <w:szCs w:val="18"/>
              </w:rPr>
            </w:pPr>
            <w:r w:rsidRPr="00714F9F">
              <w:rPr>
                <w:sz w:val="18"/>
                <w:szCs w:val="18"/>
              </w:rPr>
              <w:t>Rockville, MD 20857</w:t>
            </w:r>
          </w:p>
        </w:tc>
        <w:tc>
          <w:tcPr>
            <w:tcW w:w="3000" w:type="dxa"/>
          </w:tcPr>
          <w:p w:rsidR="00782A43" w:rsidRPr="002A1A67" w:rsidRDefault="00782A43" w:rsidP="006F6EA0">
            <w:pPr>
              <w:rPr>
                <w:sz w:val="18"/>
                <w:szCs w:val="18"/>
                <w:lang w:val="fr-FR"/>
              </w:rPr>
            </w:pPr>
            <w:r w:rsidRPr="00714F9F">
              <w:rPr>
                <w:sz w:val="18"/>
                <w:szCs w:val="18"/>
                <w:lang w:val="fr-FR"/>
              </w:rPr>
              <w:t>Phone: 240-276-1616</w:t>
            </w:r>
          </w:p>
          <w:p w:rsidR="00782A43" w:rsidRPr="002A1A67" w:rsidRDefault="00782A43" w:rsidP="006F6EA0">
            <w:pPr>
              <w:rPr>
                <w:sz w:val="18"/>
                <w:szCs w:val="18"/>
                <w:lang w:val="fr-FR"/>
              </w:rPr>
            </w:pPr>
            <w:r w:rsidRPr="00714F9F">
              <w:rPr>
                <w:sz w:val="18"/>
                <w:szCs w:val="18"/>
                <w:lang w:val="fr-FR"/>
              </w:rPr>
              <w:t>Fax: 240-276-1670</w:t>
            </w:r>
          </w:p>
          <w:p w:rsidR="00782A43" w:rsidRPr="002A1A67" w:rsidRDefault="00782A43" w:rsidP="006F6EA0">
            <w:pPr>
              <w:rPr>
                <w:sz w:val="18"/>
                <w:szCs w:val="18"/>
                <w:lang w:val="fr-FR"/>
              </w:rPr>
            </w:pPr>
            <w:r w:rsidRPr="00714F9F">
              <w:rPr>
                <w:sz w:val="18"/>
                <w:szCs w:val="18"/>
                <w:lang w:val="fr-FR"/>
              </w:rPr>
              <w:t>E-mail: Warren.hewitt@samhsa.hhs.gov</w:t>
            </w:r>
          </w:p>
          <w:p w:rsidR="00782A43" w:rsidRPr="002A1A67" w:rsidRDefault="00782A43" w:rsidP="006F6EA0">
            <w:pPr>
              <w:rPr>
                <w:sz w:val="18"/>
                <w:szCs w:val="18"/>
                <w:lang w:val="fr-FR"/>
              </w:rPr>
            </w:pPr>
          </w:p>
        </w:tc>
      </w:tr>
      <w:tr w:rsidR="00782A43" w:rsidRPr="00EC6923">
        <w:trPr>
          <w:cantSplit/>
        </w:trPr>
        <w:tc>
          <w:tcPr>
            <w:tcW w:w="2590" w:type="dxa"/>
          </w:tcPr>
          <w:p w:rsidR="00782A43" w:rsidRPr="002A1A67" w:rsidRDefault="00782A43" w:rsidP="006F6EA0">
            <w:pPr>
              <w:rPr>
                <w:sz w:val="18"/>
                <w:szCs w:val="18"/>
              </w:rPr>
            </w:pPr>
            <w:r w:rsidRPr="00714F9F">
              <w:rPr>
                <w:sz w:val="18"/>
                <w:szCs w:val="18"/>
              </w:rPr>
              <w:t>Kevin Hylton, PhD</w:t>
            </w:r>
          </w:p>
        </w:tc>
        <w:tc>
          <w:tcPr>
            <w:tcW w:w="3720" w:type="dxa"/>
          </w:tcPr>
          <w:p w:rsidR="00782A43" w:rsidRPr="002A1A67" w:rsidRDefault="00782A43" w:rsidP="00D27002">
            <w:pPr>
              <w:rPr>
                <w:sz w:val="18"/>
                <w:szCs w:val="18"/>
              </w:rPr>
            </w:pPr>
            <w:r w:rsidRPr="00714F9F">
              <w:rPr>
                <w:sz w:val="18"/>
                <w:szCs w:val="18"/>
              </w:rPr>
              <w:t>Alliances for Quality Education, Inc.</w:t>
            </w:r>
            <w:r w:rsidRPr="00714F9F">
              <w:rPr>
                <w:sz w:val="18"/>
                <w:szCs w:val="18"/>
              </w:rPr>
              <w:br/>
              <w:t>TCE-HIV Multi-Site Evaluation Deputy Project Director</w:t>
            </w:r>
            <w:r w:rsidRPr="00714F9F">
              <w:rPr>
                <w:sz w:val="18"/>
                <w:szCs w:val="18"/>
              </w:rPr>
              <w:br/>
              <w:t xml:space="preserve">8181 Professional Place, Suite 110 </w:t>
            </w:r>
            <w:r w:rsidRPr="00714F9F">
              <w:rPr>
                <w:sz w:val="18"/>
                <w:szCs w:val="18"/>
              </w:rPr>
              <w:br/>
              <w:t>Landover, Maryland 20785</w:t>
            </w:r>
          </w:p>
        </w:tc>
        <w:tc>
          <w:tcPr>
            <w:tcW w:w="3000" w:type="dxa"/>
          </w:tcPr>
          <w:p w:rsidR="00782A43" w:rsidRPr="002A1A67" w:rsidRDefault="00782A43" w:rsidP="006F6EA0">
            <w:pPr>
              <w:rPr>
                <w:sz w:val="18"/>
                <w:szCs w:val="18"/>
                <w:lang w:val="fr-FR"/>
              </w:rPr>
            </w:pPr>
            <w:r w:rsidRPr="00714F9F">
              <w:rPr>
                <w:sz w:val="18"/>
                <w:szCs w:val="18"/>
                <w:lang w:val="fr-FR"/>
              </w:rPr>
              <w:t xml:space="preserve">Phone: 301-583-8424 </w:t>
            </w:r>
            <w:r w:rsidRPr="00714F9F">
              <w:rPr>
                <w:sz w:val="18"/>
                <w:szCs w:val="18"/>
                <w:lang w:val="fr-FR"/>
              </w:rPr>
              <w:br/>
              <w:t>Fax: 301-583-8422</w:t>
            </w:r>
          </w:p>
          <w:p w:rsidR="00782A43" w:rsidRPr="002A1A67" w:rsidRDefault="00782A43" w:rsidP="006F6EA0">
            <w:pPr>
              <w:rPr>
                <w:sz w:val="18"/>
                <w:szCs w:val="18"/>
                <w:lang w:val="fr-FR"/>
              </w:rPr>
            </w:pPr>
            <w:r w:rsidRPr="00714F9F">
              <w:rPr>
                <w:sz w:val="18"/>
                <w:szCs w:val="18"/>
                <w:lang w:val="fr-FR"/>
              </w:rPr>
              <w:t xml:space="preserve">E-mail: khylton@aqe-inc.com </w:t>
            </w:r>
          </w:p>
        </w:tc>
      </w:tr>
      <w:tr w:rsidR="00782A43" w:rsidRPr="00EC6923">
        <w:trPr>
          <w:cantSplit/>
        </w:trPr>
        <w:tc>
          <w:tcPr>
            <w:tcW w:w="2590" w:type="dxa"/>
          </w:tcPr>
          <w:p w:rsidR="00782A43" w:rsidRPr="002A1A67" w:rsidRDefault="00782A43" w:rsidP="006F6EA0">
            <w:pPr>
              <w:rPr>
                <w:sz w:val="18"/>
                <w:szCs w:val="18"/>
              </w:rPr>
            </w:pPr>
            <w:r w:rsidRPr="00714F9F">
              <w:rPr>
                <w:sz w:val="18"/>
                <w:szCs w:val="18"/>
              </w:rPr>
              <w:t>Jennifer Kasten, PhD</w:t>
            </w:r>
          </w:p>
        </w:tc>
        <w:tc>
          <w:tcPr>
            <w:tcW w:w="3720" w:type="dxa"/>
          </w:tcPr>
          <w:p w:rsidR="00782A43" w:rsidRPr="002A1A67" w:rsidRDefault="00782A43" w:rsidP="006F6EA0">
            <w:pPr>
              <w:pStyle w:val="HTMLAddress"/>
              <w:rPr>
                <w:i w:val="0"/>
                <w:iCs w:val="0"/>
                <w:sz w:val="18"/>
                <w:szCs w:val="18"/>
              </w:rPr>
            </w:pPr>
            <w:r w:rsidRPr="00714F9F">
              <w:rPr>
                <w:i w:val="0"/>
                <w:iCs w:val="0"/>
                <w:sz w:val="18"/>
                <w:szCs w:val="18"/>
              </w:rPr>
              <w:t>JBS International, Inc.</w:t>
            </w:r>
          </w:p>
          <w:p w:rsidR="00782A43" w:rsidRPr="002A1A67" w:rsidRDefault="00782A43" w:rsidP="006F6EA0">
            <w:pPr>
              <w:rPr>
                <w:sz w:val="18"/>
                <w:szCs w:val="18"/>
              </w:rPr>
            </w:pPr>
            <w:r w:rsidRPr="00714F9F">
              <w:rPr>
                <w:sz w:val="18"/>
                <w:szCs w:val="18"/>
              </w:rPr>
              <w:t>TCE-HIV Multi-Site Evaluation Lead</w:t>
            </w:r>
          </w:p>
          <w:p w:rsidR="00782A43" w:rsidRPr="002A1A67" w:rsidRDefault="00782A43" w:rsidP="006F6EA0">
            <w:pPr>
              <w:rPr>
                <w:sz w:val="18"/>
                <w:szCs w:val="18"/>
              </w:rPr>
            </w:pPr>
            <w:r w:rsidRPr="00714F9F">
              <w:rPr>
                <w:sz w:val="18"/>
                <w:szCs w:val="18"/>
              </w:rPr>
              <w:t>5515 Security Lane, Suite 800</w:t>
            </w:r>
            <w:r w:rsidRPr="00714F9F">
              <w:rPr>
                <w:sz w:val="18"/>
                <w:szCs w:val="18"/>
              </w:rPr>
              <w:br/>
              <w:t>North Bethesda, MD 20852-5007</w:t>
            </w:r>
          </w:p>
        </w:tc>
        <w:tc>
          <w:tcPr>
            <w:tcW w:w="3000" w:type="dxa"/>
          </w:tcPr>
          <w:p w:rsidR="00782A43" w:rsidRPr="002A1A67" w:rsidRDefault="00782A43" w:rsidP="006F6EA0">
            <w:pPr>
              <w:rPr>
                <w:sz w:val="18"/>
                <w:szCs w:val="18"/>
                <w:lang w:val="fr-FR"/>
              </w:rPr>
            </w:pPr>
            <w:r w:rsidRPr="00714F9F">
              <w:rPr>
                <w:sz w:val="18"/>
                <w:szCs w:val="18"/>
                <w:lang w:val="fr-FR"/>
              </w:rPr>
              <w:t>Phone: 240-645-4145</w:t>
            </w:r>
          </w:p>
          <w:p w:rsidR="00782A43" w:rsidRPr="002A1A67" w:rsidRDefault="00782A43" w:rsidP="006F6EA0">
            <w:pPr>
              <w:rPr>
                <w:sz w:val="18"/>
                <w:szCs w:val="18"/>
                <w:lang w:val="fr-FR"/>
              </w:rPr>
            </w:pPr>
            <w:r w:rsidRPr="00714F9F">
              <w:rPr>
                <w:sz w:val="18"/>
                <w:szCs w:val="18"/>
                <w:lang w:val="fr-FR"/>
              </w:rPr>
              <w:t>Fax: 301-495-1080</w:t>
            </w:r>
          </w:p>
          <w:p w:rsidR="00782A43" w:rsidRPr="002A1A67" w:rsidRDefault="00782A43" w:rsidP="006F6EA0">
            <w:pPr>
              <w:rPr>
                <w:sz w:val="18"/>
                <w:szCs w:val="18"/>
                <w:lang w:val="fr-FR"/>
              </w:rPr>
            </w:pPr>
            <w:r w:rsidRPr="00714F9F">
              <w:rPr>
                <w:sz w:val="18"/>
                <w:szCs w:val="18"/>
                <w:lang w:val="fr-FR"/>
              </w:rPr>
              <w:t xml:space="preserve">E-mail: jkasten@jbsinternational.com </w:t>
            </w:r>
          </w:p>
        </w:tc>
      </w:tr>
      <w:tr w:rsidR="00782A43" w:rsidRPr="00EC6923">
        <w:trPr>
          <w:cantSplit/>
        </w:trPr>
        <w:tc>
          <w:tcPr>
            <w:tcW w:w="2590" w:type="dxa"/>
          </w:tcPr>
          <w:p w:rsidR="00782A43" w:rsidRPr="006131F5" w:rsidRDefault="00782A43">
            <w:pPr>
              <w:rPr>
                <w:sz w:val="18"/>
                <w:szCs w:val="18"/>
              </w:rPr>
            </w:pPr>
            <w:r w:rsidRPr="00714F9F">
              <w:rPr>
                <w:sz w:val="18"/>
                <w:szCs w:val="18"/>
              </w:rPr>
              <w:t>Resa Matthew, PhD</w:t>
            </w:r>
          </w:p>
        </w:tc>
        <w:tc>
          <w:tcPr>
            <w:tcW w:w="3720" w:type="dxa"/>
          </w:tcPr>
          <w:p w:rsidR="00782A43" w:rsidRPr="006131F5" w:rsidRDefault="00782A43">
            <w:pPr>
              <w:pStyle w:val="HTMLAddress"/>
              <w:rPr>
                <w:i w:val="0"/>
                <w:iCs w:val="0"/>
                <w:sz w:val="18"/>
                <w:szCs w:val="18"/>
              </w:rPr>
            </w:pPr>
            <w:r w:rsidRPr="00714F9F">
              <w:rPr>
                <w:i w:val="0"/>
                <w:iCs w:val="0"/>
                <w:sz w:val="18"/>
                <w:szCs w:val="18"/>
              </w:rPr>
              <w:t>JBS International, Inc.</w:t>
            </w:r>
          </w:p>
          <w:p w:rsidR="00782A43" w:rsidRPr="006131F5" w:rsidRDefault="00782A43">
            <w:pPr>
              <w:rPr>
                <w:sz w:val="18"/>
                <w:szCs w:val="18"/>
              </w:rPr>
            </w:pPr>
            <w:r w:rsidRPr="00714F9F">
              <w:rPr>
                <w:sz w:val="18"/>
                <w:szCs w:val="18"/>
              </w:rPr>
              <w:t>TCE-HIV Multi-Site Evaluation Project Director</w:t>
            </w:r>
          </w:p>
          <w:p w:rsidR="00782A43" w:rsidRPr="006131F5" w:rsidRDefault="00782A43">
            <w:pPr>
              <w:rPr>
                <w:sz w:val="18"/>
                <w:szCs w:val="18"/>
              </w:rPr>
            </w:pPr>
            <w:r w:rsidRPr="00714F9F">
              <w:rPr>
                <w:sz w:val="18"/>
                <w:szCs w:val="18"/>
              </w:rPr>
              <w:t>5515 Security Lane, Suite 800</w:t>
            </w:r>
            <w:r w:rsidRPr="00714F9F">
              <w:rPr>
                <w:sz w:val="18"/>
                <w:szCs w:val="18"/>
              </w:rPr>
              <w:br/>
              <w:t>North Bethesda, MD 20852-5007</w:t>
            </w:r>
          </w:p>
        </w:tc>
        <w:tc>
          <w:tcPr>
            <w:tcW w:w="3000" w:type="dxa"/>
          </w:tcPr>
          <w:p w:rsidR="00782A43" w:rsidRPr="006131F5" w:rsidRDefault="00782A43">
            <w:pPr>
              <w:rPr>
                <w:sz w:val="18"/>
                <w:szCs w:val="18"/>
                <w:lang w:val="fr-FR"/>
              </w:rPr>
            </w:pPr>
            <w:r w:rsidRPr="00714F9F">
              <w:rPr>
                <w:sz w:val="18"/>
                <w:szCs w:val="18"/>
                <w:lang w:val="fr-FR"/>
              </w:rPr>
              <w:t>Phone: 240-645-4608</w:t>
            </w:r>
          </w:p>
          <w:p w:rsidR="00782A43" w:rsidRPr="006131F5" w:rsidRDefault="00782A43">
            <w:pPr>
              <w:rPr>
                <w:sz w:val="18"/>
                <w:szCs w:val="18"/>
                <w:lang w:val="fr-FR"/>
              </w:rPr>
            </w:pPr>
            <w:r w:rsidRPr="00714F9F">
              <w:rPr>
                <w:sz w:val="18"/>
                <w:szCs w:val="18"/>
                <w:lang w:val="fr-FR"/>
              </w:rPr>
              <w:t>Fax: 301-495-1080</w:t>
            </w:r>
          </w:p>
          <w:p w:rsidR="00782A43" w:rsidRPr="006131F5" w:rsidRDefault="00782A43">
            <w:pPr>
              <w:rPr>
                <w:sz w:val="18"/>
                <w:szCs w:val="18"/>
                <w:lang w:val="fr-FR"/>
              </w:rPr>
            </w:pPr>
            <w:r w:rsidRPr="00714F9F">
              <w:rPr>
                <w:sz w:val="18"/>
                <w:szCs w:val="18"/>
                <w:lang w:val="fr-FR"/>
              </w:rPr>
              <w:t xml:space="preserve">E-mail: rmatthew@jbsinternational.com </w:t>
            </w:r>
          </w:p>
        </w:tc>
      </w:tr>
      <w:tr w:rsidR="00782A43" w:rsidRPr="00EC6923">
        <w:trPr>
          <w:cantSplit/>
        </w:trPr>
        <w:tc>
          <w:tcPr>
            <w:tcW w:w="2590" w:type="dxa"/>
          </w:tcPr>
          <w:p w:rsidR="00782A43" w:rsidRPr="006131F5" w:rsidRDefault="00782A43">
            <w:pPr>
              <w:rPr>
                <w:sz w:val="18"/>
                <w:szCs w:val="18"/>
              </w:rPr>
            </w:pPr>
            <w:r w:rsidRPr="00714F9F">
              <w:rPr>
                <w:sz w:val="18"/>
                <w:szCs w:val="18"/>
              </w:rPr>
              <w:t>Naomi Tomoyasu, PhD</w:t>
            </w:r>
          </w:p>
        </w:tc>
        <w:tc>
          <w:tcPr>
            <w:tcW w:w="3720" w:type="dxa"/>
          </w:tcPr>
          <w:p w:rsidR="00782A43" w:rsidRPr="006131F5" w:rsidRDefault="00782A43">
            <w:pPr>
              <w:rPr>
                <w:sz w:val="18"/>
                <w:szCs w:val="18"/>
              </w:rPr>
            </w:pPr>
            <w:r w:rsidRPr="00714F9F">
              <w:rPr>
                <w:sz w:val="18"/>
                <w:szCs w:val="18"/>
              </w:rPr>
              <w:t>SAMHSA/ CSAT</w:t>
            </w:r>
          </w:p>
          <w:p w:rsidR="00782A43" w:rsidRPr="006131F5" w:rsidRDefault="00782A43">
            <w:pPr>
              <w:rPr>
                <w:sz w:val="18"/>
                <w:szCs w:val="18"/>
              </w:rPr>
            </w:pPr>
            <w:r w:rsidRPr="00714F9F">
              <w:rPr>
                <w:sz w:val="18"/>
                <w:szCs w:val="18"/>
              </w:rPr>
              <w:t>Branch Chief</w:t>
            </w:r>
          </w:p>
          <w:p w:rsidR="00782A43" w:rsidRPr="006131F5" w:rsidRDefault="00782A43">
            <w:pPr>
              <w:rPr>
                <w:sz w:val="18"/>
                <w:szCs w:val="18"/>
              </w:rPr>
            </w:pPr>
            <w:r w:rsidRPr="00714F9F">
              <w:rPr>
                <w:sz w:val="18"/>
                <w:szCs w:val="18"/>
              </w:rPr>
              <w:t>1 Choke Cherry Rd</w:t>
            </w:r>
          </w:p>
          <w:p w:rsidR="00782A43" w:rsidRPr="006131F5" w:rsidRDefault="00782A43">
            <w:pPr>
              <w:rPr>
                <w:sz w:val="18"/>
                <w:szCs w:val="18"/>
              </w:rPr>
            </w:pPr>
            <w:r w:rsidRPr="00714F9F">
              <w:rPr>
                <w:sz w:val="18"/>
                <w:szCs w:val="18"/>
              </w:rPr>
              <w:t>Rockville, MD 20857</w:t>
            </w:r>
          </w:p>
        </w:tc>
        <w:tc>
          <w:tcPr>
            <w:tcW w:w="3000" w:type="dxa"/>
          </w:tcPr>
          <w:p w:rsidR="00782A43" w:rsidRPr="006131F5" w:rsidRDefault="00782A43">
            <w:pPr>
              <w:rPr>
                <w:sz w:val="18"/>
                <w:szCs w:val="18"/>
                <w:lang w:val="fr-FR"/>
              </w:rPr>
            </w:pPr>
            <w:r w:rsidRPr="00714F9F">
              <w:rPr>
                <w:sz w:val="18"/>
                <w:szCs w:val="18"/>
                <w:lang w:val="fr-FR"/>
              </w:rPr>
              <w:t>Phone: 240-276-1613</w:t>
            </w:r>
          </w:p>
          <w:p w:rsidR="00782A43" w:rsidRPr="006131F5" w:rsidRDefault="00782A43">
            <w:pPr>
              <w:rPr>
                <w:sz w:val="18"/>
                <w:szCs w:val="18"/>
                <w:lang w:val="fr-FR"/>
              </w:rPr>
            </w:pPr>
            <w:r w:rsidRPr="00714F9F">
              <w:rPr>
                <w:sz w:val="18"/>
                <w:szCs w:val="18"/>
                <w:lang w:val="fr-FR"/>
              </w:rPr>
              <w:t>E-mail: Naomi.tomoyasu@samhsa.hhs.gov</w:t>
            </w:r>
          </w:p>
          <w:p w:rsidR="00782A43" w:rsidRPr="006131F5" w:rsidRDefault="00782A43">
            <w:pPr>
              <w:rPr>
                <w:sz w:val="18"/>
                <w:szCs w:val="18"/>
                <w:lang w:val="fr-FR"/>
              </w:rPr>
            </w:pPr>
          </w:p>
        </w:tc>
      </w:tr>
      <w:tr w:rsidR="00782A43" w:rsidRPr="00EC6923">
        <w:trPr>
          <w:cantSplit/>
        </w:trPr>
        <w:tc>
          <w:tcPr>
            <w:tcW w:w="2590" w:type="dxa"/>
          </w:tcPr>
          <w:p w:rsidR="00782A43" w:rsidRPr="006131F5" w:rsidRDefault="00782A43">
            <w:pPr>
              <w:rPr>
                <w:sz w:val="18"/>
                <w:szCs w:val="18"/>
              </w:rPr>
            </w:pPr>
            <w:r w:rsidRPr="00714F9F">
              <w:rPr>
                <w:sz w:val="18"/>
                <w:szCs w:val="18"/>
              </w:rPr>
              <w:t>Willie Tompkins, PhD</w:t>
            </w:r>
          </w:p>
        </w:tc>
        <w:tc>
          <w:tcPr>
            <w:tcW w:w="3720" w:type="dxa"/>
          </w:tcPr>
          <w:p w:rsidR="00782A43" w:rsidRPr="006131F5" w:rsidRDefault="00782A43">
            <w:pPr>
              <w:rPr>
                <w:sz w:val="18"/>
                <w:szCs w:val="18"/>
              </w:rPr>
            </w:pPr>
            <w:r w:rsidRPr="00714F9F">
              <w:rPr>
                <w:sz w:val="18"/>
                <w:szCs w:val="18"/>
              </w:rPr>
              <w:t>SAMHSA/CSAT</w:t>
            </w:r>
          </w:p>
          <w:p w:rsidR="00782A43" w:rsidRPr="006131F5" w:rsidRDefault="00782A43">
            <w:pPr>
              <w:rPr>
                <w:sz w:val="18"/>
                <w:szCs w:val="18"/>
              </w:rPr>
            </w:pPr>
            <w:r w:rsidRPr="00714F9F">
              <w:rPr>
                <w:sz w:val="18"/>
                <w:szCs w:val="18"/>
              </w:rPr>
              <w:t>Government Project Officer</w:t>
            </w:r>
          </w:p>
          <w:p w:rsidR="00782A43" w:rsidRPr="006131F5" w:rsidRDefault="00782A43">
            <w:pPr>
              <w:rPr>
                <w:sz w:val="18"/>
                <w:szCs w:val="18"/>
              </w:rPr>
            </w:pPr>
            <w:r w:rsidRPr="00714F9F">
              <w:rPr>
                <w:sz w:val="18"/>
                <w:szCs w:val="18"/>
              </w:rPr>
              <w:t>1 Choke Cherry Rd</w:t>
            </w:r>
          </w:p>
          <w:p w:rsidR="00782A43" w:rsidRPr="006131F5" w:rsidRDefault="00782A43">
            <w:pPr>
              <w:rPr>
                <w:sz w:val="18"/>
                <w:szCs w:val="18"/>
              </w:rPr>
            </w:pPr>
            <w:r w:rsidRPr="00714F9F">
              <w:rPr>
                <w:sz w:val="18"/>
                <w:szCs w:val="18"/>
              </w:rPr>
              <w:t>Rockville, MD 20857</w:t>
            </w:r>
          </w:p>
        </w:tc>
        <w:tc>
          <w:tcPr>
            <w:tcW w:w="3000" w:type="dxa"/>
          </w:tcPr>
          <w:p w:rsidR="00782A43" w:rsidRPr="006131F5" w:rsidRDefault="00782A43">
            <w:pPr>
              <w:rPr>
                <w:sz w:val="18"/>
                <w:szCs w:val="18"/>
                <w:lang w:val="fr-FR"/>
              </w:rPr>
            </w:pPr>
            <w:r w:rsidRPr="00714F9F">
              <w:rPr>
                <w:sz w:val="18"/>
                <w:szCs w:val="18"/>
                <w:lang w:val="fr-FR"/>
              </w:rPr>
              <w:t>Phone: 240-276-2899</w:t>
            </w:r>
          </w:p>
          <w:p w:rsidR="00782A43" w:rsidRPr="006131F5" w:rsidRDefault="00782A43">
            <w:pPr>
              <w:rPr>
                <w:sz w:val="18"/>
                <w:szCs w:val="18"/>
                <w:lang w:val="fr-FR"/>
              </w:rPr>
            </w:pPr>
            <w:r w:rsidRPr="00714F9F">
              <w:rPr>
                <w:sz w:val="18"/>
                <w:szCs w:val="18"/>
                <w:lang w:val="fr-FR"/>
              </w:rPr>
              <w:t>E-mail: willie.tompkins@samhsa.hhs.gov</w:t>
            </w:r>
          </w:p>
          <w:p w:rsidR="00782A43" w:rsidRPr="006131F5" w:rsidRDefault="00782A43">
            <w:pPr>
              <w:rPr>
                <w:sz w:val="18"/>
                <w:szCs w:val="18"/>
                <w:lang w:val="fr-FR"/>
              </w:rPr>
            </w:pPr>
          </w:p>
        </w:tc>
      </w:tr>
      <w:tr w:rsidR="00782A43" w:rsidRPr="00EC6923">
        <w:trPr>
          <w:cantSplit/>
        </w:trPr>
        <w:tc>
          <w:tcPr>
            <w:tcW w:w="2590" w:type="dxa"/>
          </w:tcPr>
          <w:p w:rsidR="00782A43" w:rsidRPr="006131F5" w:rsidRDefault="00782A43">
            <w:pPr>
              <w:rPr>
                <w:sz w:val="18"/>
                <w:szCs w:val="18"/>
              </w:rPr>
            </w:pPr>
            <w:r w:rsidRPr="00714F9F">
              <w:rPr>
                <w:sz w:val="18"/>
                <w:szCs w:val="18"/>
              </w:rPr>
              <w:t>Ping Yu, PhD</w:t>
            </w:r>
          </w:p>
        </w:tc>
        <w:tc>
          <w:tcPr>
            <w:tcW w:w="3720" w:type="dxa"/>
          </w:tcPr>
          <w:p w:rsidR="00782A43" w:rsidRPr="006131F5" w:rsidRDefault="00782A43">
            <w:pPr>
              <w:rPr>
                <w:sz w:val="18"/>
                <w:szCs w:val="18"/>
              </w:rPr>
            </w:pPr>
            <w:r w:rsidRPr="00714F9F">
              <w:rPr>
                <w:sz w:val="18"/>
                <w:szCs w:val="18"/>
              </w:rPr>
              <w:t>Battelle Memorial Institute</w:t>
            </w:r>
          </w:p>
          <w:p w:rsidR="00782A43" w:rsidRPr="006131F5" w:rsidRDefault="00782A43">
            <w:pPr>
              <w:rPr>
                <w:sz w:val="18"/>
                <w:szCs w:val="18"/>
              </w:rPr>
            </w:pPr>
            <w:r w:rsidRPr="00714F9F">
              <w:rPr>
                <w:sz w:val="18"/>
                <w:szCs w:val="18"/>
              </w:rPr>
              <w:t>TCE-HIV Multi-Site Evaluation Subcontract Director/Co-PI</w:t>
            </w:r>
          </w:p>
          <w:p w:rsidR="00782A43" w:rsidRPr="006131F5" w:rsidRDefault="00782A43">
            <w:pPr>
              <w:tabs>
                <w:tab w:val="left" w:pos="-1080"/>
                <w:tab w:val="left" w:pos="-720"/>
                <w:tab w:val="left" w:pos="997"/>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780"/>
                <w:tab w:val="left" w:pos="13230"/>
                <w:tab w:val="left" w:pos="13680"/>
                <w:tab w:val="left" w:pos="14400"/>
                <w:tab w:val="left" w:pos="15120"/>
                <w:tab w:val="left" w:pos="15840"/>
                <w:tab w:val="left" w:pos="16560"/>
                <w:tab w:val="left" w:pos="17280"/>
                <w:tab w:val="left" w:pos="18000"/>
                <w:tab w:val="left" w:pos="18720"/>
              </w:tabs>
              <w:rPr>
                <w:sz w:val="18"/>
                <w:szCs w:val="18"/>
                <w:lang w:val="fr-FR"/>
              </w:rPr>
            </w:pPr>
            <w:r w:rsidRPr="00714F9F">
              <w:rPr>
                <w:sz w:val="18"/>
                <w:szCs w:val="18"/>
                <w:lang w:val="fr-FR"/>
              </w:rPr>
              <w:t>2101 Wilson Boulevard</w:t>
            </w:r>
          </w:p>
          <w:p w:rsidR="00782A43" w:rsidRPr="006131F5" w:rsidRDefault="00782A43">
            <w:pPr>
              <w:tabs>
                <w:tab w:val="left" w:pos="-1080"/>
                <w:tab w:val="left" w:pos="-720"/>
                <w:tab w:val="left" w:pos="997"/>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780"/>
                <w:tab w:val="left" w:pos="13230"/>
                <w:tab w:val="left" w:pos="13680"/>
                <w:tab w:val="left" w:pos="14400"/>
                <w:tab w:val="left" w:pos="15120"/>
                <w:tab w:val="left" w:pos="15840"/>
                <w:tab w:val="left" w:pos="16560"/>
                <w:tab w:val="left" w:pos="17280"/>
                <w:tab w:val="left" w:pos="18000"/>
                <w:tab w:val="left" w:pos="18720"/>
              </w:tabs>
              <w:rPr>
                <w:sz w:val="18"/>
                <w:szCs w:val="18"/>
                <w:lang w:val="fr-FR"/>
              </w:rPr>
            </w:pPr>
            <w:r w:rsidRPr="00714F9F">
              <w:rPr>
                <w:sz w:val="18"/>
                <w:szCs w:val="18"/>
                <w:lang w:val="fr-FR"/>
              </w:rPr>
              <w:t>Suite 800</w:t>
            </w:r>
          </w:p>
          <w:p w:rsidR="00782A43" w:rsidRPr="006131F5" w:rsidRDefault="00782A43">
            <w:pPr>
              <w:rPr>
                <w:sz w:val="18"/>
                <w:szCs w:val="18"/>
                <w:lang w:val="fr-FR"/>
              </w:rPr>
            </w:pPr>
            <w:r w:rsidRPr="00714F9F">
              <w:rPr>
                <w:sz w:val="18"/>
                <w:szCs w:val="18"/>
                <w:lang w:val="fr-FR"/>
              </w:rPr>
              <w:t>Arlington, VA 22201-3008</w:t>
            </w:r>
          </w:p>
        </w:tc>
        <w:tc>
          <w:tcPr>
            <w:tcW w:w="3000" w:type="dxa"/>
          </w:tcPr>
          <w:p w:rsidR="00782A43" w:rsidRPr="006131F5" w:rsidRDefault="00782A43">
            <w:pPr>
              <w:rPr>
                <w:sz w:val="18"/>
                <w:szCs w:val="18"/>
                <w:lang w:val="fr-FR"/>
              </w:rPr>
            </w:pPr>
            <w:r w:rsidRPr="00714F9F">
              <w:rPr>
                <w:sz w:val="18"/>
                <w:szCs w:val="18"/>
                <w:lang w:val="fr-FR"/>
              </w:rPr>
              <w:t xml:space="preserve">Phone: 703-875-2981 </w:t>
            </w:r>
          </w:p>
          <w:p w:rsidR="00782A43" w:rsidRPr="006131F5" w:rsidRDefault="00782A43">
            <w:pPr>
              <w:tabs>
                <w:tab w:val="left" w:pos="-1080"/>
                <w:tab w:val="left" w:pos="-720"/>
                <w:tab w:val="left" w:pos="997"/>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780"/>
                <w:tab w:val="left" w:pos="13230"/>
                <w:tab w:val="left" w:pos="13680"/>
                <w:tab w:val="left" w:pos="14400"/>
                <w:tab w:val="left" w:pos="15120"/>
                <w:tab w:val="left" w:pos="15840"/>
                <w:tab w:val="left" w:pos="16560"/>
                <w:tab w:val="left" w:pos="17280"/>
                <w:tab w:val="left" w:pos="18000"/>
                <w:tab w:val="left" w:pos="18720"/>
              </w:tabs>
              <w:rPr>
                <w:sz w:val="18"/>
                <w:szCs w:val="18"/>
                <w:lang w:val="fr-FR"/>
              </w:rPr>
            </w:pPr>
            <w:r w:rsidRPr="00714F9F">
              <w:rPr>
                <w:sz w:val="18"/>
                <w:szCs w:val="18"/>
                <w:lang w:val="fr-FR"/>
              </w:rPr>
              <w:t>Fax: 703-527-5640</w:t>
            </w:r>
          </w:p>
          <w:p w:rsidR="00782A43" w:rsidRPr="006131F5" w:rsidRDefault="00782A43">
            <w:pPr>
              <w:rPr>
                <w:sz w:val="18"/>
                <w:szCs w:val="18"/>
                <w:lang w:val="fr-FR"/>
              </w:rPr>
            </w:pPr>
            <w:r w:rsidRPr="00714F9F">
              <w:rPr>
                <w:sz w:val="18"/>
                <w:szCs w:val="18"/>
                <w:lang w:val="fr-FR"/>
              </w:rPr>
              <w:t>E-mail: Yup@battelle.org</w:t>
            </w:r>
          </w:p>
        </w:tc>
      </w:tr>
    </w:tbl>
    <w:p w:rsidR="00782A43" w:rsidRPr="004744AC" w:rsidRDefault="00782A43" w:rsidP="00543169">
      <w:pPr>
        <w:rPr>
          <w:b/>
          <w:bCs/>
          <w:lang w:val="fr-FR"/>
        </w:rPr>
      </w:pPr>
    </w:p>
    <w:p w:rsidR="00782A43" w:rsidRDefault="00782A43" w:rsidP="00B67C5F">
      <w:pPr>
        <w:ind w:left="720"/>
      </w:pPr>
      <w:r w:rsidRPr="00CB7D29">
        <w:t>Additional consultation was sought from TCE-HIV Grantees and representative respondents during pilot site visits conducted October</w:t>
      </w:r>
      <w:r>
        <w:t>–</w:t>
      </w:r>
      <w:r w:rsidRPr="00CB7D29">
        <w:t>December 2009. The visits provided the Multi-Site Evaluation team with feedback and comments regarding data collection instruments and processes.</w:t>
      </w:r>
      <w:r>
        <w:rPr>
          <w:color w:val="339966"/>
        </w:rPr>
        <w:t xml:space="preserve"> </w:t>
      </w:r>
      <w:r>
        <w:rPr>
          <w:color w:val="000000"/>
        </w:rPr>
        <w:t xml:space="preserve">As a result of the consultation and feedback, data collection instruments have been revised. </w:t>
      </w:r>
      <w:r w:rsidRPr="009015DA">
        <w:rPr>
          <w:color w:val="000000"/>
        </w:rPr>
        <w:t xml:space="preserve">See </w:t>
      </w:r>
      <w:r w:rsidRPr="005A7873">
        <w:t xml:space="preserve">Attachment </w:t>
      </w:r>
      <w:r>
        <w:t xml:space="preserve">4 - Document 1 </w:t>
      </w:r>
      <w:r w:rsidRPr="009015DA">
        <w:rPr>
          <w:color w:val="000000"/>
        </w:rPr>
        <w:t>for</w:t>
      </w:r>
      <w:r>
        <w:rPr>
          <w:color w:val="000000"/>
        </w:rPr>
        <w:t xml:space="preserve"> a summary of pilot site visit feedback and revisions made to instruments. </w:t>
      </w:r>
      <w:r w:rsidRPr="00543169">
        <w:t xml:space="preserve">The </w:t>
      </w:r>
      <w:r>
        <w:t>list of TCE-HIV Grantee consultants is provided in Exhibit 4.</w:t>
      </w:r>
    </w:p>
    <w:p w:rsidR="00782A43" w:rsidRPr="00736721" w:rsidRDefault="00782A43">
      <w:pPr>
        <w:rPr>
          <w:b/>
          <w:bCs/>
        </w:rPr>
      </w:pPr>
    </w:p>
    <w:p w:rsidR="00782A43" w:rsidRPr="00D27002" w:rsidRDefault="00782A43" w:rsidP="003D66D7">
      <w:pPr>
        <w:rPr>
          <w:b/>
          <w:bCs/>
        </w:rPr>
      </w:pPr>
      <w:r w:rsidRPr="00D27002">
        <w:rPr>
          <w:b/>
          <w:bCs/>
        </w:rPr>
        <w:t>Exhibit 4: TCE-HIV Grantee Consultants</w:t>
      </w:r>
    </w:p>
    <w:tbl>
      <w:tblPr>
        <w:tblW w:w="9220" w:type="dxa"/>
        <w:tblInd w:w="-84"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86" w:type="dxa"/>
          <w:right w:w="86" w:type="dxa"/>
        </w:tblCellMar>
        <w:tblLook w:val="0000"/>
      </w:tblPr>
      <w:tblGrid>
        <w:gridCol w:w="2500"/>
        <w:gridCol w:w="3720"/>
        <w:gridCol w:w="3000"/>
      </w:tblGrid>
      <w:tr w:rsidR="00782A43" w:rsidRPr="00C141E2">
        <w:trPr>
          <w:cantSplit/>
          <w:tblHeader/>
        </w:trPr>
        <w:tc>
          <w:tcPr>
            <w:tcW w:w="2500" w:type="dxa"/>
            <w:tcBorders>
              <w:top w:val="double" w:sz="6" w:space="0" w:color="auto"/>
            </w:tcBorders>
            <w:vAlign w:val="bottom"/>
          </w:tcPr>
          <w:p w:rsidR="00782A43" w:rsidRDefault="00782A43">
            <w:pPr>
              <w:ind w:left="4"/>
              <w:jc w:val="center"/>
              <w:rPr>
                <w:b/>
                <w:bCs/>
              </w:rPr>
            </w:pPr>
            <w:r w:rsidRPr="00C53ACD">
              <w:rPr>
                <w:b/>
                <w:bCs/>
              </w:rPr>
              <w:t>Consultant</w:t>
            </w:r>
          </w:p>
        </w:tc>
        <w:tc>
          <w:tcPr>
            <w:tcW w:w="3720" w:type="dxa"/>
            <w:tcBorders>
              <w:top w:val="double" w:sz="6" w:space="0" w:color="auto"/>
            </w:tcBorders>
            <w:vAlign w:val="bottom"/>
          </w:tcPr>
          <w:p w:rsidR="00782A43" w:rsidRDefault="00782A43">
            <w:pPr>
              <w:ind w:left="4"/>
              <w:jc w:val="center"/>
            </w:pPr>
            <w:r w:rsidRPr="00C141E2">
              <w:rPr>
                <w:b/>
                <w:bCs/>
              </w:rPr>
              <w:t>Affiliation</w:t>
            </w:r>
          </w:p>
        </w:tc>
        <w:tc>
          <w:tcPr>
            <w:tcW w:w="3000" w:type="dxa"/>
            <w:tcBorders>
              <w:top w:val="double" w:sz="6" w:space="0" w:color="auto"/>
            </w:tcBorders>
            <w:vAlign w:val="bottom"/>
          </w:tcPr>
          <w:p w:rsidR="00782A43" w:rsidRDefault="00782A43">
            <w:pPr>
              <w:ind w:left="4"/>
              <w:jc w:val="center"/>
            </w:pPr>
            <w:r w:rsidRPr="00C141E2">
              <w:rPr>
                <w:b/>
                <w:bCs/>
              </w:rPr>
              <w:t>Contact Information</w:t>
            </w:r>
          </w:p>
        </w:tc>
      </w:tr>
      <w:tr w:rsidR="00782A43" w:rsidRPr="00EC6923">
        <w:trPr>
          <w:cantSplit/>
        </w:trPr>
        <w:tc>
          <w:tcPr>
            <w:tcW w:w="2500" w:type="dxa"/>
          </w:tcPr>
          <w:p w:rsidR="00782A43" w:rsidRDefault="00782A43">
            <w:pPr>
              <w:ind w:left="4"/>
            </w:pPr>
            <w:r>
              <w:t>Carla Hewitt</w:t>
            </w:r>
          </w:p>
        </w:tc>
        <w:tc>
          <w:tcPr>
            <w:tcW w:w="3720" w:type="dxa"/>
          </w:tcPr>
          <w:p w:rsidR="00782A43" w:rsidRDefault="00782A43">
            <w:pPr>
              <w:autoSpaceDE w:val="0"/>
              <w:autoSpaceDN w:val="0"/>
              <w:adjustRightInd w:val="0"/>
              <w:ind w:left="4"/>
            </w:pPr>
            <w:r>
              <w:t>Safe Haven</w:t>
            </w:r>
          </w:p>
          <w:p w:rsidR="00782A43" w:rsidRDefault="00782A43">
            <w:pPr>
              <w:autoSpaceDE w:val="0"/>
              <w:autoSpaceDN w:val="0"/>
              <w:adjustRightInd w:val="0"/>
              <w:ind w:left="4"/>
            </w:pPr>
            <w:r>
              <w:t>1140 North Capital St, NW</w:t>
            </w:r>
          </w:p>
          <w:p w:rsidR="00782A43" w:rsidRDefault="00782A43">
            <w:pPr>
              <w:autoSpaceDE w:val="0"/>
              <w:autoSpaceDN w:val="0"/>
              <w:adjustRightInd w:val="0"/>
              <w:ind w:left="4"/>
            </w:pPr>
            <w:r>
              <w:t>Washington, DC 20018</w:t>
            </w:r>
          </w:p>
        </w:tc>
        <w:tc>
          <w:tcPr>
            <w:tcW w:w="3000" w:type="dxa"/>
          </w:tcPr>
          <w:p w:rsidR="00782A43" w:rsidRDefault="00782A43">
            <w:pPr>
              <w:ind w:left="4"/>
              <w:rPr>
                <w:lang w:val="fr-FR"/>
              </w:rPr>
            </w:pPr>
            <w:r w:rsidRPr="001056B2">
              <w:rPr>
                <w:lang w:val="fr-FR"/>
              </w:rPr>
              <w:t xml:space="preserve">Phone: </w:t>
            </w:r>
            <w:r w:rsidRPr="001056B2">
              <w:rPr>
                <w:color w:val="000000"/>
                <w:lang w:val="fr-FR"/>
              </w:rPr>
              <w:t>202-589-1505</w:t>
            </w:r>
          </w:p>
          <w:p w:rsidR="00782A43" w:rsidRDefault="00782A43">
            <w:pPr>
              <w:ind w:left="4"/>
              <w:rPr>
                <w:lang w:val="fr-FR"/>
              </w:rPr>
            </w:pPr>
            <w:r w:rsidRPr="00BB2B86">
              <w:rPr>
                <w:lang w:val="fr-FR"/>
              </w:rPr>
              <w:t>E</w:t>
            </w:r>
            <w:r>
              <w:rPr>
                <w:lang w:val="fr-FR"/>
              </w:rPr>
              <w:t>-</w:t>
            </w:r>
            <w:r w:rsidRPr="00BB2B86">
              <w:rPr>
                <w:lang w:val="fr-FR"/>
              </w:rPr>
              <w:t>mail:</w:t>
            </w:r>
            <w:r>
              <w:rPr>
                <w:lang w:val="fr-FR"/>
              </w:rPr>
              <w:t xml:space="preserve"> </w:t>
            </w:r>
            <w:r w:rsidRPr="001056B2">
              <w:rPr>
                <w:lang w:val="fr-FR"/>
              </w:rPr>
              <w:t>chewitt@safehaven.org</w:t>
            </w:r>
          </w:p>
        </w:tc>
      </w:tr>
      <w:tr w:rsidR="00782A43" w:rsidRPr="00EC6923">
        <w:trPr>
          <w:cantSplit/>
        </w:trPr>
        <w:tc>
          <w:tcPr>
            <w:tcW w:w="2500" w:type="dxa"/>
          </w:tcPr>
          <w:p w:rsidR="00782A43" w:rsidRDefault="00782A43">
            <w:pPr>
              <w:ind w:left="4"/>
            </w:pPr>
            <w:proofErr w:type="spellStart"/>
            <w:r>
              <w:t>Basha</w:t>
            </w:r>
            <w:proofErr w:type="spellEnd"/>
            <w:r>
              <w:t xml:space="preserve"> Silverman, MA</w:t>
            </w:r>
          </w:p>
        </w:tc>
        <w:tc>
          <w:tcPr>
            <w:tcW w:w="3720" w:type="dxa"/>
          </w:tcPr>
          <w:p w:rsidR="00782A43" w:rsidRDefault="00782A43">
            <w:pPr>
              <w:ind w:left="4"/>
            </w:pPr>
            <w:r>
              <w:t>Brandywine Counseling</w:t>
            </w:r>
          </w:p>
          <w:p w:rsidR="00782A43" w:rsidRDefault="00782A43">
            <w:pPr>
              <w:ind w:left="4"/>
            </w:pPr>
            <w:r>
              <w:t>2713 Lancaster Avenue</w:t>
            </w:r>
          </w:p>
          <w:p w:rsidR="00782A43" w:rsidRDefault="00782A43">
            <w:pPr>
              <w:ind w:left="4"/>
            </w:pPr>
            <w:r>
              <w:t>Wilmington, DE 19805</w:t>
            </w:r>
          </w:p>
        </w:tc>
        <w:tc>
          <w:tcPr>
            <w:tcW w:w="3000" w:type="dxa"/>
          </w:tcPr>
          <w:p w:rsidR="00782A43" w:rsidRDefault="00782A43">
            <w:pPr>
              <w:ind w:left="4"/>
              <w:rPr>
                <w:lang w:val="fr-FR"/>
              </w:rPr>
            </w:pPr>
            <w:r w:rsidRPr="004744AC">
              <w:rPr>
                <w:lang w:val="fr-FR"/>
              </w:rPr>
              <w:t xml:space="preserve">Phone: </w:t>
            </w:r>
            <w:r>
              <w:rPr>
                <w:lang w:val="fr-FR"/>
              </w:rPr>
              <w:t>302-656-2348</w:t>
            </w:r>
          </w:p>
          <w:p w:rsidR="00782A43" w:rsidRDefault="00782A43">
            <w:pPr>
              <w:ind w:left="4"/>
              <w:rPr>
                <w:lang w:val="fr-FR"/>
              </w:rPr>
            </w:pPr>
            <w:r w:rsidRPr="004744AC">
              <w:rPr>
                <w:lang w:val="fr-FR"/>
              </w:rPr>
              <w:t>Fax</w:t>
            </w:r>
            <w:r>
              <w:rPr>
                <w:lang w:val="fr-FR"/>
              </w:rPr>
              <w:t>: 302-656-0746</w:t>
            </w:r>
          </w:p>
          <w:p w:rsidR="00782A43" w:rsidRDefault="00782A43">
            <w:pPr>
              <w:ind w:left="4"/>
              <w:rPr>
                <w:lang w:val="fr-FR"/>
              </w:rPr>
            </w:pPr>
            <w:r w:rsidRPr="00BB2B86">
              <w:rPr>
                <w:lang w:val="fr-FR"/>
              </w:rPr>
              <w:t>E</w:t>
            </w:r>
            <w:r>
              <w:rPr>
                <w:lang w:val="fr-FR"/>
              </w:rPr>
              <w:t>-</w:t>
            </w:r>
            <w:r w:rsidRPr="00BB2B86">
              <w:rPr>
                <w:lang w:val="fr-FR"/>
              </w:rPr>
              <w:t>mail:</w:t>
            </w:r>
            <w:r>
              <w:rPr>
                <w:lang w:val="fr-FR"/>
              </w:rPr>
              <w:t xml:space="preserve"> bsilverman@gmail.com</w:t>
            </w:r>
          </w:p>
        </w:tc>
      </w:tr>
      <w:tr w:rsidR="00782A43" w:rsidRPr="00EC6923">
        <w:trPr>
          <w:cantSplit/>
        </w:trPr>
        <w:tc>
          <w:tcPr>
            <w:tcW w:w="2500" w:type="dxa"/>
          </w:tcPr>
          <w:p w:rsidR="00782A43" w:rsidRDefault="00782A43">
            <w:pPr>
              <w:ind w:left="4"/>
            </w:pPr>
            <w:r>
              <w:t>Jim May, PhD</w:t>
            </w:r>
          </w:p>
        </w:tc>
        <w:tc>
          <w:tcPr>
            <w:tcW w:w="3720" w:type="dxa"/>
          </w:tcPr>
          <w:p w:rsidR="00782A43" w:rsidRDefault="00782A43">
            <w:pPr>
              <w:ind w:left="4"/>
            </w:pPr>
            <w:r>
              <w:t>Richmond Behavioral Health Authority</w:t>
            </w:r>
          </w:p>
          <w:p w:rsidR="00782A43" w:rsidRDefault="00782A43">
            <w:pPr>
              <w:ind w:left="4"/>
            </w:pPr>
            <w:r>
              <w:t>107 South Street</w:t>
            </w:r>
          </w:p>
          <w:p w:rsidR="00782A43" w:rsidRDefault="00782A43">
            <w:pPr>
              <w:ind w:left="4"/>
            </w:pPr>
            <w:r>
              <w:t>Richmond, VA 23219</w:t>
            </w:r>
          </w:p>
        </w:tc>
        <w:tc>
          <w:tcPr>
            <w:tcW w:w="3000" w:type="dxa"/>
          </w:tcPr>
          <w:p w:rsidR="00782A43" w:rsidRDefault="00782A43">
            <w:pPr>
              <w:ind w:left="4"/>
              <w:rPr>
                <w:lang w:val="fr-FR"/>
              </w:rPr>
            </w:pPr>
            <w:r w:rsidRPr="001056B2">
              <w:rPr>
                <w:lang w:val="fr-FR"/>
              </w:rPr>
              <w:t>Phone: 804-819-4202</w:t>
            </w:r>
          </w:p>
          <w:p w:rsidR="00782A43" w:rsidRDefault="00782A43">
            <w:pPr>
              <w:ind w:left="4"/>
              <w:rPr>
                <w:lang w:val="fr-FR"/>
              </w:rPr>
            </w:pPr>
            <w:r w:rsidRPr="001056B2">
              <w:rPr>
                <w:lang w:val="fr-FR"/>
              </w:rPr>
              <w:t>Fax: 804-819-8783</w:t>
            </w:r>
          </w:p>
          <w:p w:rsidR="00782A43" w:rsidRDefault="00782A43">
            <w:pPr>
              <w:ind w:left="4"/>
              <w:rPr>
                <w:lang w:val="fr-FR"/>
              </w:rPr>
            </w:pPr>
            <w:r w:rsidRPr="00BB2B86">
              <w:rPr>
                <w:lang w:val="fr-FR"/>
              </w:rPr>
              <w:t>E</w:t>
            </w:r>
            <w:r>
              <w:rPr>
                <w:lang w:val="fr-FR"/>
              </w:rPr>
              <w:t>-</w:t>
            </w:r>
            <w:r w:rsidRPr="00BB2B86">
              <w:rPr>
                <w:lang w:val="fr-FR"/>
              </w:rPr>
              <w:t>mail:</w:t>
            </w:r>
            <w:r>
              <w:rPr>
                <w:lang w:val="fr-FR"/>
              </w:rPr>
              <w:t xml:space="preserve"> </w:t>
            </w:r>
            <w:r w:rsidRPr="001056B2">
              <w:rPr>
                <w:lang w:val="fr-FR"/>
              </w:rPr>
              <w:t>jmay@rbha.org</w:t>
            </w:r>
          </w:p>
        </w:tc>
      </w:tr>
    </w:tbl>
    <w:p w:rsidR="00782A43" w:rsidRPr="00B04C61" w:rsidRDefault="00782A43" w:rsidP="003D66D7">
      <w:pPr>
        <w:rPr>
          <w:b/>
          <w:bCs/>
          <w:lang w:val="fr-FR"/>
        </w:rPr>
      </w:pPr>
    </w:p>
    <w:p w:rsidR="00782A43" w:rsidRDefault="00782A43">
      <w:pPr>
        <w:ind w:firstLine="720"/>
      </w:pPr>
      <w:r w:rsidRPr="001E1C8C">
        <w:rPr>
          <w:b/>
          <w:bCs/>
        </w:rPr>
        <w:t>9.</w:t>
      </w:r>
      <w:r w:rsidRPr="001E1C8C">
        <w:rPr>
          <w:b/>
          <w:bCs/>
        </w:rPr>
        <w:tab/>
      </w:r>
      <w:r w:rsidRPr="001E1C8C">
        <w:rPr>
          <w:b/>
          <w:bCs/>
          <w:u w:val="single"/>
        </w:rPr>
        <w:t>Payment to Respondents</w:t>
      </w:r>
      <w:bookmarkStart w:id="26" w:name="_Toc131564350"/>
    </w:p>
    <w:p w:rsidR="00782A43" w:rsidRPr="001E1C8C" w:rsidRDefault="00782A43" w:rsidP="00D95B4D"/>
    <w:p w:rsidR="00782A43" w:rsidRDefault="00782A43">
      <w:pPr>
        <w:ind w:left="720"/>
      </w:pPr>
      <w:r w:rsidRPr="00D27002">
        <w:rPr>
          <w:u w:val="single"/>
        </w:rPr>
        <w:t>Client Surveys:</w:t>
      </w:r>
      <w:r w:rsidRPr="00BB2B86">
        <w:t xml:space="preserve"> Cash equivalent incentives will be offered in lieu of cash payments. Gift cards from </w:t>
      </w:r>
      <w:r>
        <w:t xml:space="preserve">major stores (e.g., </w:t>
      </w:r>
      <w:proofErr w:type="spellStart"/>
      <w:r w:rsidRPr="00BB2B86">
        <w:t>Wal</w:t>
      </w:r>
      <w:r>
        <w:t>m</w:t>
      </w:r>
      <w:r w:rsidRPr="00BB2B86">
        <w:t>art</w:t>
      </w:r>
      <w:proofErr w:type="spellEnd"/>
      <w:r>
        <w:t>™,</w:t>
      </w:r>
      <w:r w:rsidRPr="00BB2B86">
        <w:t xml:space="preserve"> Target</w:t>
      </w:r>
      <w:r>
        <w:t>™)</w:t>
      </w:r>
      <w:r w:rsidRPr="00BB2B86">
        <w:t xml:space="preserve"> will be used as </w:t>
      </w:r>
      <w:r>
        <w:t xml:space="preserve">an </w:t>
      </w:r>
      <w:r w:rsidRPr="00BB2B86">
        <w:t>incentive for treatment clients to complete the client</w:t>
      </w:r>
      <w:r>
        <w:t>-</w:t>
      </w:r>
      <w:r w:rsidRPr="00BB2B86">
        <w:t>level survey at baseline, discharge, and 6</w:t>
      </w:r>
      <w:r>
        <w:t xml:space="preserve"> </w:t>
      </w:r>
      <w:r w:rsidRPr="00BB2B86">
        <w:t>month</w:t>
      </w:r>
      <w:r>
        <w:t>s</w:t>
      </w:r>
      <w:r w:rsidRPr="00BB2B86">
        <w:t xml:space="preserve"> post baseline.</w:t>
      </w:r>
      <w:r>
        <w:t xml:space="preserve"> </w:t>
      </w:r>
      <w:r w:rsidRPr="001427D9">
        <w:t>Survey research literature suggests that monetary incentives increase response rate, with no known adverse effect on reliability (</w:t>
      </w:r>
      <w:proofErr w:type="spellStart"/>
      <w:r w:rsidRPr="00476C6E">
        <w:t>Dillman</w:t>
      </w:r>
      <w:proofErr w:type="spellEnd"/>
      <w:r w:rsidRPr="001427D9">
        <w:t>, 2000)</w:t>
      </w:r>
      <w:r>
        <w:rPr>
          <w:b/>
          <w:bCs/>
        </w:rPr>
        <w:t xml:space="preserve">. </w:t>
      </w:r>
      <w:r w:rsidRPr="00792C9F">
        <w:t xml:space="preserve">The use of incentives to increase response rate is particularly important when collecting data from hard to reach populations who </w:t>
      </w:r>
      <w:r>
        <w:t>are</w:t>
      </w:r>
      <w:r w:rsidRPr="00792C9F">
        <w:t xml:space="preserve"> providing information of a sensitive nature (e.g., </w:t>
      </w:r>
      <w:r>
        <w:t>sexual risk behaviors</w:t>
      </w:r>
      <w:r w:rsidRPr="00792C9F">
        <w:t>).</w:t>
      </w:r>
      <w:r>
        <w:rPr>
          <w:b/>
          <w:bCs/>
        </w:rPr>
        <w:t xml:space="preserve"> </w:t>
      </w:r>
      <w:r w:rsidRPr="00BB2B86">
        <w:t>Incentives will be provided to clients in a tiered structure with a $10 gift card provided at baseline, $15 gift card at discharge, and $20 gift card at 6</w:t>
      </w:r>
      <w:r>
        <w:t xml:space="preserve"> </w:t>
      </w:r>
      <w:r w:rsidRPr="00BB2B86">
        <w:t>month</w:t>
      </w:r>
      <w:r>
        <w:t>s</w:t>
      </w:r>
      <w:r w:rsidRPr="00BB2B86">
        <w:t xml:space="preserve"> post baseline. </w:t>
      </w:r>
    </w:p>
    <w:p w:rsidR="00782A43" w:rsidRPr="001E1C8C" w:rsidRDefault="00782A43" w:rsidP="00D95B4D">
      <w:pPr>
        <w:rPr>
          <w:u w:val="single"/>
        </w:rPr>
      </w:pPr>
    </w:p>
    <w:p w:rsidR="00782A43" w:rsidRDefault="00782A43">
      <w:pPr>
        <w:pStyle w:val="BodyText2"/>
        <w:keepNext/>
        <w:spacing w:after="0" w:line="240" w:lineRule="auto"/>
        <w:ind w:left="720"/>
      </w:pPr>
      <w:r w:rsidRPr="001E1C8C">
        <w:rPr>
          <w:u w:val="single"/>
        </w:rPr>
        <w:t>Client Focus Group</w:t>
      </w:r>
      <w:bookmarkEnd w:id="26"/>
      <w:r>
        <w:rPr>
          <w:u w:val="single"/>
        </w:rPr>
        <w:t>s</w:t>
      </w:r>
      <w:r w:rsidRPr="001E1C8C">
        <w:rPr>
          <w:u w:val="single"/>
        </w:rPr>
        <w:t>:</w:t>
      </w:r>
      <w:r>
        <w:t xml:space="preserve"> </w:t>
      </w:r>
      <w:r w:rsidRPr="001E1C8C">
        <w:t xml:space="preserve">Gift cards </w:t>
      </w:r>
      <w:r>
        <w:t xml:space="preserve">($20) from major stores (e.g., </w:t>
      </w:r>
      <w:proofErr w:type="spellStart"/>
      <w:r>
        <w:t>Walmart</w:t>
      </w:r>
      <w:proofErr w:type="spellEnd"/>
      <w:r>
        <w:t xml:space="preserve">™, Target™) </w:t>
      </w:r>
      <w:r w:rsidRPr="001E1C8C">
        <w:t>will be used as an incentive for treatment clients to participate in the focus groups</w:t>
      </w:r>
      <w:r w:rsidRPr="006C7FE5">
        <w:t xml:space="preserve">. </w:t>
      </w:r>
      <w:r w:rsidRPr="001427D9">
        <w:t>Although participation in the focus groups is voluntary, respondents are likely to perceive a time cost and burden associated with their participation.</w:t>
      </w:r>
      <w:r>
        <w:t xml:space="preserve"> </w:t>
      </w:r>
      <w:r w:rsidRPr="001E1C8C">
        <w:t>Clients will be offered</w:t>
      </w:r>
      <w:r>
        <w:t xml:space="preserve"> a</w:t>
      </w:r>
      <w:r w:rsidRPr="001E1C8C">
        <w:t xml:space="preserve"> $</w:t>
      </w:r>
      <w:r>
        <w:t>2</w:t>
      </w:r>
      <w:r w:rsidRPr="001E1C8C">
        <w:t>0 gift c</w:t>
      </w:r>
      <w:r>
        <w:t>ard</w:t>
      </w:r>
      <w:r w:rsidRPr="001E1C8C">
        <w:t xml:space="preserve"> </w:t>
      </w:r>
      <w:r>
        <w:t>for their participation in a</w:t>
      </w:r>
      <w:r w:rsidRPr="001E1C8C">
        <w:t xml:space="preserve"> focus group. </w:t>
      </w:r>
      <w:r>
        <w:t xml:space="preserve">Pilot tests were conducted with representative participants to determine the appropriateness of the incentive. </w:t>
      </w:r>
    </w:p>
    <w:p w:rsidR="00782A43" w:rsidRPr="00F014D5" w:rsidRDefault="00782A43" w:rsidP="002D43D3">
      <w:bookmarkStart w:id="27" w:name="_Toc131564351"/>
    </w:p>
    <w:bookmarkEnd w:id="27"/>
    <w:p w:rsidR="00782A43" w:rsidRDefault="00782A43">
      <w:pPr>
        <w:rPr>
          <w:u w:val="single"/>
        </w:rPr>
      </w:pPr>
      <w:r>
        <w:rPr>
          <w:u w:val="single"/>
        </w:rPr>
        <w:br w:type="page"/>
      </w:r>
    </w:p>
    <w:p w:rsidR="00782A43" w:rsidRDefault="00782A43">
      <w:pPr>
        <w:ind w:firstLine="720"/>
        <w:rPr>
          <w:b/>
          <w:bCs/>
        </w:rPr>
      </w:pPr>
      <w:bookmarkStart w:id="28" w:name="_Toc131564352"/>
      <w:bookmarkStart w:id="29" w:name="_Toc88277959"/>
      <w:r w:rsidRPr="003A06F2">
        <w:rPr>
          <w:b/>
          <w:bCs/>
        </w:rPr>
        <w:t>10.</w:t>
      </w:r>
      <w:r w:rsidRPr="003A06F2">
        <w:rPr>
          <w:b/>
          <w:bCs/>
        </w:rPr>
        <w:tab/>
      </w:r>
      <w:r w:rsidRPr="003A06F2">
        <w:rPr>
          <w:b/>
          <w:bCs/>
          <w:u w:val="single"/>
        </w:rPr>
        <w:t>Assurance of Confidentiality</w:t>
      </w:r>
      <w:bookmarkEnd w:id="28"/>
      <w:r w:rsidRPr="003A06F2">
        <w:rPr>
          <w:b/>
          <w:bCs/>
        </w:rPr>
        <w:t xml:space="preserve"> </w:t>
      </w:r>
      <w:bookmarkEnd w:id="29"/>
    </w:p>
    <w:p w:rsidR="00782A43" w:rsidRPr="003A06F2" w:rsidRDefault="00782A43" w:rsidP="003D66D7"/>
    <w:p w:rsidR="00782A43" w:rsidRDefault="00782A43">
      <w:pPr>
        <w:ind w:left="720"/>
      </w:pPr>
      <w:r w:rsidRPr="00307947">
        <w:t>JBS</w:t>
      </w:r>
      <w:r>
        <w:t>’</w:t>
      </w:r>
      <w:r w:rsidRPr="00307947">
        <w:t xml:space="preserve"> Institutional Review Board (IRB) </w:t>
      </w:r>
      <w:r>
        <w:t xml:space="preserve">application has been approved which </w:t>
      </w:r>
      <w:r w:rsidRPr="00307947">
        <w:t>ensure</w:t>
      </w:r>
      <w:r>
        <w:t>s</w:t>
      </w:r>
      <w:r w:rsidRPr="00307947">
        <w:t xml:space="preserve"> </w:t>
      </w:r>
      <w:r>
        <w:t>the Multi-Site Evaluation Team</w:t>
      </w:r>
      <w:r w:rsidRPr="00307947">
        <w:t xml:space="preserve"> meet corporate, industry, and society standards to protect study participants. This </w:t>
      </w:r>
      <w:r>
        <w:t>approval</w:t>
      </w:r>
      <w:r w:rsidRPr="00307947">
        <w:t xml:space="preserve"> ensure</w:t>
      </w:r>
      <w:r>
        <w:t>s</w:t>
      </w:r>
      <w:r w:rsidRPr="00307947">
        <w:t xml:space="preserve"> compliance with the spirit and the letter of regulations from </w:t>
      </w:r>
      <w:r>
        <w:t>the Department of Health and Human Services (</w:t>
      </w:r>
      <w:r w:rsidRPr="00307947">
        <w:t>DHHS</w:t>
      </w:r>
      <w:r>
        <w:t>)</w:t>
      </w:r>
      <w:r w:rsidRPr="00307947">
        <w:t xml:space="preserve"> governing such projects. </w:t>
      </w:r>
      <w:r>
        <w:t xml:space="preserve">JBS’ </w:t>
      </w:r>
      <w:r w:rsidRPr="00307947">
        <w:t xml:space="preserve">systems and procedures for collecting and processing data </w:t>
      </w:r>
      <w:r>
        <w:t>are</w:t>
      </w:r>
      <w:r w:rsidRPr="00307947">
        <w:t xml:space="preserve"> designed to help ensure the </w:t>
      </w:r>
      <w:r>
        <w:t>privacy,</w:t>
      </w:r>
      <w:r w:rsidRPr="00307947">
        <w:t xml:space="preserve"> </w:t>
      </w:r>
      <w:r>
        <w:t xml:space="preserve">to the extent of the law, </w:t>
      </w:r>
      <w:r w:rsidRPr="00307947">
        <w:t xml:space="preserve">of study participants and the data they provide. Documents with data about Grantees or individual clients will be identified by an assigned study </w:t>
      </w:r>
      <w:r>
        <w:t xml:space="preserve">alpha numeric </w:t>
      </w:r>
      <w:r w:rsidRPr="00307947">
        <w:t>identification number.</w:t>
      </w:r>
      <w:bookmarkStart w:id="30" w:name="_Toc131564353"/>
      <w:r w:rsidRPr="00307947">
        <w:t xml:space="preserve"> </w:t>
      </w:r>
    </w:p>
    <w:p w:rsidR="00782A43" w:rsidRPr="009D244B" w:rsidRDefault="00782A43" w:rsidP="003D66D7"/>
    <w:bookmarkEnd w:id="30"/>
    <w:p w:rsidR="00782A43" w:rsidRDefault="00782A43">
      <w:pPr>
        <w:ind w:left="720"/>
      </w:pPr>
      <w:r>
        <w:t xml:space="preserve">Grantees have been approved to administer the GPRA, thus informed consent is in place for Grantee staff to collect GPRA questionnaire data. For this evaluation, Grantee staff will provide an Information Sheet which they will read/present to the client as part of the survey administration. The Information Sheet provides pertinent information about the administration, risks, and benefits of the client survey. However, it is advised that Grantees also follow local and/or state requirements related to client informed consent. </w:t>
      </w:r>
      <w:r w:rsidRPr="009D244B">
        <w:t>After completing their own data collection</w:t>
      </w:r>
      <w:r>
        <w:t xml:space="preserve"> (i.e., GPRA),</w:t>
      </w:r>
      <w:r w:rsidRPr="009D244B">
        <w:t xml:space="preserve"> Grantee staff who deliver TCE-HIV services will</w:t>
      </w:r>
      <w:r>
        <w:t xml:space="preserve"> then</w:t>
      </w:r>
      <w:r w:rsidRPr="009D244B">
        <w:t xml:space="preserve"> briefly explain </w:t>
      </w:r>
      <w:r>
        <w:t xml:space="preserve">to the client </w:t>
      </w:r>
      <w:r w:rsidRPr="009D244B">
        <w:t>the reason for an additional survey, describe the survey length</w:t>
      </w:r>
      <w:r>
        <w:t>,</w:t>
      </w:r>
      <w:r w:rsidRPr="009D244B">
        <w:t xml:space="preserve"> and</w:t>
      </w:r>
      <w:r>
        <w:t xml:space="preserve"> explain the</w:t>
      </w:r>
      <w:r w:rsidRPr="009D244B">
        <w:t xml:space="preserve"> process. </w:t>
      </w:r>
      <w:r>
        <w:t>T</w:t>
      </w:r>
      <w:r w:rsidRPr="009D244B">
        <w:t xml:space="preserve">he process </w:t>
      </w:r>
      <w:r>
        <w:t>for</w:t>
      </w:r>
      <w:r w:rsidRPr="009D244B">
        <w:t xml:space="preserve"> administering the client survey is designed to protect </w:t>
      </w:r>
      <w:r>
        <w:t>privacy</w:t>
      </w:r>
      <w:r w:rsidRPr="009D244B">
        <w:t>, reduce client discomfort and burden, and ensure the collection of quality data.</w:t>
      </w:r>
    </w:p>
    <w:p w:rsidR="00782A43" w:rsidRPr="009D244B" w:rsidRDefault="00782A43" w:rsidP="003D66D7"/>
    <w:p w:rsidR="00782A43" w:rsidRDefault="00782A43">
      <w:pPr>
        <w:ind w:left="720"/>
      </w:pPr>
      <w:r w:rsidRPr="009D244B">
        <w:t xml:space="preserve">The </w:t>
      </w:r>
      <w:r>
        <w:t xml:space="preserve">client survey </w:t>
      </w:r>
      <w:r w:rsidRPr="009D244B">
        <w:t xml:space="preserve">will include the OMB approval expiration dates, the statement of survey burden, and the statement that the </w:t>
      </w:r>
      <w:r>
        <w:t>evaluation</w:t>
      </w:r>
      <w:r w:rsidRPr="009D244B">
        <w:t xml:space="preserve"> is </w:t>
      </w:r>
      <w:r>
        <w:t>f</w:t>
      </w:r>
      <w:r w:rsidRPr="009D244B">
        <w:t xml:space="preserve">ederally sponsored. </w:t>
      </w:r>
      <w:r w:rsidRPr="005E6596">
        <w:t xml:space="preserve">The Grantee staff </w:t>
      </w:r>
      <w:r>
        <w:t>will administer the survey to the</w:t>
      </w:r>
      <w:r w:rsidRPr="005E6596">
        <w:t xml:space="preserve"> client</w:t>
      </w:r>
      <w:r>
        <w:t xml:space="preserve"> </w:t>
      </w:r>
      <w:r w:rsidRPr="005E6596">
        <w:t>in a private location</w:t>
      </w:r>
      <w:r>
        <w:t xml:space="preserve"> (e.g., an office) </w:t>
      </w:r>
      <w:r w:rsidRPr="005E6596">
        <w:t xml:space="preserve">to ensure </w:t>
      </w:r>
      <w:r>
        <w:t>privacy</w:t>
      </w:r>
      <w:r w:rsidRPr="005E6596">
        <w:t>.</w:t>
      </w:r>
      <w:r>
        <w:t xml:space="preserve"> Staff will read each question and the list of responses for each question to clients and record their answers. </w:t>
      </w:r>
    </w:p>
    <w:p w:rsidR="00782A43" w:rsidRPr="005E6596" w:rsidRDefault="00782A43" w:rsidP="003D66D7"/>
    <w:p w:rsidR="00782A43" w:rsidRDefault="00782A43">
      <w:pPr>
        <w:ind w:left="720"/>
      </w:pPr>
      <w:r w:rsidRPr="005E6596">
        <w:t>Client survey data will be entered</w:t>
      </w:r>
      <w:r>
        <w:t xml:space="preserve"> at the Grantee site</w:t>
      </w:r>
      <w:r w:rsidRPr="005E6596">
        <w:t xml:space="preserve"> into a </w:t>
      </w:r>
      <w:r>
        <w:t>password-</w:t>
      </w:r>
      <w:r w:rsidRPr="005E6596">
        <w:t>protected online system. Each day, the T</w:t>
      </w:r>
      <w:r>
        <w:t>C</w:t>
      </w:r>
      <w:r w:rsidRPr="005E6596">
        <w:t xml:space="preserve">E-HIV evaluation staff will upload the data over a secure network connection directly to a server at JBS headquarters where </w:t>
      </w:r>
      <w:r>
        <w:t>the data</w:t>
      </w:r>
      <w:r w:rsidRPr="005E6596">
        <w:t xml:space="preserve"> will also be encrypted and password protected. However, not all the Grantees may be equipped to enter th</w:t>
      </w:r>
      <w:r>
        <w:t>i</w:t>
      </w:r>
      <w:r w:rsidRPr="005E6596">
        <w:t>s data into the online system, in which case</w:t>
      </w:r>
      <w:r>
        <w:t xml:space="preserve"> </w:t>
      </w:r>
      <w:r w:rsidRPr="005E6596">
        <w:t xml:space="preserve">paper copies of the surveys </w:t>
      </w:r>
      <w:r>
        <w:t xml:space="preserve">with only alpha numeric identifiers (i.e., GPRA identification numbers) </w:t>
      </w:r>
      <w:r w:rsidRPr="005E6596">
        <w:t>from these Grantees</w:t>
      </w:r>
      <w:r>
        <w:t xml:space="preserve"> will be provided and entered onsite at JBS</w:t>
      </w:r>
      <w:r w:rsidRPr="005E6596">
        <w:t>.</w:t>
      </w:r>
      <w:r>
        <w:t xml:space="preserve"> Any paper copies will be stored in a locked file cabinet, with no name/identifying information attached. </w:t>
      </w:r>
    </w:p>
    <w:p w:rsidR="00782A43" w:rsidRPr="005E6596" w:rsidRDefault="00782A43" w:rsidP="003D66D7"/>
    <w:p w:rsidR="00782A43" w:rsidRDefault="00782A43">
      <w:pPr>
        <w:ind w:left="720"/>
      </w:pPr>
      <w:r w:rsidRPr="005E6596">
        <w:t xml:space="preserve">The TCE-HIV Multi-Site Evaluation staff will use passwords to safeguard project directories and analysis files containing completed survey data to ensure that there is no inadvertent disclosure of study data. The Multi-Site Evaluation staff also will be trained on handling sensitive data and the importance of </w:t>
      </w:r>
      <w:r>
        <w:t>privacy</w:t>
      </w:r>
      <w:r w:rsidRPr="005E6596">
        <w:t>.</w:t>
      </w:r>
      <w:r>
        <w:t xml:space="preserve"> As a further precautionary measure, the data being collected will have no identifying information that can be linked back to the client.</w:t>
      </w:r>
      <w:r w:rsidRPr="005E6596">
        <w:t xml:space="preserve"> In keeping with 45 CFR 46, Protection of Human Subjects</w:t>
      </w:r>
      <w:r>
        <w:t xml:space="preserve"> (Attachment </w:t>
      </w:r>
      <w:r w:rsidRPr="005A7873">
        <w:t>2</w:t>
      </w:r>
      <w:r>
        <w:t>a - Document 3</w:t>
      </w:r>
      <w:r w:rsidRPr="005A7873">
        <w:t>),</w:t>
      </w:r>
      <w:r>
        <w:t xml:space="preserve"> </w:t>
      </w:r>
      <w:r w:rsidRPr="005E6596">
        <w:t xml:space="preserve">the TCE-HIV procedures for data collection, consent, and </w:t>
      </w:r>
      <w:r w:rsidRPr="005E6596">
        <w:lastRenderedPageBreak/>
        <w:t xml:space="preserve">data maintenance are formulated to protect respondents’ rights and the </w:t>
      </w:r>
      <w:r>
        <w:t>privacy</w:t>
      </w:r>
      <w:r w:rsidRPr="005E6596">
        <w:t xml:space="preserve"> of information collected. </w:t>
      </w:r>
    </w:p>
    <w:p w:rsidR="00782A43" w:rsidRPr="005E6596" w:rsidRDefault="00782A43" w:rsidP="00F70A0A">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rsidR="00782A43" w:rsidRDefault="00782A43">
      <w:pPr>
        <w:ind w:left="720"/>
      </w:pPr>
      <w:r w:rsidRPr="005E6596">
        <w:t xml:space="preserve">Data from the TCE-HIV client surveys will be kept strictly </w:t>
      </w:r>
      <w:r>
        <w:t>private to the extent of the law</w:t>
      </w:r>
      <w:r w:rsidRPr="005E6596">
        <w:t xml:space="preserve"> in compliance with the Privacy Act of 1974 (5 U.S.C. 552a)</w:t>
      </w:r>
      <w:r>
        <w:t xml:space="preserve"> (</w:t>
      </w:r>
      <w:r w:rsidRPr="005A7873">
        <w:t>At</w:t>
      </w:r>
      <w:r>
        <w:t>tachment 2b - Document 1</w:t>
      </w:r>
      <w:r w:rsidRPr="005A7873">
        <w:t>.)</w:t>
      </w:r>
      <w:r w:rsidRPr="005E6596">
        <w:t xml:space="preserve"> The </w:t>
      </w:r>
      <w:r>
        <w:t xml:space="preserve">privacy </w:t>
      </w:r>
      <w:r w:rsidRPr="005E6596">
        <w:t>of data records will be explained to all respondents during the consent process and in the consent forms.</w:t>
      </w:r>
      <w:r>
        <w:t xml:space="preserve"> Limits to privacy (e.g., </w:t>
      </w:r>
      <w:r>
        <w:rPr>
          <w:color w:val="000000"/>
        </w:rPr>
        <w:t>notifying authorities to protect study participants or someone else from serious harm, including child abuse/neglect)</w:t>
      </w:r>
      <w:r>
        <w:t xml:space="preserve"> will be explained and included in the consent form.</w:t>
      </w:r>
    </w:p>
    <w:p w:rsidR="00782A43" w:rsidRPr="005E6596" w:rsidRDefault="00782A43" w:rsidP="009D244B"/>
    <w:p w:rsidR="00782A43" w:rsidRDefault="00782A43">
      <w:pPr>
        <w:ind w:left="720"/>
      </w:pPr>
      <w:r w:rsidRPr="005E6596">
        <w:t>For clients providing information in the client focus group</w:t>
      </w:r>
      <w:r>
        <w:t>s</w:t>
      </w:r>
      <w:r w:rsidRPr="005E6596">
        <w:t>, the responses will be</w:t>
      </w:r>
      <w:r>
        <w:t xml:space="preserve"> kept private</w:t>
      </w:r>
      <w:r w:rsidRPr="005E6596">
        <w:t>; that is, no identifying information will be linked with the information provided</w:t>
      </w:r>
      <w:r>
        <w:t xml:space="preserve"> and the information will be reported in aggregate</w:t>
      </w:r>
      <w:r w:rsidRPr="005E6596">
        <w:t>.</w:t>
      </w:r>
      <w:r>
        <w:t xml:space="preserve"> </w:t>
      </w:r>
      <w:r w:rsidRPr="005E6596">
        <w:t xml:space="preserve">This </w:t>
      </w:r>
      <w:r>
        <w:t>de-</w:t>
      </w:r>
      <w:r w:rsidRPr="005E6596">
        <w:t>identification process will extend to semi-structured interviews completed by Project Directors, Grantee staff, and community</w:t>
      </w:r>
      <w:r>
        <w:t>/partner</w:t>
      </w:r>
      <w:r w:rsidRPr="005E6596">
        <w:t xml:space="preserve"> collaborators.</w:t>
      </w:r>
      <w:r>
        <w:t xml:space="preserve"> Any direct quotes that are used in reporting will not be attributed directly to the speaker, but will be credited only as a focus group participant comment. </w:t>
      </w:r>
    </w:p>
    <w:p w:rsidR="00782A43" w:rsidRPr="0004366D" w:rsidRDefault="00782A43" w:rsidP="003D66D7">
      <w:bookmarkStart w:id="31" w:name="_Toc88277960"/>
      <w:bookmarkStart w:id="32" w:name="_Toc131564355"/>
    </w:p>
    <w:p w:rsidR="00782A43" w:rsidRDefault="00782A43">
      <w:pPr>
        <w:ind w:firstLine="720"/>
        <w:rPr>
          <w:b/>
          <w:bCs/>
        </w:rPr>
      </w:pPr>
      <w:r w:rsidRPr="00FF0973">
        <w:rPr>
          <w:b/>
          <w:bCs/>
        </w:rPr>
        <w:t>11.</w:t>
      </w:r>
      <w:r w:rsidRPr="00FF0973">
        <w:rPr>
          <w:b/>
          <w:bCs/>
        </w:rPr>
        <w:tab/>
      </w:r>
      <w:r w:rsidRPr="00FF0973">
        <w:rPr>
          <w:b/>
          <w:bCs/>
          <w:u w:val="single"/>
        </w:rPr>
        <w:t xml:space="preserve">Questions of a Sensitive </w:t>
      </w:r>
      <w:bookmarkEnd w:id="31"/>
      <w:r w:rsidRPr="00FF0973">
        <w:rPr>
          <w:b/>
          <w:bCs/>
          <w:u w:val="single"/>
        </w:rPr>
        <w:t>Nature</w:t>
      </w:r>
      <w:bookmarkEnd w:id="32"/>
    </w:p>
    <w:p w:rsidR="00782A43" w:rsidRPr="00FF0973" w:rsidRDefault="00782A43" w:rsidP="003D66D7">
      <w:bookmarkStart w:id="33" w:name="_Toc131564356"/>
    </w:p>
    <w:p w:rsidR="00782A43" w:rsidRDefault="00782A43">
      <w:pPr>
        <w:ind w:left="720"/>
      </w:pPr>
      <w:r w:rsidRPr="00A34629">
        <w:rPr>
          <w:u w:val="single"/>
        </w:rPr>
        <w:t>Client Survey</w:t>
      </w:r>
      <w:bookmarkEnd w:id="33"/>
      <w:r w:rsidRPr="00A34629">
        <w:rPr>
          <w:u w:val="single"/>
        </w:rPr>
        <w:t xml:space="preserve"> and Client Focus Group:</w:t>
      </w:r>
      <w:r w:rsidRPr="00A34629">
        <w:t xml:space="preserve"> The TCE-HIV multi-site client surveys and focus groups, by necessity, will collect sensitive information (e.g., substance use, mental health, and other health and social risk factors) because these are all outcomes of interest to SAMHSA</w:t>
      </w:r>
      <w:r>
        <w:t>/CSAT</w:t>
      </w:r>
      <w:r w:rsidRPr="00A34629">
        <w:t xml:space="preserve">. Sensitive information of this nature is always regarded as highly </w:t>
      </w:r>
      <w:r w:rsidRPr="00F361A7">
        <w:t xml:space="preserve">private and </w:t>
      </w:r>
      <w:r w:rsidRPr="00A34629">
        <w:t>clients</w:t>
      </w:r>
      <w:r>
        <w:t>’ privacy</w:t>
      </w:r>
      <w:r w:rsidRPr="00A34629">
        <w:t xml:space="preserve"> in federally assisted treatment programs is assured through strict adherence to </w:t>
      </w:r>
      <w:r>
        <w:t>the statute (42 U.S.C. §290dd.2) and regulation (42 C.F.R. Part 2) regarding confidentiality of Alcohol and Drug Abuse Patient Records</w:t>
      </w:r>
      <w:r w:rsidRPr="00A34629">
        <w:t>.</w:t>
      </w:r>
      <w:r>
        <w:t xml:space="preserve"> </w:t>
      </w:r>
      <w:r w:rsidRPr="00A34629">
        <w:t xml:space="preserve"> </w:t>
      </w:r>
      <w:r>
        <w:t>T</w:t>
      </w:r>
      <w:r w:rsidRPr="00A34629">
        <w:t xml:space="preserve">he </w:t>
      </w:r>
      <w:r>
        <w:t xml:space="preserve">application for </w:t>
      </w:r>
      <w:r w:rsidRPr="00A34629">
        <w:t xml:space="preserve">a </w:t>
      </w:r>
      <w:r w:rsidRPr="00792C9F">
        <w:t>Certificate of Confidentiality</w:t>
      </w:r>
      <w:r w:rsidRPr="00A34629">
        <w:t xml:space="preserve"> </w:t>
      </w:r>
      <w:r>
        <w:t>is in progress and will be submitted to the appropriate DHHS agency.</w:t>
      </w:r>
      <w:r w:rsidRPr="00A34629">
        <w:t xml:space="preserve"> </w:t>
      </w:r>
      <w:r>
        <w:t xml:space="preserve"> </w:t>
      </w:r>
      <w:r w:rsidRPr="00A34629">
        <w:t xml:space="preserve">This certificate issued by SAMHSA and other </w:t>
      </w:r>
      <w:r>
        <w:t>D</w:t>
      </w:r>
      <w:r w:rsidRPr="00A34629">
        <w:t xml:space="preserve">HHS agencies is designed to protect identifiable research information from forced or compelled exposure. The </w:t>
      </w:r>
      <w:r w:rsidRPr="00792C9F">
        <w:t>Certificate of Confidentiality</w:t>
      </w:r>
      <w:r w:rsidRPr="00A34629">
        <w:t xml:space="preserve"> protect</w:t>
      </w:r>
      <w:r>
        <w:t>s</w:t>
      </w:r>
      <w:r w:rsidRPr="00A34629">
        <w:t xml:space="preserve"> the investigators from being forced, even under a court order or subpoena, to release information that could identify </w:t>
      </w:r>
      <w:r>
        <w:t>survey or focus group participants</w:t>
      </w:r>
      <w:r w:rsidRPr="00A34629">
        <w:t xml:space="preserve">. However, </w:t>
      </w:r>
      <w:r>
        <w:t>the evaluation team</w:t>
      </w:r>
      <w:r w:rsidRPr="00A34629">
        <w:t xml:space="preserve"> may release identifying information in some circumstances. For example, </w:t>
      </w:r>
      <w:r>
        <w:t>the team</w:t>
      </w:r>
      <w:r w:rsidRPr="00A34629">
        <w:t xml:space="preserve"> may disclose medical information in cases of medical necessity, or take steps (including notifying authorities) to protect </w:t>
      </w:r>
      <w:r>
        <w:t>participants</w:t>
      </w:r>
      <w:r w:rsidRPr="00A34629">
        <w:t xml:space="preserve"> or someone else from serious harm, including child abuse/neglect. The Multi-Site Evaluation team and Grantee IRBs will also ensure that additional appropriate mechanisms and procedures are in place to protect the </w:t>
      </w:r>
      <w:r>
        <w:t xml:space="preserve">privacy </w:t>
      </w:r>
      <w:r w:rsidRPr="00A34629">
        <w:t xml:space="preserve">of the identifiable information to be obtained in the evaluation. </w:t>
      </w:r>
    </w:p>
    <w:p w:rsidR="00782A43" w:rsidRPr="00A34629" w:rsidRDefault="00782A43" w:rsidP="003D66D7"/>
    <w:p w:rsidR="00782A43" w:rsidRDefault="00782A43">
      <w:pPr>
        <w:ind w:left="720"/>
        <w:rPr>
          <w:u w:val="single"/>
        </w:rPr>
      </w:pPr>
      <w:r w:rsidRPr="00A34629">
        <w:t xml:space="preserve">Respondents will be informed about the purpose of the data collection and that responding to all questions is voluntary. They will be assured that they may stop taking the survey at any time. In addition, specific assurances will be provided to respondents concerning the safety and protection of data collected from them. </w:t>
      </w:r>
    </w:p>
    <w:p w:rsidR="00782A43" w:rsidRPr="00FF0973" w:rsidRDefault="00782A43" w:rsidP="003D66D7">
      <w:bookmarkStart w:id="34" w:name="_Toc131564357"/>
    </w:p>
    <w:bookmarkEnd w:id="34"/>
    <w:p w:rsidR="00782A43" w:rsidRDefault="00782A43">
      <w:pPr>
        <w:ind w:left="720"/>
      </w:pPr>
      <w:r>
        <w:rPr>
          <w:u w:val="single"/>
        </w:rPr>
        <w:lastRenderedPageBreak/>
        <w:t xml:space="preserve">Administrative Staff </w:t>
      </w:r>
      <w:r w:rsidRPr="00FF0973">
        <w:rPr>
          <w:u w:val="single"/>
        </w:rPr>
        <w:t>Semi-</w:t>
      </w:r>
      <w:r>
        <w:rPr>
          <w:u w:val="single"/>
        </w:rPr>
        <w:t>S</w:t>
      </w:r>
      <w:r w:rsidRPr="00FF0973">
        <w:rPr>
          <w:u w:val="single"/>
        </w:rPr>
        <w:t xml:space="preserve">tructured </w:t>
      </w:r>
      <w:r>
        <w:rPr>
          <w:u w:val="single"/>
        </w:rPr>
        <w:t>I</w:t>
      </w:r>
      <w:r w:rsidRPr="00FF0973">
        <w:rPr>
          <w:u w:val="single"/>
        </w:rPr>
        <w:t>nterviews:</w:t>
      </w:r>
      <w:r>
        <w:t xml:space="preserve"> </w:t>
      </w:r>
      <w:r w:rsidRPr="00FF0973">
        <w:t xml:space="preserve">No sensitive information will be collected from </w:t>
      </w:r>
      <w:r>
        <w:t>those i</w:t>
      </w:r>
      <w:r w:rsidRPr="00967F3D">
        <w:t>ndividuals who perform administrative tasks related to the TCE-HIV program (e.g., Project Director, Program Manager, and Executive Director)</w:t>
      </w:r>
      <w:r w:rsidRPr="00FF0973">
        <w:t xml:space="preserve">. The interview staff of the Multi-Site Evaluation </w:t>
      </w:r>
      <w:r>
        <w:t>t</w:t>
      </w:r>
      <w:r w:rsidRPr="00FF0973">
        <w:t xml:space="preserve">eam will obtain signed consent for participation in the interview data collection. Respondents will be informed about the purpose of the data collection and that responding to all interview questions is voluntary. In addition, specific assurances will be provided to respondents concerning the safety and protection of data collected from them. </w:t>
      </w:r>
    </w:p>
    <w:p w:rsidR="00782A43" w:rsidRDefault="00782A43" w:rsidP="003D66D7"/>
    <w:p w:rsidR="00782A43" w:rsidRDefault="00782A43">
      <w:pPr>
        <w:ind w:left="720"/>
      </w:pPr>
      <w:r w:rsidRPr="00842F4B">
        <w:rPr>
          <w:u w:val="single"/>
        </w:rPr>
        <w:t>Direct Services Staff Semi-Structured Interviews:</w:t>
      </w:r>
      <w:r>
        <w:t xml:space="preserve"> </w:t>
      </w:r>
      <w:r w:rsidRPr="00FF0973">
        <w:t>No sensitive information will be collected from</w:t>
      </w:r>
      <w:r>
        <w:t xml:space="preserve"> </w:t>
      </w:r>
      <w:r w:rsidRPr="009015DA">
        <w:t xml:space="preserve">direct </w:t>
      </w:r>
      <w:r>
        <w:t xml:space="preserve">services </w:t>
      </w:r>
      <w:r w:rsidRPr="009015DA">
        <w:t>staff members (e.g., outreach workers, counselors)</w:t>
      </w:r>
      <w:r>
        <w:t xml:space="preserve">. </w:t>
      </w:r>
      <w:r w:rsidRPr="00FF0973">
        <w:t xml:space="preserve">The interview staff of the Multi-Site Evaluation </w:t>
      </w:r>
      <w:r>
        <w:t>t</w:t>
      </w:r>
      <w:r w:rsidRPr="00FF0973">
        <w:t xml:space="preserve">eam will obtain signed consent for participation in the interview data collection. Respondents will be informed about the purpose of the data collection and that responding to all interview questions is voluntary. In addition, specific assurances will be provided to respondents concerning the safety and protection of data collected from them. </w:t>
      </w:r>
    </w:p>
    <w:p w:rsidR="00782A43" w:rsidRDefault="00782A43" w:rsidP="003D66D7">
      <w:pPr>
        <w:rPr>
          <w:u w:val="single"/>
        </w:rPr>
      </w:pPr>
    </w:p>
    <w:p w:rsidR="00782A43" w:rsidRDefault="00782A43">
      <w:pPr>
        <w:ind w:left="720"/>
        <w:rPr>
          <w:u w:val="single"/>
        </w:rPr>
      </w:pPr>
      <w:r>
        <w:rPr>
          <w:u w:val="single"/>
        </w:rPr>
        <w:t xml:space="preserve">Partner/Collaborator Semi-Structured Interviews: </w:t>
      </w:r>
      <w:r w:rsidRPr="00FF0973">
        <w:t>No sensitive information will be collected from</w:t>
      </w:r>
      <w:r>
        <w:t xml:space="preserve"> partner/collaborator (e.g., </w:t>
      </w:r>
      <w:r w:rsidRPr="009015DA">
        <w:t>agencies or organizations that provide services and activities related to the TCE-HIV program</w:t>
      </w:r>
      <w:r>
        <w:t xml:space="preserve">). </w:t>
      </w:r>
      <w:r w:rsidRPr="00FF0973">
        <w:t xml:space="preserve">The interview staff of the Multi-Site Evaluation </w:t>
      </w:r>
      <w:r>
        <w:t>t</w:t>
      </w:r>
      <w:r w:rsidRPr="00FF0973">
        <w:t>eam will obtain signed consent for participation in the interview data collection. Respondents will be informed about the purpose of the data collection and that responding to all interview questions is voluntary. In addition, specific assurances will be provided to respondents concerning the safety and protection of data collected from them.</w:t>
      </w:r>
    </w:p>
    <w:p w:rsidR="00782A43" w:rsidRPr="009A1E41" w:rsidRDefault="00782A43" w:rsidP="003D66D7">
      <w:bookmarkStart w:id="35" w:name="_Toc88277961"/>
      <w:bookmarkStart w:id="36" w:name="_Toc131564358"/>
    </w:p>
    <w:p w:rsidR="00782A43" w:rsidRDefault="00782A43">
      <w:pPr>
        <w:ind w:firstLine="720"/>
      </w:pPr>
      <w:bookmarkStart w:id="37" w:name="_Toc88277990"/>
      <w:bookmarkEnd w:id="35"/>
      <w:bookmarkEnd w:id="36"/>
      <w:r w:rsidRPr="0099072B">
        <w:rPr>
          <w:b/>
          <w:bCs/>
        </w:rPr>
        <w:t>12.</w:t>
      </w:r>
      <w:r w:rsidRPr="0099072B">
        <w:rPr>
          <w:b/>
          <w:bCs/>
        </w:rPr>
        <w:tab/>
      </w:r>
      <w:r w:rsidRPr="0099072B">
        <w:rPr>
          <w:b/>
          <w:bCs/>
          <w:u w:val="single"/>
        </w:rPr>
        <w:t xml:space="preserve">Estimates of </w:t>
      </w:r>
      <w:r>
        <w:rPr>
          <w:b/>
          <w:bCs/>
          <w:u w:val="single"/>
        </w:rPr>
        <w:t>Total</w:t>
      </w:r>
      <w:r w:rsidRPr="0099072B">
        <w:rPr>
          <w:b/>
          <w:bCs/>
          <w:u w:val="single"/>
        </w:rPr>
        <w:t xml:space="preserve"> Hour Burden</w:t>
      </w:r>
    </w:p>
    <w:p w:rsidR="00782A43" w:rsidRPr="0099072B" w:rsidRDefault="00782A43" w:rsidP="00761CAC">
      <w:pPr>
        <w:rPr>
          <w:b/>
          <w:bCs/>
        </w:rPr>
      </w:pPr>
    </w:p>
    <w:p w:rsidR="00782A43" w:rsidRDefault="00782A43">
      <w:pPr>
        <w:ind w:left="720"/>
      </w:pPr>
      <w:proofErr w:type="gramStart"/>
      <w:r w:rsidRPr="007C58FE">
        <w:rPr>
          <w:b/>
          <w:bCs/>
        </w:rPr>
        <w:t xml:space="preserve">Estimate </w:t>
      </w:r>
      <w:r>
        <w:rPr>
          <w:b/>
          <w:bCs/>
        </w:rPr>
        <w:t xml:space="preserve">of </w:t>
      </w:r>
      <w:r w:rsidRPr="007C58FE">
        <w:rPr>
          <w:b/>
          <w:bCs/>
        </w:rPr>
        <w:t xml:space="preserve">the </w:t>
      </w:r>
      <w:r>
        <w:rPr>
          <w:b/>
          <w:bCs/>
        </w:rPr>
        <w:t>Total Hour Burden of the Collection of Information from C</w:t>
      </w:r>
      <w:r w:rsidRPr="007C58FE">
        <w:rPr>
          <w:b/>
          <w:bCs/>
        </w:rPr>
        <w:t>lients.</w:t>
      </w:r>
      <w:proofErr w:type="gramEnd"/>
      <w:r w:rsidRPr="007C58FE">
        <w:t xml:space="preserve"> The total client sample size for the TCE Multi-site data collection effort is estimated to be a maximum of </w:t>
      </w:r>
      <w:r>
        <w:t>4,800</w:t>
      </w:r>
      <w:r w:rsidRPr="007C58FE">
        <w:t xml:space="preserve"> adult respondents (e.g., aged 18 and over). The baseline survey is expected to have a response rate of 100</w:t>
      </w:r>
      <w:r>
        <w:t xml:space="preserve"> percent</w:t>
      </w:r>
      <w:r w:rsidRPr="007C58FE">
        <w:t>, resulting in 4,800 respondents completing the baseline survey. The discharge survey is expected to have a response rate of 10</w:t>
      </w:r>
      <w:r>
        <w:t>0 percent</w:t>
      </w:r>
      <w:r w:rsidRPr="007C58FE">
        <w:t xml:space="preserve"> resulting in 4,800 respondents completing the discharge survey.</w:t>
      </w:r>
      <w:r w:rsidRPr="007C58FE">
        <w:rPr>
          <w:color w:val="0000FF"/>
        </w:rPr>
        <w:t xml:space="preserve"> </w:t>
      </w:r>
      <w:r w:rsidRPr="007C58FE">
        <w:t>The set goal response rate for the 6-month post-baseline survey is 80</w:t>
      </w:r>
      <w:r>
        <w:t xml:space="preserve"> percent</w:t>
      </w:r>
      <w:r w:rsidRPr="007C58FE">
        <w:t xml:space="preserve"> of the baseline sample, resulting in 3,840 respondents</w:t>
      </w:r>
      <w:r>
        <w:t xml:space="preserve"> completing the 6 month post baseline survey. </w:t>
      </w:r>
      <w:r w:rsidRPr="00947188">
        <w:t>The Year 2 and Year 4 treatment focus groups are each expected to have a response rate of 80 percent (i.e., not every Grantee will be able to provide nine clients who are willing to participate), resulting in</w:t>
      </w:r>
      <w:r>
        <w:t xml:space="preserve"> </w:t>
      </w:r>
      <w:r w:rsidRPr="00947188">
        <w:t xml:space="preserve">a total of 720 respondents participating in focus groups. </w:t>
      </w:r>
      <w:r>
        <w:t xml:space="preserve">Based on these response rates, it is expected that client total responses will be </w:t>
      </w:r>
      <w:r w:rsidRPr="00BB36EF">
        <w:t>14,160</w:t>
      </w:r>
      <w:r>
        <w:t xml:space="preserve">. </w:t>
      </w:r>
      <w:r w:rsidRPr="00947188">
        <w:t>Exhibit 5 presents estimates of total</w:t>
      </w:r>
      <w:r>
        <w:t xml:space="preserve"> burden and Exhibit 5a presents estimates of annualized</w:t>
      </w:r>
      <w:r w:rsidRPr="00947188">
        <w:t xml:space="preserve"> burden based on pilot testing.</w:t>
      </w:r>
    </w:p>
    <w:p w:rsidR="00782A43" w:rsidRDefault="00782A43" w:rsidP="00121C85"/>
    <w:p w:rsidR="00782A43" w:rsidRDefault="00782A43">
      <w:pPr>
        <w:ind w:left="720"/>
      </w:pPr>
      <w:r w:rsidRPr="00947188">
        <w:t>The hour burden for the client surveys (i.e., baseline, discharge, 6</w:t>
      </w:r>
      <w:r>
        <w:t xml:space="preserve"> </w:t>
      </w:r>
      <w:r w:rsidRPr="00947188">
        <w:t>month post baseline) is</w:t>
      </w:r>
      <w:r>
        <w:t xml:space="preserve"> </w:t>
      </w:r>
      <w:r w:rsidRPr="00947188">
        <w:t>calculated using the average completion time based on survey pilot testing</w:t>
      </w:r>
      <w:r>
        <w:t xml:space="preserve"> (see Attachment 4 - Document 1</w:t>
      </w:r>
      <w:r w:rsidRPr="005A7873">
        <w:t>).</w:t>
      </w:r>
      <w:r w:rsidRPr="00947188">
        <w:t xml:space="preserve"> The time required to complete the surveys varies with client characteristics, in particular</w:t>
      </w:r>
      <w:r>
        <w:t>,</w:t>
      </w:r>
      <w:r w:rsidRPr="00947188">
        <w:t xml:space="preserve"> substance use behaviors. Based on pilot testing, the </w:t>
      </w:r>
      <w:r w:rsidRPr="00947188">
        <w:lastRenderedPageBreak/>
        <w:t xml:space="preserve">total time to complete the client survey––including time for reviewing instructions, searching existing data sources, gathering and maintaining the data needed, and completing and reviewing the collection of information––was found to be 25 minutes. Exhibit 5 presents estimates of total burden based on pilot testing. </w:t>
      </w:r>
    </w:p>
    <w:p w:rsidR="00782A43" w:rsidRDefault="00782A43" w:rsidP="001E473E"/>
    <w:p w:rsidR="00782A43" w:rsidRDefault="00782A43" w:rsidP="001E473E">
      <w:pPr>
        <w:rPr>
          <w:b/>
          <w:bCs/>
        </w:rPr>
      </w:pPr>
      <w:proofErr w:type="gramStart"/>
      <w:r w:rsidRPr="00CF75CF">
        <w:rPr>
          <w:b/>
          <w:bCs/>
        </w:rPr>
        <w:t>Exhibit 5.</w:t>
      </w:r>
      <w:proofErr w:type="gramEnd"/>
      <w:r w:rsidRPr="00CF75CF">
        <w:rPr>
          <w:b/>
          <w:bCs/>
        </w:rPr>
        <w:t xml:space="preserve"> Multi-site Data Collection Burden for Clients</w:t>
      </w:r>
      <w:r>
        <w:rPr>
          <w:b/>
          <w:bCs/>
        </w:rPr>
        <w:t>,</w:t>
      </w:r>
      <w:r w:rsidRPr="00CF75CF">
        <w:rPr>
          <w:b/>
          <w:bCs/>
        </w:rPr>
        <w:t xml:space="preserve"> Grantee Staff</w:t>
      </w:r>
      <w:r>
        <w:rPr>
          <w:b/>
          <w:bCs/>
        </w:rPr>
        <w:t>,</w:t>
      </w:r>
      <w:r w:rsidRPr="00CF75CF">
        <w:rPr>
          <w:b/>
          <w:bCs/>
        </w:rPr>
        <w:t xml:space="preserve"> and</w:t>
      </w:r>
      <w:r>
        <w:rPr>
          <w:b/>
          <w:bCs/>
        </w:rPr>
        <w:t xml:space="preserve"> Collaborators</w:t>
      </w:r>
    </w:p>
    <w:tbl>
      <w:tblPr>
        <w:tblW w:w="103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470"/>
        <w:gridCol w:w="1290"/>
        <w:gridCol w:w="1218"/>
        <w:gridCol w:w="1080"/>
        <w:gridCol w:w="942"/>
        <w:gridCol w:w="840"/>
        <w:gridCol w:w="1320"/>
      </w:tblGrid>
      <w:tr w:rsidR="00782A43" w:rsidRPr="0099072B">
        <w:tc>
          <w:tcPr>
            <w:tcW w:w="2160" w:type="dxa"/>
          </w:tcPr>
          <w:p w:rsidR="00782A43" w:rsidRPr="0099072B" w:rsidRDefault="00782A43" w:rsidP="00FA03C1">
            <w:pPr>
              <w:jc w:val="center"/>
              <w:rPr>
                <w:b/>
                <w:bCs/>
                <w:sz w:val="20"/>
                <w:szCs w:val="20"/>
              </w:rPr>
            </w:pPr>
            <w:r w:rsidRPr="0099072B">
              <w:rPr>
                <w:b/>
                <w:bCs/>
                <w:sz w:val="20"/>
                <w:szCs w:val="20"/>
              </w:rPr>
              <w:t>Instrument/Activity</w:t>
            </w:r>
          </w:p>
        </w:tc>
        <w:tc>
          <w:tcPr>
            <w:tcW w:w="1470" w:type="dxa"/>
          </w:tcPr>
          <w:p w:rsidR="00782A43" w:rsidRPr="0099072B" w:rsidRDefault="00782A43" w:rsidP="00FA03C1">
            <w:pPr>
              <w:jc w:val="center"/>
              <w:rPr>
                <w:b/>
                <w:bCs/>
                <w:sz w:val="20"/>
                <w:szCs w:val="20"/>
              </w:rPr>
            </w:pPr>
            <w:r w:rsidRPr="0099072B">
              <w:rPr>
                <w:b/>
                <w:bCs/>
                <w:sz w:val="20"/>
                <w:szCs w:val="20"/>
              </w:rPr>
              <w:t>Number of Respondents</w:t>
            </w:r>
          </w:p>
        </w:tc>
        <w:tc>
          <w:tcPr>
            <w:tcW w:w="1290" w:type="dxa"/>
          </w:tcPr>
          <w:p w:rsidR="00782A43" w:rsidRPr="0099072B" w:rsidRDefault="00782A43" w:rsidP="00FA03C1">
            <w:pPr>
              <w:jc w:val="center"/>
              <w:rPr>
                <w:b/>
                <w:bCs/>
                <w:sz w:val="20"/>
                <w:szCs w:val="20"/>
              </w:rPr>
            </w:pPr>
            <w:r w:rsidRPr="0099072B">
              <w:rPr>
                <w:b/>
                <w:bCs/>
                <w:sz w:val="20"/>
                <w:szCs w:val="20"/>
              </w:rPr>
              <w:t>Responses per Respondent</w:t>
            </w:r>
          </w:p>
        </w:tc>
        <w:tc>
          <w:tcPr>
            <w:tcW w:w="1218" w:type="dxa"/>
          </w:tcPr>
          <w:p w:rsidR="00782A43" w:rsidRPr="0099072B" w:rsidRDefault="00782A43" w:rsidP="00FA03C1">
            <w:pPr>
              <w:jc w:val="center"/>
              <w:rPr>
                <w:b/>
                <w:bCs/>
                <w:sz w:val="20"/>
                <w:szCs w:val="20"/>
              </w:rPr>
            </w:pPr>
            <w:r>
              <w:rPr>
                <w:b/>
                <w:bCs/>
                <w:sz w:val="20"/>
                <w:szCs w:val="20"/>
              </w:rPr>
              <w:t>Total Responses</w:t>
            </w:r>
          </w:p>
        </w:tc>
        <w:tc>
          <w:tcPr>
            <w:tcW w:w="1080" w:type="dxa"/>
          </w:tcPr>
          <w:p w:rsidR="00782A43" w:rsidRPr="0099072B" w:rsidRDefault="00782A43" w:rsidP="00FA03C1">
            <w:pPr>
              <w:jc w:val="center"/>
              <w:rPr>
                <w:b/>
                <w:bCs/>
                <w:sz w:val="20"/>
                <w:szCs w:val="20"/>
              </w:rPr>
            </w:pPr>
            <w:r w:rsidRPr="0099072B">
              <w:rPr>
                <w:b/>
                <w:bCs/>
                <w:sz w:val="20"/>
                <w:szCs w:val="20"/>
              </w:rPr>
              <w:t>Hours per Response</w:t>
            </w:r>
          </w:p>
        </w:tc>
        <w:tc>
          <w:tcPr>
            <w:tcW w:w="942" w:type="dxa"/>
          </w:tcPr>
          <w:p w:rsidR="00782A43" w:rsidRPr="0099072B" w:rsidRDefault="00782A43" w:rsidP="00FA03C1">
            <w:pPr>
              <w:jc w:val="center"/>
              <w:rPr>
                <w:b/>
                <w:bCs/>
                <w:sz w:val="20"/>
                <w:szCs w:val="20"/>
              </w:rPr>
            </w:pPr>
            <w:r w:rsidRPr="0099072B">
              <w:rPr>
                <w:b/>
                <w:bCs/>
                <w:sz w:val="20"/>
                <w:szCs w:val="20"/>
              </w:rPr>
              <w:t>Total Burden Hours</w:t>
            </w:r>
          </w:p>
        </w:tc>
        <w:tc>
          <w:tcPr>
            <w:tcW w:w="840" w:type="dxa"/>
          </w:tcPr>
          <w:p w:rsidR="00782A43" w:rsidRPr="0099072B" w:rsidRDefault="00782A43" w:rsidP="00FA03C1">
            <w:pPr>
              <w:jc w:val="center"/>
              <w:rPr>
                <w:b/>
                <w:bCs/>
                <w:sz w:val="20"/>
                <w:szCs w:val="20"/>
              </w:rPr>
            </w:pPr>
            <w:r w:rsidRPr="0099072B">
              <w:rPr>
                <w:b/>
                <w:bCs/>
                <w:sz w:val="20"/>
                <w:szCs w:val="20"/>
              </w:rPr>
              <w:t>Hourly Wage</w:t>
            </w:r>
          </w:p>
        </w:tc>
        <w:tc>
          <w:tcPr>
            <w:tcW w:w="1320" w:type="dxa"/>
          </w:tcPr>
          <w:p w:rsidR="00782A43" w:rsidRPr="0099072B" w:rsidRDefault="00782A43" w:rsidP="00FA03C1">
            <w:pPr>
              <w:jc w:val="center"/>
              <w:rPr>
                <w:b/>
                <w:bCs/>
                <w:sz w:val="20"/>
                <w:szCs w:val="20"/>
              </w:rPr>
            </w:pPr>
            <w:r w:rsidRPr="0099072B">
              <w:rPr>
                <w:b/>
                <w:bCs/>
                <w:sz w:val="20"/>
                <w:szCs w:val="20"/>
              </w:rPr>
              <w:t>Total Respondent Cost</w:t>
            </w:r>
            <w:r w:rsidRPr="0099072B">
              <w:rPr>
                <w:b/>
                <w:bCs/>
                <w:sz w:val="20"/>
                <w:szCs w:val="20"/>
                <w:vertAlign w:val="superscript"/>
              </w:rPr>
              <w:t>a</w:t>
            </w:r>
          </w:p>
        </w:tc>
      </w:tr>
      <w:tr w:rsidR="00782A43" w:rsidRPr="0099072B">
        <w:tc>
          <w:tcPr>
            <w:tcW w:w="2160" w:type="dxa"/>
          </w:tcPr>
          <w:p w:rsidR="00782A43" w:rsidRPr="0099072B" w:rsidRDefault="00782A43" w:rsidP="00FA03C1">
            <w:pPr>
              <w:rPr>
                <w:sz w:val="20"/>
                <w:szCs w:val="20"/>
              </w:rPr>
            </w:pPr>
            <w:r w:rsidRPr="0099072B">
              <w:rPr>
                <w:sz w:val="20"/>
                <w:szCs w:val="20"/>
              </w:rPr>
              <w:t>Baseline data collection (</w:t>
            </w:r>
            <w:r>
              <w:rPr>
                <w:sz w:val="20"/>
                <w:szCs w:val="20"/>
              </w:rPr>
              <w:t>c</w:t>
            </w:r>
            <w:r w:rsidRPr="0099072B">
              <w:rPr>
                <w:sz w:val="20"/>
                <w:szCs w:val="20"/>
              </w:rPr>
              <w:t>lients)</w:t>
            </w:r>
          </w:p>
        </w:tc>
        <w:tc>
          <w:tcPr>
            <w:tcW w:w="1470" w:type="dxa"/>
          </w:tcPr>
          <w:p w:rsidR="00782A43" w:rsidRPr="0099072B" w:rsidRDefault="00782A43" w:rsidP="00FA03C1">
            <w:pPr>
              <w:jc w:val="right"/>
              <w:rPr>
                <w:sz w:val="20"/>
                <w:szCs w:val="20"/>
              </w:rPr>
            </w:pPr>
            <w:r>
              <w:rPr>
                <w:sz w:val="20"/>
                <w:szCs w:val="20"/>
              </w:rPr>
              <w:t>4,800</w:t>
            </w:r>
          </w:p>
        </w:tc>
        <w:tc>
          <w:tcPr>
            <w:tcW w:w="1290" w:type="dxa"/>
          </w:tcPr>
          <w:p w:rsidR="00782A43" w:rsidRPr="0099072B" w:rsidRDefault="00782A43" w:rsidP="00FA03C1">
            <w:pPr>
              <w:jc w:val="right"/>
              <w:rPr>
                <w:sz w:val="20"/>
                <w:szCs w:val="20"/>
              </w:rPr>
            </w:pPr>
            <w:r w:rsidRPr="0099072B">
              <w:rPr>
                <w:sz w:val="20"/>
                <w:szCs w:val="20"/>
              </w:rPr>
              <w:t>1</w:t>
            </w:r>
          </w:p>
        </w:tc>
        <w:tc>
          <w:tcPr>
            <w:tcW w:w="1218" w:type="dxa"/>
          </w:tcPr>
          <w:p w:rsidR="00782A43" w:rsidRPr="0099072B" w:rsidRDefault="00782A43" w:rsidP="00FA03C1">
            <w:pPr>
              <w:jc w:val="right"/>
              <w:rPr>
                <w:sz w:val="20"/>
                <w:szCs w:val="20"/>
              </w:rPr>
            </w:pPr>
            <w:r>
              <w:rPr>
                <w:sz w:val="20"/>
                <w:szCs w:val="20"/>
              </w:rPr>
              <w:t>4,800</w:t>
            </w:r>
          </w:p>
        </w:tc>
        <w:tc>
          <w:tcPr>
            <w:tcW w:w="1080" w:type="dxa"/>
          </w:tcPr>
          <w:p w:rsidR="00782A43" w:rsidRPr="0099072B" w:rsidRDefault="00782A43" w:rsidP="00FA03C1">
            <w:pPr>
              <w:jc w:val="right"/>
              <w:rPr>
                <w:sz w:val="20"/>
                <w:szCs w:val="20"/>
              </w:rPr>
            </w:pPr>
            <w:r w:rsidRPr="0099072B">
              <w:rPr>
                <w:sz w:val="20"/>
                <w:szCs w:val="20"/>
              </w:rPr>
              <w:t xml:space="preserve">.42 </w:t>
            </w:r>
          </w:p>
        </w:tc>
        <w:tc>
          <w:tcPr>
            <w:tcW w:w="942" w:type="dxa"/>
          </w:tcPr>
          <w:p w:rsidR="00782A43" w:rsidRPr="0099072B" w:rsidRDefault="00782A43" w:rsidP="00FA03C1">
            <w:pPr>
              <w:jc w:val="right"/>
              <w:rPr>
                <w:sz w:val="20"/>
                <w:szCs w:val="20"/>
              </w:rPr>
            </w:pPr>
            <w:r>
              <w:rPr>
                <w:sz w:val="20"/>
                <w:szCs w:val="20"/>
              </w:rPr>
              <w:t>2,016</w:t>
            </w:r>
          </w:p>
        </w:tc>
        <w:tc>
          <w:tcPr>
            <w:tcW w:w="840" w:type="dxa"/>
          </w:tcPr>
          <w:p w:rsidR="00782A43" w:rsidRPr="0099072B" w:rsidRDefault="00782A43" w:rsidP="00FA03C1">
            <w:pPr>
              <w:jc w:val="right"/>
              <w:rPr>
                <w:sz w:val="20"/>
                <w:szCs w:val="20"/>
              </w:rPr>
            </w:pPr>
            <w:r>
              <w:rPr>
                <w:sz w:val="20"/>
                <w:szCs w:val="20"/>
              </w:rPr>
              <w:t>$20.32</w:t>
            </w:r>
          </w:p>
        </w:tc>
        <w:tc>
          <w:tcPr>
            <w:tcW w:w="1320" w:type="dxa"/>
          </w:tcPr>
          <w:p w:rsidR="00782A43" w:rsidRPr="0099072B" w:rsidRDefault="00782A43" w:rsidP="00FA03C1">
            <w:pPr>
              <w:jc w:val="right"/>
              <w:rPr>
                <w:sz w:val="20"/>
                <w:szCs w:val="20"/>
                <w:highlight w:val="yellow"/>
              </w:rPr>
            </w:pPr>
            <w:r w:rsidRPr="0099072B">
              <w:rPr>
                <w:sz w:val="20"/>
                <w:szCs w:val="20"/>
              </w:rPr>
              <w:t>$</w:t>
            </w:r>
            <w:r>
              <w:rPr>
                <w:sz w:val="20"/>
                <w:szCs w:val="20"/>
              </w:rPr>
              <w:t>40,965.12</w:t>
            </w:r>
          </w:p>
        </w:tc>
      </w:tr>
      <w:tr w:rsidR="00782A43" w:rsidRPr="0099072B">
        <w:tc>
          <w:tcPr>
            <w:tcW w:w="2160" w:type="dxa"/>
          </w:tcPr>
          <w:p w:rsidR="00782A43" w:rsidRPr="0099072B" w:rsidRDefault="00782A43" w:rsidP="00FA03C1">
            <w:pPr>
              <w:rPr>
                <w:sz w:val="20"/>
                <w:szCs w:val="20"/>
              </w:rPr>
            </w:pPr>
            <w:r w:rsidRPr="0099072B">
              <w:rPr>
                <w:sz w:val="20"/>
                <w:szCs w:val="20"/>
              </w:rPr>
              <w:t xml:space="preserve">Discharge </w:t>
            </w:r>
            <w:r>
              <w:rPr>
                <w:sz w:val="20"/>
                <w:szCs w:val="20"/>
              </w:rPr>
              <w:t>d</w:t>
            </w:r>
            <w:r w:rsidRPr="0099072B">
              <w:rPr>
                <w:sz w:val="20"/>
                <w:szCs w:val="20"/>
              </w:rPr>
              <w:t>ata (</w:t>
            </w:r>
            <w:r>
              <w:rPr>
                <w:sz w:val="20"/>
                <w:szCs w:val="20"/>
              </w:rPr>
              <w:t>c</w:t>
            </w:r>
            <w:r w:rsidRPr="0099072B">
              <w:rPr>
                <w:sz w:val="20"/>
                <w:szCs w:val="20"/>
              </w:rPr>
              <w:t>lients)</w:t>
            </w:r>
          </w:p>
        </w:tc>
        <w:tc>
          <w:tcPr>
            <w:tcW w:w="1470" w:type="dxa"/>
          </w:tcPr>
          <w:p w:rsidR="00782A43" w:rsidRPr="0099072B" w:rsidRDefault="00782A43" w:rsidP="00FA03C1">
            <w:pPr>
              <w:jc w:val="right"/>
              <w:rPr>
                <w:sz w:val="20"/>
                <w:szCs w:val="20"/>
              </w:rPr>
            </w:pPr>
          </w:p>
        </w:tc>
        <w:tc>
          <w:tcPr>
            <w:tcW w:w="1290" w:type="dxa"/>
          </w:tcPr>
          <w:p w:rsidR="00782A43" w:rsidRPr="0099072B" w:rsidRDefault="00782A43" w:rsidP="00FA03C1">
            <w:pPr>
              <w:jc w:val="right"/>
              <w:rPr>
                <w:sz w:val="20"/>
                <w:szCs w:val="20"/>
              </w:rPr>
            </w:pPr>
            <w:r>
              <w:rPr>
                <w:sz w:val="20"/>
                <w:szCs w:val="20"/>
              </w:rPr>
              <w:t>1</w:t>
            </w:r>
          </w:p>
        </w:tc>
        <w:tc>
          <w:tcPr>
            <w:tcW w:w="1218" w:type="dxa"/>
          </w:tcPr>
          <w:p w:rsidR="00782A43" w:rsidRPr="0099072B" w:rsidRDefault="00782A43" w:rsidP="00FA03C1">
            <w:pPr>
              <w:jc w:val="right"/>
              <w:rPr>
                <w:sz w:val="20"/>
                <w:szCs w:val="20"/>
              </w:rPr>
            </w:pPr>
            <w:r>
              <w:rPr>
                <w:sz w:val="20"/>
                <w:szCs w:val="20"/>
              </w:rPr>
              <w:t>4,800</w:t>
            </w:r>
          </w:p>
        </w:tc>
        <w:tc>
          <w:tcPr>
            <w:tcW w:w="1080" w:type="dxa"/>
          </w:tcPr>
          <w:p w:rsidR="00782A43" w:rsidRPr="0099072B" w:rsidRDefault="00782A43" w:rsidP="00FA03C1">
            <w:pPr>
              <w:jc w:val="right"/>
              <w:rPr>
                <w:sz w:val="20"/>
                <w:szCs w:val="20"/>
              </w:rPr>
            </w:pPr>
            <w:r w:rsidRPr="0099072B">
              <w:rPr>
                <w:sz w:val="20"/>
                <w:szCs w:val="20"/>
              </w:rPr>
              <w:t>.42</w:t>
            </w:r>
          </w:p>
        </w:tc>
        <w:tc>
          <w:tcPr>
            <w:tcW w:w="942" w:type="dxa"/>
          </w:tcPr>
          <w:p w:rsidR="00782A43" w:rsidRPr="0099072B" w:rsidRDefault="00782A43" w:rsidP="00FA03C1">
            <w:pPr>
              <w:jc w:val="right"/>
              <w:rPr>
                <w:sz w:val="20"/>
                <w:szCs w:val="20"/>
              </w:rPr>
            </w:pPr>
            <w:r>
              <w:rPr>
                <w:sz w:val="20"/>
                <w:szCs w:val="20"/>
              </w:rPr>
              <w:t>2,016</w:t>
            </w:r>
          </w:p>
        </w:tc>
        <w:tc>
          <w:tcPr>
            <w:tcW w:w="840" w:type="dxa"/>
          </w:tcPr>
          <w:p w:rsidR="00782A43" w:rsidRPr="0099072B" w:rsidRDefault="00782A43" w:rsidP="00FA03C1">
            <w:pPr>
              <w:jc w:val="right"/>
              <w:rPr>
                <w:sz w:val="20"/>
                <w:szCs w:val="20"/>
              </w:rPr>
            </w:pPr>
            <w:r>
              <w:rPr>
                <w:sz w:val="20"/>
                <w:szCs w:val="20"/>
              </w:rPr>
              <w:t>$20.32</w:t>
            </w:r>
          </w:p>
        </w:tc>
        <w:tc>
          <w:tcPr>
            <w:tcW w:w="1320" w:type="dxa"/>
          </w:tcPr>
          <w:p w:rsidR="00782A43" w:rsidRPr="0099072B" w:rsidRDefault="00782A43" w:rsidP="00FA03C1">
            <w:pPr>
              <w:jc w:val="right"/>
              <w:rPr>
                <w:sz w:val="20"/>
                <w:szCs w:val="20"/>
                <w:highlight w:val="yellow"/>
              </w:rPr>
            </w:pPr>
            <w:r w:rsidRPr="0099072B">
              <w:rPr>
                <w:sz w:val="20"/>
                <w:szCs w:val="20"/>
              </w:rPr>
              <w:t>$</w:t>
            </w:r>
            <w:r>
              <w:rPr>
                <w:sz w:val="20"/>
                <w:szCs w:val="20"/>
              </w:rPr>
              <w:t>40,965.12</w:t>
            </w:r>
          </w:p>
        </w:tc>
      </w:tr>
      <w:tr w:rsidR="00782A43" w:rsidRPr="0099072B">
        <w:tc>
          <w:tcPr>
            <w:tcW w:w="2160" w:type="dxa"/>
          </w:tcPr>
          <w:p w:rsidR="00782A43" w:rsidRPr="0099072B" w:rsidRDefault="00782A43" w:rsidP="00FA03C1">
            <w:pPr>
              <w:rPr>
                <w:sz w:val="20"/>
                <w:szCs w:val="20"/>
              </w:rPr>
            </w:pPr>
            <w:r w:rsidRPr="0099072B">
              <w:rPr>
                <w:sz w:val="20"/>
                <w:szCs w:val="20"/>
              </w:rPr>
              <w:t>6</w:t>
            </w:r>
            <w:r>
              <w:rPr>
                <w:sz w:val="20"/>
                <w:szCs w:val="20"/>
              </w:rPr>
              <w:t xml:space="preserve"> </w:t>
            </w:r>
            <w:r w:rsidRPr="0099072B">
              <w:rPr>
                <w:sz w:val="20"/>
                <w:szCs w:val="20"/>
              </w:rPr>
              <w:t>month</w:t>
            </w:r>
            <w:r>
              <w:rPr>
                <w:sz w:val="20"/>
                <w:szCs w:val="20"/>
              </w:rPr>
              <w:t>s</w:t>
            </w:r>
            <w:r w:rsidRPr="0099072B">
              <w:rPr>
                <w:sz w:val="20"/>
                <w:szCs w:val="20"/>
              </w:rPr>
              <w:t xml:space="preserve"> post </w:t>
            </w:r>
            <w:r>
              <w:rPr>
                <w:sz w:val="20"/>
                <w:szCs w:val="20"/>
              </w:rPr>
              <w:t>baseline d</w:t>
            </w:r>
            <w:r w:rsidRPr="0099072B">
              <w:rPr>
                <w:sz w:val="20"/>
                <w:szCs w:val="20"/>
              </w:rPr>
              <w:t>ata collection (</w:t>
            </w:r>
            <w:r>
              <w:rPr>
                <w:sz w:val="20"/>
                <w:szCs w:val="20"/>
              </w:rPr>
              <w:t>c</w:t>
            </w:r>
            <w:r w:rsidRPr="0099072B">
              <w:rPr>
                <w:sz w:val="20"/>
                <w:szCs w:val="20"/>
              </w:rPr>
              <w:t>lients)</w:t>
            </w:r>
          </w:p>
        </w:tc>
        <w:tc>
          <w:tcPr>
            <w:tcW w:w="1470" w:type="dxa"/>
          </w:tcPr>
          <w:p w:rsidR="00782A43" w:rsidRPr="0099072B" w:rsidRDefault="00782A43" w:rsidP="00FA03C1">
            <w:pPr>
              <w:jc w:val="right"/>
              <w:rPr>
                <w:sz w:val="20"/>
                <w:szCs w:val="20"/>
              </w:rPr>
            </w:pPr>
          </w:p>
        </w:tc>
        <w:tc>
          <w:tcPr>
            <w:tcW w:w="1290" w:type="dxa"/>
          </w:tcPr>
          <w:p w:rsidR="00782A43" w:rsidRPr="0099072B" w:rsidRDefault="00782A43" w:rsidP="00FA03C1">
            <w:pPr>
              <w:jc w:val="right"/>
              <w:rPr>
                <w:sz w:val="20"/>
                <w:szCs w:val="20"/>
              </w:rPr>
            </w:pPr>
            <w:r w:rsidRPr="0099072B">
              <w:rPr>
                <w:sz w:val="20"/>
                <w:szCs w:val="20"/>
              </w:rPr>
              <w:t>1</w:t>
            </w:r>
          </w:p>
        </w:tc>
        <w:tc>
          <w:tcPr>
            <w:tcW w:w="1218" w:type="dxa"/>
          </w:tcPr>
          <w:p w:rsidR="00782A43" w:rsidRPr="0099072B" w:rsidRDefault="00782A43" w:rsidP="00FA03C1">
            <w:pPr>
              <w:jc w:val="right"/>
              <w:rPr>
                <w:sz w:val="20"/>
                <w:szCs w:val="20"/>
              </w:rPr>
            </w:pPr>
            <w:r>
              <w:rPr>
                <w:sz w:val="20"/>
                <w:szCs w:val="20"/>
              </w:rPr>
              <w:t>3,840</w:t>
            </w:r>
          </w:p>
        </w:tc>
        <w:tc>
          <w:tcPr>
            <w:tcW w:w="1080" w:type="dxa"/>
          </w:tcPr>
          <w:p w:rsidR="00782A43" w:rsidRPr="0099072B" w:rsidRDefault="00782A43" w:rsidP="00FA03C1">
            <w:pPr>
              <w:jc w:val="right"/>
              <w:rPr>
                <w:sz w:val="20"/>
                <w:szCs w:val="20"/>
              </w:rPr>
            </w:pPr>
            <w:r w:rsidRPr="0099072B">
              <w:rPr>
                <w:sz w:val="20"/>
                <w:szCs w:val="20"/>
              </w:rPr>
              <w:t>.42</w:t>
            </w:r>
            <w:r>
              <w:rPr>
                <w:sz w:val="20"/>
                <w:szCs w:val="20"/>
              </w:rPr>
              <w:t xml:space="preserve"> </w:t>
            </w:r>
          </w:p>
        </w:tc>
        <w:tc>
          <w:tcPr>
            <w:tcW w:w="942" w:type="dxa"/>
          </w:tcPr>
          <w:p w:rsidR="00782A43" w:rsidRPr="0099072B" w:rsidRDefault="00782A43" w:rsidP="00FA03C1">
            <w:pPr>
              <w:jc w:val="right"/>
              <w:rPr>
                <w:sz w:val="20"/>
                <w:szCs w:val="20"/>
              </w:rPr>
            </w:pPr>
            <w:r>
              <w:rPr>
                <w:sz w:val="20"/>
                <w:szCs w:val="20"/>
              </w:rPr>
              <w:t>1,613</w:t>
            </w:r>
          </w:p>
        </w:tc>
        <w:tc>
          <w:tcPr>
            <w:tcW w:w="840" w:type="dxa"/>
          </w:tcPr>
          <w:p w:rsidR="00782A43" w:rsidRPr="0099072B" w:rsidRDefault="00782A43" w:rsidP="00FA03C1">
            <w:pPr>
              <w:jc w:val="right"/>
              <w:rPr>
                <w:sz w:val="20"/>
                <w:szCs w:val="20"/>
              </w:rPr>
            </w:pPr>
            <w:r w:rsidRPr="0099072B">
              <w:rPr>
                <w:sz w:val="20"/>
                <w:szCs w:val="20"/>
              </w:rPr>
              <w:t>$</w:t>
            </w:r>
            <w:r>
              <w:rPr>
                <w:sz w:val="20"/>
                <w:szCs w:val="20"/>
              </w:rPr>
              <w:t>20.32</w:t>
            </w:r>
          </w:p>
        </w:tc>
        <w:tc>
          <w:tcPr>
            <w:tcW w:w="1320" w:type="dxa"/>
          </w:tcPr>
          <w:p w:rsidR="00782A43" w:rsidRPr="0099072B" w:rsidRDefault="00782A43" w:rsidP="00FA03C1">
            <w:pPr>
              <w:jc w:val="right"/>
              <w:rPr>
                <w:sz w:val="20"/>
                <w:szCs w:val="20"/>
                <w:highlight w:val="yellow"/>
              </w:rPr>
            </w:pPr>
            <w:r w:rsidRPr="0099072B">
              <w:rPr>
                <w:sz w:val="20"/>
                <w:szCs w:val="20"/>
              </w:rPr>
              <w:t>$</w:t>
            </w:r>
            <w:r>
              <w:rPr>
                <w:sz w:val="20"/>
                <w:szCs w:val="20"/>
              </w:rPr>
              <w:t>32,776.16</w:t>
            </w:r>
          </w:p>
        </w:tc>
      </w:tr>
      <w:tr w:rsidR="00782A43" w:rsidRPr="0099072B">
        <w:tc>
          <w:tcPr>
            <w:tcW w:w="2160" w:type="dxa"/>
          </w:tcPr>
          <w:p w:rsidR="00782A43" w:rsidRPr="0099072B" w:rsidRDefault="00782A43" w:rsidP="00FA03C1">
            <w:pPr>
              <w:rPr>
                <w:sz w:val="20"/>
                <w:szCs w:val="20"/>
              </w:rPr>
            </w:pPr>
            <w:r w:rsidRPr="0099072B">
              <w:rPr>
                <w:sz w:val="20"/>
                <w:szCs w:val="20"/>
              </w:rPr>
              <w:t xml:space="preserve">Treatment </w:t>
            </w:r>
            <w:r>
              <w:rPr>
                <w:sz w:val="20"/>
                <w:szCs w:val="20"/>
              </w:rPr>
              <w:t>f</w:t>
            </w:r>
            <w:r w:rsidRPr="0099072B">
              <w:rPr>
                <w:sz w:val="20"/>
                <w:szCs w:val="20"/>
              </w:rPr>
              <w:t xml:space="preserve">ocus </w:t>
            </w:r>
            <w:r>
              <w:rPr>
                <w:sz w:val="20"/>
                <w:szCs w:val="20"/>
              </w:rPr>
              <w:t>g</w:t>
            </w:r>
            <w:r w:rsidRPr="0099072B">
              <w:rPr>
                <w:sz w:val="20"/>
                <w:szCs w:val="20"/>
              </w:rPr>
              <w:t xml:space="preserve">roup </w:t>
            </w:r>
            <w:r>
              <w:rPr>
                <w:sz w:val="20"/>
                <w:szCs w:val="20"/>
              </w:rPr>
              <w:t xml:space="preserve">Year 2 </w:t>
            </w:r>
            <w:r w:rsidRPr="0099072B">
              <w:rPr>
                <w:sz w:val="20"/>
                <w:szCs w:val="20"/>
              </w:rPr>
              <w:t>(Client)</w:t>
            </w:r>
          </w:p>
        </w:tc>
        <w:tc>
          <w:tcPr>
            <w:tcW w:w="1470" w:type="dxa"/>
          </w:tcPr>
          <w:p w:rsidR="00782A43" w:rsidRPr="0099072B" w:rsidRDefault="00782A43" w:rsidP="00FA03C1">
            <w:pPr>
              <w:jc w:val="right"/>
              <w:rPr>
                <w:sz w:val="20"/>
                <w:szCs w:val="20"/>
              </w:rPr>
            </w:pPr>
          </w:p>
        </w:tc>
        <w:tc>
          <w:tcPr>
            <w:tcW w:w="1290" w:type="dxa"/>
          </w:tcPr>
          <w:p w:rsidR="00782A43" w:rsidRPr="0099072B" w:rsidRDefault="00782A43" w:rsidP="00FA03C1">
            <w:pPr>
              <w:jc w:val="right"/>
              <w:rPr>
                <w:sz w:val="20"/>
                <w:szCs w:val="20"/>
              </w:rPr>
            </w:pPr>
            <w:r>
              <w:rPr>
                <w:sz w:val="20"/>
                <w:szCs w:val="20"/>
              </w:rPr>
              <w:t>1</w:t>
            </w:r>
          </w:p>
        </w:tc>
        <w:tc>
          <w:tcPr>
            <w:tcW w:w="1218" w:type="dxa"/>
          </w:tcPr>
          <w:p w:rsidR="00782A43" w:rsidRPr="0099072B" w:rsidRDefault="00782A43" w:rsidP="00FA03C1">
            <w:pPr>
              <w:jc w:val="right"/>
              <w:rPr>
                <w:sz w:val="20"/>
                <w:szCs w:val="20"/>
              </w:rPr>
            </w:pPr>
            <w:r>
              <w:rPr>
                <w:sz w:val="20"/>
                <w:szCs w:val="20"/>
              </w:rPr>
              <w:t>360</w:t>
            </w:r>
          </w:p>
        </w:tc>
        <w:tc>
          <w:tcPr>
            <w:tcW w:w="1080" w:type="dxa"/>
          </w:tcPr>
          <w:p w:rsidR="00782A43" w:rsidRPr="0099072B" w:rsidRDefault="00782A43" w:rsidP="00FA03C1">
            <w:pPr>
              <w:jc w:val="right"/>
              <w:rPr>
                <w:sz w:val="20"/>
                <w:szCs w:val="20"/>
              </w:rPr>
            </w:pPr>
            <w:r w:rsidRPr="0099072B">
              <w:rPr>
                <w:sz w:val="20"/>
                <w:szCs w:val="20"/>
              </w:rPr>
              <w:t>1.0</w:t>
            </w:r>
          </w:p>
        </w:tc>
        <w:tc>
          <w:tcPr>
            <w:tcW w:w="942" w:type="dxa"/>
          </w:tcPr>
          <w:p w:rsidR="00782A43" w:rsidRPr="0099072B" w:rsidRDefault="00782A43" w:rsidP="00FA03C1">
            <w:pPr>
              <w:jc w:val="right"/>
              <w:rPr>
                <w:sz w:val="20"/>
                <w:szCs w:val="20"/>
              </w:rPr>
            </w:pPr>
            <w:r>
              <w:rPr>
                <w:sz w:val="20"/>
                <w:szCs w:val="20"/>
              </w:rPr>
              <w:t>360</w:t>
            </w:r>
          </w:p>
        </w:tc>
        <w:tc>
          <w:tcPr>
            <w:tcW w:w="840" w:type="dxa"/>
          </w:tcPr>
          <w:p w:rsidR="00782A43" w:rsidRPr="0099072B" w:rsidRDefault="00782A43" w:rsidP="00FA03C1">
            <w:pPr>
              <w:jc w:val="right"/>
              <w:rPr>
                <w:sz w:val="20"/>
                <w:szCs w:val="20"/>
              </w:rPr>
            </w:pPr>
            <w:r w:rsidRPr="0099072B">
              <w:rPr>
                <w:sz w:val="20"/>
                <w:szCs w:val="20"/>
              </w:rPr>
              <w:t>$</w:t>
            </w:r>
            <w:r>
              <w:rPr>
                <w:sz w:val="20"/>
                <w:szCs w:val="20"/>
              </w:rPr>
              <w:t>20.32</w:t>
            </w:r>
          </w:p>
        </w:tc>
        <w:tc>
          <w:tcPr>
            <w:tcW w:w="1320" w:type="dxa"/>
          </w:tcPr>
          <w:p w:rsidR="00782A43" w:rsidRPr="0099072B" w:rsidRDefault="00782A43" w:rsidP="00FA03C1">
            <w:pPr>
              <w:jc w:val="right"/>
              <w:rPr>
                <w:sz w:val="20"/>
                <w:szCs w:val="20"/>
              </w:rPr>
            </w:pPr>
            <w:r>
              <w:rPr>
                <w:sz w:val="20"/>
                <w:szCs w:val="20"/>
              </w:rPr>
              <w:t>$7,315.21</w:t>
            </w:r>
          </w:p>
        </w:tc>
      </w:tr>
      <w:tr w:rsidR="00782A43" w:rsidRPr="0099072B">
        <w:tc>
          <w:tcPr>
            <w:tcW w:w="2160" w:type="dxa"/>
          </w:tcPr>
          <w:p w:rsidR="00782A43" w:rsidRPr="0099072B" w:rsidRDefault="00782A43" w:rsidP="00FA03C1">
            <w:pPr>
              <w:rPr>
                <w:sz w:val="20"/>
                <w:szCs w:val="20"/>
              </w:rPr>
            </w:pPr>
            <w:r w:rsidRPr="0099072B">
              <w:rPr>
                <w:sz w:val="20"/>
                <w:szCs w:val="20"/>
              </w:rPr>
              <w:t xml:space="preserve">Treatment Focus Group </w:t>
            </w:r>
            <w:r>
              <w:rPr>
                <w:sz w:val="20"/>
                <w:szCs w:val="20"/>
              </w:rPr>
              <w:t xml:space="preserve">Year 4 </w:t>
            </w:r>
            <w:r w:rsidRPr="0099072B">
              <w:rPr>
                <w:sz w:val="20"/>
                <w:szCs w:val="20"/>
              </w:rPr>
              <w:t>(</w:t>
            </w:r>
            <w:r>
              <w:rPr>
                <w:sz w:val="20"/>
                <w:szCs w:val="20"/>
              </w:rPr>
              <w:t>c</w:t>
            </w:r>
            <w:r w:rsidRPr="0099072B">
              <w:rPr>
                <w:sz w:val="20"/>
                <w:szCs w:val="20"/>
              </w:rPr>
              <w:t>lient)</w:t>
            </w:r>
          </w:p>
        </w:tc>
        <w:tc>
          <w:tcPr>
            <w:tcW w:w="1470" w:type="dxa"/>
          </w:tcPr>
          <w:p w:rsidR="00782A43" w:rsidRPr="0099072B" w:rsidRDefault="00782A43" w:rsidP="00FA03C1">
            <w:pPr>
              <w:jc w:val="right"/>
              <w:rPr>
                <w:sz w:val="20"/>
                <w:szCs w:val="20"/>
              </w:rPr>
            </w:pPr>
          </w:p>
        </w:tc>
        <w:tc>
          <w:tcPr>
            <w:tcW w:w="1290" w:type="dxa"/>
          </w:tcPr>
          <w:p w:rsidR="00782A43" w:rsidRPr="0099072B" w:rsidRDefault="00782A43" w:rsidP="00FA03C1">
            <w:pPr>
              <w:jc w:val="right"/>
              <w:rPr>
                <w:sz w:val="20"/>
                <w:szCs w:val="20"/>
              </w:rPr>
            </w:pPr>
            <w:r>
              <w:rPr>
                <w:sz w:val="20"/>
                <w:szCs w:val="20"/>
              </w:rPr>
              <w:t>1</w:t>
            </w:r>
          </w:p>
        </w:tc>
        <w:tc>
          <w:tcPr>
            <w:tcW w:w="1218" w:type="dxa"/>
          </w:tcPr>
          <w:p w:rsidR="00782A43" w:rsidRPr="0099072B" w:rsidRDefault="00782A43" w:rsidP="00FA03C1">
            <w:pPr>
              <w:jc w:val="right"/>
              <w:rPr>
                <w:sz w:val="20"/>
                <w:szCs w:val="20"/>
              </w:rPr>
            </w:pPr>
            <w:r>
              <w:rPr>
                <w:sz w:val="20"/>
                <w:szCs w:val="20"/>
              </w:rPr>
              <w:t>360</w:t>
            </w:r>
          </w:p>
        </w:tc>
        <w:tc>
          <w:tcPr>
            <w:tcW w:w="1080" w:type="dxa"/>
          </w:tcPr>
          <w:p w:rsidR="00782A43" w:rsidRPr="0099072B" w:rsidRDefault="00782A43" w:rsidP="00FA03C1">
            <w:pPr>
              <w:jc w:val="right"/>
              <w:rPr>
                <w:sz w:val="20"/>
                <w:szCs w:val="20"/>
              </w:rPr>
            </w:pPr>
            <w:r w:rsidRPr="0099072B">
              <w:rPr>
                <w:sz w:val="20"/>
                <w:szCs w:val="20"/>
              </w:rPr>
              <w:t>1.0</w:t>
            </w:r>
          </w:p>
        </w:tc>
        <w:tc>
          <w:tcPr>
            <w:tcW w:w="942" w:type="dxa"/>
          </w:tcPr>
          <w:p w:rsidR="00782A43" w:rsidRPr="0099072B" w:rsidRDefault="00782A43" w:rsidP="00FA03C1">
            <w:pPr>
              <w:jc w:val="right"/>
              <w:rPr>
                <w:sz w:val="20"/>
                <w:szCs w:val="20"/>
              </w:rPr>
            </w:pPr>
            <w:r>
              <w:rPr>
                <w:sz w:val="20"/>
                <w:szCs w:val="20"/>
              </w:rPr>
              <w:t>360</w:t>
            </w:r>
          </w:p>
        </w:tc>
        <w:tc>
          <w:tcPr>
            <w:tcW w:w="840" w:type="dxa"/>
          </w:tcPr>
          <w:p w:rsidR="00782A43" w:rsidRPr="0099072B" w:rsidRDefault="00782A43" w:rsidP="00FA03C1">
            <w:pPr>
              <w:jc w:val="right"/>
              <w:rPr>
                <w:sz w:val="20"/>
                <w:szCs w:val="20"/>
              </w:rPr>
            </w:pPr>
            <w:r w:rsidRPr="0099072B">
              <w:rPr>
                <w:sz w:val="20"/>
                <w:szCs w:val="20"/>
              </w:rPr>
              <w:t>$</w:t>
            </w:r>
            <w:r>
              <w:rPr>
                <w:sz w:val="20"/>
                <w:szCs w:val="20"/>
              </w:rPr>
              <w:t>20.32</w:t>
            </w:r>
          </w:p>
        </w:tc>
        <w:tc>
          <w:tcPr>
            <w:tcW w:w="1320" w:type="dxa"/>
          </w:tcPr>
          <w:p w:rsidR="00782A43" w:rsidRPr="0099072B" w:rsidRDefault="00782A43" w:rsidP="00FA03C1">
            <w:pPr>
              <w:jc w:val="right"/>
              <w:rPr>
                <w:sz w:val="20"/>
                <w:szCs w:val="20"/>
              </w:rPr>
            </w:pPr>
            <w:r>
              <w:rPr>
                <w:sz w:val="20"/>
                <w:szCs w:val="20"/>
              </w:rPr>
              <w:t>$7,315.21</w:t>
            </w:r>
          </w:p>
        </w:tc>
      </w:tr>
      <w:tr w:rsidR="00782A43" w:rsidRPr="003378CF">
        <w:tc>
          <w:tcPr>
            <w:tcW w:w="2160" w:type="dxa"/>
          </w:tcPr>
          <w:p w:rsidR="00782A43" w:rsidRPr="003378CF" w:rsidRDefault="00782A43" w:rsidP="00FA03C1">
            <w:pPr>
              <w:rPr>
                <w:sz w:val="20"/>
                <w:szCs w:val="20"/>
              </w:rPr>
            </w:pPr>
            <w:r w:rsidRPr="003378CF">
              <w:rPr>
                <w:sz w:val="20"/>
                <w:szCs w:val="20"/>
              </w:rPr>
              <w:t xml:space="preserve">Client Subtotal </w:t>
            </w:r>
          </w:p>
        </w:tc>
        <w:tc>
          <w:tcPr>
            <w:tcW w:w="1470" w:type="dxa"/>
          </w:tcPr>
          <w:p w:rsidR="00782A43" w:rsidRPr="003378CF" w:rsidRDefault="00782A43" w:rsidP="00FA03C1">
            <w:pPr>
              <w:jc w:val="right"/>
              <w:rPr>
                <w:sz w:val="20"/>
                <w:szCs w:val="20"/>
              </w:rPr>
            </w:pPr>
            <w:r w:rsidRPr="003378CF">
              <w:rPr>
                <w:sz w:val="20"/>
                <w:szCs w:val="20"/>
              </w:rPr>
              <w:t>4,800</w:t>
            </w:r>
          </w:p>
        </w:tc>
        <w:tc>
          <w:tcPr>
            <w:tcW w:w="1290" w:type="dxa"/>
          </w:tcPr>
          <w:p w:rsidR="00782A43" w:rsidRPr="003378CF" w:rsidRDefault="00782A43" w:rsidP="00FA03C1">
            <w:pPr>
              <w:jc w:val="right"/>
              <w:rPr>
                <w:sz w:val="20"/>
                <w:szCs w:val="20"/>
                <w:highlight w:val="cyan"/>
              </w:rPr>
            </w:pPr>
          </w:p>
        </w:tc>
        <w:tc>
          <w:tcPr>
            <w:tcW w:w="1218" w:type="dxa"/>
          </w:tcPr>
          <w:p w:rsidR="00782A43" w:rsidRPr="003378CF" w:rsidRDefault="00782A43" w:rsidP="00FA03C1">
            <w:pPr>
              <w:jc w:val="right"/>
              <w:rPr>
                <w:sz w:val="20"/>
                <w:szCs w:val="20"/>
                <w:highlight w:val="cyan"/>
              </w:rPr>
            </w:pPr>
            <w:r w:rsidRPr="003378CF">
              <w:rPr>
                <w:sz w:val="20"/>
                <w:szCs w:val="20"/>
              </w:rPr>
              <w:t>14,160</w:t>
            </w:r>
          </w:p>
        </w:tc>
        <w:tc>
          <w:tcPr>
            <w:tcW w:w="1080" w:type="dxa"/>
          </w:tcPr>
          <w:p w:rsidR="00782A43" w:rsidRPr="003378CF" w:rsidRDefault="00782A43" w:rsidP="00FA03C1">
            <w:pPr>
              <w:jc w:val="right"/>
              <w:rPr>
                <w:sz w:val="20"/>
                <w:szCs w:val="20"/>
                <w:highlight w:val="cyan"/>
              </w:rPr>
            </w:pPr>
          </w:p>
        </w:tc>
        <w:tc>
          <w:tcPr>
            <w:tcW w:w="942" w:type="dxa"/>
          </w:tcPr>
          <w:p w:rsidR="00782A43" w:rsidRPr="003378CF" w:rsidRDefault="00782A43" w:rsidP="00FA03C1">
            <w:pPr>
              <w:jc w:val="right"/>
              <w:rPr>
                <w:sz w:val="20"/>
                <w:szCs w:val="20"/>
              </w:rPr>
            </w:pPr>
            <w:r w:rsidRPr="003378CF">
              <w:rPr>
                <w:sz w:val="20"/>
                <w:szCs w:val="20"/>
              </w:rPr>
              <w:t>6,365</w:t>
            </w:r>
          </w:p>
        </w:tc>
        <w:tc>
          <w:tcPr>
            <w:tcW w:w="840" w:type="dxa"/>
          </w:tcPr>
          <w:p w:rsidR="00782A43" w:rsidRPr="003378CF" w:rsidRDefault="00782A43" w:rsidP="00FA03C1">
            <w:pPr>
              <w:jc w:val="right"/>
              <w:rPr>
                <w:sz w:val="20"/>
                <w:szCs w:val="20"/>
              </w:rPr>
            </w:pPr>
          </w:p>
        </w:tc>
        <w:tc>
          <w:tcPr>
            <w:tcW w:w="1320" w:type="dxa"/>
          </w:tcPr>
          <w:p w:rsidR="00782A43" w:rsidRPr="003378CF" w:rsidRDefault="00782A43" w:rsidP="00FA03C1">
            <w:pPr>
              <w:jc w:val="right"/>
              <w:rPr>
                <w:sz w:val="20"/>
                <w:szCs w:val="20"/>
              </w:rPr>
            </w:pPr>
            <w:r w:rsidRPr="003378CF">
              <w:rPr>
                <w:sz w:val="20"/>
                <w:szCs w:val="20"/>
              </w:rPr>
              <w:t>$129,336.82</w:t>
            </w:r>
          </w:p>
        </w:tc>
      </w:tr>
      <w:tr w:rsidR="00782A43" w:rsidRPr="0099072B">
        <w:tc>
          <w:tcPr>
            <w:tcW w:w="2160" w:type="dxa"/>
          </w:tcPr>
          <w:p w:rsidR="00782A43" w:rsidRPr="00447AE0" w:rsidRDefault="00782A43" w:rsidP="00FA03C1">
            <w:pPr>
              <w:rPr>
                <w:b/>
                <w:bCs/>
                <w:sz w:val="20"/>
                <w:szCs w:val="20"/>
              </w:rPr>
            </w:pPr>
            <w:r w:rsidRPr="00447AE0">
              <w:rPr>
                <w:b/>
                <w:bCs/>
                <w:sz w:val="20"/>
                <w:szCs w:val="20"/>
              </w:rPr>
              <w:t>Annualized Client Total</w:t>
            </w:r>
          </w:p>
        </w:tc>
        <w:tc>
          <w:tcPr>
            <w:tcW w:w="1470" w:type="dxa"/>
          </w:tcPr>
          <w:p w:rsidR="00782A43" w:rsidRPr="00447AE0" w:rsidRDefault="00782A43" w:rsidP="00FA03C1">
            <w:pPr>
              <w:jc w:val="right"/>
              <w:rPr>
                <w:b/>
                <w:bCs/>
                <w:sz w:val="20"/>
                <w:szCs w:val="20"/>
              </w:rPr>
            </w:pPr>
            <w:r w:rsidRPr="00447AE0">
              <w:rPr>
                <w:b/>
                <w:bCs/>
                <w:sz w:val="20"/>
                <w:szCs w:val="20"/>
              </w:rPr>
              <w:t>1,600</w:t>
            </w:r>
          </w:p>
        </w:tc>
        <w:tc>
          <w:tcPr>
            <w:tcW w:w="1290" w:type="dxa"/>
          </w:tcPr>
          <w:p w:rsidR="00782A43" w:rsidRPr="00447AE0" w:rsidRDefault="00782A43" w:rsidP="00FA03C1">
            <w:pPr>
              <w:jc w:val="right"/>
              <w:rPr>
                <w:b/>
                <w:bCs/>
                <w:sz w:val="20"/>
                <w:szCs w:val="20"/>
              </w:rPr>
            </w:pPr>
            <w:r w:rsidRPr="00447AE0">
              <w:rPr>
                <w:b/>
                <w:bCs/>
                <w:sz w:val="20"/>
                <w:szCs w:val="20"/>
              </w:rPr>
              <w:t>--</w:t>
            </w:r>
          </w:p>
        </w:tc>
        <w:tc>
          <w:tcPr>
            <w:tcW w:w="1218" w:type="dxa"/>
          </w:tcPr>
          <w:p w:rsidR="00782A43" w:rsidRPr="00447AE0" w:rsidRDefault="00782A43" w:rsidP="00FA03C1">
            <w:pPr>
              <w:jc w:val="right"/>
              <w:rPr>
                <w:b/>
                <w:bCs/>
                <w:sz w:val="20"/>
                <w:szCs w:val="20"/>
              </w:rPr>
            </w:pPr>
            <w:r w:rsidRPr="00447AE0">
              <w:rPr>
                <w:b/>
                <w:bCs/>
                <w:sz w:val="20"/>
                <w:szCs w:val="20"/>
              </w:rPr>
              <w:t>4,720</w:t>
            </w:r>
          </w:p>
        </w:tc>
        <w:tc>
          <w:tcPr>
            <w:tcW w:w="1080" w:type="dxa"/>
          </w:tcPr>
          <w:p w:rsidR="00782A43" w:rsidRPr="00447AE0" w:rsidRDefault="00782A43" w:rsidP="00FA03C1">
            <w:pPr>
              <w:jc w:val="right"/>
              <w:rPr>
                <w:b/>
                <w:bCs/>
                <w:sz w:val="20"/>
                <w:szCs w:val="20"/>
              </w:rPr>
            </w:pPr>
            <w:r w:rsidRPr="00447AE0">
              <w:rPr>
                <w:b/>
                <w:bCs/>
                <w:sz w:val="20"/>
                <w:szCs w:val="20"/>
              </w:rPr>
              <w:t>--</w:t>
            </w:r>
          </w:p>
        </w:tc>
        <w:tc>
          <w:tcPr>
            <w:tcW w:w="942" w:type="dxa"/>
          </w:tcPr>
          <w:p w:rsidR="00782A43" w:rsidRPr="00447AE0" w:rsidRDefault="00782A43" w:rsidP="00FA03C1">
            <w:pPr>
              <w:jc w:val="right"/>
              <w:rPr>
                <w:b/>
                <w:bCs/>
                <w:sz w:val="20"/>
                <w:szCs w:val="20"/>
              </w:rPr>
            </w:pPr>
            <w:r w:rsidRPr="00447AE0">
              <w:rPr>
                <w:b/>
                <w:bCs/>
                <w:sz w:val="20"/>
                <w:szCs w:val="20"/>
              </w:rPr>
              <w:t>2,122</w:t>
            </w:r>
          </w:p>
        </w:tc>
        <w:tc>
          <w:tcPr>
            <w:tcW w:w="840" w:type="dxa"/>
          </w:tcPr>
          <w:p w:rsidR="00782A43" w:rsidRPr="00447AE0" w:rsidRDefault="00782A43" w:rsidP="00FA03C1">
            <w:pPr>
              <w:jc w:val="right"/>
              <w:rPr>
                <w:sz w:val="20"/>
                <w:szCs w:val="20"/>
              </w:rPr>
            </w:pPr>
          </w:p>
        </w:tc>
        <w:tc>
          <w:tcPr>
            <w:tcW w:w="1320" w:type="dxa"/>
          </w:tcPr>
          <w:p w:rsidR="00782A43" w:rsidRPr="00447AE0" w:rsidRDefault="00782A43" w:rsidP="00FA03C1">
            <w:pPr>
              <w:jc w:val="right"/>
              <w:rPr>
                <w:sz w:val="20"/>
                <w:szCs w:val="20"/>
              </w:rPr>
            </w:pPr>
          </w:p>
        </w:tc>
      </w:tr>
      <w:tr w:rsidR="00782A43" w:rsidRPr="0099072B">
        <w:tc>
          <w:tcPr>
            <w:tcW w:w="2160" w:type="dxa"/>
          </w:tcPr>
          <w:p w:rsidR="00782A43" w:rsidRPr="0099072B" w:rsidRDefault="00782A43" w:rsidP="00FA03C1">
            <w:pPr>
              <w:rPr>
                <w:sz w:val="20"/>
                <w:szCs w:val="20"/>
              </w:rPr>
            </w:pPr>
            <w:r w:rsidRPr="0099072B">
              <w:rPr>
                <w:sz w:val="20"/>
                <w:szCs w:val="20"/>
              </w:rPr>
              <w:t>Project Director/Program Manager (Semi-Structured Interviews)</w:t>
            </w:r>
          </w:p>
        </w:tc>
        <w:tc>
          <w:tcPr>
            <w:tcW w:w="1470" w:type="dxa"/>
          </w:tcPr>
          <w:p w:rsidR="00782A43" w:rsidRPr="0099072B" w:rsidRDefault="00782A43" w:rsidP="00FA03C1">
            <w:pPr>
              <w:jc w:val="right"/>
              <w:rPr>
                <w:sz w:val="20"/>
                <w:szCs w:val="20"/>
              </w:rPr>
            </w:pPr>
            <w:r>
              <w:rPr>
                <w:sz w:val="20"/>
                <w:szCs w:val="20"/>
              </w:rPr>
              <w:t>96</w:t>
            </w:r>
          </w:p>
        </w:tc>
        <w:tc>
          <w:tcPr>
            <w:tcW w:w="1290" w:type="dxa"/>
          </w:tcPr>
          <w:p w:rsidR="00782A43" w:rsidRPr="0099072B" w:rsidRDefault="00782A43" w:rsidP="00FA03C1">
            <w:pPr>
              <w:jc w:val="right"/>
              <w:rPr>
                <w:sz w:val="20"/>
                <w:szCs w:val="20"/>
              </w:rPr>
            </w:pPr>
            <w:r w:rsidRPr="0099072B">
              <w:rPr>
                <w:sz w:val="20"/>
                <w:szCs w:val="20"/>
              </w:rPr>
              <w:t>2</w:t>
            </w:r>
          </w:p>
        </w:tc>
        <w:tc>
          <w:tcPr>
            <w:tcW w:w="1218" w:type="dxa"/>
          </w:tcPr>
          <w:p w:rsidR="00782A43" w:rsidRDefault="00782A43" w:rsidP="00FA03C1">
            <w:pPr>
              <w:jc w:val="right"/>
              <w:rPr>
                <w:sz w:val="20"/>
                <w:szCs w:val="20"/>
              </w:rPr>
            </w:pPr>
            <w:r>
              <w:rPr>
                <w:sz w:val="20"/>
                <w:szCs w:val="20"/>
              </w:rPr>
              <w:t>192</w:t>
            </w:r>
          </w:p>
        </w:tc>
        <w:tc>
          <w:tcPr>
            <w:tcW w:w="1080" w:type="dxa"/>
          </w:tcPr>
          <w:p w:rsidR="00782A43" w:rsidRPr="0099072B" w:rsidRDefault="00782A43" w:rsidP="00FA03C1">
            <w:pPr>
              <w:jc w:val="right"/>
              <w:rPr>
                <w:sz w:val="20"/>
                <w:szCs w:val="20"/>
              </w:rPr>
            </w:pPr>
            <w:r>
              <w:rPr>
                <w:sz w:val="20"/>
                <w:szCs w:val="20"/>
              </w:rPr>
              <w:t>.7</w:t>
            </w:r>
            <w:r w:rsidRPr="0099072B">
              <w:rPr>
                <w:sz w:val="20"/>
                <w:szCs w:val="20"/>
              </w:rPr>
              <w:t>5</w:t>
            </w:r>
          </w:p>
        </w:tc>
        <w:tc>
          <w:tcPr>
            <w:tcW w:w="942" w:type="dxa"/>
          </w:tcPr>
          <w:p w:rsidR="00782A43" w:rsidRPr="0099072B" w:rsidRDefault="00782A43" w:rsidP="00FA03C1">
            <w:pPr>
              <w:jc w:val="right"/>
              <w:rPr>
                <w:sz w:val="20"/>
                <w:szCs w:val="20"/>
              </w:rPr>
            </w:pPr>
            <w:r>
              <w:rPr>
                <w:sz w:val="20"/>
                <w:szCs w:val="20"/>
              </w:rPr>
              <w:t>144</w:t>
            </w:r>
          </w:p>
        </w:tc>
        <w:tc>
          <w:tcPr>
            <w:tcW w:w="840" w:type="dxa"/>
          </w:tcPr>
          <w:p w:rsidR="00782A43" w:rsidRPr="0099072B" w:rsidRDefault="00782A43" w:rsidP="00FA03C1">
            <w:pPr>
              <w:jc w:val="right"/>
              <w:rPr>
                <w:sz w:val="20"/>
                <w:szCs w:val="20"/>
              </w:rPr>
            </w:pPr>
            <w:r w:rsidRPr="0099072B">
              <w:rPr>
                <w:sz w:val="20"/>
                <w:szCs w:val="20"/>
              </w:rPr>
              <w:t>$</w:t>
            </w:r>
            <w:r>
              <w:rPr>
                <w:sz w:val="20"/>
                <w:szCs w:val="20"/>
              </w:rPr>
              <w:t>29.12</w:t>
            </w:r>
          </w:p>
        </w:tc>
        <w:tc>
          <w:tcPr>
            <w:tcW w:w="1320" w:type="dxa"/>
          </w:tcPr>
          <w:p w:rsidR="00782A43" w:rsidRPr="0099072B" w:rsidRDefault="00782A43" w:rsidP="00FA03C1">
            <w:pPr>
              <w:jc w:val="right"/>
              <w:rPr>
                <w:sz w:val="20"/>
                <w:szCs w:val="20"/>
              </w:rPr>
            </w:pPr>
            <w:r w:rsidRPr="0099072B">
              <w:rPr>
                <w:sz w:val="20"/>
                <w:szCs w:val="20"/>
              </w:rPr>
              <w:t>$</w:t>
            </w:r>
            <w:r>
              <w:rPr>
                <w:sz w:val="20"/>
                <w:szCs w:val="20"/>
              </w:rPr>
              <w:t>4,193.28</w:t>
            </w:r>
          </w:p>
        </w:tc>
      </w:tr>
      <w:tr w:rsidR="00782A43" w:rsidRPr="0099072B">
        <w:tc>
          <w:tcPr>
            <w:tcW w:w="2160" w:type="dxa"/>
          </w:tcPr>
          <w:p w:rsidR="00782A43" w:rsidRPr="00447AE0" w:rsidRDefault="00782A43" w:rsidP="00FA03C1">
            <w:pPr>
              <w:rPr>
                <w:sz w:val="20"/>
                <w:szCs w:val="20"/>
              </w:rPr>
            </w:pPr>
            <w:r w:rsidRPr="00447AE0">
              <w:rPr>
                <w:b/>
                <w:bCs/>
                <w:sz w:val="20"/>
                <w:szCs w:val="20"/>
              </w:rPr>
              <w:t>Annualized PD/PM Total</w:t>
            </w:r>
          </w:p>
        </w:tc>
        <w:tc>
          <w:tcPr>
            <w:tcW w:w="1470" w:type="dxa"/>
          </w:tcPr>
          <w:p w:rsidR="00782A43" w:rsidRPr="00447AE0" w:rsidRDefault="00782A43" w:rsidP="00FA03C1">
            <w:pPr>
              <w:jc w:val="right"/>
              <w:rPr>
                <w:b/>
                <w:bCs/>
                <w:sz w:val="20"/>
                <w:szCs w:val="20"/>
              </w:rPr>
            </w:pPr>
            <w:r w:rsidRPr="00447AE0">
              <w:rPr>
                <w:b/>
                <w:bCs/>
                <w:sz w:val="20"/>
                <w:szCs w:val="20"/>
              </w:rPr>
              <w:t>32</w:t>
            </w:r>
          </w:p>
        </w:tc>
        <w:tc>
          <w:tcPr>
            <w:tcW w:w="1290" w:type="dxa"/>
          </w:tcPr>
          <w:p w:rsidR="00782A43" w:rsidRPr="00447AE0" w:rsidRDefault="00782A43" w:rsidP="00FA03C1">
            <w:pPr>
              <w:jc w:val="right"/>
              <w:rPr>
                <w:b/>
                <w:bCs/>
                <w:sz w:val="20"/>
                <w:szCs w:val="20"/>
              </w:rPr>
            </w:pPr>
            <w:r w:rsidRPr="00447AE0">
              <w:rPr>
                <w:b/>
                <w:bCs/>
                <w:sz w:val="20"/>
                <w:szCs w:val="20"/>
              </w:rPr>
              <w:t>--</w:t>
            </w:r>
          </w:p>
        </w:tc>
        <w:tc>
          <w:tcPr>
            <w:tcW w:w="1218" w:type="dxa"/>
          </w:tcPr>
          <w:p w:rsidR="00782A43" w:rsidRPr="00447AE0" w:rsidRDefault="00782A43" w:rsidP="00FA03C1">
            <w:pPr>
              <w:jc w:val="right"/>
              <w:rPr>
                <w:b/>
                <w:bCs/>
                <w:sz w:val="20"/>
                <w:szCs w:val="20"/>
              </w:rPr>
            </w:pPr>
            <w:r w:rsidRPr="00447AE0">
              <w:rPr>
                <w:b/>
                <w:bCs/>
                <w:sz w:val="20"/>
                <w:szCs w:val="20"/>
              </w:rPr>
              <w:t>64</w:t>
            </w:r>
          </w:p>
        </w:tc>
        <w:tc>
          <w:tcPr>
            <w:tcW w:w="1080" w:type="dxa"/>
          </w:tcPr>
          <w:p w:rsidR="00782A43" w:rsidRPr="00447AE0" w:rsidRDefault="00782A43" w:rsidP="00FA03C1">
            <w:pPr>
              <w:jc w:val="right"/>
              <w:rPr>
                <w:b/>
                <w:bCs/>
                <w:sz w:val="20"/>
                <w:szCs w:val="20"/>
              </w:rPr>
            </w:pPr>
            <w:r w:rsidRPr="00447AE0">
              <w:rPr>
                <w:b/>
                <w:bCs/>
                <w:sz w:val="20"/>
                <w:szCs w:val="20"/>
              </w:rPr>
              <w:t>--</w:t>
            </w:r>
          </w:p>
        </w:tc>
        <w:tc>
          <w:tcPr>
            <w:tcW w:w="942" w:type="dxa"/>
          </w:tcPr>
          <w:p w:rsidR="00782A43" w:rsidRPr="00447AE0" w:rsidRDefault="00782A43" w:rsidP="00FA03C1">
            <w:pPr>
              <w:jc w:val="right"/>
              <w:rPr>
                <w:b/>
                <w:bCs/>
                <w:sz w:val="20"/>
                <w:szCs w:val="20"/>
              </w:rPr>
            </w:pPr>
            <w:r w:rsidRPr="00447AE0">
              <w:rPr>
                <w:b/>
                <w:bCs/>
                <w:sz w:val="20"/>
                <w:szCs w:val="20"/>
              </w:rPr>
              <w:t>48</w:t>
            </w:r>
          </w:p>
        </w:tc>
        <w:tc>
          <w:tcPr>
            <w:tcW w:w="840" w:type="dxa"/>
          </w:tcPr>
          <w:p w:rsidR="00782A43" w:rsidRPr="00447AE0" w:rsidRDefault="00782A43" w:rsidP="00FA03C1">
            <w:pPr>
              <w:tabs>
                <w:tab w:val="left" w:pos="458"/>
              </w:tabs>
              <w:jc w:val="right"/>
              <w:rPr>
                <w:sz w:val="20"/>
                <w:szCs w:val="20"/>
              </w:rPr>
            </w:pPr>
          </w:p>
        </w:tc>
        <w:tc>
          <w:tcPr>
            <w:tcW w:w="1320" w:type="dxa"/>
          </w:tcPr>
          <w:p w:rsidR="00782A43" w:rsidRPr="00447AE0" w:rsidRDefault="00782A43" w:rsidP="00FA03C1">
            <w:pPr>
              <w:jc w:val="right"/>
              <w:rPr>
                <w:sz w:val="20"/>
                <w:szCs w:val="20"/>
              </w:rPr>
            </w:pPr>
          </w:p>
        </w:tc>
      </w:tr>
      <w:tr w:rsidR="00782A43" w:rsidRPr="0099072B">
        <w:tc>
          <w:tcPr>
            <w:tcW w:w="2160" w:type="dxa"/>
          </w:tcPr>
          <w:p w:rsidR="00782A43" w:rsidRPr="0099072B" w:rsidRDefault="00782A43" w:rsidP="00FA03C1">
            <w:pPr>
              <w:rPr>
                <w:sz w:val="20"/>
                <w:szCs w:val="20"/>
              </w:rPr>
            </w:pPr>
            <w:r w:rsidRPr="0099072B">
              <w:rPr>
                <w:sz w:val="20"/>
                <w:szCs w:val="20"/>
              </w:rPr>
              <w:t xml:space="preserve">Grantee </w:t>
            </w:r>
            <w:r>
              <w:rPr>
                <w:sz w:val="20"/>
                <w:szCs w:val="20"/>
              </w:rPr>
              <w:t xml:space="preserve">Direct Services </w:t>
            </w:r>
            <w:r w:rsidRPr="0099072B">
              <w:rPr>
                <w:sz w:val="20"/>
                <w:szCs w:val="20"/>
              </w:rPr>
              <w:t>Staff (Semi-Structured Interviews)</w:t>
            </w:r>
          </w:p>
        </w:tc>
        <w:tc>
          <w:tcPr>
            <w:tcW w:w="1470" w:type="dxa"/>
          </w:tcPr>
          <w:p w:rsidR="00782A43" w:rsidRPr="0099072B" w:rsidRDefault="00782A43" w:rsidP="00FA03C1">
            <w:pPr>
              <w:jc w:val="right"/>
              <w:rPr>
                <w:sz w:val="20"/>
                <w:szCs w:val="20"/>
              </w:rPr>
            </w:pPr>
            <w:r>
              <w:rPr>
                <w:sz w:val="20"/>
                <w:szCs w:val="20"/>
              </w:rPr>
              <w:t>432</w:t>
            </w:r>
          </w:p>
        </w:tc>
        <w:tc>
          <w:tcPr>
            <w:tcW w:w="1290" w:type="dxa"/>
          </w:tcPr>
          <w:p w:rsidR="00782A43" w:rsidRPr="0099072B" w:rsidRDefault="00782A43" w:rsidP="00FA03C1">
            <w:pPr>
              <w:jc w:val="right"/>
              <w:rPr>
                <w:sz w:val="20"/>
                <w:szCs w:val="20"/>
              </w:rPr>
            </w:pPr>
            <w:r w:rsidRPr="0099072B">
              <w:rPr>
                <w:sz w:val="20"/>
                <w:szCs w:val="20"/>
              </w:rPr>
              <w:t>2</w:t>
            </w:r>
          </w:p>
        </w:tc>
        <w:tc>
          <w:tcPr>
            <w:tcW w:w="1218" w:type="dxa"/>
          </w:tcPr>
          <w:p w:rsidR="00782A43" w:rsidRPr="0099072B" w:rsidRDefault="00782A43" w:rsidP="00FA03C1">
            <w:pPr>
              <w:jc w:val="right"/>
              <w:rPr>
                <w:sz w:val="20"/>
                <w:szCs w:val="20"/>
              </w:rPr>
            </w:pPr>
            <w:r>
              <w:rPr>
                <w:sz w:val="20"/>
                <w:szCs w:val="20"/>
              </w:rPr>
              <w:t>864</w:t>
            </w:r>
          </w:p>
        </w:tc>
        <w:tc>
          <w:tcPr>
            <w:tcW w:w="1080" w:type="dxa"/>
          </w:tcPr>
          <w:p w:rsidR="00782A43" w:rsidRPr="0099072B" w:rsidRDefault="00782A43" w:rsidP="00FA03C1">
            <w:pPr>
              <w:jc w:val="right"/>
              <w:rPr>
                <w:sz w:val="20"/>
                <w:szCs w:val="20"/>
              </w:rPr>
            </w:pPr>
            <w:r w:rsidRPr="0099072B">
              <w:rPr>
                <w:sz w:val="20"/>
                <w:szCs w:val="20"/>
              </w:rPr>
              <w:t>1.0</w:t>
            </w:r>
          </w:p>
        </w:tc>
        <w:tc>
          <w:tcPr>
            <w:tcW w:w="942" w:type="dxa"/>
          </w:tcPr>
          <w:p w:rsidR="00782A43" w:rsidRPr="0099072B" w:rsidRDefault="00782A43" w:rsidP="00FA03C1">
            <w:pPr>
              <w:jc w:val="right"/>
              <w:rPr>
                <w:sz w:val="20"/>
                <w:szCs w:val="20"/>
              </w:rPr>
            </w:pPr>
            <w:r>
              <w:rPr>
                <w:sz w:val="20"/>
                <w:szCs w:val="20"/>
              </w:rPr>
              <w:t>864</w:t>
            </w:r>
          </w:p>
        </w:tc>
        <w:tc>
          <w:tcPr>
            <w:tcW w:w="840" w:type="dxa"/>
          </w:tcPr>
          <w:p w:rsidR="00782A43" w:rsidRPr="0099072B" w:rsidRDefault="00782A43" w:rsidP="00FA03C1">
            <w:pPr>
              <w:jc w:val="right"/>
              <w:rPr>
                <w:sz w:val="20"/>
                <w:szCs w:val="20"/>
              </w:rPr>
            </w:pPr>
            <w:r w:rsidRPr="0099072B">
              <w:rPr>
                <w:sz w:val="20"/>
                <w:szCs w:val="20"/>
              </w:rPr>
              <w:t>$</w:t>
            </w:r>
            <w:r>
              <w:rPr>
                <w:sz w:val="20"/>
                <w:szCs w:val="20"/>
              </w:rPr>
              <w:t>19.05</w:t>
            </w:r>
          </w:p>
        </w:tc>
        <w:tc>
          <w:tcPr>
            <w:tcW w:w="1320" w:type="dxa"/>
          </w:tcPr>
          <w:p w:rsidR="00782A43" w:rsidRPr="0099072B" w:rsidRDefault="00782A43" w:rsidP="00FA03C1">
            <w:pPr>
              <w:jc w:val="right"/>
              <w:rPr>
                <w:sz w:val="20"/>
                <w:szCs w:val="20"/>
              </w:rPr>
            </w:pPr>
            <w:r>
              <w:rPr>
                <w:sz w:val="20"/>
                <w:szCs w:val="20"/>
              </w:rPr>
              <w:t>$16,459.20</w:t>
            </w:r>
          </w:p>
        </w:tc>
      </w:tr>
      <w:tr w:rsidR="00782A43" w:rsidRPr="0099072B">
        <w:tc>
          <w:tcPr>
            <w:tcW w:w="2160" w:type="dxa"/>
          </w:tcPr>
          <w:p w:rsidR="00782A43" w:rsidRPr="00447AE0" w:rsidRDefault="00782A43" w:rsidP="00FA03C1">
            <w:pPr>
              <w:rPr>
                <w:sz w:val="20"/>
                <w:szCs w:val="20"/>
              </w:rPr>
            </w:pPr>
            <w:r w:rsidRPr="00447AE0">
              <w:rPr>
                <w:b/>
                <w:bCs/>
                <w:sz w:val="20"/>
                <w:szCs w:val="20"/>
              </w:rPr>
              <w:t>Annualized Service Staff Total</w:t>
            </w:r>
          </w:p>
        </w:tc>
        <w:tc>
          <w:tcPr>
            <w:tcW w:w="1470" w:type="dxa"/>
          </w:tcPr>
          <w:p w:rsidR="00782A43" w:rsidRPr="00447AE0" w:rsidRDefault="00782A43" w:rsidP="00FA03C1">
            <w:pPr>
              <w:jc w:val="right"/>
              <w:rPr>
                <w:b/>
                <w:bCs/>
                <w:sz w:val="20"/>
                <w:szCs w:val="20"/>
              </w:rPr>
            </w:pPr>
            <w:r w:rsidRPr="00447AE0">
              <w:rPr>
                <w:b/>
                <w:bCs/>
                <w:sz w:val="20"/>
                <w:szCs w:val="20"/>
              </w:rPr>
              <w:t>144</w:t>
            </w:r>
          </w:p>
        </w:tc>
        <w:tc>
          <w:tcPr>
            <w:tcW w:w="1290" w:type="dxa"/>
          </w:tcPr>
          <w:p w:rsidR="00782A43" w:rsidRPr="00447AE0" w:rsidRDefault="00782A43" w:rsidP="00FA03C1">
            <w:pPr>
              <w:jc w:val="right"/>
              <w:rPr>
                <w:b/>
                <w:bCs/>
                <w:sz w:val="20"/>
                <w:szCs w:val="20"/>
              </w:rPr>
            </w:pPr>
            <w:r w:rsidRPr="00447AE0">
              <w:rPr>
                <w:b/>
                <w:bCs/>
                <w:sz w:val="20"/>
                <w:szCs w:val="20"/>
              </w:rPr>
              <w:t>--</w:t>
            </w:r>
          </w:p>
        </w:tc>
        <w:tc>
          <w:tcPr>
            <w:tcW w:w="1218" w:type="dxa"/>
          </w:tcPr>
          <w:p w:rsidR="00782A43" w:rsidRPr="00447AE0" w:rsidRDefault="00782A43" w:rsidP="00FA03C1">
            <w:pPr>
              <w:jc w:val="right"/>
              <w:rPr>
                <w:b/>
                <w:bCs/>
                <w:sz w:val="20"/>
                <w:szCs w:val="20"/>
              </w:rPr>
            </w:pPr>
            <w:r w:rsidRPr="00447AE0">
              <w:rPr>
                <w:b/>
                <w:bCs/>
                <w:sz w:val="20"/>
                <w:szCs w:val="20"/>
              </w:rPr>
              <w:t>288</w:t>
            </w:r>
          </w:p>
        </w:tc>
        <w:tc>
          <w:tcPr>
            <w:tcW w:w="1080" w:type="dxa"/>
          </w:tcPr>
          <w:p w:rsidR="00782A43" w:rsidRPr="00447AE0" w:rsidRDefault="00782A43" w:rsidP="00FA03C1">
            <w:pPr>
              <w:jc w:val="right"/>
              <w:rPr>
                <w:b/>
                <w:bCs/>
                <w:sz w:val="20"/>
                <w:szCs w:val="20"/>
              </w:rPr>
            </w:pPr>
            <w:r w:rsidRPr="00447AE0">
              <w:rPr>
                <w:b/>
                <w:bCs/>
                <w:sz w:val="20"/>
                <w:szCs w:val="20"/>
              </w:rPr>
              <w:t>--</w:t>
            </w:r>
          </w:p>
        </w:tc>
        <w:tc>
          <w:tcPr>
            <w:tcW w:w="942" w:type="dxa"/>
          </w:tcPr>
          <w:p w:rsidR="00782A43" w:rsidRPr="00447AE0" w:rsidRDefault="00782A43" w:rsidP="00FA03C1">
            <w:pPr>
              <w:jc w:val="right"/>
              <w:rPr>
                <w:b/>
                <w:bCs/>
                <w:sz w:val="20"/>
                <w:szCs w:val="20"/>
              </w:rPr>
            </w:pPr>
            <w:r w:rsidRPr="00447AE0">
              <w:rPr>
                <w:b/>
                <w:bCs/>
                <w:sz w:val="20"/>
                <w:szCs w:val="20"/>
              </w:rPr>
              <w:t>288</w:t>
            </w:r>
          </w:p>
        </w:tc>
        <w:tc>
          <w:tcPr>
            <w:tcW w:w="840" w:type="dxa"/>
          </w:tcPr>
          <w:p w:rsidR="00782A43" w:rsidRPr="00447AE0" w:rsidRDefault="00782A43" w:rsidP="00FA03C1">
            <w:pPr>
              <w:jc w:val="right"/>
              <w:rPr>
                <w:sz w:val="20"/>
                <w:szCs w:val="20"/>
              </w:rPr>
            </w:pPr>
          </w:p>
        </w:tc>
        <w:tc>
          <w:tcPr>
            <w:tcW w:w="1320" w:type="dxa"/>
          </w:tcPr>
          <w:p w:rsidR="00782A43" w:rsidRPr="00447AE0" w:rsidRDefault="00782A43" w:rsidP="00FA03C1">
            <w:pPr>
              <w:jc w:val="right"/>
              <w:rPr>
                <w:sz w:val="20"/>
                <w:szCs w:val="20"/>
              </w:rPr>
            </w:pPr>
          </w:p>
        </w:tc>
      </w:tr>
      <w:tr w:rsidR="00782A43" w:rsidRPr="0099072B">
        <w:tc>
          <w:tcPr>
            <w:tcW w:w="2160" w:type="dxa"/>
          </w:tcPr>
          <w:p w:rsidR="00782A43" w:rsidRPr="0099072B" w:rsidRDefault="00782A43" w:rsidP="00FA03C1">
            <w:pPr>
              <w:rPr>
                <w:sz w:val="20"/>
                <w:szCs w:val="20"/>
              </w:rPr>
            </w:pPr>
            <w:r w:rsidRPr="0099072B">
              <w:rPr>
                <w:sz w:val="20"/>
                <w:szCs w:val="20"/>
              </w:rPr>
              <w:t>Treatment Dosage Form (C</w:t>
            </w:r>
            <w:r>
              <w:rPr>
                <w:sz w:val="20"/>
                <w:szCs w:val="20"/>
              </w:rPr>
              <w:t>ompleted by program staff</w:t>
            </w:r>
            <w:r w:rsidRPr="0099072B">
              <w:rPr>
                <w:sz w:val="20"/>
                <w:szCs w:val="20"/>
              </w:rPr>
              <w:t xml:space="preserve">) </w:t>
            </w:r>
          </w:p>
        </w:tc>
        <w:tc>
          <w:tcPr>
            <w:tcW w:w="1470" w:type="dxa"/>
          </w:tcPr>
          <w:p w:rsidR="00782A43" w:rsidRPr="0099072B" w:rsidRDefault="00782A43" w:rsidP="00FA03C1">
            <w:pPr>
              <w:jc w:val="right"/>
              <w:rPr>
                <w:sz w:val="20"/>
                <w:szCs w:val="20"/>
              </w:rPr>
            </w:pPr>
            <w:r>
              <w:rPr>
                <w:sz w:val="20"/>
                <w:szCs w:val="20"/>
              </w:rPr>
              <w:t>4,800</w:t>
            </w:r>
          </w:p>
        </w:tc>
        <w:tc>
          <w:tcPr>
            <w:tcW w:w="1290" w:type="dxa"/>
          </w:tcPr>
          <w:p w:rsidR="00782A43" w:rsidRPr="0099072B" w:rsidRDefault="00782A43" w:rsidP="00FA03C1">
            <w:pPr>
              <w:jc w:val="right"/>
              <w:rPr>
                <w:sz w:val="20"/>
                <w:szCs w:val="20"/>
              </w:rPr>
            </w:pPr>
            <w:r w:rsidRPr="0099072B">
              <w:rPr>
                <w:sz w:val="20"/>
                <w:szCs w:val="20"/>
              </w:rPr>
              <w:t>1</w:t>
            </w:r>
          </w:p>
        </w:tc>
        <w:tc>
          <w:tcPr>
            <w:tcW w:w="1218" w:type="dxa"/>
          </w:tcPr>
          <w:p w:rsidR="00782A43" w:rsidRPr="0099072B" w:rsidRDefault="00782A43" w:rsidP="00FA03C1">
            <w:pPr>
              <w:jc w:val="right"/>
              <w:rPr>
                <w:sz w:val="20"/>
                <w:szCs w:val="20"/>
              </w:rPr>
            </w:pPr>
            <w:r>
              <w:rPr>
                <w:sz w:val="20"/>
                <w:szCs w:val="20"/>
              </w:rPr>
              <w:t>4,800</w:t>
            </w:r>
          </w:p>
        </w:tc>
        <w:tc>
          <w:tcPr>
            <w:tcW w:w="1080" w:type="dxa"/>
          </w:tcPr>
          <w:p w:rsidR="00782A43" w:rsidRPr="0099072B" w:rsidRDefault="00782A43" w:rsidP="00FA03C1">
            <w:pPr>
              <w:jc w:val="right"/>
              <w:rPr>
                <w:sz w:val="20"/>
                <w:szCs w:val="20"/>
              </w:rPr>
            </w:pPr>
            <w:r w:rsidRPr="0099072B">
              <w:rPr>
                <w:sz w:val="20"/>
                <w:szCs w:val="20"/>
              </w:rPr>
              <w:t>.25</w:t>
            </w:r>
          </w:p>
        </w:tc>
        <w:tc>
          <w:tcPr>
            <w:tcW w:w="942" w:type="dxa"/>
          </w:tcPr>
          <w:p w:rsidR="00782A43" w:rsidRPr="0099072B" w:rsidRDefault="00782A43" w:rsidP="00FA03C1">
            <w:pPr>
              <w:jc w:val="right"/>
              <w:rPr>
                <w:sz w:val="20"/>
                <w:szCs w:val="20"/>
              </w:rPr>
            </w:pPr>
            <w:r>
              <w:rPr>
                <w:sz w:val="20"/>
                <w:szCs w:val="20"/>
              </w:rPr>
              <w:t>1,200</w:t>
            </w:r>
          </w:p>
        </w:tc>
        <w:tc>
          <w:tcPr>
            <w:tcW w:w="840" w:type="dxa"/>
          </w:tcPr>
          <w:p w:rsidR="00782A43" w:rsidRPr="0099072B" w:rsidRDefault="00782A43" w:rsidP="00FA03C1">
            <w:pPr>
              <w:jc w:val="right"/>
              <w:rPr>
                <w:sz w:val="20"/>
                <w:szCs w:val="20"/>
              </w:rPr>
            </w:pPr>
            <w:r w:rsidRPr="0099072B">
              <w:rPr>
                <w:sz w:val="20"/>
                <w:szCs w:val="20"/>
              </w:rPr>
              <w:t>$</w:t>
            </w:r>
            <w:r>
              <w:rPr>
                <w:sz w:val="20"/>
                <w:szCs w:val="20"/>
              </w:rPr>
              <w:t>19.05</w:t>
            </w:r>
          </w:p>
        </w:tc>
        <w:tc>
          <w:tcPr>
            <w:tcW w:w="1320" w:type="dxa"/>
          </w:tcPr>
          <w:p w:rsidR="00782A43" w:rsidRPr="0099072B" w:rsidRDefault="00782A43" w:rsidP="00FA03C1">
            <w:pPr>
              <w:jc w:val="right"/>
              <w:rPr>
                <w:sz w:val="20"/>
                <w:szCs w:val="20"/>
              </w:rPr>
            </w:pPr>
            <w:r w:rsidRPr="0099072B">
              <w:rPr>
                <w:sz w:val="20"/>
                <w:szCs w:val="20"/>
              </w:rPr>
              <w:t>$</w:t>
            </w:r>
            <w:r>
              <w:rPr>
                <w:sz w:val="20"/>
                <w:szCs w:val="20"/>
              </w:rPr>
              <w:t>22,860.00</w:t>
            </w:r>
          </w:p>
        </w:tc>
      </w:tr>
      <w:tr w:rsidR="00782A43" w:rsidRPr="0099072B">
        <w:tc>
          <w:tcPr>
            <w:tcW w:w="2160" w:type="dxa"/>
          </w:tcPr>
          <w:p w:rsidR="00782A43" w:rsidRPr="00447AE0" w:rsidRDefault="00782A43" w:rsidP="00FA03C1">
            <w:pPr>
              <w:rPr>
                <w:sz w:val="20"/>
                <w:szCs w:val="20"/>
              </w:rPr>
            </w:pPr>
            <w:r w:rsidRPr="00447AE0">
              <w:rPr>
                <w:b/>
                <w:bCs/>
                <w:sz w:val="20"/>
                <w:szCs w:val="20"/>
              </w:rPr>
              <w:t>Annualized Dosage Total</w:t>
            </w:r>
          </w:p>
        </w:tc>
        <w:tc>
          <w:tcPr>
            <w:tcW w:w="1470" w:type="dxa"/>
          </w:tcPr>
          <w:p w:rsidR="00782A43" w:rsidRPr="00447AE0" w:rsidRDefault="00782A43" w:rsidP="00FA03C1">
            <w:pPr>
              <w:jc w:val="right"/>
              <w:rPr>
                <w:b/>
                <w:bCs/>
                <w:sz w:val="20"/>
                <w:szCs w:val="20"/>
              </w:rPr>
            </w:pPr>
            <w:r w:rsidRPr="00447AE0">
              <w:rPr>
                <w:b/>
                <w:bCs/>
                <w:sz w:val="20"/>
                <w:szCs w:val="20"/>
              </w:rPr>
              <w:t>1,600</w:t>
            </w:r>
          </w:p>
        </w:tc>
        <w:tc>
          <w:tcPr>
            <w:tcW w:w="1290" w:type="dxa"/>
          </w:tcPr>
          <w:p w:rsidR="00782A43" w:rsidRPr="00447AE0" w:rsidRDefault="00782A43" w:rsidP="00FA03C1">
            <w:pPr>
              <w:jc w:val="right"/>
              <w:rPr>
                <w:b/>
                <w:bCs/>
                <w:sz w:val="20"/>
                <w:szCs w:val="20"/>
              </w:rPr>
            </w:pPr>
            <w:r w:rsidRPr="00447AE0">
              <w:rPr>
                <w:b/>
                <w:bCs/>
                <w:sz w:val="20"/>
                <w:szCs w:val="20"/>
              </w:rPr>
              <w:t>--</w:t>
            </w:r>
          </w:p>
        </w:tc>
        <w:tc>
          <w:tcPr>
            <w:tcW w:w="1218" w:type="dxa"/>
          </w:tcPr>
          <w:p w:rsidR="00782A43" w:rsidRPr="00447AE0" w:rsidRDefault="00782A43" w:rsidP="00FA03C1">
            <w:pPr>
              <w:jc w:val="right"/>
              <w:rPr>
                <w:b/>
                <w:bCs/>
                <w:sz w:val="20"/>
                <w:szCs w:val="20"/>
              </w:rPr>
            </w:pPr>
            <w:r w:rsidRPr="00447AE0">
              <w:rPr>
                <w:b/>
                <w:bCs/>
                <w:sz w:val="20"/>
                <w:szCs w:val="20"/>
              </w:rPr>
              <w:t>1,600</w:t>
            </w:r>
          </w:p>
        </w:tc>
        <w:tc>
          <w:tcPr>
            <w:tcW w:w="1080" w:type="dxa"/>
          </w:tcPr>
          <w:p w:rsidR="00782A43" w:rsidRPr="00447AE0" w:rsidRDefault="00782A43" w:rsidP="00FA03C1">
            <w:pPr>
              <w:jc w:val="right"/>
              <w:rPr>
                <w:b/>
                <w:bCs/>
                <w:sz w:val="20"/>
                <w:szCs w:val="20"/>
              </w:rPr>
            </w:pPr>
            <w:r w:rsidRPr="00447AE0">
              <w:rPr>
                <w:b/>
                <w:bCs/>
                <w:sz w:val="20"/>
                <w:szCs w:val="20"/>
              </w:rPr>
              <w:t>--</w:t>
            </w:r>
          </w:p>
        </w:tc>
        <w:tc>
          <w:tcPr>
            <w:tcW w:w="942" w:type="dxa"/>
          </w:tcPr>
          <w:p w:rsidR="00782A43" w:rsidRPr="00447AE0" w:rsidRDefault="00782A43" w:rsidP="00FA03C1">
            <w:pPr>
              <w:jc w:val="right"/>
              <w:rPr>
                <w:b/>
                <w:bCs/>
                <w:sz w:val="20"/>
                <w:szCs w:val="20"/>
              </w:rPr>
            </w:pPr>
            <w:r w:rsidRPr="00447AE0">
              <w:rPr>
                <w:b/>
                <w:bCs/>
                <w:sz w:val="20"/>
                <w:szCs w:val="20"/>
              </w:rPr>
              <w:t>400</w:t>
            </w:r>
          </w:p>
        </w:tc>
        <w:tc>
          <w:tcPr>
            <w:tcW w:w="840" w:type="dxa"/>
          </w:tcPr>
          <w:p w:rsidR="00782A43" w:rsidRPr="00447AE0" w:rsidRDefault="00782A43" w:rsidP="00FA03C1">
            <w:pPr>
              <w:jc w:val="right"/>
              <w:rPr>
                <w:sz w:val="20"/>
                <w:szCs w:val="20"/>
              </w:rPr>
            </w:pPr>
          </w:p>
        </w:tc>
        <w:tc>
          <w:tcPr>
            <w:tcW w:w="1320" w:type="dxa"/>
          </w:tcPr>
          <w:p w:rsidR="00782A43" w:rsidRPr="00447AE0" w:rsidRDefault="00782A43" w:rsidP="00FA03C1">
            <w:pPr>
              <w:jc w:val="right"/>
              <w:rPr>
                <w:sz w:val="20"/>
                <w:szCs w:val="20"/>
              </w:rPr>
            </w:pPr>
          </w:p>
        </w:tc>
      </w:tr>
      <w:tr w:rsidR="00782A43" w:rsidRPr="0099072B">
        <w:tc>
          <w:tcPr>
            <w:tcW w:w="2160" w:type="dxa"/>
          </w:tcPr>
          <w:p w:rsidR="00782A43" w:rsidRPr="0099072B" w:rsidRDefault="00782A43" w:rsidP="00FA03C1">
            <w:pPr>
              <w:rPr>
                <w:sz w:val="20"/>
                <w:szCs w:val="20"/>
              </w:rPr>
            </w:pPr>
            <w:r w:rsidRPr="0099072B">
              <w:rPr>
                <w:sz w:val="20"/>
                <w:szCs w:val="20"/>
              </w:rPr>
              <w:t>Community Collaborators (Semi-Structured Interviews)</w:t>
            </w:r>
          </w:p>
        </w:tc>
        <w:tc>
          <w:tcPr>
            <w:tcW w:w="1470" w:type="dxa"/>
          </w:tcPr>
          <w:p w:rsidR="00782A43" w:rsidRPr="0099072B" w:rsidRDefault="00782A43" w:rsidP="00FA03C1">
            <w:pPr>
              <w:jc w:val="right"/>
              <w:rPr>
                <w:sz w:val="20"/>
                <w:szCs w:val="20"/>
              </w:rPr>
            </w:pPr>
            <w:r>
              <w:rPr>
                <w:sz w:val="20"/>
                <w:szCs w:val="20"/>
              </w:rPr>
              <w:t>240</w:t>
            </w:r>
          </w:p>
        </w:tc>
        <w:tc>
          <w:tcPr>
            <w:tcW w:w="1290" w:type="dxa"/>
          </w:tcPr>
          <w:p w:rsidR="00782A43" w:rsidRPr="0099072B" w:rsidRDefault="00782A43" w:rsidP="00FA03C1">
            <w:pPr>
              <w:jc w:val="right"/>
              <w:rPr>
                <w:sz w:val="20"/>
                <w:szCs w:val="20"/>
              </w:rPr>
            </w:pPr>
            <w:r w:rsidRPr="0099072B">
              <w:rPr>
                <w:sz w:val="20"/>
                <w:szCs w:val="20"/>
              </w:rPr>
              <w:t>2</w:t>
            </w:r>
          </w:p>
        </w:tc>
        <w:tc>
          <w:tcPr>
            <w:tcW w:w="1218" w:type="dxa"/>
          </w:tcPr>
          <w:p w:rsidR="00782A43" w:rsidRPr="0099072B" w:rsidRDefault="00782A43" w:rsidP="00FA03C1">
            <w:pPr>
              <w:jc w:val="right"/>
              <w:rPr>
                <w:sz w:val="20"/>
                <w:szCs w:val="20"/>
              </w:rPr>
            </w:pPr>
            <w:r>
              <w:rPr>
                <w:sz w:val="20"/>
                <w:szCs w:val="20"/>
              </w:rPr>
              <w:t>480</w:t>
            </w:r>
          </w:p>
        </w:tc>
        <w:tc>
          <w:tcPr>
            <w:tcW w:w="1080" w:type="dxa"/>
          </w:tcPr>
          <w:p w:rsidR="00782A43" w:rsidRPr="0099072B" w:rsidRDefault="00782A43" w:rsidP="00FA03C1">
            <w:pPr>
              <w:jc w:val="right"/>
              <w:rPr>
                <w:sz w:val="20"/>
                <w:szCs w:val="20"/>
              </w:rPr>
            </w:pPr>
            <w:r w:rsidRPr="0099072B">
              <w:rPr>
                <w:sz w:val="20"/>
                <w:szCs w:val="20"/>
              </w:rPr>
              <w:t>1.0</w:t>
            </w:r>
          </w:p>
        </w:tc>
        <w:tc>
          <w:tcPr>
            <w:tcW w:w="942" w:type="dxa"/>
          </w:tcPr>
          <w:p w:rsidR="00782A43" w:rsidRPr="0099072B" w:rsidRDefault="00782A43" w:rsidP="00FA03C1">
            <w:pPr>
              <w:jc w:val="right"/>
              <w:rPr>
                <w:sz w:val="20"/>
                <w:szCs w:val="20"/>
              </w:rPr>
            </w:pPr>
            <w:r>
              <w:rPr>
                <w:sz w:val="20"/>
                <w:szCs w:val="20"/>
              </w:rPr>
              <w:t>480</w:t>
            </w:r>
          </w:p>
        </w:tc>
        <w:tc>
          <w:tcPr>
            <w:tcW w:w="840" w:type="dxa"/>
          </w:tcPr>
          <w:p w:rsidR="00782A43" w:rsidRPr="0099072B" w:rsidRDefault="00782A43" w:rsidP="00FA03C1">
            <w:pPr>
              <w:jc w:val="right"/>
              <w:rPr>
                <w:sz w:val="20"/>
                <w:szCs w:val="20"/>
              </w:rPr>
            </w:pPr>
            <w:r w:rsidRPr="0099072B">
              <w:rPr>
                <w:sz w:val="20"/>
                <w:szCs w:val="20"/>
              </w:rPr>
              <w:t>$</w:t>
            </w:r>
            <w:r>
              <w:rPr>
                <w:sz w:val="20"/>
                <w:szCs w:val="20"/>
              </w:rPr>
              <w:t>19.21</w:t>
            </w:r>
          </w:p>
        </w:tc>
        <w:tc>
          <w:tcPr>
            <w:tcW w:w="1320" w:type="dxa"/>
          </w:tcPr>
          <w:p w:rsidR="00782A43" w:rsidRPr="0099072B" w:rsidRDefault="00782A43" w:rsidP="00FA03C1">
            <w:pPr>
              <w:jc w:val="right"/>
              <w:rPr>
                <w:sz w:val="20"/>
                <w:szCs w:val="20"/>
              </w:rPr>
            </w:pPr>
            <w:r w:rsidRPr="0099072B">
              <w:rPr>
                <w:sz w:val="20"/>
                <w:szCs w:val="20"/>
              </w:rPr>
              <w:t>$</w:t>
            </w:r>
            <w:r>
              <w:rPr>
                <w:sz w:val="20"/>
                <w:szCs w:val="20"/>
              </w:rPr>
              <w:t>9,220.80</w:t>
            </w:r>
          </w:p>
        </w:tc>
      </w:tr>
      <w:tr w:rsidR="00782A43" w:rsidRPr="003378CF">
        <w:tc>
          <w:tcPr>
            <w:tcW w:w="2160" w:type="dxa"/>
          </w:tcPr>
          <w:p w:rsidR="00782A43" w:rsidRPr="00447AE0" w:rsidRDefault="00782A43" w:rsidP="00FA03C1">
            <w:pPr>
              <w:rPr>
                <w:sz w:val="20"/>
                <w:szCs w:val="20"/>
              </w:rPr>
            </w:pPr>
            <w:r w:rsidRPr="00447AE0">
              <w:rPr>
                <w:b/>
                <w:bCs/>
                <w:sz w:val="20"/>
                <w:szCs w:val="20"/>
              </w:rPr>
              <w:t>Annualized Collaborators Total</w:t>
            </w:r>
          </w:p>
        </w:tc>
        <w:tc>
          <w:tcPr>
            <w:tcW w:w="1470" w:type="dxa"/>
          </w:tcPr>
          <w:p w:rsidR="00782A43" w:rsidRPr="00447AE0" w:rsidRDefault="00782A43" w:rsidP="00FA03C1">
            <w:pPr>
              <w:jc w:val="right"/>
              <w:rPr>
                <w:b/>
                <w:bCs/>
                <w:sz w:val="20"/>
                <w:szCs w:val="20"/>
              </w:rPr>
            </w:pPr>
            <w:r w:rsidRPr="00447AE0">
              <w:rPr>
                <w:b/>
                <w:bCs/>
                <w:sz w:val="20"/>
                <w:szCs w:val="20"/>
              </w:rPr>
              <w:t>80</w:t>
            </w:r>
          </w:p>
        </w:tc>
        <w:tc>
          <w:tcPr>
            <w:tcW w:w="1290" w:type="dxa"/>
          </w:tcPr>
          <w:p w:rsidR="00782A43" w:rsidRPr="00447AE0" w:rsidRDefault="00782A43" w:rsidP="00FA03C1">
            <w:pPr>
              <w:jc w:val="right"/>
              <w:rPr>
                <w:b/>
                <w:bCs/>
                <w:sz w:val="20"/>
                <w:szCs w:val="20"/>
              </w:rPr>
            </w:pPr>
            <w:r w:rsidRPr="00447AE0">
              <w:rPr>
                <w:b/>
                <w:bCs/>
                <w:sz w:val="20"/>
                <w:szCs w:val="20"/>
              </w:rPr>
              <w:t>--</w:t>
            </w:r>
          </w:p>
        </w:tc>
        <w:tc>
          <w:tcPr>
            <w:tcW w:w="1218" w:type="dxa"/>
          </w:tcPr>
          <w:p w:rsidR="00782A43" w:rsidRPr="00447AE0" w:rsidRDefault="00782A43" w:rsidP="00FA03C1">
            <w:pPr>
              <w:jc w:val="right"/>
              <w:rPr>
                <w:b/>
                <w:bCs/>
                <w:sz w:val="20"/>
                <w:szCs w:val="20"/>
              </w:rPr>
            </w:pPr>
            <w:r w:rsidRPr="00447AE0">
              <w:rPr>
                <w:b/>
                <w:bCs/>
                <w:sz w:val="20"/>
                <w:szCs w:val="20"/>
              </w:rPr>
              <w:t>160</w:t>
            </w:r>
          </w:p>
        </w:tc>
        <w:tc>
          <w:tcPr>
            <w:tcW w:w="1080" w:type="dxa"/>
          </w:tcPr>
          <w:p w:rsidR="00782A43" w:rsidRPr="00447AE0" w:rsidRDefault="00782A43" w:rsidP="00FA03C1">
            <w:pPr>
              <w:jc w:val="right"/>
              <w:rPr>
                <w:b/>
                <w:bCs/>
                <w:sz w:val="20"/>
                <w:szCs w:val="20"/>
              </w:rPr>
            </w:pPr>
            <w:r w:rsidRPr="00447AE0">
              <w:rPr>
                <w:b/>
                <w:bCs/>
                <w:sz w:val="20"/>
                <w:szCs w:val="20"/>
              </w:rPr>
              <w:t>--</w:t>
            </w:r>
          </w:p>
        </w:tc>
        <w:tc>
          <w:tcPr>
            <w:tcW w:w="942" w:type="dxa"/>
          </w:tcPr>
          <w:p w:rsidR="00782A43" w:rsidRPr="00447AE0" w:rsidRDefault="00782A43" w:rsidP="00FA03C1">
            <w:pPr>
              <w:jc w:val="right"/>
              <w:rPr>
                <w:b/>
                <w:bCs/>
                <w:sz w:val="20"/>
                <w:szCs w:val="20"/>
              </w:rPr>
            </w:pPr>
            <w:r w:rsidRPr="00447AE0">
              <w:rPr>
                <w:b/>
                <w:bCs/>
                <w:sz w:val="20"/>
                <w:szCs w:val="20"/>
              </w:rPr>
              <w:t>160</w:t>
            </w:r>
          </w:p>
        </w:tc>
        <w:tc>
          <w:tcPr>
            <w:tcW w:w="840" w:type="dxa"/>
          </w:tcPr>
          <w:p w:rsidR="00782A43" w:rsidRPr="00447AE0" w:rsidRDefault="00782A43" w:rsidP="00FA03C1">
            <w:pPr>
              <w:jc w:val="right"/>
              <w:rPr>
                <w:sz w:val="20"/>
                <w:szCs w:val="20"/>
              </w:rPr>
            </w:pPr>
          </w:p>
        </w:tc>
        <w:tc>
          <w:tcPr>
            <w:tcW w:w="1320" w:type="dxa"/>
          </w:tcPr>
          <w:p w:rsidR="00782A43" w:rsidRPr="00447AE0" w:rsidRDefault="00782A43" w:rsidP="00FA03C1">
            <w:pPr>
              <w:jc w:val="right"/>
              <w:rPr>
                <w:sz w:val="20"/>
                <w:szCs w:val="20"/>
              </w:rPr>
            </w:pPr>
          </w:p>
        </w:tc>
      </w:tr>
      <w:tr w:rsidR="00782A43" w:rsidRPr="0099072B">
        <w:tc>
          <w:tcPr>
            <w:tcW w:w="2160" w:type="dxa"/>
          </w:tcPr>
          <w:p w:rsidR="00782A43" w:rsidRPr="00C40A72" w:rsidRDefault="00782A43" w:rsidP="00FA03C1">
            <w:pPr>
              <w:rPr>
                <w:sz w:val="20"/>
                <w:szCs w:val="20"/>
              </w:rPr>
            </w:pPr>
            <w:r w:rsidRPr="00C40A72">
              <w:rPr>
                <w:sz w:val="20"/>
                <w:szCs w:val="20"/>
              </w:rPr>
              <w:t>TOTAL</w:t>
            </w:r>
          </w:p>
        </w:tc>
        <w:tc>
          <w:tcPr>
            <w:tcW w:w="1470" w:type="dxa"/>
          </w:tcPr>
          <w:p w:rsidR="00782A43" w:rsidRPr="0099072B" w:rsidRDefault="00782A43" w:rsidP="00FA03C1">
            <w:pPr>
              <w:jc w:val="right"/>
              <w:rPr>
                <w:sz w:val="20"/>
                <w:szCs w:val="20"/>
              </w:rPr>
            </w:pPr>
            <w:r>
              <w:rPr>
                <w:sz w:val="20"/>
                <w:szCs w:val="20"/>
              </w:rPr>
              <w:t>10,368</w:t>
            </w:r>
          </w:p>
        </w:tc>
        <w:tc>
          <w:tcPr>
            <w:tcW w:w="1290" w:type="dxa"/>
          </w:tcPr>
          <w:p w:rsidR="00782A43" w:rsidRPr="0099072B" w:rsidRDefault="00782A43" w:rsidP="00FA03C1">
            <w:pPr>
              <w:jc w:val="right"/>
              <w:rPr>
                <w:b/>
                <w:bCs/>
                <w:sz w:val="20"/>
                <w:szCs w:val="20"/>
              </w:rPr>
            </w:pPr>
          </w:p>
        </w:tc>
        <w:tc>
          <w:tcPr>
            <w:tcW w:w="1218" w:type="dxa"/>
          </w:tcPr>
          <w:p w:rsidR="00782A43" w:rsidRPr="00B5383D" w:rsidRDefault="00782A43" w:rsidP="00FA03C1">
            <w:pPr>
              <w:jc w:val="right"/>
              <w:rPr>
                <w:sz w:val="20"/>
                <w:szCs w:val="20"/>
              </w:rPr>
            </w:pPr>
            <w:r>
              <w:rPr>
                <w:sz w:val="20"/>
                <w:szCs w:val="20"/>
              </w:rPr>
              <w:t>20,496</w:t>
            </w:r>
          </w:p>
        </w:tc>
        <w:tc>
          <w:tcPr>
            <w:tcW w:w="1080" w:type="dxa"/>
          </w:tcPr>
          <w:p w:rsidR="00782A43" w:rsidRPr="0099072B" w:rsidRDefault="00782A43" w:rsidP="00FA03C1">
            <w:pPr>
              <w:jc w:val="right"/>
              <w:rPr>
                <w:b/>
                <w:bCs/>
                <w:sz w:val="20"/>
                <w:szCs w:val="20"/>
              </w:rPr>
            </w:pPr>
            <w:r w:rsidRPr="0099072B">
              <w:rPr>
                <w:b/>
                <w:bCs/>
                <w:sz w:val="20"/>
                <w:szCs w:val="20"/>
              </w:rPr>
              <w:t xml:space="preserve"> </w:t>
            </w:r>
          </w:p>
        </w:tc>
        <w:tc>
          <w:tcPr>
            <w:tcW w:w="942" w:type="dxa"/>
          </w:tcPr>
          <w:p w:rsidR="00782A43" w:rsidRPr="0099072B" w:rsidRDefault="00782A43" w:rsidP="00FA03C1">
            <w:pPr>
              <w:jc w:val="right"/>
              <w:rPr>
                <w:sz w:val="20"/>
                <w:szCs w:val="20"/>
                <w:highlight w:val="yellow"/>
              </w:rPr>
            </w:pPr>
            <w:r>
              <w:rPr>
                <w:sz w:val="20"/>
                <w:szCs w:val="20"/>
              </w:rPr>
              <w:t>9,053</w:t>
            </w:r>
          </w:p>
        </w:tc>
        <w:tc>
          <w:tcPr>
            <w:tcW w:w="840" w:type="dxa"/>
          </w:tcPr>
          <w:p w:rsidR="00782A43" w:rsidRPr="0099072B" w:rsidRDefault="00782A43" w:rsidP="00FA03C1">
            <w:pPr>
              <w:jc w:val="right"/>
              <w:rPr>
                <w:b/>
                <w:bCs/>
                <w:sz w:val="20"/>
                <w:szCs w:val="20"/>
                <w:highlight w:val="yellow"/>
              </w:rPr>
            </w:pPr>
          </w:p>
        </w:tc>
        <w:tc>
          <w:tcPr>
            <w:tcW w:w="1320" w:type="dxa"/>
          </w:tcPr>
          <w:p w:rsidR="00782A43" w:rsidRPr="0099072B" w:rsidRDefault="00782A43" w:rsidP="00FA03C1">
            <w:pPr>
              <w:jc w:val="right"/>
              <w:rPr>
                <w:b/>
                <w:bCs/>
                <w:sz w:val="20"/>
                <w:szCs w:val="20"/>
                <w:highlight w:val="yellow"/>
              </w:rPr>
            </w:pPr>
            <w:r>
              <w:rPr>
                <w:b/>
                <w:bCs/>
                <w:sz w:val="20"/>
                <w:szCs w:val="20"/>
              </w:rPr>
              <w:t>$182,070.10</w:t>
            </w:r>
          </w:p>
        </w:tc>
      </w:tr>
      <w:tr w:rsidR="00782A43" w:rsidRPr="0099072B">
        <w:tc>
          <w:tcPr>
            <w:tcW w:w="2160" w:type="dxa"/>
          </w:tcPr>
          <w:p w:rsidR="00782A43" w:rsidRPr="00447AE0" w:rsidRDefault="00782A43" w:rsidP="00FA03C1">
            <w:pPr>
              <w:rPr>
                <w:b/>
                <w:bCs/>
                <w:sz w:val="20"/>
                <w:szCs w:val="20"/>
              </w:rPr>
            </w:pPr>
            <w:r w:rsidRPr="00447AE0">
              <w:rPr>
                <w:b/>
                <w:bCs/>
                <w:sz w:val="20"/>
                <w:szCs w:val="20"/>
              </w:rPr>
              <w:t>Annualized Totals (3-year clearance for project)</w:t>
            </w:r>
          </w:p>
        </w:tc>
        <w:tc>
          <w:tcPr>
            <w:tcW w:w="1470" w:type="dxa"/>
          </w:tcPr>
          <w:p w:rsidR="00782A43" w:rsidRPr="00447AE0" w:rsidRDefault="00782A43" w:rsidP="00FA03C1">
            <w:pPr>
              <w:jc w:val="right"/>
              <w:rPr>
                <w:b/>
                <w:bCs/>
                <w:sz w:val="20"/>
                <w:szCs w:val="20"/>
              </w:rPr>
            </w:pPr>
            <w:r w:rsidRPr="00447AE0">
              <w:rPr>
                <w:b/>
                <w:bCs/>
                <w:sz w:val="20"/>
                <w:szCs w:val="20"/>
              </w:rPr>
              <w:t>3,456</w:t>
            </w:r>
          </w:p>
        </w:tc>
        <w:tc>
          <w:tcPr>
            <w:tcW w:w="1290" w:type="dxa"/>
          </w:tcPr>
          <w:p w:rsidR="00782A43" w:rsidRPr="00447AE0" w:rsidRDefault="00782A43" w:rsidP="00FA03C1">
            <w:pPr>
              <w:jc w:val="right"/>
              <w:rPr>
                <w:b/>
                <w:bCs/>
                <w:sz w:val="20"/>
                <w:szCs w:val="20"/>
              </w:rPr>
            </w:pPr>
            <w:r w:rsidRPr="00447AE0">
              <w:rPr>
                <w:b/>
                <w:bCs/>
                <w:sz w:val="20"/>
                <w:szCs w:val="20"/>
              </w:rPr>
              <w:t>--</w:t>
            </w:r>
          </w:p>
        </w:tc>
        <w:tc>
          <w:tcPr>
            <w:tcW w:w="1218" w:type="dxa"/>
          </w:tcPr>
          <w:p w:rsidR="00782A43" w:rsidRPr="00447AE0" w:rsidRDefault="00782A43" w:rsidP="00FA03C1">
            <w:pPr>
              <w:jc w:val="right"/>
              <w:rPr>
                <w:b/>
                <w:bCs/>
                <w:sz w:val="20"/>
                <w:szCs w:val="20"/>
              </w:rPr>
            </w:pPr>
            <w:r w:rsidRPr="00447AE0">
              <w:rPr>
                <w:b/>
                <w:bCs/>
                <w:sz w:val="20"/>
                <w:szCs w:val="20"/>
              </w:rPr>
              <w:t>6,832</w:t>
            </w:r>
          </w:p>
        </w:tc>
        <w:tc>
          <w:tcPr>
            <w:tcW w:w="1080" w:type="dxa"/>
          </w:tcPr>
          <w:p w:rsidR="00782A43" w:rsidRPr="00447AE0" w:rsidRDefault="00782A43" w:rsidP="00FA03C1">
            <w:pPr>
              <w:jc w:val="right"/>
              <w:rPr>
                <w:b/>
                <w:bCs/>
                <w:sz w:val="20"/>
                <w:szCs w:val="20"/>
              </w:rPr>
            </w:pPr>
            <w:r w:rsidRPr="00447AE0">
              <w:rPr>
                <w:b/>
                <w:bCs/>
                <w:sz w:val="20"/>
                <w:szCs w:val="20"/>
              </w:rPr>
              <w:t>--</w:t>
            </w:r>
          </w:p>
        </w:tc>
        <w:tc>
          <w:tcPr>
            <w:tcW w:w="942" w:type="dxa"/>
          </w:tcPr>
          <w:p w:rsidR="00782A43" w:rsidRPr="00447AE0" w:rsidRDefault="00782A43" w:rsidP="00FA03C1">
            <w:pPr>
              <w:jc w:val="right"/>
              <w:rPr>
                <w:b/>
                <w:bCs/>
                <w:sz w:val="20"/>
                <w:szCs w:val="20"/>
              </w:rPr>
            </w:pPr>
            <w:r w:rsidRPr="00447AE0">
              <w:rPr>
                <w:b/>
                <w:bCs/>
                <w:sz w:val="20"/>
                <w:szCs w:val="20"/>
              </w:rPr>
              <w:t>3,018</w:t>
            </w:r>
          </w:p>
        </w:tc>
        <w:tc>
          <w:tcPr>
            <w:tcW w:w="840" w:type="dxa"/>
          </w:tcPr>
          <w:p w:rsidR="00782A43" w:rsidRPr="00447AE0" w:rsidRDefault="00782A43" w:rsidP="00FA03C1">
            <w:pPr>
              <w:jc w:val="right"/>
              <w:rPr>
                <w:b/>
                <w:bCs/>
                <w:sz w:val="20"/>
                <w:szCs w:val="20"/>
                <w:highlight w:val="yellow"/>
              </w:rPr>
            </w:pPr>
            <w:r w:rsidRPr="00447AE0">
              <w:rPr>
                <w:b/>
                <w:bCs/>
                <w:sz w:val="20"/>
                <w:szCs w:val="20"/>
              </w:rPr>
              <w:t>--</w:t>
            </w:r>
          </w:p>
        </w:tc>
        <w:tc>
          <w:tcPr>
            <w:tcW w:w="1320" w:type="dxa"/>
          </w:tcPr>
          <w:p w:rsidR="00782A43" w:rsidRPr="00447AE0" w:rsidRDefault="00782A43" w:rsidP="00FA03C1">
            <w:pPr>
              <w:jc w:val="right"/>
              <w:rPr>
                <w:b/>
                <w:bCs/>
                <w:sz w:val="20"/>
                <w:szCs w:val="20"/>
              </w:rPr>
            </w:pPr>
            <w:r w:rsidRPr="00447AE0">
              <w:rPr>
                <w:b/>
                <w:bCs/>
                <w:sz w:val="20"/>
                <w:szCs w:val="20"/>
              </w:rPr>
              <w:t>--</w:t>
            </w:r>
          </w:p>
        </w:tc>
      </w:tr>
    </w:tbl>
    <w:p w:rsidR="00782A43" w:rsidRDefault="00782A43" w:rsidP="001E473E">
      <w:pPr>
        <w:rPr>
          <w:sz w:val="20"/>
          <w:szCs w:val="20"/>
        </w:rPr>
      </w:pPr>
      <w:bookmarkStart w:id="38" w:name="_Toc46164973"/>
      <w:bookmarkStart w:id="39" w:name="_Toc54417929"/>
      <w:bookmarkStart w:id="40" w:name="_Toc54502939"/>
      <w:proofErr w:type="spellStart"/>
      <w:proofErr w:type="gramStart"/>
      <w:r w:rsidRPr="0099072B">
        <w:rPr>
          <w:sz w:val="20"/>
          <w:szCs w:val="20"/>
          <w:vertAlign w:val="superscript"/>
        </w:rPr>
        <w:t>a</w:t>
      </w:r>
      <w:r w:rsidRPr="0099072B">
        <w:rPr>
          <w:sz w:val="20"/>
          <w:szCs w:val="20"/>
        </w:rPr>
        <w:t>Total</w:t>
      </w:r>
      <w:proofErr w:type="spellEnd"/>
      <w:proofErr w:type="gramEnd"/>
      <w:r w:rsidRPr="0099072B">
        <w:rPr>
          <w:sz w:val="20"/>
          <w:szCs w:val="20"/>
        </w:rPr>
        <w:t xml:space="preserve"> respondent cost is calculated as hourly wage × time spent on survey × number of respondents. </w:t>
      </w:r>
    </w:p>
    <w:bookmarkEnd w:id="38"/>
    <w:bookmarkEnd w:id="39"/>
    <w:bookmarkEnd w:id="40"/>
    <w:p w:rsidR="00782A43" w:rsidRPr="0099072B" w:rsidRDefault="00782A43" w:rsidP="00761CAC">
      <w:pPr>
        <w:rPr>
          <w:b/>
          <w:bCs/>
        </w:rPr>
      </w:pPr>
    </w:p>
    <w:p w:rsidR="00782A43" w:rsidRPr="0099072B" w:rsidRDefault="00782A43" w:rsidP="00973FBA">
      <w:pPr>
        <w:ind w:left="720"/>
        <w:rPr>
          <w:b/>
          <w:bCs/>
        </w:rPr>
      </w:pPr>
      <w:proofErr w:type="gramStart"/>
      <w:r w:rsidRPr="0099072B">
        <w:rPr>
          <w:b/>
          <w:bCs/>
        </w:rPr>
        <w:t xml:space="preserve">Estimate </w:t>
      </w:r>
      <w:r>
        <w:rPr>
          <w:b/>
          <w:bCs/>
        </w:rPr>
        <w:t xml:space="preserve">of </w:t>
      </w:r>
      <w:r w:rsidRPr="0099072B">
        <w:rPr>
          <w:b/>
          <w:bCs/>
        </w:rPr>
        <w:t xml:space="preserve">the </w:t>
      </w:r>
      <w:r>
        <w:rPr>
          <w:b/>
          <w:bCs/>
        </w:rPr>
        <w:t>Total</w:t>
      </w:r>
      <w:r w:rsidRPr="0099072B">
        <w:rPr>
          <w:b/>
          <w:bCs/>
        </w:rPr>
        <w:t xml:space="preserve"> </w:t>
      </w:r>
      <w:r>
        <w:rPr>
          <w:b/>
          <w:bCs/>
        </w:rPr>
        <w:t>H</w:t>
      </w:r>
      <w:r w:rsidRPr="0099072B">
        <w:rPr>
          <w:b/>
          <w:bCs/>
        </w:rPr>
        <w:t xml:space="preserve">our </w:t>
      </w:r>
      <w:r>
        <w:rPr>
          <w:b/>
          <w:bCs/>
        </w:rPr>
        <w:t>B</w:t>
      </w:r>
      <w:r w:rsidRPr="0099072B">
        <w:rPr>
          <w:b/>
          <w:bCs/>
        </w:rPr>
        <w:t xml:space="preserve">urden of the </w:t>
      </w:r>
      <w:r>
        <w:rPr>
          <w:b/>
          <w:bCs/>
        </w:rPr>
        <w:t>C</w:t>
      </w:r>
      <w:r w:rsidRPr="0099072B">
        <w:rPr>
          <w:b/>
          <w:bCs/>
        </w:rPr>
        <w:t xml:space="preserve">ollection of </w:t>
      </w:r>
      <w:r>
        <w:rPr>
          <w:b/>
          <w:bCs/>
        </w:rPr>
        <w:t>I</w:t>
      </w:r>
      <w:r w:rsidRPr="0099072B">
        <w:rPr>
          <w:b/>
          <w:bCs/>
        </w:rPr>
        <w:t xml:space="preserve">nformation from </w:t>
      </w:r>
      <w:r>
        <w:rPr>
          <w:b/>
          <w:bCs/>
        </w:rPr>
        <w:t>P</w:t>
      </w:r>
      <w:r w:rsidRPr="0099072B">
        <w:rPr>
          <w:b/>
          <w:bCs/>
        </w:rPr>
        <w:t xml:space="preserve">roject </w:t>
      </w:r>
      <w:r>
        <w:rPr>
          <w:b/>
          <w:bCs/>
        </w:rPr>
        <w:t>D</w:t>
      </w:r>
      <w:r w:rsidRPr="0099072B">
        <w:rPr>
          <w:b/>
          <w:bCs/>
        </w:rPr>
        <w:t>irectors/</w:t>
      </w:r>
      <w:r>
        <w:rPr>
          <w:b/>
          <w:bCs/>
        </w:rPr>
        <w:t>P</w:t>
      </w:r>
      <w:r w:rsidRPr="0099072B">
        <w:rPr>
          <w:b/>
          <w:bCs/>
        </w:rPr>
        <w:t xml:space="preserve">rogram </w:t>
      </w:r>
      <w:r>
        <w:rPr>
          <w:b/>
          <w:bCs/>
        </w:rPr>
        <w:t>M</w:t>
      </w:r>
      <w:r w:rsidRPr="0099072B">
        <w:rPr>
          <w:b/>
          <w:bCs/>
        </w:rPr>
        <w:t>anagers.</w:t>
      </w:r>
      <w:proofErr w:type="gramEnd"/>
      <w:r w:rsidRPr="0099072B">
        <w:rPr>
          <w:b/>
          <w:bCs/>
        </w:rPr>
        <w:t xml:space="preserve"> </w:t>
      </w:r>
      <w:r w:rsidRPr="0099072B">
        <w:t xml:space="preserve">The total project director/program manager sample size for the TCE </w:t>
      </w:r>
      <w:r>
        <w:t>m</w:t>
      </w:r>
      <w:r w:rsidRPr="0099072B">
        <w:t xml:space="preserve">ulti-site data collection effort is estimated to be a maximum of </w:t>
      </w:r>
      <w:r>
        <w:t>96</w:t>
      </w:r>
      <w:r w:rsidRPr="0099072B">
        <w:t xml:space="preserve"> respondents (4</w:t>
      </w:r>
      <w:r>
        <w:t>8</w:t>
      </w:r>
      <w:r w:rsidRPr="0099072B">
        <w:t xml:space="preserve"> sites, </w:t>
      </w:r>
      <w:r>
        <w:t>2</w:t>
      </w:r>
      <w:r w:rsidRPr="0099072B">
        <w:t xml:space="preserve"> respondent</w:t>
      </w:r>
      <w:r>
        <w:t>s</w:t>
      </w:r>
      <w:r w:rsidRPr="0099072B">
        <w:t xml:space="preserve"> </w:t>
      </w:r>
      <w:r>
        <w:t>at</w:t>
      </w:r>
      <w:r w:rsidRPr="0099072B">
        <w:t xml:space="preserve"> each site). Exhibit </w:t>
      </w:r>
      <w:r>
        <w:t>5</w:t>
      </w:r>
      <w:r w:rsidRPr="0099072B">
        <w:t xml:space="preserve"> presents estimates of </w:t>
      </w:r>
      <w:r>
        <w:t>total</w:t>
      </w:r>
      <w:r w:rsidRPr="0099072B">
        <w:t xml:space="preserve"> burden </w:t>
      </w:r>
      <w:r>
        <w:t xml:space="preserve">and Exhibit 5a presents estimates of annualized burden </w:t>
      </w:r>
      <w:r w:rsidRPr="0099072B">
        <w:t xml:space="preserve">based on </w:t>
      </w:r>
      <w:r>
        <w:t>pilot</w:t>
      </w:r>
      <w:r w:rsidRPr="0099072B">
        <w:t xml:space="preserve"> testing.</w:t>
      </w:r>
    </w:p>
    <w:p w:rsidR="00782A43" w:rsidRDefault="00782A43" w:rsidP="00973FBA">
      <w:pPr>
        <w:ind w:left="720"/>
      </w:pPr>
    </w:p>
    <w:p w:rsidR="00782A43" w:rsidRPr="00947188" w:rsidRDefault="00782A43" w:rsidP="00973FBA">
      <w:pPr>
        <w:ind w:left="720"/>
        <w:rPr>
          <w:b/>
          <w:bCs/>
        </w:rPr>
      </w:pPr>
      <w:r w:rsidRPr="0099072B">
        <w:rPr>
          <w:b/>
          <w:bCs/>
        </w:rPr>
        <w:t xml:space="preserve">Estimate </w:t>
      </w:r>
      <w:r>
        <w:rPr>
          <w:b/>
          <w:bCs/>
        </w:rPr>
        <w:t xml:space="preserve">of </w:t>
      </w:r>
      <w:r w:rsidRPr="0099072B">
        <w:rPr>
          <w:b/>
          <w:bCs/>
        </w:rPr>
        <w:t xml:space="preserve">the </w:t>
      </w:r>
      <w:r>
        <w:rPr>
          <w:b/>
          <w:bCs/>
        </w:rPr>
        <w:t>Total</w:t>
      </w:r>
      <w:r w:rsidRPr="0099072B">
        <w:rPr>
          <w:b/>
          <w:bCs/>
        </w:rPr>
        <w:t xml:space="preserve"> </w:t>
      </w:r>
      <w:r>
        <w:rPr>
          <w:b/>
          <w:bCs/>
        </w:rPr>
        <w:t>h</w:t>
      </w:r>
      <w:r w:rsidRPr="0099072B">
        <w:rPr>
          <w:b/>
          <w:bCs/>
        </w:rPr>
        <w:t xml:space="preserve">our </w:t>
      </w:r>
      <w:r>
        <w:rPr>
          <w:b/>
          <w:bCs/>
        </w:rPr>
        <w:t>B</w:t>
      </w:r>
      <w:r w:rsidRPr="0099072B">
        <w:rPr>
          <w:b/>
          <w:bCs/>
        </w:rPr>
        <w:t xml:space="preserve">urden of the </w:t>
      </w:r>
      <w:r>
        <w:rPr>
          <w:b/>
          <w:bCs/>
        </w:rPr>
        <w:t>C</w:t>
      </w:r>
      <w:r w:rsidRPr="0099072B">
        <w:rPr>
          <w:b/>
          <w:bCs/>
        </w:rPr>
        <w:t xml:space="preserve">ollection of </w:t>
      </w:r>
      <w:r>
        <w:rPr>
          <w:b/>
          <w:bCs/>
        </w:rPr>
        <w:t>I</w:t>
      </w:r>
      <w:r w:rsidRPr="0099072B">
        <w:rPr>
          <w:b/>
          <w:bCs/>
        </w:rPr>
        <w:t xml:space="preserve">nformation from </w:t>
      </w:r>
      <w:r>
        <w:rPr>
          <w:b/>
          <w:bCs/>
        </w:rPr>
        <w:t>G</w:t>
      </w:r>
      <w:r w:rsidRPr="0099072B">
        <w:rPr>
          <w:b/>
          <w:bCs/>
        </w:rPr>
        <w:t xml:space="preserve">rantee </w:t>
      </w:r>
      <w:r>
        <w:rPr>
          <w:b/>
          <w:bCs/>
        </w:rPr>
        <w:t>Direct Services S</w:t>
      </w:r>
      <w:r w:rsidRPr="0099072B">
        <w:rPr>
          <w:b/>
          <w:bCs/>
        </w:rPr>
        <w:t xml:space="preserve">taff. </w:t>
      </w:r>
      <w:r w:rsidRPr="0099072B">
        <w:t xml:space="preserve">The total grantee staff sample size for the TCE </w:t>
      </w:r>
      <w:r>
        <w:t>m</w:t>
      </w:r>
      <w:r w:rsidRPr="0099072B">
        <w:t xml:space="preserve">ulti-site </w:t>
      </w:r>
      <w:r>
        <w:t xml:space="preserve">qualitative </w:t>
      </w:r>
      <w:r w:rsidRPr="0099072B">
        <w:t>data collection effort is estimated to be a maximum of 4</w:t>
      </w:r>
      <w:r>
        <w:t>32</w:t>
      </w:r>
      <w:r w:rsidRPr="0099072B">
        <w:t xml:space="preserve"> respondents (4</w:t>
      </w:r>
      <w:r>
        <w:t>8</w:t>
      </w:r>
      <w:r w:rsidRPr="0099072B">
        <w:t xml:space="preserve"> sites, 9 respondents in each site). Exhibit </w:t>
      </w:r>
      <w:r>
        <w:t>5</w:t>
      </w:r>
      <w:r w:rsidRPr="0099072B">
        <w:t xml:space="preserve"> presents estimates of </w:t>
      </w:r>
      <w:r>
        <w:t>total</w:t>
      </w:r>
      <w:r w:rsidRPr="0099072B">
        <w:t xml:space="preserve"> burden </w:t>
      </w:r>
      <w:r>
        <w:t xml:space="preserve">and Exhibit 5a presents estimates of annualized burden </w:t>
      </w:r>
      <w:r w:rsidRPr="0099072B">
        <w:t xml:space="preserve">based on </w:t>
      </w:r>
      <w:r>
        <w:t>pilot</w:t>
      </w:r>
      <w:r w:rsidRPr="0099072B">
        <w:t xml:space="preserve"> testing</w:t>
      </w:r>
      <w:r w:rsidRPr="00947188">
        <w:t xml:space="preserve">. </w:t>
      </w:r>
    </w:p>
    <w:p w:rsidR="00782A43" w:rsidRPr="00947188" w:rsidRDefault="00782A43" w:rsidP="00973FBA">
      <w:pPr>
        <w:ind w:left="720"/>
      </w:pPr>
    </w:p>
    <w:p w:rsidR="00782A43" w:rsidRPr="00947188" w:rsidRDefault="00782A43" w:rsidP="00973FBA">
      <w:pPr>
        <w:ind w:left="720"/>
        <w:rPr>
          <w:b/>
          <w:bCs/>
        </w:rPr>
      </w:pPr>
      <w:r w:rsidRPr="00947188">
        <w:t xml:space="preserve">The client treatment dosage form which is completed by </w:t>
      </w:r>
      <w:r>
        <w:t>G</w:t>
      </w:r>
      <w:r w:rsidRPr="00947188">
        <w:t xml:space="preserve">rantee staff is expected to have a response rate of 100 percent, resulting in the treatment dosage forms being completed at discharge for 4,800 treatment clients with the total time to complete the dosage form being 15 minutes. </w:t>
      </w:r>
      <w:r w:rsidRPr="0099072B">
        <w:t xml:space="preserve">Exhibit </w:t>
      </w:r>
      <w:r>
        <w:t>5</w:t>
      </w:r>
      <w:r w:rsidRPr="0099072B">
        <w:t xml:space="preserve"> presents estimates of </w:t>
      </w:r>
      <w:r>
        <w:t>total</w:t>
      </w:r>
      <w:r w:rsidRPr="0099072B">
        <w:t xml:space="preserve"> burden </w:t>
      </w:r>
      <w:r>
        <w:t xml:space="preserve">and Exhibit 5a presents estimates of annualized burden </w:t>
      </w:r>
      <w:r w:rsidRPr="0099072B">
        <w:t xml:space="preserve">based on </w:t>
      </w:r>
      <w:r>
        <w:t>pilot</w:t>
      </w:r>
      <w:r w:rsidRPr="0099072B">
        <w:t xml:space="preserve"> testing</w:t>
      </w:r>
      <w:r w:rsidRPr="00947188">
        <w:t>.</w:t>
      </w:r>
    </w:p>
    <w:p w:rsidR="00782A43" w:rsidRPr="00947188" w:rsidRDefault="00782A43" w:rsidP="0078665A"/>
    <w:p w:rsidR="00782A43" w:rsidRDefault="00782A43" w:rsidP="00973FBA">
      <w:pPr>
        <w:ind w:left="720"/>
      </w:pPr>
      <w:proofErr w:type="gramStart"/>
      <w:r w:rsidRPr="00947188">
        <w:rPr>
          <w:b/>
          <w:bCs/>
        </w:rPr>
        <w:t xml:space="preserve">Estimate </w:t>
      </w:r>
      <w:r>
        <w:rPr>
          <w:b/>
          <w:bCs/>
        </w:rPr>
        <w:t xml:space="preserve">of </w:t>
      </w:r>
      <w:r w:rsidRPr="00947188">
        <w:rPr>
          <w:b/>
          <w:bCs/>
        </w:rPr>
        <w:t>the Total Hour Burden of the Collection of Information from Community Collaborators.</w:t>
      </w:r>
      <w:proofErr w:type="gramEnd"/>
      <w:r w:rsidRPr="00947188">
        <w:rPr>
          <w:b/>
          <w:bCs/>
        </w:rPr>
        <w:t xml:space="preserve"> </w:t>
      </w:r>
      <w:r w:rsidRPr="00947188">
        <w:t xml:space="preserve">The total community collaborator sample size for the TCE-HIV multi-site data collection effort is estimated to be a maximum of 240 respondents (48 sites, 5 respondents in each site). </w:t>
      </w:r>
      <w:r w:rsidRPr="0099072B">
        <w:t xml:space="preserve">Exhibit </w:t>
      </w:r>
      <w:r>
        <w:t>5</w:t>
      </w:r>
      <w:r w:rsidRPr="0099072B">
        <w:t xml:space="preserve"> presents estimates of </w:t>
      </w:r>
      <w:r>
        <w:t>total</w:t>
      </w:r>
      <w:r w:rsidRPr="0099072B">
        <w:t xml:space="preserve"> burden </w:t>
      </w:r>
      <w:r>
        <w:t xml:space="preserve">and Exhibit 5a presents estimates of annualized burden </w:t>
      </w:r>
      <w:r w:rsidRPr="0099072B">
        <w:t xml:space="preserve">based on </w:t>
      </w:r>
      <w:r>
        <w:t>pilot</w:t>
      </w:r>
      <w:r w:rsidRPr="0099072B">
        <w:t xml:space="preserve"> testing</w:t>
      </w:r>
      <w:r w:rsidRPr="00947188">
        <w:t xml:space="preserve">. </w:t>
      </w:r>
    </w:p>
    <w:p w:rsidR="00782A43" w:rsidRPr="00947188" w:rsidRDefault="00782A43" w:rsidP="00973FBA">
      <w:pPr>
        <w:ind w:left="720"/>
        <w:rPr>
          <w:b/>
          <w:bCs/>
        </w:rPr>
      </w:pPr>
    </w:p>
    <w:p w:rsidR="00782A43" w:rsidRDefault="00782A43">
      <w:pPr>
        <w:ind w:left="720"/>
      </w:pPr>
      <w:proofErr w:type="gramStart"/>
      <w:r w:rsidRPr="00CC6DF8">
        <w:rPr>
          <w:b/>
          <w:bCs/>
        </w:rPr>
        <w:t xml:space="preserve">Estimate </w:t>
      </w:r>
      <w:r>
        <w:rPr>
          <w:b/>
          <w:bCs/>
        </w:rPr>
        <w:t xml:space="preserve">of </w:t>
      </w:r>
      <w:r w:rsidRPr="00CC6DF8">
        <w:rPr>
          <w:b/>
          <w:bCs/>
        </w:rPr>
        <w:t>the Total Cost Burden to the Respondent</w:t>
      </w:r>
      <w:r>
        <w:rPr>
          <w:b/>
          <w:bCs/>
        </w:rPr>
        <w:t>s</w:t>
      </w:r>
      <w:r w:rsidRPr="00CC6DF8">
        <w:rPr>
          <w:b/>
          <w:bCs/>
        </w:rPr>
        <w:t xml:space="preserve"> for the Collection of Information from Clients.</w:t>
      </w:r>
      <w:proofErr w:type="gramEnd"/>
      <w:r w:rsidRPr="00CC6DF8">
        <w:t xml:space="preserve"> There are no direct costs to respondents other than their time to participate in the study. </w:t>
      </w:r>
      <w:r>
        <w:t xml:space="preserve"> </w:t>
      </w:r>
      <w:r w:rsidRPr="00CC6DF8">
        <w:t xml:space="preserve">The total cost for the evaluation of the time respondents spend completing the surveys and participating in focus groups is $129,336.82 (number of total baseline client respondent hours, plus discharge and 6-month post baseline hours, plus treatment focus group client respondent hours × $20.32), the estimated average hourly wages for adults as published by the U. S. Bureau of </w:t>
      </w:r>
      <w:r w:rsidRPr="00860F1C">
        <w:t xml:space="preserve">Labor </w:t>
      </w:r>
      <w:r w:rsidRPr="00476C6E">
        <w:t>Statistics</w:t>
      </w:r>
      <w:r>
        <w:t>,</w:t>
      </w:r>
      <w:r w:rsidRPr="00CC6DF8">
        <w:t xml:space="preserve"> 2008</w:t>
      </w:r>
      <w:proofErr w:type="gramStart"/>
      <w:r w:rsidRPr="00CC6DF8">
        <w:t>)</w:t>
      </w:r>
      <w:proofErr w:type="gramEnd"/>
      <w:r w:rsidR="0052625B">
        <w:fldChar w:fldCharType="begin"/>
      </w:r>
      <w:proofErr w:type="spellStart"/>
      <w:r w:rsidRPr="00CC6DF8">
        <w:instrText>xe</w:instrText>
      </w:r>
      <w:proofErr w:type="spellEnd"/>
      <w:r w:rsidRPr="00CC6DF8">
        <w:instrText xml:space="preserve"> "U.S. Bureau of Labor Statistics, 2004"</w:instrText>
      </w:r>
      <w:r w:rsidR="0052625B">
        <w:fldChar w:fldCharType="end"/>
      </w:r>
      <w:r w:rsidRPr="00CC6DF8">
        <w:t xml:space="preserve">. </w:t>
      </w:r>
    </w:p>
    <w:p w:rsidR="00782A43" w:rsidRDefault="00782A43" w:rsidP="00761CAC">
      <w:pPr>
        <w:rPr>
          <w:b/>
          <w:bCs/>
        </w:rPr>
      </w:pPr>
    </w:p>
    <w:p w:rsidR="00782A43" w:rsidRDefault="00782A43">
      <w:pPr>
        <w:ind w:left="720"/>
      </w:pPr>
      <w:proofErr w:type="gramStart"/>
      <w:r w:rsidRPr="007D7274">
        <w:rPr>
          <w:b/>
          <w:bCs/>
        </w:rPr>
        <w:t xml:space="preserve">Estimate </w:t>
      </w:r>
      <w:r>
        <w:rPr>
          <w:b/>
          <w:bCs/>
        </w:rPr>
        <w:t xml:space="preserve">of </w:t>
      </w:r>
      <w:r w:rsidRPr="007D7274">
        <w:rPr>
          <w:b/>
          <w:bCs/>
        </w:rPr>
        <w:t>the Total Cost Burden to the Respondent</w:t>
      </w:r>
      <w:r>
        <w:rPr>
          <w:b/>
          <w:bCs/>
        </w:rPr>
        <w:t>s</w:t>
      </w:r>
      <w:r w:rsidRPr="007D7274">
        <w:rPr>
          <w:b/>
          <w:bCs/>
        </w:rPr>
        <w:t xml:space="preserve"> for the Collection of Information from Project Directors/Program Managers.</w:t>
      </w:r>
      <w:proofErr w:type="gramEnd"/>
      <w:r w:rsidRPr="007D7274">
        <w:t xml:space="preserve"> There are no direct costs to respondents other than their time to participate in the </w:t>
      </w:r>
      <w:r>
        <w:t>study</w:t>
      </w:r>
      <w:r w:rsidRPr="007D7274">
        <w:t>. The total cost of the time respondents spend completing these interviews is $4,193.28 (number of project director respondent hours × $29.12, the estimated average hourly wages for individuals working in health-related occupations as published by the U.</w:t>
      </w:r>
      <w:r>
        <w:t xml:space="preserve">S. </w:t>
      </w:r>
      <w:r w:rsidRPr="00476C6E">
        <w:t>Bureau</w:t>
      </w:r>
      <w:r>
        <w:t xml:space="preserve"> of Labor Statistics, </w:t>
      </w:r>
      <w:r w:rsidRPr="007D7274">
        <w:t>2008</w:t>
      </w:r>
      <w:r w:rsidR="0052625B">
        <w:fldChar w:fldCharType="begin"/>
      </w:r>
      <w:proofErr w:type="spellStart"/>
      <w:r w:rsidRPr="007D7274">
        <w:instrText>xe</w:instrText>
      </w:r>
      <w:proofErr w:type="spellEnd"/>
      <w:r w:rsidRPr="007D7274">
        <w:instrText xml:space="preserve"> "U.S. Bureau of Labor Statistics, 2004"</w:instrText>
      </w:r>
      <w:r w:rsidR="0052625B">
        <w:fldChar w:fldCharType="end"/>
      </w:r>
      <w:r w:rsidRPr="007D7274">
        <w:t>).</w:t>
      </w:r>
    </w:p>
    <w:p w:rsidR="00782A43" w:rsidRDefault="00782A43" w:rsidP="00761CAC">
      <w:pPr>
        <w:rPr>
          <w:b/>
          <w:bCs/>
        </w:rPr>
      </w:pPr>
    </w:p>
    <w:p w:rsidR="00782A43" w:rsidRDefault="00782A43">
      <w:pPr>
        <w:ind w:left="720"/>
      </w:pPr>
      <w:r w:rsidRPr="007D7274">
        <w:rPr>
          <w:b/>
          <w:bCs/>
        </w:rPr>
        <w:t>Estimate the Total Cost Burden to the Respondent</w:t>
      </w:r>
      <w:r>
        <w:rPr>
          <w:b/>
          <w:bCs/>
        </w:rPr>
        <w:t>s</w:t>
      </w:r>
      <w:r w:rsidRPr="007D7274">
        <w:rPr>
          <w:b/>
          <w:bCs/>
        </w:rPr>
        <w:t xml:space="preserve"> for the Collection of Information from Grantee </w:t>
      </w:r>
      <w:r>
        <w:rPr>
          <w:b/>
          <w:bCs/>
        </w:rPr>
        <w:t xml:space="preserve">Direct Services </w:t>
      </w:r>
      <w:r w:rsidRPr="007D7274">
        <w:rPr>
          <w:b/>
          <w:bCs/>
        </w:rPr>
        <w:t>Staff.</w:t>
      </w:r>
      <w:r w:rsidRPr="007D7274">
        <w:t xml:space="preserve"> There are no direct costs to respondents other than their time to participate in the study. The total cost of the time respondents spend </w:t>
      </w:r>
      <w:r>
        <w:t>participating in</w:t>
      </w:r>
      <w:r w:rsidRPr="007D7274">
        <w:t xml:space="preserve"> the semi-structured interviews and completing client treatment dosage forms is $39,319.20 (number of grantee staff respondent hours × $19.05, the estimated average hourly wages for individuals working in health-related staff occupations as published by the U. S. Bureau of Labor Statistics</w:t>
      </w:r>
      <w:r>
        <w:t>,</w:t>
      </w:r>
      <w:r w:rsidRPr="007D7274">
        <w:t xml:space="preserve"> 2008</w:t>
      </w:r>
      <w:r w:rsidR="0052625B">
        <w:fldChar w:fldCharType="begin"/>
      </w:r>
      <w:proofErr w:type="spellStart"/>
      <w:r w:rsidRPr="007D7274">
        <w:instrText>xe</w:instrText>
      </w:r>
      <w:proofErr w:type="spellEnd"/>
      <w:r w:rsidRPr="007D7274">
        <w:instrText xml:space="preserve"> "U.S. Bureau of Labor Statistics, 2004"</w:instrText>
      </w:r>
      <w:r w:rsidR="0052625B">
        <w:fldChar w:fldCharType="end"/>
      </w:r>
      <w:r w:rsidRPr="007D7274">
        <w:t>).</w:t>
      </w:r>
    </w:p>
    <w:p w:rsidR="00782A43" w:rsidRDefault="00782A43" w:rsidP="00761CAC">
      <w:pPr>
        <w:rPr>
          <w:b/>
          <w:bCs/>
        </w:rPr>
      </w:pPr>
    </w:p>
    <w:p w:rsidR="00782A43" w:rsidRDefault="00782A43">
      <w:pPr>
        <w:rPr>
          <w:b/>
          <w:bCs/>
        </w:rPr>
      </w:pPr>
      <w:r>
        <w:rPr>
          <w:b/>
          <w:bCs/>
        </w:rPr>
        <w:br w:type="page"/>
      </w:r>
    </w:p>
    <w:p w:rsidR="00782A43" w:rsidRDefault="00782A43">
      <w:pPr>
        <w:ind w:left="720"/>
      </w:pPr>
      <w:r w:rsidRPr="003C497C">
        <w:rPr>
          <w:b/>
          <w:bCs/>
        </w:rPr>
        <w:t>Estimate the Total Cost Burden to the Respondent</w:t>
      </w:r>
      <w:r>
        <w:rPr>
          <w:b/>
          <w:bCs/>
        </w:rPr>
        <w:t>s</w:t>
      </w:r>
      <w:r w:rsidRPr="003C497C">
        <w:rPr>
          <w:b/>
          <w:bCs/>
        </w:rPr>
        <w:t xml:space="preserve"> for the Collection of Information from Community Collaborators.</w:t>
      </w:r>
      <w:r w:rsidRPr="003C497C">
        <w:t xml:space="preserve"> There are no direct costs to respondents other than their time to participate in the study. The total cost of the time respondents spend participating in these interviews is $9,240.00 (number of practitioner respondent hours × $19.21, the estimated average hourly wages for individuals working in health services-related occupations as published by the U. </w:t>
      </w:r>
      <w:r>
        <w:t xml:space="preserve">S. Bureau of Labor Statistics, </w:t>
      </w:r>
      <w:r w:rsidRPr="003C497C">
        <w:t>2008</w:t>
      </w:r>
      <w:r w:rsidR="0052625B">
        <w:fldChar w:fldCharType="begin"/>
      </w:r>
      <w:proofErr w:type="spellStart"/>
      <w:r w:rsidRPr="003C497C">
        <w:instrText>xe</w:instrText>
      </w:r>
      <w:proofErr w:type="spellEnd"/>
      <w:r w:rsidRPr="003C497C">
        <w:instrText xml:space="preserve"> "U.S. Bureau of Labor Statistics, 2004"</w:instrText>
      </w:r>
      <w:r w:rsidR="0052625B">
        <w:fldChar w:fldCharType="end"/>
      </w:r>
      <w:r w:rsidRPr="003C497C">
        <w:t xml:space="preserve">). </w:t>
      </w:r>
    </w:p>
    <w:p w:rsidR="00782A43" w:rsidRDefault="00782A43">
      <w:pPr>
        <w:rPr>
          <w:b/>
          <w:bCs/>
        </w:rPr>
      </w:pPr>
    </w:p>
    <w:p w:rsidR="00782A43" w:rsidRPr="00BD1385" w:rsidRDefault="00782A43" w:rsidP="00BB6E1D">
      <w:pPr>
        <w:rPr>
          <w:b/>
          <w:bCs/>
        </w:rPr>
      </w:pPr>
      <w:proofErr w:type="gramStart"/>
      <w:r>
        <w:rPr>
          <w:b/>
          <w:bCs/>
        </w:rPr>
        <w:t>Exhibit 5a.</w:t>
      </w:r>
      <w:proofErr w:type="gramEnd"/>
      <w:r>
        <w:rPr>
          <w:b/>
          <w:bCs/>
        </w:rPr>
        <w:t xml:space="preserve"> Annualized</w:t>
      </w:r>
      <w:r w:rsidRPr="00BD1385">
        <w:rPr>
          <w:b/>
          <w:bCs/>
        </w:rPr>
        <w:t xml:space="preserve"> Summary Table</w:t>
      </w:r>
    </w:p>
    <w:tbl>
      <w:tblPr>
        <w:tblW w:w="8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0"/>
        <w:gridCol w:w="1440"/>
        <w:gridCol w:w="1260"/>
        <w:gridCol w:w="1170"/>
        <w:gridCol w:w="1080"/>
        <w:gridCol w:w="1110"/>
      </w:tblGrid>
      <w:tr w:rsidR="00782A43" w:rsidRPr="0099072B">
        <w:tc>
          <w:tcPr>
            <w:tcW w:w="2460" w:type="dxa"/>
          </w:tcPr>
          <w:p w:rsidR="00782A43" w:rsidRPr="0099072B" w:rsidRDefault="00782A43" w:rsidP="00A5516A">
            <w:pPr>
              <w:jc w:val="center"/>
              <w:rPr>
                <w:b/>
                <w:bCs/>
                <w:sz w:val="20"/>
                <w:szCs w:val="20"/>
              </w:rPr>
            </w:pPr>
            <w:r>
              <w:rPr>
                <w:b/>
                <w:bCs/>
                <w:sz w:val="20"/>
                <w:szCs w:val="20"/>
              </w:rPr>
              <w:t>Respondents</w:t>
            </w:r>
          </w:p>
        </w:tc>
        <w:tc>
          <w:tcPr>
            <w:tcW w:w="1440" w:type="dxa"/>
          </w:tcPr>
          <w:p w:rsidR="00782A43" w:rsidRPr="0099072B" w:rsidRDefault="00782A43" w:rsidP="00A5516A">
            <w:pPr>
              <w:jc w:val="center"/>
              <w:rPr>
                <w:b/>
                <w:bCs/>
                <w:sz w:val="20"/>
                <w:szCs w:val="20"/>
              </w:rPr>
            </w:pPr>
            <w:r w:rsidRPr="0099072B">
              <w:rPr>
                <w:b/>
                <w:bCs/>
                <w:sz w:val="20"/>
                <w:szCs w:val="20"/>
              </w:rPr>
              <w:t>Number of Respondents</w:t>
            </w:r>
          </w:p>
        </w:tc>
        <w:tc>
          <w:tcPr>
            <w:tcW w:w="1260" w:type="dxa"/>
          </w:tcPr>
          <w:p w:rsidR="00782A43" w:rsidRPr="0099072B" w:rsidRDefault="00782A43" w:rsidP="00A5516A">
            <w:pPr>
              <w:jc w:val="center"/>
              <w:rPr>
                <w:b/>
                <w:bCs/>
                <w:sz w:val="20"/>
                <w:szCs w:val="20"/>
              </w:rPr>
            </w:pPr>
            <w:r>
              <w:rPr>
                <w:b/>
                <w:bCs/>
                <w:sz w:val="20"/>
                <w:szCs w:val="20"/>
              </w:rPr>
              <w:t>Responses/</w:t>
            </w:r>
            <w:r w:rsidRPr="0099072B">
              <w:rPr>
                <w:b/>
                <w:bCs/>
                <w:sz w:val="20"/>
                <w:szCs w:val="20"/>
              </w:rPr>
              <w:t>Respondent</w:t>
            </w:r>
          </w:p>
        </w:tc>
        <w:tc>
          <w:tcPr>
            <w:tcW w:w="1170" w:type="dxa"/>
          </w:tcPr>
          <w:p w:rsidR="00782A43" w:rsidRPr="0099072B" w:rsidRDefault="00782A43" w:rsidP="00A5516A">
            <w:pPr>
              <w:jc w:val="center"/>
              <w:rPr>
                <w:b/>
                <w:bCs/>
                <w:sz w:val="20"/>
                <w:szCs w:val="20"/>
              </w:rPr>
            </w:pPr>
            <w:r>
              <w:rPr>
                <w:b/>
                <w:bCs/>
                <w:sz w:val="20"/>
                <w:szCs w:val="20"/>
              </w:rPr>
              <w:t>Total Responses</w:t>
            </w:r>
          </w:p>
        </w:tc>
        <w:tc>
          <w:tcPr>
            <w:tcW w:w="1080" w:type="dxa"/>
          </w:tcPr>
          <w:p w:rsidR="00782A43" w:rsidRPr="0099072B" w:rsidRDefault="00782A43" w:rsidP="00A5516A">
            <w:pPr>
              <w:jc w:val="center"/>
              <w:rPr>
                <w:b/>
                <w:bCs/>
                <w:sz w:val="20"/>
                <w:szCs w:val="20"/>
              </w:rPr>
            </w:pPr>
            <w:r w:rsidRPr="0099072B">
              <w:rPr>
                <w:b/>
                <w:bCs/>
                <w:sz w:val="20"/>
                <w:szCs w:val="20"/>
              </w:rPr>
              <w:t>Hours per Response</w:t>
            </w:r>
          </w:p>
        </w:tc>
        <w:tc>
          <w:tcPr>
            <w:tcW w:w="1110" w:type="dxa"/>
          </w:tcPr>
          <w:p w:rsidR="00782A43" w:rsidRPr="0099072B" w:rsidRDefault="00782A43" w:rsidP="00A5516A">
            <w:pPr>
              <w:jc w:val="center"/>
              <w:rPr>
                <w:b/>
                <w:bCs/>
                <w:sz w:val="20"/>
                <w:szCs w:val="20"/>
              </w:rPr>
            </w:pPr>
            <w:r w:rsidRPr="0099072B">
              <w:rPr>
                <w:b/>
                <w:bCs/>
                <w:sz w:val="20"/>
                <w:szCs w:val="20"/>
              </w:rPr>
              <w:t>Total Burden Hours</w:t>
            </w:r>
          </w:p>
        </w:tc>
      </w:tr>
      <w:tr w:rsidR="00782A43" w:rsidRPr="0099072B">
        <w:tc>
          <w:tcPr>
            <w:tcW w:w="8520" w:type="dxa"/>
            <w:gridSpan w:val="6"/>
            <w:shd w:val="clear" w:color="auto" w:fill="D9D9D9"/>
          </w:tcPr>
          <w:p w:rsidR="00782A43" w:rsidRPr="00A55166" w:rsidRDefault="00782A43" w:rsidP="00A5516A">
            <w:pPr>
              <w:jc w:val="center"/>
              <w:rPr>
                <w:b/>
                <w:bCs/>
                <w:sz w:val="20"/>
                <w:szCs w:val="20"/>
              </w:rPr>
            </w:pPr>
            <w:r w:rsidRPr="00A55166">
              <w:rPr>
                <w:b/>
                <w:bCs/>
                <w:sz w:val="20"/>
                <w:szCs w:val="20"/>
              </w:rPr>
              <w:t>CLIENT DATA COLLECTION INSTRUMENTS</w:t>
            </w:r>
          </w:p>
        </w:tc>
      </w:tr>
      <w:tr w:rsidR="00782A43" w:rsidRPr="0099072B">
        <w:tc>
          <w:tcPr>
            <w:tcW w:w="2460" w:type="dxa"/>
          </w:tcPr>
          <w:p w:rsidR="00782A43" w:rsidRPr="0099072B" w:rsidRDefault="00782A43" w:rsidP="00A5516A">
            <w:pPr>
              <w:rPr>
                <w:sz w:val="20"/>
                <w:szCs w:val="20"/>
              </w:rPr>
            </w:pPr>
            <w:r>
              <w:rPr>
                <w:sz w:val="20"/>
                <w:szCs w:val="20"/>
              </w:rPr>
              <w:t>C</w:t>
            </w:r>
            <w:r w:rsidRPr="0099072B">
              <w:rPr>
                <w:sz w:val="20"/>
                <w:szCs w:val="20"/>
              </w:rPr>
              <w:t>lients</w:t>
            </w:r>
            <w:r>
              <w:rPr>
                <w:sz w:val="20"/>
                <w:szCs w:val="20"/>
              </w:rPr>
              <w:t>-</w:t>
            </w:r>
            <w:r w:rsidRPr="0099072B">
              <w:rPr>
                <w:sz w:val="20"/>
                <w:szCs w:val="20"/>
              </w:rPr>
              <w:t>Baseline</w:t>
            </w:r>
            <w:r>
              <w:rPr>
                <w:sz w:val="20"/>
                <w:szCs w:val="20"/>
              </w:rPr>
              <w:t>, discharge, 6-Months</w:t>
            </w:r>
            <w:r w:rsidRPr="0099072B">
              <w:rPr>
                <w:sz w:val="20"/>
                <w:szCs w:val="20"/>
              </w:rPr>
              <w:t xml:space="preserve"> data collection </w:t>
            </w:r>
          </w:p>
        </w:tc>
        <w:tc>
          <w:tcPr>
            <w:tcW w:w="1440" w:type="dxa"/>
          </w:tcPr>
          <w:p w:rsidR="00782A43" w:rsidRPr="0099072B" w:rsidRDefault="00782A43" w:rsidP="00A5516A">
            <w:pPr>
              <w:jc w:val="right"/>
              <w:rPr>
                <w:sz w:val="20"/>
                <w:szCs w:val="20"/>
              </w:rPr>
            </w:pPr>
            <w:r>
              <w:rPr>
                <w:sz w:val="20"/>
                <w:szCs w:val="20"/>
              </w:rPr>
              <w:t>4,800</w:t>
            </w:r>
          </w:p>
        </w:tc>
        <w:tc>
          <w:tcPr>
            <w:tcW w:w="1260" w:type="dxa"/>
          </w:tcPr>
          <w:p w:rsidR="00782A43" w:rsidRPr="0099072B" w:rsidRDefault="00782A43" w:rsidP="00A5516A">
            <w:pPr>
              <w:jc w:val="right"/>
              <w:rPr>
                <w:sz w:val="20"/>
                <w:szCs w:val="20"/>
              </w:rPr>
            </w:pPr>
            <w:r>
              <w:rPr>
                <w:sz w:val="20"/>
                <w:szCs w:val="20"/>
              </w:rPr>
              <w:t>3</w:t>
            </w:r>
          </w:p>
        </w:tc>
        <w:tc>
          <w:tcPr>
            <w:tcW w:w="1170" w:type="dxa"/>
          </w:tcPr>
          <w:p w:rsidR="00782A43" w:rsidRPr="0099072B" w:rsidRDefault="00782A43" w:rsidP="00A5516A">
            <w:pPr>
              <w:jc w:val="right"/>
              <w:rPr>
                <w:sz w:val="20"/>
                <w:szCs w:val="20"/>
              </w:rPr>
            </w:pPr>
            <w:r>
              <w:rPr>
                <w:sz w:val="20"/>
                <w:szCs w:val="20"/>
              </w:rPr>
              <w:t>13,440</w:t>
            </w:r>
            <w:r w:rsidRPr="00E433AB">
              <w:rPr>
                <w:b/>
                <w:bCs/>
                <w:sz w:val="20"/>
                <w:szCs w:val="20"/>
              </w:rPr>
              <w:t>^</w:t>
            </w:r>
          </w:p>
        </w:tc>
        <w:tc>
          <w:tcPr>
            <w:tcW w:w="1080" w:type="dxa"/>
          </w:tcPr>
          <w:p w:rsidR="00782A43" w:rsidRPr="0099072B" w:rsidRDefault="00782A43" w:rsidP="00A5516A">
            <w:pPr>
              <w:jc w:val="right"/>
              <w:rPr>
                <w:sz w:val="20"/>
                <w:szCs w:val="20"/>
              </w:rPr>
            </w:pPr>
            <w:r w:rsidRPr="0099072B">
              <w:rPr>
                <w:sz w:val="20"/>
                <w:szCs w:val="20"/>
              </w:rPr>
              <w:t xml:space="preserve">.42 </w:t>
            </w:r>
          </w:p>
        </w:tc>
        <w:tc>
          <w:tcPr>
            <w:tcW w:w="1110" w:type="dxa"/>
          </w:tcPr>
          <w:p w:rsidR="00782A43" w:rsidRPr="0099072B" w:rsidRDefault="00782A43" w:rsidP="00A5516A">
            <w:pPr>
              <w:jc w:val="right"/>
              <w:rPr>
                <w:sz w:val="20"/>
                <w:szCs w:val="20"/>
              </w:rPr>
            </w:pPr>
            <w:r>
              <w:rPr>
                <w:sz w:val="20"/>
                <w:szCs w:val="20"/>
              </w:rPr>
              <w:t>5,645</w:t>
            </w:r>
          </w:p>
        </w:tc>
      </w:tr>
      <w:tr w:rsidR="00782A43" w:rsidRPr="0099072B">
        <w:tc>
          <w:tcPr>
            <w:tcW w:w="2460" w:type="dxa"/>
          </w:tcPr>
          <w:p w:rsidR="00782A43" w:rsidRPr="006610DF" w:rsidRDefault="00782A43" w:rsidP="00A5516A">
            <w:pPr>
              <w:rPr>
                <w:b/>
                <w:bCs/>
                <w:sz w:val="20"/>
                <w:szCs w:val="20"/>
              </w:rPr>
            </w:pPr>
            <w:r w:rsidRPr="006610DF">
              <w:rPr>
                <w:b/>
                <w:bCs/>
                <w:sz w:val="20"/>
                <w:szCs w:val="20"/>
              </w:rPr>
              <w:t xml:space="preserve">Annualized </w:t>
            </w:r>
            <w:r>
              <w:rPr>
                <w:b/>
                <w:bCs/>
                <w:sz w:val="20"/>
                <w:szCs w:val="20"/>
              </w:rPr>
              <w:t xml:space="preserve">Client Survey </w:t>
            </w:r>
            <w:r w:rsidRPr="006610DF">
              <w:rPr>
                <w:b/>
                <w:bCs/>
                <w:sz w:val="20"/>
                <w:szCs w:val="20"/>
              </w:rPr>
              <w:t>Total</w:t>
            </w:r>
          </w:p>
        </w:tc>
        <w:tc>
          <w:tcPr>
            <w:tcW w:w="1440" w:type="dxa"/>
          </w:tcPr>
          <w:p w:rsidR="00782A43" w:rsidRPr="006610DF" w:rsidRDefault="00782A43" w:rsidP="00A5516A">
            <w:pPr>
              <w:jc w:val="right"/>
              <w:rPr>
                <w:b/>
                <w:bCs/>
                <w:sz w:val="20"/>
                <w:szCs w:val="20"/>
              </w:rPr>
            </w:pPr>
            <w:r w:rsidRPr="006610DF">
              <w:rPr>
                <w:b/>
                <w:bCs/>
                <w:sz w:val="20"/>
                <w:szCs w:val="20"/>
              </w:rPr>
              <w:t>1,600</w:t>
            </w:r>
          </w:p>
        </w:tc>
        <w:tc>
          <w:tcPr>
            <w:tcW w:w="1260" w:type="dxa"/>
          </w:tcPr>
          <w:p w:rsidR="00782A43" w:rsidRPr="006610DF" w:rsidRDefault="00782A43" w:rsidP="00A5516A">
            <w:pPr>
              <w:jc w:val="right"/>
              <w:rPr>
                <w:b/>
                <w:bCs/>
                <w:sz w:val="20"/>
                <w:szCs w:val="20"/>
              </w:rPr>
            </w:pPr>
            <w:r>
              <w:rPr>
                <w:b/>
                <w:bCs/>
                <w:sz w:val="20"/>
                <w:szCs w:val="20"/>
              </w:rPr>
              <w:t>--</w:t>
            </w:r>
          </w:p>
        </w:tc>
        <w:tc>
          <w:tcPr>
            <w:tcW w:w="1170" w:type="dxa"/>
          </w:tcPr>
          <w:p w:rsidR="00782A43" w:rsidRPr="006610DF" w:rsidRDefault="00782A43" w:rsidP="00A5516A">
            <w:pPr>
              <w:jc w:val="right"/>
              <w:rPr>
                <w:b/>
                <w:bCs/>
                <w:sz w:val="20"/>
                <w:szCs w:val="20"/>
              </w:rPr>
            </w:pPr>
            <w:r w:rsidRPr="006610DF">
              <w:rPr>
                <w:b/>
                <w:bCs/>
                <w:sz w:val="20"/>
                <w:szCs w:val="20"/>
              </w:rPr>
              <w:t>4,480</w:t>
            </w:r>
          </w:p>
        </w:tc>
        <w:tc>
          <w:tcPr>
            <w:tcW w:w="1080" w:type="dxa"/>
          </w:tcPr>
          <w:p w:rsidR="00782A43" w:rsidRPr="006610DF" w:rsidRDefault="00782A43" w:rsidP="00A5516A">
            <w:pPr>
              <w:jc w:val="right"/>
              <w:rPr>
                <w:b/>
                <w:bCs/>
                <w:sz w:val="20"/>
                <w:szCs w:val="20"/>
              </w:rPr>
            </w:pPr>
            <w:r>
              <w:rPr>
                <w:b/>
                <w:bCs/>
                <w:sz w:val="20"/>
                <w:szCs w:val="20"/>
              </w:rPr>
              <w:t>--</w:t>
            </w:r>
          </w:p>
        </w:tc>
        <w:tc>
          <w:tcPr>
            <w:tcW w:w="1110" w:type="dxa"/>
          </w:tcPr>
          <w:p w:rsidR="00782A43" w:rsidRPr="006610DF" w:rsidRDefault="00782A43" w:rsidP="00A5516A">
            <w:pPr>
              <w:jc w:val="right"/>
              <w:rPr>
                <w:b/>
                <w:bCs/>
                <w:sz w:val="20"/>
                <w:szCs w:val="20"/>
              </w:rPr>
            </w:pPr>
            <w:r w:rsidRPr="006610DF">
              <w:rPr>
                <w:b/>
                <w:bCs/>
                <w:sz w:val="20"/>
                <w:szCs w:val="20"/>
              </w:rPr>
              <w:t>1882</w:t>
            </w:r>
          </w:p>
        </w:tc>
      </w:tr>
      <w:tr w:rsidR="00782A43" w:rsidRPr="0099072B">
        <w:tc>
          <w:tcPr>
            <w:tcW w:w="2460" w:type="dxa"/>
          </w:tcPr>
          <w:p w:rsidR="00782A43" w:rsidRPr="0099072B" w:rsidRDefault="00782A43" w:rsidP="00A5516A">
            <w:pPr>
              <w:rPr>
                <w:sz w:val="20"/>
                <w:szCs w:val="20"/>
              </w:rPr>
            </w:pPr>
            <w:r w:rsidRPr="0099072B">
              <w:rPr>
                <w:sz w:val="20"/>
                <w:szCs w:val="20"/>
              </w:rPr>
              <w:t xml:space="preserve">Client </w:t>
            </w:r>
            <w:r>
              <w:rPr>
                <w:sz w:val="20"/>
                <w:szCs w:val="20"/>
              </w:rPr>
              <w:t>F</w:t>
            </w:r>
            <w:r w:rsidRPr="0099072B">
              <w:rPr>
                <w:sz w:val="20"/>
                <w:szCs w:val="20"/>
              </w:rPr>
              <w:t xml:space="preserve">ocus </w:t>
            </w:r>
            <w:r>
              <w:rPr>
                <w:sz w:val="20"/>
                <w:szCs w:val="20"/>
              </w:rPr>
              <w:t>G</w:t>
            </w:r>
            <w:r w:rsidRPr="0099072B">
              <w:rPr>
                <w:sz w:val="20"/>
                <w:szCs w:val="20"/>
              </w:rPr>
              <w:t>roup</w:t>
            </w:r>
            <w:r>
              <w:rPr>
                <w:sz w:val="20"/>
                <w:szCs w:val="20"/>
              </w:rPr>
              <w:t>s</w:t>
            </w:r>
            <w:r w:rsidRPr="0099072B">
              <w:rPr>
                <w:sz w:val="20"/>
                <w:szCs w:val="20"/>
              </w:rPr>
              <w:t xml:space="preserve"> </w:t>
            </w:r>
            <w:r>
              <w:rPr>
                <w:sz w:val="20"/>
                <w:szCs w:val="20"/>
              </w:rPr>
              <w:t>Year 2 and Year 4</w:t>
            </w:r>
          </w:p>
        </w:tc>
        <w:tc>
          <w:tcPr>
            <w:tcW w:w="1440" w:type="dxa"/>
          </w:tcPr>
          <w:p w:rsidR="00782A43" w:rsidRPr="004151E0" w:rsidRDefault="00782A43" w:rsidP="00A5516A">
            <w:pPr>
              <w:jc w:val="right"/>
              <w:rPr>
                <w:sz w:val="20"/>
                <w:szCs w:val="20"/>
                <w:vertAlign w:val="superscript"/>
              </w:rPr>
            </w:pPr>
            <w:r>
              <w:rPr>
                <w:sz w:val="20"/>
                <w:szCs w:val="20"/>
              </w:rPr>
              <w:t>720</w:t>
            </w:r>
            <w:r w:rsidRPr="00E433AB">
              <w:rPr>
                <w:b/>
                <w:bCs/>
                <w:sz w:val="20"/>
                <w:szCs w:val="20"/>
                <w:vertAlign w:val="superscript"/>
              </w:rPr>
              <w:t>*</w:t>
            </w:r>
          </w:p>
        </w:tc>
        <w:tc>
          <w:tcPr>
            <w:tcW w:w="1260" w:type="dxa"/>
          </w:tcPr>
          <w:p w:rsidR="00782A43" w:rsidRPr="0099072B" w:rsidRDefault="00782A43" w:rsidP="00A5516A">
            <w:pPr>
              <w:jc w:val="right"/>
              <w:rPr>
                <w:sz w:val="20"/>
                <w:szCs w:val="20"/>
              </w:rPr>
            </w:pPr>
            <w:r>
              <w:rPr>
                <w:sz w:val="20"/>
                <w:szCs w:val="20"/>
              </w:rPr>
              <w:t>1</w:t>
            </w:r>
          </w:p>
        </w:tc>
        <w:tc>
          <w:tcPr>
            <w:tcW w:w="1170" w:type="dxa"/>
          </w:tcPr>
          <w:p w:rsidR="00782A43" w:rsidRPr="0099072B" w:rsidRDefault="00782A43" w:rsidP="00A5516A">
            <w:pPr>
              <w:jc w:val="right"/>
              <w:rPr>
                <w:sz w:val="20"/>
                <w:szCs w:val="20"/>
              </w:rPr>
            </w:pPr>
            <w:r>
              <w:rPr>
                <w:sz w:val="20"/>
                <w:szCs w:val="20"/>
              </w:rPr>
              <w:t>720</w:t>
            </w:r>
          </w:p>
        </w:tc>
        <w:tc>
          <w:tcPr>
            <w:tcW w:w="1080" w:type="dxa"/>
          </w:tcPr>
          <w:p w:rsidR="00782A43" w:rsidRPr="0099072B" w:rsidRDefault="00782A43" w:rsidP="00A5516A">
            <w:pPr>
              <w:jc w:val="right"/>
              <w:rPr>
                <w:sz w:val="20"/>
                <w:szCs w:val="20"/>
              </w:rPr>
            </w:pPr>
            <w:r w:rsidRPr="0099072B">
              <w:rPr>
                <w:sz w:val="20"/>
                <w:szCs w:val="20"/>
              </w:rPr>
              <w:t>1.0</w:t>
            </w:r>
          </w:p>
        </w:tc>
        <w:tc>
          <w:tcPr>
            <w:tcW w:w="1110" w:type="dxa"/>
          </w:tcPr>
          <w:p w:rsidR="00782A43" w:rsidRPr="0099072B" w:rsidRDefault="00782A43" w:rsidP="00A5516A">
            <w:pPr>
              <w:jc w:val="right"/>
              <w:rPr>
                <w:sz w:val="20"/>
                <w:szCs w:val="20"/>
              </w:rPr>
            </w:pPr>
            <w:r>
              <w:rPr>
                <w:sz w:val="20"/>
                <w:szCs w:val="20"/>
              </w:rPr>
              <w:t>720</w:t>
            </w:r>
          </w:p>
        </w:tc>
      </w:tr>
      <w:tr w:rsidR="00782A43" w:rsidRPr="0099072B">
        <w:tc>
          <w:tcPr>
            <w:tcW w:w="2460" w:type="dxa"/>
          </w:tcPr>
          <w:p w:rsidR="00782A43" w:rsidRPr="006610DF" w:rsidRDefault="00782A43" w:rsidP="00A5516A">
            <w:pPr>
              <w:rPr>
                <w:b/>
                <w:bCs/>
                <w:sz w:val="20"/>
                <w:szCs w:val="20"/>
              </w:rPr>
            </w:pPr>
            <w:r w:rsidRPr="006610DF">
              <w:rPr>
                <w:b/>
                <w:bCs/>
                <w:sz w:val="20"/>
                <w:szCs w:val="20"/>
              </w:rPr>
              <w:t xml:space="preserve">Annualized </w:t>
            </w:r>
            <w:r>
              <w:rPr>
                <w:b/>
                <w:bCs/>
                <w:sz w:val="20"/>
                <w:szCs w:val="20"/>
              </w:rPr>
              <w:t xml:space="preserve">Client FG </w:t>
            </w:r>
            <w:r w:rsidRPr="006610DF">
              <w:rPr>
                <w:b/>
                <w:bCs/>
                <w:sz w:val="20"/>
                <w:szCs w:val="20"/>
              </w:rPr>
              <w:t>Total</w:t>
            </w:r>
          </w:p>
        </w:tc>
        <w:tc>
          <w:tcPr>
            <w:tcW w:w="1440" w:type="dxa"/>
          </w:tcPr>
          <w:p w:rsidR="00782A43" w:rsidRPr="006610DF" w:rsidRDefault="00782A43" w:rsidP="00A5516A">
            <w:pPr>
              <w:jc w:val="right"/>
              <w:rPr>
                <w:b/>
                <w:bCs/>
                <w:sz w:val="20"/>
                <w:szCs w:val="20"/>
              </w:rPr>
            </w:pPr>
            <w:r w:rsidRPr="006610DF">
              <w:rPr>
                <w:b/>
                <w:bCs/>
                <w:sz w:val="20"/>
                <w:szCs w:val="20"/>
              </w:rPr>
              <w:t>240</w:t>
            </w:r>
          </w:p>
        </w:tc>
        <w:tc>
          <w:tcPr>
            <w:tcW w:w="1260" w:type="dxa"/>
          </w:tcPr>
          <w:p w:rsidR="00782A43" w:rsidRPr="006610DF" w:rsidRDefault="00782A43" w:rsidP="00A5516A">
            <w:pPr>
              <w:jc w:val="right"/>
              <w:rPr>
                <w:b/>
                <w:bCs/>
                <w:sz w:val="20"/>
                <w:szCs w:val="20"/>
              </w:rPr>
            </w:pPr>
            <w:r>
              <w:rPr>
                <w:b/>
                <w:bCs/>
                <w:sz w:val="20"/>
                <w:szCs w:val="20"/>
              </w:rPr>
              <w:t>--</w:t>
            </w:r>
          </w:p>
        </w:tc>
        <w:tc>
          <w:tcPr>
            <w:tcW w:w="1170" w:type="dxa"/>
          </w:tcPr>
          <w:p w:rsidR="00782A43" w:rsidRPr="006610DF" w:rsidRDefault="00782A43" w:rsidP="00A5516A">
            <w:pPr>
              <w:jc w:val="right"/>
              <w:rPr>
                <w:b/>
                <w:bCs/>
                <w:sz w:val="20"/>
                <w:szCs w:val="20"/>
              </w:rPr>
            </w:pPr>
            <w:r w:rsidRPr="006610DF">
              <w:rPr>
                <w:b/>
                <w:bCs/>
                <w:sz w:val="20"/>
                <w:szCs w:val="20"/>
              </w:rPr>
              <w:t>240</w:t>
            </w:r>
          </w:p>
        </w:tc>
        <w:tc>
          <w:tcPr>
            <w:tcW w:w="1080" w:type="dxa"/>
          </w:tcPr>
          <w:p w:rsidR="00782A43" w:rsidRPr="006610DF" w:rsidRDefault="00782A43" w:rsidP="00A5516A">
            <w:pPr>
              <w:jc w:val="right"/>
              <w:rPr>
                <w:b/>
                <w:bCs/>
                <w:sz w:val="20"/>
                <w:szCs w:val="20"/>
              </w:rPr>
            </w:pPr>
            <w:r>
              <w:rPr>
                <w:b/>
                <w:bCs/>
                <w:sz w:val="20"/>
                <w:szCs w:val="20"/>
              </w:rPr>
              <w:t>--</w:t>
            </w:r>
          </w:p>
        </w:tc>
        <w:tc>
          <w:tcPr>
            <w:tcW w:w="1110" w:type="dxa"/>
          </w:tcPr>
          <w:p w:rsidR="00782A43" w:rsidRPr="006610DF" w:rsidRDefault="00782A43" w:rsidP="00A5516A">
            <w:pPr>
              <w:jc w:val="right"/>
              <w:rPr>
                <w:b/>
                <w:bCs/>
                <w:sz w:val="20"/>
                <w:szCs w:val="20"/>
              </w:rPr>
            </w:pPr>
            <w:r w:rsidRPr="006610DF">
              <w:rPr>
                <w:b/>
                <w:bCs/>
                <w:sz w:val="20"/>
                <w:szCs w:val="20"/>
              </w:rPr>
              <w:t>240</w:t>
            </w:r>
          </w:p>
        </w:tc>
      </w:tr>
      <w:tr w:rsidR="00782A43" w:rsidRPr="0099072B">
        <w:tc>
          <w:tcPr>
            <w:tcW w:w="8520" w:type="dxa"/>
            <w:gridSpan w:val="6"/>
            <w:shd w:val="clear" w:color="auto" w:fill="D9D9D9"/>
          </w:tcPr>
          <w:p w:rsidR="00782A43" w:rsidRPr="00FA69E3" w:rsidRDefault="00782A43" w:rsidP="00A5516A">
            <w:pPr>
              <w:jc w:val="center"/>
              <w:rPr>
                <w:b/>
                <w:bCs/>
                <w:sz w:val="20"/>
                <w:szCs w:val="20"/>
              </w:rPr>
            </w:pPr>
            <w:r>
              <w:rPr>
                <w:b/>
                <w:bCs/>
                <w:sz w:val="20"/>
                <w:szCs w:val="20"/>
              </w:rPr>
              <w:t>ADMINISTRA</w:t>
            </w:r>
            <w:r w:rsidRPr="00FA69E3">
              <w:rPr>
                <w:b/>
                <w:bCs/>
                <w:sz w:val="20"/>
                <w:szCs w:val="20"/>
              </w:rPr>
              <w:t>TOR INTERVIEW INSTRUMENTS</w:t>
            </w:r>
          </w:p>
        </w:tc>
      </w:tr>
      <w:tr w:rsidR="00782A43" w:rsidRPr="0099072B">
        <w:tc>
          <w:tcPr>
            <w:tcW w:w="2460" w:type="dxa"/>
          </w:tcPr>
          <w:p w:rsidR="00782A43" w:rsidRPr="0099072B" w:rsidRDefault="00782A43" w:rsidP="00A5516A">
            <w:pPr>
              <w:rPr>
                <w:sz w:val="20"/>
                <w:szCs w:val="20"/>
              </w:rPr>
            </w:pPr>
            <w:r w:rsidRPr="0099072B">
              <w:rPr>
                <w:sz w:val="20"/>
                <w:szCs w:val="20"/>
              </w:rPr>
              <w:t>Project Director/Program Manager (Semi-Structured Interviews)</w:t>
            </w:r>
          </w:p>
        </w:tc>
        <w:tc>
          <w:tcPr>
            <w:tcW w:w="1440" w:type="dxa"/>
          </w:tcPr>
          <w:p w:rsidR="00782A43" w:rsidRPr="0099072B" w:rsidRDefault="00782A43" w:rsidP="00A5516A">
            <w:pPr>
              <w:jc w:val="right"/>
              <w:rPr>
                <w:sz w:val="20"/>
                <w:szCs w:val="20"/>
              </w:rPr>
            </w:pPr>
            <w:r>
              <w:rPr>
                <w:sz w:val="20"/>
                <w:szCs w:val="20"/>
              </w:rPr>
              <w:t>96</w:t>
            </w:r>
          </w:p>
        </w:tc>
        <w:tc>
          <w:tcPr>
            <w:tcW w:w="1260" w:type="dxa"/>
          </w:tcPr>
          <w:p w:rsidR="00782A43" w:rsidRPr="0099072B" w:rsidRDefault="00782A43" w:rsidP="00A5516A">
            <w:pPr>
              <w:jc w:val="right"/>
              <w:rPr>
                <w:sz w:val="20"/>
                <w:szCs w:val="20"/>
              </w:rPr>
            </w:pPr>
            <w:r w:rsidRPr="0099072B">
              <w:rPr>
                <w:sz w:val="20"/>
                <w:szCs w:val="20"/>
              </w:rPr>
              <w:t>2</w:t>
            </w:r>
          </w:p>
        </w:tc>
        <w:tc>
          <w:tcPr>
            <w:tcW w:w="1170" w:type="dxa"/>
          </w:tcPr>
          <w:p w:rsidR="00782A43" w:rsidRDefault="00782A43" w:rsidP="00A5516A">
            <w:pPr>
              <w:jc w:val="right"/>
              <w:rPr>
                <w:sz w:val="20"/>
                <w:szCs w:val="20"/>
              </w:rPr>
            </w:pPr>
            <w:r>
              <w:rPr>
                <w:sz w:val="20"/>
                <w:szCs w:val="20"/>
              </w:rPr>
              <w:t>192</w:t>
            </w:r>
          </w:p>
        </w:tc>
        <w:tc>
          <w:tcPr>
            <w:tcW w:w="1080" w:type="dxa"/>
          </w:tcPr>
          <w:p w:rsidR="00782A43" w:rsidRPr="0099072B" w:rsidRDefault="00782A43" w:rsidP="00A5516A">
            <w:pPr>
              <w:jc w:val="right"/>
              <w:rPr>
                <w:sz w:val="20"/>
                <w:szCs w:val="20"/>
              </w:rPr>
            </w:pPr>
            <w:r>
              <w:rPr>
                <w:sz w:val="20"/>
                <w:szCs w:val="20"/>
              </w:rPr>
              <w:t>.7</w:t>
            </w:r>
            <w:r w:rsidRPr="0099072B">
              <w:rPr>
                <w:sz w:val="20"/>
                <w:szCs w:val="20"/>
              </w:rPr>
              <w:t>5</w:t>
            </w:r>
          </w:p>
        </w:tc>
        <w:tc>
          <w:tcPr>
            <w:tcW w:w="1110" w:type="dxa"/>
          </w:tcPr>
          <w:p w:rsidR="00782A43" w:rsidRPr="0099072B" w:rsidRDefault="00782A43" w:rsidP="00A5516A">
            <w:pPr>
              <w:jc w:val="right"/>
              <w:rPr>
                <w:sz w:val="20"/>
                <w:szCs w:val="20"/>
              </w:rPr>
            </w:pPr>
            <w:r>
              <w:rPr>
                <w:sz w:val="20"/>
                <w:szCs w:val="20"/>
              </w:rPr>
              <w:t>144</w:t>
            </w:r>
          </w:p>
        </w:tc>
      </w:tr>
      <w:tr w:rsidR="00782A43" w:rsidRPr="0099072B">
        <w:tc>
          <w:tcPr>
            <w:tcW w:w="2460" w:type="dxa"/>
          </w:tcPr>
          <w:p w:rsidR="00782A43" w:rsidRPr="001D1D0B" w:rsidRDefault="00782A43" w:rsidP="00A5516A">
            <w:pPr>
              <w:rPr>
                <w:b/>
                <w:bCs/>
                <w:sz w:val="20"/>
                <w:szCs w:val="20"/>
              </w:rPr>
            </w:pPr>
            <w:r w:rsidRPr="001D1D0B">
              <w:rPr>
                <w:b/>
                <w:bCs/>
                <w:sz w:val="20"/>
                <w:szCs w:val="20"/>
              </w:rPr>
              <w:t xml:space="preserve">Annualized </w:t>
            </w:r>
            <w:r>
              <w:rPr>
                <w:b/>
                <w:bCs/>
                <w:sz w:val="20"/>
                <w:szCs w:val="20"/>
              </w:rPr>
              <w:t xml:space="preserve">PD/PM </w:t>
            </w:r>
            <w:r w:rsidRPr="001D1D0B">
              <w:rPr>
                <w:b/>
                <w:bCs/>
                <w:sz w:val="20"/>
                <w:szCs w:val="20"/>
              </w:rPr>
              <w:t>Total</w:t>
            </w:r>
          </w:p>
        </w:tc>
        <w:tc>
          <w:tcPr>
            <w:tcW w:w="1440" w:type="dxa"/>
          </w:tcPr>
          <w:p w:rsidR="00782A43" w:rsidRPr="001D1D0B" w:rsidRDefault="00782A43" w:rsidP="00A5516A">
            <w:pPr>
              <w:jc w:val="right"/>
              <w:rPr>
                <w:b/>
                <w:bCs/>
                <w:sz w:val="20"/>
                <w:szCs w:val="20"/>
              </w:rPr>
            </w:pPr>
            <w:r w:rsidRPr="001D1D0B">
              <w:rPr>
                <w:b/>
                <w:bCs/>
                <w:sz w:val="20"/>
                <w:szCs w:val="20"/>
              </w:rPr>
              <w:t>32</w:t>
            </w:r>
          </w:p>
        </w:tc>
        <w:tc>
          <w:tcPr>
            <w:tcW w:w="1260" w:type="dxa"/>
          </w:tcPr>
          <w:p w:rsidR="00782A43" w:rsidRPr="001D1D0B" w:rsidRDefault="00782A43" w:rsidP="00A5516A">
            <w:pPr>
              <w:jc w:val="right"/>
              <w:rPr>
                <w:b/>
                <w:bCs/>
                <w:sz w:val="20"/>
                <w:szCs w:val="20"/>
              </w:rPr>
            </w:pPr>
            <w:r>
              <w:rPr>
                <w:b/>
                <w:bCs/>
                <w:sz w:val="20"/>
                <w:szCs w:val="20"/>
              </w:rPr>
              <w:t>--</w:t>
            </w:r>
          </w:p>
        </w:tc>
        <w:tc>
          <w:tcPr>
            <w:tcW w:w="1170" w:type="dxa"/>
          </w:tcPr>
          <w:p w:rsidR="00782A43" w:rsidRPr="001D1D0B" w:rsidRDefault="00782A43" w:rsidP="00A5516A">
            <w:pPr>
              <w:jc w:val="right"/>
              <w:rPr>
                <w:b/>
                <w:bCs/>
                <w:sz w:val="20"/>
                <w:szCs w:val="20"/>
              </w:rPr>
            </w:pPr>
            <w:r w:rsidRPr="001D1D0B">
              <w:rPr>
                <w:b/>
                <w:bCs/>
                <w:sz w:val="20"/>
                <w:szCs w:val="20"/>
              </w:rPr>
              <w:t>64</w:t>
            </w:r>
          </w:p>
        </w:tc>
        <w:tc>
          <w:tcPr>
            <w:tcW w:w="1080" w:type="dxa"/>
          </w:tcPr>
          <w:p w:rsidR="00782A43" w:rsidRPr="001D1D0B" w:rsidRDefault="00782A43" w:rsidP="00A5516A">
            <w:pPr>
              <w:jc w:val="right"/>
              <w:rPr>
                <w:b/>
                <w:bCs/>
                <w:sz w:val="20"/>
                <w:szCs w:val="20"/>
              </w:rPr>
            </w:pPr>
            <w:r>
              <w:rPr>
                <w:b/>
                <w:bCs/>
                <w:sz w:val="20"/>
                <w:szCs w:val="20"/>
              </w:rPr>
              <w:t>--</w:t>
            </w:r>
          </w:p>
        </w:tc>
        <w:tc>
          <w:tcPr>
            <w:tcW w:w="1110" w:type="dxa"/>
          </w:tcPr>
          <w:p w:rsidR="00782A43" w:rsidRPr="001D1D0B" w:rsidRDefault="00782A43" w:rsidP="00A5516A">
            <w:pPr>
              <w:jc w:val="right"/>
              <w:rPr>
                <w:b/>
                <w:bCs/>
                <w:sz w:val="20"/>
                <w:szCs w:val="20"/>
              </w:rPr>
            </w:pPr>
            <w:r w:rsidRPr="001D1D0B">
              <w:rPr>
                <w:b/>
                <w:bCs/>
                <w:sz w:val="20"/>
                <w:szCs w:val="20"/>
              </w:rPr>
              <w:t>48</w:t>
            </w:r>
          </w:p>
        </w:tc>
      </w:tr>
      <w:tr w:rsidR="00782A43" w:rsidRPr="0099072B">
        <w:tc>
          <w:tcPr>
            <w:tcW w:w="8520" w:type="dxa"/>
            <w:gridSpan w:val="6"/>
            <w:shd w:val="clear" w:color="auto" w:fill="D9D9D9"/>
          </w:tcPr>
          <w:p w:rsidR="00782A43" w:rsidRPr="00FA69E3" w:rsidRDefault="00782A43" w:rsidP="00A5516A">
            <w:pPr>
              <w:jc w:val="center"/>
              <w:rPr>
                <w:b/>
                <w:bCs/>
                <w:sz w:val="20"/>
                <w:szCs w:val="20"/>
              </w:rPr>
            </w:pPr>
            <w:r w:rsidRPr="00FA69E3">
              <w:rPr>
                <w:b/>
                <w:bCs/>
                <w:sz w:val="20"/>
                <w:szCs w:val="20"/>
              </w:rPr>
              <w:t>DIRECT SERVICE STAFF INSTRUMENTS</w:t>
            </w:r>
          </w:p>
        </w:tc>
      </w:tr>
      <w:tr w:rsidR="00782A43" w:rsidRPr="0099072B">
        <w:tc>
          <w:tcPr>
            <w:tcW w:w="2460" w:type="dxa"/>
          </w:tcPr>
          <w:p w:rsidR="00782A43" w:rsidRPr="0099072B" w:rsidRDefault="00782A43" w:rsidP="00A5516A">
            <w:pPr>
              <w:rPr>
                <w:sz w:val="20"/>
                <w:szCs w:val="20"/>
              </w:rPr>
            </w:pPr>
            <w:r w:rsidRPr="0099072B">
              <w:rPr>
                <w:sz w:val="20"/>
                <w:szCs w:val="20"/>
              </w:rPr>
              <w:t xml:space="preserve">Grantee </w:t>
            </w:r>
            <w:r>
              <w:rPr>
                <w:sz w:val="20"/>
                <w:szCs w:val="20"/>
              </w:rPr>
              <w:t xml:space="preserve">Direct Services </w:t>
            </w:r>
            <w:r w:rsidRPr="0099072B">
              <w:rPr>
                <w:sz w:val="20"/>
                <w:szCs w:val="20"/>
              </w:rPr>
              <w:t>Staff (Semi-Structured Interviews)</w:t>
            </w:r>
          </w:p>
        </w:tc>
        <w:tc>
          <w:tcPr>
            <w:tcW w:w="1440" w:type="dxa"/>
          </w:tcPr>
          <w:p w:rsidR="00782A43" w:rsidRPr="0099072B" w:rsidRDefault="00782A43" w:rsidP="00A5516A">
            <w:pPr>
              <w:jc w:val="right"/>
              <w:rPr>
                <w:sz w:val="20"/>
                <w:szCs w:val="20"/>
              </w:rPr>
            </w:pPr>
            <w:r>
              <w:rPr>
                <w:sz w:val="20"/>
                <w:szCs w:val="20"/>
              </w:rPr>
              <w:t>432</w:t>
            </w:r>
          </w:p>
        </w:tc>
        <w:tc>
          <w:tcPr>
            <w:tcW w:w="1260" w:type="dxa"/>
          </w:tcPr>
          <w:p w:rsidR="00782A43" w:rsidRPr="0099072B" w:rsidRDefault="00782A43" w:rsidP="00A5516A">
            <w:pPr>
              <w:jc w:val="right"/>
              <w:rPr>
                <w:sz w:val="20"/>
                <w:szCs w:val="20"/>
              </w:rPr>
            </w:pPr>
            <w:r w:rsidRPr="0099072B">
              <w:rPr>
                <w:sz w:val="20"/>
                <w:szCs w:val="20"/>
              </w:rPr>
              <w:t>2</w:t>
            </w:r>
          </w:p>
        </w:tc>
        <w:tc>
          <w:tcPr>
            <w:tcW w:w="1170" w:type="dxa"/>
          </w:tcPr>
          <w:p w:rsidR="00782A43" w:rsidRPr="0099072B" w:rsidRDefault="00782A43" w:rsidP="00A5516A">
            <w:pPr>
              <w:jc w:val="right"/>
              <w:rPr>
                <w:sz w:val="20"/>
                <w:szCs w:val="20"/>
              </w:rPr>
            </w:pPr>
            <w:r>
              <w:rPr>
                <w:sz w:val="20"/>
                <w:szCs w:val="20"/>
              </w:rPr>
              <w:t>864</w:t>
            </w:r>
          </w:p>
        </w:tc>
        <w:tc>
          <w:tcPr>
            <w:tcW w:w="1080" w:type="dxa"/>
          </w:tcPr>
          <w:p w:rsidR="00782A43" w:rsidRPr="0099072B" w:rsidRDefault="00782A43" w:rsidP="00A5516A">
            <w:pPr>
              <w:jc w:val="right"/>
              <w:rPr>
                <w:sz w:val="20"/>
                <w:szCs w:val="20"/>
              </w:rPr>
            </w:pPr>
            <w:r w:rsidRPr="0099072B">
              <w:rPr>
                <w:sz w:val="20"/>
                <w:szCs w:val="20"/>
              </w:rPr>
              <w:t>1.0</w:t>
            </w:r>
          </w:p>
        </w:tc>
        <w:tc>
          <w:tcPr>
            <w:tcW w:w="1110" w:type="dxa"/>
          </w:tcPr>
          <w:p w:rsidR="00782A43" w:rsidRPr="0099072B" w:rsidRDefault="00782A43" w:rsidP="00A5516A">
            <w:pPr>
              <w:jc w:val="right"/>
              <w:rPr>
                <w:sz w:val="20"/>
                <w:szCs w:val="20"/>
              </w:rPr>
            </w:pPr>
            <w:r>
              <w:rPr>
                <w:sz w:val="20"/>
                <w:szCs w:val="20"/>
              </w:rPr>
              <w:t>864</w:t>
            </w:r>
          </w:p>
        </w:tc>
      </w:tr>
      <w:tr w:rsidR="00782A43" w:rsidRPr="0099072B">
        <w:tc>
          <w:tcPr>
            <w:tcW w:w="2460" w:type="dxa"/>
          </w:tcPr>
          <w:p w:rsidR="00782A43" w:rsidRPr="001D1D0B" w:rsidRDefault="00782A43" w:rsidP="00A5516A">
            <w:pPr>
              <w:rPr>
                <w:b/>
                <w:bCs/>
                <w:sz w:val="20"/>
                <w:szCs w:val="20"/>
              </w:rPr>
            </w:pPr>
            <w:r w:rsidRPr="001D1D0B">
              <w:rPr>
                <w:b/>
                <w:bCs/>
                <w:sz w:val="20"/>
                <w:szCs w:val="20"/>
              </w:rPr>
              <w:t xml:space="preserve">Annualized </w:t>
            </w:r>
            <w:r>
              <w:rPr>
                <w:b/>
                <w:bCs/>
                <w:sz w:val="20"/>
                <w:szCs w:val="20"/>
              </w:rPr>
              <w:t xml:space="preserve">Service Staff </w:t>
            </w:r>
            <w:r w:rsidRPr="001D1D0B">
              <w:rPr>
                <w:b/>
                <w:bCs/>
                <w:sz w:val="20"/>
                <w:szCs w:val="20"/>
              </w:rPr>
              <w:t>Total</w:t>
            </w:r>
          </w:p>
        </w:tc>
        <w:tc>
          <w:tcPr>
            <w:tcW w:w="1440" w:type="dxa"/>
          </w:tcPr>
          <w:p w:rsidR="00782A43" w:rsidRPr="001D1D0B" w:rsidRDefault="00782A43" w:rsidP="00A5516A">
            <w:pPr>
              <w:jc w:val="right"/>
              <w:rPr>
                <w:b/>
                <w:bCs/>
                <w:sz w:val="20"/>
                <w:szCs w:val="20"/>
              </w:rPr>
            </w:pPr>
            <w:r w:rsidRPr="001D1D0B">
              <w:rPr>
                <w:b/>
                <w:bCs/>
                <w:sz w:val="20"/>
                <w:szCs w:val="20"/>
              </w:rPr>
              <w:t>144</w:t>
            </w:r>
          </w:p>
        </w:tc>
        <w:tc>
          <w:tcPr>
            <w:tcW w:w="1260" w:type="dxa"/>
          </w:tcPr>
          <w:p w:rsidR="00782A43" w:rsidRPr="001D1D0B" w:rsidRDefault="00782A43" w:rsidP="00A5516A">
            <w:pPr>
              <w:jc w:val="right"/>
              <w:rPr>
                <w:b/>
                <w:bCs/>
                <w:sz w:val="20"/>
                <w:szCs w:val="20"/>
              </w:rPr>
            </w:pPr>
            <w:r>
              <w:rPr>
                <w:b/>
                <w:bCs/>
                <w:sz w:val="20"/>
                <w:szCs w:val="20"/>
              </w:rPr>
              <w:t>--</w:t>
            </w:r>
          </w:p>
        </w:tc>
        <w:tc>
          <w:tcPr>
            <w:tcW w:w="1170" w:type="dxa"/>
          </w:tcPr>
          <w:p w:rsidR="00782A43" w:rsidRPr="001D1D0B" w:rsidRDefault="00782A43" w:rsidP="00A5516A">
            <w:pPr>
              <w:jc w:val="right"/>
              <w:rPr>
                <w:b/>
                <w:bCs/>
                <w:sz w:val="20"/>
                <w:szCs w:val="20"/>
              </w:rPr>
            </w:pPr>
            <w:r w:rsidRPr="001D1D0B">
              <w:rPr>
                <w:b/>
                <w:bCs/>
                <w:sz w:val="20"/>
                <w:szCs w:val="20"/>
              </w:rPr>
              <w:t>288</w:t>
            </w:r>
          </w:p>
        </w:tc>
        <w:tc>
          <w:tcPr>
            <w:tcW w:w="1080" w:type="dxa"/>
          </w:tcPr>
          <w:p w:rsidR="00782A43" w:rsidRPr="001D1D0B" w:rsidRDefault="00782A43" w:rsidP="00A5516A">
            <w:pPr>
              <w:jc w:val="right"/>
              <w:rPr>
                <w:b/>
                <w:bCs/>
                <w:sz w:val="20"/>
                <w:szCs w:val="20"/>
              </w:rPr>
            </w:pPr>
            <w:r>
              <w:rPr>
                <w:b/>
                <w:bCs/>
                <w:sz w:val="20"/>
                <w:szCs w:val="20"/>
              </w:rPr>
              <w:t>--</w:t>
            </w:r>
          </w:p>
        </w:tc>
        <w:tc>
          <w:tcPr>
            <w:tcW w:w="1110" w:type="dxa"/>
          </w:tcPr>
          <w:p w:rsidR="00782A43" w:rsidRPr="001D1D0B" w:rsidRDefault="00782A43" w:rsidP="00A5516A">
            <w:pPr>
              <w:jc w:val="right"/>
              <w:rPr>
                <w:b/>
                <w:bCs/>
                <w:sz w:val="20"/>
                <w:szCs w:val="20"/>
              </w:rPr>
            </w:pPr>
            <w:r w:rsidRPr="001D1D0B">
              <w:rPr>
                <w:b/>
                <w:bCs/>
                <w:sz w:val="20"/>
                <w:szCs w:val="20"/>
              </w:rPr>
              <w:t>288</w:t>
            </w:r>
          </w:p>
        </w:tc>
      </w:tr>
      <w:tr w:rsidR="00782A43" w:rsidRPr="00E877BC">
        <w:tc>
          <w:tcPr>
            <w:tcW w:w="2460" w:type="dxa"/>
          </w:tcPr>
          <w:p w:rsidR="00782A43" w:rsidRPr="0099072B" w:rsidRDefault="00782A43" w:rsidP="00A5516A">
            <w:pPr>
              <w:rPr>
                <w:sz w:val="20"/>
                <w:szCs w:val="20"/>
              </w:rPr>
            </w:pPr>
            <w:r w:rsidRPr="0099072B">
              <w:rPr>
                <w:sz w:val="20"/>
                <w:szCs w:val="20"/>
              </w:rPr>
              <w:t>Treatment Dosage Form (C</w:t>
            </w:r>
            <w:r>
              <w:rPr>
                <w:sz w:val="20"/>
                <w:szCs w:val="20"/>
              </w:rPr>
              <w:t>ompleted by program staff</w:t>
            </w:r>
            <w:r w:rsidRPr="0099072B">
              <w:rPr>
                <w:sz w:val="20"/>
                <w:szCs w:val="20"/>
              </w:rPr>
              <w:t xml:space="preserve">) </w:t>
            </w:r>
          </w:p>
        </w:tc>
        <w:tc>
          <w:tcPr>
            <w:tcW w:w="1440" w:type="dxa"/>
          </w:tcPr>
          <w:p w:rsidR="00782A43" w:rsidRPr="0099072B" w:rsidRDefault="00782A43" w:rsidP="00A5516A">
            <w:pPr>
              <w:jc w:val="right"/>
              <w:rPr>
                <w:sz w:val="20"/>
                <w:szCs w:val="20"/>
              </w:rPr>
            </w:pPr>
            <w:r>
              <w:rPr>
                <w:sz w:val="20"/>
                <w:szCs w:val="20"/>
              </w:rPr>
              <w:t>4,800</w:t>
            </w:r>
          </w:p>
        </w:tc>
        <w:tc>
          <w:tcPr>
            <w:tcW w:w="1260" w:type="dxa"/>
          </w:tcPr>
          <w:p w:rsidR="00782A43" w:rsidRPr="0099072B" w:rsidRDefault="00782A43" w:rsidP="00A5516A">
            <w:pPr>
              <w:jc w:val="right"/>
              <w:rPr>
                <w:sz w:val="20"/>
                <w:szCs w:val="20"/>
              </w:rPr>
            </w:pPr>
            <w:r w:rsidRPr="0099072B">
              <w:rPr>
                <w:sz w:val="20"/>
                <w:szCs w:val="20"/>
              </w:rPr>
              <w:t>1</w:t>
            </w:r>
          </w:p>
        </w:tc>
        <w:tc>
          <w:tcPr>
            <w:tcW w:w="1170" w:type="dxa"/>
          </w:tcPr>
          <w:p w:rsidR="00782A43" w:rsidRPr="0099072B" w:rsidRDefault="00782A43" w:rsidP="00A5516A">
            <w:pPr>
              <w:jc w:val="right"/>
              <w:rPr>
                <w:sz w:val="20"/>
                <w:szCs w:val="20"/>
              </w:rPr>
            </w:pPr>
            <w:r>
              <w:rPr>
                <w:sz w:val="20"/>
                <w:szCs w:val="20"/>
              </w:rPr>
              <w:t>4,800</w:t>
            </w:r>
          </w:p>
        </w:tc>
        <w:tc>
          <w:tcPr>
            <w:tcW w:w="1080" w:type="dxa"/>
          </w:tcPr>
          <w:p w:rsidR="00782A43" w:rsidRPr="0099072B" w:rsidRDefault="00782A43" w:rsidP="00A5516A">
            <w:pPr>
              <w:jc w:val="right"/>
              <w:rPr>
                <w:sz w:val="20"/>
                <w:szCs w:val="20"/>
              </w:rPr>
            </w:pPr>
            <w:r w:rsidRPr="0099072B">
              <w:rPr>
                <w:sz w:val="20"/>
                <w:szCs w:val="20"/>
              </w:rPr>
              <w:t>.25</w:t>
            </w:r>
          </w:p>
        </w:tc>
        <w:tc>
          <w:tcPr>
            <w:tcW w:w="1110" w:type="dxa"/>
          </w:tcPr>
          <w:p w:rsidR="00782A43" w:rsidRPr="0099072B" w:rsidRDefault="00782A43" w:rsidP="00A5516A">
            <w:pPr>
              <w:jc w:val="right"/>
              <w:rPr>
                <w:sz w:val="20"/>
                <w:szCs w:val="20"/>
              </w:rPr>
            </w:pPr>
            <w:r>
              <w:rPr>
                <w:sz w:val="20"/>
                <w:szCs w:val="20"/>
              </w:rPr>
              <w:t>1,200</w:t>
            </w:r>
          </w:p>
        </w:tc>
      </w:tr>
      <w:tr w:rsidR="00782A43" w:rsidRPr="0099072B">
        <w:tc>
          <w:tcPr>
            <w:tcW w:w="2460" w:type="dxa"/>
          </w:tcPr>
          <w:p w:rsidR="00782A43" w:rsidRPr="001D1D0B" w:rsidRDefault="00782A43" w:rsidP="00A5516A">
            <w:pPr>
              <w:rPr>
                <w:b/>
                <w:bCs/>
                <w:sz w:val="20"/>
                <w:szCs w:val="20"/>
              </w:rPr>
            </w:pPr>
            <w:r w:rsidRPr="001D1D0B">
              <w:rPr>
                <w:b/>
                <w:bCs/>
                <w:sz w:val="20"/>
                <w:szCs w:val="20"/>
              </w:rPr>
              <w:t xml:space="preserve">Annualized </w:t>
            </w:r>
            <w:r>
              <w:rPr>
                <w:b/>
                <w:bCs/>
                <w:sz w:val="20"/>
                <w:szCs w:val="20"/>
              </w:rPr>
              <w:t xml:space="preserve">Dosage </w:t>
            </w:r>
            <w:r w:rsidRPr="001D1D0B">
              <w:rPr>
                <w:b/>
                <w:bCs/>
                <w:sz w:val="20"/>
                <w:szCs w:val="20"/>
              </w:rPr>
              <w:t>Total</w:t>
            </w:r>
          </w:p>
        </w:tc>
        <w:tc>
          <w:tcPr>
            <w:tcW w:w="1440" w:type="dxa"/>
          </w:tcPr>
          <w:p w:rsidR="00782A43" w:rsidRPr="001D1D0B" w:rsidRDefault="00782A43" w:rsidP="00A5516A">
            <w:pPr>
              <w:jc w:val="right"/>
              <w:rPr>
                <w:b/>
                <w:bCs/>
                <w:sz w:val="20"/>
                <w:szCs w:val="20"/>
              </w:rPr>
            </w:pPr>
            <w:r w:rsidRPr="001D1D0B">
              <w:rPr>
                <w:b/>
                <w:bCs/>
                <w:sz w:val="20"/>
                <w:szCs w:val="20"/>
              </w:rPr>
              <w:t>1,600</w:t>
            </w:r>
          </w:p>
        </w:tc>
        <w:tc>
          <w:tcPr>
            <w:tcW w:w="1260" w:type="dxa"/>
          </w:tcPr>
          <w:p w:rsidR="00782A43" w:rsidRPr="001D1D0B" w:rsidRDefault="00782A43" w:rsidP="00A5516A">
            <w:pPr>
              <w:jc w:val="right"/>
              <w:rPr>
                <w:b/>
                <w:bCs/>
                <w:sz w:val="20"/>
                <w:szCs w:val="20"/>
              </w:rPr>
            </w:pPr>
            <w:r>
              <w:rPr>
                <w:b/>
                <w:bCs/>
                <w:sz w:val="20"/>
                <w:szCs w:val="20"/>
              </w:rPr>
              <w:t>--</w:t>
            </w:r>
          </w:p>
        </w:tc>
        <w:tc>
          <w:tcPr>
            <w:tcW w:w="1170" w:type="dxa"/>
          </w:tcPr>
          <w:p w:rsidR="00782A43" w:rsidRPr="001D1D0B" w:rsidRDefault="00782A43" w:rsidP="00A5516A">
            <w:pPr>
              <w:jc w:val="right"/>
              <w:rPr>
                <w:b/>
                <w:bCs/>
                <w:sz w:val="20"/>
                <w:szCs w:val="20"/>
              </w:rPr>
            </w:pPr>
            <w:r w:rsidRPr="001D1D0B">
              <w:rPr>
                <w:b/>
                <w:bCs/>
                <w:sz w:val="20"/>
                <w:szCs w:val="20"/>
              </w:rPr>
              <w:t>1,600</w:t>
            </w:r>
          </w:p>
        </w:tc>
        <w:tc>
          <w:tcPr>
            <w:tcW w:w="1080" w:type="dxa"/>
          </w:tcPr>
          <w:p w:rsidR="00782A43" w:rsidRPr="001D1D0B" w:rsidRDefault="00782A43" w:rsidP="00A5516A">
            <w:pPr>
              <w:jc w:val="right"/>
              <w:rPr>
                <w:b/>
                <w:bCs/>
                <w:sz w:val="20"/>
                <w:szCs w:val="20"/>
              </w:rPr>
            </w:pPr>
            <w:r>
              <w:rPr>
                <w:b/>
                <w:bCs/>
                <w:sz w:val="20"/>
                <w:szCs w:val="20"/>
              </w:rPr>
              <w:t>--</w:t>
            </w:r>
          </w:p>
        </w:tc>
        <w:tc>
          <w:tcPr>
            <w:tcW w:w="1110" w:type="dxa"/>
          </w:tcPr>
          <w:p w:rsidR="00782A43" w:rsidRPr="001D1D0B" w:rsidRDefault="00782A43" w:rsidP="00A5516A">
            <w:pPr>
              <w:jc w:val="right"/>
              <w:rPr>
                <w:b/>
                <w:bCs/>
                <w:sz w:val="20"/>
                <w:szCs w:val="20"/>
              </w:rPr>
            </w:pPr>
            <w:r w:rsidRPr="001D1D0B">
              <w:rPr>
                <w:b/>
                <w:bCs/>
                <w:sz w:val="20"/>
                <w:szCs w:val="20"/>
              </w:rPr>
              <w:t>400</w:t>
            </w:r>
          </w:p>
        </w:tc>
      </w:tr>
      <w:tr w:rsidR="00782A43" w:rsidRPr="0099072B">
        <w:tc>
          <w:tcPr>
            <w:tcW w:w="8520" w:type="dxa"/>
            <w:gridSpan w:val="6"/>
            <w:shd w:val="clear" w:color="auto" w:fill="D9D9D9"/>
          </w:tcPr>
          <w:p w:rsidR="00782A43" w:rsidRPr="00FA69E3" w:rsidRDefault="00782A43" w:rsidP="00A5516A">
            <w:pPr>
              <w:jc w:val="center"/>
              <w:rPr>
                <w:b/>
                <w:bCs/>
                <w:sz w:val="20"/>
                <w:szCs w:val="20"/>
              </w:rPr>
            </w:pPr>
            <w:r w:rsidRPr="00FA69E3">
              <w:rPr>
                <w:b/>
                <w:bCs/>
                <w:sz w:val="20"/>
                <w:szCs w:val="20"/>
              </w:rPr>
              <w:t>CO</w:t>
            </w:r>
            <w:r>
              <w:rPr>
                <w:b/>
                <w:bCs/>
                <w:sz w:val="20"/>
                <w:szCs w:val="20"/>
              </w:rPr>
              <w:t>LLABORATORS</w:t>
            </w:r>
            <w:r w:rsidRPr="00FA69E3">
              <w:rPr>
                <w:b/>
                <w:bCs/>
                <w:sz w:val="20"/>
                <w:szCs w:val="20"/>
              </w:rPr>
              <w:t>/PARTNERS INTERVIEW INSTRUMENTS</w:t>
            </w:r>
          </w:p>
        </w:tc>
      </w:tr>
      <w:tr w:rsidR="00782A43" w:rsidRPr="0099072B">
        <w:tc>
          <w:tcPr>
            <w:tcW w:w="2460" w:type="dxa"/>
          </w:tcPr>
          <w:p w:rsidR="00782A43" w:rsidRPr="0099072B" w:rsidRDefault="00782A43" w:rsidP="00A5516A">
            <w:pPr>
              <w:rPr>
                <w:sz w:val="20"/>
                <w:szCs w:val="20"/>
              </w:rPr>
            </w:pPr>
            <w:r w:rsidRPr="0099072B">
              <w:rPr>
                <w:sz w:val="20"/>
                <w:szCs w:val="20"/>
              </w:rPr>
              <w:t>Community Collaborators (Semi-Structured Interviews)</w:t>
            </w:r>
          </w:p>
        </w:tc>
        <w:tc>
          <w:tcPr>
            <w:tcW w:w="1440" w:type="dxa"/>
          </w:tcPr>
          <w:p w:rsidR="00782A43" w:rsidRPr="0099072B" w:rsidRDefault="00782A43" w:rsidP="00A5516A">
            <w:pPr>
              <w:jc w:val="right"/>
              <w:rPr>
                <w:sz w:val="20"/>
                <w:szCs w:val="20"/>
              </w:rPr>
            </w:pPr>
            <w:r>
              <w:rPr>
                <w:sz w:val="20"/>
                <w:szCs w:val="20"/>
              </w:rPr>
              <w:t>240</w:t>
            </w:r>
          </w:p>
        </w:tc>
        <w:tc>
          <w:tcPr>
            <w:tcW w:w="1260" w:type="dxa"/>
          </w:tcPr>
          <w:p w:rsidR="00782A43" w:rsidRPr="0099072B" w:rsidRDefault="00782A43" w:rsidP="00A5516A">
            <w:pPr>
              <w:jc w:val="right"/>
              <w:rPr>
                <w:sz w:val="20"/>
                <w:szCs w:val="20"/>
              </w:rPr>
            </w:pPr>
            <w:r w:rsidRPr="0099072B">
              <w:rPr>
                <w:sz w:val="20"/>
                <w:szCs w:val="20"/>
              </w:rPr>
              <w:t>2</w:t>
            </w:r>
          </w:p>
        </w:tc>
        <w:tc>
          <w:tcPr>
            <w:tcW w:w="1170" w:type="dxa"/>
          </w:tcPr>
          <w:p w:rsidR="00782A43" w:rsidRPr="0099072B" w:rsidRDefault="00782A43" w:rsidP="00A5516A">
            <w:pPr>
              <w:jc w:val="right"/>
              <w:rPr>
                <w:sz w:val="20"/>
                <w:szCs w:val="20"/>
              </w:rPr>
            </w:pPr>
            <w:r>
              <w:rPr>
                <w:sz w:val="20"/>
                <w:szCs w:val="20"/>
              </w:rPr>
              <w:t>480</w:t>
            </w:r>
          </w:p>
        </w:tc>
        <w:tc>
          <w:tcPr>
            <w:tcW w:w="1080" w:type="dxa"/>
          </w:tcPr>
          <w:p w:rsidR="00782A43" w:rsidRPr="0099072B" w:rsidRDefault="00782A43" w:rsidP="00A5516A">
            <w:pPr>
              <w:jc w:val="right"/>
              <w:rPr>
                <w:sz w:val="20"/>
                <w:szCs w:val="20"/>
              </w:rPr>
            </w:pPr>
            <w:r w:rsidRPr="0099072B">
              <w:rPr>
                <w:sz w:val="20"/>
                <w:szCs w:val="20"/>
              </w:rPr>
              <w:t>1.0</w:t>
            </w:r>
          </w:p>
        </w:tc>
        <w:tc>
          <w:tcPr>
            <w:tcW w:w="1110" w:type="dxa"/>
          </w:tcPr>
          <w:p w:rsidR="00782A43" w:rsidRPr="0099072B" w:rsidRDefault="00782A43" w:rsidP="00A5516A">
            <w:pPr>
              <w:jc w:val="right"/>
              <w:rPr>
                <w:sz w:val="20"/>
                <w:szCs w:val="20"/>
              </w:rPr>
            </w:pPr>
            <w:r>
              <w:rPr>
                <w:sz w:val="20"/>
                <w:szCs w:val="20"/>
              </w:rPr>
              <w:t>480</w:t>
            </w:r>
          </w:p>
        </w:tc>
      </w:tr>
      <w:tr w:rsidR="00782A43" w:rsidRPr="00E877BC">
        <w:tc>
          <w:tcPr>
            <w:tcW w:w="2460" w:type="dxa"/>
          </w:tcPr>
          <w:p w:rsidR="00782A43" w:rsidRPr="00AD5114" w:rsidRDefault="00782A43" w:rsidP="00A5516A">
            <w:pPr>
              <w:rPr>
                <w:b/>
                <w:bCs/>
                <w:sz w:val="20"/>
                <w:szCs w:val="20"/>
              </w:rPr>
            </w:pPr>
            <w:r>
              <w:rPr>
                <w:b/>
                <w:bCs/>
                <w:sz w:val="20"/>
                <w:szCs w:val="20"/>
              </w:rPr>
              <w:t>Annualized Collaborators Total</w:t>
            </w:r>
          </w:p>
        </w:tc>
        <w:tc>
          <w:tcPr>
            <w:tcW w:w="1440" w:type="dxa"/>
          </w:tcPr>
          <w:p w:rsidR="00782A43" w:rsidRPr="00AD5114" w:rsidRDefault="00782A43" w:rsidP="00A5516A">
            <w:pPr>
              <w:jc w:val="right"/>
              <w:rPr>
                <w:b/>
                <w:bCs/>
                <w:sz w:val="20"/>
                <w:szCs w:val="20"/>
              </w:rPr>
            </w:pPr>
            <w:r>
              <w:rPr>
                <w:b/>
                <w:bCs/>
                <w:sz w:val="20"/>
                <w:szCs w:val="20"/>
              </w:rPr>
              <w:t>80</w:t>
            </w:r>
          </w:p>
        </w:tc>
        <w:tc>
          <w:tcPr>
            <w:tcW w:w="1260" w:type="dxa"/>
          </w:tcPr>
          <w:p w:rsidR="00782A43" w:rsidRPr="00AD5114" w:rsidRDefault="00782A43" w:rsidP="00A5516A">
            <w:pPr>
              <w:jc w:val="right"/>
              <w:rPr>
                <w:b/>
                <w:bCs/>
                <w:sz w:val="20"/>
                <w:szCs w:val="20"/>
              </w:rPr>
            </w:pPr>
            <w:r>
              <w:rPr>
                <w:b/>
                <w:bCs/>
                <w:sz w:val="20"/>
                <w:szCs w:val="20"/>
              </w:rPr>
              <w:t>--</w:t>
            </w:r>
          </w:p>
        </w:tc>
        <w:tc>
          <w:tcPr>
            <w:tcW w:w="1170" w:type="dxa"/>
          </w:tcPr>
          <w:p w:rsidR="00782A43" w:rsidRPr="00AD5114" w:rsidRDefault="00782A43" w:rsidP="00A5516A">
            <w:pPr>
              <w:jc w:val="right"/>
              <w:rPr>
                <w:b/>
                <w:bCs/>
                <w:sz w:val="20"/>
                <w:szCs w:val="20"/>
              </w:rPr>
            </w:pPr>
            <w:r>
              <w:rPr>
                <w:b/>
                <w:bCs/>
                <w:sz w:val="20"/>
                <w:szCs w:val="20"/>
              </w:rPr>
              <w:t>160</w:t>
            </w:r>
          </w:p>
        </w:tc>
        <w:tc>
          <w:tcPr>
            <w:tcW w:w="1080" w:type="dxa"/>
          </w:tcPr>
          <w:p w:rsidR="00782A43" w:rsidRPr="00AD5114" w:rsidRDefault="00782A43" w:rsidP="00A5516A">
            <w:pPr>
              <w:jc w:val="right"/>
              <w:rPr>
                <w:b/>
                <w:bCs/>
                <w:sz w:val="20"/>
                <w:szCs w:val="20"/>
              </w:rPr>
            </w:pPr>
            <w:r>
              <w:rPr>
                <w:b/>
                <w:bCs/>
                <w:sz w:val="20"/>
                <w:szCs w:val="20"/>
              </w:rPr>
              <w:t>--</w:t>
            </w:r>
            <w:r w:rsidRPr="00AD5114">
              <w:rPr>
                <w:b/>
                <w:bCs/>
                <w:sz w:val="20"/>
                <w:szCs w:val="20"/>
              </w:rPr>
              <w:t xml:space="preserve"> </w:t>
            </w:r>
          </w:p>
        </w:tc>
        <w:tc>
          <w:tcPr>
            <w:tcW w:w="1110" w:type="dxa"/>
          </w:tcPr>
          <w:p w:rsidR="00782A43" w:rsidRPr="00E877BC" w:rsidRDefault="00782A43" w:rsidP="00A5516A">
            <w:pPr>
              <w:jc w:val="right"/>
              <w:rPr>
                <w:b/>
                <w:bCs/>
                <w:sz w:val="20"/>
                <w:szCs w:val="20"/>
              </w:rPr>
            </w:pPr>
            <w:r w:rsidRPr="00E877BC">
              <w:rPr>
                <w:b/>
                <w:bCs/>
                <w:sz w:val="20"/>
                <w:szCs w:val="20"/>
              </w:rPr>
              <w:t>160</w:t>
            </w:r>
          </w:p>
        </w:tc>
      </w:tr>
      <w:tr w:rsidR="00782A43" w:rsidRPr="00AD5114">
        <w:tc>
          <w:tcPr>
            <w:tcW w:w="8520" w:type="dxa"/>
            <w:gridSpan w:val="6"/>
            <w:shd w:val="clear" w:color="auto" w:fill="D9D9D9"/>
          </w:tcPr>
          <w:p w:rsidR="00782A43" w:rsidRPr="00221499" w:rsidRDefault="00782A43" w:rsidP="00A5516A">
            <w:pPr>
              <w:jc w:val="right"/>
              <w:rPr>
                <w:b/>
                <w:bCs/>
                <w:sz w:val="20"/>
                <w:szCs w:val="20"/>
              </w:rPr>
            </w:pPr>
          </w:p>
        </w:tc>
      </w:tr>
      <w:tr w:rsidR="00782A43" w:rsidRPr="00AD5114">
        <w:tc>
          <w:tcPr>
            <w:tcW w:w="2460" w:type="dxa"/>
          </w:tcPr>
          <w:p w:rsidR="00782A43" w:rsidRPr="00221499" w:rsidRDefault="00782A43" w:rsidP="00A5516A">
            <w:pPr>
              <w:rPr>
                <w:b/>
                <w:bCs/>
                <w:sz w:val="20"/>
                <w:szCs w:val="20"/>
              </w:rPr>
            </w:pPr>
            <w:r w:rsidRPr="00221499">
              <w:rPr>
                <w:b/>
                <w:bCs/>
                <w:sz w:val="20"/>
                <w:szCs w:val="20"/>
              </w:rPr>
              <w:t>Annualized Totals (3-year clearance for project)</w:t>
            </w:r>
          </w:p>
        </w:tc>
        <w:tc>
          <w:tcPr>
            <w:tcW w:w="1440" w:type="dxa"/>
          </w:tcPr>
          <w:p w:rsidR="00782A43" w:rsidRPr="00221499" w:rsidRDefault="00782A43" w:rsidP="00A5516A">
            <w:pPr>
              <w:jc w:val="right"/>
              <w:rPr>
                <w:b/>
                <w:bCs/>
                <w:sz w:val="20"/>
                <w:szCs w:val="20"/>
              </w:rPr>
            </w:pPr>
            <w:r w:rsidRPr="00221499">
              <w:rPr>
                <w:b/>
                <w:bCs/>
                <w:sz w:val="20"/>
                <w:szCs w:val="20"/>
              </w:rPr>
              <w:t>3,456</w:t>
            </w:r>
          </w:p>
        </w:tc>
        <w:tc>
          <w:tcPr>
            <w:tcW w:w="1260" w:type="dxa"/>
          </w:tcPr>
          <w:p w:rsidR="00782A43" w:rsidRPr="00221499" w:rsidRDefault="00782A43" w:rsidP="00A5516A">
            <w:pPr>
              <w:jc w:val="right"/>
              <w:rPr>
                <w:b/>
                <w:bCs/>
                <w:sz w:val="20"/>
                <w:szCs w:val="20"/>
              </w:rPr>
            </w:pPr>
            <w:r w:rsidRPr="00221499">
              <w:rPr>
                <w:b/>
                <w:bCs/>
                <w:sz w:val="20"/>
                <w:szCs w:val="20"/>
              </w:rPr>
              <w:t>--</w:t>
            </w:r>
          </w:p>
        </w:tc>
        <w:tc>
          <w:tcPr>
            <w:tcW w:w="1170" w:type="dxa"/>
          </w:tcPr>
          <w:p w:rsidR="00782A43" w:rsidRPr="00221499" w:rsidRDefault="00782A43" w:rsidP="00A5516A">
            <w:pPr>
              <w:jc w:val="right"/>
              <w:rPr>
                <w:b/>
                <w:bCs/>
                <w:sz w:val="20"/>
                <w:szCs w:val="20"/>
              </w:rPr>
            </w:pPr>
            <w:r w:rsidRPr="00221499">
              <w:rPr>
                <w:b/>
                <w:bCs/>
                <w:sz w:val="20"/>
                <w:szCs w:val="20"/>
              </w:rPr>
              <w:t>6,832</w:t>
            </w:r>
          </w:p>
        </w:tc>
        <w:tc>
          <w:tcPr>
            <w:tcW w:w="1080" w:type="dxa"/>
          </w:tcPr>
          <w:p w:rsidR="00782A43" w:rsidRPr="00221499" w:rsidRDefault="00782A43" w:rsidP="00A5516A">
            <w:pPr>
              <w:jc w:val="right"/>
              <w:rPr>
                <w:b/>
                <w:bCs/>
                <w:sz w:val="20"/>
                <w:szCs w:val="20"/>
              </w:rPr>
            </w:pPr>
            <w:r>
              <w:rPr>
                <w:b/>
                <w:bCs/>
                <w:sz w:val="20"/>
                <w:szCs w:val="20"/>
              </w:rPr>
              <w:t>--</w:t>
            </w:r>
          </w:p>
        </w:tc>
        <w:tc>
          <w:tcPr>
            <w:tcW w:w="1110" w:type="dxa"/>
          </w:tcPr>
          <w:p w:rsidR="00782A43" w:rsidRPr="00221499" w:rsidRDefault="00782A43" w:rsidP="00A5516A">
            <w:pPr>
              <w:jc w:val="right"/>
              <w:rPr>
                <w:b/>
                <w:bCs/>
                <w:sz w:val="20"/>
                <w:szCs w:val="20"/>
              </w:rPr>
            </w:pPr>
            <w:r w:rsidRPr="00221499">
              <w:rPr>
                <w:b/>
                <w:bCs/>
                <w:sz w:val="20"/>
                <w:szCs w:val="20"/>
              </w:rPr>
              <w:t>3,018</w:t>
            </w:r>
          </w:p>
        </w:tc>
      </w:tr>
    </w:tbl>
    <w:p w:rsidR="00782A43" w:rsidRDefault="00782A43" w:rsidP="00BB6E1D">
      <w:pPr>
        <w:rPr>
          <w:sz w:val="20"/>
          <w:szCs w:val="20"/>
        </w:rPr>
      </w:pPr>
      <w:r>
        <w:rPr>
          <w:sz w:val="20"/>
          <w:szCs w:val="20"/>
        </w:rPr>
        <w:t>^</w:t>
      </w:r>
      <w:r w:rsidRPr="00221499">
        <w:t xml:space="preserve"> </w:t>
      </w:r>
      <w:r>
        <w:rPr>
          <w:sz w:val="20"/>
          <w:szCs w:val="20"/>
        </w:rPr>
        <w:t>This number is derived from 4800+4800+3840 = 13,</w:t>
      </w:r>
      <w:r w:rsidRPr="00221499">
        <w:rPr>
          <w:sz w:val="20"/>
          <w:szCs w:val="20"/>
        </w:rPr>
        <w:t>440</w:t>
      </w:r>
      <w:r>
        <w:rPr>
          <w:sz w:val="20"/>
          <w:szCs w:val="20"/>
        </w:rPr>
        <w:t xml:space="preserve"> for 100% response rate at two data collection time points and 80% at the third data collection time point. </w:t>
      </w:r>
    </w:p>
    <w:p w:rsidR="00782A43" w:rsidRPr="001E473E" w:rsidRDefault="00782A43" w:rsidP="00BB6E1D">
      <w:pPr>
        <w:rPr>
          <w:sz w:val="20"/>
          <w:szCs w:val="20"/>
        </w:rPr>
      </w:pPr>
      <w:r w:rsidRPr="00141642">
        <w:rPr>
          <w:sz w:val="20"/>
          <w:szCs w:val="20"/>
        </w:rPr>
        <w:t>*These respondents are a subset of the 4,800 clients</w:t>
      </w:r>
      <w:r>
        <w:rPr>
          <w:sz w:val="20"/>
          <w:szCs w:val="20"/>
        </w:rPr>
        <w:t xml:space="preserve"> so they are not included in the total number of respondents</w:t>
      </w:r>
      <w:r w:rsidRPr="00141642">
        <w:rPr>
          <w:sz w:val="20"/>
          <w:szCs w:val="20"/>
        </w:rPr>
        <w:t>.</w:t>
      </w:r>
    </w:p>
    <w:p w:rsidR="00782A43" w:rsidRDefault="00782A43">
      <w:r>
        <w:br w:type="page"/>
      </w:r>
    </w:p>
    <w:p w:rsidR="00782A43" w:rsidRPr="0099072B" w:rsidRDefault="00782A43" w:rsidP="00761CAC"/>
    <w:p w:rsidR="00782A43" w:rsidRDefault="00782A43">
      <w:pPr>
        <w:ind w:firstLine="720"/>
        <w:rPr>
          <w:b/>
          <w:bCs/>
        </w:rPr>
      </w:pPr>
      <w:bookmarkStart w:id="41" w:name="_Toc88277962"/>
      <w:bookmarkStart w:id="42" w:name="_Toc131564359"/>
      <w:bookmarkEnd w:id="37"/>
      <w:r w:rsidRPr="00C141E2">
        <w:rPr>
          <w:b/>
          <w:bCs/>
        </w:rPr>
        <w:t>13.</w:t>
      </w:r>
      <w:r w:rsidRPr="00C141E2">
        <w:rPr>
          <w:b/>
          <w:bCs/>
        </w:rPr>
        <w:tab/>
      </w:r>
      <w:r w:rsidRPr="00C141E2">
        <w:rPr>
          <w:b/>
          <w:bCs/>
          <w:u w:val="single"/>
        </w:rPr>
        <w:t>Estimates of Annualized Cost Burden to Respondents</w:t>
      </w:r>
      <w:bookmarkEnd w:id="41"/>
      <w:bookmarkEnd w:id="42"/>
    </w:p>
    <w:p w:rsidR="00782A43" w:rsidRPr="00C141E2" w:rsidRDefault="00782A43" w:rsidP="003D66D7"/>
    <w:p w:rsidR="00782A43" w:rsidRDefault="00782A43">
      <w:pPr>
        <w:ind w:firstLine="720"/>
      </w:pPr>
      <w:r w:rsidRPr="00C141E2">
        <w:t xml:space="preserve">There are no respondent costs for capital or start-up or for operation or maintenance. </w:t>
      </w:r>
    </w:p>
    <w:p w:rsidR="00782A43" w:rsidRDefault="00782A43">
      <w:pPr>
        <w:rPr>
          <w:b/>
          <w:bCs/>
        </w:rPr>
      </w:pPr>
      <w:bookmarkStart w:id="43" w:name="_Toc88277963"/>
      <w:bookmarkStart w:id="44" w:name="_Toc131564360"/>
    </w:p>
    <w:p w:rsidR="00782A43" w:rsidRDefault="00782A43">
      <w:pPr>
        <w:ind w:firstLine="720"/>
        <w:rPr>
          <w:b/>
          <w:bCs/>
        </w:rPr>
      </w:pPr>
      <w:r w:rsidRPr="0099072B">
        <w:rPr>
          <w:b/>
          <w:bCs/>
        </w:rPr>
        <w:t>14.</w:t>
      </w:r>
      <w:r w:rsidRPr="0099072B">
        <w:rPr>
          <w:b/>
          <w:bCs/>
        </w:rPr>
        <w:tab/>
      </w:r>
      <w:r w:rsidRPr="0099072B">
        <w:rPr>
          <w:b/>
          <w:bCs/>
          <w:u w:val="single"/>
        </w:rPr>
        <w:t>Estimates of Annualized Cost to the Government</w:t>
      </w:r>
      <w:bookmarkEnd w:id="43"/>
      <w:bookmarkEnd w:id="44"/>
    </w:p>
    <w:p w:rsidR="00782A43" w:rsidRPr="0099072B" w:rsidRDefault="00782A43" w:rsidP="003D66D7">
      <w:bookmarkStart w:id="45" w:name="_Toc88277964"/>
    </w:p>
    <w:p w:rsidR="00782A43" w:rsidRPr="009176E6" w:rsidRDefault="00782A43" w:rsidP="009176E6">
      <w:pPr>
        <w:ind w:left="720"/>
      </w:pPr>
      <w:r>
        <w:t xml:space="preserve">The annualized cost for the project per year is $2,506,000. </w:t>
      </w:r>
      <w:r w:rsidRPr="0099072B">
        <w:t>Th</w:t>
      </w:r>
      <w:r>
        <w:t xml:space="preserve">ese costs cover all aspects of meetings and logistics, evaluation design, testing, data collection, site visits, information technology, analysis, and reporting. In addition, it is estimated that one full-time SAMHSA/CSAT staff member will spend 25 percent of his or her time (520 hours) to manage and administer the project. Assuming an annual salary of $100,000, government personnel costs will be $125,000 over a 5-year period. </w:t>
      </w:r>
      <w:r w:rsidRPr="00AA7446">
        <w:t xml:space="preserve">Thus, total annualized project costs are </w:t>
      </w:r>
      <w:bookmarkStart w:id="46" w:name="_Toc131564361"/>
      <w:r>
        <w:t>$2,531,000.</w:t>
      </w:r>
    </w:p>
    <w:p w:rsidR="00782A43" w:rsidRDefault="00782A43" w:rsidP="003D66D7">
      <w:pPr>
        <w:rPr>
          <w:b/>
          <w:bCs/>
        </w:rPr>
      </w:pPr>
    </w:p>
    <w:p w:rsidR="00782A43" w:rsidRDefault="00782A43">
      <w:pPr>
        <w:ind w:firstLine="720"/>
        <w:rPr>
          <w:b/>
          <w:bCs/>
        </w:rPr>
      </w:pPr>
      <w:r w:rsidRPr="0099072B">
        <w:rPr>
          <w:b/>
          <w:bCs/>
        </w:rPr>
        <w:t>15.</w:t>
      </w:r>
      <w:r w:rsidRPr="0099072B">
        <w:rPr>
          <w:b/>
          <w:bCs/>
        </w:rPr>
        <w:tab/>
      </w:r>
      <w:r w:rsidRPr="0099072B">
        <w:rPr>
          <w:b/>
          <w:bCs/>
          <w:u w:val="single"/>
        </w:rPr>
        <w:t xml:space="preserve">Changes </w:t>
      </w:r>
      <w:bookmarkEnd w:id="45"/>
      <w:r w:rsidRPr="0099072B">
        <w:rPr>
          <w:b/>
          <w:bCs/>
          <w:u w:val="single"/>
        </w:rPr>
        <w:t>in Burden</w:t>
      </w:r>
      <w:bookmarkEnd w:id="46"/>
    </w:p>
    <w:p w:rsidR="00782A43" w:rsidRPr="0099072B" w:rsidRDefault="00782A43" w:rsidP="003D66D7"/>
    <w:p w:rsidR="00782A43" w:rsidRDefault="00782A43" w:rsidP="00A5516A">
      <w:pPr>
        <w:ind w:firstLine="720"/>
      </w:pPr>
      <w:r w:rsidRPr="0099072B">
        <w:t xml:space="preserve">This is a new </w:t>
      </w:r>
      <w:r>
        <w:t xml:space="preserve">data </w:t>
      </w:r>
      <w:r w:rsidRPr="0099072B">
        <w:t>collection.</w:t>
      </w:r>
      <w:bookmarkStart w:id="47" w:name="_Toc131564362"/>
      <w:bookmarkStart w:id="48" w:name="_Toc88277965"/>
    </w:p>
    <w:p w:rsidR="00782A43" w:rsidRPr="004C7390" w:rsidRDefault="00782A43" w:rsidP="003D66D7"/>
    <w:p w:rsidR="00782A43" w:rsidRDefault="00782A43">
      <w:pPr>
        <w:ind w:firstLine="720"/>
        <w:rPr>
          <w:b/>
          <w:bCs/>
        </w:rPr>
      </w:pPr>
      <w:r w:rsidRPr="00AA69F3">
        <w:rPr>
          <w:b/>
          <w:bCs/>
        </w:rPr>
        <w:t>16.</w:t>
      </w:r>
      <w:r w:rsidRPr="00AA69F3">
        <w:rPr>
          <w:b/>
          <w:bCs/>
        </w:rPr>
        <w:tab/>
      </w:r>
      <w:r w:rsidRPr="00AA69F3">
        <w:rPr>
          <w:b/>
          <w:bCs/>
          <w:u w:val="single"/>
        </w:rPr>
        <w:t>Time Schedule, Publications, and Analysis Plan</w:t>
      </w:r>
      <w:r w:rsidRPr="00AA69F3">
        <w:rPr>
          <w:b/>
          <w:bCs/>
        </w:rPr>
        <w:t xml:space="preserve"> </w:t>
      </w:r>
    </w:p>
    <w:p w:rsidR="00782A43" w:rsidRPr="00AA69F3" w:rsidRDefault="00782A43" w:rsidP="006A4C6E"/>
    <w:p w:rsidR="00782A43" w:rsidRDefault="00782A43">
      <w:pPr>
        <w:ind w:left="720"/>
      </w:pPr>
      <w:proofErr w:type="gramStart"/>
      <w:r w:rsidRPr="00A3076E">
        <w:rPr>
          <w:b/>
          <w:bCs/>
        </w:rPr>
        <w:t>Time Schedule</w:t>
      </w:r>
      <w:r>
        <w:rPr>
          <w:b/>
          <w:bCs/>
        </w:rPr>
        <w:t>.</w:t>
      </w:r>
      <w:proofErr w:type="gramEnd"/>
      <w:r>
        <w:t xml:space="preserve"> </w:t>
      </w:r>
      <w:r w:rsidRPr="00AA69F3">
        <w:t xml:space="preserve">Exhibit </w:t>
      </w:r>
      <w:r>
        <w:t>6</w:t>
      </w:r>
      <w:r w:rsidRPr="00AA69F3">
        <w:t xml:space="preserve"> outlines the key time points for the study and for the collection of information. The requested period also allows for training and start-up activities associated with the preparation </w:t>
      </w:r>
      <w:r>
        <w:t xml:space="preserve">required </w:t>
      </w:r>
      <w:r w:rsidRPr="00AA69F3">
        <w:t>for data collection.</w:t>
      </w:r>
    </w:p>
    <w:p w:rsidR="00782A43" w:rsidRPr="00AA69F3" w:rsidRDefault="00782A43" w:rsidP="006A4C6E"/>
    <w:p w:rsidR="00782A43" w:rsidRDefault="00782A43">
      <w:pPr>
        <w:ind w:left="900" w:hanging="180"/>
        <w:rPr>
          <w:b/>
          <w:bCs/>
        </w:rPr>
      </w:pPr>
      <w:proofErr w:type="gramStart"/>
      <w:r w:rsidRPr="00742301">
        <w:rPr>
          <w:b/>
          <w:bCs/>
        </w:rPr>
        <w:t>Exhibit 6.</w:t>
      </w:r>
      <w:proofErr w:type="gramEnd"/>
      <w:r w:rsidRPr="00742301">
        <w:rPr>
          <w:b/>
          <w:bCs/>
        </w:rPr>
        <w:t xml:space="preserve"> Time Schedule for Entire Project</w:t>
      </w:r>
    </w:p>
    <w:tbl>
      <w:tblPr>
        <w:tblW w:w="8820" w:type="dxa"/>
        <w:tblInd w:w="-84"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86" w:type="dxa"/>
          <w:right w:w="86" w:type="dxa"/>
        </w:tblCellMar>
        <w:tblLook w:val="0000"/>
      </w:tblPr>
      <w:tblGrid>
        <w:gridCol w:w="4500"/>
        <w:gridCol w:w="4320"/>
      </w:tblGrid>
      <w:tr w:rsidR="00782A43" w:rsidRPr="00C141E2">
        <w:trPr>
          <w:cantSplit/>
          <w:tblHeader/>
        </w:trPr>
        <w:tc>
          <w:tcPr>
            <w:tcW w:w="4500" w:type="dxa"/>
            <w:tcBorders>
              <w:top w:val="double" w:sz="6" w:space="0" w:color="auto"/>
            </w:tcBorders>
            <w:vAlign w:val="bottom"/>
          </w:tcPr>
          <w:p w:rsidR="00782A43" w:rsidRDefault="00782A43" w:rsidP="006C7FE5">
            <w:pPr>
              <w:jc w:val="center"/>
              <w:rPr>
                <w:b/>
                <w:bCs/>
              </w:rPr>
            </w:pPr>
            <w:r w:rsidRPr="000E6B9D">
              <w:rPr>
                <w:b/>
                <w:bCs/>
              </w:rPr>
              <w:t xml:space="preserve">Activity </w:t>
            </w:r>
          </w:p>
        </w:tc>
        <w:tc>
          <w:tcPr>
            <w:tcW w:w="4320" w:type="dxa"/>
            <w:tcBorders>
              <w:top w:val="double" w:sz="6" w:space="0" w:color="auto"/>
            </w:tcBorders>
            <w:vAlign w:val="bottom"/>
          </w:tcPr>
          <w:p w:rsidR="00782A43" w:rsidRDefault="00782A43" w:rsidP="006C7FE5">
            <w:pPr>
              <w:jc w:val="center"/>
              <w:rPr>
                <w:b/>
                <w:bCs/>
              </w:rPr>
            </w:pPr>
            <w:r w:rsidRPr="000E6B9D">
              <w:rPr>
                <w:b/>
                <w:bCs/>
              </w:rPr>
              <w:t>Time Schedule</w:t>
            </w:r>
          </w:p>
        </w:tc>
      </w:tr>
      <w:tr w:rsidR="00782A43" w:rsidRPr="00C141E2">
        <w:trPr>
          <w:cantSplit/>
        </w:trPr>
        <w:tc>
          <w:tcPr>
            <w:tcW w:w="4500" w:type="dxa"/>
          </w:tcPr>
          <w:p w:rsidR="00782A43" w:rsidRPr="00543169" w:rsidRDefault="00782A43" w:rsidP="00FC7060">
            <w:r w:rsidRPr="00AA69F3">
              <w:t>Obtaining OMB approval for data collection</w:t>
            </w:r>
          </w:p>
        </w:tc>
        <w:tc>
          <w:tcPr>
            <w:tcW w:w="4320" w:type="dxa"/>
          </w:tcPr>
          <w:p w:rsidR="00782A43" w:rsidRPr="00D31116" w:rsidRDefault="00782A43" w:rsidP="00FC7060">
            <w:pPr>
              <w:autoSpaceDE w:val="0"/>
              <w:autoSpaceDN w:val="0"/>
              <w:adjustRightInd w:val="0"/>
            </w:pPr>
            <w:r>
              <w:t>October 2010</w:t>
            </w:r>
          </w:p>
        </w:tc>
      </w:tr>
      <w:tr w:rsidR="00782A43" w:rsidRPr="000E6B9D">
        <w:trPr>
          <w:cantSplit/>
        </w:trPr>
        <w:tc>
          <w:tcPr>
            <w:tcW w:w="4500" w:type="dxa"/>
          </w:tcPr>
          <w:p w:rsidR="00782A43" w:rsidRDefault="00782A43" w:rsidP="00FC7060">
            <w:r>
              <w:t>Site visit data collection (Year 2)</w:t>
            </w:r>
          </w:p>
        </w:tc>
        <w:tc>
          <w:tcPr>
            <w:tcW w:w="4320" w:type="dxa"/>
          </w:tcPr>
          <w:p w:rsidR="00782A43" w:rsidRDefault="00782A43" w:rsidP="00FC7060">
            <w:r w:rsidRPr="00AA69F3">
              <w:t>3 months post OM</w:t>
            </w:r>
            <w:r>
              <w:t>B approval for 4</w:t>
            </w:r>
            <w:r w:rsidRPr="00AA69F3">
              <w:t xml:space="preserve"> months</w:t>
            </w:r>
          </w:p>
        </w:tc>
      </w:tr>
      <w:tr w:rsidR="00782A43" w:rsidRPr="000E6B9D">
        <w:trPr>
          <w:cantSplit/>
        </w:trPr>
        <w:tc>
          <w:tcPr>
            <w:tcW w:w="4500" w:type="dxa"/>
          </w:tcPr>
          <w:p w:rsidR="00782A43" w:rsidRDefault="00782A43" w:rsidP="00FC7060">
            <w:r w:rsidRPr="00AA69F3">
              <w:t xml:space="preserve">Baseline </w:t>
            </w:r>
            <w:r>
              <w:t>client-level survey data c</w:t>
            </w:r>
            <w:r w:rsidRPr="00AA69F3">
              <w:t>ollection</w:t>
            </w:r>
          </w:p>
        </w:tc>
        <w:tc>
          <w:tcPr>
            <w:tcW w:w="4320" w:type="dxa"/>
          </w:tcPr>
          <w:p w:rsidR="00782A43" w:rsidRDefault="00782A43" w:rsidP="00FC7060">
            <w:r w:rsidRPr="00AA69F3">
              <w:t>3 months post OM</w:t>
            </w:r>
            <w:r>
              <w:t>B approval for 28</w:t>
            </w:r>
            <w:r w:rsidRPr="00AA69F3">
              <w:t xml:space="preserve"> months</w:t>
            </w:r>
          </w:p>
        </w:tc>
      </w:tr>
      <w:tr w:rsidR="00782A43" w:rsidRPr="000E6B9D">
        <w:trPr>
          <w:cantSplit/>
        </w:trPr>
        <w:tc>
          <w:tcPr>
            <w:tcW w:w="4500" w:type="dxa"/>
          </w:tcPr>
          <w:p w:rsidR="00782A43" w:rsidRDefault="00782A43" w:rsidP="00FC7060">
            <w:r>
              <w:t>Discharge client-level survey data collection (includes client dosage form)</w:t>
            </w:r>
          </w:p>
        </w:tc>
        <w:tc>
          <w:tcPr>
            <w:tcW w:w="4320" w:type="dxa"/>
          </w:tcPr>
          <w:p w:rsidR="00782A43" w:rsidRDefault="00782A43" w:rsidP="00FC7060">
            <w:r>
              <w:t>4–8 months after OMB approval at client discharge (discharge will vary based on scheduled treatment duration)</w:t>
            </w:r>
          </w:p>
        </w:tc>
      </w:tr>
      <w:tr w:rsidR="00782A43" w:rsidRPr="000E6B9D">
        <w:trPr>
          <w:cantSplit/>
        </w:trPr>
        <w:tc>
          <w:tcPr>
            <w:tcW w:w="4500" w:type="dxa"/>
          </w:tcPr>
          <w:p w:rsidR="00782A43" w:rsidRDefault="00782A43" w:rsidP="00FC7060">
            <w:r w:rsidRPr="00AA69F3">
              <w:t xml:space="preserve">Six-month </w:t>
            </w:r>
            <w:r>
              <w:t>post baseline client-level survey data c</w:t>
            </w:r>
            <w:r w:rsidRPr="00AA69F3">
              <w:t>ollection</w:t>
            </w:r>
          </w:p>
        </w:tc>
        <w:tc>
          <w:tcPr>
            <w:tcW w:w="4320" w:type="dxa"/>
          </w:tcPr>
          <w:p w:rsidR="00782A43" w:rsidRDefault="00782A43" w:rsidP="00FC7060">
            <w:r>
              <w:t>10–14 months after OMB approval</w:t>
            </w:r>
          </w:p>
        </w:tc>
      </w:tr>
      <w:tr w:rsidR="00782A43" w:rsidRPr="000E6B9D">
        <w:trPr>
          <w:cantSplit/>
        </w:trPr>
        <w:tc>
          <w:tcPr>
            <w:tcW w:w="4500" w:type="dxa"/>
          </w:tcPr>
          <w:p w:rsidR="00782A43" w:rsidRDefault="00782A43" w:rsidP="00FC7060">
            <w:r>
              <w:t>Site visit data collection (Year 4)</w:t>
            </w:r>
          </w:p>
        </w:tc>
        <w:tc>
          <w:tcPr>
            <w:tcW w:w="4320" w:type="dxa"/>
          </w:tcPr>
          <w:p w:rsidR="00782A43" w:rsidRDefault="00782A43" w:rsidP="00FC7060">
            <w:r>
              <w:t>27 months after OMB approval for 4 months</w:t>
            </w:r>
          </w:p>
        </w:tc>
      </w:tr>
      <w:tr w:rsidR="00782A43" w:rsidRPr="000E6B9D">
        <w:trPr>
          <w:cantSplit/>
        </w:trPr>
        <w:tc>
          <w:tcPr>
            <w:tcW w:w="4500" w:type="dxa"/>
          </w:tcPr>
          <w:p w:rsidR="00782A43" w:rsidRPr="00633D09" w:rsidRDefault="00782A43" w:rsidP="00FC7060">
            <w:r w:rsidRPr="00AA69F3">
              <w:t>Data analysis</w:t>
            </w:r>
          </w:p>
        </w:tc>
        <w:tc>
          <w:tcPr>
            <w:tcW w:w="4320" w:type="dxa"/>
          </w:tcPr>
          <w:p w:rsidR="00782A43" w:rsidRPr="00C141E2" w:rsidRDefault="00782A43" w:rsidP="00FC7060">
            <w:r w:rsidRPr="00AA69F3">
              <w:t>Beginning one year post OMB approval</w:t>
            </w:r>
          </w:p>
        </w:tc>
      </w:tr>
      <w:tr w:rsidR="00782A43" w:rsidRPr="00C141E2">
        <w:trPr>
          <w:cantSplit/>
        </w:trPr>
        <w:tc>
          <w:tcPr>
            <w:tcW w:w="4500" w:type="dxa"/>
          </w:tcPr>
          <w:p w:rsidR="00782A43" w:rsidRDefault="00782A43" w:rsidP="00FC7060">
            <w:r w:rsidRPr="00AA69F3">
              <w:t>Dissemination of findings</w:t>
            </w:r>
            <w:r w:rsidRPr="00AA69F3">
              <w:br/>
              <w:t>Interim reports, manuscripts, final report</w:t>
            </w:r>
          </w:p>
        </w:tc>
        <w:tc>
          <w:tcPr>
            <w:tcW w:w="4320" w:type="dxa"/>
          </w:tcPr>
          <w:p w:rsidR="00782A43" w:rsidRPr="00C141E2" w:rsidRDefault="00782A43" w:rsidP="00FC7060">
            <w:r w:rsidRPr="00AA69F3">
              <w:t xml:space="preserve">Beginning 18 months post OMB approval through </w:t>
            </w:r>
            <w:r>
              <w:t>2013</w:t>
            </w:r>
          </w:p>
        </w:tc>
      </w:tr>
    </w:tbl>
    <w:p w:rsidR="00782A43" w:rsidRDefault="00782A43">
      <w:pPr>
        <w:ind w:left="900"/>
        <w:rPr>
          <w:u w:val="single"/>
        </w:rPr>
      </w:pPr>
    </w:p>
    <w:p w:rsidR="00782A43" w:rsidRDefault="00782A43">
      <w:pPr>
        <w:ind w:left="720"/>
      </w:pPr>
      <w:proofErr w:type="gramStart"/>
      <w:r w:rsidRPr="00A3076E">
        <w:rPr>
          <w:b/>
          <w:bCs/>
        </w:rPr>
        <w:t>Publications.</w:t>
      </w:r>
      <w:proofErr w:type="gramEnd"/>
      <w:r>
        <w:t xml:space="preserve"> </w:t>
      </w:r>
      <w:r w:rsidRPr="00AA69F3">
        <w:t xml:space="preserve">The </w:t>
      </w:r>
      <w:r>
        <w:t>TCE-HIV</w:t>
      </w:r>
      <w:r w:rsidRPr="00AA69F3">
        <w:t xml:space="preserve"> Multi</w:t>
      </w:r>
      <w:r>
        <w:t>-Site Evaluation is designed to d</w:t>
      </w:r>
      <w:r w:rsidRPr="00DF4362">
        <w:t xml:space="preserve">etermine the </w:t>
      </w:r>
      <w:r>
        <w:t>process and outcome</w:t>
      </w:r>
      <w:r w:rsidRPr="00DF4362">
        <w:t xml:space="preserve"> of TCE-HIV services</w:t>
      </w:r>
      <w:r>
        <w:t>’</w:t>
      </w:r>
      <w:r w:rsidRPr="00DF4362">
        <w:t xml:space="preserve"> </w:t>
      </w:r>
      <w:proofErr w:type="gramStart"/>
      <w:r w:rsidRPr="00DF4362">
        <w:t>programs</w:t>
      </w:r>
      <w:r>
        <w:t>,</w:t>
      </w:r>
      <w:proofErr w:type="gramEnd"/>
      <w:r>
        <w:t xml:space="preserve"> i</w:t>
      </w:r>
      <w:r w:rsidRPr="00DF4362">
        <w:t>dentify the extent to which the programs have achieved the goals of the MAI</w:t>
      </w:r>
      <w:r>
        <w:t>, and document TCE-</w:t>
      </w:r>
      <w:r w:rsidRPr="00DF4362">
        <w:t xml:space="preserve">HIV models and ascertain which </w:t>
      </w:r>
      <w:r w:rsidRPr="00DF4362">
        <w:lastRenderedPageBreak/>
        <w:t>models contribute to significant reduction in risk behavio</w:t>
      </w:r>
      <w:r>
        <w:t xml:space="preserve">rs among drug-using populations. </w:t>
      </w:r>
      <w:r w:rsidRPr="00AA69F3">
        <w:t xml:space="preserve">It is therefore important to prepare and disseminate reports, concept papers, </w:t>
      </w:r>
      <w:r>
        <w:t>journal articles</w:t>
      </w:r>
      <w:r w:rsidRPr="00AA69F3">
        <w:t xml:space="preserve">, and oral presentations that clearly and concisely present project results so that they can be appreciated by both technical and </w:t>
      </w:r>
      <w:r>
        <w:t xml:space="preserve">nontechnical audiences. The </w:t>
      </w:r>
      <w:r w:rsidRPr="00AA69F3">
        <w:t>T</w:t>
      </w:r>
      <w:r>
        <w:t>CE-HIV</w:t>
      </w:r>
      <w:r w:rsidRPr="00AA69F3">
        <w:t xml:space="preserve"> </w:t>
      </w:r>
      <w:r>
        <w:t>Multi-S</w:t>
      </w:r>
      <w:r w:rsidRPr="00AA69F3">
        <w:t>ite Evaluation Team will:</w:t>
      </w:r>
    </w:p>
    <w:p w:rsidR="00782A43" w:rsidRDefault="00782A43">
      <w:pPr>
        <w:ind w:left="720"/>
      </w:pPr>
    </w:p>
    <w:p w:rsidR="00782A43" w:rsidRPr="007E5524" w:rsidRDefault="00782A43" w:rsidP="00973FBA">
      <w:pPr>
        <w:numPr>
          <w:ilvl w:val="0"/>
          <w:numId w:val="4"/>
        </w:numPr>
        <w:tabs>
          <w:tab w:val="clear" w:pos="720"/>
          <w:tab w:val="num" w:pos="1620"/>
        </w:tabs>
        <w:ind w:left="1620"/>
      </w:pPr>
      <w:r w:rsidRPr="007E5524">
        <w:t>Produce rapid-turnaround analysis papers, briefs, and reports</w:t>
      </w:r>
    </w:p>
    <w:p w:rsidR="00782A43" w:rsidRPr="007E5524" w:rsidRDefault="00782A43" w:rsidP="00973FBA">
      <w:pPr>
        <w:numPr>
          <w:ilvl w:val="0"/>
          <w:numId w:val="4"/>
        </w:numPr>
        <w:tabs>
          <w:tab w:val="clear" w:pos="720"/>
          <w:tab w:val="num" w:pos="1620"/>
        </w:tabs>
        <w:ind w:left="1620"/>
      </w:pPr>
      <w:r w:rsidRPr="007E5524">
        <w:t>Prepare and submit monthly progress reports and a final TCE-HIV Multi-site Evaluation report</w:t>
      </w:r>
    </w:p>
    <w:p w:rsidR="00782A43" w:rsidRPr="007E5524" w:rsidRDefault="00782A43" w:rsidP="00973FBA">
      <w:pPr>
        <w:numPr>
          <w:ilvl w:val="0"/>
          <w:numId w:val="4"/>
        </w:numPr>
        <w:tabs>
          <w:tab w:val="clear" w:pos="720"/>
          <w:tab w:val="num" w:pos="1620"/>
        </w:tabs>
        <w:ind w:left="1620"/>
      </w:pPr>
      <w:r w:rsidRPr="007E5524">
        <w:t xml:space="preserve">Prepare </w:t>
      </w:r>
      <w:r>
        <w:t xml:space="preserve">a </w:t>
      </w:r>
      <w:r w:rsidRPr="007E5524">
        <w:t xml:space="preserve">final </w:t>
      </w:r>
      <w:r>
        <w:t>m</w:t>
      </w:r>
      <w:r w:rsidRPr="007E5524">
        <w:t>ulti-site findings report, including an executive summary</w:t>
      </w:r>
    </w:p>
    <w:p w:rsidR="00782A43" w:rsidRDefault="00782A43" w:rsidP="00973FBA">
      <w:pPr>
        <w:numPr>
          <w:ilvl w:val="0"/>
          <w:numId w:val="4"/>
        </w:numPr>
        <w:tabs>
          <w:tab w:val="clear" w:pos="720"/>
          <w:tab w:val="num" w:pos="1620"/>
        </w:tabs>
        <w:ind w:left="1620"/>
      </w:pPr>
      <w:r w:rsidRPr="007E5524">
        <w:t>Deliver presentations at professional and federally sponsored conventions and meetings</w:t>
      </w:r>
    </w:p>
    <w:p w:rsidR="00782A43" w:rsidRPr="007E5524" w:rsidRDefault="00782A43" w:rsidP="00973FBA">
      <w:pPr>
        <w:numPr>
          <w:ilvl w:val="0"/>
          <w:numId w:val="4"/>
        </w:numPr>
        <w:tabs>
          <w:tab w:val="clear" w:pos="720"/>
          <w:tab w:val="num" w:pos="1620"/>
        </w:tabs>
        <w:ind w:left="1620"/>
      </w:pPr>
      <w:r>
        <w:t>Prepare and submit articles for publication in peer-reviewed journals</w:t>
      </w:r>
    </w:p>
    <w:p w:rsidR="00782A43" w:rsidRPr="007E5524" w:rsidRDefault="00782A43" w:rsidP="00973FBA">
      <w:pPr>
        <w:numPr>
          <w:ilvl w:val="0"/>
          <w:numId w:val="4"/>
        </w:numPr>
        <w:tabs>
          <w:tab w:val="clear" w:pos="720"/>
          <w:tab w:val="num" w:pos="1620"/>
        </w:tabs>
        <w:ind w:left="1620"/>
      </w:pPr>
      <w:r w:rsidRPr="007E5524">
        <w:t xml:space="preserve">Disseminate reports and materials to entities inside and outside </w:t>
      </w:r>
      <w:r w:rsidRPr="004A76EE">
        <w:t>SAMHSA/CSAT</w:t>
      </w:r>
      <w:r w:rsidRPr="007E5524">
        <w:t>.</w:t>
      </w:r>
    </w:p>
    <w:p w:rsidR="00782A43" w:rsidRPr="00A175FA" w:rsidRDefault="00782A43" w:rsidP="006A4C6E">
      <w:pPr>
        <w:rPr>
          <w:i/>
          <w:iCs/>
        </w:rPr>
      </w:pPr>
    </w:p>
    <w:p w:rsidR="00782A43" w:rsidRDefault="00782A43">
      <w:pPr>
        <w:ind w:left="720"/>
      </w:pPr>
      <w:proofErr w:type="gramStart"/>
      <w:r w:rsidRPr="00A3076E">
        <w:rPr>
          <w:b/>
          <w:bCs/>
        </w:rPr>
        <w:t>Analysis Plan</w:t>
      </w:r>
      <w:r>
        <w:rPr>
          <w:b/>
          <w:bCs/>
        </w:rPr>
        <w:t>.</w:t>
      </w:r>
      <w:proofErr w:type="gramEnd"/>
      <w:r>
        <w:t xml:space="preserve"> </w:t>
      </w:r>
      <w:r w:rsidRPr="00C141E2">
        <w:t xml:space="preserve">Process and outcome data collection </w:t>
      </w:r>
      <w:r>
        <w:t xml:space="preserve">require different measurement, </w:t>
      </w:r>
      <w:r w:rsidRPr="00C141E2">
        <w:t>collection</w:t>
      </w:r>
      <w:r>
        <w:t>, and analytical</w:t>
      </w:r>
      <w:r w:rsidRPr="00C141E2">
        <w:t xml:space="preserve"> strategies. </w:t>
      </w:r>
      <w:r>
        <w:t>B</w:t>
      </w:r>
      <w:r w:rsidRPr="00D4132E">
        <w:t xml:space="preserve">oth quantitative and qualitative data will be </w:t>
      </w:r>
      <w:r>
        <w:t>analyzed</w:t>
      </w:r>
      <w:r w:rsidRPr="00D4132E">
        <w:t xml:space="preserve"> to assess outcomes as well as processes of the TCE-HIV </w:t>
      </w:r>
      <w:r>
        <w:t>programs</w:t>
      </w:r>
      <w:r w:rsidRPr="00D4132E">
        <w:t>.</w:t>
      </w:r>
      <w:r w:rsidRPr="00CB0B69">
        <w:rPr>
          <w:rFonts w:ascii="Arial" w:hAnsi="Arial" w:cs="Arial"/>
        </w:rPr>
        <w:t xml:space="preserve"> </w:t>
      </w:r>
      <w:r>
        <w:t>The</w:t>
      </w:r>
      <w:r w:rsidRPr="00C8430B">
        <w:t xml:space="preserve"> </w:t>
      </w:r>
      <w:r>
        <w:t>planned approach</w:t>
      </w:r>
      <w:r w:rsidRPr="00C8430B">
        <w:t xml:space="preserve"> is to use state-of-the-art statistical methods whe</w:t>
      </w:r>
      <w:r>
        <w:t>n</w:t>
      </w:r>
      <w:r w:rsidRPr="00C8430B">
        <w:t xml:space="preserve">ever appropriate to analyze the </w:t>
      </w:r>
      <w:r>
        <w:t xml:space="preserve">qualitative and quantitative </w:t>
      </w:r>
      <w:r w:rsidRPr="00C8430B">
        <w:t xml:space="preserve">data </w:t>
      </w:r>
      <w:r>
        <w:t>collected</w:t>
      </w:r>
      <w:r w:rsidRPr="00C8430B">
        <w:t xml:space="preserve">. Qualitative data analysis will </w:t>
      </w:r>
      <w:r>
        <w:t>utilize</w:t>
      </w:r>
      <w:r w:rsidRPr="00C8430B">
        <w:t xml:space="preserve"> a thematic approach to uncover underlying themes. The three types of </w:t>
      </w:r>
      <w:r>
        <w:t xml:space="preserve">quantitative </w:t>
      </w:r>
      <w:r w:rsidRPr="00C8430B">
        <w:t xml:space="preserve">analyses </w:t>
      </w:r>
      <w:r>
        <w:t>that will be used</w:t>
      </w:r>
      <w:r w:rsidRPr="00C8430B">
        <w:t xml:space="preserve"> are descriptive statistics, multivariate</w:t>
      </w:r>
      <w:r>
        <w:t xml:space="preserve"> analysis</w:t>
      </w:r>
      <w:r w:rsidRPr="00C8430B">
        <w:t>, and multilevel analysis. Finally, triangulation of methods (e.g., qualitative and quantitative data), when feasible</w:t>
      </w:r>
      <w:r>
        <w:t>,</w:t>
      </w:r>
      <w:r w:rsidRPr="00C8430B">
        <w:t xml:space="preserve"> will be conducted to examine additional aspects of results that cannot be accomplished with individual methods. </w:t>
      </w:r>
      <w:r>
        <w:t xml:space="preserve">The </w:t>
      </w:r>
      <w:r w:rsidRPr="00D4132E">
        <w:t xml:space="preserve">qualitative and quantitative </w:t>
      </w:r>
      <w:r>
        <w:t xml:space="preserve">data analysis plan is explained in more detail </w:t>
      </w:r>
      <w:r w:rsidRPr="00AA69F3">
        <w:t xml:space="preserve">in the remainder of this section. </w:t>
      </w:r>
    </w:p>
    <w:p w:rsidR="00782A43" w:rsidRPr="00AA69F3" w:rsidRDefault="00782A43" w:rsidP="006A4C6E"/>
    <w:p w:rsidR="00782A43" w:rsidRDefault="00782A43">
      <w:pPr>
        <w:ind w:left="720"/>
      </w:pPr>
      <w:r w:rsidRPr="00904C8B">
        <w:rPr>
          <w:u w:val="single"/>
        </w:rPr>
        <w:t>Qualitative Data</w:t>
      </w:r>
      <w:r>
        <w:rPr>
          <w:u w:val="single"/>
        </w:rPr>
        <w:t xml:space="preserve"> Analysis: </w:t>
      </w:r>
      <w:r w:rsidRPr="00D4132E">
        <w:t xml:space="preserve">Qualitative data for this project will come from semi-structured interviews, focus groups, and responses to open-ended survey questions. The information </w:t>
      </w:r>
      <w:r>
        <w:t>will</w:t>
      </w:r>
      <w:r w:rsidRPr="00D4132E">
        <w:t xml:space="preserve"> be utilized to address specific process evaluation questions.</w:t>
      </w:r>
      <w:r>
        <w:t xml:space="preserve"> </w:t>
      </w:r>
      <w:r w:rsidRPr="00D4132E">
        <w:t>To facilitate the systematic analysis of the interview data</w:t>
      </w:r>
      <w:r>
        <w:t xml:space="preserve">, which </w:t>
      </w:r>
      <w:r w:rsidRPr="00D4132E">
        <w:t>will be collected during Grantee and community interviews</w:t>
      </w:r>
      <w:r>
        <w:t>,</w:t>
      </w:r>
      <w:r w:rsidRPr="00D4132E">
        <w:t xml:space="preserve"> </w:t>
      </w:r>
      <w:proofErr w:type="spellStart"/>
      <w:r w:rsidRPr="00D4132E">
        <w:t>ATLAS.ti</w:t>
      </w:r>
      <w:proofErr w:type="spellEnd"/>
      <w:r w:rsidRPr="00D4132E">
        <w:t xml:space="preserve"> (Version </w:t>
      </w:r>
      <w:r>
        <w:t>6.0),</w:t>
      </w:r>
      <w:r w:rsidRPr="00D4132E">
        <w:t xml:space="preserve"> </w:t>
      </w:r>
      <w:r>
        <w:t xml:space="preserve">a </w:t>
      </w:r>
      <w:r w:rsidRPr="00D4132E">
        <w:t>computer-</w:t>
      </w:r>
      <w:r w:rsidRPr="00F9495E">
        <w:t xml:space="preserve">assisted qualitative data analysis software package, will be utilized. Before the analyses begin, Multi-Site Evaluation staff will take part in a training workshop to improve their facility with the capabilities and updated features of the software program. </w:t>
      </w:r>
    </w:p>
    <w:p w:rsidR="00782A43" w:rsidRDefault="00782A43">
      <w:pPr>
        <w:ind w:left="720"/>
      </w:pPr>
    </w:p>
    <w:p w:rsidR="00782A43" w:rsidRDefault="00782A43">
      <w:pPr>
        <w:ind w:left="720"/>
      </w:pPr>
      <w:r w:rsidRPr="00F9495E">
        <w:rPr>
          <w:u w:val="single"/>
        </w:rPr>
        <w:t>Semi-</w:t>
      </w:r>
      <w:r>
        <w:rPr>
          <w:u w:val="single"/>
        </w:rPr>
        <w:t>S</w:t>
      </w:r>
      <w:r w:rsidRPr="00F9495E">
        <w:rPr>
          <w:u w:val="single"/>
        </w:rPr>
        <w:t xml:space="preserve">tructured </w:t>
      </w:r>
      <w:r>
        <w:rPr>
          <w:u w:val="single"/>
        </w:rPr>
        <w:t>I</w:t>
      </w:r>
      <w:r w:rsidRPr="00F9495E">
        <w:rPr>
          <w:u w:val="single"/>
        </w:rPr>
        <w:t>nterviews:</w:t>
      </w:r>
      <w:r w:rsidRPr="00680838">
        <w:t xml:space="preserve"> Interview data will be analyzed to </w:t>
      </w:r>
      <w:r>
        <w:t>identify</w:t>
      </w:r>
      <w:r w:rsidRPr="00680838">
        <w:t xml:space="preserve"> themes </w:t>
      </w:r>
      <w:r>
        <w:t>extracted from material collected from</w:t>
      </w:r>
      <w:r w:rsidRPr="00680838">
        <w:t xml:space="preserve"> Grantee administrators, direct </w:t>
      </w:r>
      <w:r>
        <w:t xml:space="preserve">service </w:t>
      </w:r>
      <w:r w:rsidRPr="00680838">
        <w:t>staff</w:t>
      </w:r>
      <w:r>
        <w:t>,</w:t>
      </w:r>
      <w:r w:rsidRPr="00680838">
        <w:t xml:space="preserve"> and partners/collaborators about their respective programs and services</w:t>
      </w:r>
      <w:r>
        <w:t xml:space="preserve">. </w:t>
      </w:r>
      <w:r w:rsidRPr="00680838">
        <w:t>As a first step in the data analysis process, audiotape</w:t>
      </w:r>
      <w:r>
        <w:t>s</w:t>
      </w:r>
      <w:r w:rsidRPr="00680838">
        <w:t xml:space="preserve"> of the interviews will be transcribed</w:t>
      </w:r>
      <w:r>
        <w:t xml:space="preserve"> and </w:t>
      </w:r>
      <w:r w:rsidRPr="00F9495E">
        <w:t>cleaned to remove any respondent identifying information and all transcription mistakes</w:t>
      </w:r>
      <w:r>
        <w:t>;</w:t>
      </w:r>
      <w:r w:rsidRPr="00680838">
        <w:t xml:space="preserve"> </w:t>
      </w:r>
      <w:r>
        <w:t>t</w:t>
      </w:r>
      <w:r w:rsidRPr="00680838">
        <w:t>he</w:t>
      </w:r>
      <w:r>
        <w:t>se</w:t>
      </w:r>
      <w:r w:rsidRPr="00680838">
        <w:t xml:space="preserve"> transcriptions will be the data used for the study.</w:t>
      </w:r>
      <w:r>
        <w:t xml:space="preserve">   </w:t>
      </w:r>
    </w:p>
    <w:p w:rsidR="00782A43" w:rsidRDefault="00782A43"/>
    <w:p w:rsidR="00782A43" w:rsidRDefault="00782A43">
      <w:p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u w:val="single"/>
        </w:rPr>
        <w:t>Clien</w:t>
      </w:r>
      <w:r w:rsidRPr="00F9495E">
        <w:rPr>
          <w:u w:val="single"/>
        </w:rPr>
        <w:t>t Focus Groups:</w:t>
      </w:r>
      <w:r>
        <w:t xml:space="preserve"> </w:t>
      </w:r>
      <w:r w:rsidRPr="00F9495E">
        <w:t xml:space="preserve">Focus group data will be analyzed to determine common themes </w:t>
      </w:r>
      <w:r>
        <w:t>expressed by</w:t>
      </w:r>
      <w:r w:rsidRPr="00F9495E">
        <w:t xml:space="preserve"> clients about their substance abuse treatment history, behavior (e.</w:t>
      </w:r>
      <w:r>
        <w:t>g.</w:t>
      </w:r>
      <w:r w:rsidRPr="00F9495E">
        <w:t xml:space="preserve">, </w:t>
      </w:r>
      <w:r w:rsidRPr="00F9495E">
        <w:lastRenderedPageBreak/>
        <w:t>substance use/abuse, risk behavior, quality of life), perception of social support, and satisfaction with the TCE-HIV program. As</w:t>
      </w:r>
      <w:r>
        <w:t xml:space="preserve"> noted for the semi-structured interview data analysis plan,</w:t>
      </w:r>
      <w:r w:rsidRPr="00F9495E">
        <w:t xml:space="preserve"> audiotapes of the focus groups will be transcribed</w:t>
      </w:r>
      <w:r w:rsidRPr="00485435">
        <w:t xml:space="preserve"> </w:t>
      </w:r>
      <w:r>
        <w:t xml:space="preserve">and </w:t>
      </w:r>
      <w:r w:rsidRPr="00F9495E">
        <w:t>cleaned to remove any respondent identifying information and all transcription mistakes.</w:t>
      </w:r>
      <w:r>
        <w:t xml:space="preserve"> </w:t>
      </w:r>
      <w:r w:rsidRPr="00F9495E">
        <w:t>These transcriptions will be the data used for the study.</w:t>
      </w:r>
      <w:r>
        <w:t xml:space="preserve"> After</w:t>
      </w:r>
      <w:r w:rsidRPr="00F9495E">
        <w:t xml:space="preserve"> the data is prepared for analysis, an inductive content analysis will be conducted on qualitative data</w:t>
      </w:r>
      <w:r>
        <w:t xml:space="preserve">. </w:t>
      </w:r>
    </w:p>
    <w:p w:rsidR="00782A43" w:rsidRDefault="00782A4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82A43" w:rsidRDefault="00782A43">
      <w:pPr>
        <w:keepNext/>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F9495E">
        <w:t>The initial step in the analysis process will be reading the raw data (i.e., original text) to discover underlying raw data themes.</w:t>
      </w:r>
      <w:r>
        <w:t xml:space="preserve"> </w:t>
      </w:r>
      <w:r w:rsidRPr="00F9495E">
        <w:t xml:space="preserve">Raw data themes will then be grouped according to salient responses that correspond to the main </w:t>
      </w:r>
      <w:r>
        <w:t>questions</w:t>
      </w:r>
      <w:r w:rsidRPr="00F9495E">
        <w:t xml:space="preserve"> of the study</w:t>
      </w:r>
      <w:r>
        <w:t>:</w:t>
      </w:r>
    </w:p>
    <w:p w:rsidR="00782A43" w:rsidRDefault="00782A43">
      <w:pPr>
        <w:keepNext/>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82A43" w:rsidRPr="00C00A8A" w:rsidRDefault="00782A43" w:rsidP="00C03855">
      <w:pPr>
        <w:numPr>
          <w:ilvl w:val="0"/>
          <w:numId w:val="8"/>
        </w:numPr>
        <w:tabs>
          <w:tab w:val="clear" w:pos="1440"/>
          <w:tab w:val="num" w:pos="1620"/>
        </w:tabs>
        <w:ind w:left="1620"/>
      </w:pPr>
      <w:r w:rsidRPr="00C00A8A">
        <w:t>What are the community and contextual conditions in which the TCE-HIV programs exist and provide services?</w:t>
      </w:r>
    </w:p>
    <w:p w:rsidR="00782A43" w:rsidRPr="00C00A8A" w:rsidRDefault="00782A43" w:rsidP="00C03855">
      <w:pPr>
        <w:numPr>
          <w:ilvl w:val="0"/>
          <w:numId w:val="8"/>
        </w:numPr>
        <w:tabs>
          <w:tab w:val="clear" w:pos="1440"/>
          <w:tab w:val="num" w:pos="1620"/>
        </w:tabs>
        <w:ind w:left="1620"/>
      </w:pPr>
      <w:r w:rsidRPr="00C00A8A">
        <w:t>How do TCE-HIV Grantee characteristics facilitate or impede program activ</w:t>
      </w:r>
      <w:r>
        <w:t>i</w:t>
      </w:r>
      <w:r w:rsidRPr="00C00A8A">
        <w:t>t</w:t>
      </w:r>
      <w:r>
        <w:t>i</w:t>
      </w:r>
      <w:r w:rsidRPr="00C00A8A">
        <w:t>es</w:t>
      </w:r>
      <w:r>
        <w:t>,</w:t>
      </w:r>
      <w:r w:rsidRPr="00C00A8A">
        <w:t xml:space="preserve"> such as comprehensive services, service coordination/integration, and expanded organizational/ programmatic capacity?</w:t>
      </w:r>
    </w:p>
    <w:p w:rsidR="00782A43" w:rsidRPr="00C00A8A" w:rsidRDefault="00782A43" w:rsidP="00C03855">
      <w:pPr>
        <w:numPr>
          <w:ilvl w:val="0"/>
          <w:numId w:val="8"/>
        </w:numPr>
        <w:tabs>
          <w:tab w:val="clear" w:pos="1440"/>
          <w:tab w:val="num" w:pos="1620"/>
        </w:tabs>
        <w:ind w:left="1620"/>
      </w:pPr>
      <w:r w:rsidRPr="00C00A8A">
        <w:t>What impact do Grantee characteristics have on client-level outcomes?</w:t>
      </w:r>
    </w:p>
    <w:p w:rsidR="00782A43" w:rsidRPr="00C00A8A" w:rsidRDefault="00782A43" w:rsidP="00C03855">
      <w:pPr>
        <w:numPr>
          <w:ilvl w:val="0"/>
          <w:numId w:val="8"/>
        </w:numPr>
        <w:tabs>
          <w:tab w:val="clear" w:pos="1440"/>
          <w:tab w:val="num" w:pos="1620"/>
        </w:tabs>
        <w:ind w:left="1620"/>
      </w:pPr>
      <w:r w:rsidRPr="00C00A8A">
        <w:t>How do client characteristics (e.g., education, employment, income, family and living conditions, social support, satisfaction) lead to behavioral changes?</w:t>
      </w:r>
    </w:p>
    <w:p w:rsidR="00782A43" w:rsidRPr="00C00A8A" w:rsidRDefault="00782A43" w:rsidP="00C03855">
      <w:pPr>
        <w:numPr>
          <w:ilvl w:val="0"/>
          <w:numId w:val="8"/>
        </w:numPr>
        <w:tabs>
          <w:tab w:val="clear" w:pos="1440"/>
          <w:tab w:val="num" w:pos="1620"/>
        </w:tabs>
        <w:ind w:left="1620"/>
      </w:pPr>
      <w:r w:rsidRPr="00C00A8A">
        <w:t>What impact does the TCE-HIV program have on client-level outcomes?</w:t>
      </w:r>
    </w:p>
    <w:p w:rsidR="00782A43" w:rsidRDefault="00782A43" w:rsidP="006A4C6E">
      <w:pPr>
        <w:pStyle w:val="BodyTextIndent3"/>
        <w:keepNext/>
        <w:ind w:left="0"/>
        <w:rPr>
          <w:sz w:val="24"/>
          <w:szCs w:val="24"/>
        </w:rPr>
      </w:pPr>
    </w:p>
    <w:p w:rsidR="00782A43" w:rsidRDefault="00782A43">
      <w:pPr>
        <w:pStyle w:val="BodyTextIndent3"/>
        <w:keepNext/>
        <w:ind w:left="720"/>
        <w:rPr>
          <w:sz w:val="24"/>
          <w:szCs w:val="24"/>
        </w:rPr>
      </w:pPr>
      <w:r w:rsidRPr="00F9495E">
        <w:rPr>
          <w:sz w:val="24"/>
          <w:szCs w:val="24"/>
        </w:rPr>
        <w:t>The raw data themes will then be grouped into lower order themes based on common topics.</w:t>
      </w:r>
      <w:r>
        <w:rPr>
          <w:sz w:val="24"/>
          <w:szCs w:val="24"/>
        </w:rPr>
        <w:t xml:space="preserve"> </w:t>
      </w:r>
      <w:r w:rsidRPr="00F9495E">
        <w:rPr>
          <w:sz w:val="24"/>
          <w:szCs w:val="24"/>
        </w:rPr>
        <w:t>Next, following the same coding procedures for grouping raw data themes, lower order themes will be grouped into higher order themes.</w:t>
      </w:r>
      <w:r>
        <w:rPr>
          <w:sz w:val="24"/>
          <w:szCs w:val="24"/>
        </w:rPr>
        <w:t xml:space="preserve"> </w:t>
      </w:r>
      <w:r w:rsidRPr="00F9495E">
        <w:rPr>
          <w:sz w:val="24"/>
          <w:szCs w:val="24"/>
        </w:rPr>
        <w:t>Finally, higher order themes will be grouped into major categories.</w:t>
      </w:r>
      <w:r>
        <w:rPr>
          <w:sz w:val="24"/>
          <w:szCs w:val="24"/>
        </w:rPr>
        <w:t xml:space="preserve"> </w:t>
      </w:r>
      <w:r w:rsidRPr="00F9495E">
        <w:rPr>
          <w:sz w:val="24"/>
          <w:szCs w:val="24"/>
        </w:rPr>
        <w:t xml:space="preserve">Consensus among researchers conducting the analyses will be reached at each step of the </w:t>
      </w:r>
      <w:r>
        <w:rPr>
          <w:sz w:val="24"/>
          <w:szCs w:val="24"/>
        </w:rPr>
        <w:t>analytical</w:t>
      </w:r>
      <w:r w:rsidRPr="00F9495E">
        <w:rPr>
          <w:sz w:val="24"/>
          <w:szCs w:val="24"/>
        </w:rPr>
        <w:t xml:space="preserve"> process (i.e., raw data themes, lower order themes, higher order themes, and major categories)</w:t>
      </w:r>
      <w:r>
        <w:rPr>
          <w:sz w:val="24"/>
          <w:szCs w:val="24"/>
        </w:rPr>
        <w:t xml:space="preserve"> before</w:t>
      </w:r>
      <w:r w:rsidRPr="00F9495E">
        <w:rPr>
          <w:sz w:val="24"/>
          <w:szCs w:val="24"/>
        </w:rPr>
        <w:t xml:space="preserve"> proceeding to the next step</w:t>
      </w:r>
      <w:r>
        <w:rPr>
          <w:sz w:val="24"/>
          <w:szCs w:val="24"/>
        </w:rPr>
        <w:t xml:space="preserve"> to</w:t>
      </w:r>
      <w:r w:rsidRPr="00F9495E">
        <w:rPr>
          <w:sz w:val="24"/>
          <w:szCs w:val="24"/>
        </w:rPr>
        <w:t xml:space="preserve"> achieve inter-coder reliability.</w:t>
      </w:r>
      <w:r>
        <w:rPr>
          <w:sz w:val="24"/>
          <w:szCs w:val="24"/>
        </w:rPr>
        <w:t xml:space="preserve"> </w:t>
      </w:r>
      <w:r w:rsidRPr="00F9495E">
        <w:rPr>
          <w:sz w:val="24"/>
          <w:szCs w:val="24"/>
        </w:rPr>
        <w:t>This process ensures a consistent understanding and interpretation of the data.</w:t>
      </w:r>
    </w:p>
    <w:p w:rsidR="00782A43" w:rsidRDefault="00782A43" w:rsidP="006A4C6E">
      <w:pPr>
        <w:rPr>
          <w:u w:val="single"/>
        </w:rPr>
      </w:pPr>
    </w:p>
    <w:p w:rsidR="00782A43" w:rsidRDefault="00782A43">
      <w:pPr>
        <w:ind w:left="720"/>
        <w:rPr>
          <w:u w:val="single"/>
        </w:rPr>
      </w:pPr>
      <w:r w:rsidRPr="00DC0052">
        <w:rPr>
          <w:u w:val="single"/>
        </w:rPr>
        <w:t>Quantitative Data Analysis</w:t>
      </w:r>
      <w:r>
        <w:rPr>
          <w:u w:val="single"/>
        </w:rPr>
        <w:t xml:space="preserve">: </w:t>
      </w:r>
      <w:r w:rsidRPr="007B77A4">
        <w:t>TCE-HIV is a complex, multilevel, and multi</w:t>
      </w:r>
      <w:r>
        <w:t>-</w:t>
      </w:r>
      <w:r w:rsidRPr="007B77A4">
        <w:t xml:space="preserve">component </w:t>
      </w:r>
      <w:r>
        <w:t>program</w:t>
      </w:r>
      <w:r w:rsidRPr="007B77A4">
        <w:t>. It therefore calls for multivariate and multilevel analyses to understand the complex</w:t>
      </w:r>
      <w:r>
        <w:t xml:space="preserve"> relationships</w:t>
      </w:r>
      <w:r w:rsidRPr="007B77A4">
        <w:t xml:space="preserve"> </w:t>
      </w:r>
      <w:r>
        <w:t>among</w:t>
      </w:r>
      <w:r w:rsidRPr="007B77A4">
        <w:t xml:space="preserve"> </w:t>
      </w:r>
      <w:r w:rsidRPr="00E854C3">
        <w:t>treatment program operations, individual characteristics, and broader community contextual and socio-cultural environmental influences</w:t>
      </w:r>
      <w:r>
        <w:t xml:space="preserve"> and client outcomes. </w:t>
      </w:r>
      <w:r w:rsidRPr="007B77A4">
        <w:t xml:space="preserve">These analyses address the overall evaluation question of what impact TCE-HIV </w:t>
      </w:r>
      <w:r>
        <w:t>services</w:t>
      </w:r>
      <w:r w:rsidRPr="007B77A4">
        <w:t xml:space="preserve"> ha</w:t>
      </w:r>
      <w:r>
        <w:t>ve</w:t>
      </w:r>
      <w:r w:rsidRPr="007B77A4">
        <w:t xml:space="preserve"> on client-level outcomes related to substance </w:t>
      </w:r>
      <w:r>
        <w:t>ab</w:t>
      </w:r>
      <w:r w:rsidRPr="007B77A4">
        <w:t xml:space="preserve">use, risky behaviors, HIV testing, social support, quality of life, attitudes toward treatment, and satisfaction with services. </w:t>
      </w:r>
    </w:p>
    <w:p w:rsidR="00782A43" w:rsidRDefault="00782A43" w:rsidP="006A4C6E">
      <w:pPr>
        <w:rPr>
          <w:u w:val="single"/>
        </w:rPr>
      </w:pPr>
    </w:p>
    <w:p w:rsidR="00782A43" w:rsidRDefault="00782A43">
      <w:pPr>
        <w:ind w:left="720"/>
      </w:pPr>
      <w:r w:rsidRPr="007B77A4">
        <w:t xml:space="preserve">Depending on the availability of the data and the number of waves of data available (data points) for each data element, </w:t>
      </w:r>
      <w:r>
        <w:t>the approach will be</w:t>
      </w:r>
      <w:r w:rsidRPr="007B77A4">
        <w:t xml:space="preserve"> to apply the most appropriate multivariate or multilevel analyses </w:t>
      </w:r>
      <w:r>
        <w:t>to</w:t>
      </w:r>
      <w:r w:rsidRPr="007B77A4">
        <w:t xml:space="preserve"> answer th</w:t>
      </w:r>
      <w:r>
        <w:t>e</w:t>
      </w:r>
      <w:r w:rsidRPr="007B77A4">
        <w:t xml:space="preserve"> overall outcome evaluation question and associated s</w:t>
      </w:r>
      <w:r>
        <w:t>ub questions. T</w:t>
      </w:r>
      <w:r w:rsidRPr="007B77A4">
        <w:t xml:space="preserve">hese multivariate or multilevel analyses are referred to as “cross-site” or “main effect” analyses, as they may be based on pooled data from a </w:t>
      </w:r>
      <w:r w:rsidRPr="007B77A4">
        <w:lastRenderedPageBreak/>
        <w:t>portion of 4</w:t>
      </w:r>
      <w:r>
        <w:t>0</w:t>
      </w:r>
      <w:r w:rsidRPr="007B77A4">
        <w:t xml:space="preserve"> Grantees providing treatment services or evidence appropriate for meta-analysis. </w:t>
      </w:r>
    </w:p>
    <w:p w:rsidR="00782A43" w:rsidRDefault="00782A43" w:rsidP="006A4C6E">
      <w:pPr>
        <w:rPr>
          <w:u w:val="single"/>
        </w:rPr>
      </w:pPr>
    </w:p>
    <w:p w:rsidR="00782A43" w:rsidRDefault="00782A43">
      <w:pPr>
        <w:ind w:left="720"/>
      </w:pPr>
      <w:r w:rsidRPr="009B3820">
        <w:t>The Multi-Site Evaluation Team will use quantitative data analysis to examine both Grantee and client</w:t>
      </w:r>
      <w:r>
        <w:t>-</w:t>
      </w:r>
      <w:r w:rsidRPr="009B3820">
        <w:t>level outcomes.</w:t>
      </w:r>
      <w:r>
        <w:t xml:space="preserve"> The analysis of both of these levels is explained in more detail below.</w:t>
      </w:r>
    </w:p>
    <w:p w:rsidR="00782A43" w:rsidRDefault="00782A43" w:rsidP="006A4C6E"/>
    <w:p w:rsidR="00782A43" w:rsidRDefault="00782A43">
      <w:pPr>
        <w:spacing w:after="240"/>
        <w:ind w:left="720"/>
      </w:pPr>
      <w:r w:rsidRPr="00DC784F">
        <w:rPr>
          <w:u w:val="single"/>
        </w:rPr>
        <w:t>Descriptive Statistics</w:t>
      </w:r>
      <w:r>
        <w:rPr>
          <w:u w:val="single"/>
        </w:rPr>
        <w:t>:</w:t>
      </w:r>
      <w:r>
        <w:t xml:space="preserve"> </w:t>
      </w:r>
      <w:r w:rsidRPr="00FB0134">
        <w:t>The Multi-Site Evaluation Team will use descriptive statistics to describe the main features of Grantees, their clients, and the communities in which they provide service</w:t>
      </w:r>
      <w:r>
        <w:t>s</w:t>
      </w:r>
      <w:r w:rsidRPr="00FB0134">
        <w:t xml:space="preserve">. Descriptive statistics will allow </w:t>
      </w:r>
      <w:r>
        <w:t>the</w:t>
      </w:r>
      <w:r w:rsidRPr="00FB0134">
        <w:t xml:space="preserve"> report</w:t>
      </w:r>
      <w:r>
        <w:t>ing of</w:t>
      </w:r>
      <w:r w:rsidRPr="00FB0134">
        <w:t xml:space="preserve"> community, Grantee, and client characteristics that will provide a detailed picture of the TCE-HIV program and its participants.</w:t>
      </w:r>
      <w:r>
        <w:t xml:space="preserve"> </w:t>
      </w:r>
      <w:r w:rsidRPr="00FB0134">
        <w:t xml:space="preserve">A utility of descriptive analysis will be to understand the distribution of variables of interest. </w:t>
      </w:r>
      <w:r>
        <w:t>F</w:t>
      </w:r>
      <w:r w:rsidRPr="00FB0134">
        <w:t xml:space="preserve">requencies </w:t>
      </w:r>
      <w:r>
        <w:t xml:space="preserve">will be run </w:t>
      </w:r>
      <w:r w:rsidRPr="00FB0134">
        <w:t>or the means and standard deviations of each variable</w:t>
      </w:r>
      <w:r>
        <w:t xml:space="preserve"> will be calculated</w:t>
      </w:r>
      <w:r w:rsidRPr="00FB0134">
        <w:t xml:space="preserve"> to examine the central tendency and deviation from the mean</w:t>
      </w:r>
      <w:r>
        <w:t>, in order</w:t>
      </w:r>
      <w:r w:rsidRPr="00FB0134">
        <w:t xml:space="preserve"> to examine the </w:t>
      </w:r>
      <w:proofErr w:type="spellStart"/>
      <w:r w:rsidRPr="00FB0134">
        <w:t>skewness</w:t>
      </w:r>
      <w:proofErr w:type="spellEnd"/>
      <w:r w:rsidRPr="00FB0134">
        <w:t xml:space="preserve"> of distribution of the data and to correct the distribution of the data prior to conducting further analyses. Descriptive statistics </w:t>
      </w:r>
      <w:r>
        <w:t>will</w:t>
      </w:r>
      <w:r w:rsidRPr="00FB0134">
        <w:t xml:space="preserve"> also be used to conduct cross tabulations to examine the relationship between the variables. The d</w:t>
      </w:r>
      <w:r>
        <w:t>egree of association between</w:t>
      </w:r>
      <w:r w:rsidRPr="00FB0134">
        <w:t xml:space="preserve"> variables </w:t>
      </w:r>
      <w:r>
        <w:t>will</w:t>
      </w:r>
      <w:r w:rsidRPr="00FB0134">
        <w:t xml:space="preserve"> be examined for statistical significance. Finally, descriptive statistics</w:t>
      </w:r>
      <w:r>
        <w:t xml:space="preserve"> will be used</w:t>
      </w:r>
      <w:r w:rsidRPr="00FB0134">
        <w:t xml:space="preserve"> to support higher</w:t>
      </w:r>
      <w:r>
        <w:t>-</w:t>
      </w:r>
      <w:r w:rsidRPr="00FB0134">
        <w:t xml:space="preserve">level analyses. </w:t>
      </w:r>
    </w:p>
    <w:p w:rsidR="00782A43" w:rsidRDefault="00782A43">
      <w:pPr>
        <w:ind w:left="720"/>
      </w:pPr>
      <w:r w:rsidRPr="00740DA5">
        <w:rPr>
          <w:u w:val="single"/>
        </w:rPr>
        <w:t>Grantee Outcomes</w:t>
      </w:r>
      <w:r w:rsidRPr="00A95637">
        <w:t>:</w:t>
      </w:r>
      <w:r w:rsidRPr="009B3820">
        <w:rPr>
          <w:b/>
          <w:bCs/>
          <w:i/>
          <w:iCs/>
        </w:rPr>
        <w:t xml:space="preserve"> </w:t>
      </w:r>
      <w:r w:rsidRPr="009B3820">
        <w:t>Grantee characteristics and their effect on program service administration and service delivery can be examined through multilevel analyses. The Grantee outcome evaluation will use information developed in the process evaluation to identify the services most likely to be affected</w:t>
      </w:r>
      <w:r>
        <w:t xml:space="preserve"> by Grantee characteristics.</w:t>
      </w:r>
      <w:r w:rsidRPr="009B3820">
        <w:t xml:space="preserve"> Quantitative analyses of the Grantee characteristics </w:t>
      </w:r>
      <w:r>
        <w:t xml:space="preserve">will </w:t>
      </w:r>
      <w:r w:rsidRPr="009B3820">
        <w:t>provide critical information about the services being provided and how these services change over time. Qua</w:t>
      </w:r>
      <w:r>
        <w:t>li</w:t>
      </w:r>
      <w:r w:rsidRPr="009B3820">
        <w:t xml:space="preserve">tative Grantee data will come from the </w:t>
      </w:r>
      <w:r>
        <w:t>administrative staff s</w:t>
      </w:r>
      <w:r w:rsidRPr="009B3820">
        <w:t xml:space="preserve">emi-structured interview (including the Grantee profile update), </w:t>
      </w:r>
      <w:r>
        <w:t>direct services s</w:t>
      </w:r>
      <w:r w:rsidRPr="009B3820">
        <w:t xml:space="preserve">taff </w:t>
      </w:r>
      <w:r>
        <w:t>s</w:t>
      </w:r>
      <w:r w:rsidRPr="009B3820">
        <w:t>emi-structured interviews</w:t>
      </w:r>
      <w:r>
        <w:t>, and partners/collaborators semi-structured interviews.</w:t>
      </w:r>
    </w:p>
    <w:p w:rsidR="00782A43" w:rsidRPr="00740DA5" w:rsidRDefault="00782A43" w:rsidP="006A4C6E">
      <w:pPr>
        <w:rPr>
          <w:b/>
          <w:bCs/>
        </w:rPr>
      </w:pPr>
    </w:p>
    <w:p w:rsidR="00782A43" w:rsidRDefault="00782A43">
      <w:pPr>
        <w:ind w:left="720"/>
      </w:pPr>
      <w:r w:rsidRPr="00740DA5">
        <w:rPr>
          <w:u w:val="single"/>
        </w:rPr>
        <w:t>Client Outcomes:</w:t>
      </w:r>
      <w:r w:rsidRPr="00740DA5">
        <w:t xml:space="preserve"> Client</w:t>
      </w:r>
      <w:r>
        <w:t>-</w:t>
      </w:r>
      <w:r w:rsidRPr="00740DA5">
        <w:t xml:space="preserve">level quantitative analyses will be primarily model-based and will be performed for both individual Grantee populations and the total population pooled across Grantees as appropriate. At the simplest level, regressions </w:t>
      </w:r>
      <w:r>
        <w:t>will</w:t>
      </w:r>
      <w:r w:rsidRPr="00740DA5">
        <w:t xml:space="preserve"> be applied to assess reductions in client substance abuse outcomes over time for different number of sessions of substance abuse education (e.g., no sessions to two to three times per month)</w:t>
      </w:r>
      <w:r>
        <w:t>,</w:t>
      </w:r>
      <w:r w:rsidRPr="00740DA5">
        <w:t xml:space="preserve"> controlling for different client characteristics (e.g., age, sex, race, substance abuse treatment history, and HIV status). Specifically, a general linear regression model (GLM) can be developed to regress each of the 16 client substance abuse outcomes collected through </w:t>
      </w:r>
      <w:r>
        <w:t>the c</w:t>
      </w:r>
      <w:r w:rsidRPr="006C7FE5">
        <w:t>lient</w:t>
      </w:r>
      <w:r>
        <w:t>-l</w:t>
      </w:r>
      <w:r w:rsidRPr="006C7FE5">
        <w:t xml:space="preserve">evel </w:t>
      </w:r>
      <w:r>
        <w:t>s</w:t>
      </w:r>
      <w:r w:rsidRPr="006C7FE5">
        <w:t>urvey</w:t>
      </w:r>
      <w:r w:rsidRPr="00740DA5">
        <w:t xml:space="preserve"> on social support, while controlling for the effects of number of sessions of substance abuse education </w:t>
      </w:r>
      <w:r>
        <w:t>recorded on the client dosage form</w:t>
      </w:r>
      <w:r w:rsidRPr="00740DA5">
        <w:t xml:space="preserve"> and </w:t>
      </w:r>
      <w:r w:rsidRPr="00014418">
        <w:t xml:space="preserve">client characteristics. </w:t>
      </w:r>
      <w:r w:rsidRPr="00740DA5">
        <w:t xml:space="preserve">In this case, if the estimate for the social support variable is negative and statistically significant, this finding can be interpreted as indicating that client substance use reduces over time as the client’s perceived social support increases, even after the effects of number of sessions of substance abuse education as well as client age, sex, race, substance abuse treatment history, and HIV status are considered. </w:t>
      </w:r>
    </w:p>
    <w:p w:rsidR="00782A43" w:rsidRDefault="00782A43"/>
    <w:p w:rsidR="00782A43" w:rsidRDefault="00782A43">
      <w:r>
        <w:br w:type="page"/>
      </w:r>
    </w:p>
    <w:p w:rsidR="00782A43" w:rsidRDefault="00782A43">
      <w:pPr>
        <w:pStyle w:val="bodytext"/>
        <w:ind w:firstLine="720"/>
      </w:pPr>
      <w:r w:rsidRPr="00740DA5">
        <w:t>A basic GLM could be specified as the following general equation:</w:t>
      </w:r>
    </w:p>
    <w:p w:rsidR="00782A43" w:rsidRDefault="00782A43">
      <w:pPr>
        <w:pStyle w:val="bodytext"/>
        <w:ind w:firstLine="720"/>
      </w:pPr>
      <w:r>
        <w:tab/>
      </w:r>
      <w:proofErr w:type="spellStart"/>
      <w:r w:rsidRPr="00740DA5">
        <w:t>Y</w:t>
      </w:r>
      <w:r w:rsidRPr="00740DA5">
        <w:rPr>
          <w:vertAlign w:val="subscript"/>
        </w:rPr>
        <w:t>ijt</w:t>
      </w:r>
      <w:proofErr w:type="spellEnd"/>
      <w:r w:rsidRPr="00740DA5">
        <w:t xml:space="preserve"> = f (</w:t>
      </w:r>
      <w:r w:rsidRPr="00662F0A">
        <w:rPr>
          <w:rFonts w:ascii="Symbol" w:hAnsi="Symbol" w:cs="Symbol"/>
          <w:sz w:val="20"/>
          <w:szCs w:val="20"/>
        </w:rPr>
        <w:t></w:t>
      </w:r>
      <w:r>
        <w:t xml:space="preserve"> </w:t>
      </w:r>
      <w:r w:rsidRPr="00740DA5">
        <w:t xml:space="preserve">+ </w:t>
      </w:r>
      <w:proofErr w:type="spellStart"/>
      <w:r w:rsidRPr="00662F0A">
        <w:rPr>
          <w:sz w:val="20"/>
          <w:szCs w:val="20"/>
        </w:rPr>
        <w:t>β</w:t>
      </w:r>
      <w:r w:rsidRPr="00740DA5">
        <w:t>POST</w:t>
      </w:r>
      <w:r w:rsidRPr="00740DA5">
        <w:rPr>
          <w:vertAlign w:val="subscript"/>
        </w:rPr>
        <w:t>t</w:t>
      </w:r>
      <w:proofErr w:type="spellEnd"/>
      <w:r w:rsidRPr="00740DA5">
        <w:t xml:space="preserve"> + </w:t>
      </w:r>
      <w:r w:rsidRPr="00662F0A">
        <w:rPr>
          <w:rFonts w:ascii="Symbol" w:hAnsi="Symbol" w:cs="Symbol"/>
          <w:sz w:val="20"/>
          <w:szCs w:val="20"/>
        </w:rPr>
        <w:t></w:t>
      </w:r>
      <w:proofErr w:type="spellStart"/>
      <w:r w:rsidRPr="00740DA5">
        <w:t>TIME</w:t>
      </w:r>
      <w:r w:rsidRPr="00740DA5">
        <w:rPr>
          <w:vertAlign w:val="subscript"/>
        </w:rPr>
        <w:t>it</w:t>
      </w:r>
      <w:proofErr w:type="spellEnd"/>
      <w:r w:rsidRPr="00740DA5">
        <w:t xml:space="preserve"> + </w:t>
      </w:r>
      <w:r w:rsidRPr="00662F0A">
        <w:rPr>
          <w:rFonts w:ascii="Symbol" w:hAnsi="Symbol" w:cs="Symbol"/>
          <w:sz w:val="20"/>
          <w:szCs w:val="20"/>
        </w:rPr>
        <w:t></w:t>
      </w:r>
      <w:proofErr w:type="spellStart"/>
      <w:r w:rsidRPr="00740DA5">
        <w:t>CONTROL</w:t>
      </w:r>
      <w:r w:rsidRPr="00740DA5">
        <w:rPr>
          <w:vertAlign w:val="subscript"/>
        </w:rPr>
        <w:t>ijt</w:t>
      </w:r>
      <w:proofErr w:type="spellEnd"/>
      <w:r w:rsidRPr="00740DA5">
        <w:t xml:space="preserve">) + </w:t>
      </w:r>
      <w:proofErr w:type="spellStart"/>
      <w:r w:rsidRPr="00740DA5">
        <w:t>ε</w:t>
      </w:r>
      <w:r w:rsidRPr="00740DA5">
        <w:rPr>
          <w:vertAlign w:val="subscript"/>
        </w:rPr>
        <w:t>ijt</w:t>
      </w:r>
      <w:proofErr w:type="spellEnd"/>
    </w:p>
    <w:p w:rsidR="00782A43" w:rsidRDefault="00782A43">
      <w:pPr>
        <w:pStyle w:val="bodytext"/>
        <w:ind w:firstLine="720"/>
      </w:pPr>
      <w:proofErr w:type="gramStart"/>
      <w:r w:rsidRPr="00740DA5">
        <w:t>where</w:t>
      </w:r>
      <w:proofErr w:type="gramEnd"/>
      <w:r w:rsidRPr="00740DA5">
        <w:t xml:space="preserve"> </w:t>
      </w:r>
    </w:p>
    <w:p w:rsidR="00782A43" w:rsidRPr="00740DA5" w:rsidRDefault="00782A43" w:rsidP="006A4C6E">
      <w:pPr>
        <w:pStyle w:val="bullets-blank"/>
      </w:pPr>
      <w:r w:rsidRPr="00740DA5">
        <w:tab/>
      </w:r>
      <w:r>
        <w:tab/>
      </w:r>
      <w:proofErr w:type="spellStart"/>
      <w:r w:rsidRPr="00740DA5">
        <w:t>Y</w:t>
      </w:r>
      <w:r w:rsidRPr="00740DA5">
        <w:rPr>
          <w:vertAlign w:val="subscript"/>
        </w:rPr>
        <w:t>ijt</w:t>
      </w:r>
      <w:proofErr w:type="spellEnd"/>
      <w:r w:rsidRPr="00740DA5">
        <w:t xml:space="preserve"> is the outcome for individual </w:t>
      </w:r>
      <w:proofErr w:type="spellStart"/>
      <w:r w:rsidRPr="00740DA5">
        <w:t>i</w:t>
      </w:r>
      <w:proofErr w:type="spellEnd"/>
      <w:r w:rsidRPr="00740DA5">
        <w:t xml:space="preserve"> from Grantee j at time t;</w:t>
      </w:r>
    </w:p>
    <w:p w:rsidR="00782A43" w:rsidRPr="00740DA5" w:rsidRDefault="00782A43" w:rsidP="006A4C6E">
      <w:pPr>
        <w:pStyle w:val="bullets-blank"/>
      </w:pPr>
      <w:r w:rsidRPr="00740DA5">
        <w:tab/>
      </w:r>
      <w:r>
        <w:tab/>
      </w:r>
      <w:proofErr w:type="gramStart"/>
      <w:r w:rsidRPr="00740DA5">
        <w:t>f</w:t>
      </w:r>
      <w:proofErr w:type="gramEnd"/>
      <w:r w:rsidRPr="00740DA5">
        <w:t xml:space="preserve"> (∙) represents the linking function; </w:t>
      </w:r>
    </w:p>
    <w:p w:rsidR="00782A43" w:rsidRPr="00740DA5" w:rsidRDefault="00782A43" w:rsidP="006A4C6E">
      <w:pPr>
        <w:pStyle w:val="bullets-blank"/>
      </w:pPr>
      <w:r w:rsidRPr="00740DA5">
        <w:tab/>
      </w:r>
      <w:r>
        <w:tab/>
      </w:r>
      <w:r w:rsidRPr="00BC148E">
        <w:rPr>
          <w:rFonts w:ascii="Symbol" w:hAnsi="Symbol" w:cs="Symbol"/>
        </w:rPr>
        <w:t></w:t>
      </w:r>
      <w:r w:rsidRPr="00740DA5">
        <w:t xml:space="preserve">, β, </w:t>
      </w:r>
      <w:r w:rsidRPr="00BC148E">
        <w:rPr>
          <w:rFonts w:ascii="Symbol" w:hAnsi="Symbol" w:cs="Symbol"/>
        </w:rPr>
        <w:t></w:t>
      </w:r>
      <w:r w:rsidRPr="00740DA5">
        <w:t xml:space="preserve">, and </w:t>
      </w:r>
      <w:r w:rsidRPr="00BC148E">
        <w:rPr>
          <w:rFonts w:ascii="Symbol" w:hAnsi="Symbol" w:cs="Symbol"/>
        </w:rPr>
        <w:t></w:t>
      </w:r>
      <w:r>
        <w:t xml:space="preserve"> </w:t>
      </w:r>
      <w:r w:rsidRPr="00740DA5">
        <w:t xml:space="preserve">are coefficients to be estimated; </w:t>
      </w:r>
    </w:p>
    <w:p w:rsidR="00782A43" w:rsidRPr="00740DA5" w:rsidRDefault="00782A43" w:rsidP="006A4C6E">
      <w:pPr>
        <w:pStyle w:val="bullets-blank"/>
      </w:pPr>
      <w:r w:rsidRPr="00740DA5">
        <w:tab/>
      </w:r>
      <w:proofErr w:type="spellStart"/>
      <w:r w:rsidRPr="00740DA5">
        <w:t>POST</w:t>
      </w:r>
      <w:r w:rsidRPr="00740DA5">
        <w:rPr>
          <w:vertAlign w:val="subscript"/>
        </w:rPr>
        <w:t>t</w:t>
      </w:r>
      <w:proofErr w:type="spellEnd"/>
      <w:r w:rsidRPr="00740DA5">
        <w:t xml:space="preserve"> is an indicator variable that equals 1 if the data collection occurs at follow-up;</w:t>
      </w:r>
    </w:p>
    <w:p w:rsidR="00782A43" w:rsidRPr="00740DA5" w:rsidRDefault="00782A43" w:rsidP="006A4C6E">
      <w:pPr>
        <w:pStyle w:val="bullets-blank"/>
      </w:pPr>
      <w:r w:rsidRPr="00740DA5">
        <w:tab/>
      </w:r>
      <w:proofErr w:type="spellStart"/>
      <w:r w:rsidRPr="00740DA5">
        <w:t>TIME</w:t>
      </w:r>
      <w:r w:rsidRPr="00740DA5">
        <w:rPr>
          <w:vertAlign w:val="subscript"/>
        </w:rPr>
        <w:t>it</w:t>
      </w:r>
      <w:proofErr w:type="spellEnd"/>
      <w:r w:rsidRPr="00740DA5">
        <w:t xml:space="preserve"> is a vector of calendar time-related control variables (e.g., calendar year and indicators for quarters); </w:t>
      </w:r>
    </w:p>
    <w:p w:rsidR="00782A43" w:rsidRPr="00740DA5" w:rsidRDefault="00782A43" w:rsidP="006A4C6E">
      <w:pPr>
        <w:pStyle w:val="bullets-blank"/>
      </w:pPr>
      <w:r w:rsidRPr="00740DA5">
        <w:tab/>
      </w:r>
      <w:proofErr w:type="spellStart"/>
      <w:r w:rsidRPr="00740DA5">
        <w:t>CONTROL</w:t>
      </w:r>
      <w:r w:rsidRPr="00740DA5">
        <w:rPr>
          <w:vertAlign w:val="subscript"/>
        </w:rPr>
        <w:t>ijt</w:t>
      </w:r>
      <w:proofErr w:type="spellEnd"/>
      <w:r w:rsidRPr="00740DA5">
        <w:t xml:space="preserve"> is a vector of Grantee and client characteristics and a set of specific indicators that may affect the outcome, including client demographics and program characteristics; and</w:t>
      </w:r>
    </w:p>
    <w:p w:rsidR="00782A43" w:rsidRPr="00740DA5" w:rsidRDefault="00782A43" w:rsidP="006A4C6E">
      <w:pPr>
        <w:pStyle w:val="bullets-blank"/>
      </w:pPr>
      <w:r w:rsidRPr="00740DA5">
        <w:tab/>
      </w:r>
      <w:proofErr w:type="spellStart"/>
      <w:proofErr w:type="gramStart"/>
      <w:r w:rsidRPr="00740DA5">
        <w:t>ε</w:t>
      </w:r>
      <w:r w:rsidRPr="00740DA5">
        <w:rPr>
          <w:vertAlign w:val="subscript"/>
        </w:rPr>
        <w:t>ijt</w:t>
      </w:r>
      <w:proofErr w:type="spellEnd"/>
      <w:proofErr w:type="gramEnd"/>
      <w:r w:rsidRPr="00740DA5">
        <w:t xml:space="preserve"> is the residual error term. </w:t>
      </w:r>
    </w:p>
    <w:p w:rsidR="00782A43" w:rsidRDefault="00782A43">
      <w:pPr>
        <w:pStyle w:val="bodytext"/>
        <w:spacing w:after="0" w:line="240" w:lineRule="auto"/>
        <w:ind w:left="720"/>
      </w:pPr>
      <w:r w:rsidRPr="00740DA5">
        <w:t xml:space="preserve">The primary coefficient of interest (β) measures the pre to post change in the outcome. That is, it quantifies the association between the treatment and the outcome. </w:t>
      </w:r>
    </w:p>
    <w:p w:rsidR="00782A43" w:rsidRDefault="00782A43" w:rsidP="003D66D7">
      <w:pPr>
        <w:rPr>
          <w:b/>
          <w:bCs/>
        </w:rPr>
      </w:pPr>
      <w:bookmarkStart w:id="49" w:name="_Toc88277969"/>
      <w:bookmarkStart w:id="50" w:name="_Toc131564366"/>
      <w:bookmarkEnd w:id="47"/>
      <w:bookmarkEnd w:id="48"/>
    </w:p>
    <w:p w:rsidR="00782A43" w:rsidRDefault="00782A43">
      <w:pPr>
        <w:ind w:firstLine="720"/>
        <w:rPr>
          <w:b/>
          <w:bCs/>
        </w:rPr>
      </w:pPr>
      <w:r w:rsidRPr="006A3AD5">
        <w:rPr>
          <w:b/>
          <w:bCs/>
        </w:rPr>
        <w:t>17.</w:t>
      </w:r>
      <w:r w:rsidRPr="006A3AD5">
        <w:rPr>
          <w:b/>
          <w:bCs/>
        </w:rPr>
        <w:tab/>
      </w:r>
      <w:r w:rsidRPr="006A3AD5">
        <w:rPr>
          <w:b/>
          <w:bCs/>
          <w:u w:val="single"/>
        </w:rPr>
        <w:t>Display of Expiration Date</w:t>
      </w:r>
      <w:bookmarkEnd w:id="49"/>
      <w:bookmarkEnd w:id="50"/>
    </w:p>
    <w:p w:rsidR="00782A43" w:rsidRPr="006A3AD5" w:rsidRDefault="00782A43" w:rsidP="003D66D7"/>
    <w:p w:rsidR="00782A43" w:rsidRDefault="00782A43">
      <w:pPr>
        <w:ind w:left="720"/>
      </w:pPr>
      <w:r w:rsidRPr="006A3AD5">
        <w:t>OMB approval expiration dates will be displayed on the client surveys</w:t>
      </w:r>
      <w:r>
        <w:t xml:space="preserve">, participant data sheets, and </w:t>
      </w:r>
      <w:r w:rsidRPr="006A3AD5">
        <w:t>consent forms</w:t>
      </w:r>
      <w:r>
        <w:t>.</w:t>
      </w:r>
    </w:p>
    <w:p w:rsidR="00782A43" w:rsidRPr="006A3AD5" w:rsidRDefault="00782A43" w:rsidP="003D66D7">
      <w:bookmarkStart w:id="51" w:name="_Toc88277970"/>
      <w:bookmarkStart w:id="52" w:name="_Toc131564367"/>
    </w:p>
    <w:p w:rsidR="00782A43" w:rsidRDefault="00782A43">
      <w:pPr>
        <w:ind w:firstLine="720"/>
        <w:rPr>
          <w:b/>
          <w:bCs/>
        </w:rPr>
      </w:pPr>
      <w:r w:rsidRPr="006A3AD5">
        <w:rPr>
          <w:b/>
          <w:bCs/>
        </w:rPr>
        <w:t>18.</w:t>
      </w:r>
      <w:r w:rsidRPr="006A3AD5">
        <w:rPr>
          <w:b/>
          <w:bCs/>
        </w:rPr>
        <w:tab/>
      </w:r>
      <w:r w:rsidRPr="006A3AD5">
        <w:rPr>
          <w:b/>
          <w:bCs/>
          <w:u w:val="single"/>
        </w:rPr>
        <w:t xml:space="preserve">Exceptions to Certification for </w:t>
      </w:r>
      <w:bookmarkEnd w:id="51"/>
      <w:r w:rsidRPr="006A3AD5">
        <w:rPr>
          <w:b/>
          <w:bCs/>
          <w:u w:val="single"/>
        </w:rPr>
        <w:t>Statement</w:t>
      </w:r>
      <w:bookmarkEnd w:id="52"/>
    </w:p>
    <w:p w:rsidR="00782A43" w:rsidRPr="006A3AD5" w:rsidRDefault="00782A43" w:rsidP="003D66D7"/>
    <w:p w:rsidR="00782A43" w:rsidRDefault="00782A43">
      <w:pPr>
        <w:ind w:left="720"/>
      </w:pPr>
      <w:r w:rsidRPr="006A3AD5">
        <w:t xml:space="preserve">There are no exceptions to the certification statement. The certifications are included in this submission. </w:t>
      </w:r>
    </w:p>
    <w:p w:rsidR="00782A43" w:rsidRPr="00184633" w:rsidRDefault="00782A43" w:rsidP="009D51A8">
      <w:pPr>
        <w:jc w:val="center"/>
        <w:rPr>
          <w:b/>
          <w:bCs/>
        </w:rPr>
      </w:pPr>
    </w:p>
    <w:p w:rsidR="00782A43" w:rsidRDefault="00782A43" w:rsidP="00D0533C">
      <w:pPr>
        <w:rPr>
          <w:b/>
          <w:bCs/>
        </w:rPr>
      </w:pPr>
      <w:bookmarkStart w:id="53" w:name="_Toc8007688"/>
      <w:bookmarkStart w:id="54" w:name="_Toc88277971"/>
      <w:bookmarkStart w:id="55" w:name="_Toc131564368"/>
    </w:p>
    <w:p w:rsidR="00782A43" w:rsidRPr="00BB5D89" w:rsidRDefault="00782A43" w:rsidP="00D0533C">
      <w:pPr>
        <w:rPr>
          <w:b/>
          <w:bCs/>
        </w:rPr>
      </w:pPr>
      <w:r w:rsidRPr="00BB5D89">
        <w:rPr>
          <w:b/>
          <w:bCs/>
        </w:rPr>
        <w:t>B.</w:t>
      </w:r>
      <w:r w:rsidRPr="00BB5D89">
        <w:rPr>
          <w:b/>
          <w:bCs/>
        </w:rPr>
        <w:tab/>
        <w:t>COLLECTION OF INFORMATION EMPLOYING STATISTICAL METHO</w:t>
      </w:r>
      <w:bookmarkEnd w:id="53"/>
      <w:bookmarkEnd w:id="54"/>
      <w:bookmarkEnd w:id="55"/>
      <w:r w:rsidRPr="00BB5D89">
        <w:rPr>
          <w:b/>
          <w:bCs/>
        </w:rPr>
        <w:t>DS</w:t>
      </w:r>
    </w:p>
    <w:p w:rsidR="00782A43" w:rsidRDefault="00782A43" w:rsidP="00D0533C">
      <w:bookmarkStart w:id="56" w:name="_Toc8007689"/>
      <w:bookmarkStart w:id="57" w:name="_Toc88277972"/>
      <w:bookmarkStart w:id="58" w:name="_Toc131564369"/>
    </w:p>
    <w:p w:rsidR="00782A43" w:rsidRDefault="00782A43">
      <w:pPr>
        <w:ind w:left="720"/>
      </w:pPr>
      <w:r>
        <w:t xml:space="preserve">This section presents information regarding the collection of data for the Multi-Site Evaluation. As noted previously, the Multi-Site Evaluation </w:t>
      </w:r>
      <w:r w:rsidRPr="008A1813">
        <w:t xml:space="preserve">is theoretically </w:t>
      </w:r>
      <w:r>
        <w:t xml:space="preserve">grounded </w:t>
      </w:r>
      <w:r w:rsidRPr="008A1813">
        <w:t>in an ecological s</w:t>
      </w:r>
      <w:r>
        <w:t xml:space="preserve">ystems approach which supports two interrelated evaluations: </w:t>
      </w:r>
      <w:r w:rsidRPr="00C141E2">
        <w:t xml:space="preserve">a process evaluation and an outcome evaluation. </w:t>
      </w:r>
      <w:r>
        <w:t xml:space="preserve">Data collected during the process evaluation </w:t>
      </w:r>
      <w:r w:rsidRPr="00C141E2">
        <w:t xml:space="preserve">will serve the critical role of establishing the overall evaluation’s context and consequently </w:t>
      </w:r>
      <w:r>
        <w:t xml:space="preserve">will </w:t>
      </w:r>
      <w:r w:rsidRPr="00C141E2">
        <w:t>aid in the interpretation of its findings.</w:t>
      </w:r>
      <w:r>
        <w:t xml:space="preserve"> P</w:t>
      </w:r>
      <w:r w:rsidRPr="00C141E2">
        <w:t xml:space="preserve">rocess </w:t>
      </w:r>
      <w:r>
        <w:t>data</w:t>
      </w:r>
      <w:r w:rsidRPr="00C141E2">
        <w:t xml:space="preserve"> will </w:t>
      </w:r>
      <w:r>
        <w:t xml:space="preserve">also </w:t>
      </w:r>
      <w:r w:rsidRPr="00C141E2">
        <w:t xml:space="preserve">provide information </w:t>
      </w:r>
      <w:r w:rsidRPr="00C141E2">
        <w:lastRenderedPageBreak/>
        <w:t xml:space="preserve">about </w:t>
      </w:r>
      <w:r>
        <w:t>the</w:t>
      </w:r>
      <w:r w:rsidRPr="00C141E2">
        <w:t xml:space="preserve"> TCE-HIV services delivered, who delivered them, how they were delivered, to whom they were delivered, and how these services came to modify the Grantee’s overall substance abuse treatment service delivery system. </w:t>
      </w:r>
    </w:p>
    <w:p w:rsidR="00782A43" w:rsidRPr="00C141E2" w:rsidRDefault="00782A43" w:rsidP="00950978"/>
    <w:p w:rsidR="00782A43" w:rsidRDefault="00782A43">
      <w:pPr>
        <w:ind w:left="720"/>
      </w:pPr>
      <w:r w:rsidRPr="00C141E2">
        <w:t xml:space="preserve">While </w:t>
      </w:r>
      <w:r>
        <w:t xml:space="preserve">process data will be collected from all 48 Grantees, </w:t>
      </w:r>
      <w:r w:rsidRPr="00C141E2">
        <w:t xml:space="preserve">outcome </w:t>
      </w:r>
      <w:r>
        <w:t xml:space="preserve">data will be collected from the 40 Grantees providing treatment services. Data collected during the outcome evaluation </w:t>
      </w:r>
      <w:r w:rsidRPr="00C141E2">
        <w:t xml:space="preserve">provide </w:t>
      </w:r>
      <w:r>
        <w:t>information regarding</w:t>
      </w:r>
      <w:r w:rsidRPr="00C141E2">
        <w:t xml:space="preserve"> the effects of the TCE-HIV </w:t>
      </w:r>
      <w:r>
        <w:t xml:space="preserve">treatment </w:t>
      </w:r>
      <w:r w:rsidRPr="00C141E2">
        <w:t>interventions on Grantees and clients</w:t>
      </w:r>
    </w:p>
    <w:p w:rsidR="00782A43" w:rsidRPr="00BB5D89" w:rsidRDefault="00782A43" w:rsidP="00D0533C"/>
    <w:p w:rsidR="00782A43" w:rsidRDefault="00782A43">
      <w:pPr>
        <w:ind w:firstLine="720"/>
        <w:rPr>
          <w:b/>
          <w:bCs/>
        </w:rPr>
      </w:pPr>
      <w:r w:rsidRPr="00BB5D89">
        <w:rPr>
          <w:b/>
          <w:bCs/>
        </w:rPr>
        <w:t>1.</w:t>
      </w:r>
      <w:r w:rsidRPr="00BB5D89">
        <w:rPr>
          <w:b/>
          <w:bCs/>
        </w:rPr>
        <w:tab/>
      </w:r>
      <w:bookmarkEnd w:id="56"/>
      <w:r w:rsidRPr="00BB5D89">
        <w:rPr>
          <w:b/>
          <w:bCs/>
          <w:u w:val="single"/>
        </w:rPr>
        <w:t>Respondent Universe and Sampling Methods</w:t>
      </w:r>
      <w:bookmarkEnd w:id="57"/>
      <w:bookmarkEnd w:id="58"/>
    </w:p>
    <w:p w:rsidR="00782A43" w:rsidRPr="004C7390" w:rsidRDefault="00782A43" w:rsidP="00D0533C">
      <w:bookmarkStart w:id="59" w:name="_Toc131564370"/>
    </w:p>
    <w:p w:rsidR="00782A43" w:rsidRDefault="00782A43">
      <w:pPr>
        <w:ind w:left="720"/>
      </w:pPr>
      <w:r>
        <w:t xml:space="preserve">Attachment </w:t>
      </w:r>
      <w:r w:rsidRPr="00B35B88">
        <w:t>4</w:t>
      </w:r>
      <w:r>
        <w:t xml:space="preserve"> - Document 2 presents the subset and estimated universe of respondents for both evaluation data collection activities. For the process data collection, the semi-structured interviews will consist of a subset of program staff (e.g., program administrator, treatment counselor) and a subset of collaborators/partners. Client focus groups will consist of a representative subset of clients that are targeted by each of the 40 treatment programs. </w:t>
      </w:r>
    </w:p>
    <w:p w:rsidR="00782A43" w:rsidRDefault="00782A43" w:rsidP="00420784"/>
    <w:p w:rsidR="00782A43" w:rsidRDefault="00782A43">
      <w:pPr>
        <w:ind w:left="720"/>
      </w:pPr>
      <w:r>
        <w:t xml:space="preserve">The outcome data collection activities using the client survey will occur with the estimated universe of respondents (i.e., individuals entering </w:t>
      </w:r>
      <w:r w:rsidRPr="009E1BFB">
        <w:t>substance abuse</w:t>
      </w:r>
      <w:r>
        <w:t xml:space="preserve"> treatment programs) across the 40 substance abuse treatment programs, which is estimated to be 4,800 at baseline, 4,800 at discharge, and 3,840 at 6 months post baseline. It is expected that the recruitment methods coupled with incentives and intensive tracking mechanisms will result in response rates of 100 percent at baseline and discharge, and 80 percent at 6 months post baseline for the client survey administration. Additional outcome data employing the client dosage form will be collected by program staff from clients’ treatment records upon client discharge from treatment. The following presents a description of both process and outcome data collection methods. </w:t>
      </w:r>
    </w:p>
    <w:p w:rsidR="00782A43" w:rsidRPr="004C7390" w:rsidRDefault="00782A43" w:rsidP="00D0533C"/>
    <w:p w:rsidR="00782A43" w:rsidRDefault="00782A43">
      <w:pPr>
        <w:keepNext/>
        <w:ind w:left="720"/>
      </w:pPr>
      <w:r>
        <w:rPr>
          <w:u w:val="single"/>
        </w:rPr>
        <w:t>Administrative Staff</w:t>
      </w:r>
      <w:r w:rsidRPr="002D33C1">
        <w:rPr>
          <w:u w:val="single"/>
        </w:rPr>
        <w:t xml:space="preserve"> Semi-Structured Interview</w:t>
      </w:r>
      <w:r>
        <w:rPr>
          <w:u w:val="single"/>
        </w:rPr>
        <w:t>s</w:t>
      </w:r>
      <w:r w:rsidRPr="00777630">
        <w:t>: I</w:t>
      </w:r>
      <w:r w:rsidRPr="002D33C1">
        <w:t>ndividuals</w:t>
      </w:r>
      <w:r>
        <w:t xml:space="preserve"> from each of the 48 Grantee sites</w:t>
      </w:r>
      <w:r w:rsidRPr="002D33C1">
        <w:t xml:space="preserve"> who perform administrative tasks related to the TCE-HIV program (e.g., Project Director, Program Manager, and Executive Director)</w:t>
      </w:r>
      <w:r>
        <w:t xml:space="preserve"> are eligible to be interviewed and their input will help document community and contextual factors. It is estimated that two administrative staff members per Grantee site will be interviewed in Year 2 and Year 4 of the TCE-HIV Multi-Site Evaluation. (See Attachment 3 - Document 1</w:t>
      </w:r>
      <w:r w:rsidRPr="00B35B88">
        <w:t>).</w:t>
      </w:r>
    </w:p>
    <w:p w:rsidR="00782A43" w:rsidRDefault="00782A43" w:rsidP="00420784">
      <w:pPr>
        <w:keepNext/>
      </w:pPr>
      <w:r>
        <w:t xml:space="preserve"> </w:t>
      </w:r>
    </w:p>
    <w:p w:rsidR="00782A43" w:rsidRDefault="00782A43">
      <w:pPr>
        <w:pStyle w:val="bodytext"/>
        <w:spacing w:after="0" w:line="240" w:lineRule="auto"/>
        <w:ind w:left="720"/>
      </w:pPr>
      <w:r>
        <w:rPr>
          <w:rFonts w:eastAsia="MS Mincho"/>
        </w:rPr>
        <w:t>It is estimated that two administrative staff members per Grantee site will be interviewed in a two-part interview session. The first part of the interview</w:t>
      </w:r>
      <w:r w:rsidRPr="00A04CB5">
        <w:rPr>
          <w:rFonts w:eastAsia="MS Mincho"/>
        </w:rPr>
        <w:t xml:space="preserve"> wi</w:t>
      </w:r>
      <w:r>
        <w:rPr>
          <w:rFonts w:eastAsia="MS Mincho"/>
        </w:rPr>
        <w:t>ll be conducted with an executive st</w:t>
      </w:r>
      <w:r w:rsidRPr="00A04CB5">
        <w:rPr>
          <w:rFonts w:eastAsia="MS Mincho"/>
        </w:rPr>
        <w:t xml:space="preserve">aff member of the agency; and the second </w:t>
      </w:r>
      <w:r>
        <w:rPr>
          <w:rFonts w:eastAsia="MS Mincho"/>
        </w:rPr>
        <w:t>part</w:t>
      </w:r>
      <w:r w:rsidRPr="00A04CB5">
        <w:rPr>
          <w:rFonts w:eastAsia="MS Mincho"/>
        </w:rPr>
        <w:t xml:space="preserve"> with the Project Director, Program Manager</w:t>
      </w:r>
      <w:r>
        <w:rPr>
          <w:rFonts w:eastAsia="MS Mincho"/>
        </w:rPr>
        <w:t>,</w:t>
      </w:r>
      <w:r w:rsidRPr="00A04CB5">
        <w:rPr>
          <w:rFonts w:eastAsia="MS Mincho"/>
        </w:rPr>
        <w:t xml:space="preserve"> or Program Coordinator of</w:t>
      </w:r>
      <w:r>
        <w:rPr>
          <w:rFonts w:eastAsia="MS Mincho"/>
        </w:rPr>
        <w:t xml:space="preserve"> the TCE-HIV project. The determination was made to conduct a two-part interview with these two categories of staff </w:t>
      </w:r>
      <w:r w:rsidRPr="00A04CB5">
        <w:rPr>
          <w:rFonts w:eastAsia="MS Mincho"/>
        </w:rPr>
        <w:t>because i</w:t>
      </w:r>
      <w:r>
        <w:rPr>
          <w:rFonts w:eastAsia="MS Mincho"/>
        </w:rPr>
        <w:t xml:space="preserve">n some </w:t>
      </w:r>
      <w:r w:rsidRPr="00A04CB5">
        <w:rPr>
          <w:rFonts w:eastAsia="MS Mincho"/>
        </w:rPr>
        <w:t xml:space="preserve">instances, these staff </w:t>
      </w:r>
      <w:r>
        <w:rPr>
          <w:rFonts w:eastAsia="MS Mincho"/>
        </w:rPr>
        <w:t xml:space="preserve">members </w:t>
      </w:r>
      <w:r w:rsidRPr="00A04CB5">
        <w:rPr>
          <w:rFonts w:eastAsia="MS Mincho"/>
        </w:rPr>
        <w:t xml:space="preserve">have different perspectives on some of the key issues to be explored. In some instances, one person from the agency </w:t>
      </w:r>
      <w:r>
        <w:rPr>
          <w:rFonts w:eastAsia="MS Mincho"/>
        </w:rPr>
        <w:t>may</w:t>
      </w:r>
      <w:r w:rsidRPr="00A04CB5">
        <w:rPr>
          <w:rFonts w:eastAsia="MS Mincho"/>
        </w:rPr>
        <w:t xml:space="preserve"> fulfill both roles/positions. In this situation, the full interview will be conducted with that one person.</w:t>
      </w:r>
    </w:p>
    <w:p w:rsidR="00782A43" w:rsidRPr="002D33C1" w:rsidRDefault="00782A43" w:rsidP="00D0533C">
      <w:pPr>
        <w:pStyle w:val="bodytext"/>
        <w:spacing w:after="0" w:line="240" w:lineRule="auto"/>
      </w:pPr>
      <w:r>
        <w:t xml:space="preserve"> </w:t>
      </w:r>
    </w:p>
    <w:p w:rsidR="00782A43" w:rsidRDefault="00782A43">
      <w:pPr>
        <w:keepNext/>
        <w:ind w:left="720"/>
      </w:pPr>
      <w:r>
        <w:rPr>
          <w:u w:val="single"/>
        </w:rPr>
        <w:lastRenderedPageBreak/>
        <w:t>Direct Services S</w:t>
      </w:r>
      <w:r w:rsidRPr="002D33C1">
        <w:rPr>
          <w:u w:val="single"/>
        </w:rPr>
        <w:t>taff Semi-Structured Interviews:</w:t>
      </w:r>
      <w:r w:rsidRPr="002D33C1">
        <w:t xml:space="preserve"> Individuals from the </w:t>
      </w:r>
      <w:r>
        <w:t xml:space="preserve">48 </w:t>
      </w:r>
      <w:r w:rsidRPr="002D33C1">
        <w:t>Grantee organization</w:t>
      </w:r>
      <w:r>
        <w:t>s</w:t>
      </w:r>
      <w:r w:rsidRPr="002D33C1">
        <w:t xml:space="preserve"> who have direct contact with clients to perform </w:t>
      </w:r>
      <w:r>
        <w:t xml:space="preserve">outreach/pretreatment and </w:t>
      </w:r>
      <w:r w:rsidRPr="002D33C1">
        <w:t>treatment</w:t>
      </w:r>
      <w:r>
        <w:t>-</w:t>
      </w:r>
      <w:r w:rsidRPr="002D33C1">
        <w:t xml:space="preserve">related tasks will be eligible to be interviewed. Examples of </w:t>
      </w:r>
      <w:r>
        <w:t>people</w:t>
      </w:r>
      <w:r w:rsidRPr="002D33C1">
        <w:t xml:space="preserve"> performing direct service tasks include outreach workers, counselors, and case managers. </w:t>
      </w:r>
      <w:r>
        <w:t>It is estimated that up to nine direct service staff per Grantee site will</w:t>
      </w:r>
      <w:r w:rsidRPr="002D33C1">
        <w:t xml:space="preserve"> participate in </w:t>
      </w:r>
      <w:r>
        <w:t>the</w:t>
      </w:r>
      <w:r w:rsidRPr="002D33C1">
        <w:t xml:space="preserve"> interview session</w:t>
      </w:r>
      <w:r>
        <w:t xml:space="preserve"> conducted during site visits in Year 2 and Year 4 (See Attachment 5 - Document 1</w:t>
      </w:r>
      <w:r w:rsidRPr="00B35B88">
        <w:t>).</w:t>
      </w:r>
    </w:p>
    <w:p w:rsidR="00782A43" w:rsidRPr="00736721" w:rsidRDefault="00782A43" w:rsidP="00D0533C">
      <w:pPr>
        <w:rPr>
          <w:u w:val="single"/>
        </w:rPr>
      </w:pPr>
    </w:p>
    <w:p w:rsidR="00782A43" w:rsidRDefault="00782A43">
      <w:pPr>
        <w:pStyle w:val="bodytext"/>
        <w:spacing w:after="0" w:line="240" w:lineRule="auto"/>
        <w:ind w:left="720"/>
      </w:pPr>
      <w:r>
        <w:rPr>
          <w:u w:val="single"/>
        </w:rPr>
        <w:t xml:space="preserve">Community Partners/Collaborators </w:t>
      </w:r>
      <w:r w:rsidRPr="002D33C1">
        <w:rPr>
          <w:u w:val="single"/>
        </w:rPr>
        <w:t>Semi-Structured Interviews</w:t>
      </w:r>
      <w:r>
        <w:rPr>
          <w:u w:val="single"/>
        </w:rPr>
        <w:t xml:space="preserve">: </w:t>
      </w:r>
      <w:r w:rsidRPr="00856544">
        <w:t xml:space="preserve">Grantee community </w:t>
      </w:r>
      <w:r w:rsidRPr="00682A6F">
        <w:t xml:space="preserve">partners/collaborators </w:t>
      </w:r>
      <w:r>
        <w:t xml:space="preserve">are those </w:t>
      </w:r>
      <w:r w:rsidRPr="002D33C1">
        <w:t xml:space="preserve">agencies or organizations that provide services and activities related to the TCE-HIV program. </w:t>
      </w:r>
      <w:r>
        <w:t xml:space="preserve">It is estimated that up to five community partners/collaborators per Grantee may participate </w:t>
      </w:r>
      <w:r w:rsidRPr="002D33C1">
        <w:t>in</w:t>
      </w:r>
      <w:r>
        <w:t xml:space="preserve"> the interview sessions conducted during site visits in Year 2 and Year 4. Grantees may have more than five community partners, thus selection criteria has been developed to prioritize partners recruited to be interviewed. Selection criteria include: treatment source, housing, employment, re-entry criminal justice services, and medical services. These priorities may shift based on the nature of the Grantee program (e.g., for programs targeting HIV positive clients, interviews with partners providing medical care would be a main priority). (See Attachment 7 - Document 1</w:t>
      </w:r>
      <w:r w:rsidRPr="00BB36EF">
        <w:t>).</w:t>
      </w:r>
    </w:p>
    <w:p w:rsidR="00782A43" w:rsidRPr="001D6DE0" w:rsidRDefault="00782A43" w:rsidP="00D0533C">
      <w:pPr>
        <w:rPr>
          <w:u w:val="single"/>
        </w:rPr>
      </w:pPr>
    </w:p>
    <w:p w:rsidR="00782A43" w:rsidRDefault="00782A43">
      <w:pPr>
        <w:ind w:left="720"/>
        <w:rPr>
          <w:u w:val="single"/>
        </w:rPr>
      </w:pPr>
      <w:r w:rsidRPr="00265727">
        <w:rPr>
          <w:u w:val="single"/>
        </w:rPr>
        <w:t>Client Focus Groups:</w:t>
      </w:r>
      <w:r>
        <w:t xml:space="preserve"> The targeted universe for the client focus groups are clients who have been in substance abuse treatment for at least 14 days. </w:t>
      </w:r>
      <w:r w:rsidRPr="003039ED">
        <w:t xml:space="preserve">The Multi-Site Evaluation staff will work collaboratively with </w:t>
      </w:r>
      <w:r w:rsidRPr="009015DA">
        <w:t xml:space="preserve">Grantee staff to identify client focus group participants. A member of the Grantee staff assigned to help with </w:t>
      </w:r>
      <w:r>
        <w:t>f</w:t>
      </w:r>
      <w:r w:rsidRPr="009015DA">
        <w:t>ocus group recruitment will be asked for assistance in the distribution of flyers advertising the focus group, announcing the focus group to clients whe</w:t>
      </w:r>
      <w:r>
        <w:t>n</w:t>
      </w:r>
      <w:r w:rsidRPr="009015DA">
        <w:t xml:space="preserve"> appropriate, and serving as a primary point of contact regarding the client focus group. See </w:t>
      </w:r>
      <w:r>
        <w:t>Attachment 2b - Document 2</w:t>
      </w:r>
      <w:r w:rsidRPr="009015DA">
        <w:t xml:space="preserve"> for </w:t>
      </w:r>
      <w:r>
        <w:t xml:space="preserve">an </w:t>
      </w:r>
      <w:r w:rsidRPr="009015DA">
        <w:t xml:space="preserve">example of </w:t>
      </w:r>
      <w:r>
        <w:t>a f</w:t>
      </w:r>
      <w:r w:rsidRPr="009015DA">
        <w:t xml:space="preserve">ocus </w:t>
      </w:r>
      <w:r>
        <w:t>g</w:t>
      </w:r>
      <w:r w:rsidRPr="009015DA">
        <w:t xml:space="preserve">roup </w:t>
      </w:r>
      <w:r>
        <w:t>r</w:t>
      </w:r>
      <w:r w:rsidRPr="009015DA">
        <w:t xml:space="preserve">ecruitment </w:t>
      </w:r>
      <w:r>
        <w:t>f</w:t>
      </w:r>
      <w:r w:rsidRPr="009015DA">
        <w:t xml:space="preserve">lyer and </w:t>
      </w:r>
      <w:r>
        <w:t>Attachment 2b – Document 3</w:t>
      </w:r>
      <w:r w:rsidRPr="009015DA">
        <w:t xml:space="preserve"> for the </w:t>
      </w:r>
      <w:r>
        <w:t>c</w:t>
      </w:r>
      <w:r w:rsidRPr="009015DA">
        <w:t xml:space="preserve">lient </w:t>
      </w:r>
      <w:r>
        <w:t>f</w:t>
      </w:r>
      <w:r w:rsidRPr="009015DA">
        <w:t xml:space="preserve">ocus </w:t>
      </w:r>
      <w:r>
        <w:t>g</w:t>
      </w:r>
      <w:r w:rsidRPr="009015DA">
        <w:t xml:space="preserve">roup </w:t>
      </w:r>
      <w:r>
        <w:t>s</w:t>
      </w:r>
      <w:r w:rsidRPr="009015DA">
        <w:t>ign-</w:t>
      </w:r>
      <w:r>
        <w:t>u</w:t>
      </w:r>
      <w:r w:rsidRPr="009015DA">
        <w:t xml:space="preserve">p </w:t>
      </w:r>
      <w:r>
        <w:t>r</w:t>
      </w:r>
      <w:r w:rsidRPr="009015DA">
        <w:t xml:space="preserve">oster. The focus groups will strive for a balance in participants with regard to gender, age, length and number of times in treatment, and </w:t>
      </w:r>
      <w:proofErr w:type="spellStart"/>
      <w:r w:rsidRPr="009015DA">
        <w:t>serostatus</w:t>
      </w:r>
      <w:proofErr w:type="spellEnd"/>
      <w:r w:rsidRPr="009015DA">
        <w:t xml:space="preserve">. It is estimated that up to </w:t>
      </w:r>
      <w:r>
        <w:t>nine</w:t>
      </w:r>
      <w:r w:rsidRPr="009015DA">
        <w:t xml:space="preserve"> clients </w:t>
      </w:r>
      <w:r>
        <w:t>from</w:t>
      </w:r>
      <w:r w:rsidRPr="009015DA">
        <w:t xml:space="preserve"> each of the</w:t>
      </w:r>
      <w:r>
        <w:t xml:space="preserve"> 40 treatment Grantees will participate in focus groups conducted during site visits in Year 2 and Year 4. </w:t>
      </w:r>
      <w:proofErr w:type="gramStart"/>
      <w:r>
        <w:t>(See Attachment 1a - Document 1</w:t>
      </w:r>
      <w:r w:rsidRPr="005A7873">
        <w:t>).</w:t>
      </w:r>
      <w:proofErr w:type="gramEnd"/>
    </w:p>
    <w:p w:rsidR="00782A43" w:rsidRPr="004C7390" w:rsidRDefault="00782A43" w:rsidP="00D0533C">
      <w:pPr>
        <w:rPr>
          <w:u w:val="single"/>
        </w:rPr>
      </w:pPr>
    </w:p>
    <w:p w:rsidR="00782A43" w:rsidRDefault="00782A43">
      <w:pPr>
        <w:ind w:left="720"/>
      </w:pPr>
      <w:r w:rsidRPr="00856544">
        <w:rPr>
          <w:u w:val="single"/>
        </w:rPr>
        <w:t>Client Survey</w:t>
      </w:r>
      <w:bookmarkEnd w:id="59"/>
      <w:r>
        <w:rPr>
          <w:u w:val="single"/>
        </w:rPr>
        <w:t>s</w:t>
      </w:r>
      <w:r w:rsidRPr="00856544">
        <w:rPr>
          <w:u w:val="single"/>
        </w:rPr>
        <w:t>:</w:t>
      </w:r>
      <w:r>
        <w:t xml:space="preserve"> </w:t>
      </w:r>
      <w:r w:rsidRPr="00856544">
        <w:t>The targeted universe for the</w:t>
      </w:r>
      <w:r>
        <w:t xml:space="preserve"> </w:t>
      </w:r>
      <w:r w:rsidRPr="00856544">
        <w:t>TCE-HIV Multi-Site Evaluation client surveys are clients from the 4</w:t>
      </w:r>
      <w:r>
        <w:t>0</w:t>
      </w:r>
      <w:r w:rsidRPr="00856544">
        <w:t xml:space="preserve"> treatment Grantee programs. </w:t>
      </w:r>
      <w:bookmarkStart w:id="60" w:name="_Toc131564371"/>
      <w:r>
        <w:t>Th</w:t>
      </w:r>
      <w:r w:rsidRPr="00856544">
        <w:t xml:space="preserve">e clients who enter treatment following OMB clearance will be eligible to be surveyed. </w:t>
      </w:r>
      <w:r>
        <w:t>The first 120</w:t>
      </w:r>
      <w:r w:rsidRPr="00856544">
        <w:t xml:space="preserve"> clients </w:t>
      </w:r>
      <w:r>
        <w:t>from</w:t>
      </w:r>
      <w:r w:rsidRPr="00856544">
        <w:t xml:space="preserve"> </w:t>
      </w:r>
      <w:r>
        <w:t xml:space="preserve">each of the </w:t>
      </w:r>
      <w:r w:rsidRPr="00856544">
        <w:t>4</w:t>
      </w:r>
      <w:r>
        <w:t>0</w:t>
      </w:r>
      <w:r w:rsidRPr="00856544">
        <w:t xml:space="preserve"> treatment Grantees </w:t>
      </w:r>
      <w:r>
        <w:t xml:space="preserve">who are administered the GPRA </w:t>
      </w:r>
      <w:r w:rsidRPr="00856544">
        <w:t>will be surveyed. The client-level surveys will be administered by trained Grantee program counselors when clients enter the treatment program. All of those</w:t>
      </w:r>
      <w:r>
        <w:t xml:space="preserve"> clients</w:t>
      </w:r>
      <w:r w:rsidRPr="00856544">
        <w:t xml:space="preserve"> receiving the baseline survey will complete a follow-up survey at discharge, and at </w:t>
      </w:r>
      <w:r w:rsidRPr="00FF3860">
        <w:t>6</w:t>
      </w:r>
      <w:r>
        <w:t xml:space="preserve"> </w:t>
      </w:r>
      <w:r w:rsidRPr="00FF3860">
        <w:t xml:space="preserve">months post </w:t>
      </w:r>
      <w:r>
        <w:t>baseline</w:t>
      </w:r>
      <w:r w:rsidRPr="00856544">
        <w:t>.</w:t>
      </w:r>
      <w:r>
        <w:t xml:space="preserve"> It is expected that the use of incentives and tracking mechanisms will result in an 80 percent response rate at 6 </w:t>
      </w:r>
      <w:r w:rsidRPr="00FF3860">
        <w:t xml:space="preserve">months post </w:t>
      </w:r>
      <w:r>
        <w:t>baseline. (See Attachment 1a - Documents 2 &amp; 3, Attachment 1b - Document 1).</w:t>
      </w:r>
    </w:p>
    <w:p w:rsidR="00782A43" w:rsidRPr="004C7390" w:rsidRDefault="00782A43" w:rsidP="00D0533C">
      <w:pPr>
        <w:rPr>
          <w:u w:val="single"/>
        </w:rPr>
      </w:pPr>
    </w:p>
    <w:p w:rsidR="00782A43" w:rsidRDefault="00782A43">
      <w:pPr>
        <w:ind w:left="720"/>
      </w:pPr>
      <w:r w:rsidRPr="00E62DCE">
        <w:rPr>
          <w:u w:val="single"/>
        </w:rPr>
        <w:lastRenderedPageBreak/>
        <w:t>Client Dosage Forms:</w:t>
      </w:r>
      <w:r w:rsidRPr="00823D29">
        <w:t xml:space="preserve"> The targeted universe for</w:t>
      </w:r>
      <w:r w:rsidRPr="00477F8B">
        <w:t xml:space="preserve"> the</w:t>
      </w:r>
      <w:r w:rsidRPr="00823D29">
        <w:t xml:space="preserve"> TCE-HIV Multi-Site Evaluation client </w:t>
      </w:r>
      <w:r>
        <w:t>dosage form</w:t>
      </w:r>
      <w:r w:rsidRPr="00823D29">
        <w:t xml:space="preserve">s are the </w:t>
      </w:r>
      <w:r>
        <w:t>120</w:t>
      </w:r>
      <w:r w:rsidRPr="00823D29">
        <w:t xml:space="preserve"> clients from </w:t>
      </w:r>
      <w:r>
        <w:t xml:space="preserve">each of </w:t>
      </w:r>
      <w:r w:rsidRPr="00823D29">
        <w:t>the 4</w:t>
      </w:r>
      <w:r>
        <w:t>0</w:t>
      </w:r>
      <w:r w:rsidRPr="00823D29">
        <w:t xml:space="preserve"> treatment Grantee programs who</w:t>
      </w:r>
      <w:r>
        <w:t>,</w:t>
      </w:r>
      <w:r w:rsidRPr="00823D29">
        <w:t xml:space="preserve"> following OMB clearance</w:t>
      </w:r>
      <w:r>
        <w:t>,</w:t>
      </w:r>
      <w:r w:rsidRPr="00823D29">
        <w:t xml:space="preserve"> have been administered the </w:t>
      </w:r>
      <w:r>
        <w:t xml:space="preserve">GPRA and </w:t>
      </w:r>
      <w:r w:rsidRPr="00823D29">
        <w:t>client</w:t>
      </w:r>
      <w:r>
        <w:t xml:space="preserve"> </w:t>
      </w:r>
      <w:r w:rsidRPr="00823D29">
        <w:t xml:space="preserve">survey. The client </w:t>
      </w:r>
      <w:r>
        <w:t>dosage form</w:t>
      </w:r>
      <w:r w:rsidRPr="00823D29">
        <w:t>s will be completed by trained Grantee program counselors when clients are discharged from treatment. It is expected that a 100</w:t>
      </w:r>
      <w:r>
        <w:t xml:space="preserve"> percent</w:t>
      </w:r>
      <w:r w:rsidRPr="00823D29">
        <w:t xml:space="preserve"> </w:t>
      </w:r>
      <w:r>
        <w:t>dosage form completion</w:t>
      </w:r>
      <w:r w:rsidRPr="00823D29">
        <w:t xml:space="preserve"> rate</w:t>
      </w:r>
      <w:r>
        <w:t xml:space="preserve"> will be achieved because all clients will be discharged from a treatment program. </w:t>
      </w:r>
      <w:proofErr w:type="gramStart"/>
      <w:r>
        <w:t>(See Attachment 1b - Document 2).</w:t>
      </w:r>
      <w:proofErr w:type="gramEnd"/>
    </w:p>
    <w:p w:rsidR="00782A43" w:rsidRDefault="00782A43" w:rsidP="00D0533C">
      <w:pPr>
        <w:rPr>
          <w:u w:val="single"/>
        </w:rPr>
      </w:pPr>
      <w:bookmarkStart w:id="61" w:name="_Toc8007710"/>
      <w:bookmarkStart w:id="62" w:name="_Toc88277973"/>
      <w:bookmarkStart w:id="63" w:name="_Toc131564372"/>
      <w:bookmarkEnd w:id="60"/>
    </w:p>
    <w:p w:rsidR="00782A43" w:rsidRDefault="00782A43">
      <w:pPr>
        <w:ind w:firstLine="720"/>
        <w:rPr>
          <w:b/>
          <w:bCs/>
        </w:rPr>
      </w:pPr>
      <w:r w:rsidRPr="007B2EF8">
        <w:rPr>
          <w:b/>
          <w:bCs/>
        </w:rPr>
        <w:t>2.</w:t>
      </w:r>
      <w:r w:rsidRPr="007B2EF8">
        <w:rPr>
          <w:b/>
          <w:bCs/>
        </w:rPr>
        <w:tab/>
      </w:r>
      <w:bookmarkEnd w:id="61"/>
      <w:r w:rsidRPr="007B2EF8">
        <w:rPr>
          <w:b/>
          <w:bCs/>
          <w:u w:val="single"/>
        </w:rPr>
        <w:t>Information</w:t>
      </w:r>
      <w:bookmarkEnd w:id="62"/>
      <w:r w:rsidRPr="007B2EF8">
        <w:rPr>
          <w:b/>
          <w:bCs/>
          <w:u w:val="single"/>
        </w:rPr>
        <w:t xml:space="preserve"> Collection Procedures</w:t>
      </w:r>
      <w:bookmarkEnd w:id="63"/>
    </w:p>
    <w:p w:rsidR="00782A43" w:rsidRPr="007B2EF8" w:rsidRDefault="00782A43" w:rsidP="00D0533C">
      <w:bookmarkStart w:id="64" w:name="_Toc88277977"/>
    </w:p>
    <w:p w:rsidR="00782A43" w:rsidRDefault="00782A43">
      <w:pPr>
        <w:ind w:left="720"/>
      </w:pPr>
      <w:r>
        <w:t>In order to conduct the Multi-Site Evaluation, d</w:t>
      </w:r>
      <w:r w:rsidRPr="00A31C1D">
        <w:t xml:space="preserve">ata will be collected using different methods for each of the two </w:t>
      </w:r>
      <w:r>
        <w:t xml:space="preserve">process </w:t>
      </w:r>
      <w:r w:rsidRPr="00A31C1D">
        <w:t>data collection points</w:t>
      </w:r>
      <w:r>
        <w:t xml:space="preserve"> (i.e., during Year 2 and Year 4 site visits)</w:t>
      </w:r>
      <w:r w:rsidRPr="00A31C1D">
        <w:t xml:space="preserve">, as well as the ongoing </w:t>
      </w:r>
      <w:r>
        <w:t>c</w:t>
      </w:r>
      <w:r w:rsidRPr="00A31C1D">
        <w:t xml:space="preserve">lient </w:t>
      </w:r>
      <w:r>
        <w:t>s</w:t>
      </w:r>
      <w:r w:rsidRPr="00A31C1D">
        <w:t xml:space="preserve">urvey </w:t>
      </w:r>
      <w:r>
        <w:t xml:space="preserve">and dosage form outcome </w:t>
      </w:r>
      <w:r w:rsidRPr="00A31C1D">
        <w:t xml:space="preserve">data collection. Each data collection method </w:t>
      </w:r>
      <w:r>
        <w:t>proposed</w:t>
      </w:r>
      <w:r w:rsidRPr="00A31C1D">
        <w:t xml:space="preserve"> supports the type of evaluation questions being asked and the target</w:t>
      </w:r>
      <w:r>
        <w:t>ed</w:t>
      </w:r>
      <w:r w:rsidRPr="00A31C1D">
        <w:t xml:space="preserve"> respondents.</w:t>
      </w:r>
      <w:r w:rsidRPr="006C0B50">
        <w:rPr>
          <w:rFonts w:ascii="Arial" w:hAnsi="Arial" w:cs="Arial"/>
        </w:rPr>
        <w:t xml:space="preserve"> </w:t>
      </w:r>
      <w:r w:rsidRPr="006C0B50">
        <w:t xml:space="preserve">The </w:t>
      </w:r>
      <w:r>
        <w:t xml:space="preserve">data </w:t>
      </w:r>
      <w:r w:rsidRPr="006C0B50">
        <w:t>collection process will be a careful and systematic mixed-method data collection approach</w:t>
      </w:r>
      <w:r>
        <w:t>, in order</w:t>
      </w:r>
      <w:r w:rsidRPr="006C0B50">
        <w:t xml:space="preserve"> to gather high quality data</w:t>
      </w:r>
      <w:r>
        <w:t xml:space="preserve"> from each of the 48 TCE-HIV Grantees</w:t>
      </w:r>
      <w:r w:rsidRPr="006C0B50">
        <w:t>.</w:t>
      </w:r>
      <w:r>
        <w:t xml:space="preserve"> Attachment </w:t>
      </w:r>
      <w:r w:rsidRPr="005A7873">
        <w:t>4</w:t>
      </w:r>
      <w:r>
        <w:t xml:space="preserve"> - Document 2 </w:t>
      </w:r>
      <w:r w:rsidRPr="00474303">
        <w:t>p</w:t>
      </w:r>
      <w:r>
        <w:t xml:space="preserve">resents the proposed estimated universe and selection methods for the project. Semi-structured interviews, focus groups, client surveys, and dosage forms will be used to collect data from the target population (e.g., Grantee staff, partners/collaborators, and clients). Data collection will occur across both process and outcome evaluation activities. A general description of key data collection procedures is provided below. A description of the site visit and data collection instruments is also provided. </w:t>
      </w:r>
    </w:p>
    <w:p w:rsidR="00782A43" w:rsidRDefault="00782A43" w:rsidP="00D0533C"/>
    <w:p w:rsidR="00782A43" w:rsidRDefault="00782A43">
      <w:pPr>
        <w:ind w:left="720"/>
      </w:pPr>
      <w:r w:rsidRPr="000F5A82">
        <w:rPr>
          <w:b/>
          <w:bCs/>
        </w:rPr>
        <w:t>Site Visits.</w:t>
      </w:r>
      <w:r>
        <w:t xml:space="preserve"> In order to initiate the Year 2 site visits, a Multi-Site Evaluation team member will call the Grantee Project Director. See </w:t>
      </w:r>
      <w:r w:rsidRPr="005A7873">
        <w:t xml:space="preserve">Attachment </w:t>
      </w:r>
      <w:r>
        <w:t xml:space="preserve">4 - Document 3 for the site visit call script. The initial phone contact will be followed by an e-mail confirmation letter which provides additional details about the site visit. See </w:t>
      </w:r>
      <w:r w:rsidRPr="005A7873">
        <w:t xml:space="preserve">Attachment </w:t>
      </w:r>
      <w:r>
        <w:t>4-Document 4 for a sample site visit confirmation letter.</w:t>
      </w:r>
    </w:p>
    <w:p w:rsidR="00782A43" w:rsidRDefault="00782A43" w:rsidP="00D0533C"/>
    <w:p w:rsidR="00782A43" w:rsidRDefault="00782A43">
      <w:pPr>
        <w:ind w:left="720"/>
      </w:pPr>
      <w:r w:rsidRPr="00975F48">
        <w:t>The Multi-Site Evaluation Team will conduct site visits at two data collection time points</w:t>
      </w:r>
      <w:r>
        <w:t xml:space="preserve"> with each of the 48 Grantees. For the first round of site visits,</w:t>
      </w:r>
      <w:r w:rsidRPr="00975F48">
        <w:t xml:space="preserve"> </w:t>
      </w:r>
      <w:r>
        <w:t xml:space="preserve">a Multi-Site Evaluation team member will contact the Grantees to schedule the site visit. </w:t>
      </w:r>
      <w:r w:rsidRPr="00975F48">
        <w:t>The second site visit will be conducted approxi</w:t>
      </w:r>
      <w:r>
        <w:t>mately 2</w:t>
      </w:r>
      <w:r w:rsidRPr="00975F48">
        <w:t xml:space="preserve"> years following </w:t>
      </w:r>
      <w:r>
        <w:t xml:space="preserve">the first site visit (see </w:t>
      </w:r>
      <w:r w:rsidRPr="006C7FE5">
        <w:t>Exhibit</w:t>
      </w:r>
      <w:r>
        <w:t xml:space="preserve"> 6, A.16)</w:t>
      </w:r>
      <w:r w:rsidRPr="00975F48">
        <w:t xml:space="preserve">. Each site visit will be conducted by </w:t>
      </w:r>
      <w:r>
        <w:t>experienced</w:t>
      </w:r>
      <w:r w:rsidRPr="00975F48">
        <w:t xml:space="preserve"> member</w:t>
      </w:r>
      <w:r>
        <w:t>s</w:t>
      </w:r>
      <w:r w:rsidRPr="00975F48">
        <w:t xml:space="preserve"> </w:t>
      </w:r>
      <w:r>
        <w:t>of</w:t>
      </w:r>
      <w:r w:rsidRPr="00975F48">
        <w:t xml:space="preserve"> the Multi-Site Evaluation Team.</w:t>
      </w:r>
      <w:r>
        <w:t xml:space="preserve"> The site visits are anticipated to last 2 to 3</w:t>
      </w:r>
      <w:r w:rsidRPr="00975F48">
        <w:t xml:space="preserve"> days</w:t>
      </w:r>
      <w:r>
        <w:t>,</w:t>
      </w:r>
      <w:r w:rsidRPr="00975F48">
        <w:t xml:space="preserve"> in order to gather all required data. The purpose of the site visits are to observe program processes, to conduct semi-structured interviews with project staff and community </w:t>
      </w:r>
      <w:r>
        <w:t>partn</w:t>
      </w:r>
      <w:r w:rsidRPr="00975F48">
        <w:t xml:space="preserve">ers, to conduct client focus groups, and to provide </w:t>
      </w:r>
      <w:r>
        <w:t>technical assistance</w:t>
      </w:r>
      <w:r w:rsidRPr="00975F48">
        <w:t xml:space="preserve"> </w:t>
      </w:r>
      <w:r>
        <w:t xml:space="preserve">to Grantees </w:t>
      </w:r>
      <w:r w:rsidRPr="00975F48">
        <w:t>on</w:t>
      </w:r>
      <w:r>
        <w:t xml:space="preserve"> client</w:t>
      </w:r>
      <w:r w:rsidRPr="00975F48">
        <w:t xml:space="preserve"> survey </w:t>
      </w:r>
      <w:r>
        <w:t>administration</w:t>
      </w:r>
      <w:r w:rsidRPr="00975F48">
        <w:t xml:space="preserve"> and </w:t>
      </w:r>
      <w:r>
        <w:t>dosage form</w:t>
      </w:r>
      <w:r w:rsidRPr="00975F48">
        <w:t xml:space="preserve"> </w:t>
      </w:r>
      <w:r>
        <w:t>completion</w:t>
      </w:r>
      <w:r w:rsidRPr="00975F48">
        <w:t>.</w:t>
      </w:r>
    </w:p>
    <w:p w:rsidR="00782A43" w:rsidRDefault="00782A43" w:rsidP="00D0533C"/>
    <w:p w:rsidR="00782A43" w:rsidRDefault="00782A43">
      <w:pPr>
        <w:ind w:left="720"/>
      </w:pPr>
      <w:r w:rsidRPr="00A95637">
        <w:rPr>
          <w:u w:val="single"/>
        </w:rPr>
        <w:t>Semi-Structured Interviews:</w:t>
      </w:r>
      <w:r w:rsidRPr="00A95637">
        <w:t xml:space="preserve"> </w:t>
      </w:r>
      <w:r>
        <w:t>During each site visit,</w:t>
      </w:r>
      <w:r w:rsidRPr="00F06AB7">
        <w:t xml:space="preserve"> semi-structured interviews </w:t>
      </w:r>
      <w:r>
        <w:t>will be conducted with the</w:t>
      </w:r>
      <w:r w:rsidRPr="00F06AB7">
        <w:t xml:space="preserve"> following respondents: 1) </w:t>
      </w:r>
      <w:r>
        <w:t>Program Administrator</w:t>
      </w:r>
      <w:r w:rsidRPr="00F06AB7">
        <w:t xml:space="preserve">, 2) Grantee </w:t>
      </w:r>
      <w:r>
        <w:t xml:space="preserve">direct services </w:t>
      </w:r>
      <w:r w:rsidRPr="00F06AB7">
        <w:t>staff, and 3) community collaborators</w:t>
      </w:r>
      <w:r>
        <w:t>/partners</w:t>
      </w:r>
      <w:r w:rsidRPr="00F06AB7">
        <w:t>. The semi-structured interview</w:t>
      </w:r>
      <w:r>
        <w:t xml:space="preserve"> proces</w:t>
      </w:r>
      <w:r w:rsidRPr="00F06AB7">
        <w:t>s will be led by a senior evaluation team member. The interview</w:t>
      </w:r>
      <w:r>
        <w:t>s</w:t>
      </w:r>
      <w:r w:rsidRPr="00F06AB7">
        <w:t xml:space="preserve"> may take </w:t>
      </w:r>
      <w:r w:rsidRPr="009015DA">
        <w:t xml:space="preserve">place with a single person or a group of persons (e.g., more than one treatment staff member </w:t>
      </w:r>
      <w:r w:rsidRPr="009015DA">
        <w:lastRenderedPageBreak/>
        <w:t xml:space="preserve">may be interviewed in the same session). The lead interviewer will describe the purpose of the interview, have respondent(s) review and sign </w:t>
      </w:r>
      <w:r>
        <w:t xml:space="preserve">the </w:t>
      </w:r>
      <w:r w:rsidRPr="009015DA">
        <w:t xml:space="preserve">informed consent </w:t>
      </w:r>
      <w:r>
        <w:t>(Attachment</w:t>
      </w:r>
      <w:r w:rsidRPr="005A7873">
        <w:t xml:space="preserve"> </w:t>
      </w:r>
      <w:r>
        <w:t>4 - Document 5, Attachments 6 &amp; 8</w:t>
      </w:r>
      <w:r w:rsidRPr="005A7873">
        <w:t>).</w:t>
      </w:r>
      <w:r w:rsidRPr="009015DA">
        <w:t xml:space="preserve"> The interviewer will use the appropriate interview guide (e.g., administrator, </w:t>
      </w:r>
      <w:r>
        <w:t>direct services</w:t>
      </w:r>
      <w:r w:rsidRPr="009015DA">
        <w:t xml:space="preserve"> staff, </w:t>
      </w:r>
      <w:r>
        <w:t>partners/</w:t>
      </w:r>
      <w:r w:rsidRPr="009015DA">
        <w:t>collaborator</w:t>
      </w:r>
      <w:r>
        <w:t>s</w:t>
      </w:r>
      <w:r w:rsidRPr="009015DA">
        <w:t xml:space="preserve">) for conducting the interviews (see </w:t>
      </w:r>
      <w:r>
        <w:t>Attachment 3 - Document 1, Attachment 5 - Document 1, Attachment 7 - Document 1</w:t>
      </w:r>
      <w:r w:rsidRPr="005A7873">
        <w:t>).</w:t>
      </w:r>
      <w:r w:rsidRPr="009015DA">
        <w:t xml:space="preserve"> The lead interviewer will guide the discussion, </w:t>
      </w:r>
      <w:r>
        <w:t>and then</w:t>
      </w:r>
      <w:r w:rsidRPr="009015DA">
        <w:t xml:space="preserve"> respondents will complete a participant demographic information </w:t>
      </w:r>
      <w:r w:rsidRPr="005A7873">
        <w:t>sheet (Attachment</w:t>
      </w:r>
      <w:r>
        <w:t xml:space="preserve"> 3 - Document 2, Attachment 5 – Document 2, Attachment 7 - Document 2</w:t>
      </w:r>
      <w:r w:rsidRPr="005A7873">
        <w:t>).</w:t>
      </w:r>
      <w:r w:rsidRPr="009015DA">
        <w:t xml:space="preserve"> A note taker will record in detail the respondents’ statements. To provide additional documentation, and for quality assurance, interviews will also be digitally recorded with the permission of the interviewees. At the conclusion of the interview session, the lead interviewer will summarize the discussion. Debriefing sessions will be conducted with Grantee personnel at the conclusion of the site visits to summarize the visit and address any questions posed</w:t>
      </w:r>
      <w:r>
        <w:t xml:space="preserve"> by Grantee staff about the visit</w:t>
      </w:r>
      <w:r w:rsidRPr="001043F9">
        <w:t>.</w:t>
      </w:r>
      <w:r w:rsidRPr="001043F9">
        <w:rPr>
          <w:b/>
          <w:bCs/>
        </w:rPr>
        <w:t xml:space="preserve"> </w:t>
      </w:r>
      <w:r w:rsidRPr="001043F9">
        <w:t xml:space="preserve">Follow-up telephone calls to Grantee staff </w:t>
      </w:r>
      <w:r>
        <w:t>may</w:t>
      </w:r>
      <w:r w:rsidRPr="001043F9">
        <w:t xml:space="preserve"> be </w:t>
      </w:r>
      <w:r>
        <w:t>conducted when necessary</w:t>
      </w:r>
      <w:r w:rsidRPr="001043F9">
        <w:t xml:space="preserve"> to further clarify information obtained during the visit</w:t>
      </w:r>
      <w:r>
        <w:t>.</w:t>
      </w:r>
    </w:p>
    <w:p w:rsidR="00782A43" w:rsidRDefault="00782A43" w:rsidP="00D0533C"/>
    <w:p w:rsidR="00782A43" w:rsidRDefault="00782A43">
      <w:pPr>
        <w:ind w:left="720"/>
      </w:pPr>
      <w:r w:rsidRPr="00A95637">
        <w:rPr>
          <w:u w:val="single"/>
        </w:rPr>
        <w:t>Focus Groups:</w:t>
      </w:r>
      <w:r w:rsidRPr="00A95637">
        <w:t xml:space="preserve"> </w:t>
      </w:r>
      <w:r>
        <w:t xml:space="preserve">Clients from the 40 treatment Grantee sites will be recruited to participate in the in-person focus groups. A small group of clients (up to nine clients per focus group) will be invited to the focus groups discussion and guided by a moderator to address specific questions and discuss their experience in treatment. The Multi-Site Evaluation staff will work collaboratively with the Grantee staff to identify and recruit client participants based on criteria including age, gender, length and number of times in treatment, and </w:t>
      </w:r>
      <w:proofErr w:type="spellStart"/>
      <w:r>
        <w:t>serostatus</w:t>
      </w:r>
      <w:proofErr w:type="spellEnd"/>
      <w:r>
        <w:t xml:space="preserve">. </w:t>
      </w:r>
    </w:p>
    <w:p w:rsidR="00782A43" w:rsidRDefault="00782A43" w:rsidP="003101FF">
      <w:pPr>
        <w:ind w:left="720"/>
      </w:pPr>
    </w:p>
    <w:p w:rsidR="00782A43" w:rsidRDefault="00782A43">
      <w:pPr>
        <w:ind w:left="720"/>
      </w:pPr>
      <w:r w:rsidRPr="006B699F">
        <w:t xml:space="preserve">The client focus groups will be led by a </w:t>
      </w:r>
      <w:r>
        <w:t xml:space="preserve">moderator who is a </w:t>
      </w:r>
      <w:r w:rsidRPr="006B699F">
        <w:t xml:space="preserve">senior evaluation team member. </w:t>
      </w:r>
      <w:r>
        <w:t>An</w:t>
      </w:r>
      <w:r w:rsidRPr="006B699F">
        <w:t xml:space="preserve"> </w:t>
      </w:r>
      <w:r>
        <w:t xml:space="preserve">additional evaluation staff person will </w:t>
      </w:r>
      <w:r w:rsidRPr="006B699F">
        <w:t xml:space="preserve">assist by attending to recording and </w:t>
      </w:r>
      <w:r>
        <w:t xml:space="preserve">note taking. </w:t>
      </w:r>
      <w:r w:rsidRPr="006B699F">
        <w:t xml:space="preserve">The moderator will describe the </w:t>
      </w:r>
      <w:r w:rsidRPr="009015DA">
        <w:t xml:space="preserve">purpose of the focus group, identify </w:t>
      </w:r>
      <w:r w:rsidRPr="004A76EE">
        <w:t>SAMHSA/CSAT</w:t>
      </w:r>
      <w:r w:rsidRPr="009015DA">
        <w:t xml:space="preserve"> as the sponsoring agency, explain all focus group procedures, assure </w:t>
      </w:r>
      <w:r>
        <w:t>privacy</w:t>
      </w:r>
      <w:r w:rsidRPr="009015DA">
        <w:t xml:space="preserve"> to the client participants, and request participation. In an effort to ensure that clients understand what is being asked of them, </w:t>
      </w:r>
      <w:r>
        <w:t>G</w:t>
      </w:r>
      <w:r w:rsidRPr="009015DA">
        <w:t>rantee staff will read aloud the consent form to clients (</w:t>
      </w:r>
      <w:r>
        <w:t>s</w:t>
      </w:r>
      <w:r w:rsidRPr="009015DA">
        <w:t xml:space="preserve">ee </w:t>
      </w:r>
      <w:r>
        <w:t>Attachment 2b - Document 4</w:t>
      </w:r>
      <w:r w:rsidRPr="005A72DF">
        <w:t>).</w:t>
      </w:r>
      <w:r w:rsidRPr="009015DA">
        <w:t xml:space="preserve"> </w:t>
      </w:r>
      <w:r>
        <w:t>After</w:t>
      </w:r>
      <w:r w:rsidRPr="009015DA">
        <w:t xml:space="preserve"> clients have agreed to participate, they will be asked to sign the consent form and will be </w:t>
      </w:r>
      <w:r>
        <w:t>given</w:t>
      </w:r>
      <w:r w:rsidRPr="009015DA">
        <w:t xml:space="preserve"> a copy for their records. </w:t>
      </w:r>
    </w:p>
    <w:p w:rsidR="00782A43" w:rsidRDefault="00782A43" w:rsidP="003101FF"/>
    <w:p w:rsidR="00782A43" w:rsidRDefault="00782A43">
      <w:pPr>
        <w:ind w:left="720"/>
      </w:pPr>
      <w:r w:rsidRPr="009015DA">
        <w:t xml:space="preserve">A scheduled time and place for the focus group will be established prior to the site visit. Focus groups will be scheduled at a time when a licensed clinician is on duty, in the event </w:t>
      </w:r>
      <w:r>
        <w:t>that</w:t>
      </w:r>
      <w:r w:rsidRPr="009015DA">
        <w:t xml:space="preserve"> disclosure </w:t>
      </w:r>
      <w:r>
        <w:t xml:space="preserve">of </w:t>
      </w:r>
      <w:r w:rsidRPr="009015DA">
        <w:t>sensitive information by focus group participants cause</w:t>
      </w:r>
      <w:r>
        <w:t>s</w:t>
      </w:r>
      <w:r w:rsidRPr="009015DA">
        <w:t xml:space="preserve"> them discomfort. </w:t>
      </w:r>
      <w:r>
        <w:t>After</w:t>
      </w:r>
      <w:r w:rsidRPr="009015DA">
        <w:t xml:space="preserve"> respondents agree to participate, the focus group will begin. The moderator will use a written guide (see </w:t>
      </w:r>
      <w:r>
        <w:t>Attachment 1a - Document 1</w:t>
      </w:r>
      <w:r w:rsidRPr="005A72DF">
        <w:t>)</w:t>
      </w:r>
      <w:r w:rsidRPr="009015DA">
        <w:t xml:space="preserve"> </w:t>
      </w:r>
      <w:r>
        <w:t>to</w:t>
      </w:r>
      <w:r w:rsidRPr="009015DA">
        <w:t xml:space="preserve"> conduct the focus group discussion. With the permission of the respondents, all focus groups will be </w:t>
      </w:r>
      <w:proofErr w:type="spellStart"/>
      <w:r w:rsidRPr="009015DA">
        <w:t>audiotaped</w:t>
      </w:r>
      <w:proofErr w:type="spellEnd"/>
      <w:r w:rsidRPr="009015DA">
        <w:t xml:space="preserve"> for later transcription and analysis. Following the discussion, the moderator will read aloud the client participant demographic sheet and brief program satisfaction questionnaire and </w:t>
      </w:r>
      <w:r>
        <w:t xml:space="preserve">will </w:t>
      </w:r>
      <w:r w:rsidRPr="009015DA">
        <w:t>assist clients as they complete the sheet (</w:t>
      </w:r>
      <w:r>
        <w:t>s</w:t>
      </w:r>
      <w:r w:rsidRPr="009015DA">
        <w:t xml:space="preserve">ee </w:t>
      </w:r>
      <w:r>
        <w:t>Attachment 1b - Document 3</w:t>
      </w:r>
      <w:r w:rsidRPr="005A72DF">
        <w:t>).</w:t>
      </w:r>
      <w:r w:rsidRPr="009015DA">
        <w:t xml:space="preserve"> Finally, the moderator will summarize the activities and comments at the end of the discussion.</w:t>
      </w:r>
      <w:r>
        <w:t xml:space="preserve"> </w:t>
      </w:r>
      <w:r w:rsidRPr="009015DA">
        <w:t>Incentives will be distributed after the focus group is completed.</w:t>
      </w:r>
    </w:p>
    <w:p w:rsidR="00782A43" w:rsidRDefault="00782A43" w:rsidP="00D0533C"/>
    <w:p w:rsidR="00782A43" w:rsidRDefault="00782A43">
      <w:pPr>
        <w:ind w:left="720"/>
      </w:pPr>
      <w:r w:rsidRPr="00A95637">
        <w:rPr>
          <w:u w:val="single"/>
        </w:rPr>
        <w:lastRenderedPageBreak/>
        <w:t>Client Surveys and Client Dosage:</w:t>
      </w:r>
      <w:r w:rsidRPr="00BE44F4">
        <w:t xml:space="preserve"> </w:t>
      </w:r>
      <w:r w:rsidRPr="00083AB4">
        <w:t>A client survey and a client dosage form will be completed as part of the project evaluation activities. Upon OMB approval</w:t>
      </w:r>
      <w:r w:rsidRPr="00BE44F4">
        <w:t>, t</w:t>
      </w:r>
      <w:r w:rsidRPr="009015DA">
        <w:t>he Multi</w:t>
      </w:r>
      <w:r w:rsidRPr="00BE44F4">
        <w:rPr>
          <w:i/>
          <w:iCs/>
        </w:rPr>
        <w:t>-</w:t>
      </w:r>
      <w:r w:rsidRPr="009015DA">
        <w:t xml:space="preserve">Site Evaluation Team will train Grantee staff via web/teleconference how to administer </w:t>
      </w:r>
      <w:r>
        <w:t>c</w:t>
      </w:r>
      <w:r w:rsidRPr="009015DA">
        <w:t xml:space="preserve">lient </w:t>
      </w:r>
      <w:r>
        <w:t>s</w:t>
      </w:r>
      <w:r w:rsidRPr="009015DA">
        <w:t xml:space="preserve">urveys and complete </w:t>
      </w:r>
      <w:r>
        <w:t>c</w:t>
      </w:r>
      <w:r w:rsidRPr="009015DA">
        <w:t xml:space="preserve">lient </w:t>
      </w:r>
      <w:r>
        <w:t>d</w:t>
      </w:r>
      <w:r w:rsidRPr="009015DA">
        <w:t xml:space="preserve">osage </w:t>
      </w:r>
      <w:r>
        <w:t>f</w:t>
      </w:r>
      <w:r w:rsidRPr="009015DA">
        <w:t xml:space="preserve">orms. The </w:t>
      </w:r>
      <w:r>
        <w:t>team</w:t>
      </w:r>
      <w:r w:rsidRPr="009015DA">
        <w:t xml:space="preserve"> will develop a comprehensive question</w:t>
      </w:r>
      <w:r>
        <w:t>-</w:t>
      </w:r>
      <w:r w:rsidRPr="009015DA">
        <w:t>by</w:t>
      </w:r>
      <w:r>
        <w:t>-</w:t>
      </w:r>
      <w:r w:rsidRPr="009015DA">
        <w:t xml:space="preserve">question training </w:t>
      </w:r>
      <w:r>
        <w:t xml:space="preserve">session </w:t>
      </w:r>
      <w:r w:rsidRPr="009015DA">
        <w:t xml:space="preserve">for Grantee staff with information regarding how to complete the survey and form along with the context for the collection of these data. The training will be developed as a PowerPoint presentation and </w:t>
      </w:r>
      <w:r>
        <w:t xml:space="preserve">will </w:t>
      </w:r>
      <w:r w:rsidRPr="009015DA">
        <w:t xml:space="preserve">provide a step-by-step process for administration and completion of the </w:t>
      </w:r>
      <w:r>
        <w:t>survey and form</w:t>
      </w:r>
      <w:r w:rsidRPr="009015DA">
        <w:t xml:space="preserve"> (</w:t>
      </w:r>
      <w:r w:rsidRPr="005A72DF">
        <w:t>Attachment</w:t>
      </w:r>
      <w:r>
        <w:t>s</w:t>
      </w:r>
      <w:r w:rsidRPr="005A72DF">
        <w:t xml:space="preserve"> </w:t>
      </w:r>
      <w:r>
        <w:t>2c &amp; 2d</w:t>
      </w:r>
      <w:r w:rsidRPr="005A72DF">
        <w:t>).</w:t>
      </w:r>
    </w:p>
    <w:p w:rsidR="00782A43" w:rsidRPr="009015DA" w:rsidRDefault="00782A43" w:rsidP="00D0533C">
      <w:pPr>
        <w:ind w:firstLine="720"/>
        <w:rPr>
          <w:i/>
          <w:iCs/>
          <w:u w:val="single"/>
        </w:rPr>
      </w:pPr>
    </w:p>
    <w:p w:rsidR="00782A43" w:rsidRDefault="00782A43">
      <w:pPr>
        <w:numPr>
          <w:ilvl w:val="0"/>
          <w:numId w:val="20"/>
        </w:numPr>
        <w:ind w:left="1440"/>
      </w:pPr>
      <w:r w:rsidRPr="009015DA">
        <w:rPr>
          <w:i/>
          <w:iCs/>
        </w:rPr>
        <w:t>Client Survey:</w:t>
      </w:r>
      <w:r>
        <w:t xml:space="preserve"> </w:t>
      </w:r>
      <w:r w:rsidRPr="009015DA">
        <w:t>As described in Section A.6, the client survey will collect data from individuals at baseline, discharge</w:t>
      </w:r>
      <w:r>
        <w:t>,</w:t>
      </w:r>
      <w:r w:rsidRPr="009015DA">
        <w:t xml:space="preserve"> and 6</w:t>
      </w:r>
      <w:r>
        <w:t xml:space="preserve"> </w:t>
      </w:r>
      <w:r w:rsidRPr="00FF3860">
        <w:t xml:space="preserve">months post </w:t>
      </w:r>
      <w:r>
        <w:t>baseline</w:t>
      </w:r>
      <w:r w:rsidRPr="008C607D">
        <w:t xml:space="preserve">. Data collection at the follow-up point is necessary to measure the short- and longer-term outcomes of the </w:t>
      </w:r>
      <w:r>
        <w:t>TCE-HIV</w:t>
      </w:r>
      <w:r w:rsidRPr="008C607D">
        <w:t xml:space="preserve"> programs implemented by the </w:t>
      </w:r>
      <w:r>
        <w:t>Grantees</w:t>
      </w:r>
      <w:r w:rsidRPr="008C607D">
        <w:t xml:space="preserve">. Because measuring these outcomes is one of the primary </w:t>
      </w:r>
      <w:r>
        <w:t>objectives of the TCE-HIV</w:t>
      </w:r>
      <w:r w:rsidRPr="008C607D">
        <w:t xml:space="preserve"> </w:t>
      </w:r>
      <w:r>
        <w:t xml:space="preserve">evaluation, less frequent </w:t>
      </w:r>
      <w:r w:rsidRPr="008C607D">
        <w:t xml:space="preserve">data collection would greatly </w:t>
      </w:r>
      <w:r>
        <w:t xml:space="preserve">compromise the integrity of the </w:t>
      </w:r>
      <w:r w:rsidRPr="008C607D">
        <w:t>T</w:t>
      </w:r>
      <w:r>
        <w:t>CE-HIV</w:t>
      </w:r>
      <w:r w:rsidRPr="008C607D">
        <w:t xml:space="preserve"> </w:t>
      </w:r>
      <w:r>
        <w:t>evaluation</w:t>
      </w:r>
      <w:r w:rsidRPr="008C607D">
        <w:t xml:space="preserve">. </w:t>
      </w:r>
      <w:r>
        <w:t>Grantee staff at each of the 40 Grantee treatment sites will administer the client survey to 120 clients admitted into treatment post OMB approval. The c</w:t>
      </w:r>
      <w:r w:rsidRPr="005E6596">
        <w:t>lient</w:t>
      </w:r>
      <w:r>
        <w:t xml:space="preserve"> survey will be administered </w:t>
      </w:r>
      <w:r w:rsidRPr="005E6596">
        <w:t>in a private location</w:t>
      </w:r>
      <w:r>
        <w:t xml:space="preserve"> (e.g., an office) in order</w:t>
      </w:r>
      <w:r w:rsidRPr="005E6596">
        <w:t xml:space="preserve"> to ensure </w:t>
      </w:r>
      <w:r>
        <w:t>privacy</w:t>
      </w:r>
      <w:r w:rsidRPr="005E6596">
        <w:t xml:space="preserve">. </w:t>
      </w:r>
      <w:r>
        <w:t xml:space="preserve">It is expected that the client survey will be administered to 4,800 clients at baseline. It is then anticipated that the client survey will be administered to 4,800 clients at discharge, and to 3,840 at 6 months post baseline. </w:t>
      </w:r>
    </w:p>
    <w:p w:rsidR="00782A43" w:rsidRDefault="00782A43">
      <w:pPr>
        <w:ind w:left="720"/>
      </w:pPr>
    </w:p>
    <w:p w:rsidR="00782A43" w:rsidRDefault="00782A43">
      <w:pPr>
        <w:numPr>
          <w:ilvl w:val="0"/>
          <w:numId w:val="20"/>
        </w:numPr>
        <w:ind w:left="1440"/>
      </w:pPr>
      <w:r w:rsidRPr="00B049F2">
        <w:rPr>
          <w:i/>
          <w:iCs/>
        </w:rPr>
        <w:t xml:space="preserve">Client Dosage </w:t>
      </w:r>
      <w:r>
        <w:rPr>
          <w:i/>
          <w:iCs/>
        </w:rPr>
        <w:t>Form</w:t>
      </w:r>
      <w:r w:rsidRPr="00B049F2">
        <w:rPr>
          <w:i/>
          <w:iCs/>
        </w:rPr>
        <w:t>:</w:t>
      </w:r>
      <w:r>
        <w:t xml:space="preserve"> The client dosage form will be completed for treatment clients by a trained Grantee counselor at client discharge. </w:t>
      </w:r>
      <w:r w:rsidRPr="009D4F2C">
        <w:t xml:space="preserve">Dosage is a measure of the </w:t>
      </w:r>
      <w:r w:rsidRPr="00A85E4E">
        <w:t xml:space="preserve">type </w:t>
      </w:r>
      <w:r w:rsidRPr="009D4F2C">
        <w:t xml:space="preserve">and </w:t>
      </w:r>
      <w:r w:rsidRPr="00A85E4E">
        <w:t xml:space="preserve">amount </w:t>
      </w:r>
      <w:r w:rsidRPr="009D4F2C">
        <w:t>of contact that a client has with the program.</w:t>
      </w:r>
      <w:r>
        <w:rPr>
          <w:rFonts w:ascii="Arial" w:hAnsi="Arial" w:cs="Arial"/>
        </w:rPr>
        <w:t xml:space="preserve"> </w:t>
      </w:r>
      <w:r w:rsidRPr="009D4F2C">
        <w:t>Individual clients in the TCE-HIV program will likely have very different types and amounts of contact (due to absences, participation in different components, or dropping out), thus it is critical to have dosage information to accurately assess program effects</w:t>
      </w:r>
      <w:r>
        <w:t>. It is expected that the client dosage form will be completed for 4,800 clients at discharge (120 clients at 40 Grantee treatment sites).</w:t>
      </w:r>
    </w:p>
    <w:p w:rsidR="00782A43" w:rsidRPr="005E6596" w:rsidRDefault="00782A43" w:rsidP="00D0533C"/>
    <w:p w:rsidR="00782A43" w:rsidRDefault="00782A43">
      <w:pPr>
        <w:ind w:left="720"/>
      </w:pPr>
      <w:r>
        <w:t>C</w:t>
      </w:r>
      <w:r w:rsidRPr="005E6596">
        <w:t xml:space="preserve">lient survey </w:t>
      </w:r>
      <w:r>
        <w:t xml:space="preserve">and dosage </w:t>
      </w:r>
      <w:r w:rsidRPr="005E6596">
        <w:t xml:space="preserve">data will be entered into a password protected online system </w:t>
      </w:r>
      <w:r>
        <w:t>at the Grantee sites</w:t>
      </w:r>
      <w:r w:rsidRPr="005E6596">
        <w:t>. Each day, the T</w:t>
      </w:r>
      <w:r>
        <w:t>C</w:t>
      </w:r>
      <w:r w:rsidRPr="005E6596">
        <w:t xml:space="preserve">E-HIV evaluation staff will upload the data over a secure network connection directly to a server at </w:t>
      </w:r>
      <w:r>
        <w:t xml:space="preserve">the contractor’s </w:t>
      </w:r>
      <w:r w:rsidRPr="005E6596">
        <w:t xml:space="preserve">headquarters where </w:t>
      </w:r>
      <w:r>
        <w:t>the data</w:t>
      </w:r>
      <w:r w:rsidRPr="005E6596">
        <w:t xml:space="preserve"> will also be encrypted and password protected. Details on </w:t>
      </w:r>
      <w:r>
        <w:t xml:space="preserve">the </w:t>
      </w:r>
      <w:r w:rsidRPr="005E6596">
        <w:t xml:space="preserve">network security procedures and security protocols are presented in </w:t>
      </w:r>
      <w:r w:rsidRPr="00414417">
        <w:t xml:space="preserve">Attachment </w:t>
      </w:r>
      <w:r>
        <w:t>2a – Document 1.</w:t>
      </w:r>
      <w:r w:rsidRPr="005E6596">
        <w:t xml:space="preserve"> Using protected electronic data is the most secure form of data management because it eliminates the possibility of paper documents being lost by the survey staff or of data being lost in transit or delivered to an incorrect location. However, not all the Grantees may be equipped to enter th</w:t>
      </w:r>
      <w:r>
        <w:t>i</w:t>
      </w:r>
      <w:r w:rsidRPr="005E6596">
        <w:t>s data into the online system, in which case</w:t>
      </w:r>
      <w:r>
        <w:t xml:space="preserve"> </w:t>
      </w:r>
      <w:r w:rsidRPr="005E6596">
        <w:t xml:space="preserve">paper copies of the </w:t>
      </w:r>
      <w:r>
        <w:t xml:space="preserve">completed </w:t>
      </w:r>
      <w:r w:rsidRPr="005E6596">
        <w:t>surveys from these Grantees</w:t>
      </w:r>
      <w:r>
        <w:t xml:space="preserve"> will be submitted and these data entered at JBS by the Multi-Site Evaluation staff</w:t>
      </w:r>
      <w:r w:rsidRPr="005E6596">
        <w:t>.</w:t>
      </w:r>
      <w:r>
        <w:t xml:space="preserve"> No name/identifying information will be collected at any time and any paper copies will be stored in a locked file cabinet. </w:t>
      </w:r>
    </w:p>
    <w:p w:rsidR="00782A43" w:rsidRDefault="009D7F52">
      <w:pPr>
        <w:rPr>
          <w:b/>
          <w:bCs/>
        </w:rPr>
      </w:pPr>
      <w:bookmarkStart w:id="65" w:name="_Toc8007720"/>
      <w:bookmarkStart w:id="66" w:name="_Toc88277980"/>
      <w:bookmarkStart w:id="67" w:name="_Toc131564375"/>
      <w:bookmarkEnd w:id="64"/>
      <w:r>
        <w:rPr>
          <w:b/>
          <w:bCs/>
        </w:rPr>
        <w:br w:type="page"/>
      </w:r>
    </w:p>
    <w:p w:rsidR="00782A43" w:rsidRDefault="00782A43">
      <w:pPr>
        <w:ind w:firstLine="720"/>
        <w:rPr>
          <w:b/>
          <w:bCs/>
        </w:rPr>
      </w:pPr>
      <w:r w:rsidRPr="0007310B">
        <w:rPr>
          <w:b/>
          <w:bCs/>
        </w:rPr>
        <w:t>3.</w:t>
      </w:r>
      <w:r w:rsidRPr="0007310B">
        <w:rPr>
          <w:b/>
          <w:bCs/>
        </w:rPr>
        <w:tab/>
      </w:r>
      <w:bookmarkEnd w:id="65"/>
      <w:r w:rsidRPr="0007310B">
        <w:rPr>
          <w:b/>
          <w:bCs/>
          <w:u w:val="single"/>
        </w:rPr>
        <w:t>Methods to Maximize Response Rates</w:t>
      </w:r>
      <w:bookmarkEnd w:id="66"/>
      <w:bookmarkEnd w:id="67"/>
    </w:p>
    <w:p w:rsidR="00782A43" w:rsidRDefault="00782A43" w:rsidP="00D0533C">
      <w:bookmarkStart w:id="68" w:name="_Toc131564376"/>
    </w:p>
    <w:p w:rsidR="00782A43" w:rsidRDefault="00782A43">
      <w:pPr>
        <w:ind w:left="720"/>
      </w:pPr>
      <w:r w:rsidRPr="0007310B">
        <w:t xml:space="preserve">The ability to gain the cooperation of potential respondents is </w:t>
      </w:r>
      <w:r>
        <w:t>important to the success of this Multi-Site Evaluation.</w:t>
      </w:r>
    </w:p>
    <w:p w:rsidR="00782A43" w:rsidRPr="0007310B" w:rsidRDefault="00782A43" w:rsidP="00D0533C"/>
    <w:p w:rsidR="00782A43" w:rsidRDefault="00782A43">
      <w:pPr>
        <w:ind w:left="720"/>
      </w:pPr>
      <w:r w:rsidRPr="00A95637">
        <w:rPr>
          <w:u w:val="single"/>
        </w:rPr>
        <w:t>Semi-</w:t>
      </w:r>
      <w:r>
        <w:rPr>
          <w:u w:val="single"/>
        </w:rPr>
        <w:t>S</w:t>
      </w:r>
      <w:r w:rsidRPr="00A95637">
        <w:rPr>
          <w:u w:val="single"/>
        </w:rPr>
        <w:t xml:space="preserve">tructured </w:t>
      </w:r>
      <w:r>
        <w:rPr>
          <w:u w:val="single"/>
        </w:rPr>
        <w:t>I</w:t>
      </w:r>
      <w:r w:rsidRPr="00A95637">
        <w:rPr>
          <w:u w:val="single"/>
        </w:rPr>
        <w:t>nterviews:</w:t>
      </w:r>
      <w:r>
        <w:t xml:space="preserve"> </w:t>
      </w:r>
      <w:r w:rsidRPr="00C978EC">
        <w:t xml:space="preserve"> </w:t>
      </w:r>
      <w:r w:rsidRPr="0007310B">
        <w:t xml:space="preserve">The </w:t>
      </w:r>
      <w:r>
        <w:t>TCE-HIV Multi-S</w:t>
      </w:r>
      <w:r w:rsidRPr="0007310B">
        <w:t xml:space="preserve">ite Evaluation Team anticipates </w:t>
      </w:r>
      <w:r>
        <w:t xml:space="preserve">that the semi-structured interviews will be completed for 100 percent of the Grantee staff and community partners who are requested to provide information. </w:t>
      </w:r>
      <w:r w:rsidRPr="0007310B">
        <w:t xml:space="preserve">To maximize </w:t>
      </w:r>
      <w:r>
        <w:t>participation</w:t>
      </w:r>
      <w:r w:rsidRPr="0007310B">
        <w:t xml:space="preserve"> rates, the </w:t>
      </w:r>
      <w:r>
        <w:t xml:space="preserve">TCE-HIV Evaluation Team interview </w:t>
      </w:r>
      <w:r w:rsidRPr="0007310B">
        <w:t xml:space="preserve">staff will follow protocols that will reduce the burden on </w:t>
      </w:r>
      <w:r>
        <w:t xml:space="preserve">Grantee staff and community partners. </w:t>
      </w:r>
      <w:r w:rsidRPr="0007310B">
        <w:t xml:space="preserve">Planning and preparation in advance of the </w:t>
      </w:r>
      <w:r>
        <w:t>interview</w:t>
      </w:r>
      <w:r w:rsidRPr="0007310B">
        <w:t xml:space="preserve"> is crucial for these protocols.</w:t>
      </w:r>
      <w:r>
        <w:t xml:space="preserve"> </w:t>
      </w:r>
      <w:r w:rsidRPr="0007310B">
        <w:t>The protocols includ</w:t>
      </w:r>
      <w:r>
        <w:t xml:space="preserve">e proper timing, scheduling, and location of the interviews to accommodate the Grantee staff and their partners. </w:t>
      </w:r>
      <w:r w:rsidRPr="0007310B">
        <w:t xml:space="preserve">The </w:t>
      </w:r>
      <w:r>
        <w:t>Grantee staff and their community partners</w:t>
      </w:r>
      <w:r w:rsidRPr="0007310B">
        <w:t xml:space="preserve"> will be informed, in advance, of the </w:t>
      </w:r>
      <w:r>
        <w:t>purpose</w:t>
      </w:r>
      <w:r w:rsidRPr="0007310B">
        <w:t xml:space="preserve"> and significance of the </w:t>
      </w:r>
      <w:r>
        <w:t>interview</w:t>
      </w:r>
      <w:r w:rsidRPr="0007310B">
        <w:t>.</w:t>
      </w:r>
    </w:p>
    <w:p w:rsidR="00782A43" w:rsidRDefault="00782A43" w:rsidP="00D0533C">
      <w:pPr>
        <w:rPr>
          <w:u w:val="single"/>
        </w:rPr>
      </w:pPr>
    </w:p>
    <w:p w:rsidR="00782A43" w:rsidRDefault="00782A43">
      <w:pPr>
        <w:ind w:left="720"/>
      </w:pPr>
      <w:r w:rsidRPr="00A95637">
        <w:rPr>
          <w:u w:val="single"/>
        </w:rPr>
        <w:t>Focus Groups</w:t>
      </w:r>
      <w:r w:rsidRPr="00A95637">
        <w:t>:</w:t>
      </w:r>
      <w:r>
        <w:t xml:space="preserve"> </w:t>
      </w:r>
      <w:r w:rsidRPr="0007310B">
        <w:t xml:space="preserve">The </w:t>
      </w:r>
      <w:r>
        <w:t>TCE-HIV Multi-S</w:t>
      </w:r>
      <w:r w:rsidRPr="0007310B">
        <w:t xml:space="preserve">ite Evaluation Team anticipates </w:t>
      </w:r>
      <w:r>
        <w:t>over recruiting (12 clients) for each focus group.  It is estimated that no more than 75% (n=9 clients) will participate in each focus group. Clients will be recruited</w:t>
      </w:r>
      <w:r w:rsidRPr="008A168B">
        <w:t xml:space="preserve"> based on specific criteria </w:t>
      </w:r>
      <w:r>
        <w:t xml:space="preserve">such as </w:t>
      </w:r>
      <w:r w:rsidRPr="008A168B">
        <w:t>clients who have been administered the GPRA, have been in substance abuse treatment for at least 14 days and are willing to participate in the focus group.</w:t>
      </w:r>
    </w:p>
    <w:p w:rsidR="00782A43" w:rsidRDefault="00782A43" w:rsidP="00D0533C"/>
    <w:p w:rsidR="00782A43" w:rsidRDefault="00782A43">
      <w:pPr>
        <w:ind w:left="720"/>
        <w:rPr>
          <w:i/>
          <w:iCs/>
          <w:u w:val="single"/>
        </w:rPr>
      </w:pPr>
      <w:r>
        <w:t xml:space="preserve">The TCE-HIV Evaluation Team </w:t>
      </w:r>
      <w:r w:rsidRPr="003039ED">
        <w:t xml:space="preserve">will work collaboratively with Grantee staff </w:t>
      </w:r>
      <w:r>
        <w:t>to recruit a representative group of</w:t>
      </w:r>
      <w:r w:rsidRPr="003039ED">
        <w:t xml:space="preserve"> client</w:t>
      </w:r>
      <w:r>
        <w:t>s for the</w:t>
      </w:r>
      <w:r w:rsidRPr="003039ED">
        <w:t xml:space="preserve"> focus group </w:t>
      </w:r>
      <w:r>
        <w:t xml:space="preserve">utilizing </w:t>
      </w:r>
      <w:r w:rsidRPr="003039ED">
        <w:t>inclusion and e</w:t>
      </w:r>
      <w:r>
        <w:t xml:space="preserve">xclusion criteria, to accomplish a balance of gender, age, length and number of times in treatment, and </w:t>
      </w:r>
      <w:proofErr w:type="spellStart"/>
      <w:r>
        <w:t>serostatus</w:t>
      </w:r>
      <w:proofErr w:type="spellEnd"/>
      <w:r>
        <w:t xml:space="preserve"> across focus groups. Each focus group will consist of seven to nine treatment clients who have been administered the GPRA and who are receiving TCE-HIV services. The TCE-HIV Evaluation Team will then work with project staff to provide them with information they can post and/or distribute to potential participants about the focus groups. As an added incentive to maximize response rates, gift cards ($20) will be provided and will be distributed after the focus group is completed.</w:t>
      </w:r>
    </w:p>
    <w:p w:rsidR="00782A43" w:rsidRDefault="00782A43" w:rsidP="00D0533C">
      <w:pPr>
        <w:rPr>
          <w:u w:val="single"/>
        </w:rPr>
      </w:pPr>
    </w:p>
    <w:p w:rsidR="00782A43" w:rsidRDefault="00782A43">
      <w:pPr>
        <w:ind w:left="720"/>
      </w:pPr>
      <w:r w:rsidRPr="00A95637">
        <w:rPr>
          <w:u w:val="single"/>
        </w:rPr>
        <w:t>Client Survey</w:t>
      </w:r>
      <w:bookmarkEnd w:id="68"/>
      <w:r w:rsidRPr="00A95637">
        <w:rPr>
          <w:u w:val="single"/>
        </w:rPr>
        <w:t>:</w:t>
      </w:r>
      <w:r>
        <w:t xml:space="preserve"> </w:t>
      </w:r>
      <w:r w:rsidRPr="0007310B">
        <w:t xml:space="preserve">The </w:t>
      </w:r>
      <w:r>
        <w:t>TCE-HIV Multi-S</w:t>
      </w:r>
      <w:r w:rsidRPr="0007310B">
        <w:t xml:space="preserve">ite Evaluation Team anticipates </w:t>
      </w:r>
      <w:r>
        <w:t>a 100 percent</w:t>
      </w:r>
      <w:r w:rsidRPr="0007310B">
        <w:t xml:space="preserve"> </w:t>
      </w:r>
      <w:r>
        <w:t xml:space="preserve">response </w:t>
      </w:r>
      <w:r w:rsidRPr="0007310B">
        <w:t xml:space="preserve">rate for the </w:t>
      </w:r>
      <w:r>
        <w:t xml:space="preserve">baseline and discharge surveys, and 80 percent response rate for the 6 months post baseline </w:t>
      </w:r>
      <w:r w:rsidRPr="0007310B">
        <w:t>survey</w:t>
      </w:r>
      <w:r>
        <w:t>. In order to achieve this rate, trained Grantee staff will administer the survey to the first 120 clients, admitted into treatment after OMB approval, who have been administered the GPRA and have an assigned GPRA identification number. As an additional measure, c</w:t>
      </w:r>
      <w:r w:rsidRPr="00BB2B86">
        <w:t xml:space="preserve">ash equivalent incentives will be offered in lieu of cash payments. Gift cards from </w:t>
      </w:r>
      <w:proofErr w:type="spellStart"/>
      <w:r w:rsidRPr="00BB2B86">
        <w:t>Wal</w:t>
      </w:r>
      <w:r>
        <w:t>m</w:t>
      </w:r>
      <w:r w:rsidRPr="00BB2B86">
        <w:t>art</w:t>
      </w:r>
      <w:proofErr w:type="spellEnd"/>
      <w:r>
        <w:t>™</w:t>
      </w:r>
      <w:r w:rsidRPr="00BB2B86">
        <w:t xml:space="preserve"> or Target</w:t>
      </w:r>
      <w:r>
        <w:t>™</w:t>
      </w:r>
      <w:r w:rsidRPr="00BB2B86">
        <w:t xml:space="preserve"> will be used as incentive for treatment clients to complete the client</w:t>
      </w:r>
      <w:r>
        <w:t>-</w:t>
      </w:r>
      <w:r w:rsidRPr="00BB2B86">
        <w:t>level survey at baseline, discharge, and 6</w:t>
      </w:r>
      <w:r>
        <w:t xml:space="preserve"> </w:t>
      </w:r>
      <w:r w:rsidRPr="00BB2B86">
        <w:t>month</w:t>
      </w:r>
      <w:r>
        <w:t>s</w:t>
      </w:r>
      <w:r w:rsidRPr="00BB2B86">
        <w:t xml:space="preserve"> post baseline. Incentives will be provided to clients in a tiered structure with a $10 gift card provided at baseline, $15 gift card at discharge, and $20 gift card at 6-month post baseline. </w:t>
      </w:r>
      <w:r w:rsidRPr="0007310B">
        <w:t>The evaluation team</w:t>
      </w:r>
      <w:r>
        <w:t xml:space="preserve"> and the Grantee staff</w:t>
      </w:r>
      <w:r w:rsidRPr="0007310B">
        <w:t xml:space="preserve"> will employ several strategies to maintain high response rates:</w:t>
      </w:r>
    </w:p>
    <w:p w:rsidR="00782A43" w:rsidRDefault="00782A43" w:rsidP="0078665A"/>
    <w:p w:rsidR="00782A43" w:rsidRDefault="00782A43">
      <w:pPr>
        <w:numPr>
          <w:ilvl w:val="0"/>
          <w:numId w:val="12"/>
        </w:numPr>
        <w:tabs>
          <w:tab w:val="clear" w:pos="720"/>
          <w:tab w:val="num" w:pos="1620"/>
        </w:tabs>
        <w:ind w:left="1620"/>
      </w:pPr>
      <w:r w:rsidRPr="0007310B">
        <w:lastRenderedPageBreak/>
        <w:t xml:space="preserve">Stress the importance of the project as well as the evaluation team’s commitment to respondent </w:t>
      </w:r>
      <w:r>
        <w:t>privacy;</w:t>
      </w:r>
    </w:p>
    <w:p w:rsidR="00782A43" w:rsidRDefault="00782A43">
      <w:pPr>
        <w:numPr>
          <w:ilvl w:val="0"/>
          <w:numId w:val="5"/>
        </w:numPr>
        <w:tabs>
          <w:tab w:val="clear" w:pos="720"/>
          <w:tab w:val="num" w:pos="1620"/>
        </w:tabs>
        <w:ind w:left="1620"/>
      </w:pPr>
      <w:r w:rsidRPr="0007310B">
        <w:t>Train survey staff for handling sensitive information collection in a respectful manner</w:t>
      </w:r>
      <w:r>
        <w:t>;</w:t>
      </w:r>
    </w:p>
    <w:p w:rsidR="00782A43" w:rsidRDefault="00782A43">
      <w:pPr>
        <w:numPr>
          <w:ilvl w:val="0"/>
          <w:numId w:val="5"/>
        </w:numPr>
        <w:tabs>
          <w:tab w:val="clear" w:pos="720"/>
          <w:tab w:val="num" w:pos="1620"/>
        </w:tabs>
        <w:ind w:left="1620"/>
      </w:pPr>
      <w:r w:rsidRPr="0007310B">
        <w:t>Develop survey</w:t>
      </w:r>
      <w:r>
        <w:t>s</w:t>
      </w:r>
      <w:r w:rsidRPr="0007310B">
        <w:t xml:space="preserve"> in English and Spanish</w:t>
      </w:r>
      <w:r>
        <w:t xml:space="preserve">; and </w:t>
      </w:r>
    </w:p>
    <w:p w:rsidR="00782A43" w:rsidRDefault="00782A43">
      <w:pPr>
        <w:numPr>
          <w:ilvl w:val="0"/>
          <w:numId w:val="5"/>
        </w:numPr>
        <w:tabs>
          <w:tab w:val="clear" w:pos="720"/>
          <w:tab w:val="num" w:pos="1620"/>
        </w:tabs>
        <w:ind w:left="1620"/>
      </w:pPr>
      <w:r>
        <w:t>Ensure that Grantees have comprehensive tracking forms and procedures in place.</w:t>
      </w:r>
    </w:p>
    <w:p w:rsidR="00782A43" w:rsidRDefault="00782A43" w:rsidP="00D0533C"/>
    <w:p w:rsidR="00782A43" w:rsidRDefault="00782A43">
      <w:pPr>
        <w:ind w:left="720"/>
      </w:pPr>
      <w:r w:rsidRPr="0007310B">
        <w:t xml:space="preserve">To improve follow-up response rates, </w:t>
      </w:r>
      <w:r>
        <w:t>the Grantee staff will c</w:t>
      </w:r>
      <w:r w:rsidRPr="0007310B">
        <w:t>ollect detailed contact information, including alternate addresses and phone numbers and contact information of secondary sources who may know the respondents</w:t>
      </w:r>
      <w:r>
        <w:t>’</w:t>
      </w:r>
      <w:r w:rsidRPr="0007310B">
        <w:t xml:space="preserve"> contact information at follow-up.</w:t>
      </w:r>
    </w:p>
    <w:p w:rsidR="00782A43" w:rsidRDefault="00782A43" w:rsidP="00D0533C"/>
    <w:p w:rsidR="00782A43" w:rsidRDefault="00782A43">
      <w:pPr>
        <w:ind w:left="720"/>
      </w:pPr>
      <w:r w:rsidRPr="00A95637">
        <w:rPr>
          <w:u w:val="single"/>
        </w:rPr>
        <w:t>Client Dosage Form</w:t>
      </w:r>
      <w:r w:rsidRPr="006C7FE5">
        <w:t xml:space="preserve">: </w:t>
      </w:r>
      <w:r w:rsidRPr="0007310B">
        <w:t xml:space="preserve">The </w:t>
      </w:r>
      <w:r>
        <w:t>TCE-HIV Multi-S</w:t>
      </w:r>
      <w:r w:rsidRPr="0007310B">
        <w:t xml:space="preserve">ite Evaluation Team anticipates </w:t>
      </w:r>
      <w:r>
        <w:t>that the client dosage form will be completed for 100 percent of the 120 clients who are administered the GPRA and the client survey at baseline. Trained Grantee counselors will complete the client dosage form for clients at discharge from the treatment program. The client dosage form will be completed for 4,800 clients at discharge (120 clients at 40 Grantee treatment sites).</w:t>
      </w:r>
    </w:p>
    <w:p w:rsidR="00782A43" w:rsidRPr="0007310B" w:rsidRDefault="00782A43" w:rsidP="00D0533C">
      <w:bookmarkStart w:id="69" w:name="_Toc8007728"/>
      <w:bookmarkStart w:id="70" w:name="_Toc88277986"/>
      <w:bookmarkStart w:id="71" w:name="_Toc131564378"/>
    </w:p>
    <w:p w:rsidR="00782A43" w:rsidRDefault="00782A43">
      <w:pPr>
        <w:ind w:firstLine="720"/>
        <w:rPr>
          <w:b/>
          <w:bCs/>
        </w:rPr>
      </w:pPr>
      <w:r w:rsidRPr="001A199C">
        <w:rPr>
          <w:b/>
          <w:bCs/>
        </w:rPr>
        <w:t>4.</w:t>
      </w:r>
      <w:r w:rsidRPr="001A199C">
        <w:rPr>
          <w:b/>
          <w:bCs/>
        </w:rPr>
        <w:tab/>
      </w:r>
      <w:bookmarkEnd w:id="69"/>
      <w:r w:rsidRPr="001A199C">
        <w:rPr>
          <w:b/>
          <w:bCs/>
          <w:u w:val="single"/>
        </w:rPr>
        <w:t>Test</w:t>
      </w:r>
      <w:r>
        <w:rPr>
          <w:b/>
          <w:bCs/>
          <w:u w:val="single"/>
        </w:rPr>
        <w:t>s</w:t>
      </w:r>
      <w:r w:rsidRPr="001A199C">
        <w:rPr>
          <w:b/>
          <w:bCs/>
          <w:u w:val="single"/>
        </w:rPr>
        <w:t xml:space="preserve"> of Procedures</w:t>
      </w:r>
      <w:bookmarkEnd w:id="70"/>
      <w:bookmarkEnd w:id="71"/>
    </w:p>
    <w:p w:rsidR="00782A43" w:rsidRDefault="00782A43" w:rsidP="00D0533C">
      <w:pPr>
        <w:rPr>
          <w:rStyle w:val="Strong"/>
        </w:rPr>
      </w:pPr>
      <w:bookmarkStart w:id="72" w:name="_Toc131564379"/>
    </w:p>
    <w:p w:rsidR="00782A43" w:rsidRDefault="00782A43">
      <w:pPr>
        <w:pStyle w:val="Footer"/>
        <w:tabs>
          <w:tab w:val="clear" w:pos="4320"/>
          <w:tab w:val="clear" w:pos="8640"/>
        </w:tabs>
        <w:ind w:left="720"/>
        <w:rPr>
          <w:b/>
          <w:bCs/>
          <w:sz w:val="24"/>
          <w:szCs w:val="24"/>
        </w:rPr>
      </w:pPr>
      <w:r w:rsidRPr="008B331F">
        <w:rPr>
          <w:sz w:val="24"/>
          <w:szCs w:val="24"/>
        </w:rPr>
        <w:t xml:space="preserve">Pilot tests of semi-structured interviews, </w:t>
      </w:r>
      <w:r w:rsidRPr="009015DA">
        <w:rPr>
          <w:sz w:val="24"/>
          <w:szCs w:val="24"/>
        </w:rPr>
        <w:t>client focus groups, client survey measurement instruments, and data collection procedures to be used in the process and outcome evaluation were conducted with representative subsample</w:t>
      </w:r>
      <w:r>
        <w:rPr>
          <w:sz w:val="24"/>
          <w:szCs w:val="24"/>
        </w:rPr>
        <w:t>s</w:t>
      </w:r>
      <w:r w:rsidRPr="009015DA">
        <w:rPr>
          <w:sz w:val="24"/>
          <w:szCs w:val="24"/>
        </w:rPr>
        <w:t xml:space="preserve"> of the target population</w:t>
      </w:r>
      <w:r>
        <w:rPr>
          <w:sz w:val="24"/>
          <w:szCs w:val="24"/>
        </w:rPr>
        <w:t>s</w:t>
      </w:r>
      <w:r w:rsidRPr="009015DA">
        <w:rPr>
          <w:sz w:val="24"/>
          <w:szCs w:val="24"/>
        </w:rPr>
        <w:t>.</w:t>
      </w:r>
      <w:r>
        <w:rPr>
          <w:sz w:val="24"/>
          <w:szCs w:val="24"/>
        </w:rPr>
        <w:t xml:space="preserve"> </w:t>
      </w:r>
      <w:r w:rsidRPr="009015DA">
        <w:rPr>
          <w:sz w:val="24"/>
          <w:szCs w:val="24"/>
        </w:rPr>
        <w:t xml:space="preserve">All pilot tests were conducted with nine or fewer individuals. </w:t>
      </w:r>
      <w:r w:rsidRPr="001C4B7B">
        <w:rPr>
          <w:sz w:val="24"/>
          <w:szCs w:val="24"/>
        </w:rPr>
        <w:t xml:space="preserve">Attachment </w:t>
      </w:r>
      <w:r>
        <w:rPr>
          <w:sz w:val="24"/>
          <w:szCs w:val="24"/>
        </w:rPr>
        <w:t>4 - Document 1</w:t>
      </w:r>
      <w:r w:rsidRPr="009015DA">
        <w:rPr>
          <w:sz w:val="24"/>
          <w:szCs w:val="24"/>
        </w:rPr>
        <w:t xml:space="preserve"> provides a summary of pilot test feedback for each of the measurement instruments tested</w:t>
      </w:r>
      <w:r>
        <w:rPr>
          <w:sz w:val="24"/>
          <w:szCs w:val="24"/>
        </w:rPr>
        <w:t xml:space="preserve"> </w:t>
      </w:r>
      <w:r w:rsidRPr="009015DA">
        <w:rPr>
          <w:sz w:val="24"/>
          <w:szCs w:val="24"/>
        </w:rPr>
        <w:t>and outlines the changes that were made to the data collection instruments based on</w:t>
      </w:r>
      <w:r w:rsidRPr="008B331F">
        <w:rPr>
          <w:sz w:val="24"/>
          <w:szCs w:val="24"/>
        </w:rPr>
        <w:t xml:space="preserve"> this feedback</w:t>
      </w:r>
      <w:r w:rsidRPr="008B331F">
        <w:rPr>
          <w:b/>
          <w:bCs/>
          <w:sz w:val="24"/>
          <w:szCs w:val="24"/>
        </w:rPr>
        <w:t>.</w:t>
      </w:r>
    </w:p>
    <w:p w:rsidR="00782A43" w:rsidRDefault="00782A43" w:rsidP="00D0533C">
      <w:pPr>
        <w:rPr>
          <w:u w:val="single"/>
        </w:rPr>
      </w:pPr>
    </w:p>
    <w:p w:rsidR="00782A43" w:rsidRDefault="00782A43">
      <w:pPr>
        <w:ind w:left="720"/>
      </w:pPr>
      <w:r w:rsidRPr="00A95637">
        <w:rPr>
          <w:u w:val="single"/>
        </w:rPr>
        <w:t>Semi-</w:t>
      </w:r>
      <w:r>
        <w:rPr>
          <w:u w:val="single"/>
        </w:rPr>
        <w:t>S</w:t>
      </w:r>
      <w:r w:rsidRPr="00A95637">
        <w:rPr>
          <w:u w:val="single"/>
        </w:rPr>
        <w:t xml:space="preserve">tructured </w:t>
      </w:r>
      <w:r>
        <w:rPr>
          <w:u w:val="single"/>
        </w:rPr>
        <w:t>I</w:t>
      </w:r>
      <w:r w:rsidRPr="00A95637">
        <w:rPr>
          <w:u w:val="single"/>
        </w:rPr>
        <w:t>nterviews:</w:t>
      </w:r>
      <w:r>
        <w:t xml:space="preserve"> The pilot study participants for the semi-structured interview guides and procedures consisted of representatives from prior cohorts of the TCE-HIV initiative. The decision was made not to pilot any current cohort of Grantee staff and partners as this may have primed them for actual data collection. Grantee staff and partners who were interviewed for the pilot test were asked to respond to the interview questions </w:t>
      </w:r>
      <w:r w:rsidRPr="0022378E">
        <w:t xml:space="preserve">and </w:t>
      </w:r>
      <w:r>
        <w:t xml:space="preserve">to </w:t>
      </w:r>
      <w:r w:rsidRPr="0022378E">
        <w:t>provide feedback on the clarity of the questions and guide</w:t>
      </w:r>
      <w:r>
        <w:t xml:space="preserve">lines. They were also asked to </w:t>
      </w:r>
      <w:r w:rsidRPr="0022378E">
        <w:t>comment on the appropriateness of the questions and procedures for the intended audience.</w:t>
      </w:r>
    </w:p>
    <w:p w:rsidR="00782A43" w:rsidRDefault="00782A43" w:rsidP="00D0533C"/>
    <w:p w:rsidR="00782A43" w:rsidRDefault="00782A43">
      <w:pPr>
        <w:ind w:left="720"/>
      </w:pPr>
      <w:r w:rsidRPr="00A95637">
        <w:rPr>
          <w:u w:val="single"/>
        </w:rPr>
        <w:t>Client Focus Groups:</w:t>
      </w:r>
      <w:r w:rsidRPr="008B331F">
        <w:t xml:space="preserve"> Pilot tests of the focus group guides were conducted with </w:t>
      </w:r>
      <w:r>
        <w:t xml:space="preserve">substance abuse treatment clients from prior TCE-HIV grantees. </w:t>
      </w:r>
      <w:r w:rsidRPr="008B331F">
        <w:t xml:space="preserve">The pilot study participants </w:t>
      </w:r>
      <w:r>
        <w:t>took part in a focus group discussion.</w:t>
      </w:r>
      <w:r w:rsidRPr="008B331F">
        <w:t xml:space="preserve"> After </w:t>
      </w:r>
      <w:r>
        <w:t>participating in</w:t>
      </w:r>
      <w:r w:rsidRPr="008B331F">
        <w:t xml:space="preserve"> the focus group, </w:t>
      </w:r>
      <w:r>
        <w:t xml:space="preserve">participants </w:t>
      </w:r>
      <w:r w:rsidRPr="008B331F">
        <w:t>were then asked to comment on the clarity of the questions and identify problems or</w:t>
      </w:r>
      <w:r>
        <w:t xml:space="preserve"> concerns with the questions. </w:t>
      </w:r>
      <w:r w:rsidRPr="008B331F">
        <w:t>Participants were also asked to provide feedback on the appropriateness of the questions.</w:t>
      </w:r>
    </w:p>
    <w:p w:rsidR="00782A43" w:rsidRDefault="00782A43" w:rsidP="00DC0F7B"/>
    <w:p w:rsidR="00782A43" w:rsidRDefault="00782A43">
      <w:pPr>
        <w:ind w:left="720"/>
      </w:pPr>
      <w:r>
        <w:lastRenderedPageBreak/>
        <w:t xml:space="preserve">Grantee staff from prior TCE-HIV cohorts assisted with the recruitment of focus group participants for the pilot test. Case managers and counselors shared with their clients that participation in the focus group would give them an opportunity to talk about their experiences in the TCE-HIV program. Interestingly, during a focus group discussion, a client stated that participation in the discussion was an opportunity to “give back” (i.e., an opportunity to share experiences that might help others). Grantee staff provided recommendations for how to recruit focus group participants for the Multi-Site Evaluation. Grantee staff suggested placing flyers and sign-up sheets on walls and they also suggested that case managers be allowed to recommend clients for participation in the focus group. </w:t>
      </w:r>
    </w:p>
    <w:p w:rsidR="00782A43" w:rsidRDefault="00782A43" w:rsidP="00DC0F7B"/>
    <w:p w:rsidR="00782A43" w:rsidRDefault="00782A43">
      <w:pPr>
        <w:ind w:left="720"/>
      </w:pPr>
      <w:r w:rsidRPr="00A95637">
        <w:rPr>
          <w:u w:val="single"/>
        </w:rPr>
        <w:t>Client Surveys:</w:t>
      </w:r>
      <w:r w:rsidRPr="00A833C4">
        <w:t xml:space="preserve"> </w:t>
      </w:r>
      <w:r>
        <w:t xml:space="preserve">Program staff members from the current cohort of TCE-HIV Grantees were trained in how to administer the client survey. </w:t>
      </w:r>
      <w:r w:rsidRPr="00A833C4">
        <w:t>Pilot tests of the client survey were conducted with a subsample of nine clients from the target population. Specifically,</w:t>
      </w:r>
      <w:r>
        <w:t xml:space="preserve"> trained</w:t>
      </w:r>
      <w:r w:rsidRPr="00A833C4">
        <w:t xml:space="preserve"> Grantee </w:t>
      </w:r>
      <w:r>
        <w:t xml:space="preserve">staff </w:t>
      </w:r>
      <w:r w:rsidRPr="00A833C4">
        <w:t>administer</w:t>
      </w:r>
      <w:r>
        <w:t>ed</w:t>
      </w:r>
      <w:r w:rsidRPr="00A833C4">
        <w:t xml:space="preserve"> the client</w:t>
      </w:r>
      <w:r>
        <w:t>-</w:t>
      </w:r>
      <w:r w:rsidRPr="00A833C4">
        <w:t>level survey to</w:t>
      </w:r>
      <w:r w:rsidRPr="00A833C4">
        <w:rPr>
          <w:b/>
          <w:bCs/>
        </w:rPr>
        <w:t xml:space="preserve"> </w:t>
      </w:r>
      <w:r w:rsidRPr="00A833C4">
        <w:t>3 clients at baseline, 3 clients at discharge, and 3 clients at 6</w:t>
      </w:r>
      <w:r>
        <w:t xml:space="preserve"> </w:t>
      </w:r>
      <w:r w:rsidRPr="00A833C4">
        <w:t>months post</w:t>
      </w:r>
      <w:r>
        <w:t xml:space="preserve"> </w:t>
      </w:r>
      <w:r w:rsidRPr="00A833C4">
        <w:t>baseline.</w:t>
      </w:r>
      <w:r>
        <w:t xml:space="preserve"> </w:t>
      </w:r>
      <w:r w:rsidRPr="00A833C4">
        <w:t>Grantee staff was then asked to comment on the clarity of the questions and identify problems or concerns with the questions and format of the surveys.</w:t>
      </w:r>
      <w:r>
        <w:t xml:space="preserve"> </w:t>
      </w:r>
      <w:r w:rsidRPr="00A833C4">
        <w:t xml:space="preserve">Grantee staff </w:t>
      </w:r>
      <w:r>
        <w:t>provided</w:t>
      </w:r>
      <w:r w:rsidRPr="00A833C4">
        <w:t xml:space="preserve"> feedback on the appropriateness of the questions for the intended audience. Finally,</w:t>
      </w:r>
      <w:r>
        <w:t xml:space="preserve"> </w:t>
      </w:r>
      <w:r w:rsidRPr="00A833C4">
        <w:t xml:space="preserve">Grantee staff </w:t>
      </w:r>
      <w:r>
        <w:t xml:space="preserve">also </w:t>
      </w:r>
      <w:r w:rsidRPr="00A833C4">
        <w:t>provide</w:t>
      </w:r>
      <w:r>
        <w:t xml:space="preserve">d </w:t>
      </w:r>
      <w:r w:rsidRPr="00A833C4">
        <w:t>client feedback regarding the client</w:t>
      </w:r>
      <w:r>
        <w:t>-</w:t>
      </w:r>
      <w:r w:rsidRPr="00A833C4">
        <w:t xml:space="preserve">level survey. </w:t>
      </w:r>
    </w:p>
    <w:p w:rsidR="00782A43" w:rsidRPr="00A833C4" w:rsidRDefault="00782A43" w:rsidP="00A833C4"/>
    <w:p w:rsidR="00782A43" w:rsidRDefault="00782A43">
      <w:pPr>
        <w:ind w:left="720"/>
        <w:rPr>
          <w:u w:val="single"/>
        </w:rPr>
      </w:pPr>
      <w:r w:rsidRPr="00A95637">
        <w:rPr>
          <w:u w:val="single"/>
        </w:rPr>
        <w:t>Dosage Forms:</w:t>
      </w:r>
      <w:r w:rsidRPr="006C7FE5">
        <w:t xml:space="preserve"> </w:t>
      </w:r>
      <w:r>
        <w:t>Grantee staff from the target population was trained in how complete the dosage data form</w:t>
      </w:r>
      <w:r w:rsidRPr="00B8535B">
        <w:t xml:space="preserve">. Pilot tests of the dosage data forms were conducted </w:t>
      </w:r>
      <w:r>
        <w:t>using records from</w:t>
      </w:r>
      <w:r w:rsidRPr="00B8535B">
        <w:t xml:space="preserve"> a subsample of nine clients from the target population. Trained </w:t>
      </w:r>
      <w:r>
        <w:t>staff</w:t>
      </w:r>
      <w:r w:rsidRPr="00B8535B">
        <w:t xml:space="preserve"> complete</w:t>
      </w:r>
      <w:r>
        <w:t>d</w:t>
      </w:r>
      <w:r w:rsidRPr="00B8535B">
        <w:t xml:space="preserve"> the client dosage form </w:t>
      </w:r>
      <w:r>
        <w:t xml:space="preserve">using clients’ treatment records </w:t>
      </w:r>
      <w:r w:rsidRPr="00B8535B">
        <w:t>and comment</w:t>
      </w:r>
      <w:r>
        <w:t>ed</w:t>
      </w:r>
      <w:r w:rsidRPr="00B8535B">
        <w:t xml:space="preserve"> on their experience completing the client dosage form (e.g., challenges encountered in completing the form</w:t>
      </w:r>
      <w:r>
        <w:t>, time to complete the form</w:t>
      </w:r>
      <w:r w:rsidRPr="00B8535B">
        <w:t>).</w:t>
      </w:r>
      <w:r>
        <w:rPr>
          <w:u w:val="single"/>
        </w:rPr>
        <w:t xml:space="preserve"> </w:t>
      </w:r>
    </w:p>
    <w:p w:rsidR="00782A43" w:rsidRDefault="00782A43" w:rsidP="00D0533C"/>
    <w:p w:rsidR="00782A43" w:rsidRDefault="00782A43">
      <w:pPr>
        <w:ind w:firstLine="720"/>
        <w:rPr>
          <w:b/>
          <w:bCs/>
        </w:rPr>
      </w:pPr>
      <w:bookmarkStart w:id="73" w:name="_Toc8007732"/>
      <w:bookmarkStart w:id="74" w:name="_Toc88277987"/>
      <w:bookmarkStart w:id="75" w:name="_Toc131564381"/>
      <w:bookmarkEnd w:id="72"/>
      <w:r w:rsidRPr="008F03C5">
        <w:rPr>
          <w:b/>
          <w:bCs/>
        </w:rPr>
        <w:t>5.</w:t>
      </w:r>
      <w:r w:rsidRPr="008F03C5">
        <w:rPr>
          <w:b/>
          <w:bCs/>
        </w:rPr>
        <w:tab/>
      </w:r>
      <w:bookmarkEnd w:id="73"/>
      <w:r w:rsidRPr="008F03C5">
        <w:rPr>
          <w:b/>
          <w:bCs/>
          <w:u w:val="single"/>
        </w:rPr>
        <w:t xml:space="preserve">Statistical </w:t>
      </w:r>
      <w:bookmarkEnd w:id="74"/>
      <w:r w:rsidRPr="008F03C5">
        <w:rPr>
          <w:b/>
          <w:bCs/>
          <w:u w:val="single"/>
        </w:rPr>
        <w:t>Consultants</w:t>
      </w:r>
      <w:bookmarkEnd w:id="75"/>
    </w:p>
    <w:p w:rsidR="00782A43" w:rsidRPr="008F03C5" w:rsidRDefault="00782A43" w:rsidP="00D0533C"/>
    <w:p w:rsidR="00782A43" w:rsidRDefault="00782A43">
      <w:pPr>
        <w:ind w:left="720"/>
      </w:pPr>
      <w:r w:rsidRPr="008F03C5">
        <w:t xml:space="preserve">As noted in Section A.8, the </w:t>
      </w:r>
      <w:r>
        <w:t>TCE-HIV</w:t>
      </w:r>
      <w:r w:rsidRPr="008F03C5">
        <w:t xml:space="preserve"> Multi-</w:t>
      </w:r>
      <w:r>
        <w:t>S</w:t>
      </w:r>
      <w:r w:rsidRPr="008F03C5">
        <w:t xml:space="preserve">ite Evaluation Team has consulted with an expert panel </w:t>
      </w:r>
      <w:r>
        <w:t>and a project working group that have</w:t>
      </w:r>
      <w:r w:rsidRPr="008F03C5">
        <w:t xml:space="preserve"> reviewed all data collection and analysis methodologies outlined in this package. They will also continue to provide expert advice throughout the course of the pro</w:t>
      </w:r>
      <w:r>
        <w:t>ject.</w:t>
      </w:r>
      <w:r w:rsidRPr="008F03C5">
        <w:t xml:space="preserve"> In addition, several in-house experts will be consulted </w:t>
      </w:r>
      <w:r>
        <w:t>throughout the 5-year project</w:t>
      </w:r>
      <w:r w:rsidRPr="008F03C5">
        <w:t xml:space="preserve"> on various statistical aspects of the design, methodological issues, </w:t>
      </w:r>
      <w:r>
        <w:t xml:space="preserve">implementation issues, </w:t>
      </w:r>
      <w:r w:rsidRPr="008F03C5">
        <w:t>database manageme</w:t>
      </w:r>
      <w:r>
        <w:t>nt, and data analysis. Exhibit 7</w:t>
      </w:r>
      <w:r w:rsidRPr="008F03C5">
        <w:t xml:space="preserve"> provides </w:t>
      </w:r>
      <w:r>
        <w:t>information about</w:t>
      </w:r>
      <w:r w:rsidRPr="008F03C5">
        <w:t xml:space="preserve"> these advisors. </w:t>
      </w:r>
    </w:p>
    <w:p w:rsidR="00782A43" w:rsidRDefault="00782A43">
      <w:bookmarkStart w:id="76" w:name="_Toc93987698"/>
      <w:bookmarkStart w:id="77" w:name="_Toc131566262"/>
      <w:r>
        <w:br w:type="page"/>
      </w:r>
    </w:p>
    <w:p w:rsidR="00782A43" w:rsidRDefault="00782A43"/>
    <w:p w:rsidR="00782A43" w:rsidRDefault="00782A43">
      <w:pPr>
        <w:ind w:hanging="180"/>
        <w:rPr>
          <w:b/>
          <w:bCs/>
        </w:rPr>
      </w:pPr>
      <w:proofErr w:type="gramStart"/>
      <w:r w:rsidRPr="00396E50">
        <w:rPr>
          <w:b/>
          <w:bCs/>
        </w:rPr>
        <w:t>Exhibit 7.</w:t>
      </w:r>
      <w:proofErr w:type="gramEnd"/>
      <w:r w:rsidRPr="00396E50">
        <w:rPr>
          <w:b/>
          <w:bCs/>
        </w:rPr>
        <w:t xml:space="preserve"> Senior Advisors</w:t>
      </w:r>
      <w:bookmarkStart w:id="78" w:name="_Toc88277988"/>
      <w:bookmarkStart w:id="79" w:name="_Toc131564382"/>
      <w:bookmarkEnd w:id="76"/>
      <w:bookmarkEnd w:id="77"/>
    </w:p>
    <w:tbl>
      <w:tblPr>
        <w:tblW w:w="9840" w:type="dxa"/>
        <w:tblInd w:w="-84"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86" w:type="dxa"/>
          <w:right w:w="86" w:type="dxa"/>
        </w:tblCellMar>
        <w:tblLook w:val="0000"/>
      </w:tblPr>
      <w:tblGrid>
        <w:gridCol w:w="2760"/>
        <w:gridCol w:w="3720"/>
        <w:gridCol w:w="3360"/>
      </w:tblGrid>
      <w:tr w:rsidR="00782A43" w:rsidRPr="00EC6923">
        <w:trPr>
          <w:cantSplit/>
        </w:trPr>
        <w:tc>
          <w:tcPr>
            <w:tcW w:w="2760" w:type="dxa"/>
            <w:tcBorders>
              <w:top w:val="double" w:sz="6" w:space="0" w:color="auto"/>
            </w:tcBorders>
          </w:tcPr>
          <w:p w:rsidR="00782A43" w:rsidRPr="009176E6" w:rsidRDefault="00782A43" w:rsidP="00AD108E">
            <w:r w:rsidRPr="009176E6">
              <w:rPr>
                <w:sz w:val="22"/>
                <w:szCs w:val="22"/>
              </w:rPr>
              <w:t>Jim Derzon, PhD</w:t>
            </w:r>
          </w:p>
        </w:tc>
        <w:tc>
          <w:tcPr>
            <w:tcW w:w="3720" w:type="dxa"/>
            <w:tcBorders>
              <w:top w:val="double" w:sz="6" w:space="0" w:color="auto"/>
            </w:tcBorders>
          </w:tcPr>
          <w:p w:rsidR="00782A43" w:rsidRPr="009176E6" w:rsidRDefault="00782A43" w:rsidP="00F028E9">
            <w:r w:rsidRPr="009176E6">
              <w:rPr>
                <w:sz w:val="22"/>
                <w:szCs w:val="22"/>
              </w:rPr>
              <w:t>Battelle Memorial Institute</w:t>
            </w:r>
          </w:p>
          <w:p w:rsidR="00782A43" w:rsidRPr="009176E6" w:rsidRDefault="00782A43" w:rsidP="00F028E9">
            <w:pPr>
              <w:tabs>
                <w:tab w:val="left" w:pos="-1080"/>
                <w:tab w:val="left" w:pos="-720"/>
                <w:tab w:val="left" w:pos="997"/>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780"/>
                <w:tab w:val="left" w:pos="13230"/>
                <w:tab w:val="left" w:pos="13680"/>
                <w:tab w:val="left" w:pos="14400"/>
                <w:tab w:val="left" w:pos="15120"/>
                <w:tab w:val="left" w:pos="15840"/>
                <w:tab w:val="left" w:pos="16560"/>
                <w:tab w:val="left" w:pos="17280"/>
                <w:tab w:val="left" w:pos="18000"/>
                <w:tab w:val="left" w:pos="18720"/>
              </w:tabs>
              <w:rPr>
                <w:lang w:val="fr-FR"/>
              </w:rPr>
            </w:pPr>
            <w:r w:rsidRPr="009176E6">
              <w:rPr>
                <w:sz w:val="22"/>
                <w:szCs w:val="22"/>
              </w:rPr>
              <w:t>TCE-HIV Multi-Site Evaluation Task Lead for Quantitative Analysis</w:t>
            </w:r>
            <w:r w:rsidRPr="009176E6">
              <w:rPr>
                <w:sz w:val="22"/>
                <w:szCs w:val="22"/>
                <w:lang w:val="fr-FR"/>
              </w:rPr>
              <w:t xml:space="preserve"> 2101 Wilson Boulevard</w:t>
            </w:r>
          </w:p>
          <w:p w:rsidR="00782A43" w:rsidRPr="009176E6" w:rsidRDefault="00782A43" w:rsidP="00F028E9">
            <w:pPr>
              <w:tabs>
                <w:tab w:val="left" w:pos="-1080"/>
                <w:tab w:val="left" w:pos="-720"/>
                <w:tab w:val="left" w:pos="997"/>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780"/>
                <w:tab w:val="left" w:pos="13230"/>
                <w:tab w:val="left" w:pos="13680"/>
                <w:tab w:val="left" w:pos="14400"/>
                <w:tab w:val="left" w:pos="15120"/>
                <w:tab w:val="left" w:pos="15840"/>
                <w:tab w:val="left" w:pos="16560"/>
                <w:tab w:val="left" w:pos="17280"/>
                <w:tab w:val="left" w:pos="18000"/>
                <w:tab w:val="left" w:pos="18720"/>
              </w:tabs>
              <w:rPr>
                <w:lang w:val="fr-FR"/>
              </w:rPr>
            </w:pPr>
            <w:r w:rsidRPr="009176E6">
              <w:rPr>
                <w:sz w:val="22"/>
                <w:szCs w:val="22"/>
                <w:lang w:val="fr-FR"/>
              </w:rPr>
              <w:t>Suite 800</w:t>
            </w:r>
          </w:p>
          <w:p w:rsidR="00782A43" w:rsidRPr="009176E6" w:rsidRDefault="00782A43" w:rsidP="00F028E9">
            <w:pPr>
              <w:pStyle w:val="HTMLAddress"/>
              <w:rPr>
                <w:i w:val="0"/>
                <w:iCs w:val="0"/>
              </w:rPr>
            </w:pPr>
            <w:r w:rsidRPr="009176E6">
              <w:rPr>
                <w:i w:val="0"/>
                <w:iCs w:val="0"/>
                <w:sz w:val="22"/>
                <w:szCs w:val="22"/>
                <w:lang w:val="fr-FR"/>
              </w:rPr>
              <w:t>Arlington, VA 22201-3008</w:t>
            </w:r>
          </w:p>
        </w:tc>
        <w:tc>
          <w:tcPr>
            <w:tcW w:w="3360" w:type="dxa"/>
            <w:tcBorders>
              <w:top w:val="double" w:sz="6" w:space="0" w:color="auto"/>
            </w:tcBorders>
          </w:tcPr>
          <w:p w:rsidR="00782A43" w:rsidRPr="009176E6" w:rsidRDefault="00782A43" w:rsidP="001A7BE4">
            <w:pPr>
              <w:rPr>
                <w:lang w:val="fr-FR"/>
              </w:rPr>
            </w:pPr>
            <w:r w:rsidRPr="009176E6">
              <w:rPr>
                <w:sz w:val="22"/>
                <w:szCs w:val="22"/>
                <w:lang w:val="fr-FR"/>
              </w:rPr>
              <w:t>Phone: 703-248-1640</w:t>
            </w:r>
          </w:p>
          <w:p w:rsidR="00782A43" w:rsidRPr="009176E6" w:rsidRDefault="00782A43" w:rsidP="001A7BE4">
            <w:pPr>
              <w:rPr>
                <w:lang w:val="fr-FR"/>
              </w:rPr>
            </w:pPr>
            <w:r w:rsidRPr="009176E6">
              <w:rPr>
                <w:sz w:val="22"/>
                <w:szCs w:val="22"/>
                <w:lang w:val="fr-FR"/>
              </w:rPr>
              <w:t>Fax: 703-527-5640</w:t>
            </w:r>
          </w:p>
          <w:p w:rsidR="00782A43" w:rsidRPr="009176E6" w:rsidRDefault="00782A43" w:rsidP="001A7BE4">
            <w:pPr>
              <w:pStyle w:val="HTMLAddress"/>
              <w:rPr>
                <w:i w:val="0"/>
                <w:iCs w:val="0"/>
                <w:lang w:val="fr-FR"/>
              </w:rPr>
            </w:pPr>
            <w:r w:rsidRPr="009176E6">
              <w:rPr>
                <w:i w:val="0"/>
                <w:iCs w:val="0"/>
                <w:sz w:val="22"/>
                <w:szCs w:val="22"/>
                <w:lang w:val="fr-FR"/>
              </w:rPr>
              <w:t>E-mail: Derzonj@battelle.org</w:t>
            </w:r>
          </w:p>
        </w:tc>
      </w:tr>
      <w:tr w:rsidR="00782A43" w:rsidRPr="00F028E9">
        <w:trPr>
          <w:cantSplit/>
        </w:trPr>
        <w:tc>
          <w:tcPr>
            <w:tcW w:w="2760" w:type="dxa"/>
          </w:tcPr>
          <w:p w:rsidR="00782A43" w:rsidRPr="009176E6" w:rsidRDefault="00782A43" w:rsidP="00AD108E">
            <w:r w:rsidRPr="009176E6">
              <w:rPr>
                <w:sz w:val="22"/>
                <w:szCs w:val="22"/>
              </w:rPr>
              <w:t>Susan Hayashi, PhD</w:t>
            </w:r>
          </w:p>
        </w:tc>
        <w:tc>
          <w:tcPr>
            <w:tcW w:w="3720" w:type="dxa"/>
          </w:tcPr>
          <w:p w:rsidR="00782A43" w:rsidRPr="009176E6" w:rsidRDefault="00782A43" w:rsidP="00AD108E">
            <w:pPr>
              <w:pStyle w:val="HTMLAddress"/>
              <w:rPr>
                <w:i w:val="0"/>
                <w:iCs w:val="0"/>
              </w:rPr>
            </w:pPr>
            <w:r w:rsidRPr="009176E6">
              <w:rPr>
                <w:i w:val="0"/>
                <w:iCs w:val="0"/>
                <w:sz w:val="22"/>
                <w:szCs w:val="22"/>
              </w:rPr>
              <w:t>JBS International, Inc.</w:t>
            </w:r>
          </w:p>
          <w:p w:rsidR="00782A43" w:rsidRPr="009176E6" w:rsidRDefault="00782A43" w:rsidP="00AD108E">
            <w:pPr>
              <w:pStyle w:val="HTMLAddress"/>
              <w:rPr>
                <w:i w:val="0"/>
                <w:iCs w:val="0"/>
              </w:rPr>
            </w:pPr>
            <w:r w:rsidRPr="009176E6">
              <w:rPr>
                <w:i w:val="0"/>
                <w:iCs w:val="0"/>
                <w:sz w:val="22"/>
                <w:szCs w:val="22"/>
              </w:rPr>
              <w:t>Vice President</w:t>
            </w:r>
          </w:p>
          <w:p w:rsidR="00782A43" w:rsidRPr="009176E6" w:rsidRDefault="00782A43" w:rsidP="00AD108E">
            <w:pPr>
              <w:pStyle w:val="HTMLAddress"/>
              <w:rPr>
                <w:i w:val="0"/>
                <w:iCs w:val="0"/>
              </w:rPr>
            </w:pPr>
            <w:r w:rsidRPr="009176E6">
              <w:rPr>
                <w:i w:val="0"/>
                <w:iCs w:val="0"/>
                <w:sz w:val="22"/>
                <w:szCs w:val="22"/>
              </w:rPr>
              <w:t>5515 Security Lane, Suite 800</w:t>
            </w:r>
            <w:r w:rsidRPr="009176E6">
              <w:rPr>
                <w:i w:val="0"/>
                <w:iCs w:val="0"/>
                <w:sz w:val="22"/>
                <w:szCs w:val="22"/>
              </w:rPr>
              <w:br/>
              <w:t>North Bethesda, MD 20852-5007</w:t>
            </w:r>
          </w:p>
        </w:tc>
        <w:tc>
          <w:tcPr>
            <w:tcW w:w="3360" w:type="dxa"/>
          </w:tcPr>
          <w:p w:rsidR="00782A43" w:rsidRPr="009176E6" w:rsidRDefault="00782A43" w:rsidP="00AD108E">
            <w:pPr>
              <w:pStyle w:val="HTMLAddress"/>
              <w:rPr>
                <w:i w:val="0"/>
                <w:iCs w:val="0"/>
              </w:rPr>
            </w:pPr>
            <w:r w:rsidRPr="009176E6">
              <w:rPr>
                <w:i w:val="0"/>
                <w:iCs w:val="0"/>
                <w:sz w:val="22"/>
                <w:szCs w:val="22"/>
              </w:rPr>
              <w:t>Phone: 301-495-1080 ext. 4588</w:t>
            </w:r>
          </w:p>
          <w:p w:rsidR="00782A43" w:rsidRPr="009176E6" w:rsidRDefault="00782A43" w:rsidP="00AD108E">
            <w:pPr>
              <w:pStyle w:val="HTMLAddress"/>
              <w:rPr>
                <w:i w:val="0"/>
                <w:iCs w:val="0"/>
              </w:rPr>
            </w:pPr>
            <w:r w:rsidRPr="009176E6">
              <w:rPr>
                <w:i w:val="0"/>
                <w:iCs w:val="0"/>
                <w:sz w:val="22"/>
                <w:szCs w:val="22"/>
              </w:rPr>
              <w:t>Fax: 301-587-4352</w:t>
            </w:r>
          </w:p>
          <w:p w:rsidR="00782A43" w:rsidRPr="009176E6" w:rsidRDefault="00782A43" w:rsidP="00AD108E">
            <w:pPr>
              <w:pStyle w:val="HTMLAddress"/>
              <w:rPr>
                <w:i w:val="0"/>
                <w:iCs w:val="0"/>
              </w:rPr>
            </w:pPr>
            <w:r w:rsidRPr="009176E6">
              <w:rPr>
                <w:i w:val="0"/>
                <w:iCs w:val="0"/>
                <w:sz w:val="22"/>
                <w:szCs w:val="22"/>
              </w:rPr>
              <w:t>E-mail: shayashi@jbsinternational.com</w:t>
            </w:r>
          </w:p>
          <w:p w:rsidR="00782A43" w:rsidRPr="009176E6" w:rsidRDefault="00782A43" w:rsidP="00AD108E"/>
        </w:tc>
      </w:tr>
      <w:tr w:rsidR="00782A43" w:rsidRPr="00EC6923">
        <w:trPr>
          <w:cantSplit/>
        </w:trPr>
        <w:tc>
          <w:tcPr>
            <w:tcW w:w="2760" w:type="dxa"/>
          </w:tcPr>
          <w:p w:rsidR="00782A43" w:rsidRPr="009176E6" w:rsidRDefault="00782A43" w:rsidP="00AD108E">
            <w:r w:rsidRPr="009176E6">
              <w:rPr>
                <w:sz w:val="22"/>
                <w:szCs w:val="22"/>
              </w:rPr>
              <w:t>Kevin Hylton, PhD</w:t>
            </w:r>
          </w:p>
        </w:tc>
        <w:tc>
          <w:tcPr>
            <w:tcW w:w="3720" w:type="dxa"/>
          </w:tcPr>
          <w:p w:rsidR="00782A43" w:rsidRPr="009176E6" w:rsidRDefault="00782A43" w:rsidP="00AD108E">
            <w:r w:rsidRPr="009176E6">
              <w:rPr>
                <w:sz w:val="22"/>
                <w:szCs w:val="22"/>
              </w:rPr>
              <w:t>Alliances for Quality Education, Inc.</w:t>
            </w:r>
            <w:r w:rsidRPr="009176E6">
              <w:rPr>
                <w:sz w:val="22"/>
                <w:szCs w:val="22"/>
              </w:rPr>
              <w:br/>
              <w:t>TCE-HIV Multi-Site Evaluation Deputy Project Director</w:t>
            </w:r>
            <w:r w:rsidRPr="009176E6">
              <w:rPr>
                <w:sz w:val="22"/>
                <w:szCs w:val="22"/>
              </w:rPr>
              <w:br/>
              <w:t>TCE-HIV Evaluation Project</w:t>
            </w:r>
            <w:r w:rsidRPr="009176E6">
              <w:rPr>
                <w:sz w:val="22"/>
                <w:szCs w:val="22"/>
              </w:rPr>
              <w:br/>
              <w:t xml:space="preserve">8181 Professional Place, Suite 110 </w:t>
            </w:r>
            <w:r w:rsidRPr="009176E6">
              <w:rPr>
                <w:sz w:val="22"/>
                <w:szCs w:val="22"/>
              </w:rPr>
              <w:br/>
              <w:t>Landover, Maryland 20785</w:t>
            </w:r>
          </w:p>
        </w:tc>
        <w:tc>
          <w:tcPr>
            <w:tcW w:w="3360" w:type="dxa"/>
          </w:tcPr>
          <w:p w:rsidR="00782A43" w:rsidRPr="009176E6" w:rsidRDefault="00782A43" w:rsidP="00AD108E">
            <w:pPr>
              <w:rPr>
                <w:lang w:val="fr-FR"/>
              </w:rPr>
            </w:pPr>
            <w:r w:rsidRPr="009176E6">
              <w:rPr>
                <w:sz w:val="22"/>
                <w:szCs w:val="22"/>
                <w:lang w:val="fr-FR"/>
              </w:rPr>
              <w:t xml:space="preserve">Phone: 301-583-8424 </w:t>
            </w:r>
            <w:r w:rsidRPr="009176E6">
              <w:rPr>
                <w:sz w:val="22"/>
                <w:szCs w:val="22"/>
                <w:lang w:val="fr-FR"/>
              </w:rPr>
              <w:br/>
              <w:t>Fax: 301-583-8422</w:t>
            </w:r>
          </w:p>
          <w:p w:rsidR="00782A43" w:rsidRPr="009176E6" w:rsidRDefault="00782A43" w:rsidP="00AD108E">
            <w:pPr>
              <w:rPr>
                <w:lang w:val="fr-FR"/>
              </w:rPr>
            </w:pPr>
            <w:r w:rsidRPr="009176E6">
              <w:rPr>
                <w:sz w:val="22"/>
                <w:szCs w:val="22"/>
                <w:lang w:val="fr-FR"/>
              </w:rPr>
              <w:t xml:space="preserve">E-mail: khylton@aqe-inc.com </w:t>
            </w:r>
          </w:p>
        </w:tc>
      </w:tr>
      <w:tr w:rsidR="00782A43" w:rsidRPr="00EC6923">
        <w:trPr>
          <w:cantSplit/>
        </w:trPr>
        <w:tc>
          <w:tcPr>
            <w:tcW w:w="2760" w:type="dxa"/>
          </w:tcPr>
          <w:p w:rsidR="00782A43" w:rsidRPr="009176E6" w:rsidRDefault="00782A43" w:rsidP="00AD108E">
            <w:r w:rsidRPr="009176E6">
              <w:rPr>
                <w:sz w:val="22"/>
                <w:szCs w:val="22"/>
              </w:rPr>
              <w:t>Jennifer Kasten, PhD</w:t>
            </w:r>
          </w:p>
        </w:tc>
        <w:tc>
          <w:tcPr>
            <w:tcW w:w="3720" w:type="dxa"/>
          </w:tcPr>
          <w:p w:rsidR="00782A43" w:rsidRPr="009176E6" w:rsidRDefault="00782A43" w:rsidP="00AD108E">
            <w:pPr>
              <w:pStyle w:val="HTMLAddress"/>
              <w:rPr>
                <w:i w:val="0"/>
                <w:iCs w:val="0"/>
              </w:rPr>
            </w:pPr>
            <w:r w:rsidRPr="009176E6">
              <w:rPr>
                <w:i w:val="0"/>
                <w:iCs w:val="0"/>
                <w:sz w:val="22"/>
                <w:szCs w:val="22"/>
              </w:rPr>
              <w:t>JBS International, Inc.</w:t>
            </w:r>
          </w:p>
          <w:p w:rsidR="00782A43" w:rsidRPr="009176E6" w:rsidRDefault="00782A43" w:rsidP="00AD108E">
            <w:r w:rsidRPr="009176E6">
              <w:rPr>
                <w:sz w:val="22"/>
                <w:szCs w:val="22"/>
              </w:rPr>
              <w:t>TCE-HIV Multi-Site Evaluation Lead</w:t>
            </w:r>
          </w:p>
          <w:p w:rsidR="00782A43" w:rsidRPr="009176E6" w:rsidRDefault="00782A43" w:rsidP="00AD108E">
            <w:r w:rsidRPr="009176E6">
              <w:rPr>
                <w:sz w:val="22"/>
                <w:szCs w:val="22"/>
              </w:rPr>
              <w:t>5515 Security Lane, Suite 800</w:t>
            </w:r>
            <w:r w:rsidRPr="009176E6">
              <w:rPr>
                <w:sz w:val="22"/>
                <w:szCs w:val="22"/>
              </w:rPr>
              <w:br/>
              <w:t>North Bethesda, MD 20852-5007</w:t>
            </w:r>
          </w:p>
        </w:tc>
        <w:tc>
          <w:tcPr>
            <w:tcW w:w="3360" w:type="dxa"/>
          </w:tcPr>
          <w:p w:rsidR="00782A43" w:rsidRPr="009176E6" w:rsidRDefault="00782A43" w:rsidP="00412220">
            <w:pPr>
              <w:pStyle w:val="HTMLAddress"/>
              <w:rPr>
                <w:i w:val="0"/>
                <w:iCs w:val="0"/>
                <w:lang w:val="fr-FR"/>
              </w:rPr>
            </w:pPr>
            <w:r w:rsidRPr="009176E6">
              <w:rPr>
                <w:i w:val="0"/>
                <w:iCs w:val="0"/>
                <w:sz w:val="22"/>
                <w:szCs w:val="22"/>
                <w:lang w:val="fr-FR"/>
              </w:rPr>
              <w:t>Phone:</w:t>
            </w:r>
            <w:r w:rsidRPr="009176E6">
              <w:rPr>
                <w:sz w:val="22"/>
                <w:szCs w:val="22"/>
                <w:lang w:val="fr-FR"/>
              </w:rPr>
              <w:t xml:space="preserve"> </w:t>
            </w:r>
            <w:r w:rsidRPr="009176E6">
              <w:rPr>
                <w:i w:val="0"/>
                <w:iCs w:val="0"/>
                <w:sz w:val="22"/>
                <w:szCs w:val="22"/>
                <w:lang w:val="fr-FR"/>
              </w:rPr>
              <w:t>240-645-4145</w:t>
            </w:r>
          </w:p>
          <w:p w:rsidR="00782A43" w:rsidRPr="009176E6" w:rsidRDefault="00782A43" w:rsidP="00412220">
            <w:pPr>
              <w:pStyle w:val="HTMLAddress"/>
              <w:rPr>
                <w:i w:val="0"/>
                <w:iCs w:val="0"/>
                <w:lang w:val="fr-FR"/>
              </w:rPr>
            </w:pPr>
            <w:r w:rsidRPr="009176E6">
              <w:rPr>
                <w:i w:val="0"/>
                <w:iCs w:val="0"/>
                <w:sz w:val="22"/>
                <w:szCs w:val="22"/>
                <w:lang w:val="fr-FR"/>
              </w:rPr>
              <w:t>Fax: 301-587-4352</w:t>
            </w:r>
          </w:p>
          <w:p w:rsidR="00782A43" w:rsidRPr="009176E6" w:rsidRDefault="00782A43" w:rsidP="00412220">
            <w:pPr>
              <w:pStyle w:val="HTMLAddress"/>
              <w:rPr>
                <w:i w:val="0"/>
                <w:iCs w:val="0"/>
                <w:lang w:val="fr-FR"/>
              </w:rPr>
            </w:pPr>
            <w:r w:rsidRPr="009176E6">
              <w:rPr>
                <w:i w:val="0"/>
                <w:iCs w:val="0"/>
                <w:sz w:val="22"/>
                <w:szCs w:val="22"/>
                <w:lang w:val="fr-FR"/>
              </w:rPr>
              <w:t>E-mail: jkasten@jbsinternational.com</w:t>
            </w:r>
          </w:p>
          <w:p w:rsidR="00782A43" w:rsidRPr="009176E6" w:rsidRDefault="00782A43" w:rsidP="00AD108E">
            <w:pPr>
              <w:rPr>
                <w:lang w:val="fr-FR"/>
              </w:rPr>
            </w:pPr>
          </w:p>
        </w:tc>
      </w:tr>
      <w:tr w:rsidR="00782A43" w:rsidRPr="00EC6923">
        <w:trPr>
          <w:cantSplit/>
        </w:trPr>
        <w:tc>
          <w:tcPr>
            <w:tcW w:w="2760" w:type="dxa"/>
          </w:tcPr>
          <w:p w:rsidR="00782A43" w:rsidRPr="009176E6" w:rsidRDefault="00782A43" w:rsidP="00AD108E">
            <w:r w:rsidRPr="009176E6">
              <w:rPr>
                <w:sz w:val="22"/>
                <w:szCs w:val="22"/>
              </w:rPr>
              <w:t>Resa Matthew, PhD</w:t>
            </w:r>
          </w:p>
        </w:tc>
        <w:tc>
          <w:tcPr>
            <w:tcW w:w="3720" w:type="dxa"/>
          </w:tcPr>
          <w:p w:rsidR="00782A43" w:rsidRPr="009176E6" w:rsidRDefault="00782A43" w:rsidP="00AD108E">
            <w:pPr>
              <w:pStyle w:val="HTMLAddress"/>
              <w:rPr>
                <w:i w:val="0"/>
                <w:iCs w:val="0"/>
              </w:rPr>
            </w:pPr>
            <w:r w:rsidRPr="009176E6">
              <w:rPr>
                <w:i w:val="0"/>
                <w:iCs w:val="0"/>
                <w:sz w:val="22"/>
                <w:szCs w:val="22"/>
              </w:rPr>
              <w:t>JBS International, Inc.</w:t>
            </w:r>
          </w:p>
          <w:p w:rsidR="00782A43" w:rsidRPr="009176E6" w:rsidRDefault="00782A43" w:rsidP="00AD108E">
            <w:r w:rsidRPr="009176E6">
              <w:rPr>
                <w:sz w:val="22"/>
                <w:szCs w:val="22"/>
              </w:rPr>
              <w:t>TCE-HIV Multi-Site Evaluation Project Director</w:t>
            </w:r>
          </w:p>
          <w:p w:rsidR="00782A43" w:rsidRPr="009176E6" w:rsidRDefault="00782A43" w:rsidP="00AD108E">
            <w:r w:rsidRPr="009176E6">
              <w:rPr>
                <w:sz w:val="22"/>
                <w:szCs w:val="22"/>
              </w:rPr>
              <w:t>5515 Security Lane, Suite 800</w:t>
            </w:r>
            <w:r w:rsidRPr="009176E6">
              <w:rPr>
                <w:sz w:val="22"/>
                <w:szCs w:val="22"/>
              </w:rPr>
              <w:br/>
              <w:t>North Bethesda, MD 20852-5007</w:t>
            </w:r>
          </w:p>
        </w:tc>
        <w:tc>
          <w:tcPr>
            <w:tcW w:w="3360" w:type="dxa"/>
          </w:tcPr>
          <w:p w:rsidR="00782A43" w:rsidRPr="009176E6" w:rsidRDefault="00782A43" w:rsidP="00412220">
            <w:pPr>
              <w:pStyle w:val="HTMLAddress"/>
              <w:rPr>
                <w:i w:val="0"/>
                <w:iCs w:val="0"/>
                <w:lang w:val="fr-FR"/>
              </w:rPr>
            </w:pPr>
            <w:r w:rsidRPr="009176E6">
              <w:rPr>
                <w:i w:val="0"/>
                <w:iCs w:val="0"/>
                <w:sz w:val="22"/>
                <w:szCs w:val="22"/>
                <w:lang w:val="fr-FR"/>
              </w:rPr>
              <w:t>Phone:</w:t>
            </w:r>
            <w:r w:rsidRPr="009176E6">
              <w:rPr>
                <w:sz w:val="22"/>
                <w:szCs w:val="22"/>
                <w:lang w:val="fr-FR"/>
              </w:rPr>
              <w:t xml:space="preserve"> </w:t>
            </w:r>
            <w:r w:rsidRPr="009176E6">
              <w:rPr>
                <w:i w:val="0"/>
                <w:iCs w:val="0"/>
                <w:sz w:val="22"/>
                <w:szCs w:val="22"/>
                <w:lang w:val="fr-FR"/>
              </w:rPr>
              <w:t>240-645-4608</w:t>
            </w:r>
          </w:p>
          <w:p w:rsidR="00782A43" w:rsidRPr="009176E6" w:rsidRDefault="00782A43" w:rsidP="00412220">
            <w:pPr>
              <w:pStyle w:val="HTMLAddress"/>
              <w:rPr>
                <w:i w:val="0"/>
                <w:iCs w:val="0"/>
                <w:lang w:val="fr-FR"/>
              </w:rPr>
            </w:pPr>
            <w:r w:rsidRPr="009176E6">
              <w:rPr>
                <w:i w:val="0"/>
                <w:iCs w:val="0"/>
                <w:sz w:val="22"/>
                <w:szCs w:val="22"/>
                <w:lang w:val="fr-FR"/>
              </w:rPr>
              <w:t>Fax: 301-587-4352</w:t>
            </w:r>
          </w:p>
          <w:p w:rsidR="00782A43" w:rsidRPr="009176E6" w:rsidRDefault="00782A43" w:rsidP="00412220">
            <w:pPr>
              <w:pStyle w:val="HTMLAddress"/>
              <w:rPr>
                <w:i w:val="0"/>
                <w:iCs w:val="0"/>
                <w:lang w:val="fr-FR"/>
              </w:rPr>
            </w:pPr>
            <w:r w:rsidRPr="009176E6">
              <w:rPr>
                <w:i w:val="0"/>
                <w:iCs w:val="0"/>
                <w:sz w:val="22"/>
                <w:szCs w:val="22"/>
                <w:lang w:val="fr-FR"/>
              </w:rPr>
              <w:t>E-mail: rmatthew@jbsinternational.com</w:t>
            </w:r>
          </w:p>
          <w:p w:rsidR="00782A43" w:rsidRPr="009176E6" w:rsidRDefault="00782A43" w:rsidP="00AD108E">
            <w:pPr>
              <w:rPr>
                <w:lang w:val="fr-FR"/>
              </w:rPr>
            </w:pPr>
          </w:p>
        </w:tc>
      </w:tr>
      <w:tr w:rsidR="00782A43" w:rsidRPr="00EC6923">
        <w:trPr>
          <w:cantSplit/>
        </w:trPr>
        <w:tc>
          <w:tcPr>
            <w:tcW w:w="2760" w:type="dxa"/>
          </w:tcPr>
          <w:p w:rsidR="00782A43" w:rsidRPr="009176E6" w:rsidRDefault="00782A43" w:rsidP="00AD108E">
            <w:r w:rsidRPr="009176E6">
              <w:rPr>
                <w:sz w:val="22"/>
                <w:szCs w:val="22"/>
              </w:rPr>
              <w:t>Ping Yu, PhD</w:t>
            </w:r>
          </w:p>
        </w:tc>
        <w:tc>
          <w:tcPr>
            <w:tcW w:w="3720" w:type="dxa"/>
          </w:tcPr>
          <w:p w:rsidR="00782A43" w:rsidRPr="009176E6" w:rsidRDefault="00782A43" w:rsidP="00AD108E">
            <w:r w:rsidRPr="009176E6">
              <w:rPr>
                <w:sz w:val="22"/>
                <w:szCs w:val="22"/>
              </w:rPr>
              <w:t>Battelle Memorial Institute</w:t>
            </w:r>
          </w:p>
          <w:p w:rsidR="00782A43" w:rsidRPr="009176E6" w:rsidRDefault="00782A43" w:rsidP="00AD108E">
            <w:r w:rsidRPr="009176E6">
              <w:rPr>
                <w:sz w:val="22"/>
                <w:szCs w:val="22"/>
              </w:rPr>
              <w:t>TCE-HIV Multi-Site Evaluation Subcontract Director/Co-PI</w:t>
            </w:r>
          </w:p>
          <w:p w:rsidR="00782A43" w:rsidRPr="009176E6" w:rsidRDefault="00782A43" w:rsidP="00AD108E">
            <w:pPr>
              <w:tabs>
                <w:tab w:val="left" w:pos="-1080"/>
                <w:tab w:val="left" w:pos="-720"/>
                <w:tab w:val="left" w:pos="997"/>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780"/>
                <w:tab w:val="left" w:pos="13230"/>
                <w:tab w:val="left" w:pos="13680"/>
                <w:tab w:val="left" w:pos="14400"/>
                <w:tab w:val="left" w:pos="15120"/>
                <w:tab w:val="left" w:pos="15840"/>
                <w:tab w:val="left" w:pos="16560"/>
                <w:tab w:val="left" w:pos="17280"/>
                <w:tab w:val="left" w:pos="18000"/>
                <w:tab w:val="left" w:pos="18720"/>
              </w:tabs>
              <w:rPr>
                <w:lang w:val="fr-FR"/>
              </w:rPr>
            </w:pPr>
            <w:r w:rsidRPr="009176E6">
              <w:rPr>
                <w:sz w:val="22"/>
                <w:szCs w:val="22"/>
                <w:lang w:val="fr-FR"/>
              </w:rPr>
              <w:t>2101 Wilson Boulevard</w:t>
            </w:r>
          </w:p>
          <w:p w:rsidR="00782A43" w:rsidRPr="009176E6" w:rsidRDefault="00782A43" w:rsidP="00AD108E">
            <w:pPr>
              <w:tabs>
                <w:tab w:val="left" w:pos="-1080"/>
                <w:tab w:val="left" w:pos="-720"/>
                <w:tab w:val="left" w:pos="997"/>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780"/>
                <w:tab w:val="left" w:pos="13230"/>
                <w:tab w:val="left" w:pos="13680"/>
                <w:tab w:val="left" w:pos="14400"/>
                <w:tab w:val="left" w:pos="15120"/>
                <w:tab w:val="left" w:pos="15840"/>
                <w:tab w:val="left" w:pos="16560"/>
                <w:tab w:val="left" w:pos="17280"/>
                <w:tab w:val="left" w:pos="18000"/>
                <w:tab w:val="left" w:pos="18720"/>
              </w:tabs>
              <w:rPr>
                <w:lang w:val="fr-FR"/>
              </w:rPr>
            </w:pPr>
            <w:r w:rsidRPr="009176E6">
              <w:rPr>
                <w:sz w:val="22"/>
                <w:szCs w:val="22"/>
                <w:lang w:val="fr-FR"/>
              </w:rPr>
              <w:t>Suite 800</w:t>
            </w:r>
          </w:p>
          <w:p w:rsidR="00782A43" w:rsidRPr="009176E6" w:rsidRDefault="00782A43" w:rsidP="00AD108E">
            <w:pPr>
              <w:rPr>
                <w:lang w:val="fr-FR"/>
              </w:rPr>
            </w:pPr>
            <w:r w:rsidRPr="009176E6">
              <w:rPr>
                <w:sz w:val="22"/>
                <w:szCs w:val="22"/>
                <w:lang w:val="fr-FR"/>
              </w:rPr>
              <w:t>Arlington, VA 22201-3008</w:t>
            </w:r>
          </w:p>
        </w:tc>
        <w:tc>
          <w:tcPr>
            <w:tcW w:w="3360" w:type="dxa"/>
          </w:tcPr>
          <w:p w:rsidR="00782A43" w:rsidRPr="009176E6" w:rsidRDefault="00782A43" w:rsidP="00AD108E">
            <w:pPr>
              <w:rPr>
                <w:lang w:val="fr-FR"/>
              </w:rPr>
            </w:pPr>
            <w:r w:rsidRPr="009176E6">
              <w:rPr>
                <w:sz w:val="22"/>
                <w:szCs w:val="22"/>
                <w:lang w:val="fr-FR"/>
              </w:rPr>
              <w:t xml:space="preserve">Phone: 703-875-2981 </w:t>
            </w:r>
          </w:p>
          <w:p w:rsidR="00782A43" w:rsidRPr="009176E6" w:rsidRDefault="00782A43" w:rsidP="00AD108E">
            <w:pPr>
              <w:tabs>
                <w:tab w:val="left" w:pos="-1080"/>
                <w:tab w:val="left" w:pos="-720"/>
                <w:tab w:val="left" w:pos="997"/>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780"/>
                <w:tab w:val="left" w:pos="13230"/>
                <w:tab w:val="left" w:pos="13680"/>
                <w:tab w:val="left" w:pos="14400"/>
                <w:tab w:val="left" w:pos="15120"/>
                <w:tab w:val="left" w:pos="15840"/>
                <w:tab w:val="left" w:pos="16560"/>
                <w:tab w:val="left" w:pos="17280"/>
                <w:tab w:val="left" w:pos="18000"/>
                <w:tab w:val="left" w:pos="18720"/>
              </w:tabs>
              <w:rPr>
                <w:lang w:val="fr-FR"/>
              </w:rPr>
            </w:pPr>
            <w:r w:rsidRPr="009176E6">
              <w:rPr>
                <w:sz w:val="22"/>
                <w:szCs w:val="22"/>
                <w:lang w:val="fr-FR"/>
              </w:rPr>
              <w:t>Fax: 703-527-5640</w:t>
            </w:r>
          </w:p>
          <w:p w:rsidR="00782A43" w:rsidRPr="009176E6" w:rsidRDefault="00782A43" w:rsidP="00AD108E">
            <w:pPr>
              <w:rPr>
                <w:lang w:val="fr-FR"/>
              </w:rPr>
            </w:pPr>
            <w:r w:rsidRPr="009176E6">
              <w:rPr>
                <w:sz w:val="22"/>
                <w:szCs w:val="22"/>
                <w:lang w:val="fr-FR"/>
              </w:rPr>
              <w:t>E-mail: Yup@battelle.org</w:t>
            </w:r>
          </w:p>
        </w:tc>
      </w:tr>
    </w:tbl>
    <w:p w:rsidR="00782A43" w:rsidRPr="00C141E2" w:rsidRDefault="00782A43" w:rsidP="00FC3597">
      <w:pPr>
        <w:pStyle w:val="EvalDesignLevel1"/>
        <w:jc w:val="left"/>
        <w:rPr>
          <w:rFonts w:ascii="Times New Roman" w:hAnsi="Times New Roman" w:cs="Times New Roman"/>
        </w:rPr>
      </w:pPr>
      <w:r w:rsidRPr="00EC6923">
        <w:br w:type="page"/>
      </w:r>
      <w:bookmarkStart w:id="80" w:name="_Toc239231472"/>
      <w:r w:rsidRPr="00C141E2">
        <w:rPr>
          <w:rFonts w:ascii="Times New Roman" w:hAnsi="Times New Roman" w:cs="Times New Roman"/>
        </w:rPr>
        <w:lastRenderedPageBreak/>
        <w:t>REFERENCES</w:t>
      </w:r>
    </w:p>
    <w:p w:rsidR="00782A43" w:rsidRPr="00B22FF5" w:rsidRDefault="00782A43" w:rsidP="00FC3597">
      <w:pPr>
        <w:ind w:left="720" w:hanging="720"/>
        <w:rPr>
          <w:rStyle w:val="bb-header1"/>
          <w:rFonts w:eastAsia="MS Mincho"/>
          <w:color w:val="auto"/>
        </w:rPr>
      </w:pPr>
    </w:p>
    <w:p w:rsidR="00782A43" w:rsidRPr="00B22FF5" w:rsidRDefault="00782A43" w:rsidP="00AB4E0E">
      <w:pPr>
        <w:ind w:left="720" w:hanging="720"/>
        <w:rPr>
          <w:rStyle w:val="bb-header1"/>
          <w:rFonts w:eastAsia="MS Mincho"/>
          <w:color w:val="auto"/>
        </w:rPr>
      </w:pPr>
      <w:proofErr w:type="gramStart"/>
      <w:r w:rsidRPr="00B22FF5">
        <w:rPr>
          <w:rStyle w:val="bb-header1"/>
          <w:rFonts w:eastAsia="MS Mincho"/>
          <w:color w:val="auto"/>
        </w:rPr>
        <w:t xml:space="preserve">Banks, S. E., Brown, L. S., &amp; </w:t>
      </w:r>
      <w:proofErr w:type="spellStart"/>
      <w:r w:rsidRPr="00B22FF5">
        <w:rPr>
          <w:rStyle w:val="bb-header1"/>
          <w:rFonts w:eastAsia="MS Mincho"/>
          <w:color w:val="auto"/>
        </w:rPr>
        <w:t>Ajuluchukwu</w:t>
      </w:r>
      <w:proofErr w:type="spellEnd"/>
      <w:r w:rsidRPr="00B22FF5">
        <w:rPr>
          <w:rStyle w:val="bb-header1"/>
          <w:rFonts w:eastAsia="MS Mincho"/>
          <w:color w:val="auto"/>
        </w:rPr>
        <w:t>, D. (1991).</w:t>
      </w:r>
      <w:proofErr w:type="gramEnd"/>
      <w:r w:rsidRPr="00B22FF5">
        <w:rPr>
          <w:rStyle w:val="bb-header1"/>
          <w:rFonts w:eastAsia="MS Mincho"/>
          <w:color w:val="auto"/>
        </w:rPr>
        <w:t xml:space="preserve"> </w:t>
      </w:r>
      <w:proofErr w:type="gramStart"/>
      <w:r w:rsidRPr="00B22FF5">
        <w:rPr>
          <w:rStyle w:val="bb-header1"/>
          <w:rFonts w:eastAsia="MS Mincho"/>
          <w:color w:val="auto"/>
        </w:rPr>
        <w:t>Sexual behaviors and HIV infection in intravenous drug users in New York City.</w:t>
      </w:r>
      <w:proofErr w:type="gramEnd"/>
      <w:r w:rsidRPr="00B22FF5">
        <w:rPr>
          <w:rStyle w:val="bb-header1"/>
          <w:rFonts w:eastAsia="MS Mincho"/>
          <w:color w:val="auto"/>
        </w:rPr>
        <w:t xml:space="preserve"> </w:t>
      </w:r>
      <w:r w:rsidRPr="00B22FF5">
        <w:rPr>
          <w:rStyle w:val="bb-header1"/>
          <w:rFonts w:eastAsia="MS Mincho"/>
          <w:i/>
          <w:iCs/>
          <w:color w:val="auto"/>
        </w:rPr>
        <w:t>Journal of Addictive Diseases,</w:t>
      </w:r>
      <w:r w:rsidRPr="00B22FF5">
        <w:rPr>
          <w:rStyle w:val="bb-header1"/>
          <w:rFonts w:eastAsia="MS Mincho"/>
          <w:color w:val="auto"/>
        </w:rPr>
        <w:t xml:space="preserve"> </w:t>
      </w:r>
      <w:r w:rsidRPr="00B22FF5">
        <w:rPr>
          <w:rStyle w:val="bb-header1"/>
          <w:rFonts w:eastAsia="MS Mincho"/>
          <w:i/>
          <w:iCs/>
          <w:color w:val="auto"/>
        </w:rPr>
        <w:t>10</w:t>
      </w:r>
      <w:r w:rsidRPr="00B22FF5">
        <w:rPr>
          <w:rStyle w:val="bb-header1"/>
          <w:rFonts w:eastAsia="MS Mincho"/>
          <w:color w:val="auto"/>
        </w:rPr>
        <w:t>, 15–23.</w:t>
      </w:r>
    </w:p>
    <w:p w:rsidR="00782A43" w:rsidRPr="00B22FF5" w:rsidRDefault="00782A43" w:rsidP="00AB4E0E">
      <w:pPr>
        <w:ind w:left="720" w:hanging="720"/>
        <w:rPr>
          <w:rStyle w:val="bb-header1"/>
          <w:rFonts w:eastAsia="MS Mincho"/>
          <w:color w:val="auto"/>
        </w:rPr>
      </w:pPr>
      <w:proofErr w:type="spellStart"/>
      <w:proofErr w:type="gramStart"/>
      <w:r w:rsidRPr="00B22FF5">
        <w:rPr>
          <w:rStyle w:val="bb-header1"/>
          <w:rFonts w:eastAsia="MS Mincho"/>
          <w:color w:val="auto"/>
        </w:rPr>
        <w:t>Bastos</w:t>
      </w:r>
      <w:proofErr w:type="spellEnd"/>
      <w:r w:rsidRPr="00B22FF5">
        <w:rPr>
          <w:rStyle w:val="bb-header1"/>
          <w:rFonts w:eastAsia="MS Mincho"/>
          <w:color w:val="auto"/>
        </w:rPr>
        <w:t>, F. I.,</w:t>
      </w:r>
      <w:r w:rsidRPr="00B22FF5">
        <w:rPr>
          <w:rStyle w:val="CommentReference"/>
          <w:sz w:val="24"/>
          <w:szCs w:val="24"/>
        </w:rPr>
        <w:t xml:space="preserve"> </w:t>
      </w:r>
      <w:r w:rsidRPr="00B22FF5">
        <w:rPr>
          <w:rStyle w:val="Strong"/>
          <w:b w:val="0"/>
          <w:bCs w:val="0"/>
        </w:rPr>
        <w:t xml:space="preserve">Lowndes, C. M., </w:t>
      </w:r>
      <w:proofErr w:type="spellStart"/>
      <w:r w:rsidRPr="00B22FF5">
        <w:rPr>
          <w:rStyle w:val="Strong"/>
          <w:b w:val="0"/>
          <w:bCs w:val="0"/>
        </w:rPr>
        <w:t>Derrico</w:t>
      </w:r>
      <w:proofErr w:type="spellEnd"/>
      <w:r w:rsidRPr="00B22FF5">
        <w:rPr>
          <w:rStyle w:val="Strong"/>
          <w:b w:val="0"/>
          <w:bCs w:val="0"/>
        </w:rPr>
        <w:t xml:space="preserve">, M., </w:t>
      </w:r>
      <w:proofErr w:type="spellStart"/>
      <w:r w:rsidRPr="00B22FF5">
        <w:rPr>
          <w:rStyle w:val="Strong"/>
          <w:b w:val="0"/>
          <w:bCs w:val="0"/>
        </w:rPr>
        <w:t>Castello-Branco</w:t>
      </w:r>
      <w:proofErr w:type="spellEnd"/>
      <w:r w:rsidRPr="00B22FF5">
        <w:rPr>
          <w:rStyle w:val="Strong"/>
          <w:b w:val="0"/>
          <w:bCs w:val="0"/>
        </w:rPr>
        <w:t xml:space="preserve">, L. R., </w:t>
      </w:r>
      <w:proofErr w:type="spellStart"/>
      <w:r w:rsidRPr="00B22FF5">
        <w:rPr>
          <w:rStyle w:val="Strong"/>
          <w:b w:val="0"/>
          <w:bCs w:val="0"/>
        </w:rPr>
        <w:t>Linhares</w:t>
      </w:r>
      <w:proofErr w:type="spellEnd"/>
      <w:r w:rsidRPr="00B22FF5">
        <w:rPr>
          <w:rStyle w:val="Strong"/>
          <w:b w:val="0"/>
          <w:bCs w:val="0"/>
        </w:rPr>
        <w:t>-De-</w:t>
      </w:r>
      <w:proofErr w:type="spellStart"/>
      <w:r w:rsidRPr="00B22FF5">
        <w:rPr>
          <w:rStyle w:val="Strong"/>
          <w:b w:val="0"/>
          <w:bCs w:val="0"/>
        </w:rPr>
        <w:t>Carvalho</w:t>
      </w:r>
      <w:proofErr w:type="spellEnd"/>
      <w:r w:rsidRPr="00B22FF5">
        <w:rPr>
          <w:rStyle w:val="Strong"/>
          <w:b w:val="0"/>
          <w:bCs w:val="0"/>
        </w:rPr>
        <w:t xml:space="preserve">, M. I., &amp; </w:t>
      </w:r>
      <w:proofErr w:type="spellStart"/>
      <w:r w:rsidRPr="00B22FF5">
        <w:rPr>
          <w:rStyle w:val="Strong"/>
          <w:b w:val="0"/>
          <w:bCs w:val="0"/>
        </w:rPr>
        <w:t>Oelemann</w:t>
      </w:r>
      <w:proofErr w:type="spellEnd"/>
      <w:r w:rsidRPr="00B22FF5">
        <w:rPr>
          <w:rStyle w:val="Strong"/>
          <w:b w:val="0"/>
          <w:bCs w:val="0"/>
        </w:rPr>
        <w:t xml:space="preserve">, W. </w:t>
      </w:r>
      <w:r w:rsidRPr="00B22FF5">
        <w:rPr>
          <w:rStyle w:val="bb-header1"/>
          <w:rFonts w:eastAsia="MS Mincho"/>
          <w:color w:val="auto"/>
        </w:rPr>
        <w:t>(2000).</w:t>
      </w:r>
      <w:proofErr w:type="gramEnd"/>
      <w:r w:rsidRPr="00B22FF5">
        <w:rPr>
          <w:rStyle w:val="bb-header1"/>
          <w:rFonts w:eastAsia="MS Mincho"/>
          <w:color w:val="auto"/>
        </w:rPr>
        <w:t xml:space="preserve"> </w:t>
      </w:r>
      <w:proofErr w:type="gramStart"/>
      <w:r w:rsidRPr="00B22FF5">
        <w:rPr>
          <w:rStyle w:val="bb-header1"/>
          <w:rFonts w:eastAsia="MS Mincho"/>
          <w:color w:val="auto"/>
        </w:rPr>
        <w:t xml:space="preserve">Sexual </w:t>
      </w:r>
      <w:proofErr w:type="spellStart"/>
      <w:r w:rsidRPr="00B22FF5">
        <w:rPr>
          <w:rStyle w:val="bb-header1"/>
          <w:rFonts w:eastAsia="MS Mincho"/>
          <w:color w:val="auto"/>
        </w:rPr>
        <w:t>behaviour</w:t>
      </w:r>
      <w:proofErr w:type="spellEnd"/>
      <w:r w:rsidRPr="00B22FF5">
        <w:rPr>
          <w:rStyle w:val="bb-header1"/>
          <w:rFonts w:eastAsia="MS Mincho"/>
          <w:color w:val="auto"/>
        </w:rPr>
        <w:t xml:space="preserve"> and infection rates for HIV, blood-borne and sexually transmitted infections among patients attending drug treatment </w:t>
      </w:r>
      <w:proofErr w:type="spellStart"/>
      <w:r w:rsidRPr="00B22FF5">
        <w:rPr>
          <w:rStyle w:val="bb-header1"/>
          <w:rFonts w:eastAsia="MS Mincho"/>
          <w:color w:val="auto"/>
        </w:rPr>
        <w:t>centres</w:t>
      </w:r>
      <w:proofErr w:type="spellEnd"/>
      <w:r w:rsidRPr="00B22FF5">
        <w:rPr>
          <w:rStyle w:val="bb-header1"/>
          <w:rFonts w:eastAsia="MS Mincho"/>
          <w:color w:val="auto"/>
        </w:rPr>
        <w:t xml:space="preserve"> in Rio de Janeiro, Brazil.</w:t>
      </w:r>
      <w:proofErr w:type="gramEnd"/>
      <w:r w:rsidRPr="00B22FF5">
        <w:rPr>
          <w:rStyle w:val="bb-header1"/>
          <w:rFonts w:eastAsia="MS Mincho"/>
          <w:color w:val="auto"/>
        </w:rPr>
        <w:t xml:space="preserve"> </w:t>
      </w:r>
      <w:r w:rsidRPr="00B22FF5">
        <w:rPr>
          <w:rStyle w:val="bb-header1"/>
          <w:rFonts w:eastAsia="MS Mincho"/>
          <w:i/>
          <w:iCs/>
          <w:color w:val="auto"/>
        </w:rPr>
        <w:t>International Journal of STD and AIDS</w:t>
      </w:r>
      <w:r w:rsidRPr="00B22FF5">
        <w:rPr>
          <w:rStyle w:val="bb-header1"/>
          <w:rFonts w:eastAsia="MS Mincho"/>
          <w:color w:val="auto"/>
        </w:rPr>
        <w:t xml:space="preserve">, </w:t>
      </w:r>
      <w:r w:rsidRPr="00B22FF5">
        <w:rPr>
          <w:rStyle w:val="bb-header1"/>
          <w:rFonts w:eastAsia="MS Mincho"/>
          <w:i/>
          <w:iCs/>
          <w:color w:val="auto"/>
        </w:rPr>
        <w:t>11,</w:t>
      </w:r>
      <w:r w:rsidRPr="00B22FF5">
        <w:rPr>
          <w:rStyle w:val="bb-header1"/>
          <w:rFonts w:eastAsia="MS Mincho"/>
          <w:color w:val="auto"/>
        </w:rPr>
        <w:t xml:space="preserve"> 383–392.</w:t>
      </w:r>
    </w:p>
    <w:p w:rsidR="00782A43" w:rsidRPr="00B22FF5" w:rsidRDefault="00782A43" w:rsidP="00AB4E0E">
      <w:pPr>
        <w:ind w:left="720" w:hanging="720"/>
        <w:rPr>
          <w:rStyle w:val="bb-header1"/>
          <w:rFonts w:eastAsia="MS Mincho"/>
          <w:color w:val="auto"/>
        </w:rPr>
      </w:pPr>
      <w:proofErr w:type="gramStart"/>
      <w:r w:rsidRPr="00B22FF5">
        <w:rPr>
          <w:rStyle w:val="bb-header1"/>
          <w:rFonts w:eastAsia="MS Mincho"/>
          <w:color w:val="auto"/>
        </w:rPr>
        <w:t>Booth, R. E., Crowley, T. J., &amp; Zhang, Y. (1996).</w:t>
      </w:r>
      <w:proofErr w:type="gramEnd"/>
      <w:r w:rsidRPr="00B22FF5">
        <w:rPr>
          <w:rStyle w:val="bb-header1"/>
          <w:rFonts w:eastAsia="MS Mincho"/>
          <w:color w:val="auto"/>
        </w:rPr>
        <w:t xml:space="preserve"> Substance abuse treatment entry, retention and effectiveness: out-of-treatment opiate injection drug users. </w:t>
      </w:r>
      <w:r w:rsidRPr="00B22FF5">
        <w:rPr>
          <w:rStyle w:val="bb-header1"/>
          <w:rFonts w:eastAsia="MS Mincho"/>
          <w:i/>
          <w:iCs/>
          <w:color w:val="auto"/>
        </w:rPr>
        <w:t>Drug and Alcohol Dependence</w:t>
      </w:r>
      <w:r w:rsidRPr="00B22FF5">
        <w:rPr>
          <w:rStyle w:val="bb-header1"/>
          <w:rFonts w:eastAsia="MS Mincho"/>
          <w:color w:val="auto"/>
        </w:rPr>
        <w:t xml:space="preserve">, </w:t>
      </w:r>
      <w:r w:rsidRPr="00B22FF5">
        <w:rPr>
          <w:rStyle w:val="bb-header1"/>
          <w:rFonts w:eastAsia="MS Mincho"/>
          <w:i/>
          <w:iCs/>
          <w:color w:val="auto"/>
        </w:rPr>
        <w:t>42,</w:t>
      </w:r>
      <w:r w:rsidRPr="00B22FF5">
        <w:rPr>
          <w:rStyle w:val="bb-header1"/>
          <w:rFonts w:eastAsia="MS Mincho"/>
          <w:color w:val="auto"/>
        </w:rPr>
        <w:t xml:space="preserve"> 11–20.</w:t>
      </w:r>
    </w:p>
    <w:p w:rsidR="00782A43" w:rsidRPr="00B22FF5" w:rsidRDefault="00782A43" w:rsidP="00AB4E0E">
      <w:pPr>
        <w:ind w:left="720" w:hanging="720"/>
      </w:pPr>
      <w:proofErr w:type="spellStart"/>
      <w:r w:rsidRPr="00B22FF5">
        <w:t>Bronfenbrenner</w:t>
      </w:r>
      <w:proofErr w:type="spellEnd"/>
      <w:r w:rsidRPr="00B22FF5">
        <w:t xml:space="preserve">, U. (1979). </w:t>
      </w:r>
      <w:r w:rsidRPr="00B22FF5">
        <w:rPr>
          <w:i/>
          <w:iCs/>
        </w:rPr>
        <w:t>The ecology of human development: Experiments by nature and design</w:t>
      </w:r>
      <w:r w:rsidRPr="00B22FF5">
        <w:t>. Cambridge, MA: Harvard University Press.</w:t>
      </w:r>
    </w:p>
    <w:p w:rsidR="00782A43" w:rsidRPr="00B22FF5" w:rsidRDefault="00782A43" w:rsidP="00AB4E0E">
      <w:pPr>
        <w:ind w:left="720" w:hanging="720"/>
      </w:pPr>
      <w:proofErr w:type="spellStart"/>
      <w:r w:rsidRPr="00B22FF5">
        <w:t>Bronfenbrenner</w:t>
      </w:r>
      <w:proofErr w:type="spellEnd"/>
      <w:r w:rsidRPr="00B22FF5">
        <w:t xml:space="preserve">, U. (1986). Ecology of the family as a context for human development: Research perspectives. </w:t>
      </w:r>
      <w:r w:rsidRPr="00B22FF5">
        <w:rPr>
          <w:i/>
          <w:iCs/>
        </w:rPr>
        <w:t>Developmental Psychology</w:t>
      </w:r>
      <w:r w:rsidRPr="00B22FF5">
        <w:t xml:space="preserve">, </w:t>
      </w:r>
      <w:r w:rsidRPr="00B22FF5">
        <w:rPr>
          <w:i/>
          <w:iCs/>
        </w:rPr>
        <w:t>22</w:t>
      </w:r>
      <w:r w:rsidRPr="00B22FF5">
        <w:t>, 723–742.</w:t>
      </w:r>
    </w:p>
    <w:p w:rsidR="00782A43" w:rsidRPr="00B22FF5" w:rsidRDefault="00782A43" w:rsidP="00AB4E0E">
      <w:pPr>
        <w:ind w:left="720" w:hanging="720"/>
      </w:pPr>
      <w:proofErr w:type="gramStart"/>
      <w:r w:rsidRPr="00B22FF5">
        <w:rPr>
          <w:rStyle w:val="bb-header1"/>
          <w:rFonts w:eastAsia="MS Mincho"/>
          <w:color w:val="auto"/>
        </w:rPr>
        <w:t>Broome, K. M., Joe, G. W., &amp; Simpson, D. D. (1999).</w:t>
      </w:r>
      <w:proofErr w:type="gramEnd"/>
      <w:r w:rsidRPr="00B22FF5">
        <w:rPr>
          <w:rStyle w:val="bb-header1"/>
          <w:rFonts w:eastAsia="MS Mincho"/>
          <w:color w:val="auto"/>
        </w:rPr>
        <w:t xml:space="preserve"> HIV risk reduction in outpatient drug abuse treatment: individual and geographic differences. </w:t>
      </w:r>
      <w:r w:rsidRPr="00B22FF5">
        <w:rPr>
          <w:rStyle w:val="bb-header1"/>
          <w:rFonts w:eastAsia="MS Mincho"/>
          <w:i/>
          <w:iCs/>
          <w:color w:val="auto"/>
        </w:rPr>
        <w:t>AIDS Education and Prevention</w:t>
      </w:r>
      <w:r w:rsidRPr="00B22FF5">
        <w:rPr>
          <w:rStyle w:val="bb-header1"/>
          <w:rFonts w:eastAsia="MS Mincho"/>
          <w:color w:val="auto"/>
        </w:rPr>
        <w:t xml:space="preserve">, </w:t>
      </w:r>
      <w:r w:rsidRPr="00B22FF5">
        <w:rPr>
          <w:rStyle w:val="bb-header1"/>
          <w:rFonts w:eastAsia="MS Mincho"/>
          <w:i/>
          <w:iCs/>
          <w:color w:val="auto"/>
        </w:rPr>
        <w:t>11</w:t>
      </w:r>
      <w:r w:rsidRPr="00B22FF5">
        <w:rPr>
          <w:rStyle w:val="bb-header1"/>
          <w:rFonts w:eastAsia="MS Mincho"/>
          <w:color w:val="auto"/>
        </w:rPr>
        <w:t>(4), 293–306.</w:t>
      </w:r>
    </w:p>
    <w:p w:rsidR="00782A43" w:rsidRPr="00B22FF5" w:rsidRDefault="00782A43" w:rsidP="00AB4E0E">
      <w:pPr>
        <w:ind w:left="720" w:hanging="720"/>
        <w:rPr>
          <w:rStyle w:val="bb-header1"/>
          <w:rFonts w:eastAsia="MS Mincho"/>
          <w:color w:val="auto"/>
        </w:rPr>
      </w:pPr>
      <w:proofErr w:type="gramStart"/>
      <w:r w:rsidRPr="00B22FF5">
        <w:rPr>
          <w:rStyle w:val="bb-header1"/>
          <w:rFonts w:eastAsia="MS Mincho"/>
          <w:color w:val="auto"/>
        </w:rPr>
        <w:t xml:space="preserve">Camacho, L. M., </w:t>
      </w:r>
      <w:r w:rsidRPr="00B22FF5">
        <w:t>Bartholomew, N. G., Joe, G. W., Cloud, M. A., &amp; Simpson D. D.</w:t>
      </w:r>
      <w:r w:rsidRPr="00B22FF5">
        <w:rPr>
          <w:rStyle w:val="bb-header1"/>
          <w:rFonts w:eastAsia="MS Mincho"/>
          <w:color w:val="auto"/>
        </w:rPr>
        <w:t xml:space="preserve"> (1996).</w:t>
      </w:r>
      <w:proofErr w:type="gramEnd"/>
      <w:r w:rsidRPr="00B22FF5">
        <w:rPr>
          <w:rStyle w:val="bb-header1"/>
          <w:rFonts w:eastAsia="MS Mincho"/>
          <w:color w:val="auto"/>
        </w:rPr>
        <w:t xml:space="preserve"> Gender, cocaine and during-treatment HIV risk reduction among injection </w:t>
      </w:r>
      <w:proofErr w:type="spellStart"/>
      <w:r w:rsidRPr="00B22FF5">
        <w:rPr>
          <w:rStyle w:val="bb-header1"/>
          <w:rFonts w:eastAsia="MS Mincho"/>
          <w:color w:val="auto"/>
        </w:rPr>
        <w:t>opioid</w:t>
      </w:r>
      <w:proofErr w:type="spellEnd"/>
      <w:r w:rsidRPr="00B22FF5">
        <w:rPr>
          <w:rStyle w:val="bb-header1"/>
          <w:rFonts w:eastAsia="MS Mincho"/>
          <w:color w:val="auto"/>
        </w:rPr>
        <w:t xml:space="preserve"> users in methadone maintenance. </w:t>
      </w:r>
      <w:r w:rsidRPr="00B22FF5">
        <w:rPr>
          <w:rStyle w:val="bb-header1"/>
          <w:rFonts w:eastAsia="MS Mincho"/>
          <w:i/>
          <w:iCs/>
          <w:color w:val="auto"/>
        </w:rPr>
        <w:t>Drug and Alcohol Dependence, 41</w:t>
      </w:r>
      <w:r w:rsidRPr="00B22FF5">
        <w:rPr>
          <w:rStyle w:val="bb-header1"/>
          <w:rFonts w:eastAsia="MS Mincho"/>
          <w:color w:val="auto"/>
        </w:rPr>
        <w:t>(1), 1–7.</w:t>
      </w:r>
    </w:p>
    <w:p w:rsidR="00782A43" w:rsidRPr="00B22FF5" w:rsidRDefault="00782A43" w:rsidP="00AB4E0E">
      <w:pPr>
        <w:ind w:left="720" w:hanging="720"/>
        <w:rPr>
          <w:rStyle w:val="bb-header1"/>
          <w:rFonts w:eastAsia="MS Mincho"/>
          <w:color w:val="auto"/>
        </w:rPr>
      </w:pPr>
      <w:proofErr w:type="gramStart"/>
      <w:r w:rsidRPr="00B22FF5">
        <w:rPr>
          <w:rStyle w:val="bb-header1"/>
          <w:rFonts w:eastAsia="MS Mincho"/>
          <w:color w:val="auto"/>
        </w:rPr>
        <w:t>Centers for Disease Control and Prevention.</w:t>
      </w:r>
      <w:proofErr w:type="gramEnd"/>
      <w:r w:rsidRPr="00B22FF5">
        <w:rPr>
          <w:rStyle w:val="bb-header1"/>
          <w:rFonts w:eastAsia="MS Mincho"/>
          <w:color w:val="auto"/>
        </w:rPr>
        <w:t xml:space="preserve"> </w:t>
      </w:r>
      <w:proofErr w:type="gramStart"/>
      <w:r w:rsidRPr="00B22FF5">
        <w:rPr>
          <w:rStyle w:val="bb-header1"/>
          <w:rFonts w:eastAsia="MS Mincho"/>
          <w:color w:val="auto"/>
        </w:rPr>
        <w:t>(2006). Racial/ethnic disparities in diagnoses of HIV/AIDS--33 states, 2001–2004.</w:t>
      </w:r>
      <w:proofErr w:type="gramEnd"/>
      <w:r w:rsidRPr="00B22FF5">
        <w:rPr>
          <w:rStyle w:val="bb-header1"/>
          <w:rFonts w:eastAsia="MS Mincho"/>
          <w:color w:val="auto"/>
        </w:rPr>
        <w:t xml:space="preserve"> </w:t>
      </w:r>
      <w:r w:rsidRPr="00B22FF5">
        <w:rPr>
          <w:rStyle w:val="bb-header1"/>
          <w:rFonts w:eastAsia="MS Mincho"/>
          <w:i/>
          <w:iCs/>
          <w:color w:val="auto"/>
        </w:rPr>
        <w:t>Morbidity and Mortality Weekly Report, 55</w:t>
      </w:r>
      <w:r w:rsidRPr="00B22FF5">
        <w:rPr>
          <w:rStyle w:val="bb-header1"/>
          <w:rFonts w:eastAsia="MS Mincho"/>
          <w:color w:val="auto"/>
        </w:rPr>
        <w:t>(5),</w:t>
      </w:r>
      <w:r w:rsidRPr="00B22FF5">
        <w:rPr>
          <w:rStyle w:val="bb-header1"/>
          <w:rFonts w:eastAsia="MS Mincho"/>
          <w:i/>
          <w:iCs/>
          <w:color w:val="auto"/>
        </w:rPr>
        <w:t xml:space="preserve"> </w:t>
      </w:r>
      <w:r w:rsidRPr="00B22FF5">
        <w:rPr>
          <w:rStyle w:val="bb-header1"/>
          <w:rFonts w:eastAsia="MS Mincho"/>
          <w:color w:val="auto"/>
        </w:rPr>
        <w:t>121</w:t>
      </w:r>
      <w:r>
        <w:rPr>
          <w:rStyle w:val="bb-header1"/>
          <w:rFonts w:eastAsia="MS Mincho"/>
          <w:color w:val="auto"/>
        </w:rPr>
        <w:t>–</w:t>
      </w:r>
      <w:r w:rsidRPr="00B22FF5">
        <w:rPr>
          <w:rStyle w:val="bb-header1"/>
          <w:rFonts w:eastAsia="MS Mincho"/>
          <w:color w:val="auto"/>
        </w:rPr>
        <w:t>125.</w:t>
      </w:r>
    </w:p>
    <w:p w:rsidR="00782A43" w:rsidRPr="00B22FF5" w:rsidRDefault="00782A43" w:rsidP="00AB4E0E">
      <w:pPr>
        <w:ind w:left="720" w:hanging="720"/>
        <w:rPr>
          <w:rStyle w:val="bb-header1"/>
          <w:rFonts w:eastAsia="MS Mincho"/>
          <w:color w:val="auto"/>
        </w:rPr>
      </w:pPr>
      <w:proofErr w:type="spellStart"/>
      <w:r w:rsidRPr="00B22FF5">
        <w:rPr>
          <w:rStyle w:val="bb-header1"/>
          <w:rFonts w:eastAsia="MS Mincho"/>
          <w:color w:val="auto"/>
        </w:rPr>
        <w:t>Croog</w:t>
      </w:r>
      <w:proofErr w:type="spellEnd"/>
      <w:r w:rsidRPr="00B22FF5">
        <w:rPr>
          <w:rStyle w:val="bb-header1"/>
          <w:rFonts w:eastAsia="MS Mincho"/>
          <w:color w:val="auto"/>
        </w:rPr>
        <w:t xml:space="preserve">, S. H., Levine, S., </w:t>
      </w:r>
      <w:proofErr w:type="spellStart"/>
      <w:r w:rsidRPr="00B22FF5">
        <w:rPr>
          <w:rStyle w:val="bb-header1"/>
          <w:rFonts w:eastAsia="MS Mincho"/>
          <w:color w:val="auto"/>
        </w:rPr>
        <w:t>Testa</w:t>
      </w:r>
      <w:proofErr w:type="spellEnd"/>
      <w:r w:rsidRPr="00B22FF5">
        <w:rPr>
          <w:rStyle w:val="bb-header1"/>
          <w:rFonts w:eastAsia="MS Mincho"/>
          <w:color w:val="auto"/>
        </w:rPr>
        <w:t xml:space="preserve">, M. A., &amp; Brown, B. (1986). </w:t>
      </w:r>
      <w:proofErr w:type="gramStart"/>
      <w:r w:rsidRPr="00B22FF5">
        <w:rPr>
          <w:rStyle w:val="bb-header1"/>
          <w:rFonts w:eastAsia="MS Mincho"/>
          <w:color w:val="auto"/>
        </w:rPr>
        <w:t>The effect of antihypertensive therapy on the quality of life.</w:t>
      </w:r>
      <w:proofErr w:type="gramEnd"/>
      <w:r w:rsidRPr="00B22FF5">
        <w:rPr>
          <w:rStyle w:val="bb-header1"/>
          <w:rFonts w:eastAsia="MS Mincho"/>
          <w:color w:val="auto"/>
        </w:rPr>
        <w:t xml:space="preserve"> </w:t>
      </w:r>
      <w:r w:rsidRPr="00B22FF5">
        <w:rPr>
          <w:rStyle w:val="medium-font"/>
          <w:i/>
          <w:iCs/>
        </w:rPr>
        <w:t>The New England Journal of Medicine, 314</w:t>
      </w:r>
      <w:r w:rsidRPr="00B22FF5">
        <w:rPr>
          <w:rStyle w:val="medium-font"/>
        </w:rPr>
        <w:t>(26), 1657–1664.</w:t>
      </w:r>
    </w:p>
    <w:p w:rsidR="00782A43" w:rsidRPr="00B22FF5" w:rsidRDefault="00782A43" w:rsidP="00AB4E0E">
      <w:pPr>
        <w:ind w:left="720" w:hanging="720"/>
      </w:pPr>
      <w:proofErr w:type="spellStart"/>
      <w:proofErr w:type="gramStart"/>
      <w:r w:rsidRPr="00B22FF5">
        <w:t>Dekovic</w:t>
      </w:r>
      <w:proofErr w:type="spellEnd"/>
      <w:r w:rsidRPr="00B22FF5">
        <w:t>, M. (1999).</w:t>
      </w:r>
      <w:proofErr w:type="gramEnd"/>
      <w:r w:rsidRPr="00B22FF5">
        <w:t xml:space="preserve"> </w:t>
      </w:r>
      <w:proofErr w:type="gramStart"/>
      <w:r w:rsidRPr="00B22FF5">
        <w:t>Risk and protective factors in the development of problem behavior during adolescence.</w:t>
      </w:r>
      <w:proofErr w:type="gramEnd"/>
      <w:r w:rsidRPr="00B22FF5">
        <w:t xml:space="preserve"> </w:t>
      </w:r>
      <w:r w:rsidRPr="00B22FF5">
        <w:rPr>
          <w:i/>
          <w:iCs/>
        </w:rPr>
        <w:t>Journal of Youth and Adolescence, 28</w:t>
      </w:r>
      <w:r w:rsidRPr="00B22FF5">
        <w:t>, 667–685.</w:t>
      </w:r>
    </w:p>
    <w:p w:rsidR="00782A43" w:rsidRPr="00B22FF5" w:rsidRDefault="00782A43" w:rsidP="00AB4E0E">
      <w:pPr>
        <w:ind w:left="720" w:hanging="720"/>
      </w:pPr>
      <w:proofErr w:type="spellStart"/>
      <w:r w:rsidRPr="00B22FF5">
        <w:t>Derogatis</w:t>
      </w:r>
      <w:proofErr w:type="spellEnd"/>
      <w:r w:rsidRPr="00B22FF5">
        <w:t xml:space="preserve">, L. R. (1993). </w:t>
      </w:r>
      <w:r w:rsidRPr="001747DD">
        <w:rPr>
          <w:i/>
          <w:iCs/>
        </w:rPr>
        <w:t>SCL-90-R: Symptom checklist-90-R: administration, scoring &amp; procedures manual</w:t>
      </w:r>
      <w:r>
        <w:rPr>
          <w:vertAlign w:val="superscript"/>
        </w:rPr>
        <w:t xml:space="preserve"> </w:t>
      </w:r>
      <w:r>
        <w:t>(3rd</w:t>
      </w:r>
      <w:r w:rsidRPr="00B22FF5">
        <w:t xml:space="preserve"> </w:t>
      </w:r>
      <w:proofErr w:type="gramStart"/>
      <w:r w:rsidRPr="00B22FF5">
        <w:t>ed</w:t>
      </w:r>
      <w:proofErr w:type="gramEnd"/>
      <w:r w:rsidRPr="00B22FF5">
        <w:t>.</w:t>
      </w:r>
      <w:r>
        <w:t xml:space="preserve">). </w:t>
      </w:r>
      <w:r w:rsidRPr="00B22FF5">
        <w:t xml:space="preserve">Minneapolis, MN: National Computer Systems, Inc. </w:t>
      </w:r>
    </w:p>
    <w:p w:rsidR="00782A43" w:rsidRPr="00B22FF5" w:rsidRDefault="00782A43" w:rsidP="00AB4E0E">
      <w:pPr>
        <w:ind w:left="720" w:hanging="720"/>
      </w:pPr>
      <w:proofErr w:type="spellStart"/>
      <w:proofErr w:type="gramStart"/>
      <w:r w:rsidRPr="00B22FF5">
        <w:t>Derogatis</w:t>
      </w:r>
      <w:proofErr w:type="spellEnd"/>
      <w:r w:rsidRPr="00B22FF5">
        <w:t>, L. R. &amp; Coons, H., L. (1993).</w:t>
      </w:r>
      <w:proofErr w:type="gramEnd"/>
      <w:r w:rsidRPr="00B22FF5">
        <w:t xml:space="preserve"> </w:t>
      </w:r>
      <w:r w:rsidRPr="001747DD">
        <w:rPr>
          <w:i/>
          <w:iCs/>
        </w:rPr>
        <w:t>Self-report measures of stress,</w:t>
      </w:r>
      <w:r w:rsidRPr="00B22FF5">
        <w:t xml:space="preserve"> </w:t>
      </w:r>
      <w:r w:rsidRPr="00B22FF5">
        <w:rPr>
          <w:rStyle w:val="medium-font"/>
        </w:rPr>
        <w:t xml:space="preserve">In L. Goldberger, S. </w:t>
      </w:r>
      <w:proofErr w:type="spellStart"/>
      <w:r w:rsidRPr="00B22FF5">
        <w:rPr>
          <w:rStyle w:val="medium-font"/>
        </w:rPr>
        <w:t>Breznitz</w:t>
      </w:r>
      <w:proofErr w:type="spellEnd"/>
      <w:r w:rsidRPr="00B22FF5">
        <w:rPr>
          <w:rStyle w:val="medium-font"/>
        </w:rPr>
        <w:t xml:space="preserve"> (Eds.), </w:t>
      </w:r>
      <w:r w:rsidRPr="00B22FF5">
        <w:rPr>
          <w:i/>
          <w:iCs/>
        </w:rPr>
        <w:t>Handbook of Stress: Theoretical and Clinical Aspects</w:t>
      </w:r>
      <w:r w:rsidRPr="00B22FF5">
        <w:rPr>
          <w:rStyle w:val="medium-font"/>
          <w:i/>
          <w:iCs/>
        </w:rPr>
        <w:t xml:space="preserve"> </w:t>
      </w:r>
      <w:r w:rsidRPr="00B22FF5">
        <w:rPr>
          <w:rStyle w:val="medium-font"/>
        </w:rPr>
        <w:t xml:space="preserve">(2nd </w:t>
      </w:r>
      <w:proofErr w:type="gramStart"/>
      <w:r w:rsidRPr="00B22FF5">
        <w:rPr>
          <w:rStyle w:val="medium-font"/>
        </w:rPr>
        <w:t>ed</w:t>
      </w:r>
      <w:proofErr w:type="gramEnd"/>
      <w:r>
        <w:rPr>
          <w:rStyle w:val="medium-font"/>
        </w:rPr>
        <w:t>.</w:t>
      </w:r>
      <w:r w:rsidRPr="00B22FF5">
        <w:rPr>
          <w:rStyle w:val="medium-font"/>
        </w:rPr>
        <w:t>)</w:t>
      </w:r>
      <w:r>
        <w:rPr>
          <w:rStyle w:val="medium-font"/>
        </w:rPr>
        <w:t xml:space="preserve">. </w:t>
      </w:r>
      <w:r w:rsidRPr="00B22FF5">
        <w:rPr>
          <w:rStyle w:val="medium-font"/>
        </w:rPr>
        <w:t xml:space="preserve">New York, NY: Simon &amp; Shuster. </w:t>
      </w:r>
    </w:p>
    <w:p w:rsidR="00782A43" w:rsidRPr="00B22FF5" w:rsidRDefault="00782A43" w:rsidP="00AB4E0E">
      <w:proofErr w:type="spellStart"/>
      <w:proofErr w:type="gramStart"/>
      <w:r w:rsidRPr="00B22FF5">
        <w:t>Dillman</w:t>
      </w:r>
      <w:proofErr w:type="spellEnd"/>
      <w:r w:rsidRPr="00B22FF5">
        <w:t>, D. A. (2000).</w:t>
      </w:r>
      <w:proofErr w:type="gramEnd"/>
      <w:r w:rsidRPr="00B22FF5">
        <w:t xml:space="preserve"> </w:t>
      </w:r>
      <w:r w:rsidRPr="001747DD">
        <w:rPr>
          <w:i/>
          <w:iCs/>
        </w:rPr>
        <w:t>Mail and Internet surveys: The tailored design method</w:t>
      </w:r>
      <w:r w:rsidRPr="00B22FF5">
        <w:t xml:space="preserve"> </w:t>
      </w:r>
      <w:r>
        <w:t>(</w:t>
      </w:r>
      <w:r w:rsidRPr="00B22FF5">
        <w:t xml:space="preserve">2nd </w:t>
      </w:r>
      <w:proofErr w:type="gramStart"/>
      <w:r w:rsidRPr="00B22FF5">
        <w:t>ed</w:t>
      </w:r>
      <w:proofErr w:type="gramEnd"/>
      <w:r w:rsidRPr="00B22FF5">
        <w:t>.</w:t>
      </w:r>
      <w:r>
        <w:t>).</w:t>
      </w:r>
      <w:r w:rsidRPr="00B22FF5">
        <w:t xml:space="preserve"> New </w:t>
      </w:r>
    </w:p>
    <w:p w:rsidR="00782A43" w:rsidRPr="00B22FF5" w:rsidRDefault="00782A43" w:rsidP="00AB4E0E">
      <w:pPr>
        <w:rPr>
          <w:rStyle w:val="bb-header1"/>
          <w:color w:val="auto"/>
        </w:rPr>
      </w:pPr>
      <w:r w:rsidRPr="00B22FF5">
        <w:tab/>
        <w:t>York, NY: John Wiley and Sons</w:t>
      </w:r>
      <w:r>
        <w:t>.</w:t>
      </w:r>
    </w:p>
    <w:p w:rsidR="00782A43" w:rsidRPr="00B22FF5" w:rsidRDefault="00782A43" w:rsidP="00AB4E0E">
      <w:pPr>
        <w:ind w:left="720" w:hanging="720"/>
      </w:pPr>
      <w:r w:rsidRPr="00B22FF5">
        <w:rPr>
          <w:rStyle w:val="bb-header1"/>
          <w:rFonts w:eastAsia="MS Mincho"/>
          <w:color w:val="auto"/>
        </w:rPr>
        <w:t xml:space="preserve">General Accounting Office. (1998). </w:t>
      </w:r>
      <w:r w:rsidRPr="001747DD">
        <w:rPr>
          <w:rStyle w:val="bb-header1"/>
          <w:rFonts w:eastAsia="MS Mincho"/>
          <w:i/>
          <w:iCs/>
          <w:color w:val="auto"/>
        </w:rPr>
        <w:t>Drug abuse: Research shows treatment is effective but benefits may be overstate</w:t>
      </w:r>
      <w:r>
        <w:rPr>
          <w:rStyle w:val="bb-header1"/>
          <w:rFonts w:eastAsia="MS Mincho"/>
          <w:i/>
          <w:iCs/>
          <w:color w:val="auto"/>
        </w:rPr>
        <w:t>d</w:t>
      </w:r>
      <w:r>
        <w:rPr>
          <w:rStyle w:val="bb-header1"/>
          <w:rFonts w:eastAsia="MS Mincho"/>
          <w:color w:val="auto"/>
        </w:rPr>
        <w:t>.</w:t>
      </w:r>
      <w:r w:rsidRPr="00B22FF5">
        <w:rPr>
          <w:rStyle w:val="bb-header1"/>
          <w:rFonts w:eastAsia="MS Mincho"/>
          <w:color w:val="auto"/>
        </w:rPr>
        <w:t xml:space="preserve"> Washington, DC</w:t>
      </w:r>
      <w:r>
        <w:rPr>
          <w:rStyle w:val="bb-header1"/>
          <w:rFonts w:eastAsia="MS Mincho"/>
          <w:color w:val="auto"/>
        </w:rPr>
        <w:t xml:space="preserve">: </w:t>
      </w:r>
      <w:r w:rsidRPr="00B22FF5">
        <w:rPr>
          <w:rStyle w:val="bb-header1"/>
          <w:rFonts w:eastAsia="MS Mincho"/>
          <w:color w:val="auto"/>
        </w:rPr>
        <w:t>General Accounting Office</w:t>
      </w:r>
      <w:r>
        <w:rPr>
          <w:rStyle w:val="bb-header1"/>
          <w:rFonts w:eastAsia="MS Mincho"/>
          <w:color w:val="auto"/>
        </w:rPr>
        <w:t>.</w:t>
      </w:r>
    </w:p>
    <w:p w:rsidR="00782A43" w:rsidRPr="00B22FF5" w:rsidRDefault="00782A43" w:rsidP="00AB4E0E">
      <w:pPr>
        <w:ind w:left="720" w:hanging="720"/>
        <w:rPr>
          <w:rStyle w:val="bb-header1"/>
          <w:rFonts w:eastAsia="MS Mincho"/>
          <w:color w:val="auto"/>
        </w:rPr>
      </w:pPr>
      <w:proofErr w:type="spellStart"/>
      <w:proofErr w:type="gramStart"/>
      <w:r w:rsidRPr="00B22FF5">
        <w:rPr>
          <w:rStyle w:val="bb-header1"/>
          <w:rFonts w:eastAsia="MS Mincho"/>
          <w:color w:val="auto"/>
        </w:rPr>
        <w:t>Hartel</w:t>
      </w:r>
      <w:proofErr w:type="spellEnd"/>
      <w:r w:rsidRPr="00B22FF5">
        <w:rPr>
          <w:rStyle w:val="bb-header1"/>
          <w:rFonts w:eastAsia="MS Mincho"/>
          <w:color w:val="auto"/>
        </w:rPr>
        <w:t xml:space="preserve">, D. M. &amp; </w:t>
      </w:r>
      <w:proofErr w:type="spellStart"/>
      <w:r w:rsidRPr="00B22FF5">
        <w:rPr>
          <w:rStyle w:val="bb-header1"/>
          <w:rFonts w:eastAsia="MS Mincho"/>
          <w:color w:val="auto"/>
        </w:rPr>
        <w:t>Schoenbaum</w:t>
      </w:r>
      <w:proofErr w:type="spellEnd"/>
      <w:r w:rsidRPr="00B22FF5">
        <w:rPr>
          <w:rStyle w:val="bb-header1"/>
          <w:rFonts w:eastAsia="MS Mincho"/>
          <w:color w:val="auto"/>
        </w:rPr>
        <w:t>, E. E. (1998).</w:t>
      </w:r>
      <w:proofErr w:type="gramEnd"/>
      <w:r w:rsidRPr="00B22FF5">
        <w:rPr>
          <w:rStyle w:val="bb-header1"/>
          <w:rFonts w:eastAsia="MS Mincho"/>
          <w:color w:val="auto"/>
        </w:rPr>
        <w:t xml:space="preserve"> Methadone treatment protects against HIV infection: two decades of experience in the Bronx, New York City</w:t>
      </w:r>
      <w:r w:rsidRPr="00B22FF5">
        <w:rPr>
          <w:rStyle w:val="bb-header1"/>
          <w:rFonts w:eastAsia="MS Mincho"/>
          <w:i/>
          <w:iCs/>
          <w:color w:val="auto"/>
        </w:rPr>
        <w:t>.</w:t>
      </w:r>
      <w:r w:rsidRPr="00B22FF5">
        <w:rPr>
          <w:rStyle w:val="bb-header1"/>
          <w:rFonts w:eastAsia="MS Mincho"/>
          <w:color w:val="auto"/>
        </w:rPr>
        <w:t xml:space="preserve"> </w:t>
      </w:r>
      <w:r w:rsidRPr="00B22FF5">
        <w:rPr>
          <w:rStyle w:val="bb-header1"/>
          <w:rFonts w:eastAsia="MS Mincho"/>
          <w:i/>
          <w:iCs/>
          <w:color w:val="auto"/>
        </w:rPr>
        <w:t xml:space="preserve">Public Health Reports, 113, </w:t>
      </w:r>
      <w:r w:rsidRPr="00B22FF5">
        <w:rPr>
          <w:rStyle w:val="bb-header1"/>
          <w:rFonts w:eastAsia="MS Mincho"/>
          <w:color w:val="auto"/>
        </w:rPr>
        <w:t>107–115.</w:t>
      </w:r>
    </w:p>
    <w:p w:rsidR="00782A43" w:rsidRPr="00B22FF5" w:rsidRDefault="00782A43" w:rsidP="00AB4E0E">
      <w:pPr>
        <w:ind w:left="720" w:hanging="720"/>
        <w:rPr>
          <w:rStyle w:val="bb-header1"/>
          <w:rFonts w:eastAsia="MS Mincho"/>
          <w:i/>
          <w:iCs/>
          <w:color w:val="auto"/>
        </w:rPr>
      </w:pPr>
      <w:proofErr w:type="gramStart"/>
      <w:r w:rsidRPr="00B22FF5">
        <w:t>Institute of Medicine (2001).</w:t>
      </w:r>
      <w:proofErr w:type="gramEnd"/>
      <w:r w:rsidRPr="00B22FF5">
        <w:t xml:space="preserve"> </w:t>
      </w:r>
      <w:r w:rsidRPr="00B22FF5">
        <w:rPr>
          <w:i/>
          <w:iCs/>
        </w:rPr>
        <w:t>No time to lose: getting more from HIV prevention</w:t>
      </w:r>
      <w:r w:rsidRPr="00B22FF5">
        <w:t>. Washington, DC: National Academy Press.</w:t>
      </w:r>
    </w:p>
    <w:p w:rsidR="00782A43" w:rsidRPr="00B22FF5" w:rsidRDefault="00782A43" w:rsidP="00AB4E0E">
      <w:pPr>
        <w:ind w:left="720" w:hanging="720"/>
        <w:rPr>
          <w:rStyle w:val="bb-header1"/>
          <w:rFonts w:eastAsia="MS Mincho"/>
          <w:color w:val="auto"/>
        </w:rPr>
      </w:pPr>
      <w:proofErr w:type="spellStart"/>
      <w:proofErr w:type="gramStart"/>
      <w:r w:rsidRPr="00B22FF5">
        <w:rPr>
          <w:rStyle w:val="bb-header1"/>
          <w:rFonts w:eastAsia="MS Mincho"/>
          <w:color w:val="auto"/>
        </w:rPr>
        <w:t>Magura</w:t>
      </w:r>
      <w:proofErr w:type="spellEnd"/>
      <w:r w:rsidRPr="00B22FF5">
        <w:rPr>
          <w:rStyle w:val="bb-header1"/>
          <w:rFonts w:eastAsia="MS Mincho"/>
          <w:color w:val="auto"/>
        </w:rPr>
        <w:t xml:space="preserve">, S., </w:t>
      </w:r>
      <w:proofErr w:type="spellStart"/>
      <w:r w:rsidRPr="00B22FF5">
        <w:rPr>
          <w:rStyle w:val="bb-header1"/>
          <w:rFonts w:eastAsia="MS Mincho"/>
          <w:color w:val="auto"/>
        </w:rPr>
        <w:t>Rosenblum</w:t>
      </w:r>
      <w:proofErr w:type="spellEnd"/>
      <w:r w:rsidRPr="00B22FF5">
        <w:rPr>
          <w:rStyle w:val="bb-header1"/>
          <w:rFonts w:eastAsia="MS Mincho"/>
          <w:color w:val="auto"/>
        </w:rPr>
        <w:t>, A., &amp; Rodriguez, E. M. (1998).</w:t>
      </w:r>
      <w:proofErr w:type="gramEnd"/>
      <w:r w:rsidRPr="00B22FF5">
        <w:rPr>
          <w:rStyle w:val="bb-header1"/>
          <w:rFonts w:eastAsia="MS Mincho"/>
          <w:color w:val="auto"/>
        </w:rPr>
        <w:t xml:space="preserve"> Changes in HIV risk behaviors among cocaine-using methadone patients</w:t>
      </w:r>
      <w:r w:rsidRPr="00B22FF5">
        <w:rPr>
          <w:rStyle w:val="bb-header1"/>
          <w:rFonts w:eastAsia="MS Mincho"/>
          <w:i/>
          <w:iCs/>
          <w:color w:val="auto"/>
        </w:rPr>
        <w:t>.</w:t>
      </w:r>
      <w:r w:rsidRPr="00B22FF5">
        <w:rPr>
          <w:rStyle w:val="bb-header1"/>
          <w:rFonts w:eastAsia="MS Mincho"/>
          <w:color w:val="auto"/>
        </w:rPr>
        <w:t xml:space="preserve"> </w:t>
      </w:r>
      <w:r w:rsidRPr="00B22FF5">
        <w:rPr>
          <w:rStyle w:val="bb-header1"/>
          <w:rFonts w:eastAsia="MS Mincho"/>
          <w:i/>
          <w:iCs/>
          <w:color w:val="auto"/>
        </w:rPr>
        <w:t>Journal of Addictive Diseases, 17</w:t>
      </w:r>
      <w:r w:rsidRPr="00B22FF5">
        <w:rPr>
          <w:rStyle w:val="bb-header1"/>
          <w:rFonts w:eastAsia="MS Mincho"/>
          <w:color w:val="auto"/>
        </w:rPr>
        <w:t>(4), 71–90.</w:t>
      </w:r>
    </w:p>
    <w:p w:rsidR="00782A43" w:rsidRPr="00B22FF5" w:rsidRDefault="00782A43" w:rsidP="00AB4E0E">
      <w:pPr>
        <w:ind w:left="720" w:hanging="720"/>
        <w:rPr>
          <w:rStyle w:val="bb-header1"/>
          <w:rFonts w:eastAsia="MS Mincho"/>
          <w:color w:val="auto"/>
        </w:rPr>
      </w:pPr>
      <w:r w:rsidRPr="00B22FF5">
        <w:rPr>
          <w:rStyle w:val="bb-header1"/>
          <w:rFonts w:eastAsia="MS Mincho"/>
          <w:color w:val="auto"/>
        </w:rPr>
        <w:lastRenderedPageBreak/>
        <w:t xml:space="preserve">Metzger, D. S., </w:t>
      </w:r>
      <w:r w:rsidRPr="00B22FF5">
        <w:t xml:space="preserve">Woody G. E., </w:t>
      </w:r>
      <w:proofErr w:type="spellStart"/>
      <w:r w:rsidRPr="00B22FF5">
        <w:t>McLellan</w:t>
      </w:r>
      <w:proofErr w:type="spellEnd"/>
      <w:r w:rsidRPr="00B22FF5">
        <w:t xml:space="preserve">, A. T., O'Brien, C. P., </w:t>
      </w:r>
      <w:proofErr w:type="spellStart"/>
      <w:r w:rsidRPr="00B22FF5">
        <w:t>Druley</w:t>
      </w:r>
      <w:proofErr w:type="spellEnd"/>
      <w:r w:rsidRPr="00B22FF5">
        <w:t xml:space="preserve">, P., </w:t>
      </w:r>
      <w:proofErr w:type="spellStart"/>
      <w:r w:rsidRPr="00B22FF5">
        <w:t>Navaline</w:t>
      </w:r>
      <w:proofErr w:type="spellEnd"/>
      <w:r w:rsidRPr="00B22FF5">
        <w:t xml:space="preserve">, H., </w:t>
      </w:r>
      <w:proofErr w:type="spellStart"/>
      <w:r w:rsidRPr="00B22FF5">
        <w:t>DePhilippis</w:t>
      </w:r>
      <w:proofErr w:type="spellEnd"/>
      <w:r w:rsidRPr="00B22FF5">
        <w:t xml:space="preserve">, D., </w:t>
      </w:r>
      <w:proofErr w:type="spellStart"/>
      <w:r w:rsidRPr="00B22FF5">
        <w:t>Stolley</w:t>
      </w:r>
      <w:proofErr w:type="spellEnd"/>
      <w:r w:rsidRPr="00B22FF5">
        <w:t xml:space="preserve">, P., &amp; </w:t>
      </w:r>
      <w:proofErr w:type="spellStart"/>
      <w:r w:rsidRPr="00B22FF5">
        <w:t>Abrutyn</w:t>
      </w:r>
      <w:proofErr w:type="spellEnd"/>
      <w:r w:rsidRPr="00B22FF5">
        <w:t>, E.</w:t>
      </w:r>
      <w:r w:rsidRPr="00B22FF5">
        <w:rPr>
          <w:rStyle w:val="bb-header1"/>
          <w:rFonts w:eastAsia="MS Mincho"/>
          <w:color w:val="auto"/>
        </w:rPr>
        <w:t xml:space="preserve"> (1993). Human immunodeficiency virus </w:t>
      </w:r>
      <w:proofErr w:type="spellStart"/>
      <w:r w:rsidRPr="00B22FF5">
        <w:rPr>
          <w:rStyle w:val="bb-header1"/>
          <w:rFonts w:eastAsia="MS Mincho"/>
          <w:color w:val="auto"/>
        </w:rPr>
        <w:t>seroconversion</w:t>
      </w:r>
      <w:proofErr w:type="spellEnd"/>
      <w:r w:rsidRPr="00B22FF5">
        <w:rPr>
          <w:rStyle w:val="bb-header1"/>
          <w:rFonts w:eastAsia="MS Mincho"/>
          <w:color w:val="auto"/>
        </w:rPr>
        <w:t xml:space="preserve"> among intravenous drug users in- and out-of-treatment: an 18-month prospective follow-up. </w:t>
      </w:r>
      <w:r w:rsidRPr="00B22FF5">
        <w:rPr>
          <w:rStyle w:val="bb-header1"/>
          <w:rFonts w:eastAsia="MS Mincho"/>
          <w:i/>
          <w:iCs/>
          <w:color w:val="auto"/>
        </w:rPr>
        <w:t>Journal of Acquired Immune Deficiency Syndromes,</w:t>
      </w:r>
      <w:r w:rsidRPr="00B22FF5">
        <w:rPr>
          <w:rStyle w:val="bb-header1"/>
          <w:rFonts w:eastAsia="MS Mincho"/>
          <w:color w:val="auto"/>
        </w:rPr>
        <w:t xml:space="preserve"> </w:t>
      </w:r>
      <w:r w:rsidRPr="00B22FF5">
        <w:rPr>
          <w:rStyle w:val="bb-header1"/>
          <w:rFonts w:eastAsia="MS Mincho"/>
          <w:i/>
          <w:iCs/>
          <w:color w:val="auto"/>
        </w:rPr>
        <w:t>6</w:t>
      </w:r>
      <w:r w:rsidRPr="00B22FF5">
        <w:rPr>
          <w:rStyle w:val="bb-header1"/>
          <w:rFonts w:eastAsia="MS Mincho"/>
          <w:color w:val="auto"/>
        </w:rPr>
        <w:t>(9)</w:t>
      </w:r>
      <w:r>
        <w:rPr>
          <w:rStyle w:val="bb-header1"/>
          <w:rFonts w:eastAsia="MS Mincho"/>
          <w:color w:val="auto"/>
        </w:rPr>
        <w:t>,</w:t>
      </w:r>
      <w:r w:rsidRPr="00B22FF5">
        <w:rPr>
          <w:rStyle w:val="bb-header1"/>
          <w:rFonts w:eastAsia="MS Mincho"/>
          <w:color w:val="auto"/>
        </w:rPr>
        <w:t xml:space="preserve"> 1049–1056.</w:t>
      </w:r>
    </w:p>
    <w:p w:rsidR="00782A43" w:rsidRPr="00B22FF5" w:rsidRDefault="00782A43" w:rsidP="00AB4E0E">
      <w:pPr>
        <w:ind w:left="720" w:hanging="720"/>
        <w:rPr>
          <w:rStyle w:val="bb-header1"/>
          <w:color w:val="auto"/>
        </w:rPr>
      </w:pPr>
      <w:proofErr w:type="gramStart"/>
      <w:r w:rsidRPr="00B22FF5">
        <w:t xml:space="preserve">Miller, W. R. &amp; </w:t>
      </w:r>
      <w:proofErr w:type="spellStart"/>
      <w:r w:rsidRPr="00B22FF5">
        <w:t>Tonigan</w:t>
      </w:r>
      <w:proofErr w:type="spellEnd"/>
      <w:r w:rsidRPr="00B22FF5">
        <w:t>, J. S. (1997).</w:t>
      </w:r>
      <w:proofErr w:type="gramEnd"/>
      <w:r w:rsidRPr="00B22FF5">
        <w:t xml:space="preserve"> Assessing the drinkers’ motivation for change: the Stages of Change Readiness and Treatment Eagerness Scale (SOCRATES), In A. </w:t>
      </w:r>
      <w:proofErr w:type="spellStart"/>
      <w:r w:rsidRPr="00B22FF5">
        <w:t>Marlatt</w:t>
      </w:r>
      <w:proofErr w:type="spellEnd"/>
      <w:r w:rsidRPr="00B22FF5">
        <w:t xml:space="preserve">, G. </w:t>
      </w:r>
      <w:proofErr w:type="spellStart"/>
      <w:r w:rsidRPr="00B22FF5">
        <w:t>VandenBos</w:t>
      </w:r>
      <w:proofErr w:type="spellEnd"/>
      <w:r w:rsidRPr="00B22FF5">
        <w:t xml:space="preserve"> (Eds</w:t>
      </w:r>
      <w:r w:rsidRPr="00B22FF5">
        <w:rPr>
          <w:i/>
          <w:iCs/>
        </w:rPr>
        <w:t>.</w:t>
      </w:r>
      <w:r w:rsidRPr="006C7FE5">
        <w:t>),</w:t>
      </w:r>
      <w:r w:rsidRPr="00B22FF5">
        <w:rPr>
          <w:i/>
          <w:iCs/>
        </w:rPr>
        <w:t xml:space="preserve"> </w:t>
      </w:r>
      <w:proofErr w:type="gramStart"/>
      <w:r w:rsidRPr="00B22FF5">
        <w:rPr>
          <w:rStyle w:val="medium-font"/>
          <w:i/>
          <w:iCs/>
        </w:rPr>
        <w:t>Addictive</w:t>
      </w:r>
      <w:proofErr w:type="gramEnd"/>
      <w:r w:rsidRPr="00B22FF5">
        <w:rPr>
          <w:rStyle w:val="medium-font"/>
          <w:i/>
          <w:iCs/>
        </w:rPr>
        <w:t xml:space="preserve"> behaviors: Readings on etiology, prevention, and </w:t>
      </w:r>
      <w:r w:rsidRPr="00B22FF5">
        <w:rPr>
          <w:rStyle w:val="Strong"/>
          <w:b w:val="0"/>
          <w:bCs w:val="0"/>
          <w:i/>
          <w:iCs/>
        </w:rPr>
        <w:t>treatment</w:t>
      </w:r>
      <w:r w:rsidRPr="00B22FF5">
        <w:rPr>
          <w:rStyle w:val="medium-font"/>
          <w:b/>
          <w:bCs/>
        </w:rPr>
        <w:t>.</w:t>
      </w:r>
      <w:r w:rsidRPr="00B22FF5">
        <w:rPr>
          <w:i/>
          <w:iCs/>
        </w:rPr>
        <w:t xml:space="preserve"> </w:t>
      </w:r>
      <w:r w:rsidRPr="00B22FF5">
        <w:t>Washington, DC: American Psychological Association.</w:t>
      </w:r>
      <w:r>
        <w:rPr>
          <w:i/>
          <w:iCs/>
        </w:rPr>
        <w:t xml:space="preserve"> </w:t>
      </w:r>
    </w:p>
    <w:p w:rsidR="00782A43" w:rsidRPr="00B22FF5" w:rsidRDefault="00782A43" w:rsidP="00AB4E0E">
      <w:pPr>
        <w:autoSpaceDE w:val="0"/>
        <w:autoSpaceDN w:val="0"/>
        <w:adjustRightInd w:val="0"/>
        <w:ind w:left="720" w:hanging="720"/>
        <w:rPr>
          <w:rStyle w:val="bb-header1"/>
          <w:color w:val="auto"/>
        </w:rPr>
      </w:pPr>
      <w:proofErr w:type="gramStart"/>
      <w:r w:rsidRPr="00B22FF5">
        <w:rPr>
          <w:rStyle w:val="bb-header1"/>
          <w:rFonts w:eastAsia="MS Mincho"/>
          <w:color w:val="auto"/>
        </w:rPr>
        <w:t>Minority Aids Initiative</w:t>
      </w:r>
      <w:r>
        <w:rPr>
          <w:rStyle w:val="bb-header1"/>
          <w:rFonts w:eastAsia="MS Mincho"/>
          <w:color w:val="auto"/>
        </w:rPr>
        <w:t>.</w:t>
      </w:r>
      <w:proofErr w:type="gramEnd"/>
      <w:r w:rsidRPr="00B22FF5">
        <w:rPr>
          <w:rStyle w:val="bb-header1"/>
          <w:rFonts w:eastAsia="MS Mincho"/>
          <w:color w:val="auto"/>
        </w:rPr>
        <w:t xml:space="preserve"> (1998)</w:t>
      </w:r>
      <w:r>
        <w:rPr>
          <w:rStyle w:val="bb-header1"/>
          <w:rFonts w:eastAsia="MS Mincho"/>
          <w:color w:val="auto"/>
        </w:rPr>
        <w:t>.</w:t>
      </w:r>
      <w:r w:rsidRPr="00B22FF5">
        <w:rPr>
          <w:rStyle w:val="bb-header1"/>
          <w:rFonts w:eastAsia="MS Mincho"/>
          <w:color w:val="auto"/>
        </w:rPr>
        <w:t xml:space="preserve"> </w:t>
      </w:r>
      <w:r w:rsidRPr="00B22FF5">
        <w:t>U.S. Congress, Omnibus Consolidated and Emergency</w:t>
      </w:r>
      <w:r>
        <w:t xml:space="preserve"> </w:t>
      </w:r>
      <w:r w:rsidRPr="00B22FF5">
        <w:t xml:space="preserve">Supplemental Appropriations Act, 1999 (PL 105-277), October 21, 1998. </w:t>
      </w:r>
      <w:proofErr w:type="gramStart"/>
      <w:r w:rsidRPr="00B22FF5">
        <w:t xml:space="preserve">Retrieved on February 12, 2010 at </w:t>
      </w:r>
      <w:r w:rsidRPr="00B22FF5">
        <w:rPr>
          <w:i/>
          <w:iCs/>
        </w:rPr>
        <w:t>http://minorityhealth.hhs.gov/templates/browse.aspx?lvl=2&amp;lvlID=36.</w:t>
      </w:r>
      <w:proofErr w:type="gramEnd"/>
    </w:p>
    <w:p w:rsidR="00782A43" w:rsidRPr="00B22FF5" w:rsidRDefault="00782A43" w:rsidP="00AB4E0E">
      <w:pPr>
        <w:rPr>
          <w:rStyle w:val="title-link-wrapper"/>
        </w:rPr>
      </w:pPr>
      <w:r w:rsidRPr="00B22FF5">
        <w:rPr>
          <w:rStyle w:val="medium-font"/>
        </w:rPr>
        <w:t xml:space="preserve">Murphy, D. A., Brecht, M. L., </w:t>
      </w:r>
      <w:proofErr w:type="spellStart"/>
      <w:r w:rsidRPr="00B22FF5">
        <w:rPr>
          <w:rStyle w:val="medium-font"/>
        </w:rPr>
        <w:t>Herbeck</w:t>
      </w:r>
      <w:proofErr w:type="spellEnd"/>
      <w:r w:rsidRPr="00B22FF5">
        <w:rPr>
          <w:rStyle w:val="medium-font"/>
        </w:rPr>
        <w:t xml:space="preserve">, D., Evans, E., Huang, D., &amp; </w:t>
      </w:r>
      <w:proofErr w:type="spellStart"/>
      <w:r w:rsidRPr="00B22FF5">
        <w:rPr>
          <w:rStyle w:val="medium-font"/>
        </w:rPr>
        <w:t>Hser</w:t>
      </w:r>
      <w:proofErr w:type="spellEnd"/>
      <w:r w:rsidRPr="00B22FF5">
        <w:rPr>
          <w:rStyle w:val="medium-font"/>
        </w:rPr>
        <w:t>, Y.</w:t>
      </w:r>
      <w:r>
        <w:rPr>
          <w:rStyle w:val="medium-font"/>
        </w:rPr>
        <w:t xml:space="preserve"> </w:t>
      </w:r>
      <w:r w:rsidRPr="00B22FF5">
        <w:rPr>
          <w:rStyle w:val="medium-font"/>
        </w:rPr>
        <w:t xml:space="preserve">I. (2008). </w:t>
      </w:r>
    </w:p>
    <w:p w:rsidR="00782A43" w:rsidRPr="00B22FF5" w:rsidRDefault="0052625B" w:rsidP="00AB4E0E">
      <w:pPr>
        <w:ind w:left="720"/>
        <w:rPr>
          <w:rStyle w:val="bb-header1"/>
          <w:color w:val="auto"/>
        </w:rPr>
      </w:pPr>
      <w:hyperlink r:id="rId21" w:tooltip="Longitudinal HIV risk behavior among the Drug Abuse Treatment Outcome Studies (DATOS) adult sample." w:history="1">
        <w:proofErr w:type="gramStart"/>
        <w:r w:rsidR="00782A43" w:rsidRPr="00B22FF5">
          <w:rPr>
            <w:rStyle w:val="Hyperlink"/>
            <w:color w:val="auto"/>
            <w:u w:val="none"/>
          </w:rPr>
          <w:t>Longitudinal HIV risk behavior among the Drug Abuse Treatment Outcome Studies (DATOS) adult sample.</w:t>
        </w:r>
        <w:proofErr w:type="gramEnd"/>
      </w:hyperlink>
      <w:r w:rsidR="00782A43" w:rsidRPr="00B22FF5">
        <w:rPr>
          <w:rStyle w:val="title-link-wrapper"/>
        </w:rPr>
        <w:t xml:space="preserve"> </w:t>
      </w:r>
      <w:r w:rsidR="00782A43" w:rsidRPr="00B22FF5">
        <w:rPr>
          <w:rStyle w:val="medium-font"/>
          <w:i/>
          <w:iCs/>
        </w:rPr>
        <w:t>Evaluation Review, 32</w:t>
      </w:r>
      <w:r w:rsidR="00782A43" w:rsidRPr="00B22FF5">
        <w:rPr>
          <w:rStyle w:val="medium-font"/>
        </w:rPr>
        <w:t xml:space="preserve">(1), 83–112. </w:t>
      </w:r>
    </w:p>
    <w:p w:rsidR="00782A43" w:rsidRPr="00B22FF5" w:rsidRDefault="00782A43" w:rsidP="00AB4E0E">
      <w:pPr>
        <w:ind w:left="720" w:hanging="720"/>
        <w:rPr>
          <w:rStyle w:val="bb-header1"/>
          <w:rFonts w:eastAsia="MS Mincho"/>
          <w:color w:val="auto"/>
        </w:rPr>
      </w:pPr>
      <w:proofErr w:type="spellStart"/>
      <w:r w:rsidRPr="00B22FF5">
        <w:rPr>
          <w:rStyle w:val="bb-header1"/>
          <w:rFonts w:eastAsia="MS Mincho"/>
          <w:color w:val="auto"/>
        </w:rPr>
        <w:t>Palepu</w:t>
      </w:r>
      <w:proofErr w:type="spellEnd"/>
      <w:r w:rsidRPr="00B22FF5">
        <w:rPr>
          <w:rStyle w:val="bb-header1"/>
          <w:rFonts w:eastAsia="MS Mincho"/>
          <w:color w:val="auto"/>
        </w:rPr>
        <w:t>, A.,</w:t>
      </w:r>
      <w:r w:rsidRPr="00B22FF5">
        <w:rPr>
          <w:rStyle w:val="Strong"/>
          <w:b w:val="0"/>
          <w:bCs w:val="0"/>
        </w:rPr>
        <w:t xml:space="preserve"> Tyndall, H. Leon, H., Muller, J., </w:t>
      </w:r>
      <w:hyperlink r:id="rId22" w:history="1">
        <w:r w:rsidRPr="00234FDE">
          <w:rPr>
            <w:rStyle w:val="Hyperlink"/>
            <w:color w:val="auto"/>
            <w:u w:val="none"/>
          </w:rPr>
          <w:t>O'Shaughnessy M. V</w:t>
        </w:r>
      </w:hyperlink>
      <w:r>
        <w:t>.</w:t>
      </w:r>
      <w:r w:rsidRPr="00234FDE">
        <w:t xml:space="preserve">, </w:t>
      </w:r>
      <w:hyperlink r:id="rId23" w:history="1">
        <w:r w:rsidRPr="00234FDE">
          <w:rPr>
            <w:rStyle w:val="Hyperlink"/>
            <w:color w:val="auto"/>
            <w:u w:val="none"/>
          </w:rPr>
          <w:t>Schechter,  M. T</w:t>
        </w:r>
      </w:hyperlink>
      <w:r w:rsidRPr="00234FDE">
        <w:t xml:space="preserve">., &amp;  </w:t>
      </w:r>
      <w:hyperlink r:id="rId24" w:history="1">
        <w:r w:rsidRPr="00234FDE">
          <w:rPr>
            <w:rStyle w:val="Hyperlink"/>
            <w:color w:val="auto"/>
            <w:u w:val="none"/>
          </w:rPr>
          <w:t>Anis,  A. H</w:t>
        </w:r>
      </w:hyperlink>
      <w:r w:rsidRPr="00234FDE">
        <w:t>.</w:t>
      </w:r>
      <w:r w:rsidRPr="00234FDE">
        <w:rPr>
          <w:rStyle w:val="Strong"/>
          <w:b w:val="0"/>
          <w:bCs w:val="0"/>
        </w:rPr>
        <w:t xml:space="preserve"> </w:t>
      </w:r>
      <w:r w:rsidRPr="00234FDE">
        <w:rPr>
          <w:rStyle w:val="bb-header1"/>
          <w:rFonts w:eastAsia="MS Mincho"/>
          <w:color w:val="auto"/>
        </w:rPr>
        <w:t>(2001). Hospital utilization and costs in a co</w:t>
      </w:r>
      <w:r w:rsidRPr="00B22FF5">
        <w:rPr>
          <w:rStyle w:val="bb-header1"/>
          <w:rFonts w:eastAsia="MS Mincho"/>
          <w:color w:val="auto"/>
        </w:rPr>
        <w:t xml:space="preserve">hort of injection drug users. </w:t>
      </w:r>
      <w:proofErr w:type="gramStart"/>
      <w:r w:rsidRPr="00B22FF5">
        <w:rPr>
          <w:rStyle w:val="bb-header1"/>
          <w:rFonts w:eastAsia="MS Mincho"/>
          <w:i/>
          <w:iCs/>
          <w:color w:val="auto"/>
        </w:rPr>
        <w:t>Canadian Medical Association Journal, 165</w:t>
      </w:r>
      <w:r w:rsidRPr="00B22FF5">
        <w:rPr>
          <w:rStyle w:val="bb-header1"/>
          <w:rFonts w:eastAsia="MS Mincho"/>
          <w:color w:val="auto"/>
        </w:rPr>
        <w:t>(4), 415–20.</w:t>
      </w:r>
      <w:proofErr w:type="gramEnd"/>
    </w:p>
    <w:p w:rsidR="00782A43" w:rsidRPr="00B22FF5" w:rsidRDefault="00782A43" w:rsidP="00AB4E0E">
      <w:pPr>
        <w:ind w:left="720" w:hanging="720"/>
        <w:rPr>
          <w:rStyle w:val="bb-header1"/>
          <w:rFonts w:eastAsia="MS Mincho"/>
          <w:color w:val="auto"/>
        </w:rPr>
      </w:pPr>
      <w:proofErr w:type="gramStart"/>
      <w:r w:rsidRPr="00B22FF5">
        <w:t xml:space="preserve">Prendergast, M. L., </w:t>
      </w:r>
      <w:proofErr w:type="spellStart"/>
      <w:r w:rsidRPr="00B22FF5">
        <w:t>Urada</w:t>
      </w:r>
      <w:proofErr w:type="spellEnd"/>
      <w:r w:rsidRPr="00B22FF5">
        <w:t xml:space="preserve">, D., &amp; </w:t>
      </w:r>
      <w:proofErr w:type="spellStart"/>
      <w:r w:rsidRPr="00B22FF5">
        <w:t>Podus</w:t>
      </w:r>
      <w:proofErr w:type="spellEnd"/>
      <w:r w:rsidRPr="00B22FF5">
        <w:t>, D. (2001).</w:t>
      </w:r>
      <w:proofErr w:type="gramEnd"/>
      <w:r w:rsidRPr="00B22FF5">
        <w:t xml:space="preserve"> </w:t>
      </w:r>
      <w:proofErr w:type="gramStart"/>
      <w:r w:rsidRPr="00B22FF5">
        <w:t>Meta-analysis of HIV risk-reductions within drug abuse treatment programs.</w:t>
      </w:r>
      <w:proofErr w:type="gramEnd"/>
      <w:r w:rsidRPr="00B22FF5">
        <w:t xml:space="preserve"> </w:t>
      </w:r>
      <w:r w:rsidRPr="00B22FF5">
        <w:rPr>
          <w:i/>
          <w:iCs/>
        </w:rPr>
        <w:t>Journal of Consulting and Clinical Psychology,</w:t>
      </w:r>
      <w:r w:rsidRPr="00B22FF5">
        <w:t xml:space="preserve"> </w:t>
      </w:r>
      <w:r w:rsidRPr="00B22FF5">
        <w:rPr>
          <w:i/>
          <w:iCs/>
        </w:rPr>
        <w:t>69</w:t>
      </w:r>
      <w:r w:rsidRPr="00B22FF5">
        <w:t>(3), 389–405.</w:t>
      </w:r>
    </w:p>
    <w:p w:rsidR="00782A43" w:rsidRPr="00B22FF5" w:rsidRDefault="00782A43" w:rsidP="00AB4E0E">
      <w:pPr>
        <w:ind w:left="720" w:hanging="720"/>
      </w:pPr>
      <w:proofErr w:type="spellStart"/>
      <w:proofErr w:type="gramStart"/>
      <w:r w:rsidRPr="00B22FF5">
        <w:t>Rutter</w:t>
      </w:r>
      <w:proofErr w:type="spellEnd"/>
      <w:r w:rsidRPr="00B22FF5">
        <w:t>, M. (1987).</w:t>
      </w:r>
      <w:proofErr w:type="gramEnd"/>
      <w:r w:rsidRPr="00B22FF5">
        <w:t xml:space="preserve"> </w:t>
      </w:r>
      <w:proofErr w:type="gramStart"/>
      <w:r w:rsidRPr="00B22FF5">
        <w:t>Psychosocial resilience and protective mechanisms.</w:t>
      </w:r>
      <w:proofErr w:type="gramEnd"/>
      <w:r>
        <w:t xml:space="preserve"> </w:t>
      </w:r>
      <w:r w:rsidRPr="00B22FF5">
        <w:rPr>
          <w:i/>
          <w:iCs/>
        </w:rPr>
        <w:t>American Journal of Orthopsychiatry, 57</w:t>
      </w:r>
      <w:r w:rsidRPr="00B22FF5">
        <w:t>(3), 316–331.</w:t>
      </w:r>
    </w:p>
    <w:p w:rsidR="00782A43" w:rsidRPr="00B22FF5" w:rsidRDefault="00782A43" w:rsidP="00AB4E0E">
      <w:pPr>
        <w:ind w:left="720" w:hanging="720"/>
        <w:rPr>
          <w:rStyle w:val="bb-header1"/>
          <w:rFonts w:eastAsia="MS Mincho"/>
          <w:color w:val="auto"/>
        </w:rPr>
      </w:pPr>
      <w:proofErr w:type="spellStart"/>
      <w:proofErr w:type="gramStart"/>
      <w:r w:rsidRPr="00B22FF5">
        <w:rPr>
          <w:rStyle w:val="bb-header1"/>
          <w:rFonts w:eastAsia="MS Mincho"/>
          <w:color w:val="auto"/>
        </w:rPr>
        <w:t>Somlai</w:t>
      </w:r>
      <w:proofErr w:type="spellEnd"/>
      <w:r w:rsidRPr="00B22FF5">
        <w:rPr>
          <w:rStyle w:val="bb-header1"/>
          <w:rFonts w:eastAsia="MS Mincho"/>
          <w:color w:val="auto"/>
        </w:rPr>
        <w:t>, A.</w:t>
      </w:r>
      <w:r>
        <w:rPr>
          <w:rStyle w:val="bb-header1"/>
          <w:rFonts w:eastAsia="MS Mincho"/>
          <w:color w:val="auto"/>
        </w:rPr>
        <w:t xml:space="preserve"> </w:t>
      </w:r>
      <w:r w:rsidRPr="00B22FF5">
        <w:rPr>
          <w:rStyle w:val="bb-header1"/>
          <w:rFonts w:eastAsia="MS Mincho"/>
          <w:color w:val="auto"/>
        </w:rPr>
        <w:t xml:space="preserve">M., </w:t>
      </w:r>
      <w:r w:rsidRPr="00B22FF5">
        <w:t>Kelly J.</w:t>
      </w:r>
      <w:r>
        <w:t xml:space="preserve"> </w:t>
      </w:r>
      <w:r w:rsidRPr="00B22FF5">
        <w:t>A</w:t>
      </w:r>
      <w:r>
        <w:t>.</w:t>
      </w:r>
      <w:r w:rsidRPr="00B22FF5">
        <w:t>, McAuliffe, T. L</w:t>
      </w:r>
      <w:r>
        <w:t>.,</w:t>
      </w:r>
      <w:r w:rsidRPr="00B22FF5">
        <w:t xml:space="preserve"> </w:t>
      </w:r>
      <w:proofErr w:type="spellStart"/>
      <w:r w:rsidRPr="00B22FF5">
        <w:t>Ksobiech</w:t>
      </w:r>
      <w:proofErr w:type="spellEnd"/>
      <w:r w:rsidRPr="00B22FF5">
        <w:t xml:space="preserve">, K., &amp; </w:t>
      </w:r>
      <w:proofErr w:type="spellStart"/>
      <w:r w:rsidRPr="00B22FF5">
        <w:t>Hackl</w:t>
      </w:r>
      <w:proofErr w:type="spellEnd"/>
      <w:r w:rsidRPr="00B22FF5">
        <w:t>, K. L.</w:t>
      </w:r>
      <w:r w:rsidRPr="00B22FF5">
        <w:rPr>
          <w:rStyle w:val="bb-header1"/>
          <w:rFonts w:eastAsia="MS Mincho"/>
          <w:color w:val="auto"/>
        </w:rPr>
        <w:t xml:space="preserve"> (2003).</w:t>
      </w:r>
      <w:proofErr w:type="gramEnd"/>
      <w:r w:rsidRPr="00B22FF5">
        <w:rPr>
          <w:rStyle w:val="bb-header1"/>
          <w:rFonts w:eastAsia="MS Mincho"/>
          <w:color w:val="auto"/>
        </w:rPr>
        <w:t xml:space="preserve"> Predictors of HIV sexual risk behaviors in a community sample of injection drug-using men and women. </w:t>
      </w:r>
      <w:proofErr w:type="gramStart"/>
      <w:r w:rsidRPr="00B22FF5">
        <w:rPr>
          <w:rStyle w:val="bb-header1"/>
          <w:rFonts w:eastAsia="MS Mincho"/>
          <w:i/>
          <w:iCs/>
          <w:color w:val="auto"/>
        </w:rPr>
        <w:t>AIDS and Behavior,</w:t>
      </w:r>
      <w:r w:rsidRPr="00B22FF5">
        <w:rPr>
          <w:rStyle w:val="bb-header1"/>
          <w:rFonts w:eastAsia="MS Mincho"/>
          <w:color w:val="auto"/>
        </w:rPr>
        <w:t xml:space="preserve"> </w:t>
      </w:r>
      <w:r w:rsidRPr="00B22FF5">
        <w:rPr>
          <w:rStyle w:val="bb-header1"/>
          <w:rFonts w:eastAsia="MS Mincho"/>
          <w:i/>
          <w:iCs/>
          <w:color w:val="auto"/>
        </w:rPr>
        <w:t>7</w:t>
      </w:r>
      <w:r w:rsidRPr="00B22FF5">
        <w:rPr>
          <w:rStyle w:val="bb-header1"/>
          <w:rFonts w:eastAsia="MS Mincho"/>
          <w:color w:val="auto"/>
        </w:rPr>
        <w:t>(4), 383–93.</w:t>
      </w:r>
      <w:proofErr w:type="gramEnd"/>
    </w:p>
    <w:p w:rsidR="00782A43" w:rsidRPr="00B22FF5" w:rsidRDefault="00782A43" w:rsidP="00AB4E0E">
      <w:pPr>
        <w:ind w:left="720" w:hanging="720"/>
        <w:rPr>
          <w:rStyle w:val="bb-header1"/>
          <w:rFonts w:eastAsia="MS Mincho"/>
          <w:color w:val="auto"/>
        </w:rPr>
      </w:pPr>
      <w:proofErr w:type="gramStart"/>
      <w:r w:rsidRPr="00B22FF5">
        <w:rPr>
          <w:rStyle w:val="bb-header1"/>
          <w:rFonts w:eastAsia="MS Mincho"/>
          <w:color w:val="auto"/>
        </w:rPr>
        <w:t xml:space="preserve">Sullivan, L. E., </w:t>
      </w:r>
      <w:r w:rsidRPr="00B22FF5">
        <w:t xml:space="preserve">Metzger, D. S., </w:t>
      </w:r>
      <w:proofErr w:type="spellStart"/>
      <w:r w:rsidRPr="00B22FF5">
        <w:t>Fudala</w:t>
      </w:r>
      <w:proofErr w:type="spellEnd"/>
      <w:r w:rsidRPr="00B22FF5">
        <w:t xml:space="preserve">, P. J., &amp; </w:t>
      </w:r>
      <w:proofErr w:type="spellStart"/>
      <w:r w:rsidRPr="00B22FF5">
        <w:t>Fiellin</w:t>
      </w:r>
      <w:proofErr w:type="spellEnd"/>
      <w:r w:rsidRPr="00B22FF5">
        <w:t>, D. A.</w:t>
      </w:r>
      <w:r w:rsidRPr="00B22FF5" w:rsidDel="00953F21">
        <w:rPr>
          <w:rStyle w:val="bb-header1"/>
          <w:rFonts w:eastAsia="MS Mincho"/>
          <w:color w:val="auto"/>
        </w:rPr>
        <w:t xml:space="preserve"> </w:t>
      </w:r>
      <w:r w:rsidRPr="00B22FF5">
        <w:rPr>
          <w:rStyle w:val="bb-header1"/>
          <w:rFonts w:eastAsia="MS Mincho"/>
          <w:color w:val="auto"/>
        </w:rPr>
        <w:t>(2005).</w:t>
      </w:r>
      <w:proofErr w:type="gramEnd"/>
      <w:r w:rsidRPr="00B22FF5">
        <w:rPr>
          <w:rStyle w:val="bb-header1"/>
          <w:rFonts w:eastAsia="MS Mincho"/>
          <w:color w:val="auto"/>
        </w:rPr>
        <w:t xml:space="preserve"> </w:t>
      </w:r>
      <w:proofErr w:type="gramStart"/>
      <w:r w:rsidRPr="00B22FF5">
        <w:rPr>
          <w:rStyle w:val="bb-header1"/>
          <w:rFonts w:eastAsia="MS Mincho"/>
          <w:color w:val="auto"/>
        </w:rPr>
        <w:t xml:space="preserve">Decreasing international HIV transmission: The role of expanding access to </w:t>
      </w:r>
      <w:proofErr w:type="spellStart"/>
      <w:r w:rsidRPr="00B22FF5">
        <w:rPr>
          <w:rStyle w:val="bb-header1"/>
          <w:rFonts w:eastAsia="MS Mincho"/>
          <w:color w:val="auto"/>
        </w:rPr>
        <w:t>opioid</w:t>
      </w:r>
      <w:proofErr w:type="spellEnd"/>
      <w:r w:rsidRPr="00B22FF5">
        <w:rPr>
          <w:rStyle w:val="bb-header1"/>
          <w:rFonts w:eastAsia="MS Mincho"/>
          <w:color w:val="auto"/>
        </w:rPr>
        <w:t xml:space="preserve"> agonist therapies for injection drug users</w:t>
      </w:r>
      <w:r w:rsidRPr="00B22FF5">
        <w:rPr>
          <w:rStyle w:val="bb-header1"/>
          <w:rFonts w:eastAsia="MS Mincho"/>
          <w:i/>
          <w:iCs/>
          <w:color w:val="auto"/>
        </w:rPr>
        <w:t>.</w:t>
      </w:r>
      <w:proofErr w:type="gramEnd"/>
      <w:r w:rsidRPr="00B22FF5">
        <w:rPr>
          <w:rStyle w:val="bb-header1"/>
          <w:rFonts w:eastAsia="MS Mincho"/>
          <w:color w:val="auto"/>
        </w:rPr>
        <w:t xml:space="preserve"> </w:t>
      </w:r>
      <w:r w:rsidRPr="00B22FF5">
        <w:rPr>
          <w:rStyle w:val="bb-header1"/>
          <w:rFonts w:eastAsia="MS Mincho"/>
          <w:i/>
          <w:iCs/>
          <w:color w:val="auto"/>
        </w:rPr>
        <w:t>Addiction,</w:t>
      </w:r>
      <w:r w:rsidRPr="00B22FF5">
        <w:rPr>
          <w:rStyle w:val="bb-header1"/>
          <w:rFonts w:eastAsia="MS Mincho"/>
          <w:color w:val="auto"/>
        </w:rPr>
        <w:t xml:space="preserve"> </w:t>
      </w:r>
      <w:r w:rsidRPr="00B22FF5">
        <w:rPr>
          <w:rStyle w:val="bb-header1"/>
          <w:rFonts w:eastAsia="MS Mincho"/>
          <w:i/>
          <w:iCs/>
          <w:color w:val="auto"/>
        </w:rPr>
        <w:t>100</w:t>
      </w:r>
      <w:r w:rsidRPr="00B22FF5">
        <w:rPr>
          <w:rStyle w:val="bb-header1"/>
          <w:rFonts w:eastAsia="MS Mincho"/>
          <w:color w:val="auto"/>
        </w:rPr>
        <w:t>(2)</w:t>
      </w:r>
      <w:r w:rsidRPr="00B22FF5">
        <w:rPr>
          <w:rStyle w:val="bb-header1"/>
          <w:rFonts w:eastAsia="MS Mincho"/>
          <w:i/>
          <w:iCs/>
          <w:color w:val="auto"/>
        </w:rPr>
        <w:t>,</w:t>
      </w:r>
      <w:r w:rsidRPr="00B22FF5">
        <w:rPr>
          <w:rStyle w:val="bb-header1"/>
          <w:rFonts w:eastAsia="MS Mincho"/>
          <w:color w:val="auto"/>
        </w:rPr>
        <w:t xml:space="preserve"> 150–158.</w:t>
      </w:r>
    </w:p>
    <w:p w:rsidR="00782A43" w:rsidRPr="00B22FF5" w:rsidRDefault="00782A43" w:rsidP="00AB4E0E">
      <w:pPr>
        <w:ind w:left="720" w:hanging="720"/>
        <w:rPr>
          <w:rStyle w:val="bb-header1"/>
          <w:rFonts w:eastAsia="MS Mincho"/>
          <w:color w:val="auto"/>
        </w:rPr>
      </w:pPr>
      <w:r w:rsidRPr="00B22FF5">
        <w:rPr>
          <w:rStyle w:val="bb-header1"/>
          <w:rFonts w:eastAsia="MS Mincho"/>
          <w:color w:val="auto"/>
        </w:rPr>
        <w:t>Texas Christian University</w:t>
      </w:r>
      <w:r>
        <w:rPr>
          <w:rStyle w:val="bb-header1"/>
          <w:rFonts w:eastAsia="MS Mincho"/>
          <w:color w:val="auto"/>
        </w:rPr>
        <w:t>.</w:t>
      </w:r>
      <w:r w:rsidRPr="00B22FF5">
        <w:rPr>
          <w:rStyle w:val="bb-header1"/>
          <w:rFonts w:eastAsia="MS Mincho"/>
          <w:color w:val="auto"/>
        </w:rPr>
        <w:t xml:space="preserve"> </w:t>
      </w:r>
      <w:proofErr w:type="gramStart"/>
      <w:r w:rsidRPr="00B22FF5">
        <w:rPr>
          <w:rStyle w:val="bb-header1"/>
          <w:rFonts w:eastAsia="MS Mincho"/>
          <w:color w:val="auto"/>
        </w:rPr>
        <w:t xml:space="preserve">(2005). </w:t>
      </w:r>
      <w:bookmarkStart w:id="81" w:name="Form_CESI"/>
      <w:r w:rsidRPr="00B22FF5">
        <w:t>Client Evaluation of Self and Treatment, Intake Version (TCU CEST-Intake)</w:t>
      </w:r>
      <w:bookmarkEnd w:id="81"/>
      <w:r w:rsidRPr="00B22FF5">
        <w:t>.</w:t>
      </w:r>
      <w:proofErr w:type="gramEnd"/>
      <w:r w:rsidRPr="00B22FF5">
        <w:rPr>
          <w:rFonts w:ascii="Verdana" w:hAnsi="Verdana" w:cs="Verdana"/>
          <w:b/>
          <w:bCs/>
        </w:rPr>
        <w:t xml:space="preserve"> </w:t>
      </w:r>
      <w:proofErr w:type="gramStart"/>
      <w:r w:rsidRPr="00B22FF5">
        <w:t>Retrieved February 12, 2010 from</w:t>
      </w:r>
      <w:r w:rsidRPr="00B22FF5">
        <w:rPr>
          <w:rFonts w:ascii="Verdana" w:hAnsi="Verdana" w:cs="Verdana"/>
          <w:b/>
          <w:bCs/>
        </w:rPr>
        <w:t xml:space="preserve"> </w:t>
      </w:r>
      <w:hyperlink r:id="rId25" w:anchor="Form-CEST" w:history="1">
        <w:r w:rsidRPr="006C7FE5">
          <w:rPr>
            <w:rStyle w:val="Hyperlink"/>
            <w:i/>
            <w:iCs/>
            <w:color w:val="auto"/>
            <w:u w:val="none"/>
          </w:rPr>
          <w:t>http://www.ibr.tcu.edu/pubs/datacoll/commtrt.html#Form-CEST</w:t>
        </w:r>
      </w:hyperlink>
      <w:r w:rsidRPr="00B22FF5">
        <w:rPr>
          <w:i/>
          <w:iCs/>
        </w:rPr>
        <w:t>.</w:t>
      </w:r>
      <w:proofErr w:type="gramEnd"/>
      <w:r>
        <w:rPr>
          <w:i/>
          <w:iCs/>
        </w:rPr>
        <w:t xml:space="preserve"> </w:t>
      </w:r>
    </w:p>
    <w:p w:rsidR="00782A43" w:rsidRPr="00B22FF5" w:rsidRDefault="00782A43" w:rsidP="00AB4E0E">
      <w:pPr>
        <w:ind w:left="720" w:hanging="720"/>
        <w:rPr>
          <w:rStyle w:val="bb-header1"/>
          <w:rFonts w:eastAsia="MS Mincho"/>
          <w:color w:val="auto"/>
        </w:rPr>
      </w:pPr>
      <w:proofErr w:type="gramStart"/>
      <w:r w:rsidRPr="00B22FF5">
        <w:rPr>
          <w:rStyle w:val="bb-header1"/>
          <w:rFonts w:eastAsia="MS Mincho"/>
          <w:color w:val="auto"/>
        </w:rPr>
        <w:t xml:space="preserve">Turner, B. J., </w:t>
      </w:r>
      <w:proofErr w:type="spellStart"/>
      <w:r w:rsidRPr="00B22FF5">
        <w:t>Laine</w:t>
      </w:r>
      <w:proofErr w:type="spellEnd"/>
      <w:r w:rsidRPr="00B22FF5">
        <w:t xml:space="preserve">, C., </w:t>
      </w:r>
      <w:proofErr w:type="spellStart"/>
      <w:r w:rsidRPr="00B22FF5">
        <w:t>Cosler</w:t>
      </w:r>
      <w:proofErr w:type="spellEnd"/>
      <w:r w:rsidRPr="00B22FF5">
        <w:t>, L., &amp; Hauck, W. W.</w:t>
      </w:r>
      <w:r w:rsidRPr="00B22FF5">
        <w:rPr>
          <w:rStyle w:val="bb-header1"/>
          <w:rFonts w:eastAsia="MS Mincho"/>
          <w:color w:val="auto"/>
        </w:rPr>
        <w:t xml:space="preserve"> (2003).</w:t>
      </w:r>
      <w:proofErr w:type="gramEnd"/>
      <w:r w:rsidRPr="00B22FF5">
        <w:rPr>
          <w:rStyle w:val="bb-header1"/>
          <w:rFonts w:eastAsia="MS Mincho"/>
          <w:color w:val="auto"/>
        </w:rPr>
        <w:t xml:space="preserve"> </w:t>
      </w:r>
      <w:proofErr w:type="gramStart"/>
      <w:r w:rsidRPr="00B22FF5">
        <w:rPr>
          <w:rStyle w:val="bb-header1"/>
          <w:rFonts w:eastAsia="MS Mincho"/>
          <w:color w:val="auto"/>
        </w:rPr>
        <w:t>Relationship of gender, depression, and health care delivery with antiretroviral adherence in HIV-infected drug users.</w:t>
      </w:r>
      <w:proofErr w:type="gramEnd"/>
      <w:r w:rsidRPr="00B22FF5">
        <w:rPr>
          <w:rStyle w:val="bb-header1"/>
          <w:rFonts w:eastAsia="MS Mincho"/>
          <w:color w:val="auto"/>
        </w:rPr>
        <w:t xml:space="preserve"> </w:t>
      </w:r>
      <w:r w:rsidRPr="00B22FF5">
        <w:rPr>
          <w:rStyle w:val="bb-header1"/>
          <w:rFonts w:eastAsia="MS Mincho"/>
          <w:i/>
          <w:iCs/>
          <w:color w:val="auto"/>
        </w:rPr>
        <w:t>Journal of General Internal Medicine</w:t>
      </w:r>
      <w:r w:rsidRPr="00B22FF5">
        <w:rPr>
          <w:rStyle w:val="bb-header1"/>
          <w:rFonts w:eastAsia="MS Mincho"/>
          <w:color w:val="auto"/>
        </w:rPr>
        <w:t xml:space="preserve">, </w:t>
      </w:r>
      <w:r w:rsidRPr="00B22FF5">
        <w:rPr>
          <w:rStyle w:val="bb-header1"/>
          <w:rFonts w:eastAsia="MS Mincho"/>
          <w:i/>
          <w:iCs/>
          <w:color w:val="auto"/>
        </w:rPr>
        <w:t>18</w:t>
      </w:r>
      <w:r w:rsidRPr="00B22FF5">
        <w:rPr>
          <w:rStyle w:val="bb-header1"/>
          <w:rFonts w:eastAsia="MS Mincho"/>
          <w:color w:val="auto"/>
        </w:rPr>
        <w:t>(4)</w:t>
      </w:r>
      <w:r w:rsidRPr="00B22FF5">
        <w:rPr>
          <w:rStyle w:val="bb-header1"/>
          <w:rFonts w:eastAsia="MS Mincho"/>
          <w:i/>
          <w:iCs/>
          <w:color w:val="auto"/>
        </w:rPr>
        <w:t xml:space="preserve">, </w:t>
      </w:r>
      <w:r w:rsidRPr="00B22FF5">
        <w:rPr>
          <w:rStyle w:val="bb-header1"/>
          <w:rFonts w:eastAsia="MS Mincho"/>
          <w:color w:val="auto"/>
        </w:rPr>
        <w:t>248–</w:t>
      </w:r>
      <w:r>
        <w:rPr>
          <w:rStyle w:val="bb-header1"/>
          <w:rFonts w:eastAsia="MS Mincho"/>
          <w:color w:val="auto"/>
        </w:rPr>
        <w:t>2</w:t>
      </w:r>
      <w:r w:rsidRPr="00B22FF5">
        <w:rPr>
          <w:rStyle w:val="bb-header1"/>
          <w:rFonts w:eastAsia="MS Mincho"/>
          <w:color w:val="auto"/>
        </w:rPr>
        <w:t>57.</w:t>
      </w:r>
    </w:p>
    <w:p w:rsidR="00782A43" w:rsidRPr="00B22FF5" w:rsidRDefault="00782A43" w:rsidP="00AB4E0E">
      <w:pPr>
        <w:ind w:left="720" w:hanging="720"/>
      </w:pPr>
      <w:r w:rsidRPr="00B22FF5">
        <w:rPr>
          <w:rStyle w:val="bb-header1"/>
          <w:rFonts w:eastAsia="MS Mincho"/>
          <w:color w:val="auto"/>
        </w:rPr>
        <w:t xml:space="preserve">Turner, B. J., </w:t>
      </w:r>
      <w:proofErr w:type="spellStart"/>
      <w:r w:rsidRPr="00B22FF5">
        <w:t>Laine</w:t>
      </w:r>
      <w:proofErr w:type="spellEnd"/>
      <w:r w:rsidRPr="00B22FF5">
        <w:t>, C., Yang, C. P., Hauck, W. W.</w:t>
      </w:r>
      <w:r w:rsidRPr="00B22FF5">
        <w:rPr>
          <w:rStyle w:val="bb-header1"/>
          <w:rFonts w:eastAsia="MS Mincho"/>
          <w:color w:val="auto"/>
        </w:rPr>
        <w:t xml:space="preserve"> (2003). </w:t>
      </w:r>
      <w:proofErr w:type="gramStart"/>
      <w:r w:rsidRPr="00B22FF5">
        <w:rPr>
          <w:rStyle w:val="bb-header1"/>
          <w:rFonts w:eastAsia="MS Mincho"/>
          <w:color w:val="auto"/>
        </w:rPr>
        <w:t>Effects of long-term, medically supervised, drug-free treatment and methadone maintenance treatment on drug users' emergency department use and hospitalization.</w:t>
      </w:r>
      <w:proofErr w:type="gramEnd"/>
      <w:r w:rsidRPr="00B22FF5">
        <w:rPr>
          <w:rStyle w:val="bb-header1"/>
          <w:rFonts w:eastAsia="MS Mincho"/>
          <w:color w:val="auto"/>
        </w:rPr>
        <w:t xml:space="preserve"> </w:t>
      </w:r>
      <w:proofErr w:type="gramStart"/>
      <w:r w:rsidRPr="00B22FF5">
        <w:rPr>
          <w:rStyle w:val="bb-header1"/>
          <w:rFonts w:eastAsia="MS Mincho"/>
          <w:i/>
          <w:iCs/>
          <w:color w:val="auto"/>
        </w:rPr>
        <w:t>Clinical Infectious Diseases, 37,</w:t>
      </w:r>
      <w:r w:rsidRPr="00B22FF5">
        <w:rPr>
          <w:rStyle w:val="bb-header1"/>
          <w:rFonts w:eastAsia="MS Mincho"/>
          <w:color w:val="auto"/>
        </w:rPr>
        <w:t xml:space="preserve"> </w:t>
      </w:r>
      <w:proofErr w:type="spellStart"/>
      <w:r w:rsidRPr="00B22FF5">
        <w:t>Suppl</w:t>
      </w:r>
      <w:proofErr w:type="spellEnd"/>
      <w:r w:rsidRPr="00B22FF5">
        <w:t xml:space="preserve"> 5, S457–</w:t>
      </w:r>
      <w:r>
        <w:t>S4</w:t>
      </w:r>
      <w:r w:rsidRPr="00B22FF5">
        <w:t>63.</w:t>
      </w:r>
      <w:proofErr w:type="gramEnd"/>
    </w:p>
    <w:p w:rsidR="00782A43" w:rsidRPr="00B22FF5" w:rsidRDefault="00782A43" w:rsidP="00AB4E0E">
      <w:pPr>
        <w:ind w:left="720" w:hanging="720"/>
        <w:rPr>
          <w:rStyle w:val="bb-header1"/>
          <w:rFonts w:eastAsia="MS Mincho"/>
          <w:color w:val="auto"/>
        </w:rPr>
      </w:pPr>
      <w:proofErr w:type="gramStart"/>
      <w:r w:rsidRPr="00B22FF5">
        <w:t>U.S. Bureau of Labor Statistics (2008).</w:t>
      </w:r>
      <w:proofErr w:type="gramEnd"/>
      <w:r w:rsidRPr="00B22FF5">
        <w:t xml:space="preserve"> </w:t>
      </w:r>
      <w:proofErr w:type="gramStart"/>
      <w:r w:rsidRPr="00B22FF5">
        <w:t xml:space="preserve">Retrieved on February 12, 2010 at </w:t>
      </w:r>
      <w:hyperlink r:id="rId26" w:tgtFrame="_blank" w:history="1">
        <w:r w:rsidRPr="006C7FE5">
          <w:rPr>
            <w:rStyle w:val="Hyperlink"/>
            <w:i/>
            <w:iCs/>
            <w:color w:val="auto"/>
            <w:u w:val="none"/>
          </w:rPr>
          <w:t>http://www.bls.gov/oes/2008/may/oes_nat.htm#b21-0000</w:t>
        </w:r>
      </w:hyperlink>
      <w:r w:rsidRPr="006C7FE5">
        <w:rPr>
          <w:i/>
          <w:iCs/>
        </w:rPr>
        <w:t>)</w:t>
      </w:r>
      <w:r>
        <w:t>.</w:t>
      </w:r>
      <w:proofErr w:type="gramEnd"/>
    </w:p>
    <w:p w:rsidR="00782A43" w:rsidRPr="00B22FF5" w:rsidRDefault="00782A43" w:rsidP="00AB4E0E">
      <w:proofErr w:type="gramStart"/>
      <w:r w:rsidRPr="00B22FF5">
        <w:t>U.S. Department of Health and Human Services.</w:t>
      </w:r>
      <w:proofErr w:type="gramEnd"/>
      <w:r w:rsidRPr="00B22FF5">
        <w:t xml:space="preserve"> Office of Disease Prevention and Health </w:t>
      </w:r>
    </w:p>
    <w:p w:rsidR="00782A43" w:rsidRDefault="00782A43" w:rsidP="003850D6">
      <w:pPr>
        <w:ind w:left="720"/>
      </w:pPr>
      <w:proofErr w:type="gramStart"/>
      <w:r w:rsidRPr="00B22FF5">
        <w:t>Promotion.</w:t>
      </w:r>
      <w:proofErr w:type="gramEnd"/>
      <w:r w:rsidRPr="00B22FF5">
        <w:t xml:space="preserve"> Healthy People 2020: The Road Ahead. </w:t>
      </w:r>
      <w:proofErr w:type="gramStart"/>
      <w:r w:rsidRPr="00B22FF5">
        <w:t xml:space="preserve">Retrieved on February 9, 2010, at </w:t>
      </w:r>
      <w:hyperlink r:id="rId27" w:history="1">
        <w:r w:rsidRPr="0011446F">
          <w:rPr>
            <w:rStyle w:val="Hyperlink"/>
            <w:i/>
            <w:iCs/>
          </w:rPr>
          <w:t>http://www.healthypeople.gov/HP2020/objectives/ViewObjective.aspx?Id=595&amp;TopicArea=Substance+Abuse&amp;Objective=SA+HP2020%e2%80%936&amp;TopicAreaId=46</w:t>
        </w:r>
      </w:hyperlink>
      <w:r>
        <w:t>.</w:t>
      </w:r>
      <w:proofErr w:type="gramEnd"/>
      <w:r>
        <w:t xml:space="preserve"> </w:t>
      </w:r>
      <w:bookmarkEnd w:id="78"/>
      <w:bookmarkEnd w:id="79"/>
      <w:bookmarkEnd w:id="80"/>
    </w:p>
    <w:p w:rsidR="00782A43" w:rsidRDefault="00782A43" w:rsidP="00067390">
      <w:pPr>
        <w:pStyle w:val="refentry"/>
        <w:tabs>
          <w:tab w:val="left" w:pos="810"/>
        </w:tabs>
        <w:spacing w:before="0" w:beforeAutospacing="0" w:after="0" w:afterAutospacing="0"/>
        <w:jc w:val="center"/>
        <w:rPr>
          <w:b/>
          <w:bCs/>
        </w:rPr>
      </w:pPr>
      <w:r>
        <w:rPr>
          <w:b/>
          <w:bCs/>
        </w:rPr>
        <w:lastRenderedPageBreak/>
        <w:t>List of Attachments</w:t>
      </w:r>
    </w:p>
    <w:p w:rsidR="00782A43" w:rsidRDefault="00782A43" w:rsidP="00067390">
      <w:pPr>
        <w:pStyle w:val="refentry"/>
        <w:tabs>
          <w:tab w:val="left" w:pos="810"/>
        </w:tabs>
        <w:spacing w:before="0" w:beforeAutospacing="0" w:after="0" w:afterAutospacing="0"/>
        <w:jc w:val="center"/>
        <w:rPr>
          <w:b/>
          <w:bCs/>
        </w:rPr>
      </w:pPr>
    </w:p>
    <w:p w:rsidR="00782A43" w:rsidRDefault="00782A43" w:rsidP="00067390">
      <w:pPr>
        <w:rPr>
          <w:b/>
          <w:bCs/>
        </w:rPr>
      </w:pPr>
      <w:r>
        <w:rPr>
          <w:b/>
          <w:bCs/>
        </w:rPr>
        <w:t>Attachment 1a – Client Instruments</w:t>
      </w:r>
    </w:p>
    <w:p w:rsidR="00782A43" w:rsidRDefault="00782A43" w:rsidP="00067390">
      <w:pPr>
        <w:pStyle w:val="ListParagraph"/>
        <w:numPr>
          <w:ilvl w:val="0"/>
          <w:numId w:val="29"/>
        </w:numPr>
      </w:pPr>
      <w:r>
        <w:t>Document 1 - Client Focus Group Discussion Guide</w:t>
      </w:r>
    </w:p>
    <w:p w:rsidR="00782A43" w:rsidRDefault="00782A43" w:rsidP="00067390">
      <w:pPr>
        <w:pStyle w:val="ListParagraph"/>
        <w:numPr>
          <w:ilvl w:val="0"/>
          <w:numId w:val="29"/>
        </w:numPr>
      </w:pPr>
      <w:r>
        <w:t>Document 2 - Intake/Baseline Client-Level Survey</w:t>
      </w:r>
    </w:p>
    <w:p w:rsidR="00782A43" w:rsidRDefault="00782A43" w:rsidP="00067390">
      <w:pPr>
        <w:pStyle w:val="ListParagraph"/>
        <w:numPr>
          <w:ilvl w:val="0"/>
          <w:numId w:val="29"/>
        </w:numPr>
      </w:pPr>
      <w:r>
        <w:t>Document 3 - Discharge Client-Level Survey</w:t>
      </w:r>
    </w:p>
    <w:p w:rsidR="00782A43" w:rsidRDefault="00782A43" w:rsidP="00067390">
      <w:pPr>
        <w:pStyle w:val="ListParagraph"/>
        <w:ind w:left="0"/>
      </w:pPr>
    </w:p>
    <w:p w:rsidR="00782A43" w:rsidRDefault="00782A43" w:rsidP="00067390">
      <w:pPr>
        <w:pStyle w:val="ListParagraph"/>
        <w:ind w:left="0"/>
        <w:rPr>
          <w:b/>
          <w:bCs/>
        </w:rPr>
      </w:pPr>
      <w:r>
        <w:rPr>
          <w:b/>
          <w:bCs/>
        </w:rPr>
        <w:t>Attachment 1b – Client Instruments Continued</w:t>
      </w:r>
    </w:p>
    <w:p w:rsidR="00782A43" w:rsidRDefault="00782A43" w:rsidP="00067390">
      <w:pPr>
        <w:pStyle w:val="ListParagraph"/>
        <w:numPr>
          <w:ilvl w:val="0"/>
          <w:numId w:val="29"/>
        </w:numPr>
      </w:pPr>
      <w:r>
        <w:t>Document 1 – Six Month Follow-Up Client-Level Survey</w:t>
      </w:r>
    </w:p>
    <w:p w:rsidR="00782A43" w:rsidRDefault="00782A43" w:rsidP="00067390">
      <w:pPr>
        <w:pStyle w:val="ListParagraph"/>
        <w:numPr>
          <w:ilvl w:val="0"/>
          <w:numId w:val="29"/>
        </w:numPr>
      </w:pPr>
      <w:r>
        <w:t>Document 2 - Client Dosage Form</w:t>
      </w:r>
    </w:p>
    <w:p w:rsidR="00782A43" w:rsidRDefault="00782A43" w:rsidP="00067390">
      <w:pPr>
        <w:pStyle w:val="ListParagraph"/>
        <w:numPr>
          <w:ilvl w:val="0"/>
          <w:numId w:val="29"/>
        </w:numPr>
      </w:pPr>
      <w:r>
        <w:t>Document 3 - Client Data Sheet</w:t>
      </w:r>
    </w:p>
    <w:p w:rsidR="00782A43" w:rsidRDefault="00782A43" w:rsidP="00067390"/>
    <w:p w:rsidR="00782A43" w:rsidRDefault="00782A43" w:rsidP="00067390">
      <w:pPr>
        <w:rPr>
          <w:b/>
          <w:bCs/>
        </w:rPr>
      </w:pPr>
      <w:r>
        <w:rPr>
          <w:b/>
          <w:bCs/>
        </w:rPr>
        <w:t>Attachment 2a – Client Other</w:t>
      </w:r>
    </w:p>
    <w:p w:rsidR="00782A43" w:rsidRDefault="00782A43" w:rsidP="00067390">
      <w:pPr>
        <w:pStyle w:val="ListParagraph"/>
        <w:numPr>
          <w:ilvl w:val="0"/>
          <w:numId w:val="30"/>
        </w:numPr>
      </w:pPr>
      <w:r>
        <w:t>Document 1 - JBS International Network Security</w:t>
      </w:r>
    </w:p>
    <w:p w:rsidR="00782A43" w:rsidRDefault="00782A43" w:rsidP="00067390">
      <w:pPr>
        <w:pStyle w:val="ListParagraph"/>
        <w:numPr>
          <w:ilvl w:val="0"/>
          <w:numId w:val="30"/>
        </w:numPr>
      </w:pPr>
      <w:r>
        <w:t xml:space="preserve">Document 2 - Project Working Group Feedback Results </w:t>
      </w:r>
    </w:p>
    <w:p w:rsidR="00782A43" w:rsidRDefault="00782A43" w:rsidP="00067390">
      <w:pPr>
        <w:pStyle w:val="ListParagraph"/>
        <w:numPr>
          <w:ilvl w:val="0"/>
          <w:numId w:val="30"/>
        </w:numPr>
      </w:pPr>
      <w:r>
        <w:t>Document 3 - 45 CFR 46</w:t>
      </w:r>
    </w:p>
    <w:p w:rsidR="00782A43" w:rsidRDefault="00782A43" w:rsidP="00067390">
      <w:pPr>
        <w:pStyle w:val="ListParagraph"/>
        <w:ind w:left="0"/>
      </w:pPr>
    </w:p>
    <w:p w:rsidR="00782A43" w:rsidRDefault="00782A43" w:rsidP="00067390">
      <w:pPr>
        <w:pStyle w:val="ListParagraph"/>
        <w:ind w:left="0"/>
        <w:rPr>
          <w:b/>
          <w:bCs/>
        </w:rPr>
      </w:pPr>
      <w:r>
        <w:rPr>
          <w:b/>
          <w:bCs/>
        </w:rPr>
        <w:t>Attachment 2b – Client Other Continued</w:t>
      </w:r>
    </w:p>
    <w:p w:rsidR="00782A43" w:rsidRDefault="00782A43" w:rsidP="00067390">
      <w:pPr>
        <w:pStyle w:val="ListParagraph"/>
        <w:numPr>
          <w:ilvl w:val="0"/>
          <w:numId w:val="30"/>
        </w:numPr>
      </w:pPr>
      <w:r>
        <w:t>Document 1 - The Privacy Act of 1974</w:t>
      </w:r>
    </w:p>
    <w:p w:rsidR="00782A43" w:rsidRDefault="00782A43" w:rsidP="00067390">
      <w:pPr>
        <w:pStyle w:val="ListParagraph"/>
        <w:numPr>
          <w:ilvl w:val="0"/>
          <w:numId w:val="30"/>
        </w:numPr>
      </w:pPr>
      <w:r>
        <w:t>Document 2 - Client Focus Group Recruitment Flyer</w:t>
      </w:r>
    </w:p>
    <w:p w:rsidR="00782A43" w:rsidRDefault="00782A43" w:rsidP="00067390">
      <w:pPr>
        <w:pStyle w:val="ListParagraph"/>
        <w:numPr>
          <w:ilvl w:val="0"/>
          <w:numId w:val="30"/>
        </w:numPr>
      </w:pPr>
      <w:r>
        <w:t>Document 3 - Client Focus Group Sign Up Roster</w:t>
      </w:r>
    </w:p>
    <w:p w:rsidR="00782A43" w:rsidRDefault="00782A43" w:rsidP="00067390">
      <w:pPr>
        <w:pStyle w:val="ListParagraph"/>
        <w:numPr>
          <w:ilvl w:val="0"/>
          <w:numId w:val="30"/>
        </w:numPr>
      </w:pPr>
      <w:r>
        <w:t>Document 4 - Client Consent Form</w:t>
      </w:r>
    </w:p>
    <w:p w:rsidR="00782A43" w:rsidRDefault="00782A43" w:rsidP="00067390">
      <w:pPr>
        <w:pStyle w:val="ListParagraph"/>
        <w:ind w:left="0"/>
      </w:pPr>
    </w:p>
    <w:p w:rsidR="00782A43" w:rsidRDefault="00782A43" w:rsidP="00067390">
      <w:pPr>
        <w:pStyle w:val="ListParagraph"/>
        <w:ind w:left="0"/>
        <w:rPr>
          <w:b/>
          <w:bCs/>
        </w:rPr>
      </w:pPr>
      <w:r>
        <w:rPr>
          <w:b/>
          <w:bCs/>
        </w:rPr>
        <w:t>Attachment 2c – Client Other Continued</w:t>
      </w:r>
    </w:p>
    <w:p w:rsidR="00782A43" w:rsidRDefault="00782A43" w:rsidP="00067390">
      <w:pPr>
        <w:pStyle w:val="ListParagraph"/>
        <w:numPr>
          <w:ilvl w:val="0"/>
          <w:numId w:val="30"/>
        </w:numPr>
      </w:pPr>
      <w:r>
        <w:t>Document 1 - Client-Level Survey Grantee Training Presentation</w:t>
      </w:r>
    </w:p>
    <w:p w:rsidR="00782A43" w:rsidRDefault="00782A43" w:rsidP="00067390">
      <w:pPr>
        <w:pStyle w:val="ListParagraph"/>
        <w:ind w:left="0"/>
      </w:pPr>
    </w:p>
    <w:p w:rsidR="00782A43" w:rsidRDefault="00782A43" w:rsidP="00067390">
      <w:pPr>
        <w:pStyle w:val="ListParagraph"/>
        <w:ind w:left="0"/>
        <w:rPr>
          <w:b/>
          <w:bCs/>
        </w:rPr>
      </w:pPr>
      <w:r>
        <w:rPr>
          <w:b/>
          <w:bCs/>
        </w:rPr>
        <w:t>Attachment 2d – Client Other Continued</w:t>
      </w:r>
    </w:p>
    <w:p w:rsidR="00782A43" w:rsidRDefault="00782A43" w:rsidP="00067390">
      <w:pPr>
        <w:pStyle w:val="ListParagraph"/>
        <w:numPr>
          <w:ilvl w:val="0"/>
          <w:numId w:val="30"/>
        </w:numPr>
      </w:pPr>
      <w:r>
        <w:t>Document 2 - Client Dosage Form Grantee Training Presentation</w:t>
      </w:r>
    </w:p>
    <w:p w:rsidR="00782A43" w:rsidRDefault="00782A43" w:rsidP="00067390"/>
    <w:p w:rsidR="00782A43" w:rsidRDefault="00782A43" w:rsidP="00067390">
      <w:pPr>
        <w:rPr>
          <w:b/>
          <w:bCs/>
        </w:rPr>
      </w:pPr>
      <w:r>
        <w:rPr>
          <w:b/>
          <w:bCs/>
        </w:rPr>
        <w:t>Attachment 3 - Administrative Staff Instruments</w:t>
      </w:r>
    </w:p>
    <w:p w:rsidR="00782A43" w:rsidRDefault="00782A43" w:rsidP="00067390">
      <w:pPr>
        <w:pStyle w:val="ListParagraph"/>
        <w:numPr>
          <w:ilvl w:val="0"/>
          <w:numId w:val="31"/>
        </w:numPr>
      </w:pPr>
      <w:r>
        <w:t>Document 1 - Administrative Staff Semi-Structured Interview Guide</w:t>
      </w:r>
    </w:p>
    <w:p w:rsidR="00782A43" w:rsidRDefault="00782A43" w:rsidP="00067390">
      <w:pPr>
        <w:pStyle w:val="ListParagraph"/>
        <w:numPr>
          <w:ilvl w:val="0"/>
          <w:numId w:val="31"/>
        </w:numPr>
      </w:pPr>
      <w:r>
        <w:t xml:space="preserve">Document 2 - Administrative Staff Data Sheet </w:t>
      </w:r>
    </w:p>
    <w:p w:rsidR="00782A43" w:rsidRDefault="00782A43" w:rsidP="00067390"/>
    <w:p w:rsidR="00782A43" w:rsidRDefault="00782A43" w:rsidP="00067390">
      <w:pPr>
        <w:rPr>
          <w:b/>
          <w:bCs/>
        </w:rPr>
      </w:pPr>
      <w:r>
        <w:rPr>
          <w:b/>
          <w:bCs/>
        </w:rPr>
        <w:t>Attachment 4 – Administrative Staff Other</w:t>
      </w:r>
    </w:p>
    <w:p w:rsidR="00782A43" w:rsidRDefault="00782A43" w:rsidP="00067390">
      <w:pPr>
        <w:pStyle w:val="ListParagraph"/>
        <w:numPr>
          <w:ilvl w:val="0"/>
          <w:numId w:val="32"/>
        </w:numPr>
      </w:pPr>
      <w:r>
        <w:t>Document 1 - Pilot Test Results</w:t>
      </w:r>
    </w:p>
    <w:p w:rsidR="00782A43" w:rsidRDefault="00782A43" w:rsidP="00067390">
      <w:pPr>
        <w:pStyle w:val="ListParagraph"/>
        <w:numPr>
          <w:ilvl w:val="0"/>
          <w:numId w:val="32"/>
        </w:numPr>
      </w:pPr>
      <w:r>
        <w:t>Document 2 - Proposed Sample and Methods by Stage</w:t>
      </w:r>
    </w:p>
    <w:p w:rsidR="00782A43" w:rsidRDefault="00782A43" w:rsidP="00067390">
      <w:pPr>
        <w:pStyle w:val="ListParagraph"/>
        <w:numPr>
          <w:ilvl w:val="0"/>
          <w:numId w:val="32"/>
        </w:numPr>
      </w:pPr>
      <w:r>
        <w:t>Document 3 - Site Visit Call Script</w:t>
      </w:r>
    </w:p>
    <w:p w:rsidR="00782A43" w:rsidRDefault="00782A43" w:rsidP="00067390">
      <w:pPr>
        <w:pStyle w:val="ListParagraph"/>
        <w:numPr>
          <w:ilvl w:val="0"/>
          <w:numId w:val="32"/>
        </w:numPr>
      </w:pPr>
      <w:r>
        <w:t>Document 4 - Site Visit Confirmation Letter</w:t>
      </w:r>
    </w:p>
    <w:p w:rsidR="00782A43" w:rsidRDefault="00782A43" w:rsidP="00067390">
      <w:pPr>
        <w:pStyle w:val="ListParagraph"/>
        <w:numPr>
          <w:ilvl w:val="0"/>
          <w:numId w:val="32"/>
        </w:numPr>
      </w:pPr>
      <w:r>
        <w:t>Document 5 - Administrative Staff Consent Form</w:t>
      </w:r>
    </w:p>
    <w:p w:rsidR="00782A43" w:rsidRDefault="00782A43" w:rsidP="00067390"/>
    <w:p w:rsidR="00782A43" w:rsidRDefault="00782A43" w:rsidP="00067390">
      <w:pPr>
        <w:rPr>
          <w:b/>
          <w:bCs/>
        </w:rPr>
      </w:pPr>
      <w:r>
        <w:rPr>
          <w:b/>
          <w:bCs/>
        </w:rPr>
        <w:t>Attachment 5 – Direct Services Staff Instruments</w:t>
      </w:r>
    </w:p>
    <w:p w:rsidR="00782A43" w:rsidRDefault="00782A43" w:rsidP="00067390">
      <w:pPr>
        <w:pStyle w:val="ListParagraph"/>
        <w:numPr>
          <w:ilvl w:val="0"/>
          <w:numId w:val="33"/>
        </w:numPr>
      </w:pPr>
      <w:r>
        <w:t>Document 1 - Direct Services Staff Semi-Structured Interview Guide</w:t>
      </w:r>
    </w:p>
    <w:p w:rsidR="00782A43" w:rsidRDefault="00782A43" w:rsidP="00067390">
      <w:pPr>
        <w:pStyle w:val="ListParagraph"/>
        <w:numPr>
          <w:ilvl w:val="0"/>
          <w:numId w:val="33"/>
        </w:numPr>
      </w:pPr>
      <w:r>
        <w:t>Document 2 - Direct Services Staff Data Sheet</w:t>
      </w:r>
    </w:p>
    <w:p w:rsidR="00782A43" w:rsidRDefault="009D7F52" w:rsidP="00067390">
      <w:r>
        <w:br w:type="page"/>
      </w:r>
    </w:p>
    <w:p w:rsidR="00782A43" w:rsidRDefault="00782A43" w:rsidP="00067390">
      <w:pPr>
        <w:rPr>
          <w:b/>
          <w:bCs/>
        </w:rPr>
      </w:pPr>
      <w:r>
        <w:rPr>
          <w:b/>
          <w:bCs/>
        </w:rPr>
        <w:t>Attachment 6 – Direct Services Other</w:t>
      </w:r>
    </w:p>
    <w:p w:rsidR="00782A43" w:rsidRDefault="00782A43" w:rsidP="00067390">
      <w:pPr>
        <w:pStyle w:val="ListParagraph"/>
        <w:numPr>
          <w:ilvl w:val="0"/>
          <w:numId w:val="34"/>
        </w:numPr>
      </w:pPr>
      <w:r>
        <w:t>Document 1 - Direct Services Staff Consent Form</w:t>
      </w:r>
    </w:p>
    <w:p w:rsidR="00782A43" w:rsidRDefault="00782A43" w:rsidP="00067390"/>
    <w:p w:rsidR="00782A43" w:rsidRDefault="00782A43" w:rsidP="00067390">
      <w:pPr>
        <w:rPr>
          <w:b/>
          <w:bCs/>
        </w:rPr>
      </w:pPr>
      <w:r>
        <w:rPr>
          <w:b/>
          <w:bCs/>
        </w:rPr>
        <w:t>Attachment 7 – Partner/Collaborator Instruments</w:t>
      </w:r>
    </w:p>
    <w:p w:rsidR="00782A43" w:rsidRDefault="00782A43" w:rsidP="00067390">
      <w:pPr>
        <w:pStyle w:val="ListParagraph"/>
        <w:numPr>
          <w:ilvl w:val="0"/>
          <w:numId w:val="34"/>
        </w:numPr>
      </w:pPr>
      <w:r>
        <w:t>Document 1 - Partner/Collaborator Semi-Structured Interview Guide</w:t>
      </w:r>
    </w:p>
    <w:p w:rsidR="00782A43" w:rsidRDefault="00782A43" w:rsidP="00067390">
      <w:pPr>
        <w:pStyle w:val="ListParagraph"/>
        <w:numPr>
          <w:ilvl w:val="0"/>
          <w:numId w:val="34"/>
        </w:numPr>
      </w:pPr>
      <w:r>
        <w:t>Document 2 - Partner/Collaborator Data Sheet</w:t>
      </w:r>
    </w:p>
    <w:p w:rsidR="00782A43" w:rsidRDefault="00782A43" w:rsidP="00067390"/>
    <w:p w:rsidR="00782A43" w:rsidRDefault="00782A43" w:rsidP="00067390">
      <w:pPr>
        <w:rPr>
          <w:b/>
          <w:bCs/>
        </w:rPr>
      </w:pPr>
      <w:r>
        <w:rPr>
          <w:b/>
          <w:bCs/>
        </w:rPr>
        <w:t>Attachment 8 – Partner/Collaborator Other</w:t>
      </w:r>
    </w:p>
    <w:p w:rsidR="00782A43" w:rsidRDefault="00782A43" w:rsidP="00067390">
      <w:pPr>
        <w:pStyle w:val="ListParagraph"/>
        <w:numPr>
          <w:ilvl w:val="0"/>
          <w:numId w:val="35"/>
        </w:numPr>
      </w:pPr>
      <w:r>
        <w:t>Document 1 - Partner/Collaborator Consent Form</w:t>
      </w:r>
    </w:p>
    <w:p w:rsidR="00782A43" w:rsidRDefault="00782A43" w:rsidP="00067390">
      <w:pPr>
        <w:pStyle w:val="refentry"/>
        <w:tabs>
          <w:tab w:val="left" w:pos="810"/>
        </w:tabs>
        <w:spacing w:before="0" w:beforeAutospacing="0" w:after="0" w:afterAutospacing="0"/>
        <w:jc w:val="center"/>
      </w:pPr>
    </w:p>
    <w:sectPr w:rsidR="00782A43" w:rsidSect="002D47B1">
      <w:footerReference w:type="even" r:id="rId28"/>
      <w:footerReference w:type="default" r:id="rId29"/>
      <w:type w:val="continuous"/>
      <w:pgSz w:w="12240" w:h="15840" w:code="1"/>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A43" w:rsidRDefault="00782A43">
      <w:r>
        <w:separator/>
      </w:r>
    </w:p>
  </w:endnote>
  <w:endnote w:type="continuationSeparator" w:id="0">
    <w:p w:rsidR="00782A43" w:rsidRDefault="00782A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43" w:rsidRDefault="0052625B" w:rsidP="00FB40EB">
    <w:pPr>
      <w:pStyle w:val="Footer"/>
      <w:framePr w:wrap="auto" w:vAnchor="text" w:hAnchor="margin" w:xAlign="center" w:y="1"/>
      <w:rPr>
        <w:rStyle w:val="PageNumber"/>
      </w:rPr>
    </w:pPr>
    <w:r>
      <w:rPr>
        <w:rStyle w:val="PageNumber"/>
      </w:rPr>
      <w:fldChar w:fldCharType="begin"/>
    </w:r>
    <w:r w:rsidR="00782A43">
      <w:rPr>
        <w:rStyle w:val="PageNumber"/>
      </w:rPr>
      <w:instrText xml:space="preserve">PAGE  </w:instrText>
    </w:r>
    <w:r>
      <w:rPr>
        <w:rStyle w:val="PageNumber"/>
      </w:rPr>
      <w:fldChar w:fldCharType="separate"/>
    </w:r>
    <w:r w:rsidR="009D7F52">
      <w:rPr>
        <w:rStyle w:val="PageNumber"/>
        <w:noProof/>
      </w:rPr>
      <w:t>40</w:t>
    </w:r>
    <w:r>
      <w:rPr>
        <w:rStyle w:val="PageNumber"/>
      </w:rPr>
      <w:fldChar w:fldCharType="end"/>
    </w:r>
  </w:p>
  <w:p w:rsidR="00782A43" w:rsidRDefault="00782A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43" w:rsidRDefault="0052625B" w:rsidP="00FB40EB">
    <w:pPr>
      <w:pStyle w:val="Footer"/>
      <w:framePr w:wrap="auto" w:vAnchor="text" w:hAnchor="margin" w:xAlign="center" w:y="1"/>
      <w:rPr>
        <w:rStyle w:val="PageNumber"/>
      </w:rPr>
    </w:pPr>
    <w:r>
      <w:rPr>
        <w:rStyle w:val="PageNumber"/>
      </w:rPr>
      <w:fldChar w:fldCharType="begin"/>
    </w:r>
    <w:r w:rsidR="00782A43">
      <w:rPr>
        <w:rStyle w:val="PageNumber"/>
      </w:rPr>
      <w:instrText xml:space="preserve">PAGE  </w:instrText>
    </w:r>
    <w:r>
      <w:rPr>
        <w:rStyle w:val="PageNumber"/>
      </w:rPr>
      <w:fldChar w:fldCharType="separate"/>
    </w:r>
    <w:r w:rsidR="009D7F52">
      <w:rPr>
        <w:rStyle w:val="PageNumber"/>
        <w:noProof/>
      </w:rPr>
      <w:t>41</w:t>
    </w:r>
    <w:r>
      <w:rPr>
        <w:rStyle w:val="PageNumber"/>
      </w:rPr>
      <w:fldChar w:fldCharType="end"/>
    </w:r>
  </w:p>
  <w:p w:rsidR="00782A43" w:rsidRDefault="00782A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A43" w:rsidRDefault="00782A43">
      <w:r>
        <w:separator/>
      </w:r>
    </w:p>
  </w:footnote>
  <w:footnote w:type="continuationSeparator" w:id="0">
    <w:p w:rsidR="00782A43" w:rsidRDefault="00782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2B89"/>
    <w:multiLevelType w:val="hybridMultilevel"/>
    <w:tmpl w:val="D86EAE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18C4F59"/>
    <w:multiLevelType w:val="hybridMultilevel"/>
    <w:tmpl w:val="A3D2581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23B020D"/>
    <w:multiLevelType w:val="hybridMultilevel"/>
    <w:tmpl w:val="D298C8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45421EA"/>
    <w:multiLevelType w:val="hybridMultilevel"/>
    <w:tmpl w:val="AEDA84C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
    <w:nsid w:val="145F42C0"/>
    <w:multiLevelType w:val="hybridMultilevel"/>
    <w:tmpl w:val="F9BE8684"/>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
    <w:nsid w:val="16962B1F"/>
    <w:multiLevelType w:val="hybridMultilevel"/>
    <w:tmpl w:val="2D6E3C1A"/>
    <w:lvl w:ilvl="0" w:tplc="92B0E516">
      <w:start w:val="2"/>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26193EAB"/>
    <w:multiLevelType w:val="hybridMultilevel"/>
    <w:tmpl w:val="CC0C5C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77D293A"/>
    <w:multiLevelType w:val="hybridMultilevel"/>
    <w:tmpl w:val="C682EA1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nsid w:val="28A33E76"/>
    <w:multiLevelType w:val="hybridMultilevel"/>
    <w:tmpl w:val="DD9431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F6034D2"/>
    <w:multiLevelType w:val="hybridMultilevel"/>
    <w:tmpl w:val="3A08CB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32C039B6"/>
    <w:multiLevelType w:val="hybridMultilevel"/>
    <w:tmpl w:val="772E9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6F22B17"/>
    <w:multiLevelType w:val="hybridMultilevel"/>
    <w:tmpl w:val="B6100D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3203F4"/>
    <w:multiLevelType w:val="hybridMultilevel"/>
    <w:tmpl w:val="8D161D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20215D1"/>
    <w:multiLevelType w:val="hybridMultilevel"/>
    <w:tmpl w:val="6F0238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95487"/>
    <w:multiLevelType w:val="hybridMultilevel"/>
    <w:tmpl w:val="A3FA21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B2B7E1C"/>
    <w:multiLevelType w:val="hybridMultilevel"/>
    <w:tmpl w:val="DCA665AC"/>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6">
    <w:nsid w:val="4FFD6422"/>
    <w:multiLevelType w:val="hybridMultilevel"/>
    <w:tmpl w:val="86281C0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7">
    <w:nsid w:val="523C7E2B"/>
    <w:multiLevelType w:val="hybridMultilevel"/>
    <w:tmpl w:val="16F880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565366A8"/>
    <w:multiLevelType w:val="hybridMultilevel"/>
    <w:tmpl w:val="A96AE47E"/>
    <w:lvl w:ilvl="0" w:tplc="3FDAFB40">
      <w:start w:val="1"/>
      <w:numFmt w:val="bullet"/>
      <w:pStyle w:val="bullets"/>
      <w:lvlText w:val=""/>
      <w:lvlJc w:val="left"/>
      <w:pPr>
        <w:tabs>
          <w:tab w:val="num" w:pos="1800"/>
        </w:tabs>
        <w:ind w:left="1800" w:hanging="360"/>
      </w:pPr>
      <w:rPr>
        <w:rFonts w:ascii="Symbol" w:hAnsi="Symbol" w:cs="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9">
    <w:nsid w:val="58C67829"/>
    <w:multiLevelType w:val="hybridMultilevel"/>
    <w:tmpl w:val="14C897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9F41E4A"/>
    <w:multiLevelType w:val="hybridMultilevel"/>
    <w:tmpl w:val="783C18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60347ED8"/>
    <w:multiLevelType w:val="hybridMultilevel"/>
    <w:tmpl w:val="12908B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nsid w:val="6B461BF6"/>
    <w:multiLevelType w:val="hybridMultilevel"/>
    <w:tmpl w:val="85929BA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nsid w:val="6DCB4648"/>
    <w:multiLevelType w:val="hybridMultilevel"/>
    <w:tmpl w:val="2360A4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6F52660E"/>
    <w:multiLevelType w:val="hybridMultilevel"/>
    <w:tmpl w:val="B928E596"/>
    <w:lvl w:ilvl="0" w:tplc="2C565B84">
      <w:start w:val="4"/>
      <w:numFmt w:val="decimal"/>
      <w:lvlText w:val="%1."/>
      <w:lvlJc w:val="left"/>
      <w:pPr>
        <w:tabs>
          <w:tab w:val="num" w:pos="1440"/>
        </w:tabs>
        <w:ind w:left="1440" w:hanging="360"/>
      </w:pPr>
      <w:rPr>
        <w:rFonts w:hint="default"/>
        <w:u w:val="none"/>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6">
    <w:nsid w:val="6FC3516B"/>
    <w:multiLevelType w:val="hybridMultilevel"/>
    <w:tmpl w:val="781092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7F3A3B0C"/>
    <w:multiLevelType w:val="hybridMultilevel"/>
    <w:tmpl w:val="04AA34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5"/>
  </w:num>
  <w:num w:numId="2">
    <w:abstractNumId w:val="22"/>
  </w:num>
  <w:num w:numId="3">
    <w:abstractNumId w:val="18"/>
  </w:num>
  <w:num w:numId="4">
    <w:abstractNumId w:val="24"/>
  </w:num>
  <w:num w:numId="5">
    <w:abstractNumId w:val="12"/>
  </w:num>
  <w:num w:numId="6">
    <w:abstractNumId w:val="9"/>
  </w:num>
  <w:num w:numId="7">
    <w:abstractNumId w:val="25"/>
  </w:num>
  <w:num w:numId="8">
    <w:abstractNumId w:val="3"/>
  </w:num>
  <w:num w:numId="9">
    <w:abstractNumId w:val="23"/>
  </w:num>
  <w:num w:numId="10">
    <w:abstractNumId w:val="4"/>
  </w:num>
  <w:num w:numId="11">
    <w:abstractNumId w:val="15"/>
  </w:num>
  <w:num w:numId="12">
    <w:abstractNumId w:val="0"/>
  </w:num>
  <w:num w:numId="13">
    <w:abstractNumId w:val="16"/>
  </w:num>
  <w:num w:numId="14">
    <w:abstractNumId w:val="20"/>
  </w:num>
  <w:num w:numId="15">
    <w:abstractNumId w:val="11"/>
  </w:num>
  <w:num w:numId="16">
    <w:abstractNumId w:val="8"/>
  </w:num>
  <w:num w:numId="17">
    <w:abstractNumId w:val="19"/>
  </w:num>
  <w:num w:numId="18">
    <w:abstractNumId w:val="7"/>
  </w:num>
  <w:num w:numId="19">
    <w:abstractNumId w:val="1"/>
  </w:num>
  <w:num w:numId="20">
    <w:abstractNumId w:val="6"/>
  </w:num>
  <w:num w:numId="21">
    <w:abstractNumId w:val="10"/>
  </w:num>
  <w:num w:numId="22">
    <w:abstractNumId w:val="26"/>
  </w:num>
  <w:num w:numId="23">
    <w:abstractNumId w:val="21"/>
  </w:num>
  <w:num w:numId="24">
    <w:abstractNumId w:val="17"/>
  </w:num>
  <w:num w:numId="25">
    <w:abstractNumId w:val="27"/>
  </w:num>
  <w:num w:numId="26">
    <w:abstractNumId w:val="2"/>
  </w:num>
  <w:num w:numId="27">
    <w:abstractNumId w:val="14"/>
  </w:num>
  <w:num w:numId="28">
    <w:abstractNumId w:val="13"/>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proofState w:spelling="clean" w:grammar="clean"/>
  <w:defaultTabStop w:val="720"/>
  <w:doNotHyphenateCaps/>
  <w:evenAndOddHeader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rsids>
    <w:rsidRoot w:val="003D66D7"/>
    <w:rsid w:val="00000402"/>
    <w:rsid w:val="00000F44"/>
    <w:rsid w:val="00002771"/>
    <w:rsid w:val="0000479A"/>
    <w:rsid w:val="00004EE6"/>
    <w:rsid w:val="0000641D"/>
    <w:rsid w:val="00006A47"/>
    <w:rsid w:val="00007776"/>
    <w:rsid w:val="00014418"/>
    <w:rsid w:val="00015208"/>
    <w:rsid w:val="0001643A"/>
    <w:rsid w:val="000164D4"/>
    <w:rsid w:val="000168D9"/>
    <w:rsid w:val="00017075"/>
    <w:rsid w:val="00017105"/>
    <w:rsid w:val="000203E2"/>
    <w:rsid w:val="00023F5C"/>
    <w:rsid w:val="000260D8"/>
    <w:rsid w:val="0003121A"/>
    <w:rsid w:val="00031BF7"/>
    <w:rsid w:val="000357DC"/>
    <w:rsid w:val="00037581"/>
    <w:rsid w:val="00040ED9"/>
    <w:rsid w:val="0004192A"/>
    <w:rsid w:val="000420B3"/>
    <w:rsid w:val="00042904"/>
    <w:rsid w:val="00042EF4"/>
    <w:rsid w:val="000433D5"/>
    <w:rsid w:val="0004366D"/>
    <w:rsid w:val="000444AB"/>
    <w:rsid w:val="000452A1"/>
    <w:rsid w:val="00045AC4"/>
    <w:rsid w:val="000470F5"/>
    <w:rsid w:val="00047369"/>
    <w:rsid w:val="00047840"/>
    <w:rsid w:val="00047CAD"/>
    <w:rsid w:val="00052DE0"/>
    <w:rsid w:val="0005371D"/>
    <w:rsid w:val="0005470D"/>
    <w:rsid w:val="00055D9A"/>
    <w:rsid w:val="0005707F"/>
    <w:rsid w:val="00057591"/>
    <w:rsid w:val="00065CCF"/>
    <w:rsid w:val="000668CE"/>
    <w:rsid w:val="00066BC7"/>
    <w:rsid w:val="00067390"/>
    <w:rsid w:val="0007024A"/>
    <w:rsid w:val="000709F5"/>
    <w:rsid w:val="0007265A"/>
    <w:rsid w:val="00072B53"/>
    <w:rsid w:val="0007310B"/>
    <w:rsid w:val="000746F1"/>
    <w:rsid w:val="000747F1"/>
    <w:rsid w:val="0007515C"/>
    <w:rsid w:val="000752E0"/>
    <w:rsid w:val="0008166B"/>
    <w:rsid w:val="000821A5"/>
    <w:rsid w:val="00083679"/>
    <w:rsid w:val="00083A36"/>
    <w:rsid w:val="00083AB4"/>
    <w:rsid w:val="00084BDF"/>
    <w:rsid w:val="000916CF"/>
    <w:rsid w:val="00091D22"/>
    <w:rsid w:val="00093027"/>
    <w:rsid w:val="000978A7"/>
    <w:rsid w:val="000A24A8"/>
    <w:rsid w:val="000A410C"/>
    <w:rsid w:val="000A4CBB"/>
    <w:rsid w:val="000A5577"/>
    <w:rsid w:val="000A55B0"/>
    <w:rsid w:val="000A591B"/>
    <w:rsid w:val="000A64FB"/>
    <w:rsid w:val="000B0F35"/>
    <w:rsid w:val="000B5BDC"/>
    <w:rsid w:val="000B77BF"/>
    <w:rsid w:val="000C1301"/>
    <w:rsid w:val="000C2C18"/>
    <w:rsid w:val="000C6009"/>
    <w:rsid w:val="000C6BE8"/>
    <w:rsid w:val="000C712E"/>
    <w:rsid w:val="000C7186"/>
    <w:rsid w:val="000C756D"/>
    <w:rsid w:val="000C7DC8"/>
    <w:rsid w:val="000D025A"/>
    <w:rsid w:val="000D2C7B"/>
    <w:rsid w:val="000D2CD2"/>
    <w:rsid w:val="000D5EF0"/>
    <w:rsid w:val="000D7D8B"/>
    <w:rsid w:val="000E078A"/>
    <w:rsid w:val="000E09F3"/>
    <w:rsid w:val="000E0A5A"/>
    <w:rsid w:val="000E219C"/>
    <w:rsid w:val="000E24D1"/>
    <w:rsid w:val="000E269D"/>
    <w:rsid w:val="000E6857"/>
    <w:rsid w:val="000E6B9D"/>
    <w:rsid w:val="000F028B"/>
    <w:rsid w:val="000F30CA"/>
    <w:rsid w:val="000F331A"/>
    <w:rsid w:val="000F3CE7"/>
    <w:rsid w:val="000F3F08"/>
    <w:rsid w:val="000F5088"/>
    <w:rsid w:val="000F53DF"/>
    <w:rsid w:val="000F5A82"/>
    <w:rsid w:val="000F6060"/>
    <w:rsid w:val="000F7419"/>
    <w:rsid w:val="00101B78"/>
    <w:rsid w:val="001043F9"/>
    <w:rsid w:val="001055B3"/>
    <w:rsid w:val="001056B2"/>
    <w:rsid w:val="001103F5"/>
    <w:rsid w:val="001104AE"/>
    <w:rsid w:val="001117FD"/>
    <w:rsid w:val="001130E3"/>
    <w:rsid w:val="0011446F"/>
    <w:rsid w:val="001146F2"/>
    <w:rsid w:val="00114C25"/>
    <w:rsid w:val="00116E69"/>
    <w:rsid w:val="00117C94"/>
    <w:rsid w:val="00120648"/>
    <w:rsid w:val="00121C85"/>
    <w:rsid w:val="00121FCA"/>
    <w:rsid w:val="00123AA9"/>
    <w:rsid w:val="0012414E"/>
    <w:rsid w:val="001255BD"/>
    <w:rsid w:val="00130163"/>
    <w:rsid w:val="00131B7E"/>
    <w:rsid w:val="00132D5E"/>
    <w:rsid w:val="00133B49"/>
    <w:rsid w:val="00133F03"/>
    <w:rsid w:val="00135050"/>
    <w:rsid w:val="001379EC"/>
    <w:rsid w:val="00140174"/>
    <w:rsid w:val="00141642"/>
    <w:rsid w:val="001427D9"/>
    <w:rsid w:val="00145F05"/>
    <w:rsid w:val="00146B2F"/>
    <w:rsid w:val="00146FEE"/>
    <w:rsid w:val="001509C4"/>
    <w:rsid w:val="00151C09"/>
    <w:rsid w:val="001532E7"/>
    <w:rsid w:val="001533FD"/>
    <w:rsid w:val="00153FC0"/>
    <w:rsid w:val="00154704"/>
    <w:rsid w:val="0015486B"/>
    <w:rsid w:val="001576EF"/>
    <w:rsid w:val="001614F1"/>
    <w:rsid w:val="00163DBF"/>
    <w:rsid w:val="0016699A"/>
    <w:rsid w:val="0017206A"/>
    <w:rsid w:val="00172326"/>
    <w:rsid w:val="00172B3F"/>
    <w:rsid w:val="00172D4E"/>
    <w:rsid w:val="001747DD"/>
    <w:rsid w:val="00174D4E"/>
    <w:rsid w:val="001765B7"/>
    <w:rsid w:val="00180E59"/>
    <w:rsid w:val="00181556"/>
    <w:rsid w:val="00181F6C"/>
    <w:rsid w:val="00182B52"/>
    <w:rsid w:val="001833DB"/>
    <w:rsid w:val="00184633"/>
    <w:rsid w:val="001848BA"/>
    <w:rsid w:val="00184DC7"/>
    <w:rsid w:val="00186434"/>
    <w:rsid w:val="00187007"/>
    <w:rsid w:val="001874D6"/>
    <w:rsid w:val="00190C44"/>
    <w:rsid w:val="00191D1B"/>
    <w:rsid w:val="00192BFE"/>
    <w:rsid w:val="00195322"/>
    <w:rsid w:val="0019548B"/>
    <w:rsid w:val="001A0E6A"/>
    <w:rsid w:val="001A199C"/>
    <w:rsid w:val="001A444A"/>
    <w:rsid w:val="001A4F1B"/>
    <w:rsid w:val="001A5FFC"/>
    <w:rsid w:val="001A647A"/>
    <w:rsid w:val="001A7BE4"/>
    <w:rsid w:val="001B5244"/>
    <w:rsid w:val="001B5677"/>
    <w:rsid w:val="001B5A51"/>
    <w:rsid w:val="001B5D7A"/>
    <w:rsid w:val="001B6A4A"/>
    <w:rsid w:val="001C009E"/>
    <w:rsid w:val="001C0AD0"/>
    <w:rsid w:val="001C4B7B"/>
    <w:rsid w:val="001C7662"/>
    <w:rsid w:val="001D1D0B"/>
    <w:rsid w:val="001D4A6A"/>
    <w:rsid w:val="001D6DE0"/>
    <w:rsid w:val="001D75FC"/>
    <w:rsid w:val="001E1275"/>
    <w:rsid w:val="001E167A"/>
    <w:rsid w:val="001E1C8C"/>
    <w:rsid w:val="001E2BC9"/>
    <w:rsid w:val="001E353F"/>
    <w:rsid w:val="001E3E0C"/>
    <w:rsid w:val="001E44D1"/>
    <w:rsid w:val="001E473E"/>
    <w:rsid w:val="001E5552"/>
    <w:rsid w:val="001E6C41"/>
    <w:rsid w:val="001E6CEA"/>
    <w:rsid w:val="001E7474"/>
    <w:rsid w:val="001E7DB6"/>
    <w:rsid w:val="001F0B4E"/>
    <w:rsid w:val="001F0EF9"/>
    <w:rsid w:val="001F4087"/>
    <w:rsid w:val="001F4AA1"/>
    <w:rsid w:val="001F4FCA"/>
    <w:rsid w:val="001F51A3"/>
    <w:rsid w:val="001F691F"/>
    <w:rsid w:val="001F7B08"/>
    <w:rsid w:val="00200CC8"/>
    <w:rsid w:val="00200D2E"/>
    <w:rsid w:val="002038A9"/>
    <w:rsid w:val="00203D32"/>
    <w:rsid w:val="002062D6"/>
    <w:rsid w:val="00206609"/>
    <w:rsid w:val="00211201"/>
    <w:rsid w:val="002115E5"/>
    <w:rsid w:val="0021199C"/>
    <w:rsid w:val="00211BF6"/>
    <w:rsid w:val="00212654"/>
    <w:rsid w:val="00213162"/>
    <w:rsid w:val="00216509"/>
    <w:rsid w:val="00220CCD"/>
    <w:rsid w:val="00221499"/>
    <w:rsid w:val="00222117"/>
    <w:rsid w:val="0022213D"/>
    <w:rsid w:val="00222174"/>
    <w:rsid w:val="0022378E"/>
    <w:rsid w:val="00223E84"/>
    <w:rsid w:val="00225F02"/>
    <w:rsid w:val="00230135"/>
    <w:rsid w:val="00230685"/>
    <w:rsid w:val="00230D91"/>
    <w:rsid w:val="0023428A"/>
    <w:rsid w:val="0023496A"/>
    <w:rsid w:val="00234FDE"/>
    <w:rsid w:val="00236CD0"/>
    <w:rsid w:val="002403F8"/>
    <w:rsid w:val="00244233"/>
    <w:rsid w:val="00245C88"/>
    <w:rsid w:val="00245E4F"/>
    <w:rsid w:val="00246074"/>
    <w:rsid w:val="00250173"/>
    <w:rsid w:val="002509FC"/>
    <w:rsid w:val="00250B3F"/>
    <w:rsid w:val="002514D7"/>
    <w:rsid w:val="002524CE"/>
    <w:rsid w:val="00252B59"/>
    <w:rsid w:val="00254032"/>
    <w:rsid w:val="002544E7"/>
    <w:rsid w:val="00254681"/>
    <w:rsid w:val="00254BDA"/>
    <w:rsid w:val="00255E03"/>
    <w:rsid w:val="0025665A"/>
    <w:rsid w:val="00256CFA"/>
    <w:rsid w:val="00256DE3"/>
    <w:rsid w:val="0025706E"/>
    <w:rsid w:val="00257FD6"/>
    <w:rsid w:val="00260177"/>
    <w:rsid w:val="00261AC6"/>
    <w:rsid w:val="0026202D"/>
    <w:rsid w:val="002621D9"/>
    <w:rsid w:val="00263759"/>
    <w:rsid w:val="002647EA"/>
    <w:rsid w:val="00265727"/>
    <w:rsid w:val="002666DA"/>
    <w:rsid w:val="00270632"/>
    <w:rsid w:val="00272138"/>
    <w:rsid w:val="0027319F"/>
    <w:rsid w:val="00273F19"/>
    <w:rsid w:val="002810BA"/>
    <w:rsid w:val="0028160F"/>
    <w:rsid w:val="00283152"/>
    <w:rsid w:val="0028377D"/>
    <w:rsid w:val="00283DF8"/>
    <w:rsid w:val="002913FE"/>
    <w:rsid w:val="00293C9D"/>
    <w:rsid w:val="0029479C"/>
    <w:rsid w:val="0029615A"/>
    <w:rsid w:val="002A1A67"/>
    <w:rsid w:val="002A1D8C"/>
    <w:rsid w:val="002A2AB4"/>
    <w:rsid w:val="002A2B6B"/>
    <w:rsid w:val="002A6179"/>
    <w:rsid w:val="002A70F5"/>
    <w:rsid w:val="002B0B69"/>
    <w:rsid w:val="002B156C"/>
    <w:rsid w:val="002B3B00"/>
    <w:rsid w:val="002B41A2"/>
    <w:rsid w:val="002B44B2"/>
    <w:rsid w:val="002B73AB"/>
    <w:rsid w:val="002C01C1"/>
    <w:rsid w:val="002C1727"/>
    <w:rsid w:val="002C1798"/>
    <w:rsid w:val="002C1BAB"/>
    <w:rsid w:val="002C25F9"/>
    <w:rsid w:val="002C3C4F"/>
    <w:rsid w:val="002C3E66"/>
    <w:rsid w:val="002C53DD"/>
    <w:rsid w:val="002C63DF"/>
    <w:rsid w:val="002D2AF6"/>
    <w:rsid w:val="002D33C1"/>
    <w:rsid w:val="002D3471"/>
    <w:rsid w:val="002D3D92"/>
    <w:rsid w:val="002D43D3"/>
    <w:rsid w:val="002D47B1"/>
    <w:rsid w:val="002D4E74"/>
    <w:rsid w:val="002D5D91"/>
    <w:rsid w:val="002D7B56"/>
    <w:rsid w:val="002E285F"/>
    <w:rsid w:val="002E55CA"/>
    <w:rsid w:val="002E6056"/>
    <w:rsid w:val="002F0385"/>
    <w:rsid w:val="002F1EAC"/>
    <w:rsid w:val="002F22ED"/>
    <w:rsid w:val="002F389E"/>
    <w:rsid w:val="002F40E3"/>
    <w:rsid w:val="002F4177"/>
    <w:rsid w:val="002F66A1"/>
    <w:rsid w:val="002F7159"/>
    <w:rsid w:val="0030210F"/>
    <w:rsid w:val="003039ED"/>
    <w:rsid w:val="00305480"/>
    <w:rsid w:val="0030573A"/>
    <w:rsid w:val="00306217"/>
    <w:rsid w:val="003078F5"/>
    <w:rsid w:val="00307947"/>
    <w:rsid w:val="003101FF"/>
    <w:rsid w:val="00313B57"/>
    <w:rsid w:val="0031529C"/>
    <w:rsid w:val="003161EB"/>
    <w:rsid w:val="00317894"/>
    <w:rsid w:val="00317D50"/>
    <w:rsid w:val="003217EC"/>
    <w:rsid w:val="00323184"/>
    <w:rsid w:val="00324319"/>
    <w:rsid w:val="00325892"/>
    <w:rsid w:val="00327C09"/>
    <w:rsid w:val="00327C7B"/>
    <w:rsid w:val="00327E47"/>
    <w:rsid w:val="003310E8"/>
    <w:rsid w:val="003318C3"/>
    <w:rsid w:val="00331BFF"/>
    <w:rsid w:val="003323EC"/>
    <w:rsid w:val="0033296A"/>
    <w:rsid w:val="00335EE2"/>
    <w:rsid w:val="00336ADD"/>
    <w:rsid w:val="003378CF"/>
    <w:rsid w:val="00337AA4"/>
    <w:rsid w:val="00340DE4"/>
    <w:rsid w:val="00340F99"/>
    <w:rsid w:val="003412AA"/>
    <w:rsid w:val="00341545"/>
    <w:rsid w:val="00343AF4"/>
    <w:rsid w:val="0034455B"/>
    <w:rsid w:val="0034461E"/>
    <w:rsid w:val="00344657"/>
    <w:rsid w:val="00344A78"/>
    <w:rsid w:val="00344DF5"/>
    <w:rsid w:val="0034527B"/>
    <w:rsid w:val="0034718A"/>
    <w:rsid w:val="00347A06"/>
    <w:rsid w:val="00350A68"/>
    <w:rsid w:val="00353649"/>
    <w:rsid w:val="003539A7"/>
    <w:rsid w:val="00353DD0"/>
    <w:rsid w:val="003548E2"/>
    <w:rsid w:val="00356458"/>
    <w:rsid w:val="003566D6"/>
    <w:rsid w:val="00362F4D"/>
    <w:rsid w:val="00366098"/>
    <w:rsid w:val="003668FE"/>
    <w:rsid w:val="00366B7C"/>
    <w:rsid w:val="00366EBD"/>
    <w:rsid w:val="00367C32"/>
    <w:rsid w:val="00370053"/>
    <w:rsid w:val="00370F9D"/>
    <w:rsid w:val="0037101E"/>
    <w:rsid w:val="00371E22"/>
    <w:rsid w:val="00372BC0"/>
    <w:rsid w:val="00373CB9"/>
    <w:rsid w:val="00373CC1"/>
    <w:rsid w:val="00375B5A"/>
    <w:rsid w:val="003760C7"/>
    <w:rsid w:val="003802CC"/>
    <w:rsid w:val="00380BF1"/>
    <w:rsid w:val="003824CE"/>
    <w:rsid w:val="003850D6"/>
    <w:rsid w:val="003851A7"/>
    <w:rsid w:val="00385C72"/>
    <w:rsid w:val="00385F7B"/>
    <w:rsid w:val="0039067C"/>
    <w:rsid w:val="003916C6"/>
    <w:rsid w:val="00392CCE"/>
    <w:rsid w:val="00396B58"/>
    <w:rsid w:val="00396E50"/>
    <w:rsid w:val="00397099"/>
    <w:rsid w:val="003A06F2"/>
    <w:rsid w:val="003A1025"/>
    <w:rsid w:val="003A184D"/>
    <w:rsid w:val="003A1F35"/>
    <w:rsid w:val="003A20C2"/>
    <w:rsid w:val="003A2F7E"/>
    <w:rsid w:val="003A60B5"/>
    <w:rsid w:val="003A6274"/>
    <w:rsid w:val="003A6E9D"/>
    <w:rsid w:val="003A7B8B"/>
    <w:rsid w:val="003B1DDA"/>
    <w:rsid w:val="003B4C2F"/>
    <w:rsid w:val="003B6212"/>
    <w:rsid w:val="003B7BBE"/>
    <w:rsid w:val="003C0618"/>
    <w:rsid w:val="003C0BBA"/>
    <w:rsid w:val="003C196F"/>
    <w:rsid w:val="003C2577"/>
    <w:rsid w:val="003C2600"/>
    <w:rsid w:val="003C2B93"/>
    <w:rsid w:val="003C2DBD"/>
    <w:rsid w:val="003C497C"/>
    <w:rsid w:val="003C52A6"/>
    <w:rsid w:val="003C6207"/>
    <w:rsid w:val="003C6233"/>
    <w:rsid w:val="003C76B3"/>
    <w:rsid w:val="003D0527"/>
    <w:rsid w:val="003D0E90"/>
    <w:rsid w:val="003D1BC5"/>
    <w:rsid w:val="003D22F3"/>
    <w:rsid w:val="003D3076"/>
    <w:rsid w:val="003D555C"/>
    <w:rsid w:val="003D6163"/>
    <w:rsid w:val="003D66D7"/>
    <w:rsid w:val="003D7BEA"/>
    <w:rsid w:val="003E13E4"/>
    <w:rsid w:val="003E2B5C"/>
    <w:rsid w:val="003E32D5"/>
    <w:rsid w:val="003E5D90"/>
    <w:rsid w:val="003E7015"/>
    <w:rsid w:val="003F38AE"/>
    <w:rsid w:val="003F4159"/>
    <w:rsid w:val="003F54F3"/>
    <w:rsid w:val="003F6C58"/>
    <w:rsid w:val="003F6FA2"/>
    <w:rsid w:val="003F7C18"/>
    <w:rsid w:val="003F7F2B"/>
    <w:rsid w:val="00400C62"/>
    <w:rsid w:val="00400E45"/>
    <w:rsid w:val="00401875"/>
    <w:rsid w:val="004035A2"/>
    <w:rsid w:val="004045F6"/>
    <w:rsid w:val="00404727"/>
    <w:rsid w:val="0040679E"/>
    <w:rsid w:val="0040731E"/>
    <w:rsid w:val="004108AF"/>
    <w:rsid w:val="00410F52"/>
    <w:rsid w:val="004111A0"/>
    <w:rsid w:val="00411974"/>
    <w:rsid w:val="00412220"/>
    <w:rsid w:val="004128E7"/>
    <w:rsid w:val="00413BD2"/>
    <w:rsid w:val="00414417"/>
    <w:rsid w:val="004151E0"/>
    <w:rsid w:val="004160C5"/>
    <w:rsid w:val="00416DDF"/>
    <w:rsid w:val="00416FE5"/>
    <w:rsid w:val="004179CA"/>
    <w:rsid w:val="00420784"/>
    <w:rsid w:val="00420B98"/>
    <w:rsid w:val="004256FB"/>
    <w:rsid w:val="0043049D"/>
    <w:rsid w:val="00430BC9"/>
    <w:rsid w:val="00432E1F"/>
    <w:rsid w:val="004339C8"/>
    <w:rsid w:val="00435C0F"/>
    <w:rsid w:val="00436191"/>
    <w:rsid w:val="0044051C"/>
    <w:rsid w:val="004417F3"/>
    <w:rsid w:val="00441845"/>
    <w:rsid w:val="0044254A"/>
    <w:rsid w:val="00444021"/>
    <w:rsid w:val="00444726"/>
    <w:rsid w:val="00444B8A"/>
    <w:rsid w:val="0044633D"/>
    <w:rsid w:val="00447645"/>
    <w:rsid w:val="00447AE0"/>
    <w:rsid w:val="0045038F"/>
    <w:rsid w:val="004534C8"/>
    <w:rsid w:val="0045419F"/>
    <w:rsid w:val="0045640E"/>
    <w:rsid w:val="004606CB"/>
    <w:rsid w:val="00461219"/>
    <w:rsid w:val="004656C3"/>
    <w:rsid w:val="00466D8A"/>
    <w:rsid w:val="004720AF"/>
    <w:rsid w:val="00473306"/>
    <w:rsid w:val="00474303"/>
    <w:rsid w:val="004744AC"/>
    <w:rsid w:val="004768E8"/>
    <w:rsid w:val="00476C6E"/>
    <w:rsid w:val="004772FF"/>
    <w:rsid w:val="004773B8"/>
    <w:rsid w:val="00477F8B"/>
    <w:rsid w:val="0048133D"/>
    <w:rsid w:val="00483CBC"/>
    <w:rsid w:val="00483FFC"/>
    <w:rsid w:val="00485435"/>
    <w:rsid w:val="00487C44"/>
    <w:rsid w:val="00490CF3"/>
    <w:rsid w:val="0049100F"/>
    <w:rsid w:val="004928A9"/>
    <w:rsid w:val="004946FB"/>
    <w:rsid w:val="004950C8"/>
    <w:rsid w:val="004960C7"/>
    <w:rsid w:val="004A017B"/>
    <w:rsid w:val="004A0189"/>
    <w:rsid w:val="004A2FEE"/>
    <w:rsid w:val="004A4577"/>
    <w:rsid w:val="004A616E"/>
    <w:rsid w:val="004A6BCA"/>
    <w:rsid w:val="004A76EE"/>
    <w:rsid w:val="004B3402"/>
    <w:rsid w:val="004B65FE"/>
    <w:rsid w:val="004B6BA9"/>
    <w:rsid w:val="004B6BBE"/>
    <w:rsid w:val="004B7467"/>
    <w:rsid w:val="004B7F96"/>
    <w:rsid w:val="004C02D5"/>
    <w:rsid w:val="004C3918"/>
    <w:rsid w:val="004C4173"/>
    <w:rsid w:val="004C500D"/>
    <w:rsid w:val="004C578E"/>
    <w:rsid w:val="004C5944"/>
    <w:rsid w:val="004C6208"/>
    <w:rsid w:val="004C7390"/>
    <w:rsid w:val="004D2ED8"/>
    <w:rsid w:val="004D3789"/>
    <w:rsid w:val="004D3BE0"/>
    <w:rsid w:val="004D45A4"/>
    <w:rsid w:val="004D45E0"/>
    <w:rsid w:val="004D4827"/>
    <w:rsid w:val="004D6522"/>
    <w:rsid w:val="004D731B"/>
    <w:rsid w:val="004E10A0"/>
    <w:rsid w:val="004E1F38"/>
    <w:rsid w:val="004E1FBF"/>
    <w:rsid w:val="004E2CB0"/>
    <w:rsid w:val="004E4457"/>
    <w:rsid w:val="004E48AA"/>
    <w:rsid w:val="004E6F2D"/>
    <w:rsid w:val="004E705E"/>
    <w:rsid w:val="004E7A7B"/>
    <w:rsid w:val="004F00E0"/>
    <w:rsid w:val="004F07A1"/>
    <w:rsid w:val="004F27F4"/>
    <w:rsid w:val="004F2E40"/>
    <w:rsid w:val="004F489C"/>
    <w:rsid w:val="004F62A8"/>
    <w:rsid w:val="004F6A00"/>
    <w:rsid w:val="00500690"/>
    <w:rsid w:val="00501260"/>
    <w:rsid w:val="0050174B"/>
    <w:rsid w:val="00501A75"/>
    <w:rsid w:val="0050249B"/>
    <w:rsid w:val="0050499F"/>
    <w:rsid w:val="00505724"/>
    <w:rsid w:val="00506B7A"/>
    <w:rsid w:val="00511056"/>
    <w:rsid w:val="005164EA"/>
    <w:rsid w:val="00521AEB"/>
    <w:rsid w:val="00523A8F"/>
    <w:rsid w:val="00524C2B"/>
    <w:rsid w:val="00525453"/>
    <w:rsid w:val="005260C0"/>
    <w:rsid w:val="0052625B"/>
    <w:rsid w:val="00526291"/>
    <w:rsid w:val="00526D17"/>
    <w:rsid w:val="00530049"/>
    <w:rsid w:val="00530393"/>
    <w:rsid w:val="0053131F"/>
    <w:rsid w:val="0053236D"/>
    <w:rsid w:val="00535F0F"/>
    <w:rsid w:val="005370DA"/>
    <w:rsid w:val="0054103F"/>
    <w:rsid w:val="00541110"/>
    <w:rsid w:val="005411BC"/>
    <w:rsid w:val="00543169"/>
    <w:rsid w:val="00546536"/>
    <w:rsid w:val="00550758"/>
    <w:rsid w:val="005513A5"/>
    <w:rsid w:val="005517D8"/>
    <w:rsid w:val="00551C4A"/>
    <w:rsid w:val="00552587"/>
    <w:rsid w:val="00554A79"/>
    <w:rsid w:val="00554E56"/>
    <w:rsid w:val="00555461"/>
    <w:rsid w:val="00555D28"/>
    <w:rsid w:val="00562347"/>
    <w:rsid w:val="005623E3"/>
    <w:rsid w:val="00565655"/>
    <w:rsid w:val="00565EA9"/>
    <w:rsid w:val="005718D3"/>
    <w:rsid w:val="00572148"/>
    <w:rsid w:val="00573F6B"/>
    <w:rsid w:val="005741A4"/>
    <w:rsid w:val="005756E1"/>
    <w:rsid w:val="00575773"/>
    <w:rsid w:val="0058018C"/>
    <w:rsid w:val="00582CFC"/>
    <w:rsid w:val="005846BD"/>
    <w:rsid w:val="0058538A"/>
    <w:rsid w:val="00587964"/>
    <w:rsid w:val="00590C7C"/>
    <w:rsid w:val="005947B6"/>
    <w:rsid w:val="0059481E"/>
    <w:rsid w:val="0059484B"/>
    <w:rsid w:val="00595191"/>
    <w:rsid w:val="0059579E"/>
    <w:rsid w:val="005958F3"/>
    <w:rsid w:val="00596A84"/>
    <w:rsid w:val="00597009"/>
    <w:rsid w:val="005A213F"/>
    <w:rsid w:val="005A229C"/>
    <w:rsid w:val="005A26F8"/>
    <w:rsid w:val="005A277D"/>
    <w:rsid w:val="005A30B5"/>
    <w:rsid w:val="005A3163"/>
    <w:rsid w:val="005A365C"/>
    <w:rsid w:val="005A3A67"/>
    <w:rsid w:val="005A3B76"/>
    <w:rsid w:val="005A72DF"/>
    <w:rsid w:val="005A7873"/>
    <w:rsid w:val="005B0800"/>
    <w:rsid w:val="005B1182"/>
    <w:rsid w:val="005B11CC"/>
    <w:rsid w:val="005B35E4"/>
    <w:rsid w:val="005B36A4"/>
    <w:rsid w:val="005B4E0B"/>
    <w:rsid w:val="005B521C"/>
    <w:rsid w:val="005B70F0"/>
    <w:rsid w:val="005B73C2"/>
    <w:rsid w:val="005B73D1"/>
    <w:rsid w:val="005B7CD9"/>
    <w:rsid w:val="005C47E7"/>
    <w:rsid w:val="005C562E"/>
    <w:rsid w:val="005D0AC1"/>
    <w:rsid w:val="005D18B9"/>
    <w:rsid w:val="005D5474"/>
    <w:rsid w:val="005D63BB"/>
    <w:rsid w:val="005D672B"/>
    <w:rsid w:val="005D68EB"/>
    <w:rsid w:val="005D6A90"/>
    <w:rsid w:val="005D6B75"/>
    <w:rsid w:val="005E0136"/>
    <w:rsid w:val="005E2D19"/>
    <w:rsid w:val="005E466C"/>
    <w:rsid w:val="005E6596"/>
    <w:rsid w:val="005E6C0C"/>
    <w:rsid w:val="005E6F1B"/>
    <w:rsid w:val="005E7727"/>
    <w:rsid w:val="005F2E92"/>
    <w:rsid w:val="005F5646"/>
    <w:rsid w:val="00602D20"/>
    <w:rsid w:val="00604701"/>
    <w:rsid w:val="0060589A"/>
    <w:rsid w:val="00610005"/>
    <w:rsid w:val="006100F0"/>
    <w:rsid w:val="006116A2"/>
    <w:rsid w:val="006131F5"/>
    <w:rsid w:val="00614CDF"/>
    <w:rsid w:val="00615E6A"/>
    <w:rsid w:val="006162C7"/>
    <w:rsid w:val="00616D29"/>
    <w:rsid w:val="00616D7D"/>
    <w:rsid w:val="006202AB"/>
    <w:rsid w:val="00620343"/>
    <w:rsid w:val="00621EFE"/>
    <w:rsid w:val="00624A28"/>
    <w:rsid w:val="00627AB4"/>
    <w:rsid w:val="00633D09"/>
    <w:rsid w:val="006365F4"/>
    <w:rsid w:val="00636761"/>
    <w:rsid w:val="0064071F"/>
    <w:rsid w:val="0064228D"/>
    <w:rsid w:val="006429F6"/>
    <w:rsid w:val="0064495C"/>
    <w:rsid w:val="006449E5"/>
    <w:rsid w:val="00645768"/>
    <w:rsid w:val="00646998"/>
    <w:rsid w:val="0065064C"/>
    <w:rsid w:val="00652DE1"/>
    <w:rsid w:val="00652FD9"/>
    <w:rsid w:val="00653FAA"/>
    <w:rsid w:val="00656B5F"/>
    <w:rsid w:val="006610DF"/>
    <w:rsid w:val="006621F9"/>
    <w:rsid w:val="00662F0A"/>
    <w:rsid w:val="00663132"/>
    <w:rsid w:val="006638CD"/>
    <w:rsid w:val="00663A52"/>
    <w:rsid w:val="00663EF4"/>
    <w:rsid w:val="00665DE7"/>
    <w:rsid w:val="006677E0"/>
    <w:rsid w:val="00670AE8"/>
    <w:rsid w:val="006720CC"/>
    <w:rsid w:val="00674897"/>
    <w:rsid w:val="00676A78"/>
    <w:rsid w:val="0067722B"/>
    <w:rsid w:val="0067743C"/>
    <w:rsid w:val="00680838"/>
    <w:rsid w:val="006809CE"/>
    <w:rsid w:val="006809F1"/>
    <w:rsid w:val="0068194F"/>
    <w:rsid w:val="006823BB"/>
    <w:rsid w:val="00682A6F"/>
    <w:rsid w:val="00683D28"/>
    <w:rsid w:val="006845E7"/>
    <w:rsid w:val="00685974"/>
    <w:rsid w:val="006870AC"/>
    <w:rsid w:val="00691B3C"/>
    <w:rsid w:val="006949B5"/>
    <w:rsid w:val="006952E3"/>
    <w:rsid w:val="006963D0"/>
    <w:rsid w:val="00697DD1"/>
    <w:rsid w:val="006A053F"/>
    <w:rsid w:val="006A0A6E"/>
    <w:rsid w:val="006A2132"/>
    <w:rsid w:val="006A24C3"/>
    <w:rsid w:val="006A3595"/>
    <w:rsid w:val="006A3AD5"/>
    <w:rsid w:val="006A4C6E"/>
    <w:rsid w:val="006A63B1"/>
    <w:rsid w:val="006B034B"/>
    <w:rsid w:val="006B11EE"/>
    <w:rsid w:val="006B1347"/>
    <w:rsid w:val="006B43EF"/>
    <w:rsid w:val="006B4A66"/>
    <w:rsid w:val="006B4F33"/>
    <w:rsid w:val="006B65D1"/>
    <w:rsid w:val="006B6668"/>
    <w:rsid w:val="006B699F"/>
    <w:rsid w:val="006B7F9C"/>
    <w:rsid w:val="006C05D8"/>
    <w:rsid w:val="006C076D"/>
    <w:rsid w:val="006C0B50"/>
    <w:rsid w:val="006C3F8E"/>
    <w:rsid w:val="006C3FD4"/>
    <w:rsid w:val="006C7FE5"/>
    <w:rsid w:val="006D2C7A"/>
    <w:rsid w:val="006D4AAE"/>
    <w:rsid w:val="006D66E7"/>
    <w:rsid w:val="006D6799"/>
    <w:rsid w:val="006D681C"/>
    <w:rsid w:val="006D7C38"/>
    <w:rsid w:val="006D7CB6"/>
    <w:rsid w:val="006E050B"/>
    <w:rsid w:val="006E0908"/>
    <w:rsid w:val="006E0BFE"/>
    <w:rsid w:val="006E0C23"/>
    <w:rsid w:val="006E2945"/>
    <w:rsid w:val="006E2EAD"/>
    <w:rsid w:val="006E3C79"/>
    <w:rsid w:val="006E3ED3"/>
    <w:rsid w:val="006E6629"/>
    <w:rsid w:val="006E6D06"/>
    <w:rsid w:val="006E6D59"/>
    <w:rsid w:val="006E7156"/>
    <w:rsid w:val="006E74C8"/>
    <w:rsid w:val="006F2743"/>
    <w:rsid w:val="006F3137"/>
    <w:rsid w:val="006F4B93"/>
    <w:rsid w:val="006F581E"/>
    <w:rsid w:val="006F6EA0"/>
    <w:rsid w:val="006F72BB"/>
    <w:rsid w:val="007014EC"/>
    <w:rsid w:val="00701707"/>
    <w:rsid w:val="0070279E"/>
    <w:rsid w:val="00702A2A"/>
    <w:rsid w:val="00705193"/>
    <w:rsid w:val="007103EE"/>
    <w:rsid w:val="007103EF"/>
    <w:rsid w:val="00710401"/>
    <w:rsid w:val="007104D7"/>
    <w:rsid w:val="0071253F"/>
    <w:rsid w:val="00713E5B"/>
    <w:rsid w:val="007140CD"/>
    <w:rsid w:val="007146F8"/>
    <w:rsid w:val="00714B42"/>
    <w:rsid w:val="00714F9F"/>
    <w:rsid w:val="00715557"/>
    <w:rsid w:val="00715E58"/>
    <w:rsid w:val="00716DF1"/>
    <w:rsid w:val="00717854"/>
    <w:rsid w:val="007214E0"/>
    <w:rsid w:val="00721DB6"/>
    <w:rsid w:val="00723E7C"/>
    <w:rsid w:val="007245B1"/>
    <w:rsid w:val="007251BF"/>
    <w:rsid w:val="0072690F"/>
    <w:rsid w:val="00726C9A"/>
    <w:rsid w:val="0073281B"/>
    <w:rsid w:val="00732FED"/>
    <w:rsid w:val="00733671"/>
    <w:rsid w:val="007365FC"/>
    <w:rsid w:val="00736721"/>
    <w:rsid w:val="00740DA5"/>
    <w:rsid w:val="00742301"/>
    <w:rsid w:val="00743609"/>
    <w:rsid w:val="00743BFC"/>
    <w:rsid w:val="00744475"/>
    <w:rsid w:val="00746F09"/>
    <w:rsid w:val="00750306"/>
    <w:rsid w:val="00750EEF"/>
    <w:rsid w:val="007534C9"/>
    <w:rsid w:val="00754A51"/>
    <w:rsid w:val="00757924"/>
    <w:rsid w:val="00757DBB"/>
    <w:rsid w:val="007604F5"/>
    <w:rsid w:val="00760C2C"/>
    <w:rsid w:val="00761CAC"/>
    <w:rsid w:val="0076488F"/>
    <w:rsid w:val="007653F8"/>
    <w:rsid w:val="00765493"/>
    <w:rsid w:val="0076614D"/>
    <w:rsid w:val="00766873"/>
    <w:rsid w:val="00767101"/>
    <w:rsid w:val="00770D97"/>
    <w:rsid w:val="007713AD"/>
    <w:rsid w:val="00771BEF"/>
    <w:rsid w:val="00772BF8"/>
    <w:rsid w:val="00772F84"/>
    <w:rsid w:val="00774201"/>
    <w:rsid w:val="00774384"/>
    <w:rsid w:val="007758AC"/>
    <w:rsid w:val="00776167"/>
    <w:rsid w:val="00777630"/>
    <w:rsid w:val="007805AB"/>
    <w:rsid w:val="007813F9"/>
    <w:rsid w:val="00782A43"/>
    <w:rsid w:val="0078665A"/>
    <w:rsid w:val="00790CAA"/>
    <w:rsid w:val="00792783"/>
    <w:rsid w:val="00792AD6"/>
    <w:rsid w:val="00792C9F"/>
    <w:rsid w:val="00793BDD"/>
    <w:rsid w:val="00794B6A"/>
    <w:rsid w:val="007A19C8"/>
    <w:rsid w:val="007A3E11"/>
    <w:rsid w:val="007A58C2"/>
    <w:rsid w:val="007B0A41"/>
    <w:rsid w:val="007B1DE8"/>
    <w:rsid w:val="007B2E4B"/>
    <w:rsid w:val="007B2EF8"/>
    <w:rsid w:val="007B54DD"/>
    <w:rsid w:val="007B5724"/>
    <w:rsid w:val="007B77A4"/>
    <w:rsid w:val="007B7D2C"/>
    <w:rsid w:val="007C0C53"/>
    <w:rsid w:val="007C58FE"/>
    <w:rsid w:val="007C5BC9"/>
    <w:rsid w:val="007C733E"/>
    <w:rsid w:val="007D1DA2"/>
    <w:rsid w:val="007D23E2"/>
    <w:rsid w:val="007D47FF"/>
    <w:rsid w:val="007D4F67"/>
    <w:rsid w:val="007D5F70"/>
    <w:rsid w:val="007D7274"/>
    <w:rsid w:val="007D7661"/>
    <w:rsid w:val="007D7CC9"/>
    <w:rsid w:val="007E1205"/>
    <w:rsid w:val="007E1AE5"/>
    <w:rsid w:val="007E2F0F"/>
    <w:rsid w:val="007E3A20"/>
    <w:rsid w:val="007E4229"/>
    <w:rsid w:val="007E5127"/>
    <w:rsid w:val="007E5524"/>
    <w:rsid w:val="007E6E60"/>
    <w:rsid w:val="007F007B"/>
    <w:rsid w:val="007F03E3"/>
    <w:rsid w:val="007F1423"/>
    <w:rsid w:val="007F286F"/>
    <w:rsid w:val="007F6627"/>
    <w:rsid w:val="007F6B4B"/>
    <w:rsid w:val="007F6CC5"/>
    <w:rsid w:val="007F6DC8"/>
    <w:rsid w:val="00801548"/>
    <w:rsid w:val="00802532"/>
    <w:rsid w:val="00802AC3"/>
    <w:rsid w:val="008031FF"/>
    <w:rsid w:val="0080616A"/>
    <w:rsid w:val="0080690D"/>
    <w:rsid w:val="00811D21"/>
    <w:rsid w:val="00812B00"/>
    <w:rsid w:val="00812B5E"/>
    <w:rsid w:val="00812DBC"/>
    <w:rsid w:val="00817193"/>
    <w:rsid w:val="0082157B"/>
    <w:rsid w:val="008215E7"/>
    <w:rsid w:val="00821A0E"/>
    <w:rsid w:val="00823D29"/>
    <w:rsid w:val="008269EF"/>
    <w:rsid w:val="008303C2"/>
    <w:rsid w:val="00837801"/>
    <w:rsid w:val="00840451"/>
    <w:rsid w:val="008418F3"/>
    <w:rsid w:val="00841D42"/>
    <w:rsid w:val="0084217A"/>
    <w:rsid w:val="00842F4B"/>
    <w:rsid w:val="00846544"/>
    <w:rsid w:val="00846B33"/>
    <w:rsid w:val="008519EC"/>
    <w:rsid w:val="0085330B"/>
    <w:rsid w:val="008540B3"/>
    <w:rsid w:val="00854E60"/>
    <w:rsid w:val="00856544"/>
    <w:rsid w:val="00860F1C"/>
    <w:rsid w:val="0086285C"/>
    <w:rsid w:val="0086465A"/>
    <w:rsid w:val="0086473F"/>
    <w:rsid w:val="008647F7"/>
    <w:rsid w:val="00864CF8"/>
    <w:rsid w:val="008701C8"/>
    <w:rsid w:val="00871746"/>
    <w:rsid w:val="00874AA2"/>
    <w:rsid w:val="00877094"/>
    <w:rsid w:val="00880741"/>
    <w:rsid w:val="00881037"/>
    <w:rsid w:val="00882B50"/>
    <w:rsid w:val="00882E3E"/>
    <w:rsid w:val="00884197"/>
    <w:rsid w:val="00885334"/>
    <w:rsid w:val="00887369"/>
    <w:rsid w:val="0088795D"/>
    <w:rsid w:val="00892295"/>
    <w:rsid w:val="0089230C"/>
    <w:rsid w:val="0089494B"/>
    <w:rsid w:val="00897363"/>
    <w:rsid w:val="008A168B"/>
    <w:rsid w:val="008A1813"/>
    <w:rsid w:val="008A3141"/>
    <w:rsid w:val="008A50F2"/>
    <w:rsid w:val="008A77EC"/>
    <w:rsid w:val="008B2B8F"/>
    <w:rsid w:val="008B2F7C"/>
    <w:rsid w:val="008B331F"/>
    <w:rsid w:val="008B470A"/>
    <w:rsid w:val="008B64BB"/>
    <w:rsid w:val="008B67AE"/>
    <w:rsid w:val="008B7159"/>
    <w:rsid w:val="008B7338"/>
    <w:rsid w:val="008B7ED6"/>
    <w:rsid w:val="008C0A29"/>
    <w:rsid w:val="008C1EE1"/>
    <w:rsid w:val="008C35ED"/>
    <w:rsid w:val="008C3EC7"/>
    <w:rsid w:val="008C3F8B"/>
    <w:rsid w:val="008C5AE4"/>
    <w:rsid w:val="008C5D7F"/>
    <w:rsid w:val="008C607D"/>
    <w:rsid w:val="008C6893"/>
    <w:rsid w:val="008C7CF3"/>
    <w:rsid w:val="008C7F4C"/>
    <w:rsid w:val="008D0F27"/>
    <w:rsid w:val="008D147F"/>
    <w:rsid w:val="008D33D6"/>
    <w:rsid w:val="008D471A"/>
    <w:rsid w:val="008D55AF"/>
    <w:rsid w:val="008D56C7"/>
    <w:rsid w:val="008D5B4D"/>
    <w:rsid w:val="008D5ED1"/>
    <w:rsid w:val="008D77B9"/>
    <w:rsid w:val="008E2153"/>
    <w:rsid w:val="008E2C49"/>
    <w:rsid w:val="008E42BB"/>
    <w:rsid w:val="008E42E2"/>
    <w:rsid w:val="008E68FF"/>
    <w:rsid w:val="008E78E7"/>
    <w:rsid w:val="008F03C5"/>
    <w:rsid w:val="008F2BD6"/>
    <w:rsid w:val="008F5F47"/>
    <w:rsid w:val="008F62C8"/>
    <w:rsid w:val="008F672E"/>
    <w:rsid w:val="008F73F9"/>
    <w:rsid w:val="009015DA"/>
    <w:rsid w:val="00904BA3"/>
    <w:rsid w:val="00904C8B"/>
    <w:rsid w:val="00906330"/>
    <w:rsid w:val="00907043"/>
    <w:rsid w:val="00907CBC"/>
    <w:rsid w:val="00907F45"/>
    <w:rsid w:val="00910420"/>
    <w:rsid w:val="00911356"/>
    <w:rsid w:val="00911549"/>
    <w:rsid w:val="00911856"/>
    <w:rsid w:val="00912C72"/>
    <w:rsid w:val="0091338B"/>
    <w:rsid w:val="009176E6"/>
    <w:rsid w:val="00917BBF"/>
    <w:rsid w:val="00921156"/>
    <w:rsid w:val="00921B0C"/>
    <w:rsid w:val="009228BA"/>
    <w:rsid w:val="009271C0"/>
    <w:rsid w:val="009278A6"/>
    <w:rsid w:val="00931141"/>
    <w:rsid w:val="009323D5"/>
    <w:rsid w:val="00933EB0"/>
    <w:rsid w:val="00934E37"/>
    <w:rsid w:val="0093658A"/>
    <w:rsid w:val="00936890"/>
    <w:rsid w:val="00936E31"/>
    <w:rsid w:val="0094223C"/>
    <w:rsid w:val="009440A4"/>
    <w:rsid w:val="00944A85"/>
    <w:rsid w:val="00944F65"/>
    <w:rsid w:val="00947188"/>
    <w:rsid w:val="00950978"/>
    <w:rsid w:val="00950DA4"/>
    <w:rsid w:val="00953F21"/>
    <w:rsid w:val="00954549"/>
    <w:rsid w:val="0095521E"/>
    <w:rsid w:val="009569B2"/>
    <w:rsid w:val="00956C4B"/>
    <w:rsid w:val="0096012A"/>
    <w:rsid w:val="00961282"/>
    <w:rsid w:val="0096459E"/>
    <w:rsid w:val="0096462C"/>
    <w:rsid w:val="00966854"/>
    <w:rsid w:val="00967F3D"/>
    <w:rsid w:val="00970E1F"/>
    <w:rsid w:val="009716F9"/>
    <w:rsid w:val="0097280C"/>
    <w:rsid w:val="00972AFE"/>
    <w:rsid w:val="009735D6"/>
    <w:rsid w:val="00973FBA"/>
    <w:rsid w:val="00974D79"/>
    <w:rsid w:val="00975F25"/>
    <w:rsid w:val="00975F48"/>
    <w:rsid w:val="00976816"/>
    <w:rsid w:val="009800E3"/>
    <w:rsid w:val="00980CBB"/>
    <w:rsid w:val="0098146A"/>
    <w:rsid w:val="009822A1"/>
    <w:rsid w:val="00982D74"/>
    <w:rsid w:val="00985858"/>
    <w:rsid w:val="00987B9F"/>
    <w:rsid w:val="0099072B"/>
    <w:rsid w:val="00993589"/>
    <w:rsid w:val="00993614"/>
    <w:rsid w:val="009937BF"/>
    <w:rsid w:val="00993A26"/>
    <w:rsid w:val="00994F0D"/>
    <w:rsid w:val="00996061"/>
    <w:rsid w:val="00997116"/>
    <w:rsid w:val="009A01FD"/>
    <w:rsid w:val="009A0C93"/>
    <w:rsid w:val="009A0CB6"/>
    <w:rsid w:val="009A1E41"/>
    <w:rsid w:val="009A2FC7"/>
    <w:rsid w:val="009A3111"/>
    <w:rsid w:val="009A4275"/>
    <w:rsid w:val="009A63A3"/>
    <w:rsid w:val="009A6C3F"/>
    <w:rsid w:val="009A7E34"/>
    <w:rsid w:val="009B2608"/>
    <w:rsid w:val="009B2BAB"/>
    <w:rsid w:val="009B31EB"/>
    <w:rsid w:val="009B3820"/>
    <w:rsid w:val="009B419D"/>
    <w:rsid w:val="009B77B8"/>
    <w:rsid w:val="009C13CB"/>
    <w:rsid w:val="009C17AB"/>
    <w:rsid w:val="009C1D31"/>
    <w:rsid w:val="009C4AE8"/>
    <w:rsid w:val="009C4B20"/>
    <w:rsid w:val="009C5E4B"/>
    <w:rsid w:val="009C656F"/>
    <w:rsid w:val="009C6AC8"/>
    <w:rsid w:val="009C6D6D"/>
    <w:rsid w:val="009D0603"/>
    <w:rsid w:val="009D0F7E"/>
    <w:rsid w:val="009D0FE7"/>
    <w:rsid w:val="009D1C6D"/>
    <w:rsid w:val="009D1DAB"/>
    <w:rsid w:val="009D244B"/>
    <w:rsid w:val="009D25D9"/>
    <w:rsid w:val="009D284B"/>
    <w:rsid w:val="009D3740"/>
    <w:rsid w:val="009D4F2C"/>
    <w:rsid w:val="009D51A8"/>
    <w:rsid w:val="009D65F5"/>
    <w:rsid w:val="009D6B15"/>
    <w:rsid w:val="009D73A6"/>
    <w:rsid w:val="009D7F52"/>
    <w:rsid w:val="009E00DF"/>
    <w:rsid w:val="009E1BFB"/>
    <w:rsid w:val="009E2A72"/>
    <w:rsid w:val="009E3EE3"/>
    <w:rsid w:val="009E50D8"/>
    <w:rsid w:val="009E54C4"/>
    <w:rsid w:val="009E65E7"/>
    <w:rsid w:val="009F0F1B"/>
    <w:rsid w:val="009F7E5C"/>
    <w:rsid w:val="00A000E2"/>
    <w:rsid w:val="00A01C60"/>
    <w:rsid w:val="00A02BBC"/>
    <w:rsid w:val="00A02EF3"/>
    <w:rsid w:val="00A03E6E"/>
    <w:rsid w:val="00A04CB5"/>
    <w:rsid w:val="00A05708"/>
    <w:rsid w:val="00A05C04"/>
    <w:rsid w:val="00A05C28"/>
    <w:rsid w:val="00A11250"/>
    <w:rsid w:val="00A12A88"/>
    <w:rsid w:val="00A13726"/>
    <w:rsid w:val="00A14368"/>
    <w:rsid w:val="00A1755B"/>
    <w:rsid w:val="00A175FA"/>
    <w:rsid w:val="00A17D3F"/>
    <w:rsid w:val="00A2014B"/>
    <w:rsid w:val="00A20358"/>
    <w:rsid w:val="00A209DE"/>
    <w:rsid w:val="00A24379"/>
    <w:rsid w:val="00A25037"/>
    <w:rsid w:val="00A27900"/>
    <w:rsid w:val="00A3076E"/>
    <w:rsid w:val="00A31C1D"/>
    <w:rsid w:val="00A34629"/>
    <w:rsid w:val="00A34B6C"/>
    <w:rsid w:val="00A35B3B"/>
    <w:rsid w:val="00A35F40"/>
    <w:rsid w:val="00A408D1"/>
    <w:rsid w:val="00A42C74"/>
    <w:rsid w:val="00A46F33"/>
    <w:rsid w:val="00A479A7"/>
    <w:rsid w:val="00A502E6"/>
    <w:rsid w:val="00A51176"/>
    <w:rsid w:val="00A5149D"/>
    <w:rsid w:val="00A52670"/>
    <w:rsid w:val="00A52F6A"/>
    <w:rsid w:val="00A53EB2"/>
    <w:rsid w:val="00A54233"/>
    <w:rsid w:val="00A54406"/>
    <w:rsid w:val="00A546B8"/>
    <w:rsid w:val="00A54D06"/>
    <w:rsid w:val="00A55166"/>
    <w:rsid w:val="00A5516A"/>
    <w:rsid w:val="00A55D98"/>
    <w:rsid w:val="00A575A7"/>
    <w:rsid w:val="00A57AF5"/>
    <w:rsid w:val="00A60862"/>
    <w:rsid w:val="00A61682"/>
    <w:rsid w:val="00A65F4B"/>
    <w:rsid w:val="00A67636"/>
    <w:rsid w:val="00A7010F"/>
    <w:rsid w:val="00A713D6"/>
    <w:rsid w:val="00A71B49"/>
    <w:rsid w:val="00A7626D"/>
    <w:rsid w:val="00A76636"/>
    <w:rsid w:val="00A80E40"/>
    <w:rsid w:val="00A80E83"/>
    <w:rsid w:val="00A828D7"/>
    <w:rsid w:val="00A833C4"/>
    <w:rsid w:val="00A83E82"/>
    <w:rsid w:val="00A8422B"/>
    <w:rsid w:val="00A84BE8"/>
    <w:rsid w:val="00A856AB"/>
    <w:rsid w:val="00A85E4E"/>
    <w:rsid w:val="00A95637"/>
    <w:rsid w:val="00A95BF8"/>
    <w:rsid w:val="00A969A8"/>
    <w:rsid w:val="00A96AFD"/>
    <w:rsid w:val="00A97B9C"/>
    <w:rsid w:val="00AA08A7"/>
    <w:rsid w:val="00AA0982"/>
    <w:rsid w:val="00AA0E3D"/>
    <w:rsid w:val="00AA1D34"/>
    <w:rsid w:val="00AA27C2"/>
    <w:rsid w:val="00AA6597"/>
    <w:rsid w:val="00AA69F3"/>
    <w:rsid w:val="00AA73DE"/>
    <w:rsid w:val="00AA7446"/>
    <w:rsid w:val="00AB08C5"/>
    <w:rsid w:val="00AB1A32"/>
    <w:rsid w:val="00AB3372"/>
    <w:rsid w:val="00AB4D33"/>
    <w:rsid w:val="00AB4E0E"/>
    <w:rsid w:val="00AB622B"/>
    <w:rsid w:val="00AB6275"/>
    <w:rsid w:val="00AB69ED"/>
    <w:rsid w:val="00AC178E"/>
    <w:rsid w:val="00AC1EFA"/>
    <w:rsid w:val="00AC26C3"/>
    <w:rsid w:val="00AC2AC7"/>
    <w:rsid w:val="00AC5D8F"/>
    <w:rsid w:val="00AC6C29"/>
    <w:rsid w:val="00AD06EC"/>
    <w:rsid w:val="00AD108E"/>
    <w:rsid w:val="00AD23FB"/>
    <w:rsid w:val="00AD5114"/>
    <w:rsid w:val="00AD7279"/>
    <w:rsid w:val="00AE015D"/>
    <w:rsid w:val="00AE0C35"/>
    <w:rsid w:val="00AE1A2F"/>
    <w:rsid w:val="00AE337B"/>
    <w:rsid w:val="00AE4835"/>
    <w:rsid w:val="00AE4A16"/>
    <w:rsid w:val="00AE63BC"/>
    <w:rsid w:val="00AE6925"/>
    <w:rsid w:val="00AF0AB1"/>
    <w:rsid w:val="00AF2884"/>
    <w:rsid w:val="00AF36B2"/>
    <w:rsid w:val="00AF4881"/>
    <w:rsid w:val="00AF4B9C"/>
    <w:rsid w:val="00AF74D8"/>
    <w:rsid w:val="00B00D03"/>
    <w:rsid w:val="00B01327"/>
    <w:rsid w:val="00B020EB"/>
    <w:rsid w:val="00B046D1"/>
    <w:rsid w:val="00B049F2"/>
    <w:rsid w:val="00B04C61"/>
    <w:rsid w:val="00B051AB"/>
    <w:rsid w:val="00B05BB1"/>
    <w:rsid w:val="00B05C62"/>
    <w:rsid w:val="00B102D1"/>
    <w:rsid w:val="00B11814"/>
    <w:rsid w:val="00B11D0C"/>
    <w:rsid w:val="00B120E6"/>
    <w:rsid w:val="00B12DE6"/>
    <w:rsid w:val="00B135CE"/>
    <w:rsid w:val="00B1495B"/>
    <w:rsid w:val="00B14A3B"/>
    <w:rsid w:val="00B15D80"/>
    <w:rsid w:val="00B15F2F"/>
    <w:rsid w:val="00B16F55"/>
    <w:rsid w:val="00B17824"/>
    <w:rsid w:val="00B20A29"/>
    <w:rsid w:val="00B21A0D"/>
    <w:rsid w:val="00B22177"/>
    <w:rsid w:val="00B22FF5"/>
    <w:rsid w:val="00B23159"/>
    <w:rsid w:val="00B249CF"/>
    <w:rsid w:val="00B24E9F"/>
    <w:rsid w:val="00B27001"/>
    <w:rsid w:val="00B30017"/>
    <w:rsid w:val="00B30175"/>
    <w:rsid w:val="00B305B3"/>
    <w:rsid w:val="00B317E5"/>
    <w:rsid w:val="00B32B24"/>
    <w:rsid w:val="00B33F89"/>
    <w:rsid w:val="00B34DF4"/>
    <w:rsid w:val="00B35032"/>
    <w:rsid w:val="00B35644"/>
    <w:rsid w:val="00B35B59"/>
    <w:rsid w:val="00B35B88"/>
    <w:rsid w:val="00B37E06"/>
    <w:rsid w:val="00B37F3C"/>
    <w:rsid w:val="00B41465"/>
    <w:rsid w:val="00B4182B"/>
    <w:rsid w:val="00B4184D"/>
    <w:rsid w:val="00B4331B"/>
    <w:rsid w:val="00B43AA3"/>
    <w:rsid w:val="00B5042E"/>
    <w:rsid w:val="00B505BE"/>
    <w:rsid w:val="00B51056"/>
    <w:rsid w:val="00B51C6A"/>
    <w:rsid w:val="00B5383D"/>
    <w:rsid w:val="00B548D3"/>
    <w:rsid w:val="00B550A4"/>
    <w:rsid w:val="00B57434"/>
    <w:rsid w:val="00B604A4"/>
    <w:rsid w:val="00B6057F"/>
    <w:rsid w:val="00B609AB"/>
    <w:rsid w:val="00B62AB6"/>
    <w:rsid w:val="00B62F58"/>
    <w:rsid w:val="00B635B4"/>
    <w:rsid w:val="00B644F6"/>
    <w:rsid w:val="00B66A69"/>
    <w:rsid w:val="00B67C5F"/>
    <w:rsid w:val="00B70303"/>
    <w:rsid w:val="00B70B46"/>
    <w:rsid w:val="00B720F1"/>
    <w:rsid w:val="00B737FD"/>
    <w:rsid w:val="00B80FA1"/>
    <w:rsid w:val="00B84E95"/>
    <w:rsid w:val="00B8535B"/>
    <w:rsid w:val="00B85588"/>
    <w:rsid w:val="00B85D50"/>
    <w:rsid w:val="00B85DDE"/>
    <w:rsid w:val="00B90A5D"/>
    <w:rsid w:val="00B91915"/>
    <w:rsid w:val="00B91CD1"/>
    <w:rsid w:val="00B948EE"/>
    <w:rsid w:val="00B960A5"/>
    <w:rsid w:val="00BA12F6"/>
    <w:rsid w:val="00BA23A1"/>
    <w:rsid w:val="00BA2596"/>
    <w:rsid w:val="00BA2695"/>
    <w:rsid w:val="00BA3AF7"/>
    <w:rsid w:val="00BA3BDD"/>
    <w:rsid w:val="00BA3D21"/>
    <w:rsid w:val="00BA4276"/>
    <w:rsid w:val="00BA4B25"/>
    <w:rsid w:val="00BB1502"/>
    <w:rsid w:val="00BB16AC"/>
    <w:rsid w:val="00BB2B86"/>
    <w:rsid w:val="00BB3228"/>
    <w:rsid w:val="00BB36EF"/>
    <w:rsid w:val="00BB3E08"/>
    <w:rsid w:val="00BB48E8"/>
    <w:rsid w:val="00BB5D89"/>
    <w:rsid w:val="00BB6351"/>
    <w:rsid w:val="00BB66D5"/>
    <w:rsid w:val="00BB6E1D"/>
    <w:rsid w:val="00BC0EA2"/>
    <w:rsid w:val="00BC148E"/>
    <w:rsid w:val="00BC2508"/>
    <w:rsid w:val="00BC2774"/>
    <w:rsid w:val="00BC44C9"/>
    <w:rsid w:val="00BC6481"/>
    <w:rsid w:val="00BD1071"/>
    <w:rsid w:val="00BD1309"/>
    <w:rsid w:val="00BD1385"/>
    <w:rsid w:val="00BD471C"/>
    <w:rsid w:val="00BD5E8E"/>
    <w:rsid w:val="00BD6756"/>
    <w:rsid w:val="00BD7735"/>
    <w:rsid w:val="00BD785D"/>
    <w:rsid w:val="00BD79CD"/>
    <w:rsid w:val="00BD7B72"/>
    <w:rsid w:val="00BE13D5"/>
    <w:rsid w:val="00BE44F4"/>
    <w:rsid w:val="00BE48B3"/>
    <w:rsid w:val="00BE538F"/>
    <w:rsid w:val="00BE6698"/>
    <w:rsid w:val="00BE6CFD"/>
    <w:rsid w:val="00BE79D7"/>
    <w:rsid w:val="00BF078B"/>
    <w:rsid w:val="00BF1BD4"/>
    <w:rsid w:val="00BF3863"/>
    <w:rsid w:val="00BF443A"/>
    <w:rsid w:val="00BF6DB5"/>
    <w:rsid w:val="00C00A8A"/>
    <w:rsid w:val="00C00FD5"/>
    <w:rsid w:val="00C01F53"/>
    <w:rsid w:val="00C03855"/>
    <w:rsid w:val="00C03C24"/>
    <w:rsid w:val="00C04F42"/>
    <w:rsid w:val="00C05CC8"/>
    <w:rsid w:val="00C10750"/>
    <w:rsid w:val="00C10E10"/>
    <w:rsid w:val="00C12366"/>
    <w:rsid w:val="00C1340A"/>
    <w:rsid w:val="00C141E2"/>
    <w:rsid w:val="00C165B6"/>
    <w:rsid w:val="00C16878"/>
    <w:rsid w:val="00C16EAC"/>
    <w:rsid w:val="00C17118"/>
    <w:rsid w:val="00C20CE9"/>
    <w:rsid w:val="00C21408"/>
    <w:rsid w:val="00C23047"/>
    <w:rsid w:val="00C248A9"/>
    <w:rsid w:val="00C24E66"/>
    <w:rsid w:val="00C265D1"/>
    <w:rsid w:val="00C26D23"/>
    <w:rsid w:val="00C27032"/>
    <w:rsid w:val="00C271FF"/>
    <w:rsid w:val="00C27DB3"/>
    <w:rsid w:val="00C300ED"/>
    <w:rsid w:val="00C30AC9"/>
    <w:rsid w:val="00C31D8C"/>
    <w:rsid w:val="00C31D95"/>
    <w:rsid w:val="00C3522E"/>
    <w:rsid w:val="00C361CB"/>
    <w:rsid w:val="00C36376"/>
    <w:rsid w:val="00C36718"/>
    <w:rsid w:val="00C36C19"/>
    <w:rsid w:val="00C37E6B"/>
    <w:rsid w:val="00C40A72"/>
    <w:rsid w:val="00C40CFF"/>
    <w:rsid w:val="00C417CD"/>
    <w:rsid w:val="00C41FF0"/>
    <w:rsid w:val="00C4250C"/>
    <w:rsid w:val="00C42B20"/>
    <w:rsid w:val="00C43CD9"/>
    <w:rsid w:val="00C43E57"/>
    <w:rsid w:val="00C44029"/>
    <w:rsid w:val="00C44D40"/>
    <w:rsid w:val="00C465D8"/>
    <w:rsid w:val="00C46A17"/>
    <w:rsid w:val="00C477B9"/>
    <w:rsid w:val="00C53ACD"/>
    <w:rsid w:val="00C561E7"/>
    <w:rsid w:val="00C61362"/>
    <w:rsid w:val="00C616F3"/>
    <w:rsid w:val="00C618EE"/>
    <w:rsid w:val="00C61C29"/>
    <w:rsid w:val="00C660EB"/>
    <w:rsid w:val="00C66339"/>
    <w:rsid w:val="00C66CCA"/>
    <w:rsid w:val="00C671D0"/>
    <w:rsid w:val="00C677FF"/>
    <w:rsid w:val="00C70E48"/>
    <w:rsid w:val="00C71EF8"/>
    <w:rsid w:val="00C72753"/>
    <w:rsid w:val="00C73162"/>
    <w:rsid w:val="00C7320C"/>
    <w:rsid w:val="00C73F25"/>
    <w:rsid w:val="00C80C50"/>
    <w:rsid w:val="00C8238A"/>
    <w:rsid w:val="00C8430B"/>
    <w:rsid w:val="00C85B3D"/>
    <w:rsid w:val="00C87DC1"/>
    <w:rsid w:val="00C90112"/>
    <w:rsid w:val="00C926B5"/>
    <w:rsid w:val="00C95F29"/>
    <w:rsid w:val="00C96624"/>
    <w:rsid w:val="00C978EC"/>
    <w:rsid w:val="00CA0C7D"/>
    <w:rsid w:val="00CA0FD3"/>
    <w:rsid w:val="00CA177A"/>
    <w:rsid w:val="00CA4739"/>
    <w:rsid w:val="00CA48C0"/>
    <w:rsid w:val="00CA641B"/>
    <w:rsid w:val="00CA678F"/>
    <w:rsid w:val="00CA7B58"/>
    <w:rsid w:val="00CA7E0B"/>
    <w:rsid w:val="00CB0A50"/>
    <w:rsid w:val="00CB0B69"/>
    <w:rsid w:val="00CB128D"/>
    <w:rsid w:val="00CB168B"/>
    <w:rsid w:val="00CB47C1"/>
    <w:rsid w:val="00CB4C87"/>
    <w:rsid w:val="00CB6CF5"/>
    <w:rsid w:val="00CB7D29"/>
    <w:rsid w:val="00CB7F95"/>
    <w:rsid w:val="00CC02B3"/>
    <w:rsid w:val="00CC0DFC"/>
    <w:rsid w:val="00CC178C"/>
    <w:rsid w:val="00CC1BFF"/>
    <w:rsid w:val="00CC1DC0"/>
    <w:rsid w:val="00CC2F07"/>
    <w:rsid w:val="00CC3678"/>
    <w:rsid w:val="00CC48BD"/>
    <w:rsid w:val="00CC4DAD"/>
    <w:rsid w:val="00CC56CC"/>
    <w:rsid w:val="00CC6DF8"/>
    <w:rsid w:val="00CC6F68"/>
    <w:rsid w:val="00CC7505"/>
    <w:rsid w:val="00CD0CEB"/>
    <w:rsid w:val="00CD13CC"/>
    <w:rsid w:val="00CD3862"/>
    <w:rsid w:val="00CD42B8"/>
    <w:rsid w:val="00CD6D39"/>
    <w:rsid w:val="00CE186E"/>
    <w:rsid w:val="00CE38B2"/>
    <w:rsid w:val="00CE5343"/>
    <w:rsid w:val="00CE554F"/>
    <w:rsid w:val="00CE7D94"/>
    <w:rsid w:val="00CF220E"/>
    <w:rsid w:val="00CF2815"/>
    <w:rsid w:val="00CF3523"/>
    <w:rsid w:val="00CF3AEC"/>
    <w:rsid w:val="00CF4578"/>
    <w:rsid w:val="00CF4C6C"/>
    <w:rsid w:val="00CF667B"/>
    <w:rsid w:val="00CF75CF"/>
    <w:rsid w:val="00CF7AC8"/>
    <w:rsid w:val="00CF7E56"/>
    <w:rsid w:val="00D0313D"/>
    <w:rsid w:val="00D031FC"/>
    <w:rsid w:val="00D052F9"/>
    <w:rsid w:val="00D0533C"/>
    <w:rsid w:val="00D059B6"/>
    <w:rsid w:val="00D05C5A"/>
    <w:rsid w:val="00D07B52"/>
    <w:rsid w:val="00D10153"/>
    <w:rsid w:val="00D10A37"/>
    <w:rsid w:val="00D12FE6"/>
    <w:rsid w:val="00D1303C"/>
    <w:rsid w:val="00D167D6"/>
    <w:rsid w:val="00D203E0"/>
    <w:rsid w:val="00D20436"/>
    <w:rsid w:val="00D20769"/>
    <w:rsid w:val="00D20993"/>
    <w:rsid w:val="00D219E0"/>
    <w:rsid w:val="00D21F20"/>
    <w:rsid w:val="00D22C45"/>
    <w:rsid w:val="00D238F8"/>
    <w:rsid w:val="00D25E6D"/>
    <w:rsid w:val="00D27002"/>
    <w:rsid w:val="00D278B4"/>
    <w:rsid w:val="00D3052C"/>
    <w:rsid w:val="00D31116"/>
    <w:rsid w:val="00D32585"/>
    <w:rsid w:val="00D32A7F"/>
    <w:rsid w:val="00D330DD"/>
    <w:rsid w:val="00D347C3"/>
    <w:rsid w:val="00D34CBF"/>
    <w:rsid w:val="00D357C3"/>
    <w:rsid w:val="00D35B76"/>
    <w:rsid w:val="00D3640A"/>
    <w:rsid w:val="00D37812"/>
    <w:rsid w:val="00D409B9"/>
    <w:rsid w:val="00D4132E"/>
    <w:rsid w:val="00D41470"/>
    <w:rsid w:val="00D41572"/>
    <w:rsid w:val="00D424DF"/>
    <w:rsid w:val="00D43BEB"/>
    <w:rsid w:val="00D45233"/>
    <w:rsid w:val="00D468D4"/>
    <w:rsid w:val="00D46E23"/>
    <w:rsid w:val="00D50F97"/>
    <w:rsid w:val="00D511EE"/>
    <w:rsid w:val="00D5123D"/>
    <w:rsid w:val="00D51CBA"/>
    <w:rsid w:val="00D52735"/>
    <w:rsid w:val="00D534F1"/>
    <w:rsid w:val="00D55688"/>
    <w:rsid w:val="00D55786"/>
    <w:rsid w:val="00D55F62"/>
    <w:rsid w:val="00D5618D"/>
    <w:rsid w:val="00D5739C"/>
    <w:rsid w:val="00D57434"/>
    <w:rsid w:val="00D624A0"/>
    <w:rsid w:val="00D62612"/>
    <w:rsid w:val="00D638FD"/>
    <w:rsid w:val="00D63D73"/>
    <w:rsid w:val="00D6443E"/>
    <w:rsid w:val="00D65A3D"/>
    <w:rsid w:val="00D678DB"/>
    <w:rsid w:val="00D67D76"/>
    <w:rsid w:val="00D7027D"/>
    <w:rsid w:val="00D70DEC"/>
    <w:rsid w:val="00D715B5"/>
    <w:rsid w:val="00D7174C"/>
    <w:rsid w:val="00D72626"/>
    <w:rsid w:val="00D72CCB"/>
    <w:rsid w:val="00D73677"/>
    <w:rsid w:val="00D76553"/>
    <w:rsid w:val="00D76CF8"/>
    <w:rsid w:val="00D80E89"/>
    <w:rsid w:val="00D84DED"/>
    <w:rsid w:val="00D8548C"/>
    <w:rsid w:val="00D85666"/>
    <w:rsid w:val="00D86390"/>
    <w:rsid w:val="00D87992"/>
    <w:rsid w:val="00D92D7B"/>
    <w:rsid w:val="00D94397"/>
    <w:rsid w:val="00D9566C"/>
    <w:rsid w:val="00D95B4D"/>
    <w:rsid w:val="00D9725B"/>
    <w:rsid w:val="00DA1351"/>
    <w:rsid w:val="00DA1C5D"/>
    <w:rsid w:val="00DA292A"/>
    <w:rsid w:val="00DA4CE6"/>
    <w:rsid w:val="00DB0166"/>
    <w:rsid w:val="00DB161E"/>
    <w:rsid w:val="00DB1CDE"/>
    <w:rsid w:val="00DB2178"/>
    <w:rsid w:val="00DB2CB0"/>
    <w:rsid w:val="00DB3D85"/>
    <w:rsid w:val="00DB71DA"/>
    <w:rsid w:val="00DC0052"/>
    <w:rsid w:val="00DC0807"/>
    <w:rsid w:val="00DC0F7B"/>
    <w:rsid w:val="00DC2F6C"/>
    <w:rsid w:val="00DC65B1"/>
    <w:rsid w:val="00DC7201"/>
    <w:rsid w:val="00DC784F"/>
    <w:rsid w:val="00DD06A2"/>
    <w:rsid w:val="00DD0B22"/>
    <w:rsid w:val="00DD2356"/>
    <w:rsid w:val="00DD2C73"/>
    <w:rsid w:val="00DD3275"/>
    <w:rsid w:val="00DD62BF"/>
    <w:rsid w:val="00DD7E2E"/>
    <w:rsid w:val="00DE139C"/>
    <w:rsid w:val="00DE2D68"/>
    <w:rsid w:val="00DE312D"/>
    <w:rsid w:val="00DE4E58"/>
    <w:rsid w:val="00DE5FA7"/>
    <w:rsid w:val="00DE629A"/>
    <w:rsid w:val="00DE6626"/>
    <w:rsid w:val="00DE744A"/>
    <w:rsid w:val="00DF0BA8"/>
    <w:rsid w:val="00DF1DAF"/>
    <w:rsid w:val="00DF1E7C"/>
    <w:rsid w:val="00DF1F2B"/>
    <w:rsid w:val="00DF29CA"/>
    <w:rsid w:val="00DF37A5"/>
    <w:rsid w:val="00DF4362"/>
    <w:rsid w:val="00DF44F3"/>
    <w:rsid w:val="00DF7649"/>
    <w:rsid w:val="00E00225"/>
    <w:rsid w:val="00E00A0B"/>
    <w:rsid w:val="00E016C6"/>
    <w:rsid w:val="00E03119"/>
    <w:rsid w:val="00E03DE4"/>
    <w:rsid w:val="00E042A0"/>
    <w:rsid w:val="00E05460"/>
    <w:rsid w:val="00E06C49"/>
    <w:rsid w:val="00E10B20"/>
    <w:rsid w:val="00E11C6B"/>
    <w:rsid w:val="00E120EB"/>
    <w:rsid w:val="00E12DB6"/>
    <w:rsid w:val="00E1303A"/>
    <w:rsid w:val="00E139C7"/>
    <w:rsid w:val="00E13ABD"/>
    <w:rsid w:val="00E14DC5"/>
    <w:rsid w:val="00E14F33"/>
    <w:rsid w:val="00E1585F"/>
    <w:rsid w:val="00E158A2"/>
    <w:rsid w:val="00E15E38"/>
    <w:rsid w:val="00E17C39"/>
    <w:rsid w:val="00E17D92"/>
    <w:rsid w:val="00E2095C"/>
    <w:rsid w:val="00E22EAC"/>
    <w:rsid w:val="00E24198"/>
    <w:rsid w:val="00E24CAF"/>
    <w:rsid w:val="00E25182"/>
    <w:rsid w:val="00E2593F"/>
    <w:rsid w:val="00E25EA4"/>
    <w:rsid w:val="00E26174"/>
    <w:rsid w:val="00E27857"/>
    <w:rsid w:val="00E27FF2"/>
    <w:rsid w:val="00E31DE1"/>
    <w:rsid w:val="00E32111"/>
    <w:rsid w:val="00E33783"/>
    <w:rsid w:val="00E33DFA"/>
    <w:rsid w:val="00E405F7"/>
    <w:rsid w:val="00E40EF3"/>
    <w:rsid w:val="00E41479"/>
    <w:rsid w:val="00E419A5"/>
    <w:rsid w:val="00E41C39"/>
    <w:rsid w:val="00E433AB"/>
    <w:rsid w:val="00E43432"/>
    <w:rsid w:val="00E44A0B"/>
    <w:rsid w:val="00E45C7D"/>
    <w:rsid w:val="00E45E08"/>
    <w:rsid w:val="00E46367"/>
    <w:rsid w:val="00E46DF4"/>
    <w:rsid w:val="00E476E6"/>
    <w:rsid w:val="00E51939"/>
    <w:rsid w:val="00E52FA3"/>
    <w:rsid w:val="00E53D43"/>
    <w:rsid w:val="00E55D21"/>
    <w:rsid w:val="00E6100C"/>
    <w:rsid w:val="00E61D5D"/>
    <w:rsid w:val="00E62DCE"/>
    <w:rsid w:val="00E63C56"/>
    <w:rsid w:val="00E63FD8"/>
    <w:rsid w:val="00E6507B"/>
    <w:rsid w:val="00E66EA9"/>
    <w:rsid w:val="00E66FD7"/>
    <w:rsid w:val="00E7087C"/>
    <w:rsid w:val="00E70C9F"/>
    <w:rsid w:val="00E72269"/>
    <w:rsid w:val="00E726A8"/>
    <w:rsid w:val="00E72789"/>
    <w:rsid w:val="00E73900"/>
    <w:rsid w:val="00E739D5"/>
    <w:rsid w:val="00E74FF3"/>
    <w:rsid w:val="00E76098"/>
    <w:rsid w:val="00E76729"/>
    <w:rsid w:val="00E76774"/>
    <w:rsid w:val="00E81345"/>
    <w:rsid w:val="00E820C4"/>
    <w:rsid w:val="00E820E3"/>
    <w:rsid w:val="00E82BB6"/>
    <w:rsid w:val="00E8327C"/>
    <w:rsid w:val="00E84C94"/>
    <w:rsid w:val="00E854C3"/>
    <w:rsid w:val="00E85D05"/>
    <w:rsid w:val="00E8615E"/>
    <w:rsid w:val="00E87234"/>
    <w:rsid w:val="00E873E9"/>
    <w:rsid w:val="00E877BC"/>
    <w:rsid w:val="00E907BD"/>
    <w:rsid w:val="00E91376"/>
    <w:rsid w:val="00E9159E"/>
    <w:rsid w:val="00E94A8D"/>
    <w:rsid w:val="00E962C0"/>
    <w:rsid w:val="00E97C0E"/>
    <w:rsid w:val="00EA046F"/>
    <w:rsid w:val="00EA3556"/>
    <w:rsid w:val="00EA4729"/>
    <w:rsid w:val="00EA4A39"/>
    <w:rsid w:val="00EA5095"/>
    <w:rsid w:val="00EB1066"/>
    <w:rsid w:val="00EB1E12"/>
    <w:rsid w:val="00EB43B2"/>
    <w:rsid w:val="00EB53FE"/>
    <w:rsid w:val="00EB71E7"/>
    <w:rsid w:val="00EC06D1"/>
    <w:rsid w:val="00EC0F1C"/>
    <w:rsid w:val="00EC29CD"/>
    <w:rsid w:val="00EC56CE"/>
    <w:rsid w:val="00EC6923"/>
    <w:rsid w:val="00ED0B13"/>
    <w:rsid w:val="00ED1A03"/>
    <w:rsid w:val="00ED24E6"/>
    <w:rsid w:val="00ED3540"/>
    <w:rsid w:val="00ED6406"/>
    <w:rsid w:val="00ED6E36"/>
    <w:rsid w:val="00EE1D99"/>
    <w:rsid w:val="00EE2F06"/>
    <w:rsid w:val="00EE31D0"/>
    <w:rsid w:val="00EE3A11"/>
    <w:rsid w:val="00EE3E2A"/>
    <w:rsid w:val="00EF425B"/>
    <w:rsid w:val="00EF5FB2"/>
    <w:rsid w:val="00EF687F"/>
    <w:rsid w:val="00EF7F87"/>
    <w:rsid w:val="00F014D5"/>
    <w:rsid w:val="00F01A76"/>
    <w:rsid w:val="00F028E9"/>
    <w:rsid w:val="00F03C9C"/>
    <w:rsid w:val="00F03DB5"/>
    <w:rsid w:val="00F043EA"/>
    <w:rsid w:val="00F06383"/>
    <w:rsid w:val="00F06AB7"/>
    <w:rsid w:val="00F0775A"/>
    <w:rsid w:val="00F11054"/>
    <w:rsid w:val="00F1117B"/>
    <w:rsid w:val="00F113FC"/>
    <w:rsid w:val="00F11808"/>
    <w:rsid w:val="00F16303"/>
    <w:rsid w:val="00F17566"/>
    <w:rsid w:val="00F227A8"/>
    <w:rsid w:val="00F23020"/>
    <w:rsid w:val="00F24DDF"/>
    <w:rsid w:val="00F266A5"/>
    <w:rsid w:val="00F27952"/>
    <w:rsid w:val="00F30AE7"/>
    <w:rsid w:val="00F312C4"/>
    <w:rsid w:val="00F361A7"/>
    <w:rsid w:val="00F362A8"/>
    <w:rsid w:val="00F36F6B"/>
    <w:rsid w:val="00F416DC"/>
    <w:rsid w:val="00F4242E"/>
    <w:rsid w:val="00F43C9E"/>
    <w:rsid w:val="00F45BB5"/>
    <w:rsid w:val="00F504C5"/>
    <w:rsid w:val="00F5244D"/>
    <w:rsid w:val="00F5399A"/>
    <w:rsid w:val="00F544D3"/>
    <w:rsid w:val="00F5452C"/>
    <w:rsid w:val="00F55216"/>
    <w:rsid w:val="00F57B2B"/>
    <w:rsid w:val="00F60A67"/>
    <w:rsid w:val="00F615DF"/>
    <w:rsid w:val="00F62115"/>
    <w:rsid w:val="00F64D36"/>
    <w:rsid w:val="00F70685"/>
    <w:rsid w:val="00F70A0A"/>
    <w:rsid w:val="00F717D8"/>
    <w:rsid w:val="00F71CDE"/>
    <w:rsid w:val="00F7376A"/>
    <w:rsid w:val="00F73A28"/>
    <w:rsid w:val="00F7493F"/>
    <w:rsid w:val="00F74B78"/>
    <w:rsid w:val="00F80671"/>
    <w:rsid w:val="00F819E5"/>
    <w:rsid w:val="00F82FD1"/>
    <w:rsid w:val="00F8449C"/>
    <w:rsid w:val="00F86260"/>
    <w:rsid w:val="00F86805"/>
    <w:rsid w:val="00F87C87"/>
    <w:rsid w:val="00F9147D"/>
    <w:rsid w:val="00F92BA2"/>
    <w:rsid w:val="00F93189"/>
    <w:rsid w:val="00F9495E"/>
    <w:rsid w:val="00F95E6B"/>
    <w:rsid w:val="00F9682E"/>
    <w:rsid w:val="00F97473"/>
    <w:rsid w:val="00F97725"/>
    <w:rsid w:val="00FA03C1"/>
    <w:rsid w:val="00FA0625"/>
    <w:rsid w:val="00FA0943"/>
    <w:rsid w:val="00FA4CFF"/>
    <w:rsid w:val="00FA69E3"/>
    <w:rsid w:val="00FA7535"/>
    <w:rsid w:val="00FA7F13"/>
    <w:rsid w:val="00FB0134"/>
    <w:rsid w:val="00FB0685"/>
    <w:rsid w:val="00FB2C1A"/>
    <w:rsid w:val="00FB40EB"/>
    <w:rsid w:val="00FB4E68"/>
    <w:rsid w:val="00FB5AE9"/>
    <w:rsid w:val="00FC0732"/>
    <w:rsid w:val="00FC091F"/>
    <w:rsid w:val="00FC0DA0"/>
    <w:rsid w:val="00FC1915"/>
    <w:rsid w:val="00FC3597"/>
    <w:rsid w:val="00FC5086"/>
    <w:rsid w:val="00FC5EDC"/>
    <w:rsid w:val="00FC6471"/>
    <w:rsid w:val="00FC7060"/>
    <w:rsid w:val="00FD15D0"/>
    <w:rsid w:val="00FD2211"/>
    <w:rsid w:val="00FD265C"/>
    <w:rsid w:val="00FD321B"/>
    <w:rsid w:val="00FD3E21"/>
    <w:rsid w:val="00FD57FB"/>
    <w:rsid w:val="00FD72EB"/>
    <w:rsid w:val="00FE2479"/>
    <w:rsid w:val="00FE2952"/>
    <w:rsid w:val="00FE4445"/>
    <w:rsid w:val="00FE53EF"/>
    <w:rsid w:val="00FE688B"/>
    <w:rsid w:val="00FE6AF2"/>
    <w:rsid w:val="00FE6EFA"/>
    <w:rsid w:val="00FE7A19"/>
    <w:rsid w:val="00FF0682"/>
    <w:rsid w:val="00FF0973"/>
    <w:rsid w:val="00FF0E93"/>
    <w:rsid w:val="00FF3860"/>
    <w:rsid w:val="00FF5331"/>
    <w:rsid w:val="00FF551F"/>
    <w:rsid w:val="00FF59CB"/>
    <w:rsid w:val="00FF7267"/>
    <w:rsid w:val="00FF76FE"/>
    <w:rsid w:val="00FF794D"/>
    <w:rsid w:val="00FF7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D66D7"/>
    <w:rPr>
      <w:sz w:val="24"/>
      <w:szCs w:val="24"/>
    </w:rPr>
  </w:style>
  <w:style w:type="paragraph" w:styleId="Heading1">
    <w:name w:val="heading 1"/>
    <w:basedOn w:val="Normal"/>
    <w:next w:val="Normal"/>
    <w:link w:val="Heading1Char"/>
    <w:uiPriority w:val="99"/>
    <w:qFormat/>
    <w:rsid w:val="003D66D7"/>
    <w:pPr>
      <w:keepNext/>
      <w:spacing w:before="120" w:after="120"/>
      <w:outlineLvl w:val="0"/>
    </w:pPr>
    <w:rPr>
      <w:rFonts w:ascii="Times New Roman Bold" w:hAnsi="Times New Roman Bold" w:cs="Times New Roman Bold"/>
      <w:b/>
      <w:bCs/>
      <w:caps/>
    </w:rPr>
  </w:style>
  <w:style w:type="paragraph" w:styleId="Heading2">
    <w:name w:val="heading 2"/>
    <w:basedOn w:val="Normal"/>
    <w:next w:val="Normal"/>
    <w:link w:val="Heading2Char"/>
    <w:uiPriority w:val="99"/>
    <w:qFormat/>
    <w:rsid w:val="003D66D7"/>
    <w:pPr>
      <w:keepNext/>
      <w:spacing w:before="240" w:after="240"/>
      <w:ind w:left="720" w:hanging="720"/>
      <w:outlineLvl w:val="1"/>
    </w:pPr>
    <w:rPr>
      <w:b/>
      <w:bCs/>
    </w:rPr>
  </w:style>
  <w:style w:type="paragraph" w:styleId="Heading3">
    <w:name w:val="heading 3"/>
    <w:aliases w:val="l3"/>
    <w:basedOn w:val="Normal"/>
    <w:next w:val="Normal"/>
    <w:link w:val="Heading3Char"/>
    <w:uiPriority w:val="99"/>
    <w:qFormat/>
    <w:rsid w:val="003D66D7"/>
    <w:pPr>
      <w:keepNext/>
      <w:spacing w:before="240" w:after="240"/>
      <w:ind w:left="720" w:hanging="720"/>
      <w:outlineLvl w:val="2"/>
    </w:pPr>
    <w:rPr>
      <w:b/>
      <w:bCs/>
      <w:i/>
      <w:iCs/>
    </w:rPr>
  </w:style>
  <w:style w:type="paragraph" w:styleId="Heading4">
    <w:name w:val="heading 4"/>
    <w:basedOn w:val="Normal"/>
    <w:next w:val="Normal"/>
    <w:link w:val="Heading4Char"/>
    <w:uiPriority w:val="99"/>
    <w:qFormat/>
    <w:rsid w:val="003D66D7"/>
    <w:pPr>
      <w:keepNext/>
      <w:ind w:left="-90"/>
      <w:outlineLvl w:val="3"/>
    </w:pPr>
    <w:rPr>
      <w:rFonts w:ascii="Arial" w:hAnsi="Arial" w:cs="Arial"/>
      <w:b/>
      <w:bCs/>
      <w:sz w:val="22"/>
      <w:szCs w:val="22"/>
    </w:rPr>
  </w:style>
  <w:style w:type="paragraph" w:styleId="Heading5">
    <w:name w:val="heading 5"/>
    <w:basedOn w:val="Normal"/>
    <w:next w:val="Normal"/>
    <w:link w:val="Heading5Char"/>
    <w:uiPriority w:val="99"/>
    <w:qFormat/>
    <w:rsid w:val="003D66D7"/>
    <w:pPr>
      <w:keepNext/>
      <w:widowControl w:val="0"/>
      <w:outlineLvl w:val="4"/>
    </w:pPr>
    <w:rPr>
      <w:rFonts w:ascii="Arial" w:hAnsi="Arial" w:cs="Arial"/>
      <w:b/>
      <w:bCs/>
      <w:sz w:val="20"/>
      <w:szCs w:val="20"/>
      <w:u w:val="single"/>
    </w:rPr>
  </w:style>
  <w:style w:type="paragraph" w:styleId="Heading6">
    <w:name w:val="heading 6"/>
    <w:basedOn w:val="Normal"/>
    <w:next w:val="Normal"/>
    <w:link w:val="Heading6Char"/>
    <w:uiPriority w:val="99"/>
    <w:qFormat/>
    <w:rsid w:val="003D66D7"/>
    <w:pPr>
      <w:keepNext/>
      <w:jc w:val="center"/>
      <w:outlineLvl w:val="5"/>
    </w:pPr>
    <w:rPr>
      <w:rFonts w:ascii="Arial" w:hAnsi="Arial" w:cs="Arial"/>
      <w:b/>
      <w:bCs/>
    </w:rPr>
  </w:style>
  <w:style w:type="paragraph" w:styleId="Heading7">
    <w:name w:val="heading 7"/>
    <w:basedOn w:val="Normal"/>
    <w:next w:val="Normal"/>
    <w:link w:val="Heading7Char"/>
    <w:uiPriority w:val="99"/>
    <w:qFormat/>
    <w:rsid w:val="003D66D7"/>
    <w:pPr>
      <w:keepNext/>
      <w:jc w:val="center"/>
      <w:outlineLvl w:val="6"/>
    </w:pPr>
    <w:rPr>
      <w:rFonts w:ascii="Arial" w:hAnsi="Arial" w:cs="Arial"/>
      <w:b/>
      <w:bCs/>
      <w:sz w:val="16"/>
      <w:szCs w:val="16"/>
    </w:rPr>
  </w:style>
  <w:style w:type="paragraph" w:styleId="Heading8">
    <w:name w:val="heading 8"/>
    <w:basedOn w:val="Normal"/>
    <w:next w:val="Normal"/>
    <w:link w:val="Heading8Char"/>
    <w:uiPriority w:val="99"/>
    <w:qFormat/>
    <w:rsid w:val="003D66D7"/>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uiPriority w:val="99"/>
    <w:qFormat/>
    <w:rsid w:val="003D66D7"/>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0A6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6A0A6E"/>
    <w:rPr>
      <w:rFonts w:ascii="Cambria" w:hAnsi="Cambria" w:cs="Cambria"/>
      <w:b/>
      <w:bCs/>
      <w:i/>
      <w:iCs/>
      <w:sz w:val="28"/>
      <w:szCs w:val="28"/>
    </w:rPr>
  </w:style>
  <w:style w:type="character" w:customStyle="1" w:styleId="Heading3Char">
    <w:name w:val="Heading 3 Char"/>
    <w:aliases w:val="l3 Char"/>
    <w:basedOn w:val="DefaultParagraphFont"/>
    <w:link w:val="Heading3"/>
    <w:uiPriority w:val="99"/>
    <w:semiHidden/>
    <w:locked/>
    <w:rsid w:val="006A0A6E"/>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A0A6E"/>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6A0A6E"/>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6A0A6E"/>
    <w:rPr>
      <w:rFonts w:ascii="Calibri" w:hAnsi="Calibri" w:cs="Calibri"/>
      <w:b/>
      <w:bCs/>
    </w:rPr>
  </w:style>
  <w:style w:type="character" w:customStyle="1" w:styleId="Heading7Char">
    <w:name w:val="Heading 7 Char"/>
    <w:basedOn w:val="DefaultParagraphFont"/>
    <w:link w:val="Heading7"/>
    <w:uiPriority w:val="99"/>
    <w:semiHidden/>
    <w:locked/>
    <w:rsid w:val="003D66D7"/>
    <w:rPr>
      <w:b/>
      <w:bCs/>
      <w:snapToGrid w:val="0"/>
      <w:sz w:val="24"/>
      <w:szCs w:val="24"/>
      <w:u w:val="single"/>
      <w:lang w:val="en-US" w:eastAsia="en-US"/>
    </w:rPr>
  </w:style>
  <w:style w:type="character" w:customStyle="1" w:styleId="Heading8Char">
    <w:name w:val="Heading 8 Char"/>
    <w:basedOn w:val="DefaultParagraphFont"/>
    <w:link w:val="Heading8"/>
    <w:uiPriority w:val="99"/>
    <w:semiHidden/>
    <w:locked/>
    <w:rsid w:val="006A0A6E"/>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6A0A6E"/>
    <w:rPr>
      <w:rFonts w:ascii="Cambria" w:hAnsi="Cambria" w:cs="Cambria"/>
    </w:rPr>
  </w:style>
  <w:style w:type="paragraph" w:styleId="BalloonText">
    <w:name w:val="Balloon Text"/>
    <w:basedOn w:val="Normal"/>
    <w:link w:val="BalloonTextChar"/>
    <w:uiPriority w:val="99"/>
    <w:semiHidden/>
    <w:rsid w:val="003D66D7"/>
    <w:pPr>
      <w:numPr>
        <w:numId w:val="2"/>
      </w:numPr>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0A6E"/>
    <w:rPr>
      <w:sz w:val="2"/>
      <w:szCs w:val="2"/>
    </w:rPr>
  </w:style>
  <w:style w:type="character" w:styleId="CommentReference">
    <w:name w:val="annotation reference"/>
    <w:basedOn w:val="DefaultParagraphFont"/>
    <w:uiPriority w:val="99"/>
    <w:semiHidden/>
    <w:rsid w:val="003D66D7"/>
    <w:rPr>
      <w:sz w:val="16"/>
      <w:szCs w:val="16"/>
    </w:rPr>
  </w:style>
  <w:style w:type="character" w:styleId="Hyperlink">
    <w:name w:val="Hyperlink"/>
    <w:basedOn w:val="DefaultParagraphFont"/>
    <w:uiPriority w:val="99"/>
    <w:semiHidden/>
    <w:rsid w:val="003D66D7"/>
    <w:rPr>
      <w:color w:val="0000FF"/>
      <w:u w:val="single"/>
    </w:rPr>
  </w:style>
  <w:style w:type="paragraph" w:customStyle="1" w:styleId="bullets">
    <w:name w:val="bullets"/>
    <w:basedOn w:val="Normal"/>
    <w:uiPriority w:val="99"/>
    <w:rsid w:val="003D66D7"/>
    <w:pPr>
      <w:numPr>
        <w:numId w:val="3"/>
      </w:numPr>
      <w:spacing w:after="240"/>
      <w:ind w:left="1080"/>
    </w:pPr>
    <w:rPr>
      <w:color w:val="000000"/>
    </w:rPr>
  </w:style>
  <w:style w:type="paragraph" w:customStyle="1" w:styleId="App4Heading2">
    <w:name w:val="App4 Heading 2"/>
    <w:basedOn w:val="Heading2"/>
    <w:uiPriority w:val="99"/>
    <w:rsid w:val="003D66D7"/>
    <w:pPr>
      <w:tabs>
        <w:tab w:val="right" w:pos="9360"/>
      </w:tabs>
      <w:ind w:left="0" w:firstLine="0"/>
      <w:jc w:val="both"/>
      <w:outlineLvl w:val="9"/>
    </w:pPr>
    <w:rPr>
      <w:i/>
      <w:iCs/>
      <w:bdr w:val="single" w:sz="4" w:space="0" w:color="auto"/>
      <w:shd w:val="clear" w:color="auto" w:fill="E6E6E6"/>
    </w:rPr>
  </w:style>
  <w:style w:type="table" w:styleId="TableGrid">
    <w:name w:val="Table Grid"/>
    <w:basedOn w:val="TableNormal"/>
    <w:uiPriority w:val="99"/>
    <w:rsid w:val="003D66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FigureTitle"/>
    <w:uiPriority w:val="99"/>
    <w:rsid w:val="003D66D7"/>
  </w:style>
  <w:style w:type="character" w:customStyle="1" w:styleId="bodytextChar">
    <w:name w:val="body text Char"/>
    <w:basedOn w:val="DefaultParagraphFont"/>
    <w:link w:val="bodytext"/>
    <w:uiPriority w:val="99"/>
    <w:locked/>
    <w:rsid w:val="003D66D7"/>
    <w:rPr>
      <w:sz w:val="24"/>
      <w:szCs w:val="24"/>
      <w:lang w:val="en-US" w:eastAsia="en-US"/>
    </w:rPr>
  </w:style>
  <w:style w:type="paragraph" w:customStyle="1" w:styleId="tableheadCharChar">
    <w:name w:val="table head Char Char"/>
    <w:basedOn w:val="Normal"/>
    <w:uiPriority w:val="99"/>
    <w:rsid w:val="003D66D7"/>
    <w:pPr>
      <w:autoSpaceDE w:val="0"/>
      <w:autoSpaceDN w:val="0"/>
      <w:adjustRightInd w:val="0"/>
      <w:spacing w:before="80" w:after="80"/>
      <w:jc w:val="center"/>
    </w:pPr>
    <w:rPr>
      <w:rFonts w:ascii="Arial" w:hAnsi="Arial" w:cs="Arial"/>
      <w:b/>
      <w:bCs/>
      <w:sz w:val="22"/>
      <w:szCs w:val="22"/>
    </w:rPr>
  </w:style>
  <w:style w:type="paragraph" w:customStyle="1" w:styleId="tablehead">
    <w:name w:val="table head"/>
    <w:basedOn w:val="Normal"/>
    <w:uiPriority w:val="99"/>
    <w:rsid w:val="003D66D7"/>
    <w:pPr>
      <w:keepNext/>
      <w:numPr>
        <w:ilvl w:val="12"/>
      </w:numPr>
      <w:autoSpaceDE w:val="0"/>
      <w:autoSpaceDN w:val="0"/>
      <w:adjustRightInd w:val="0"/>
      <w:spacing w:before="120" w:after="120"/>
      <w:jc w:val="center"/>
    </w:pPr>
    <w:rPr>
      <w:rFonts w:ascii="Arial" w:hAnsi="Arial" w:cs="Arial"/>
      <w:b/>
      <w:bCs/>
    </w:rPr>
  </w:style>
  <w:style w:type="paragraph" w:customStyle="1" w:styleId="paragraph">
    <w:name w:val="paragraph"/>
    <w:basedOn w:val="Normal"/>
    <w:uiPriority w:val="99"/>
    <w:rsid w:val="003D66D7"/>
    <w:pPr>
      <w:spacing w:before="200" w:line="320" w:lineRule="exact"/>
      <w:ind w:left="1440"/>
    </w:pPr>
  </w:style>
  <w:style w:type="paragraph" w:customStyle="1" w:styleId="bullets-blank">
    <w:name w:val="bullets-blank"/>
    <w:basedOn w:val="Normal"/>
    <w:uiPriority w:val="99"/>
    <w:rsid w:val="003D66D7"/>
    <w:pPr>
      <w:spacing w:after="240"/>
      <w:ind w:left="720" w:hanging="360"/>
    </w:pPr>
  </w:style>
  <w:style w:type="paragraph" w:styleId="FootnoteText">
    <w:name w:val="footnote text"/>
    <w:aliases w:val="ft,fo"/>
    <w:basedOn w:val="Normal"/>
    <w:link w:val="FootnoteTextChar"/>
    <w:uiPriority w:val="99"/>
    <w:semiHidden/>
    <w:rsid w:val="003D66D7"/>
    <w:pPr>
      <w:widowControl w:val="0"/>
    </w:pPr>
    <w:rPr>
      <w:rFonts w:ascii="Courier New" w:hAnsi="Courier New" w:cs="Courier New"/>
    </w:rPr>
  </w:style>
  <w:style w:type="character" w:customStyle="1" w:styleId="FootnoteTextChar">
    <w:name w:val="Footnote Text Char"/>
    <w:aliases w:val="ft Char,fo Char"/>
    <w:basedOn w:val="DefaultParagraphFont"/>
    <w:link w:val="FootnoteText"/>
    <w:uiPriority w:val="99"/>
    <w:semiHidden/>
    <w:locked/>
    <w:rsid w:val="006A0A6E"/>
    <w:rPr>
      <w:sz w:val="20"/>
      <w:szCs w:val="20"/>
    </w:rPr>
  </w:style>
  <w:style w:type="character" w:styleId="FootnoteReference">
    <w:name w:val="footnote reference"/>
    <w:aliases w:val="fr"/>
    <w:basedOn w:val="DefaultParagraphFont"/>
    <w:uiPriority w:val="99"/>
    <w:semiHidden/>
    <w:rsid w:val="003D66D7"/>
    <w:rPr>
      <w:rFonts w:ascii="Courier New" w:hAnsi="Courier New" w:cs="Courier New"/>
      <w:sz w:val="24"/>
      <w:szCs w:val="24"/>
    </w:rPr>
  </w:style>
  <w:style w:type="character" w:customStyle="1" w:styleId="medium-normal">
    <w:name w:val="medium-normal"/>
    <w:basedOn w:val="DefaultParagraphFont"/>
    <w:uiPriority w:val="99"/>
    <w:rsid w:val="003D66D7"/>
  </w:style>
  <w:style w:type="paragraph" w:styleId="CommentText">
    <w:name w:val="annotation text"/>
    <w:basedOn w:val="Normal"/>
    <w:link w:val="CommentTextChar"/>
    <w:uiPriority w:val="99"/>
    <w:semiHidden/>
    <w:rsid w:val="003D66D7"/>
    <w:rPr>
      <w:sz w:val="20"/>
      <w:szCs w:val="20"/>
    </w:rPr>
  </w:style>
  <w:style w:type="character" w:customStyle="1" w:styleId="CommentTextChar">
    <w:name w:val="Comment Text Char"/>
    <w:basedOn w:val="DefaultParagraphFont"/>
    <w:link w:val="CommentText"/>
    <w:uiPriority w:val="99"/>
    <w:semiHidden/>
    <w:locked/>
    <w:rsid w:val="00AB4E0E"/>
    <w:rPr>
      <w:lang w:val="en-US" w:eastAsia="en-US"/>
    </w:rPr>
  </w:style>
  <w:style w:type="paragraph" w:customStyle="1" w:styleId="heading10">
    <w:name w:val="heading1"/>
    <w:basedOn w:val="Normal"/>
    <w:next w:val="Normal"/>
    <w:uiPriority w:val="99"/>
    <w:semiHidden/>
    <w:rsid w:val="003D66D7"/>
    <w:pPr>
      <w:spacing w:before="120" w:after="120"/>
    </w:pPr>
    <w:rPr>
      <w:b/>
      <w:bCs/>
      <w:sz w:val="22"/>
      <w:szCs w:val="22"/>
    </w:rPr>
  </w:style>
  <w:style w:type="paragraph" w:styleId="CommentSubject">
    <w:name w:val="annotation subject"/>
    <w:basedOn w:val="CommentText"/>
    <w:next w:val="CommentText"/>
    <w:link w:val="CommentSubjectChar"/>
    <w:uiPriority w:val="99"/>
    <w:semiHidden/>
    <w:rsid w:val="003D66D7"/>
    <w:rPr>
      <w:b/>
      <w:bCs/>
    </w:rPr>
  </w:style>
  <w:style w:type="character" w:customStyle="1" w:styleId="CommentSubjectChar">
    <w:name w:val="Comment Subject Char"/>
    <w:basedOn w:val="CommentTextChar"/>
    <w:link w:val="CommentSubject"/>
    <w:uiPriority w:val="99"/>
    <w:semiHidden/>
    <w:locked/>
    <w:rsid w:val="006A0A6E"/>
    <w:rPr>
      <w:b/>
      <w:bCs/>
      <w:sz w:val="20"/>
      <w:szCs w:val="20"/>
    </w:rPr>
  </w:style>
  <w:style w:type="paragraph" w:customStyle="1" w:styleId="heading20">
    <w:name w:val="heading2"/>
    <w:basedOn w:val="Heading3"/>
    <w:next w:val="Normal"/>
    <w:uiPriority w:val="99"/>
    <w:semiHidden/>
    <w:rsid w:val="003D66D7"/>
    <w:pPr>
      <w:spacing w:before="120"/>
    </w:pPr>
  </w:style>
  <w:style w:type="paragraph" w:customStyle="1" w:styleId="Appxheading-1">
    <w:name w:val="Appx heading-1"/>
    <w:basedOn w:val="Heading1"/>
    <w:uiPriority w:val="99"/>
    <w:rsid w:val="003D66D7"/>
    <w:pPr>
      <w:jc w:val="center"/>
    </w:pPr>
  </w:style>
  <w:style w:type="paragraph" w:styleId="PlainText">
    <w:name w:val="Plain Text"/>
    <w:basedOn w:val="Normal"/>
    <w:link w:val="PlainTextChar"/>
    <w:uiPriority w:val="99"/>
    <w:rsid w:val="003D66D7"/>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A0A6E"/>
    <w:rPr>
      <w:rFonts w:ascii="Courier New" w:hAnsi="Courier New" w:cs="Courier New"/>
      <w:sz w:val="20"/>
      <w:szCs w:val="20"/>
    </w:rPr>
  </w:style>
  <w:style w:type="paragraph" w:styleId="BodyText0">
    <w:name w:val="Body Text"/>
    <w:aliases w:val="Body Text-A4"/>
    <w:basedOn w:val="Normal"/>
    <w:link w:val="BodyTextChar0"/>
    <w:uiPriority w:val="99"/>
    <w:rsid w:val="003D66D7"/>
    <w:rPr>
      <w:sz w:val="22"/>
      <w:szCs w:val="22"/>
    </w:rPr>
  </w:style>
  <w:style w:type="character" w:customStyle="1" w:styleId="BodyTextChar0">
    <w:name w:val="Body Text Char"/>
    <w:aliases w:val="Body Text-A4 Char"/>
    <w:basedOn w:val="DefaultParagraphFont"/>
    <w:link w:val="BodyText0"/>
    <w:uiPriority w:val="99"/>
    <w:semiHidden/>
    <w:locked/>
    <w:rsid w:val="006A0A6E"/>
    <w:rPr>
      <w:sz w:val="24"/>
      <w:szCs w:val="24"/>
    </w:rPr>
  </w:style>
  <w:style w:type="paragraph" w:customStyle="1" w:styleId="tabfigtitle">
    <w:name w:val="tab/fig title"/>
    <w:basedOn w:val="Normal"/>
    <w:link w:val="tabfigtitleChar"/>
    <w:uiPriority w:val="99"/>
    <w:rsid w:val="003D66D7"/>
    <w:pPr>
      <w:keepNext/>
      <w:keepLines/>
      <w:spacing w:before="240" w:after="240"/>
    </w:pPr>
    <w:rPr>
      <w:b/>
      <w:bCs/>
    </w:rPr>
  </w:style>
  <w:style w:type="paragraph" w:styleId="Header">
    <w:name w:val="header"/>
    <w:basedOn w:val="Normal"/>
    <w:link w:val="HeaderChar"/>
    <w:uiPriority w:val="99"/>
    <w:rsid w:val="003D66D7"/>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6A0A6E"/>
    <w:rPr>
      <w:sz w:val="24"/>
      <w:szCs w:val="24"/>
    </w:rPr>
  </w:style>
  <w:style w:type="paragraph" w:styleId="Footer">
    <w:name w:val="footer"/>
    <w:basedOn w:val="Normal"/>
    <w:link w:val="FooterChar"/>
    <w:uiPriority w:val="99"/>
    <w:rsid w:val="003D66D7"/>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6A0A6E"/>
    <w:rPr>
      <w:sz w:val="24"/>
      <w:szCs w:val="24"/>
    </w:rPr>
  </w:style>
  <w:style w:type="character" w:styleId="PageNumber">
    <w:name w:val="page number"/>
    <w:basedOn w:val="DefaultParagraphFont"/>
    <w:uiPriority w:val="99"/>
    <w:rsid w:val="003D66D7"/>
    <w:rPr>
      <w:rFonts w:ascii="Times New Roman" w:hAnsi="Times New Roman" w:cs="Times New Roman"/>
      <w:sz w:val="24"/>
      <w:szCs w:val="24"/>
    </w:rPr>
  </w:style>
  <w:style w:type="character" w:customStyle="1" w:styleId="tabfigtitleChar">
    <w:name w:val="tab/fig title Char"/>
    <w:basedOn w:val="DefaultParagraphFont"/>
    <w:link w:val="tabfigtitle"/>
    <w:uiPriority w:val="99"/>
    <w:locked/>
    <w:rsid w:val="003D66D7"/>
    <w:rPr>
      <w:b/>
      <w:bCs/>
      <w:sz w:val="24"/>
      <w:szCs w:val="24"/>
      <w:lang w:val="en-US" w:eastAsia="en-US"/>
    </w:rPr>
  </w:style>
  <w:style w:type="paragraph" w:customStyle="1" w:styleId="exhibitsource">
    <w:name w:val="exhibit source"/>
    <w:basedOn w:val="tabfigsourcefullpg"/>
    <w:uiPriority w:val="99"/>
    <w:rsid w:val="003D66D7"/>
    <w:pPr>
      <w:spacing w:after="360"/>
      <w:ind w:left="187" w:hanging="187"/>
    </w:pPr>
    <w:rPr>
      <w:rFonts w:ascii="Times New Roman" w:hAnsi="Times New Roman" w:cs="Times New Roman"/>
      <w:sz w:val="20"/>
      <w:szCs w:val="20"/>
    </w:rPr>
  </w:style>
  <w:style w:type="paragraph" w:customStyle="1" w:styleId="bodytextindent">
    <w:name w:val="bodytext indent"/>
    <w:basedOn w:val="bodytext"/>
    <w:link w:val="bodytextindentChar"/>
    <w:uiPriority w:val="99"/>
    <w:rsid w:val="003D66D7"/>
    <w:pPr>
      <w:spacing w:after="160" w:line="320" w:lineRule="exact"/>
      <w:ind w:left="1152" w:hanging="432"/>
    </w:pPr>
    <w:rPr>
      <w:rFonts w:ascii="Verdana" w:eastAsia="MS Mincho" w:hAnsi="Verdana" w:cs="Verdana"/>
      <w:b/>
      <w:bCs/>
      <w:sz w:val="22"/>
      <w:szCs w:val="22"/>
    </w:rPr>
  </w:style>
  <w:style w:type="character" w:customStyle="1" w:styleId="bodytextindentChar">
    <w:name w:val="bodytext indent Char"/>
    <w:basedOn w:val="bodytextChar"/>
    <w:link w:val="bodytextindent"/>
    <w:uiPriority w:val="99"/>
    <w:locked/>
    <w:rsid w:val="003D66D7"/>
    <w:rPr>
      <w:rFonts w:ascii="Verdana" w:eastAsia="MS Mincho" w:hAnsi="Verdana" w:cs="Verdana"/>
      <w:b/>
      <w:bCs/>
    </w:rPr>
  </w:style>
  <w:style w:type="paragraph" w:styleId="EndnoteText">
    <w:name w:val="endnote text"/>
    <w:basedOn w:val="Normal"/>
    <w:link w:val="EndnoteTextChar"/>
    <w:uiPriority w:val="99"/>
    <w:semiHidden/>
    <w:rsid w:val="003D66D7"/>
    <w:rPr>
      <w:sz w:val="20"/>
      <w:szCs w:val="20"/>
    </w:rPr>
  </w:style>
  <w:style w:type="character" w:customStyle="1" w:styleId="EndnoteTextChar">
    <w:name w:val="Endnote Text Char"/>
    <w:basedOn w:val="DefaultParagraphFont"/>
    <w:link w:val="EndnoteText"/>
    <w:uiPriority w:val="99"/>
    <w:semiHidden/>
    <w:locked/>
    <w:rsid w:val="006A0A6E"/>
    <w:rPr>
      <w:sz w:val="20"/>
      <w:szCs w:val="20"/>
    </w:rPr>
  </w:style>
  <w:style w:type="character" w:styleId="EndnoteReference">
    <w:name w:val="endnote reference"/>
    <w:basedOn w:val="DefaultParagraphFont"/>
    <w:uiPriority w:val="99"/>
    <w:semiHidden/>
    <w:rsid w:val="003D66D7"/>
    <w:rPr>
      <w:vertAlign w:val="superscript"/>
    </w:rPr>
  </w:style>
  <w:style w:type="paragraph" w:styleId="Title">
    <w:name w:val="Title"/>
    <w:basedOn w:val="Normal"/>
    <w:link w:val="TitleChar"/>
    <w:uiPriority w:val="99"/>
    <w:qFormat/>
    <w:rsid w:val="003D66D7"/>
    <w:pPr>
      <w:ind w:left="-270"/>
      <w:jc w:val="center"/>
    </w:pPr>
    <w:rPr>
      <w:b/>
      <w:bCs/>
    </w:rPr>
  </w:style>
  <w:style w:type="character" w:customStyle="1" w:styleId="TitleChar">
    <w:name w:val="Title Char"/>
    <w:basedOn w:val="DefaultParagraphFont"/>
    <w:link w:val="Title"/>
    <w:uiPriority w:val="99"/>
    <w:locked/>
    <w:rsid w:val="006A0A6E"/>
    <w:rPr>
      <w:rFonts w:ascii="Cambria" w:hAnsi="Cambria" w:cs="Cambria"/>
      <w:b/>
      <w:bCs/>
      <w:kern w:val="28"/>
      <w:sz w:val="32"/>
      <w:szCs w:val="32"/>
    </w:rPr>
  </w:style>
  <w:style w:type="paragraph" w:customStyle="1" w:styleId="Answer">
    <w:name w:val="Answer"/>
    <w:basedOn w:val="Normal"/>
    <w:uiPriority w:val="99"/>
    <w:rsid w:val="003D66D7"/>
    <w:pPr>
      <w:tabs>
        <w:tab w:val="right" w:leader="underscore" w:pos="9360"/>
      </w:tabs>
      <w:spacing w:before="40" w:after="40"/>
      <w:ind w:left="1260" w:hanging="540"/>
    </w:pPr>
    <w:rPr>
      <w:rFonts w:ascii="Arial" w:hAnsi="Arial" w:cs="Arial"/>
      <w:sz w:val="22"/>
      <w:szCs w:val="22"/>
    </w:rPr>
  </w:style>
  <w:style w:type="paragraph" w:customStyle="1" w:styleId="Level1">
    <w:name w:val="Level 1"/>
    <w:basedOn w:val="Normal"/>
    <w:link w:val="Level1Char"/>
    <w:uiPriority w:val="99"/>
    <w:rsid w:val="003D66D7"/>
    <w:pPr>
      <w:widowControl w:val="0"/>
      <w:autoSpaceDE w:val="0"/>
      <w:autoSpaceDN w:val="0"/>
      <w:adjustRightInd w:val="0"/>
      <w:ind w:left="720" w:hanging="720"/>
    </w:pPr>
  </w:style>
  <w:style w:type="paragraph" w:customStyle="1" w:styleId="AnswerLine">
    <w:name w:val="Answer Line"/>
    <w:basedOn w:val="Answer"/>
    <w:uiPriority w:val="99"/>
    <w:rsid w:val="003D66D7"/>
    <w:pPr>
      <w:ind w:left="900" w:firstLine="0"/>
    </w:pPr>
    <w:rPr>
      <w:caps/>
    </w:rPr>
  </w:style>
  <w:style w:type="paragraph" w:customStyle="1" w:styleId="Direction">
    <w:name w:val="Direction"/>
    <w:basedOn w:val="Normal"/>
    <w:uiPriority w:val="99"/>
    <w:rsid w:val="003D66D7"/>
    <w:pPr>
      <w:pBdr>
        <w:top w:val="single" w:sz="6" w:space="6" w:color="auto" w:shadow="1"/>
        <w:left w:val="single" w:sz="6" w:space="6" w:color="auto" w:shadow="1"/>
        <w:bottom w:val="single" w:sz="6" w:space="6" w:color="auto" w:shadow="1"/>
        <w:right w:val="single" w:sz="6" w:space="6" w:color="auto" w:shadow="1"/>
      </w:pBdr>
      <w:spacing w:before="240" w:after="240"/>
      <w:ind w:left="2160" w:right="2160"/>
      <w:jc w:val="center"/>
    </w:pPr>
    <w:rPr>
      <w:rFonts w:ascii="Arial" w:hAnsi="Arial" w:cs="Arial"/>
      <w:b/>
      <w:bCs/>
      <w:i/>
      <w:iCs/>
      <w:sz w:val="22"/>
      <w:szCs w:val="22"/>
    </w:rPr>
  </w:style>
  <w:style w:type="paragraph" w:customStyle="1" w:styleId="QuestionCharCharCharChar">
    <w:name w:val="Question Char Char Char Char"/>
    <w:basedOn w:val="Normal"/>
    <w:link w:val="QuestionCharCharCharCharChar"/>
    <w:uiPriority w:val="99"/>
    <w:rsid w:val="003D66D7"/>
    <w:pPr>
      <w:keepNext/>
      <w:keepLines/>
      <w:spacing w:before="240" w:after="120"/>
      <w:ind w:left="720" w:hanging="720"/>
    </w:pPr>
    <w:rPr>
      <w:b/>
      <w:bCs/>
    </w:rPr>
  </w:style>
  <w:style w:type="paragraph" w:customStyle="1" w:styleId="tabfigsourcefullpg">
    <w:name w:val="tab/fig source (full pg)"/>
    <w:basedOn w:val="Normal"/>
    <w:uiPriority w:val="99"/>
    <w:rsid w:val="003D66D7"/>
    <w:pPr>
      <w:keepLines/>
      <w:spacing w:before="120" w:after="400"/>
      <w:ind w:left="-2700" w:hanging="180"/>
    </w:pPr>
    <w:rPr>
      <w:rFonts w:ascii="Arial" w:hAnsi="Arial" w:cs="Arial"/>
      <w:sz w:val="18"/>
      <w:szCs w:val="18"/>
    </w:rPr>
  </w:style>
  <w:style w:type="paragraph" w:customStyle="1" w:styleId="tabfigsourceinline">
    <w:name w:val="tab/fig source (inline)"/>
    <w:basedOn w:val="Normal"/>
    <w:uiPriority w:val="99"/>
    <w:rsid w:val="003D66D7"/>
    <w:pPr>
      <w:keepLines/>
      <w:spacing w:before="120" w:after="400"/>
      <w:ind w:left="180" w:hanging="180"/>
    </w:pPr>
    <w:rPr>
      <w:rFonts w:ascii="Arial" w:hAnsi="Arial" w:cs="Arial"/>
      <w:sz w:val="18"/>
      <w:szCs w:val="18"/>
    </w:rPr>
  </w:style>
  <w:style w:type="paragraph" w:customStyle="1" w:styleId="tabfigtitlefullpg">
    <w:name w:val="tab/fig title (full pg)"/>
    <w:basedOn w:val="Normal"/>
    <w:uiPriority w:val="99"/>
    <w:rsid w:val="003D66D7"/>
    <w:pPr>
      <w:keepNext/>
      <w:keepLines/>
      <w:spacing w:before="320"/>
      <w:ind w:left="-2880"/>
    </w:pPr>
    <w:rPr>
      <w:rFonts w:ascii="Helvetica Black" w:hAnsi="Helvetica Black" w:cs="Helvetica Black"/>
      <w:sz w:val="18"/>
      <w:szCs w:val="18"/>
    </w:rPr>
  </w:style>
  <w:style w:type="paragraph" w:customStyle="1" w:styleId="C1-CtrBoldHd">
    <w:name w:val="C1-Ctr BoldHd"/>
    <w:uiPriority w:val="99"/>
    <w:rsid w:val="003D66D7"/>
    <w:pPr>
      <w:keepNext/>
      <w:spacing w:after="720" w:line="240" w:lineRule="atLeast"/>
      <w:jc w:val="center"/>
    </w:pPr>
    <w:rPr>
      <w:rFonts w:ascii="Arial" w:hAnsi="Arial" w:cs="Arial"/>
      <w:b/>
      <w:bCs/>
      <w:caps/>
    </w:rPr>
  </w:style>
  <w:style w:type="character" w:customStyle="1" w:styleId="QuestionCharCharCharCharChar">
    <w:name w:val="Question Char Char Char Char Char"/>
    <w:basedOn w:val="DefaultParagraphFont"/>
    <w:link w:val="QuestionCharCharCharChar"/>
    <w:uiPriority w:val="99"/>
    <w:locked/>
    <w:rsid w:val="003D66D7"/>
    <w:rPr>
      <w:b/>
      <w:bCs/>
      <w:sz w:val="24"/>
      <w:szCs w:val="24"/>
      <w:lang w:val="en-US" w:eastAsia="en-US"/>
    </w:rPr>
  </w:style>
  <w:style w:type="paragraph" w:customStyle="1" w:styleId="SurveyHeading1">
    <w:name w:val="Survey Heading 1"/>
    <w:basedOn w:val="Normal"/>
    <w:uiPriority w:val="99"/>
    <w:rsid w:val="003D66D7"/>
    <w:pPr>
      <w:pBdr>
        <w:top w:val="single" w:sz="24" w:space="6" w:color="auto" w:shadow="1"/>
        <w:left w:val="single" w:sz="24" w:space="6" w:color="auto" w:shadow="1"/>
        <w:bottom w:val="single" w:sz="24" w:space="6" w:color="auto" w:shadow="1"/>
        <w:right w:val="single" w:sz="24" w:space="6" w:color="auto" w:shadow="1"/>
      </w:pBdr>
      <w:jc w:val="center"/>
    </w:pPr>
    <w:rPr>
      <w:rFonts w:ascii="Arial" w:hAnsi="Arial" w:cs="Arial"/>
      <w:b/>
      <w:bCs/>
    </w:rPr>
  </w:style>
  <w:style w:type="paragraph" w:customStyle="1" w:styleId="SurveyHeading2">
    <w:name w:val="Survey Heading 2"/>
    <w:basedOn w:val="Normal"/>
    <w:uiPriority w:val="99"/>
    <w:rsid w:val="003D66D7"/>
    <w:pPr>
      <w:keepNext/>
      <w:spacing w:before="360" w:after="120"/>
      <w:jc w:val="center"/>
    </w:pPr>
    <w:rPr>
      <w:rFonts w:ascii="Arial" w:hAnsi="Arial" w:cs="Arial"/>
      <w:b/>
      <w:bCs/>
      <w:sz w:val="22"/>
      <w:szCs w:val="22"/>
    </w:rPr>
  </w:style>
  <w:style w:type="paragraph" w:customStyle="1" w:styleId="SurveyHeading3">
    <w:name w:val="Survey Heading 3"/>
    <w:basedOn w:val="Normal"/>
    <w:uiPriority w:val="99"/>
    <w:rsid w:val="003D66D7"/>
    <w:pPr>
      <w:keepNext/>
      <w:spacing w:before="360" w:after="120"/>
    </w:pPr>
    <w:rPr>
      <w:rFonts w:ascii="Arial" w:hAnsi="Arial" w:cs="Arial"/>
      <w:b/>
      <w:bCs/>
      <w:i/>
      <w:iCs/>
      <w:sz w:val="22"/>
      <w:szCs w:val="22"/>
    </w:rPr>
  </w:style>
  <w:style w:type="paragraph" w:customStyle="1" w:styleId="SurveyHeading4">
    <w:name w:val="Survey Heading 4"/>
    <w:basedOn w:val="Normal"/>
    <w:uiPriority w:val="99"/>
    <w:rsid w:val="003D66D7"/>
    <w:pPr>
      <w:keepNext/>
      <w:spacing w:before="240" w:after="120"/>
    </w:pPr>
    <w:rPr>
      <w:rFonts w:ascii="Arial" w:hAnsi="Arial" w:cs="Arial"/>
      <w:i/>
      <w:iCs/>
      <w:sz w:val="22"/>
      <w:szCs w:val="22"/>
    </w:rPr>
  </w:style>
  <w:style w:type="character" w:customStyle="1" w:styleId="QuestionChar">
    <w:name w:val="Question Char"/>
    <w:basedOn w:val="DefaultParagraphFont"/>
    <w:link w:val="Question"/>
    <w:uiPriority w:val="99"/>
    <w:locked/>
    <w:rsid w:val="003D66D7"/>
    <w:rPr>
      <w:rFonts w:ascii="Optima" w:hAnsi="Optima" w:cs="Optima"/>
      <w:sz w:val="22"/>
      <w:szCs w:val="22"/>
      <w:lang w:val="en-US" w:eastAsia="en-US"/>
    </w:rPr>
  </w:style>
  <w:style w:type="paragraph" w:customStyle="1" w:styleId="Q1-FirstLevelQuestion">
    <w:name w:val="Q1-First Level Question"/>
    <w:link w:val="Q1-FirstLevelQuestionChar"/>
    <w:uiPriority w:val="99"/>
    <w:rsid w:val="003D66D7"/>
    <w:pPr>
      <w:keepNext/>
      <w:keepLines/>
      <w:tabs>
        <w:tab w:val="left" w:pos="720"/>
      </w:tabs>
      <w:spacing w:before="240" w:after="120" w:line="240" w:lineRule="atLeast"/>
      <w:ind w:left="720" w:hanging="720"/>
    </w:pPr>
    <w:rPr>
      <w:rFonts w:ascii="Arial" w:hAnsi="Arial" w:cs="Arial"/>
      <w:sz w:val="20"/>
      <w:szCs w:val="20"/>
    </w:rPr>
  </w:style>
  <w:style w:type="paragraph" w:customStyle="1" w:styleId="Q2-SecondLevelQuestion">
    <w:name w:val="Q2-Second Level Question"/>
    <w:uiPriority w:val="99"/>
    <w:rsid w:val="003D66D7"/>
    <w:pPr>
      <w:keepNext/>
      <w:keepLines/>
      <w:tabs>
        <w:tab w:val="left" w:pos="1440"/>
      </w:tabs>
      <w:spacing w:before="240" w:after="120" w:line="240" w:lineRule="atLeast"/>
      <w:ind w:left="1440" w:hanging="720"/>
      <w:jc w:val="both"/>
    </w:pPr>
    <w:rPr>
      <w:rFonts w:ascii="Arial" w:hAnsi="Arial" w:cs="Arial"/>
      <w:sz w:val="20"/>
      <w:szCs w:val="20"/>
    </w:rPr>
  </w:style>
  <w:style w:type="paragraph" w:customStyle="1" w:styleId="Y3-YNTabLeader">
    <w:name w:val="Y3-Y/N Tab Leader"/>
    <w:uiPriority w:val="99"/>
    <w:rsid w:val="003D66D7"/>
    <w:pPr>
      <w:tabs>
        <w:tab w:val="left" w:pos="1872"/>
        <w:tab w:val="right" w:leader="dot" w:pos="7200"/>
        <w:tab w:val="center" w:pos="7632"/>
        <w:tab w:val="center" w:pos="8352"/>
        <w:tab w:val="center" w:pos="9072"/>
      </w:tabs>
      <w:spacing w:line="240" w:lineRule="atLeast"/>
      <w:ind w:left="1440"/>
    </w:pPr>
    <w:rPr>
      <w:rFonts w:ascii="Arial" w:hAnsi="Arial" w:cs="Arial"/>
      <w:sz w:val="20"/>
      <w:szCs w:val="20"/>
    </w:rPr>
  </w:style>
  <w:style w:type="paragraph" w:customStyle="1" w:styleId="A3-1stTabLeader">
    <w:name w:val="A3-1st Tab Leader"/>
    <w:uiPriority w:val="99"/>
    <w:rsid w:val="003D66D7"/>
    <w:pPr>
      <w:tabs>
        <w:tab w:val="left" w:pos="1872"/>
        <w:tab w:val="right" w:leader="dot" w:pos="7200"/>
        <w:tab w:val="right" w:pos="7488"/>
        <w:tab w:val="left" w:pos="7632"/>
      </w:tabs>
      <w:spacing w:line="240" w:lineRule="atLeast"/>
      <w:ind w:left="1440"/>
    </w:pPr>
    <w:rPr>
      <w:rFonts w:ascii="Arial" w:hAnsi="Arial" w:cs="Arial"/>
      <w:sz w:val="20"/>
      <w:szCs w:val="20"/>
    </w:rPr>
  </w:style>
  <w:style w:type="character" w:customStyle="1" w:styleId="N4-4thBulletaChar">
    <w:name w:val="N4-4th Bulleta Char"/>
    <w:basedOn w:val="DefaultParagraphFont"/>
    <w:uiPriority w:val="99"/>
    <w:rsid w:val="003D66D7"/>
    <w:rPr>
      <w:sz w:val="22"/>
      <w:szCs w:val="22"/>
      <w:lang w:val="en-US" w:eastAsia="en-US"/>
    </w:rPr>
  </w:style>
  <w:style w:type="paragraph" w:customStyle="1" w:styleId="Quick1">
    <w:name w:val="Quick 1."/>
    <w:basedOn w:val="Normal"/>
    <w:uiPriority w:val="99"/>
    <w:rsid w:val="003D66D7"/>
    <w:pPr>
      <w:widowControl w:val="0"/>
    </w:pPr>
  </w:style>
  <w:style w:type="paragraph" w:customStyle="1" w:styleId="A1-1stLeader">
    <w:name w:val="A1-1st Leader"/>
    <w:uiPriority w:val="99"/>
    <w:rsid w:val="003D66D7"/>
    <w:pPr>
      <w:tabs>
        <w:tab w:val="right" w:leader="underscore" w:pos="9360"/>
      </w:tabs>
      <w:spacing w:line="240" w:lineRule="atLeast"/>
      <w:ind w:left="1080" w:hanging="360"/>
    </w:pPr>
    <w:rPr>
      <w:rFonts w:ascii="Arial" w:hAnsi="Arial" w:cs="Arial"/>
      <w:sz w:val="20"/>
      <w:szCs w:val="20"/>
    </w:rPr>
  </w:style>
  <w:style w:type="paragraph" w:customStyle="1" w:styleId="Y0-YNHead">
    <w:name w:val="Y0-Y/N Head"/>
    <w:uiPriority w:val="99"/>
    <w:rsid w:val="003D66D7"/>
    <w:pPr>
      <w:tabs>
        <w:tab w:val="center" w:pos="7632"/>
        <w:tab w:val="center" w:pos="8352"/>
        <w:tab w:val="center" w:pos="9072"/>
      </w:tabs>
      <w:spacing w:line="240" w:lineRule="atLeast"/>
      <w:ind w:left="7200"/>
    </w:pPr>
    <w:rPr>
      <w:rFonts w:ascii="Arial" w:hAnsi="Arial" w:cs="Arial"/>
      <w:sz w:val="20"/>
      <w:szCs w:val="20"/>
      <w:u w:val="words"/>
    </w:rPr>
  </w:style>
  <w:style w:type="paragraph" w:customStyle="1" w:styleId="Default">
    <w:name w:val="Default"/>
    <w:uiPriority w:val="99"/>
    <w:rsid w:val="003D66D7"/>
    <w:pPr>
      <w:autoSpaceDE w:val="0"/>
      <w:autoSpaceDN w:val="0"/>
      <w:adjustRightInd w:val="0"/>
    </w:pPr>
    <w:rPr>
      <w:color w:val="000000"/>
      <w:sz w:val="24"/>
      <w:szCs w:val="24"/>
    </w:rPr>
  </w:style>
  <w:style w:type="paragraph" w:customStyle="1" w:styleId="bibliogrpahy">
    <w:name w:val="bibliogrpahy"/>
    <w:uiPriority w:val="99"/>
    <w:rsid w:val="003D66D7"/>
    <w:pPr>
      <w:spacing w:after="110"/>
      <w:ind w:left="720" w:hanging="720"/>
    </w:pPr>
    <w:rPr>
      <w:sz w:val="24"/>
      <w:szCs w:val="24"/>
    </w:rPr>
  </w:style>
  <w:style w:type="paragraph" w:styleId="BodyTextIndent0">
    <w:name w:val="Body Text Indent"/>
    <w:basedOn w:val="Default"/>
    <w:next w:val="Default"/>
    <w:link w:val="BodyTextIndentChar0"/>
    <w:uiPriority w:val="99"/>
    <w:rsid w:val="003D66D7"/>
    <w:rPr>
      <w:color w:val="auto"/>
    </w:rPr>
  </w:style>
  <w:style w:type="character" w:customStyle="1" w:styleId="BodyTextIndentChar0">
    <w:name w:val="Body Text Indent Char"/>
    <w:basedOn w:val="DefaultParagraphFont"/>
    <w:link w:val="BodyTextIndent0"/>
    <w:uiPriority w:val="99"/>
    <w:semiHidden/>
    <w:locked/>
    <w:rsid w:val="00153FC0"/>
    <w:rPr>
      <w:sz w:val="24"/>
      <w:szCs w:val="24"/>
      <w:lang w:val="en-US" w:eastAsia="en-US"/>
    </w:rPr>
  </w:style>
  <w:style w:type="paragraph" w:styleId="BodyTextIndent2">
    <w:name w:val="Body Text Indent 2"/>
    <w:basedOn w:val="Default"/>
    <w:next w:val="Default"/>
    <w:link w:val="BodyTextIndent2Char"/>
    <w:uiPriority w:val="99"/>
    <w:rsid w:val="003D66D7"/>
    <w:rPr>
      <w:color w:val="auto"/>
    </w:rPr>
  </w:style>
  <w:style w:type="character" w:customStyle="1" w:styleId="BodyTextIndent2Char">
    <w:name w:val="Body Text Indent 2 Char"/>
    <w:basedOn w:val="DefaultParagraphFont"/>
    <w:link w:val="BodyTextIndent2"/>
    <w:uiPriority w:val="99"/>
    <w:semiHidden/>
    <w:locked/>
    <w:rsid w:val="006A0A6E"/>
    <w:rPr>
      <w:sz w:val="24"/>
      <w:szCs w:val="24"/>
    </w:rPr>
  </w:style>
  <w:style w:type="paragraph" w:customStyle="1" w:styleId="ExhibitTitlecont">
    <w:name w:val="Exhibit Title cont"/>
    <w:basedOn w:val="ExhibitTitle"/>
    <w:uiPriority w:val="99"/>
    <w:rsid w:val="003D66D7"/>
  </w:style>
  <w:style w:type="paragraph" w:styleId="E-mailSignature">
    <w:name w:val="E-mail Signature"/>
    <w:basedOn w:val="Normal"/>
    <w:link w:val="E-mailSignatureChar"/>
    <w:uiPriority w:val="99"/>
    <w:rsid w:val="003D66D7"/>
  </w:style>
  <w:style w:type="character" w:customStyle="1" w:styleId="E-mailSignatureChar">
    <w:name w:val="E-mail Signature Char"/>
    <w:basedOn w:val="DefaultParagraphFont"/>
    <w:link w:val="E-mailSignature"/>
    <w:uiPriority w:val="99"/>
    <w:semiHidden/>
    <w:locked/>
    <w:rsid w:val="006A0A6E"/>
    <w:rPr>
      <w:sz w:val="24"/>
      <w:szCs w:val="24"/>
    </w:rPr>
  </w:style>
  <w:style w:type="paragraph" w:customStyle="1" w:styleId="footnotetex">
    <w:name w:val="footnote tex"/>
    <w:uiPriority w:val="99"/>
    <w:rsid w:val="003D66D7"/>
    <w:pPr>
      <w:autoSpaceDE w:val="0"/>
      <w:autoSpaceDN w:val="0"/>
      <w:adjustRightInd w:val="0"/>
    </w:pPr>
    <w:rPr>
      <w:sz w:val="20"/>
      <w:szCs w:val="20"/>
    </w:rPr>
  </w:style>
  <w:style w:type="paragraph" w:styleId="NormalWeb">
    <w:name w:val="Normal (Web)"/>
    <w:basedOn w:val="Normal"/>
    <w:uiPriority w:val="99"/>
    <w:rsid w:val="003D66D7"/>
    <w:pPr>
      <w:spacing w:before="100" w:beforeAutospacing="1" w:after="100" w:afterAutospacing="1"/>
    </w:pPr>
    <w:rPr>
      <w:rFonts w:ascii="Arial" w:hAnsi="Arial" w:cs="Arial"/>
      <w:color w:val="000000"/>
    </w:rPr>
  </w:style>
  <w:style w:type="character" w:styleId="Strong">
    <w:name w:val="Strong"/>
    <w:basedOn w:val="DefaultParagraphFont"/>
    <w:uiPriority w:val="99"/>
    <w:qFormat/>
    <w:rsid w:val="003D66D7"/>
    <w:rPr>
      <w:b/>
      <w:bCs/>
    </w:rPr>
  </w:style>
  <w:style w:type="character" w:styleId="Emphasis">
    <w:name w:val="Emphasis"/>
    <w:basedOn w:val="DefaultParagraphFont"/>
    <w:uiPriority w:val="99"/>
    <w:qFormat/>
    <w:rsid w:val="003D66D7"/>
    <w:rPr>
      <w:i/>
      <w:iCs/>
    </w:rPr>
  </w:style>
  <w:style w:type="paragraph" w:styleId="HTMLPreformatted">
    <w:name w:val="HTML Preformatted"/>
    <w:basedOn w:val="Normal"/>
    <w:link w:val="HTMLPreformattedChar"/>
    <w:uiPriority w:val="99"/>
    <w:semiHidden/>
    <w:rsid w:val="003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A0A6E"/>
    <w:rPr>
      <w:rFonts w:ascii="Courier New" w:hAnsi="Courier New" w:cs="Courier New"/>
      <w:sz w:val="20"/>
      <w:szCs w:val="20"/>
    </w:rPr>
  </w:style>
  <w:style w:type="paragraph" w:styleId="TOC1">
    <w:name w:val="toc 1"/>
    <w:basedOn w:val="Normal"/>
    <w:next w:val="Normal"/>
    <w:autoRedefine/>
    <w:uiPriority w:val="99"/>
    <w:semiHidden/>
    <w:rsid w:val="003D66D7"/>
    <w:pPr>
      <w:tabs>
        <w:tab w:val="right" w:leader="dot" w:pos="9350"/>
      </w:tabs>
      <w:spacing w:before="160" w:after="120"/>
      <w:ind w:left="720" w:hanging="360"/>
    </w:pPr>
    <w:rPr>
      <w:noProof/>
    </w:rPr>
  </w:style>
  <w:style w:type="paragraph" w:customStyle="1" w:styleId="bodytext">
    <w:name w:val="body text"/>
    <w:aliases w:val="bt,body tx,indent,flush + First line:  0&quot;,flush"/>
    <w:basedOn w:val="Normal"/>
    <w:link w:val="bodytextChar"/>
    <w:uiPriority w:val="99"/>
    <w:rsid w:val="003D66D7"/>
    <w:pPr>
      <w:spacing w:after="240" w:line="360" w:lineRule="auto"/>
    </w:pPr>
  </w:style>
  <w:style w:type="paragraph" w:styleId="TOC2">
    <w:name w:val="toc 2"/>
    <w:basedOn w:val="Normal"/>
    <w:next w:val="Normal"/>
    <w:autoRedefine/>
    <w:uiPriority w:val="99"/>
    <w:semiHidden/>
    <w:rsid w:val="003D66D7"/>
    <w:pPr>
      <w:tabs>
        <w:tab w:val="right" w:leader="dot" w:pos="9350"/>
      </w:tabs>
      <w:spacing w:before="120" w:after="120"/>
      <w:ind w:left="1350" w:hanging="630"/>
    </w:pPr>
    <w:rPr>
      <w:noProof/>
    </w:rPr>
  </w:style>
  <w:style w:type="character" w:customStyle="1" w:styleId="EmailStyle108">
    <w:name w:val="EmailStyle1081"/>
    <w:aliases w:val="EmailStyle1081"/>
    <w:basedOn w:val="DefaultParagraphFont"/>
    <w:uiPriority w:val="99"/>
    <w:semiHidden/>
    <w:personal/>
    <w:rsid w:val="003D66D7"/>
    <w:rPr>
      <w:rFonts w:ascii="Arial" w:hAnsi="Arial" w:cs="Arial"/>
      <w:color w:val="000080"/>
      <w:sz w:val="20"/>
      <w:szCs w:val="20"/>
    </w:rPr>
  </w:style>
  <w:style w:type="paragraph" w:customStyle="1" w:styleId="SurveyH1">
    <w:name w:val="Survey H1"/>
    <w:basedOn w:val="Normal"/>
    <w:uiPriority w:val="99"/>
    <w:rsid w:val="003D66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rPr>
  </w:style>
  <w:style w:type="character" w:customStyle="1" w:styleId="Q1-FirstLevelQuestionChar">
    <w:name w:val="Q1-First Level Question Char"/>
    <w:basedOn w:val="DefaultParagraphFont"/>
    <w:link w:val="Q1-FirstLevelQuestion"/>
    <w:uiPriority w:val="99"/>
    <w:locked/>
    <w:rsid w:val="003D66D7"/>
    <w:rPr>
      <w:rFonts w:ascii="Arial" w:hAnsi="Arial" w:cs="Arial"/>
      <w:lang w:val="en-US" w:eastAsia="en-US"/>
    </w:rPr>
  </w:style>
  <w:style w:type="character" w:customStyle="1" w:styleId="Level1Char">
    <w:name w:val="Level 1 Char"/>
    <w:basedOn w:val="DefaultParagraphFont"/>
    <w:link w:val="Level1"/>
    <w:uiPriority w:val="99"/>
    <w:locked/>
    <w:rsid w:val="003D66D7"/>
    <w:rPr>
      <w:sz w:val="24"/>
      <w:szCs w:val="24"/>
      <w:lang w:val="en-US" w:eastAsia="en-US"/>
    </w:rPr>
  </w:style>
  <w:style w:type="paragraph" w:customStyle="1" w:styleId="Cov-Date">
    <w:name w:val="Cov-Date"/>
    <w:basedOn w:val="Normal"/>
    <w:uiPriority w:val="99"/>
    <w:rsid w:val="003D66D7"/>
    <w:pPr>
      <w:jc w:val="right"/>
    </w:pPr>
    <w:rPr>
      <w:rFonts w:ascii="Arial" w:hAnsi="Arial" w:cs="Arial"/>
      <w:b/>
      <w:bCs/>
      <w:sz w:val="28"/>
      <w:szCs w:val="28"/>
    </w:rPr>
  </w:style>
  <w:style w:type="paragraph" w:customStyle="1" w:styleId="Cov-Title">
    <w:name w:val="Cov-Title"/>
    <w:basedOn w:val="Normal"/>
    <w:uiPriority w:val="99"/>
    <w:rsid w:val="003D66D7"/>
    <w:pPr>
      <w:jc w:val="right"/>
    </w:pPr>
    <w:rPr>
      <w:rFonts w:ascii="Arial Black" w:hAnsi="Arial Black" w:cs="Arial Black"/>
      <w:sz w:val="48"/>
      <w:szCs w:val="48"/>
    </w:rPr>
  </w:style>
  <w:style w:type="paragraph" w:customStyle="1" w:styleId="Cov-Author">
    <w:name w:val="Cov-Author"/>
    <w:basedOn w:val="Normal"/>
    <w:uiPriority w:val="99"/>
    <w:rsid w:val="003D66D7"/>
    <w:pPr>
      <w:jc w:val="right"/>
    </w:pPr>
    <w:rPr>
      <w:rFonts w:ascii="Arial Black" w:hAnsi="Arial Black" w:cs="Arial Black"/>
    </w:rPr>
  </w:style>
  <w:style w:type="paragraph" w:customStyle="1" w:styleId="Cov-Address">
    <w:name w:val="Cov-Address"/>
    <w:basedOn w:val="Normal"/>
    <w:uiPriority w:val="99"/>
    <w:rsid w:val="003D66D7"/>
    <w:pPr>
      <w:jc w:val="right"/>
    </w:pPr>
    <w:rPr>
      <w:rFonts w:ascii="Arial" w:hAnsi="Arial" w:cs="Arial"/>
    </w:rPr>
  </w:style>
  <w:style w:type="paragraph" w:styleId="DocumentMap">
    <w:name w:val="Document Map"/>
    <w:basedOn w:val="Normal"/>
    <w:link w:val="DocumentMapChar"/>
    <w:uiPriority w:val="99"/>
    <w:semiHidden/>
    <w:rsid w:val="003D66D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A0A6E"/>
    <w:rPr>
      <w:sz w:val="2"/>
      <w:szCs w:val="2"/>
    </w:rPr>
  </w:style>
  <w:style w:type="character" w:customStyle="1" w:styleId="Heading4Char1">
    <w:name w:val="Heading 4 Char1"/>
    <w:aliases w:val="l4 Char Char,l4 Char1"/>
    <w:basedOn w:val="DefaultParagraphFont"/>
    <w:uiPriority w:val="99"/>
    <w:rsid w:val="003D66D7"/>
    <w:rPr>
      <w:i/>
      <w:iCs/>
      <w:sz w:val="24"/>
      <w:szCs w:val="24"/>
      <w:lang w:val="en-US" w:eastAsia="en-US"/>
    </w:rPr>
  </w:style>
  <w:style w:type="paragraph" w:styleId="TOC4">
    <w:name w:val="toc 4"/>
    <w:basedOn w:val="Normal"/>
    <w:next w:val="Normal"/>
    <w:autoRedefine/>
    <w:uiPriority w:val="99"/>
    <w:semiHidden/>
    <w:rsid w:val="003D66D7"/>
    <w:pPr>
      <w:tabs>
        <w:tab w:val="right" w:leader="dot" w:pos="9360"/>
      </w:tabs>
      <w:spacing w:before="60"/>
      <w:ind w:left="3240" w:hanging="720"/>
    </w:pPr>
  </w:style>
  <w:style w:type="paragraph" w:styleId="TOC3">
    <w:name w:val="toc 3"/>
    <w:basedOn w:val="Normal"/>
    <w:next w:val="Normal"/>
    <w:autoRedefine/>
    <w:uiPriority w:val="99"/>
    <w:semiHidden/>
    <w:rsid w:val="003D66D7"/>
    <w:pPr>
      <w:tabs>
        <w:tab w:val="right" w:leader="dot" w:pos="9360"/>
      </w:tabs>
      <w:spacing w:before="80" w:after="40"/>
      <w:ind w:left="2340" w:right="720" w:hanging="900"/>
    </w:pPr>
    <w:rPr>
      <w:noProof/>
    </w:rPr>
  </w:style>
  <w:style w:type="paragraph" w:customStyle="1" w:styleId="Question">
    <w:name w:val="Question"/>
    <w:basedOn w:val="Normal"/>
    <w:link w:val="QuestionChar"/>
    <w:uiPriority w:val="99"/>
    <w:semiHidden/>
    <w:rsid w:val="003D66D7"/>
    <w:pPr>
      <w:keepNext/>
      <w:keepLines/>
      <w:spacing w:before="160" w:after="60"/>
      <w:ind w:left="900" w:hanging="547"/>
    </w:pPr>
    <w:rPr>
      <w:rFonts w:ascii="Optima" w:hAnsi="Optima" w:cs="Optima"/>
      <w:sz w:val="22"/>
      <w:szCs w:val="22"/>
    </w:rPr>
  </w:style>
  <w:style w:type="paragraph" w:styleId="TOC5">
    <w:name w:val="toc 5"/>
    <w:basedOn w:val="Normal"/>
    <w:next w:val="Normal"/>
    <w:autoRedefine/>
    <w:uiPriority w:val="99"/>
    <w:semiHidden/>
    <w:rsid w:val="003D66D7"/>
    <w:pPr>
      <w:tabs>
        <w:tab w:val="right" w:leader="dot" w:pos="9360"/>
      </w:tabs>
      <w:spacing w:before="40" w:after="40"/>
      <w:ind w:left="1080" w:right="720" w:hanging="1080"/>
    </w:pPr>
    <w:rPr>
      <w:noProof/>
    </w:rPr>
  </w:style>
  <w:style w:type="paragraph" w:styleId="Index2">
    <w:name w:val="index 2"/>
    <w:basedOn w:val="Normal"/>
    <w:next w:val="Normal"/>
    <w:autoRedefine/>
    <w:uiPriority w:val="99"/>
    <w:semiHidden/>
    <w:rsid w:val="003D66D7"/>
    <w:pPr>
      <w:ind w:left="360"/>
    </w:pPr>
  </w:style>
  <w:style w:type="paragraph" w:styleId="Index1">
    <w:name w:val="index 1"/>
    <w:basedOn w:val="Normal"/>
    <w:next w:val="Normal"/>
    <w:autoRedefine/>
    <w:uiPriority w:val="99"/>
    <w:semiHidden/>
    <w:rsid w:val="003D66D7"/>
  </w:style>
  <w:style w:type="character" w:styleId="LineNumber">
    <w:name w:val="line number"/>
    <w:basedOn w:val="DefaultParagraphFont"/>
    <w:uiPriority w:val="99"/>
    <w:semiHidden/>
    <w:rsid w:val="003D66D7"/>
  </w:style>
  <w:style w:type="paragraph" w:customStyle="1" w:styleId="equation">
    <w:name w:val="equation"/>
    <w:uiPriority w:val="99"/>
    <w:rsid w:val="003D66D7"/>
    <w:pPr>
      <w:tabs>
        <w:tab w:val="center" w:pos="4680"/>
        <w:tab w:val="right" w:pos="9360"/>
      </w:tabs>
      <w:spacing w:after="240" w:line="480" w:lineRule="atLeast"/>
      <w:ind w:firstLine="720"/>
    </w:pPr>
    <w:rPr>
      <w:sz w:val="24"/>
      <w:szCs w:val="24"/>
    </w:rPr>
  </w:style>
  <w:style w:type="paragraph" w:customStyle="1" w:styleId="figurewobox">
    <w:name w:val="figure w/o box"/>
    <w:basedOn w:val="Normal"/>
    <w:uiPriority w:val="99"/>
    <w:rsid w:val="003D66D7"/>
    <w:pPr>
      <w:keepNext/>
      <w:spacing w:before="240"/>
      <w:jc w:val="center"/>
    </w:pPr>
  </w:style>
  <w:style w:type="paragraph" w:customStyle="1" w:styleId="TOC0">
    <w:name w:val="TOC 0"/>
    <w:basedOn w:val="Normal"/>
    <w:uiPriority w:val="99"/>
    <w:rsid w:val="003D66D7"/>
    <w:pPr>
      <w:spacing w:after="240"/>
      <w:jc w:val="center"/>
    </w:pPr>
    <w:rPr>
      <w:b/>
      <w:bCs/>
      <w:caps/>
      <w:sz w:val="28"/>
      <w:szCs w:val="28"/>
    </w:rPr>
  </w:style>
  <w:style w:type="paragraph" w:customStyle="1" w:styleId="toc-tabfig">
    <w:name w:val="toc-tab/fig"/>
    <w:basedOn w:val="Normal"/>
    <w:uiPriority w:val="99"/>
    <w:semiHidden/>
    <w:rsid w:val="003D66D7"/>
    <w:pPr>
      <w:tabs>
        <w:tab w:val="right" w:leader="dot" w:pos="9360"/>
      </w:tabs>
      <w:spacing w:before="240" w:after="80"/>
      <w:ind w:left="900" w:hanging="540"/>
    </w:pPr>
  </w:style>
  <w:style w:type="paragraph" w:customStyle="1" w:styleId="TOCHeader">
    <w:name w:val="TOC Header"/>
    <w:basedOn w:val="Normal"/>
    <w:uiPriority w:val="99"/>
    <w:rsid w:val="003D66D7"/>
    <w:pPr>
      <w:tabs>
        <w:tab w:val="right" w:pos="9360"/>
      </w:tabs>
      <w:spacing w:after="240"/>
    </w:pPr>
    <w:rPr>
      <w:u w:val="words"/>
    </w:rPr>
  </w:style>
  <w:style w:type="paragraph" w:customStyle="1" w:styleId="bullets-2ndlevel">
    <w:name w:val="bullets-2nd level"/>
    <w:basedOn w:val="Normal"/>
    <w:uiPriority w:val="99"/>
    <w:rsid w:val="003D66D7"/>
    <w:pPr>
      <w:spacing w:after="120" w:line="240" w:lineRule="exact"/>
      <w:ind w:left="1440" w:hanging="360"/>
    </w:pPr>
  </w:style>
  <w:style w:type="paragraph" w:customStyle="1" w:styleId="biblio">
    <w:name w:val="biblio"/>
    <w:basedOn w:val="Normal"/>
    <w:uiPriority w:val="99"/>
    <w:rsid w:val="003D66D7"/>
    <w:pPr>
      <w:keepLines/>
      <w:spacing w:after="240"/>
      <w:ind w:left="720" w:hanging="720"/>
    </w:pPr>
  </w:style>
  <w:style w:type="paragraph" w:customStyle="1" w:styleId="NumberBullets">
    <w:name w:val="Number Bullets"/>
    <w:basedOn w:val="Normal"/>
    <w:uiPriority w:val="99"/>
    <w:semiHidden/>
    <w:rsid w:val="003D66D7"/>
    <w:pPr>
      <w:tabs>
        <w:tab w:val="left" w:pos="720"/>
        <w:tab w:val="num" w:pos="1080"/>
      </w:tabs>
      <w:ind w:left="1080" w:hanging="720"/>
    </w:pPr>
  </w:style>
  <w:style w:type="paragraph" w:styleId="List3">
    <w:name w:val="List 3"/>
    <w:basedOn w:val="Normal"/>
    <w:uiPriority w:val="99"/>
    <w:semiHidden/>
    <w:rsid w:val="003D66D7"/>
    <w:pPr>
      <w:ind w:left="1915" w:hanging="360"/>
    </w:pPr>
    <w:rPr>
      <w:rFonts w:ascii="Arial" w:hAnsi="Arial" w:cs="Arial"/>
      <w:spacing w:val="-5"/>
      <w:sz w:val="20"/>
      <w:szCs w:val="20"/>
    </w:rPr>
  </w:style>
  <w:style w:type="paragraph" w:customStyle="1" w:styleId="FigureTitle">
    <w:name w:val="Figure Title"/>
    <w:basedOn w:val="Normal"/>
    <w:uiPriority w:val="99"/>
    <w:rsid w:val="003D66D7"/>
    <w:pPr>
      <w:keepNext/>
      <w:keepLines/>
      <w:spacing w:before="240" w:after="240"/>
    </w:pPr>
    <w:rPr>
      <w:b/>
      <w:bCs/>
    </w:rPr>
  </w:style>
  <w:style w:type="character" w:styleId="FollowedHyperlink">
    <w:name w:val="FollowedHyperlink"/>
    <w:basedOn w:val="DefaultParagraphFont"/>
    <w:uiPriority w:val="99"/>
    <w:rsid w:val="00B35032"/>
    <w:rPr>
      <w:color w:val="800080"/>
      <w:u w:val="single"/>
    </w:rPr>
  </w:style>
  <w:style w:type="character" w:customStyle="1" w:styleId="bb-header1">
    <w:name w:val="bb-header1"/>
    <w:basedOn w:val="DefaultParagraphFont"/>
    <w:uiPriority w:val="99"/>
    <w:rsid w:val="00E25182"/>
    <w:rPr>
      <w:color w:val="333399"/>
    </w:rPr>
  </w:style>
  <w:style w:type="paragraph" w:customStyle="1" w:styleId="EvalDesignLevel1">
    <w:name w:val="Eval Design Level 1"/>
    <w:basedOn w:val="Heading2"/>
    <w:uiPriority w:val="99"/>
    <w:rsid w:val="00E25182"/>
    <w:pPr>
      <w:keepLines/>
      <w:spacing w:after="0"/>
      <w:ind w:left="0" w:right="-630" w:firstLine="0"/>
      <w:jc w:val="center"/>
    </w:pPr>
    <w:rPr>
      <w:rFonts w:ascii="Arial" w:hAnsi="Arial" w:cs="Arial"/>
      <w:caps/>
    </w:rPr>
  </w:style>
  <w:style w:type="paragraph" w:styleId="ListParagraph">
    <w:name w:val="List Paragraph"/>
    <w:basedOn w:val="Normal"/>
    <w:uiPriority w:val="99"/>
    <w:qFormat/>
    <w:rsid w:val="008C1EE1"/>
    <w:pPr>
      <w:ind w:left="720"/>
    </w:pPr>
  </w:style>
  <w:style w:type="character" w:customStyle="1" w:styleId="flushChar">
    <w:name w:val="flush Char"/>
    <w:basedOn w:val="DefaultParagraphFont"/>
    <w:uiPriority w:val="99"/>
    <w:rsid w:val="00541110"/>
    <w:rPr>
      <w:rFonts w:ascii="Verdana" w:eastAsia="MS Mincho" w:hAnsi="Verdana" w:cs="Verdana"/>
      <w:sz w:val="20"/>
      <w:szCs w:val="20"/>
    </w:rPr>
  </w:style>
  <w:style w:type="paragraph" w:styleId="BodyText2">
    <w:name w:val="Body Text 2"/>
    <w:basedOn w:val="Normal"/>
    <w:link w:val="BodyText2Char"/>
    <w:uiPriority w:val="99"/>
    <w:rsid w:val="005411BC"/>
    <w:pPr>
      <w:spacing w:after="120" w:line="480" w:lineRule="auto"/>
    </w:pPr>
  </w:style>
  <w:style w:type="character" w:customStyle="1" w:styleId="BodyText2Char">
    <w:name w:val="Body Text 2 Char"/>
    <w:basedOn w:val="DefaultParagraphFont"/>
    <w:link w:val="BodyText2"/>
    <w:uiPriority w:val="99"/>
    <w:semiHidden/>
    <w:locked/>
    <w:rsid w:val="006A0A6E"/>
    <w:rPr>
      <w:sz w:val="24"/>
      <w:szCs w:val="24"/>
    </w:rPr>
  </w:style>
  <w:style w:type="paragraph" w:styleId="BodyTextIndent3">
    <w:name w:val="Body Text Indent 3"/>
    <w:basedOn w:val="Normal"/>
    <w:link w:val="BodyTextIndent3Char"/>
    <w:uiPriority w:val="99"/>
    <w:rsid w:val="00921B0C"/>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6A0A6E"/>
    <w:rPr>
      <w:sz w:val="16"/>
      <w:szCs w:val="16"/>
    </w:rPr>
  </w:style>
  <w:style w:type="paragraph" w:styleId="HTMLAddress">
    <w:name w:val="HTML Address"/>
    <w:basedOn w:val="Normal"/>
    <w:link w:val="HTMLAddressChar"/>
    <w:uiPriority w:val="99"/>
    <w:rsid w:val="00E26174"/>
    <w:rPr>
      <w:i/>
      <w:iCs/>
    </w:rPr>
  </w:style>
  <w:style w:type="character" w:customStyle="1" w:styleId="HTMLAddressChar">
    <w:name w:val="HTML Address Char"/>
    <w:basedOn w:val="DefaultParagraphFont"/>
    <w:link w:val="HTMLAddress"/>
    <w:uiPriority w:val="99"/>
    <w:semiHidden/>
    <w:locked/>
    <w:rsid w:val="006A0A6E"/>
    <w:rPr>
      <w:i/>
      <w:iCs/>
      <w:sz w:val="24"/>
      <w:szCs w:val="24"/>
    </w:rPr>
  </w:style>
  <w:style w:type="character" w:customStyle="1" w:styleId="spelle">
    <w:name w:val="spelle"/>
    <w:basedOn w:val="DefaultParagraphFont"/>
    <w:uiPriority w:val="99"/>
    <w:rsid w:val="00D31116"/>
  </w:style>
  <w:style w:type="paragraph" w:customStyle="1" w:styleId="CM46">
    <w:name w:val="CM46"/>
    <w:basedOn w:val="Default"/>
    <w:next w:val="Default"/>
    <w:uiPriority w:val="99"/>
    <w:rsid w:val="00530393"/>
    <w:pPr>
      <w:spacing w:after="263"/>
    </w:pPr>
    <w:rPr>
      <w:color w:val="auto"/>
    </w:rPr>
  </w:style>
  <w:style w:type="character" w:customStyle="1" w:styleId="title-link-wrapper">
    <w:name w:val="title-link-wrapper"/>
    <w:basedOn w:val="DefaultParagraphFont"/>
    <w:uiPriority w:val="99"/>
    <w:rsid w:val="004339C8"/>
  </w:style>
  <w:style w:type="character" w:customStyle="1" w:styleId="medium-font">
    <w:name w:val="medium-font"/>
    <w:basedOn w:val="DefaultParagraphFont"/>
    <w:uiPriority w:val="99"/>
    <w:rsid w:val="004339C8"/>
  </w:style>
  <w:style w:type="paragraph" w:customStyle="1" w:styleId="refentry">
    <w:name w:val="refentry"/>
    <w:basedOn w:val="Normal"/>
    <w:uiPriority w:val="99"/>
    <w:rsid w:val="008025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06864988">
      <w:marLeft w:val="0"/>
      <w:marRight w:val="0"/>
      <w:marTop w:val="0"/>
      <w:marBottom w:val="0"/>
      <w:divBdr>
        <w:top w:val="none" w:sz="0" w:space="0" w:color="auto"/>
        <w:left w:val="none" w:sz="0" w:space="0" w:color="auto"/>
        <w:bottom w:val="none" w:sz="0" w:space="0" w:color="auto"/>
        <w:right w:val="none" w:sz="0" w:space="0" w:color="auto"/>
      </w:divBdr>
      <w:divsChild>
        <w:div w:id="506865011">
          <w:marLeft w:val="0"/>
          <w:marRight w:val="0"/>
          <w:marTop w:val="0"/>
          <w:marBottom w:val="0"/>
          <w:divBdr>
            <w:top w:val="none" w:sz="0" w:space="0" w:color="auto"/>
            <w:left w:val="none" w:sz="0" w:space="0" w:color="auto"/>
            <w:bottom w:val="none" w:sz="0" w:space="0" w:color="auto"/>
            <w:right w:val="none" w:sz="0" w:space="0" w:color="auto"/>
          </w:divBdr>
          <w:divsChild>
            <w:div w:id="506865006">
              <w:marLeft w:val="0"/>
              <w:marRight w:val="0"/>
              <w:marTop w:val="0"/>
              <w:marBottom w:val="0"/>
              <w:divBdr>
                <w:top w:val="none" w:sz="0" w:space="0" w:color="auto"/>
                <w:left w:val="none" w:sz="0" w:space="0" w:color="auto"/>
                <w:bottom w:val="none" w:sz="0" w:space="0" w:color="auto"/>
                <w:right w:val="none" w:sz="0" w:space="0" w:color="auto"/>
              </w:divBdr>
              <w:divsChild>
                <w:div w:id="506864989">
                  <w:marLeft w:val="0"/>
                  <w:marRight w:val="0"/>
                  <w:marTop w:val="0"/>
                  <w:marBottom w:val="0"/>
                  <w:divBdr>
                    <w:top w:val="none" w:sz="0" w:space="0" w:color="auto"/>
                    <w:left w:val="none" w:sz="0" w:space="0" w:color="auto"/>
                    <w:bottom w:val="none" w:sz="0" w:space="0" w:color="auto"/>
                    <w:right w:val="none" w:sz="0" w:space="0" w:color="auto"/>
                  </w:divBdr>
                  <w:divsChild>
                    <w:div w:id="506864996">
                      <w:marLeft w:val="0"/>
                      <w:marRight w:val="0"/>
                      <w:marTop w:val="0"/>
                      <w:marBottom w:val="0"/>
                      <w:divBdr>
                        <w:top w:val="none" w:sz="0" w:space="0" w:color="auto"/>
                        <w:left w:val="none" w:sz="0" w:space="0" w:color="auto"/>
                        <w:bottom w:val="none" w:sz="0" w:space="0" w:color="auto"/>
                        <w:right w:val="none" w:sz="0" w:space="0" w:color="auto"/>
                      </w:divBdr>
                      <w:divsChild>
                        <w:div w:id="506865008">
                          <w:marLeft w:val="0"/>
                          <w:marRight w:val="0"/>
                          <w:marTop w:val="0"/>
                          <w:marBottom w:val="0"/>
                          <w:divBdr>
                            <w:top w:val="none" w:sz="0" w:space="0" w:color="auto"/>
                            <w:left w:val="none" w:sz="0" w:space="0" w:color="auto"/>
                            <w:bottom w:val="none" w:sz="0" w:space="0" w:color="auto"/>
                            <w:right w:val="none" w:sz="0" w:space="0" w:color="auto"/>
                          </w:divBdr>
                          <w:divsChild>
                            <w:div w:id="506865010">
                              <w:marLeft w:val="0"/>
                              <w:marRight w:val="0"/>
                              <w:marTop w:val="0"/>
                              <w:marBottom w:val="0"/>
                              <w:divBdr>
                                <w:top w:val="none" w:sz="0" w:space="0" w:color="auto"/>
                                <w:left w:val="none" w:sz="0" w:space="0" w:color="auto"/>
                                <w:bottom w:val="none" w:sz="0" w:space="0" w:color="auto"/>
                                <w:right w:val="none" w:sz="0" w:space="0" w:color="auto"/>
                              </w:divBdr>
                              <w:divsChild>
                                <w:div w:id="506865003">
                                  <w:marLeft w:val="0"/>
                                  <w:marRight w:val="0"/>
                                  <w:marTop w:val="0"/>
                                  <w:marBottom w:val="0"/>
                                  <w:divBdr>
                                    <w:top w:val="none" w:sz="0" w:space="0" w:color="auto"/>
                                    <w:left w:val="none" w:sz="0" w:space="0" w:color="auto"/>
                                    <w:bottom w:val="none" w:sz="0" w:space="0" w:color="auto"/>
                                    <w:right w:val="none" w:sz="0" w:space="0" w:color="auto"/>
                                  </w:divBdr>
                                  <w:divsChild>
                                    <w:div w:id="506864995">
                                      <w:marLeft w:val="0"/>
                                      <w:marRight w:val="0"/>
                                      <w:marTop w:val="0"/>
                                      <w:marBottom w:val="0"/>
                                      <w:divBdr>
                                        <w:top w:val="none" w:sz="0" w:space="0" w:color="auto"/>
                                        <w:left w:val="none" w:sz="0" w:space="0" w:color="auto"/>
                                        <w:bottom w:val="none" w:sz="0" w:space="0" w:color="auto"/>
                                        <w:right w:val="none" w:sz="0" w:space="0" w:color="auto"/>
                                      </w:divBdr>
                                      <w:divsChild>
                                        <w:div w:id="506865004">
                                          <w:marLeft w:val="0"/>
                                          <w:marRight w:val="0"/>
                                          <w:marTop w:val="0"/>
                                          <w:marBottom w:val="0"/>
                                          <w:divBdr>
                                            <w:top w:val="none" w:sz="0" w:space="0" w:color="auto"/>
                                            <w:left w:val="none" w:sz="0" w:space="0" w:color="auto"/>
                                            <w:bottom w:val="none" w:sz="0" w:space="0" w:color="auto"/>
                                            <w:right w:val="none" w:sz="0" w:space="0" w:color="auto"/>
                                          </w:divBdr>
                                          <w:divsChild>
                                            <w:div w:id="506864999">
                                              <w:marLeft w:val="0"/>
                                              <w:marRight w:val="0"/>
                                              <w:marTop w:val="0"/>
                                              <w:marBottom w:val="0"/>
                                              <w:divBdr>
                                                <w:top w:val="none" w:sz="0" w:space="0" w:color="auto"/>
                                                <w:left w:val="none" w:sz="0" w:space="0" w:color="auto"/>
                                                <w:bottom w:val="none" w:sz="0" w:space="0" w:color="auto"/>
                                                <w:right w:val="none" w:sz="0" w:space="0" w:color="auto"/>
                                              </w:divBdr>
                                              <w:divsChild>
                                                <w:div w:id="5068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864993">
      <w:marLeft w:val="0"/>
      <w:marRight w:val="0"/>
      <w:marTop w:val="0"/>
      <w:marBottom w:val="0"/>
      <w:divBdr>
        <w:top w:val="none" w:sz="0" w:space="0" w:color="auto"/>
        <w:left w:val="none" w:sz="0" w:space="0" w:color="auto"/>
        <w:bottom w:val="none" w:sz="0" w:space="0" w:color="auto"/>
        <w:right w:val="none" w:sz="0" w:space="0" w:color="auto"/>
      </w:divBdr>
      <w:divsChild>
        <w:div w:id="506864990">
          <w:marLeft w:val="0"/>
          <w:marRight w:val="0"/>
          <w:marTop w:val="0"/>
          <w:marBottom w:val="0"/>
          <w:divBdr>
            <w:top w:val="none" w:sz="0" w:space="0" w:color="auto"/>
            <w:left w:val="none" w:sz="0" w:space="0" w:color="auto"/>
            <w:bottom w:val="none" w:sz="0" w:space="0" w:color="auto"/>
            <w:right w:val="none" w:sz="0" w:space="0" w:color="auto"/>
          </w:divBdr>
        </w:div>
      </w:divsChild>
    </w:div>
    <w:div w:id="506864994">
      <w:marLeft w:val="0"/>
      <w:marRight w:val="0"/>
      <w:marTop w:val="0"/>
      <w:marBottom w:val="0"/>
      <w:divBdr>
        <w:top w:val="none" w:sz="0" w:space="0" w:color="auto"/>
        <w:left w:val="none" w:sz="0" w:space="0" w:color="auto"/>
        <w:bottom w:val="none" w:sz="0" w:space="0" w:color="auto"/>
        <w:right w:val="none" w:sz="0" w:space="0" w:color="auto"/>
      </w:divBdr>
    </w:div>
    <w:div w:id="506864997">
      <w:marLeft w:val="0"/>
      <w:marRight w:val="0"/>
      <w:marTop w:val="0"/>
      <w:marBottom w:val="0"/>
      <w:divBdr>
        <w:top w:val="none" w:sz="0" w:space="0" w:color="auto"/>
        <w:left w:val="none" w:sz="0" w:space="0" w:color="auto"/>
        <w:bottom w:val="none" w:sz="0" w:space="0" w:color="auto"/>
        <w:right w:val="none" w:sz="0" w:space="0" w:color="auto"/>
      </w:divBdr>
      <w:divsChild>
        <w:div w:id="506865007">
          <w:marLeft w:val="0"/>
          <w:marRight w:val="0"/>
          <w:marTop w:val="0"/>
          <w:marBottom w:val="0"/>
          <w:divBdr>
            <w:top w:val="none" w:sz="0" w:space="0" w:color="auto"/>
            <w:left w:val="none" w:sz="0" w:space="0" w:color="auto"/>
            <w:bottom w:val="none" w:sz="0" w:space="0" w:color="auto"/>
            <w:right w:val="none" w:sz="0" w:space="0" w:color="auto"/>
          </w:divBdr>
          <w:divsChild>
            <w:div w:id="5068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4998">
      <w:marLeft w:val="0"/>
      <w:marRight w:val="0"/>
      <w:marTop w:val="0"/>
      <w:marBottom w:val="0"/>
      <w:divBdr>
        <w:top w:val="none" w:sz="0" w:space="0" w:color="auto"/>
        <w:left w:val="none" w:sz="0" w:space="0" w:color="auto"/>
        <w:bottom w:val="none" w:sz="0" w:space="0" w:color="auto"/>
        <w:right w:val="none" w:sz="0" w:space="0" w:color="auto"/>
      </w:divBdr>
      <w:divsChild>
        <w:div w:id="506864991">
          <w:marLeft w:val="0"/>
          <w:marRight w:val="0"/>
          <w:marTop w:val="0"/>
          <w:marBottom w:val="0"/>
          <w:divBdr>
            <w:top w:val="none" w:sz="0" w:space="0" w:color="auto"/>
            <w:left w:val="none" w:sz="0" w:space="0" w:color="auto"/>
            <w:bottom w:val="none" w:sz="0" w:space="0" w:color="auto"/>
            <w:right w:val="none" w:sz="0" w:space="0" w:color="auto"/>
          </w:divBdr>
        </w:div>
      </w:divsChild>
    </w:div>
    <w:div w:id="506865000">
      <w:marLeft w:val="0"/>
      <w:marRight w:val="0"/>
      <w:marTop w:val="0"/>
      <w:marBottom w:val="0"/>
      <w:divBdr>
        <w:top w:val="none" w:sz="0" w:space="0" w:color="auto"/>
        <w:left w:val="none" w:sz="0" w:space="0" w:color="auto"/>
        <w:bottom w:val="none" w:sz="0" w:space="0" w:color="auto"/>
        <w:right w:val="none" w:sz="0" w:space="0" w:color="auto"/>
      </w:divBdr>
    </w:div>
    <w:div w:id="506865001">
      <w:marLeft w:val="0"/>
      <w:marRight w:val="0"/>
      <w:marTop w:val="0"/>
      <w:marBottom w:val="0"/>
      <w:divBdr>
        <w:top w:val="none" w:sz="0" w:space="0" w:color="auto"/>
        <w:left w:val="none" w:sz="0" w:space="0" w:color="auto"/>
        <w:bottom w:val="none" w:sz="0" w:space="0" w:color="auto"/>
        <w:right w:val="none" w:sz="0" w:space="0" w:color="auto"/>
      </w:divBdr>
    </w:div>
    <w:div w:id="506865002">
      <w:marLeft w:val="0"/>
      <w:marRight w:val="0"/>
      <w:marTop w:val="0"/>
      <w:marBottom w:val="0"/>
      <w:divBdr>
        <w:top w:val="none" w:sz="0" w:space="0" w:color="auto"/>
        <w:left w:val="none" w:sz="0" w:space="0" w:color="auto"/>
        <w:bottom w:val="none" w:sz="0" w:space="0" w:color="auto"/>
        <w:right w:val="none" w:sz="0" w:space="0" w:color="auto"/>
      </w:divBdr>
    </w:div>
    <w:div w:id="506865005">
      <w:marLeft w:val="0"/>
      <w:marRight w:val="0"/>
      <w:marTop w:val="0"/>
      <w:marBottom w:val="0"/>
      <w:divBdr>
        <w:top w:val="none" w:sz="0" w:space="0" w:color="auto"/>
        <w:left w:val="none" w:sz="0" w:space="0" w:color="auto"/>
        <w:bottom w:val="none" w:sz="0" w:space="0" w:color="auto"/>
        <w:right w:val="none" w:sz="0" w:space="0" w:color="auto"/>
      </w:divBdr>
    </w:div>
    <w:div w:id="506865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jamin.bowser@csueastbay.edu" TargetMode="External"/><Relationship Id="rId13" Type="http://schemas.openxmlformats.org/officeDocument/2006/relationships/hyperlink" Target="mailto:ref5@columbia.edu" TargetMode="External"/><Relationship Id="rId18" Type="http://schemas.openxmlformats.org/officeDocument/2006/relationships/hyperlink" Target="mailto:chevy@uic.edu" TargetMode="External"/><Relationship Id="rId26" Type="http://schemas.openxmlformats.org/officeDocument/2006/relationships/hyperlink" Target="https://webmail2.jbsinternational.com/owa/redir.aspx?C=a74b3dee91c84f3aa4d65a790e8ff9e9&amp;URL=http%3a%2f%2fwww.bls.gov%2foes%2f2008%2fmay%2foes_nat.htm%23b21-0000" TargetMode="External"/><Relationship Id="rId3" Type="http://schemas.openxmlformats.org/officeDocument/2006/relationships/settings" Target="settings.xml"/><Relationship Id="rId21" Type="http://schemas.openxmlformats.org/officeDocument/2006/relationships/hyperlink" Target="http://web.ebscohost.com.proxy-bc.researchport.umd.edu/ehost/viewarticle?data=dGJyMPPp44rp2%2fdV0%2bnjisfk5Ie42N%2bE8tnsjPek63nn5Kx95uXxjL6orUytqK5Jrpa0UrCquEuwls5lpOrweezp33vy3%2b2G59q7Sa6qtkm3rLRLtZzqeezdu33snOJ6u9nrfeLjpIzf3btZzJzfhruntkm3rq9Pr5zkh%2fDj34y73POE6urjkPIA&amp;hid=106" TargetMode="External"/><Relationship Id="rId7" Type="http://schemas.openxmlformats.org/officeDocument/2006/relationships/hyperlink" Target="mailto:fzbelgra@vcu.edu" TargetMode="External"/><Relationship Id="rId12" Type="http://schemas.openxmlformats.org/officeDocument/2006/relationships/hyperlink" Target="mailto:jfriedman@liaac.com" TargetMode="External"/><Relationship Id="rId17" Type="http://schemas.openxmlformats.org/officeDocument/2006/relationships/hyperlink" Target="mailto:sybilwardjccsi@comcast.net" TargetMode="External"/><Relationship Id="rId25" Type="http://schemas.openxmlformats.org/officeDocument/2006/relationships/hyperlink" Target="http://www.ibr.tcu.edu/pubs/datacoll/commtrt.html" TargetMode="External"/><Relationship Id="rId2" Type="http://schemas.openxmlformats.org/officeDocument/2006/relationships/styles" Target="styles.xml"/><Relationship Id="rId16" Type="http://schemas.openxmlformats.org/officeDocument/2006/relationships/hyperlink" Target="mailto:jnormand@nida.nih.gov" TargetMode="External"/><Relationship Id="rId20" Type="http://schemas.openxmlformats.org/officeDocument/2006/relationships/hyperlink" Target="mailto:rg650@columbia.ed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eke@cdc.gov" TargetMode="External"/><Relationship Id="rId24" Type="http://schemas.openxmlformats.org/officeDocument/2006/relationships/hyperlink" Target="http://www.ncbi.nlm.nih.gov/pubmed?term=%22Anis%20AH%22%5BAuthor%5D&amp;itool=EntrezSystem2.PEntrez.Pubmed.Pubmed_ResultsPanel.Pubmed_RVAbstract" TargetMode="External"/><Relationship Id="rId5" Type="http://schemas.openxmlformats.org/officeDocument/2006/relationships/footnotes" Target="footnotes.xml"/><Relationship Id="rId15" Type="http://schemas.openxmlformats.org/officeDocument/2006/relationships/hyperlink" Target="mailto:llundgre@bu.edu" TargetMode="External"/><Relationship Id="rId23" Type="http://schemas.openxmlformats.org/officeDocument/2006/relationships/hyperlink" Target="http://www.ncbi.nlm.nih.gov/pubmed?term=%22Schechter%20MT%22%5BAuthor%5D&amp;itool=EntrezSystem2.PEntrez.Pubmed.Pubmed_ResultsPanel.Pubmed_RVAbstract" TargetMode="External"/><Relationship Id="rId28" Type="http://schemas.openxmlformats.org/officeDocument/2006/relationships/footer" Target="footer1.xml"/><Relationship Id="rId10" Type="http://schemas.openxmlformats.org/officeDocument/2006/relationships/hyperlink" Target="mailto:ccunning@montefiore.org" TargetMode="External"/><Relationship Id="rId19" Type="http://schemas.openxmlformats.org/officeDocument/2006/relationships/hyperlink" Target="mailto:nzaller@lifespan.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aren.corsi@uchsc.edu" TargetMode="External"/><Relationship Id="rId14" Type="http://schemas.openxmlformats.org/officeDocument/2006/relationships/hyperlink" Target="mailto:rg650@columbia.edu" TargetMode="External"/><Relationship Id="rId22" Type="http://schemas.openxmlformats.org/officeDocument/2006/relationships/hyperlink" Target="http://www.ncbi.nlm.nih.gov/pubmed?term=%22O'Shaughnessy%20MV%22%5BAuthor%5D&amp;itool=EntrezSystem2.PEntrez.Pubmed.Pubmed_ResultsPanel.Pubmed_RVAbstract" TargetMode="External"/><Relationship Id="rId27" Type="http://schemas.openxmlformats.org/officeDocument/2006/relationships/hyperlink" Target="http://www.healthypeople.gov/HP2020/objectives/ViewObjective.aspx?Id=595&amp;TopicArea=Substance+Abuse&amp;Objective=SA+HP2020%e2%80%936&amp;TopicAreaId=4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16962</Words>
  <Characters>96687</Characters>
  <Application>Microsoft Office Word</Application>
  <DocSecurity>0</DocSecurity>
  <Lines>805</Lines>
  <Paragraphs>226</Paragraphs>
  <ScaleCrop>false</ScaleCrop>
  <Company>SAMHSA</Company>
  <LinksUpToDate>false</LinksUpToDate>
  <CharactersWithSpaces>113423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proth</dc:creator>
  <cp:lastModifiedBy>rmatthew</cp:lastModifiedBy>
  <cp:revision>2</cp:revision>
  <cp:lastPrinted>2010-06-15T19:55:00Z</cp:lastPrinted>
  <dcterms:created xsi:type="dcterms:W3CDTF">2010-07-14T17:41:00Z</dcterms:created>
  <dcterms:modified xsi:type="dcterms:W3CDTF">2010-07-14T17:41:00Z</dcterms:modified>
</cp:coreProperties>
</file>