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79" w:rsidRPr="00655079" w:rsidRDefault="00655079" w:rsidP="00D95A7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Appendix 7:</w:t>
      </w:r>
    </w:p>
    <w:p w:rsidR="005B09BA" w:rsidRPr="0083301C" w:rsidRDefault="005B09BA" w:rsidP="00D95A7B">
      <w:pPr>
        <w:spacing w:after="0" w:line="240" w:lineRule="auto"/>
        <w:rPr>
          <w:b/>
          <w:sz w:val="34"/>
          <w:szCs w:val="34"/>
        </w:rPr>
      </w:pPr>
      <w:r w:rsidRPr="00EE60CE">
        <w:rPr>
          <w:b/>
          <w:sz w:val="34"/>
          <w:szCs w:val="34"/>
        </w:rPr>
        <w:t xml:space="preserve">SAMHSA Underage Drinking Prevention National Media Campaign </w:t>
      </w:r>
      <w:r w:rsidR="00F9546B">
        <w:rPr>
          <w:b/>
          <w:sz w:val="34"/>
          <w:szCs w:val="34"/>
        </w:rPr>
        <w:t>Materials Testing</w:t>
      </w:r>
      <w:r w:rsidRPr="00EE60CE">
        <w:rPr>
          <w:b/>
          <w:sz w:val="34"/>
          <w:szCs w:val="34"/>
        </w:rPr>
        <w:t xml:space="preserve"> </w:t>
      </w:r>
      <w:r w:rsidRPr="0083301C">
        <w:rPr>
          <w:b/>
          <w:sz w:val="34"/>
          <w:szCs w:val="34"/>
        </w:rPr>
        <w:t>Plan</w:t>
      </w:r>
      <w:r>
        <w:rPr>
          <w:b/>
          <w:sz w:val="34"/>
          <w:szCs w:val="34"/>
        </w:rPr>
        <w:t xml:space="preserve"> Summary</w:t>
      </w:r>
    </w:p>
    <w:p w:rsidR="005B09BA" w:rsidRDefault="005B09BA" w:rsidP="00195798">
      <w:pPr>
        <w:spacing w:after="0" w:line="240" w:lineRule="auto"/>
      </w:pPr>
    </w:p>
    <w:p w:rsidR="005B09BA" w:rsidRPr="00F7324F" w:rsidRDefault="005B09BA" w:rsidP="00E965B0">
      <w:pPr>
        <w:spacing w:after="0" w:line="240" w:lineRule="auto"/>
      </w:pPr>
      <w:r>
        <w:t>This docume</w:t>
      </w:r>
      <w:bookmarkStart w:id="0" w:name="_GoBack"/>
      <w:bookmarkEnd w:id="0"/>
      <w:r>
        <w:t>nt</w:t>
      </w:r>
      <w:r w:rsidRPr="00195798">
        <w:t xml:space="preserve"> outlines </w:t>
      </w:r>
      <w:r w:rsidR="00B7745C">
        <w:t xml:space="preserve">the </w:t>
      </w:r>
      <w:r>
        <w:t xml:space="preserve">plan for </w:t>
      </w:r>
      <w:r w:rsidR="00F9546B">
        <w:t>testing</w:t>
      </w:r>
      <w:r w:rsidRPr="00195798">
        <w:t xml:space="preserve"> the SAMHSA</w:t>
      </w:r>
      <w:r w:rsidR="005B3074">
        <w:t>’s “Talk.</w:t>
      </w:r>
      <w:r w:rsidR="004A1E2B">
        <w:t xml:space="preserve"> </w:t>
      </w:r>
      <w:r w:rsidR="005B3074">
        <w:t>They Hear You.”</w:t>
      </w:r>
      <w:r w:rsidRPr="00195798">
        <w:t xml:space="preserve"> Underage Drinking Prevention National Media Campaign</w:t>
      </w:r>
      <w:r>
        <w:t xml:space="preserve"> (the “Campaign”)</w:t>
      </w:r>
      <w:r w:rsidRPr="00195798">
        <w:t xml:space="preserve">. We will </w:t>
      </w:r>
      <w:r w:rsidR="00F9546B">
        <w:t>assess</w:t>
      </w:r>
      <w:r w:rsidRPr="00195798">
        <w:t xml:space="preserve"> the Campaign through </w:t>
      </w:r>
      <w:r w:rsidRPr="001756DA">
        <w:rPr>
          <w:b/>
        </w:rPr>
        <w:t>proce</w:t>
      </w:r>
      <w:r w:rsidRPr="001756DA">
        <w:rPr>
          <w:rFonts w:cs="Calibri"/>
          <w:b/>
        </w:rPr>
        <w:t>ss measures</w:t>
      </w:r>
      <w:r>
        <w:rPr>
          <w:rFonts w:cs="Calibri"/>
        </w:rPr>
        <w:t xml:space="preserve"> to monitor </w:t>
      </w:r>
      <w:r w:rsidRPr="00195798">
        <w:rPr>
          <w:rFonts w:cs="Calibri"/>
        </w:rPr>
        <w:t xml:space="preserve">activities, as well as </w:t>
      </w:r>
      <w:r w:rsidRPr="001756DA">
        <w:rPr>
          <w:rFonts w:cs="Calibri"/>
          <w:b/>
        </w:rPr>
        <w:t>outcome measures</w:t>
      </w:r>
      <w:r>
        <w:rPr>
          <w:rFonts w:cs="Calibri"/>
        </w:rPr>
        <w:t xml:space="preserve"> to </w:t>
      </w:r>
      <w:r w:rsidRPr="00337919">
        <w:rPr>
          <w:rFonts w:cs="Calibri"/>
        </w:rPr>
        <w:t xml:space="preserve">measure changes in parent knowledge, attitudes, and behaviors </w:t>
      </w:r>
      <w:r>
        <w:rPr>
          <w:rFonts w:cs="Calibri"/>
        </w:rPr>
        <w:t xml:space="preserve">that result from the Campaign. </w:t>
      </w:r>
    </w:p>
    <w:p w:rsidR="005B09BA" w:rsidRPr="00395CDA" w:rsidRDefault="005B09BA" w:rsidP="00D95A7B">
      <w:pPr>
        <w:spacing w:after="0" w:line="240" w:lineRule="auto"/>
        <w:rPr>
          <w:b/>
          <w:sz w:val="28"/>
          <w:szCs w:val="28"/>
          <w:u w:val="single"/>
        </w:rPr>
      </w:pPr>
    </w:p>
    <w:p w:rsidR="005B09BA" w:rsidRPr="00195798" w:rsidRDefault="005B09BA" w:rsidP="00D95A7B">
      <w:pPr>
        <w:spacing w:after="0" w:line="240" w:lineRule="auto"/>
        <w:rPr>
          <w:b/>
          <w:sz w:val="28"/>
          <w:szCs w:val="28"/>
          <w:u w:val="single"/>
        </w:rPr>
      </w:pPr>
      <w:r w:rsidRPr="00195798">
        <w:rPr>
          <w:b/>
          <w:sz w:val="28"/>
          <w:szCs w:val="28"/>
          <w:u w:val="single"/>
        </w:rPr>
        <w:t xml:space="preserve">Process </w:t>
      </w:r>
      <w:r w:rsidR="00F9546B">
        <w:rPr>
          <w:b/>
          <w:sz w:val="28"/>
          <w:szCs w:val="28"/>
          <w:u w:val="single"/>
        </w:rPr>
        <w:t>Measures</w:t>
      </w:r>
    </w:p>
    <w:p w:rsidR="005B09BA" w:rsidRPr="00E36E0A" w:rsidRDefault="005B09BA" w:rsidP="00D95A7B">
      <w:pPr>
        <w:spacing w:after="0" w:line="240" w:lineRule="auto"/>
        <w:rPr>
          <w:rFonts w:cs="Calibri"/>
        </w:rPr>
      </w:pPr>
    </w:p>
    <w:p w:rsidR="005B09BA" w:rsidRPr="00195A1F" w:rsidRDefault="005B09BA" w:rsidP="00D0390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National </w:t>
      </w:r>
      <w:r w:rsidRPr="00195A1F">
        <w:rPr>
          <w:b/>
          <w:u w:val="single"/>
        </w:rPr>
        <w:t>Campaign Implementation</w:t>
      </w:r>
    </w:p>
    <w:p w:rsidR="005B09BA" w:rsidRPr="00C83957" w:rsidRDefault="005B09BA" w:rsidP="00D0390A">
      <w:pPr>
        <w:spacing w:after="0" w:line="240" w:lineRule="auto"/>
        <w:rPr>
          <w:rFonts w:cs="Calibri"/>
        </w:rPr>
      </w:pPr>
      <w:r>
        <w:t xml:space="preserve">The exact components of the Campaign process </w:t>
      </w:r>
      <w:r w:rsidR="00F9546B">
        <w:t>measures</w:t>
      </w:r>
      <w:r>
        <w:t xml:space="preserve"> w</w:t>
      </w:r>
      <w:r w:rsidRPr="00D95A7B">
        <w:t xml:space="preserve">ill depend on </w:t>
      </w:r>
      <w:r>
        <w:t xml:space="preserve">the Campaign </w:t>
      </w:r>
      <w:r w:rsidRPr="00D95A7B">
        <w:t>tactics</w:t>
      </w:r>
      <w:r>
        <w:t xml:space="preserve">, which we will determine more conclusively after completing the next </w:t>
      </w:r>
      <w:r w:rsidR="005B3074">
        <w:t xml:space="preserve">phase </w:t>
      </w:r>
      <w:r w:rsidR="00B7745C">
        <w:t xml:space="preserve">of </w:t>
      </w:r>
      <w:r w:rsidR="00F9546B">
        <w:t>testing</w:t>
      </w:r>
      <w:r w:rsidR="00B7745C">
        <w:t xml:space="preserve"> message and materials.  </w:t>
      </w:r>
      <w:r>
        <w:t xml:space="preserve">However, the </w:t>
      </w:r>
      <w:r w:rsidR="00F9546B">
        <w:t>testing</w:t>
      </w:r>
      <w:r>
        <w:t xml:space="preserve"> likely will include the process measures listed below.  </w:t>
      </w:r>
      <w:r>
        <w:rPr>
          <w:rFonts w:cs="Calibri"/>
        </w:rPr>
        <w:t xml:space="preserve">We will define measurable objectives for each of our process measures prior to launching the Campaign. </w:t>
      </w:r>
    </w:p>
    <w:p w:rsidR="005B09BA" w:rsidRDefault="005B09BA" w:rsidP="00D0390A">
      <w:pPr>
        <w:spacing w:after="0" w:line="240" w:lineRule="auto"/>
      </w:pPr>
    </w:p>
    <w:tbl>
      <w:tblPr>
        <w:tblW w:w="10080" w:type="dxa"/>
        <w:tblInd w:w="18" w:type="dxa"/>
        <w:tblLayout w:type="fixed"/>
        <w:tblLook w:val="00A0"/>
      </w:tblPr>
      <w:tblGrid>
        <w:gridCol w:w="4500"/>
        <w:gridCol w:w="5580"/>
      </w:tblGrid>
      <w:tr w:rsidR="005B09BA" w:rsidRPr="00F67D82" w:rsidTr="00F67D82">
        <w:tc>
          <w:tcPr>
            <w:tcW w:w="4500" w:type="dxa"/>
          </w:tcPr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Materials disseminated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 xml:space="preserve">Partnerships developed 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Estimated reach of partnerships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F67D82">
              <w:t>Number of training/ technical assistance "engagements"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F67D82">
              <w:t>Number of attendees at training events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Media placements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Media impressions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Message penetration in media reports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PSA placements</w:t>
            </w:r>
          </w:p>
        </w:tc>
        <w:tc>
          <w:tcPr>
            <w:tcW w:w="5580" w:type="dxa"/>
          </w:tcPr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Attendance at Campaign events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Mentions of Campaign on other Web sites, blogs, etc.</w:t>
            </w:r>
          </w:p>
          <w:p w:rsidR="005B09BA" w:rsidRPr="00F67D82" w:rsidRDefault="005B09BA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 xml:space="preserve">Links from other sites to Campaign content on </w:t>
            </w:r>
            <w:r w:rsidR="00B7745C">
              <w:t>the underagedrinking.samhsa.gov</w:t>
            </w:r>
            <w:r w:rsidRPr="00F67D82">
              <w:t xml:space="preserve"> Web site</w:t>
            </w:r>
          </w:p>
          <w:p w:rsidR="005B09BA" w:rsidRPr="00F67D82" w:rsidRDefault="00B7745C" w:rsidP="00F67D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Underagedrinking.samhsa.gov</w:t>
            </w:r>
            <w:r w:rsidR="005B09BA" w:rsidRPr="00F67D82">
              <w:t xml:space="preserve"> Web site metrics (</w:t>
            </w:r>
            <w:r w:rsidR="00162879">
              <w:t>the same as those that currently exist on the Web site and others as available, e.g., time spent on each page</w:t>
            </w:r>
            <w:r w:rsidR="005B09BA" w:rsidRPr="00F67D82">
              <w:t>)</w:t>
            </w:r>
          </w:p>
          <w:p w:rsidR="005B09BA" w:rsidRPr="00F67D82" w:rsidRDefault="005B09BA" w:rsidP="008579B8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67D82">
              <w:t>SAMHSA Web 2.0 metrics (e.g., clicks and comments on Campaign content on SAMHSA Facebook, Twitter,  YouTube accounts</w:t>
            </w:r>
            <w:r>
              <w:t xml:space="preserve"> and  Blog</w:t>
            </w:r>
            <w:r w:rsidRPr="00F67D82">
              <w:t>)</w:t>
            </w:r>
          </w:p>
        </w:tc>
      </w:tr>
    </w:tbl>
    <w:p w:rsidR="005B09BA" w:rsidRDefault="005B09BA" w:rsidP="00195A1F">
      <w:pPr>
        <w:spacing w:after="0" w:line="240" w:lineRule="auto"/>
        <w:rPr>
          <w:b/>
          <w:u w:val="single"/>
        </w:rPr>
      </w:pPr>
    </w:p>
    <w:p w:rsidR="005B09BA" w:rsidRPr="00457C15" w:rsidRDefault="005B09BA" w:rsidP="00195A1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Pilot </w:t>
      </w:r>
      <w:r w:rsidRPr="00A93732">
        <w:rPr>
          <w:b/>
          <w:u w:val="single"/>
        </w:rPr>
        <w:t>Site</w:t>
      </w:r>
      <w:r w:rsidRPr="00A93732">
        <w:rPr>
          <w:u w:val="single"/>
        </w:rPr>
        <w:t xml:space="preserve"> </w:t>
      </w:r>
      <w:r w:rsidRPr="00A93732">
        <w:rPr>
          <w:b/>
          <w:u w:val="single"/>
        </w:rPr>
        <w:t>Implementation</w:t>
      </w:r>
    </w:p>
    <w:p w:rsidR="005B09BA" w:rsidRDefault="005B09BA" w:rsidP="00195A1F">
      <w:pPr>
        <w:spacing w:after="0" w:line="240" w:lineRule="auto"/>
      </w:pPr>
      <w:r>
        <w:t xml:space="preserve">We will test the implementation of the Campaign through </w:t>
      </w:r>
      <w:r w:rsidR="00F9546B">
        <w:t>the</w:t>
      </w:r>
      <w:r>
        <w:t xml:space="preserve"> five pilot sites. </w:t>
      </w:r>
      <w:r w:rsidR="005B3074">
        <w:t xml:space="preserve">These sites are required to conduct various activities to test the Campaign’s public service announcements, messages, and collateral materials, prior to a national launch in the fall of 2012. </w:t>
      </w:r>
      <w:r w:rsidR="00F9546B">
        <w:t>W</w:t>
      </w:r>
      <w:r>
        <w:t>e will gather the following data:</w:t>
      </w:r>
    </w:p>
    <w:p w:rsidR="005B09BA" w:rsidRDefault="005B09BA" w:rsidP="00195A1F">
      <w:pPr>
        <w:spacing w:after="0" w:line="240" w:lineRule="auto"/>
      </w:pPr>
    </w:p>
    <w:p w:rsidR="005B09BA" w:rsidRDefault="00B7745C" w:rsidP="00195A1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Local process measures; </w:t>
      </w:r>
    </w:p>
    <w:p w:rsidR="005B09BA" w:rsidRPr="00246C8D" w:rsidRDefault="005B09BA" w:rsidP="00246C8D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246C8D">
        <w:t>Evaluative feedback</w:t>
      </w:r>
      <w:r w:rsidRPr="00246C8D">
        <w:rPr>
          <w:b/>
        </w:rPr>
        <w:t xml:space="preserve"> </w:t>
      </w:r>
      <w:r>
        <w:t>collected by pilot sites about their activities</w:t>
      </w:r>
      <w:r w:rsidR="00B7745C">
        <w:t xml:space="preserve">; </w:t>
      </w:r>
    </w:p>
    <w:p w:rsidR="005B09BA" w:rsidRPr="00C83957" w:rsidRDefault="005B09BA" w:rsidP="007D17F7">
      <w:pPr>
        <w:pStyle w:val="ListParagraph"/>
        <w:numPr>
          <w:ilvl w:val="0"/>
          <w:numId w:val="19"/>
        </w:numPr>
        <w:spacing w:after="0" w:line="240" w:lineRule="auto"/>
      </w:pPr>
      <w:r w:rsidRPr="00C83957">
        <w:t>Interviews with pilot site administrators</w:t>
      </w:r>
      <w:r w:rsidR="00B7745C">
        <w:t>; and</w:t>
      </w:r>
      <w:r w:rsidRPr="00C83957">
        <w:t xml:space="preserve"> </w:t>
      </w:r>
    </w:p>
    <w:p w:rsidR="005B09BA" w:rsidRPr="00C83957" w:rsidRDefault="005B09BA" w:rsidP="00C83957">
      <w:pPr>
        <w:pStyle w:val="ListParagraph"/>
        <w:numPr>
          <w:ilvl w:val="0"/>
          <w:numId w:val="19"/>
        </w:numPr>
        <w:spacing w:after="0" w:line="240" w:lineRule="auto"/>
      </w:pPr>
      <w:r w:rsidRPr="00C83957">
        <w:t>Process case studies</w:t>
      </w:r>
      <w:r w:rsidR="00B7745C">
        <w:t>.</w:t>
      </w:r>
    </w:p>
    <w:p w:rsidR="005B09BA" w:rsidRDefault="005B09BA" w:rsidP="00D95A7B">
      <w:pPr>
        <w:spacing w:after="0" w:line="240" w:lineRule="auto"/>
        <w:rPr>
          <w:b/>
          <w:sz w:val="28"/>
          <w:szCs w:val="28"/>
          <w:u w:val="single"/>
        </w:rPr>
      </w:pPr>
    </w:p>
    <w:p w:rsidR="00F9546B" w:rsidRDefault="00F9546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A1E2B" w:rsidRDefault="005B09BA" w:rsidP="00D95A7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Outcome </w:t>
      </w:r>
      <w:r w:rsidR="00F9546B">
        <w:rPr>
          <w:b/>
          <w:sz w:val="28"/>
          <w:szCs w:val="28"/>
          <w:u w:val="single"/>
        </w:rPr>
        <w:t>Measures</w:t>
      </w:r>
    </w:p>
    <w:p w:rsidR="005B09BA" w:rsidRPr="00D32716" w:rsidRDefault="005B09BA" w:rsidP="003379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We do not expect the Campaign </w:t>
      </w:r>
      <w:r w:rsidRPr="00D32716">
        <w:rPr>
          <w:rFonts w:cs="Calibri"/>
        </w:rPr>
        <w:t>message</w:t>
      </w:r>
      <w:r>
        <w:rPr>
          <w:rFonts w:cs="Calibri"/>
        </w:rPr>
        <w:t>s</w:t>
      </w:r>
      <w:r w:rsidRPr="00D32716">
        <w:rPr>
          <w:rFonts w:cs="Calibri"/>
        </w:rPr>
        <w:t xml:space="preserve"> </w:t>
      </w:r>
      <w:r>
        <w:rPr>
          <w:rFonts w:cs="Calibri"/>
        </w:rPr>
        <w:t>to reach a</w:t>
      </w:r>
      <w:r w:rsidRPr="00D32716">
        <w:rPr>
          <w:rFonts w:cs="Calibri"/>
        </w:rPr>
        <w:t xml:space="preserve"> </w:t>
      </w:r>
      <w:r>
        <w:rPr>
          <w:rFonts w:cs="Calibri"/>
        </w:rPr>
        <w:t>large</w:t>
      </w:r>
      <w:r w:rsidRPr="00D32716">
        <w:rPr>
          <w:rFonts w:cs="Calibri"/>
        </w:rPr>
        <w:t xml:space="preserve"> </w:t>
      </w:r>
      <w:r>
        <w:rPr>
          <w:rFonts w:cs="Calibri"/>
        </w:rPr>
        <w:t>percentage of U.S. parents; thus, we cannot rely on national surveys of random samples of parents to accurately measure awareness of the C</w:t>
      </w:r>
      <w:r w:rsidRPr="00D32716">
        <w:rPr>
          <w:rFonts w:cs="Calibri"/>
        </w:rPr>
        <w:t xml:space="preserve">ampaign and </w:t>
      </w:r>
      <w:r>
        <w:rPr>
          <w:rFonts w:cs="Calibri"/>
        </w:rPr>
        <w:t xml:space="preserve">possible </w:t>
      </w:r>
      <w:r w:rsidRPr="00D32716">
        <w:rPr>
          <w:rFonts w:cs="Calibri"/>
        </w:rPr>
        <w:t>resulting knowledge, at</w:t>
      </w:r>
      <w:r>
        <w:rPr>
          <w:rFonts w:cs="Calibri"/>
        </w:rPr>
        <w:t xml:space="preserve">titude, and behavior changes. Therefore, </w:t>
      </w:r>
      <w:r w:rsidRPr="00E02FD6">
        <w:rPr>
          <w:rFonts w:cs="Calibri"/>
          <w:b/>
        </w:rPr>
        <w:t xml:space="preserve">we propose </w:t>
      </w:r>
      <w:r w:rsidR="00F9546B">
        <w:rPr>
          <w:rFonts w:cs="Calibri"/>
          <w:b/>
        </w:rPr>
        <w:t>assess</w:t>
      </w:r>
      <w:r w:rsidRPr="00E02FD6">
        <w:rPr>
          <w:rFonts w:cs="Calibri"/>
          <w:b/>
        </w:rPr>
        <w:t>ing the Campaign's effect on groups of parents we know have been exposed to it as a means of determining the Campaign’s effectiveness among those who see it.</w:t>
      </w:r>
    </w:p>
    <w:p w:rsidR="0038535C" w:rsidRDefault="0038535C" w:rsidP="008B59E5">
      <w:pPr>
        <w:spacing w:after="0" w:line="240" w:lineRule="auto"/>
        <w:rPr>
          <w:b/>
          <w:u w:val="single"/>
        </w:rPr>
      </w:pPr>
    </w:p>
    <w:p w:rsidR="005B09BA" w:rsidRPr="0038535C" w:rsidRDefault="005B09BA" w:rsidP="008B59E5">
      <w:pPr>
        <w:spacing w:after="0" w:line="240" w:lineRule="auto"/>
        <w:rPr>
          <w:u w:val="single"/>
        </w:rPr>
      </w:pPr>
      <w:r w:rsidRPr="0038535C">
        <w:rPr>
          <w:b/>
          <w:i/>
          <w:u w:val="single"/>
        </w:rPr>
        <w:t>Gallup Panel</w:t>
      </w:r>
      <w:r w:rsidR="0038535C" w:rsidRPr="0038535C">
        <w:rPr>
          <w:rFonts w:cs="Tahoma"/>
          <w:i/>
          <w:iCs/>
          <w:color w:val="000000"/>
          <w:u w:val="single"/>
        </w:rPr>
        <w:t>™</w:t>
      </w:r>
      <w:r w:rsidRPr="0038535C">
        <w:rPr>
          <w:b/>
          <w:u w:val="single"/>
        </w:rPr>
        <w:t xml:space="preserve"> Study </w:t>
      </w:r>
      <w:r w:rsidR="00F314AE" w:rsidRPr="0038535C">
        <w:rPr>
          <w:b/>
          <w:u w:val="single"/>
        </w:rPr>
        <w:t>(Pre-Launch)</w:t>
      </w:r>
    </w:p>
    <w:p w:rsidR="005B09BA" w:rsidRPr="008B59E5" w:rsidRDefault="005B09BA" w:rsidP="008B59E5">
      <w:pPr>
        <w:spacing w:after="0" w:line="240" w:lineRule="auto"/>
      </w:pPr>
      <w:r w:rsidRPr="008B59E5">
        <w:t xml:space="preserve">The </w:t>
      </w:r>
      <w:r w:rsidRPr="008B59E5">
        <w:rPr>
          <w:rFonts w:cs="Tahoma"/>
          <w:i/>
          <w:iCs/>
          <w:color w:val="000000"/>
        </w:rPr>
        <w:t>Gallup Panel™</w:t>
      </w:r>
      <w:r w:rsidRPr="008B59E5">
        <w:rPr>
          <w:rFonts w:cs="Tahoma"/>
          <w:color w:val="000000"/>
        </w:rPr>
        <w:t xml:space="preserve"> </w:t>
      </w:r>
      <w:r w:rsidRPr="008B59E5">
        <w:t xml:space="preserve">is </w:t>
      </w:r>
      <w:r>
        <w:rPr>
          <w:rFonts w:cs="Tahoma"/>
          <w:color w:val="000000"/>
        </w:rPr>
        <w:t>a</w:t>
      </w:r>
      <w:r w:rsidRPr="008B59E5">
        <w:rPr>
          <w:rFonts w:cs="Tahoma"/>
          <w:color w:val="000000"/>
        </w:rPr>
        <w:t xml:space="preserve"> national probability panel of the </w:t>
      </w:r>
      <w:smartTag w:uri="urn:schemas-microsoft-com:office:smarttags" w:element="place">
        <w:smartTag w:uri="urn:schemas-microsoft-com:office:smarttags" w:element="country-region">
          <w:r w:rsidRPr="008B59E5">
            <w:rPr>
              <w:rFonts w:cs="Tahoma"/>
              <w:color w:val="000000"/>
            </w:rPr>
            <w:t>U.S.</w:t>
          </w:r>
        </w:smartTag>
      </w:smartTag>
      <w:r w:rsidRPr="008B59E5">
        <w:rPr>
          <w:rFonts w:cs="Tahoma"/>
          <w:color w:val="000000"/>
        </w:rPr>
        <w:t xml:space="preserve"> population</w:t>
      </w:r>
      <w:r>
        <w:rPr>
          <w:rFonts w:cs="Tahoma"/>
          <w:color w:val="000000"/>
        </w:rPr>
        <w:t xml:space="preserve"> composed of more than</w:t>
      </w:r>
      <w:r w:rsidRPr="008B59E5">
        <w:rPr>
          <w:rFonts w:cs="Tahoma"/>
          <w:color w:val="000000"/>
        </w:rPr>
        <w:t xml:space="preserve"> 50,000 households and 70,000 individuals. We propose using the </w:t>
      </w:r>
      <w:r>
        <w:rPr>
          <w:rFonts w:cs="Tahoma"/>
          <w:color w:val="000000"/>
        </w:rPr>
        <w:t xml:space="preserve">Gallup </w:t>
      </w:r>
      <w:r w:rsidRPr="008B59E5">
        <w:rPr>
          <w:rFonts w:cs="Tahoma"/>
          <w:color w:val="000000"/>
        </w:rPr>
        <w:t xml:space="preserve">Panel to </w:t>
      </w:r>
      <w:r w:rsidRPr="008B59E5">
        <w:rPr>
          <w:b/>
        </w:rPr>
        <w:t>assess awareness of the Campaign and effectiveness of Campaign messages and materials.</w:t>
      </w:r>
      <w:r>
        <w:rPr>
          <w:b/>
        </w:rPr>
        <w:t xml:space="preserve"> </w:t>
      </w:r>
      <w:r w:rsidR="00162879" w:rsidRPr="00162879">
        <w:t>The Gallup Panel is an existing mechanism easily accessed by Gallup and require</w:t>
      </w:r>
      <w:r w:rsidR="00162879">
        <w:t>s minimum effort for recruitment, incentive</w:t>
      </w:r>
      <w:r w:rsidR="0038535C">
        <w:t>s, and other typically resource-heavy activities</w:t>
      </w:r>
      <w:r w:rsidR="00162879">
        <w:t xml:space="preserve">.  </w:t>
      </w:r>
      <w:r w:rsidRPr="003C3BAF">
        <w:t>This study will have both longitudinal and</w:t>
      </w:r>
      <w:r>
        <w:rPr>
          <w:b/>
        </w:rPr>
        <w:t xml:space="preserve"> </w:t>
      </w:r>
      <w:r>
        <w:t>cross-sectional aspects.</w:t>
      </w:r>
    </w:p>
    <w:p w:rsidR="005B09BA" w:rsidRDefault="005B09BA" w:rsidP="008B59E5">
      <w:pPr>
        <w:spacing w:after="0" w:line="240" w:lineRule="auto"/>
      </w:pPr>
    </w:p>
    <w:p w:rsidR="00B12BF5" w:rsidRPr="003C3BAF" w:rsidRDefault="0038535C" w:rsidP="00B12BF5">
      <w:pPr>
        <w:spacing w:after="0" w:line="240" w:lineRule="auto"/>
        <w:rPr>
          <w:b/>
        </w:rPr>
      </w:pPr>
      <w:r>
        <w:rPr>
          <w:b/>
        </w:rPr>
        <w:t>Quantitative Pre-l</w:t>
      </w:r>
      <w:r w:rsidR="00216233">
        <w:rPr>
          <w:b/>
        </w:rPr>
        <w:t>aunch Pre-test</w:t>
      </w:r>
    </w:p>
    <w:p w:rsidR="00B12BF5" w:rsidRDefault="00216233" w:rsidP="00B12BF5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Recruit a small sample of panel members (e.g., n=250) to provide feedback on finalized </w:t>
      </w:r>
      <w:r w:rsidR="00B7745C">
        <w:t>C</w:t>
      </w:r>
      <w:r>
        <w:t>ampaign material prior to the national launch. Respondents will be ask</w:t>
      </w:r>
      <w:r w:rsidR="00D173AC">
        <w:t>ed</w:t>
      </w:r>
      <w:r w:rsidR="00B7745C">
        <w:t xml:space="preserve"> to review specific C</w:t>
      </w:r>
      <w:r>
        <w:t>ampaign materials and provide reactions to content, layout</w:t>
      </w:r>
      <w:r w:rsidR="0038535C">
        <w:t>,</w:t>
      </w:r>
      <w:r>
        <w:t xml:space="preserve"> and delivery</w:t>
      </w:r>
      <w:r w:rsidR="0038535C">
        <w:t>.</w:t>
      </w:r>
    </w:p>
    <w:p w:rsidR="00067B5E" w:rsidRPr="008B59E5" w:rsidRDefault="00067B5E" w:rsidP="008B59E5">
      <w:pPr>
        <w:spacing w:after="0" w:line="240" w:lineRule="auto"/>
      </w:pPr>
    </w:p>
    <w:p w:rsidR="005B09BA" w:rsidRPr="003C3BAF" w:rsidRDefault="00067B5E" w:rsidP="00070D5F">
      <w:pPr>
        <w:spacing w:after="0" w:line="240" w:lineRule="auto"/>
        <w:rPr>
          <w:b/>
        </w:rPr>
      </w:pPr>
      <w:r>
        <w:rPr>
          <w:b/>
        </w:rPr>
        <w:t xml:space="preserve">Forced Exposure </w:t>
      </w:r>
      <w:r w:rsidR="005B09BA" w:rsidRPr="003C3BAF">
        <w:rPr>
          <w:b/>
        </w:rPr>
        <w:t>Longitudinal</w:t>
      </w:r>
      <w:r w:rsidR="005B09BA">
        <w:rPr>
          <w:b/>
        </w:rPr>
        <w:t xml:space="preserve"> </w:t>
      </w:r>
      <w:r w:rsidR="005B09BA" w:rsidRPr="008B59E5">
        <w:t>(Group A)</w:t>
      </w:r>
    </w:p>
    <w:p w:rsidR="005B09BA" w:rsidRDefault="005B09BA" w:rsidP="00FC553F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Recruit large </w:t>
      </w:r>
      <w:r w:rsidRPr="008B59E5">
        <w:t xml:space="preserve">sample </w:t>
      </w:r>
      <w:r>
        <w:t xml:space="preserve">(e.g., n=2,500) of Gallup Panel parents of children ages 9 to 15. </w:t>
      </w:r>
      <w:r w:rsidR="0073573B">
        <w:t>This sample will be split in half to determine those who will receive the campaign materials (“</w:t>
      </w:r>
      <w:r w:rsidR="0073573B" w:rsidRPr="0039651A">
        <w:rPr>
          <w:b/>
        </w:rPr>
        <w:t>stimuli group</w:t>
      </w:r>
      <w:r w:rsidR="0073573B">
        <w:rPr>
          <w:b/>
        </w:rPr>
        <w:t>”</w:t>
      </w:r>
      <w:r w:rsidR="0073573B">
        <w:t>) and a representative “</w:t>
      </w:r>
      <w:r w:rsidR="0073573B" w:rsidRPr="0039651A">
        <w:rPr>
          <w:b/>
        </w:rPr>
        <w:t>control group</w:t>
      </w:r>
      <w:r w:rsidR="0073573B">
        <w:rPr>
          <w:b/>
        </w:rPr>
        <w:t>”</w:t>
      </w:r>
      <w:r w:rsidR="0073573B">
        <w:t xml:space="preserve"> who will not get the campaign materials.</w:t>
      </w:r>
    </w:p>
    <w:p w:rsidR="005B09BA" w:rsidRDefault="005B09BA" w:rsidP="00FC553F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Administer a </w:t>
      </w:r>
      <w:r w:rsidRPr="00FC553F">
        <w:rPr>
          <w:b/>
        </w:rPr>
        <w:t>Web survey</w:t>
      </w:r>
      <w:r>
        <w:t xml:space="preserve"> to e</w:t>
      </w:r>
      <w:r w:rsidRPr="008B59E5">
        <w:t xml:space="preserve">stablish </w:t>
      </w:r>
      <w:r>
        <w:t xml:space="preserve">a </w:t>
      </w:r>
      <w:r w:rsidRPr="008B59E5">
        <w:t xml:space="preserve">baseline </w:t>
      </w:r>
      <w:r>
        <w:t>of familiarity with the Campaign and its messages, and their current knowledge, attitudes, and behaviors related to underage drinking.</w:t>
      </w:r>
    </w:p>
    <w:p w:rsidR="005B09BA" w:rsidRDefault="005B09BA" w:rsidP="00FC553F">
      <w:pPr>
        <w:pStyle w:val="ListParagraph"/>
        <w:numPr>
          <w:ilvl w:val="0"/>
          <w:numId w:val="20"/>
        </w:numPr>
        <w:spacing w:after="0" w:line="240" w:lineRule="auto"/>
      </w:pPr>
      <w:r>
        <w:t>E</w:t>
      </w:r>
      <w:r w:rsidRPr="008B59E5">
        <w:t xml:space="preserve">xpose </w:t>
      </w:r>
      <w:r w:rsidR="00B7745C">
        <w:t>the parents</w:t>
      </w:r>
      <w:r w:rsidR="0073573B">
        <w:t xml:space="preserve"> in the </w:t>
      </w:r>
      <w:r w:rsidR="00706AA5">
        <w:t>“</w:t>
      </w:r>
      <w:r w:rsidR="0073573B" w:rsidRPr="0039651A">
        <w:rPr>
          <w:b/>
        </w:rPr>
        <w:t xml:space="preserve">stimuli </w:t>
      </w:r>
      <w:r w:rsidR="00706AA5" w:rsidRPr="0039651A">
        <w:rPr>
          <w:b/>
        </w:rPr>
        <w:t>group</w:t>
      </w:r>
      <w:r w:rsidR="00706AA5">
        <w:rPr>
          <w:b/>
        </w:rPr>
        <w:t>”</w:t>
      </w:r>
      <w:r>
        <w:t xml:space="preserve"> </w:t>
      </w:r>
      <w:r w:rsidRPr="008B59E5">
        <w:t xml:space="preserve">to </w:t>
      </w:r>
      <w:r>
        <w:t xml:space="preserve">selected Campaign </w:t>
      </w:r>
      <w:r w:rsidRPr="008B59E5">
        <w:t>materials</w:t>
      </w:r>
      <w:r>
        <w:t xml:space="preserve"> (e.g., PSAs</w:t>
      </w:r>
      <w:r w:rsidR="0038535C">
        <w:t>, materials, etc.</w:t>
      </w:r>
      <w:r>
        <w:t xml:space="preserve">). </w:t>
      </w:r>
    </w:p>
    <w:p w:rsidR="005B09BA" w:rsidRDefault="005B09BA" w:rsidP="00FC553F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Conduct an </w:t>
      </w:r>
      <w:r w:rsidRPr="008B59E5">
        <w:t xml:space="preserve">immediate post-test </w:t>
      </w:r>
      <w:r>
        <w:t>to see if their knowledge, attitudes, and intended behaviors changed after this exposure.</w:t>
      </w:r>
    </w:p>
    <w:p w:rsidR="005B09BA" w:rsidRDefault="005B09BA" w:rsidP="00070D5F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Mail the materials they saw in the </w:t>
      </w:r>
      <w:r w:rsidR="0031015F">
        <w:t>testing</w:t>
      </w:r>
      <w:r>
        <w:t xml:space="preserve"> and other </w:t>
      </w:r>
      <w:r w:rsidR="0038535C">
        <w:t xml:space="preserve">Campaign </w:t>
      </w:r>
      <w:r>
        <w:t>materials for use at home.</w:t>
      </w:r>
    </w:p>
    <w:p w:rsidR="005B09BA" w:rsidRDefault="005B09BA" w:rsidP="001572B7">
      <w:pPr>
        <w:pStyle w:val="ListParagraph"/>
        <w:numPr>
          <w:ilvl w:val="0"/>
          <w:numId w:val="20"/>
        </w:numPr>
        <w:spacing w:after="0" w:line="240" w:lineRule="auto"/>
      </w:pPr>
      <w:r w:rsidRPr="00FC553F">
        <w:rPr>
          <w:b/>
        </w:rPr>
        <w:t>Re</w:t>
      </w:r>
      <w:r w:rsidR="00B7745C">
        <w:rPr>
          <w:b/>
        </w:rPr>
        <w:t>-</w:t>
      </w:r>
      <w:r w:rsidRPr="00FC553F">
        <w:rPr>
          <w:b/>
        </w:rPr>
        <w:t>contact</w:t>
      </w:r>
      <w:r>
        <w:t xml:space="preserve"> </w:t>
      </w:r>
      <w:r w:rsidR="0039244A">
        <w:t xml:space="preserve">survey participants </w:t>
      </w:r>
      <w:r w:rsidR="0073573B">
        <w:t xml:space="preserve">from both the stimuli and control groups </w:t>
      </w:r>
      <w:r>
        <w:t xml:space="preserve">without notice at </w:t>
      </w:r>
      <w:r w:rsidR="0073573B">
        <w:t xml:space="preserve">the 3-month </w:t>
      </w:r>
      <w:r w:rsidR="00F314AE">
        <w:t xml:space="preserve">(or less) </w:t>
      </w:r>
      <w:r w:rsidR="0073573B">
        <w:t xml:space="preserve">interval after initial exposure </w:t>
      </w:r>
      <w:r>
        <w:t>to assess how their knowledge, attitudes, and behaviors changed over time</w:t>
      </w:r>
      <w:r w:rsidR="00706AA5">
        <w:t>.</w:t>
      </w:r>
      <w:r>
        <w:t xml:space="preserve"> </w:t>
      </w:r>
    </w:p>
    <w:p w:rsidR="005B09BA" w:rsidRDefault="005B09BA" w:rsidP="00FC553F">
      <w:pPr>
        <w:pStyle w:val="ListParagraph"/>
        <w:spacing w:after="0" w:line="240" w:lineRule="auto"/>
      </w:pPr>
    </w:p>
    <w:p w:rsidR="003071C4" w:rsidRDefault="003071C4" w:rsidP="001572B7">
      <w:pPr>
        <w:spacing w:after="0" w:line="240" w:lineRule="auto"/>
        <w:rPr>
          <w:b/>
          <w:u w:val="single"/>
        </w:rPr>
      </w:pPr>
      <w:r w:rsidRPr="003071C4">
        <w:rPr>
          <w:b/>
          <w:u w:val="single"/>
        </w:rPr>
        <w:t>Pilot Site Study</w:t>
      </w:r>
      <w:r w:rsidR="005B3074">
        <w:rPr>
          <w:b/>
          <w:u w:val="single"/>
        </w:rPr>
        <w:t xml:space="preserve"> (Pre-l</w:t>
      </w:r>
      <w:r w:rsidR="00F314AE">
        <w:rPr>
          <w:b/>
          <w:u w:val="single"/>
        </w:rPr>
        <w:t>aunch)</w:t>
      </w:r>
    </w:p>
    <w:p w:rsidR="003071C4" w:rsidRDefault="003071C4" w:rsidP="001572B7">
      <w:pPr>
        <w:spacing w:after="0" w:line="240" w:lineRule="auto"/>
      </w:pPr>
      <w:r w:rsidRPr="008B59E5">
        <w:rPr>
          <w:rFonts w:cs="Tahoma"/>
          <w:color w:val="000000"/>
        </w:rPr>
        <w:t xml:space="preserve">We propose </w:t>
      </w:r>
      <w:r>
        <w:rPr>
          <w:rFonts w:cs="Tahoma"/>
          <w:color w:val="000000"/>
        </w:rPr>
        <w:t xml:space="preserve">also </w:t>
      </w:r>
      <w:r w:rsidRPr="008B59E5">
        <w:rPr>
          <w:rFonts w:cs="Tahoma"/>
          <w:color w:val="000000"/>
        </w:rPr>
        <w:t xml:space="preserve">using the </w:t>
      </w:r>
      <w:r>
        <w:rPr>
          <w:rFonts w:cs="Tahoma"/>
          <w:color w:val="000000"/>
        </w:rPr>
        <w:t>pilot sites</w:t>
      </w:r>
      <w:r w:rsidRPr="008B59E5">
        <w:rPr>
          <w:rFonts w:cs="Tahoma"/>
          <w:color w:val="000000"/>
        </w:rPr>
        <w:t xml:space="preserve"> to </w:t>
      </w:r>
      <w:r w:rsidRPr="008B59E5">
        <w:rPr>
          <w:b/>
        </w:rPr>
        <w:t>assess awareness of the Campaign and effectiveness of Campaign messages and materials.</w:t>
      </w:r>
      <w:r>
        <w:rPr>
          <w:b/>
        </w:rPr>
        <w:t xml:space="preserve"> </w:t>
      </w:r>
      <w:r>
        <w:t xml:space="preserve">Each of the five pilot sites (one for every National Prevention Network region) </w:t>
      </w:r>
      <w:r w:rsidR="0038535C">
        <w:t>is</w:t>
      </w:r>
      <w:r>
        <w:t xml:space="preserve"> required to host an event as part of their pilot work, where Campaign information and materials will be distributed. </w:t>
      </w:r>
      <w:r w:rsidR="00F314AE">
        <w:t xml:space="preserve">We will capitalize on this natural opportunity to interview participants by traveling to each site </w:t>
      </w:r>
      <w:r w:rsidR="004C43FB">
        <w:t>to test</w:t>
      </w:r>
      <w:r w:rsidR="00F314AE">
        <w:t xml:space="preserve"> the </w:t>
      </w:r>
      <w:r w:rsidR="004C43FB">
        <w:t xml:space="preserve">effectiveness of the </w:t>
      </w:r>
      <w:r>
        <w:t xml:space="preserve">Campaign materials </w:t>
      </w:r>
      <w:r w:rsidR="00F314AE">
        <w:t xml:space="preserve">distributed </w:t>
      </w:r>
      <w:r w:rsidR="004C43FB">
        <w:t xml:space="preserve">as well as </w:t>
      </w:r>
      <w:r w:rsidR="00546457">
        <w:t xml:space="preserve">finding out </w:t>
      </w:r>
      <w:r w:rsidR="004C43FB">
        <w:t>their reactions on</w:t>
      </w:r>
      <w:r>
        <w:t xml:space="preserve"> the topic of underage drinking, overall.  </w:t>
      </w:r>
    </w:p>
    <w:p w:rsidR="003071C4" w:rsidRPr="003071C4" w:rsidRDefault="003071C4" w:rsidP="001572B7">
      <w:pPr>
        <w:spacing w:after="0" w:line="240" w:lineRule="auto"/>
        <w:rPr>
          <w:u w:val="single"/>
        </w:rPr>
      </w:pPr>
    </w:p>
    <w:p w:rsidR="005B09BA" w:rsidRPr="003C3BAF" w:rsidRDefault="00525051" w:rsidP="001572B7">
      <w:pPr>
        <w:spacing w:after="0" w:line="240" w:lineRule="auto"/>
        <w:rPr>
          <w:b/>
        </w:rPr>
      </w:pPr>
      <w:r>
        <w:rPr>
          <w:b/>
        </w:rPr>
        <w:t>Natural Exposure/Event Evaluation</w:t>
      </w:r>
    </w:p>
    <w:p w:rsidR="005B09BA" w:rsidRPr="00525051" w:rsidRDefault="00525051" w:rsidP="008B59E5">
      <w:pPr>
        <w:pStyle w:val="ListParagraph"/>
        <w:numPr>
          <w:ilvl w:val="0"/>
          <w:numId w:val="21"/>
        </w:numPr>
        <w:spacing w:after="0" w:line="240" w:lineRule="auto"/>
        <w:rPr>
          <w:u w:val="single"/>
        </w:rPr>
      </w:pPr>
      <w:r>
        <w:t xml:space="preserve">Administer pencil and paper survey of parents attending pilot site (n=500) and partnership events throughout the </w:t>
      </w:r>
      <w:r w:rsidR="0039244A">
        <w:t>C</w:t>
      </w:r>
      <w:r>
        <w:t xml:space="preserve">ampaign. </w:t>
      </w:r>
    </w:p>
    <w:p w:rsidR="00525051" w:rsidRPr="00525051" w:rsidRDefault="00525051" w:rsidP="00525051">
      <w:pPr>
        <w:pStyle w:val="ListParagraph"/>
        <w:numPr>
          <w:ilvl w:val="0"/>
          <w:numId w:val="21"/>
        </w:numPr>
        <w:spacing w:after="0" w:line="240" w:lineRule="auto"/>
        <w:rPr>
          <w:u w:val="single"/>
        </w:rPr>
      </w:pPr>
      <w:r>
        <w:lastRenderedPageBreak/>
        <w:t>Respondents will be ask</w:t>
      </w:r>
      <w:r w:rsidR="0039244A">
        <w:t>ed</w:t>
      </w:r>
      <w:r w:rsidR="0038535C">
        <w:t xml:space="preserve"> to </w:t>
      </w:r>
      <w:r w:rsidR="004C43FB">
        <w:t>assess</w:t>
      </w:r>
      <w:r w:rsidR="0038535C">
        <w:t xml:space="preserve"> the event and the </w:t>
      </w:r>
      <w:r w:rsidR="0039244A">
        <w:t>C</w:t>
      </w:r>
      <w:r>
        <w:t>ampaign materials</w:t>
      </w:r>
      <w:r w:rsidR="0038535C">
        <w:t>,</w:t>
      </w:r>
      <w:r>
        <w:t xml:space="preserve"> and provide information on current knowledge, attitudes</w:t>
      </w:r>
      <w:r w:rsidR="0038535C">
        <w:t>,</w:t>
      </w:r>
      <w:r>
        <w:t xml:space="preserve"> and behaviors related to underage drinking. </w:t>
      </w:r>
    </w:p>
    <w:p w:rsidR="00525051" w:rsidRPr="00525051" w:rsidRDefault="0038535C" w:rsidP="00525051">
      <w:pPr>
        <w:pStyle w:val="ListParagraph"/>
        <w:numPr>
          <w:ilvl w:val="0"/>
          <w:numId w:val="21"/>
        </w:numPr>
        <w:spacing w:after="0" w:line="240" w:lineRule="auto"/>
        <w:rPr>
          <w:u w:val="single"/>
        </w:rPr>
      </w:pPr>
      <w:r>
        <w:t>Three</w:t>
      </w:r>
      <w:r w:rsidR="00525051">
        <w:t>-month</w:t>
      </w:r>
      <w:r w:rsidR="00F314AE">
        <w:t xml:space="preserve"> (or less) </w:t>
      </w:r>
      <w:r w:rsidR="00525051">
        <w:t>fol</w:t>
      </w:r>
      <w:r w:rsidR="00F314AE">
        <w:t>low-</w:t>
      </w:r>
      <w:r w:rsidR="001E473E">
        <w:t xml:space="preserve">up </w:t>
      </w:r>
      <w:r w:rsidR="00525051">
        <w:t xml:space="preserve">with respondents via a </w:t>
      </w:r>
      <w:r>
        <w:t>W</w:t>
      </w:r>
      <w:r w:rsidR="00525051">
        <w:t>eb survey to measure change in awareness, knowledge, attitude and behavior.</w:t>
      </w:r>
    </w:p>
    <w:p w:rsidR="00745274" w:rsidRPr="00525051" w:rsidRDefault="00745274" w:rsidP="00745274">
      <w:pPr>
        <w:pStyle w:val="ListParagraph"/>
        <w:spacing w:after="0" w:line="240" w:lineRule="auto"/>
      </w:pPr>
    </w:p>
    <w:p w:rsidR="005B09BA" w:rsidRPr="00B0229F" w:rsidRDefault="005B09BA" w:rsidP="00457C15">
      <w:pPr>
        <w:spacing w:after="0" w:line="240" w:lineRule="auto"/>
        <w:rPr>
          <w:b/>
          <w:u w:val="single"/>
        </w:rPr>
      </w:pPr>
      <w:r w:rsidRPr="00F31DCD">
        <w:rPr>
          <w:b/>
          <w:u w:val="single"/>
        </w:rPr>
        <w:t>Existing Survey Data</w:t>
      </w:r>
      <w:r w:rsidR="00F314AE">
        <w:rPr>
          <w:b/>
          <w:u w:val="single"/>
        </w:rPr>
        <w:t xml:space="preserve"> (</w:t>
      </w:r>
      <w:r w:rsidR="005B3074">
        <w:rPr>
          <w:b/>
          <w:u w:val="single"/>
        </w:rPr>
        <w:t>Post-l</w:t>
      </w:r>
      <w:r w:rsidR="00F314AE">
        <w:rPr>
          <w:b/>
          <w:u w:val="single"/>
        </w:rPr>
        <w:t>aunch and Ongoing)</w:t>
      </w:r>
    </w:p>
    <w:p w:rsidR="005B09BA" w:rsidRDefault="005B09BA" w:rsidP="00457C15">
      <w:pPr>
        <w:spacing w:after="0" w:line="240" w:lineRule="auto"/>
      </w:pPr>
      <w:r>
        <w:t xml:space="preserve">We will </w:t>
      </w:r>
      <w:r w:rsidR="004C43FB">
        <w:t>track</w:t>
      </w:r>
      <w:r>
        <w:t xml:space="preserve"> the findings of existing national surveys that include questions relevant to underage drinking, parenting, or both to keep informed of relevant trends to which the Campaign may be contributing. </w:t>
      </w:r>
      <w:r w:rsidR="001E473E">
        <w:t xml:space="preserve"> </w:t>
      </w:r>
      <w:r>
        <w:t>Surveys that may have relevant questions include the following:</w:t>
      </w:r>
    </w:p>
    <w:p w:rsidR="005B09BA" w:rsidRDefault="005B09BA" w:rsidP="00457C15">
      <w:pPr>
        <w:pStyle w:val="ListParagraph"/>
        <w:numPr>
          <w:ilvl w:val="0"/>
          <w:numId w:val="1"/>
        </w:numPr>
        <w:spacing w:after="0" w:line="240" w:lineRule="auto"/>
      </w:pPr>
      <w:r>
        <w:t>Behavioral Risk Factor Surveillance System</w:t>
      </w:r>
    </w:p>
    <w:p w:rsidR="005B09BA" w:rsidRDefault="005B09BA" w:rsidP="00457C15">
      <w:pPr>
        <w:pStyle w:val="ListParagraph"/>
        <w:numPr>
          <w:ilvl w:val="0"/>
          <w:numId w:val="1"/>
        </w:numPr>
        <w:spacing w:after="0" w:line="240" w:lineRule="auto"/>
      </w:pPr>
      <w:r>
        <w:t>Monitoring the Future</w:t>
      </w:r>
    </w:p>
    <w:p w:rsidR="005B09BA" w:rsidRDefault="005B09BA" w:rsidP="00457C15">
      <w:pPr>
        <w:pStyle w:val="ListParagraph"/>
        <w:numPr>
          <w:ilvl w:val="0"/>
          <w:numId w:val="1"/>
        </w:numPr>
        <w:spacing w:after="0" w:line="240" w:lineRule="auto"/>
      </w:pPr>
      <w:r>
        <w:t>National Longitudinal Study of Adolescent Health</w:t>
      </w:r>
    </w:p>
    <w:p w:rsidR="005B09BA" w:rsidRDefault="005B09BA" w:rsidP="00B410DA">
      <w:pPr>
        <w:pStyle w:val="ListParagraph"/>
        <w:numPr>
          <w:ilvl w:val="0"/>
          <w:numId w:val="1"/>
        </w:numPr>
        <w:spacing w:after="0" w:line="240" w:lineRule="auto"/>
      </w:pPr>
      <w:r w:rsidRPr="00D82167">
        <w:t>National Survey on Drug Use and Health</w:t>
      </w:r>
    </w:p>
    <w:p w:rsidR="005B09BA" w:rsidRDefault="005B09BA" w:rsidP="00457C15">
      <w:pPr>
        <w:pStyle w:val="ListParagraph"/>
        <w:numPr>
          <w:ilvl w:val="0"/>
          <w:numId w:val="1"/>
        </w:numPr>
        <w:spacing w:after="0" w:line="240" w:lineRule="auto"/>
      </w:pPr>
      <w:r>
        <w:t>Partnership Attitude Tracking Study</w:t>
      </w:r>
    </w:p>
    <w:p w:rsidR="005B09BA" w:rsidRDefault="005B09BA" w:rsidP="00E07905">
      <w:pPr>
        <w:pStyle w:val="ListParagraph"/>
        <w:numPr>
          <w:ilvl w:val="0"/>
          <w:numId w:val="1"/>
        </w:numPr>
        <w:spacing w:after="0" w:line="240" w:lineRule="auto"/>
      </w:pPr>
      <w:r>
        <w:t>Youth Risk Behavior Survey</w:t>
      </w:r>
    </w:p>
    <w:p w:rsidR="00F314AE" w:rsidRDefault="00F314AE" w:rsidP="00833B84">
      <w:pPr>
        <w:spacing w:after="0" w:line="240" w:lineRule="auto"/>
        <w:rPr>
          <w:b/>
          <w:u w:val="single"/>
        </w:rPr>
      </w:pPr>
    </w:p>
    <w:p w:rsidR="005B09BA" w:rsidRPr="002E31AF" w:rsidRDefault="005B09BA" w:rsidP="00833B84">
      <w:pPr>
        <w:spacing w:after="0" w:line="240" w:lineRule="auto"/>
        <w:rPr>
          <w:b/>
          <w:u w:val="single"/>
        </w:rPr>
      </w:pPr>
      <w:r w:rsidRPr="002E31AF">
        <w:rPr>
          <w:b/>
          <w:u w:val="single"/>
        </w:rPr>
        <w:t>Timeline</w:t>
      </w:r>
    </w:p>
    <w:p w:rsidR="005B09BA" w:rsidRDefault="00F314AE" w:rsidP="00833B84">
      <w:pPr>
        <w:spacing w:after="0" w:line="240" w:lineRule="auto"/>
      </w:pPr>
      <w:r>
        <w:t xml:space="preserve">The pre-launch activities will begin </w:t>
      </w:r>
      <w:r w:rsidR="004C43FB">
        <w:t>May</w:t>
      </w:r>
      <w:r>
        <w:t xml:space="preserve"> 2012 and continue through September 2012.  The post-launch activities will begin the fall of 2012 after the Campaign has been launched and will run throughout the duration of the Campaign </w:t>
      </w:r>
      <w:r w:rsidR="0038535C">
        <w:t xml:space="preserve">pending future funding of our contract by SAMHSA on this project. </w:t>
      </w:r>
    </w:p>
    <w:p w:rsidR="005B09BA" w:rsidRDefault="005B09BA" w:rsidP="00833B84">
      <w:pPr>
        <w:spacing w:after="0" w:line="240" w:lineRule="auto"/>
      </w:pPr>
    </w:p>
    <w:sectPr w:rsidR="005B09BA" w:rsidSect="009F590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D3" w:rsidRDefault="001750D3" w:rsidP="00BF5C0E">
      <w:pPr>
        <w:spacing w:after="0" w:line="240" w:lineRule="auto"/>
      </w:pPr>
      <w:r>
        <w:separator/>
      </w:r>
    </w:p>
  </w:endnote>
  <w:endnote w:type="continuationSeparator" w:id="0">
    <w:p w:rsidR="001750D3" w:rsidRDefault="001750D3" w:rsidP="00BF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4" w:rsidRDefault="00A55B82">
    <w:pPr>
      <w:pStyle w:val="Footer"/>
      <w:jc w:val="right"/>
    </w:pPr>
    <w:r>
      <w:fldChar w:fldCharType="begin"/>
    </w:r>
    <w:r w:rsidR="003071C4">
      <w:instrText xml:space="preserve"> PAGE   \* MERGEFORMAT </w:instrText>
    </w:r>
    <w:r>
      <w:fldChar w:fldCharType="separate"/>
    </w:r>
    <w:r w:rsidR="00BD16C4">
      <w:rPr>
        <w:noProof/>
      </w:rPr>
      <w:t>2</w:t>
    </w:r>
    <w:r>
      <w:rPr>
        <w:noProof/>
      </w:rPr>
      <w:fldChar w:fldCharType="end"/>
    </w:r>
  </w:p>
  <w:p w:rsidR="003071C4" w:rsidRDefault="00307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D3" w:rsidRDefault="001750D3" w:rsidP="00BF5C0E">
      <w:pPr>
        <w:spacing w:after="0" w:line="240" w:lineRule="auto"/>
      </w:pPr>
      <w:r>
        <w:separator/>
      </w:r>
    </w:p>
  </w:footnote>
  <w:footnote w:type="continuationSeparator" w:id="0">
    <w:p w:rsidR="001750D3" w:rsidRDefault="001750D3" w:rsidP="00BF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4" w:rsidRDefault="003071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4" w:rsidRDefault="003071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4" w:rsidRDefault="003071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B76"/>
    <w:multiLevelType w:val="hybridMultilevel"/>
    <w:tmpl w:val="4886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F0E"/>
    <w:multiLevelType w:val="hybridMultilevel"/>
    <w:tmpl w:val="ECF8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131D"/>
    <w:multiLevelType w:val="hybridMultilevel"/>
    <w:tmpl w:val="D00E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1B9A"/>
    <w:multiLevelType w:val="hybridMultilevel"/>
    <w:tmpl w:val="41BA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54B4A"/>
    <w:multiLevelType w:val="hybridMultilevel"/>
    <w:tmpl w:val="02EA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7088"/>
    <w:multiLevelType w:val="hybridMultilevel"/>
    <w:tmpl w:val="BD12D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C05E7"/>
    <w:multiLevelType w:val="hybridMultilevel"/>
    <w:tmpl w:val="3106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C57CC"/>
    <w:multiLevelType w:val="hybridMultilevel"/>
    <w:tmpl w:val="F432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54A2"/>
    <w:multiLevelType w:val="hybridMultilevel"/>
    <w:tmpl w:val="2F76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5E70"/>
    <w:multiLevelType w:val="hybridMultilevel"/>
    <w:tmpl w:val="73AC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12752"/>
    <w:multiLevelType w:val="hybridMultilevel"/>
    <w:tmpl w:val="6326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1446A"/>
    <w:multiLevelType w:val="hybridMultilevel"/>
    <w:tmpl w:val="9B84A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60E74"/>
    <w:multiLevelType w:val="hybridMultilevel"/>
    <w:tmpl w:val="76BC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50D81"/>
    <w:multiLevelType w:val="hybridMultilevel"/>
    <w:tmpl w:val="9742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DB5DFC"/>
    <w:multiLevelType w:val="hybridMultilevel"/>
    <w:tmpl w:val="C95ED2A0"/>
    <w:lvl w:ilvl="0" w:tplc="886AE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F08E6"/>
    <w:multiLevelType w:val="hybridMultilevel"/>
    <w:tmpl w:val="1394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05F16"/>
    <w:multiLevelType w:val="hybridMultilevel"/>
    <w:tmpl w:val="3546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96139"/>
    <w:multiLevelType w:val="hybridMultilevel"/>
    <w:tmpl w:val="371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C7E76"/>
    <w:multiLevelType w:val="hybridMultilevel"/>
    <w:tmpl w:val="8B18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E6F4E"/>
    <w:multiLevelType w:val="hybridMultilevel"/>
    <w:tmpl w:val="A0B2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54873"/>
    <w:multiLevelType w:val="hybridMultilevel"/>
    <w:tmpl w:val="3BE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02C5C"/>
    <w:multiLevelType w:val="hybridMultilevel"/>
    <w:tmpl w:val="F6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1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  <w:num w:numId="16">
    <w:abstractNumId w:val="3"/>
  </w:num>
  <w:num w:numId="17">
    <w:abstractNumId w:val="17"/>
  </w:num>
  <w:num w:numId="18">
    <w:abstractNumId w:val="11"/>
  </w:num>
  <w:num w:numId="19">
    <w:abstractNumId w:val="15"/>
  </w:num>
  <w:num w:numId="20">
    <w:abstractNumId w:val="8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4E4F"/>
    <w:rsid w:val="0000147C"/>
    <w:rsid w:val="00007972"/>
    <w:rsid w:val="00056142"/>
    <w:rsid w:val="00060C96"/>
    <w:rsid w:val="00067B5E"/>
    <w:rsid w:val="00070D5F"/>
    <w:rsid w:val="0008009D"/>
    <w:rsid w:val="00090EC7"/>
    <w:rsid w:val="00092C9F"/>
    <w:rsid w:val="00095BEF"/>
    <w:rsid w:val="00096481"/>
    <w:rsid w:val="000B2B18"/>
    <w:rsid w:val="000B5322"/>
    <w:rsid w:val="000D2E3A"/>
    <w:rsid w:val="000F0F57"/>
    <w:rsid w:val="000F75B2"/>
    <w:rsid w:val="001324B4"/>
    <w:rsid w:val="00145E71"/>
    <w:rsid w:val="00154850"/>
    <w:rsid w:val="00155518"/>
    <w:rsid w:val="001572B7"/>
    <w:rsid w:val="00162879"/>
    <w:rsid w:val="001707A9"/>
    <w:rsid w:val="001750D3"/>
    <w:rsid w:val="001756DA"/>
    <w:rsid w:val="00175B8B"/>
    <w:rsid w:val="00195798"/>
    <w:rsid w:val="00195A1F"/>
    <w:rsid w:val="001B3E28"/>
    <w:rsid w:val="001B5CE8"/>
    <w:rsid w:val="001C4E08"/>
    <w:rsid w:val="001D1E9E"/>
    <w:rsid w:val="001D5FDB"/>
    <w:rsid w:val="001E473E"/>
    <w:rsid w:val="001E6872"/>
    <w:rsid w:val="00214315"/>
    <w:rsid w:val="00216233"/>
    <w:rsid w:val="00234360"/>
    <w:rsid w:val="0024171D"/>
    <w:rsid w:val="00241BF0"/>
    <w:rsid w:val="0024387B"/>
    <w:rsid w:val="00246C8D"/>
    <w:rsid w:val="00250F93"/>
    <w:rsid w:val="00254B45"/>
    <w:rsid w:val="00266F62"/>
    <w:rsid w:val="00295702"/>
    <w:rsid w:val="0029637D"/>
    <w:rsid w:val="002A765F"/>
    <w:rsid w:val="002C0E8C"/>
    <w:rsid w:val="002E1E0B"/>
    <w:rsid w:val="002E31AF"/>
    <w:rsid w:val="003071C4"/>
    <w:rsid w:val="0031015F"/>
    <w:rsid w:val="0032142C"/>
    <w:rsid w:val="00337919"/>
    <w:rsid w:val="003438DC"/>
    <w:rsid w:val="00381464"/>
    <w:rsid w:val="0038535C"/>
    <w:rsid w:val="0039244A"/>
    <w:rsid w:val="00395CDA"/>
    <w:rsid w:val="0039651A"/>
    <w:rsid w:val="003B0E27"/>
    <w:rsid w:val="003B117B"/>
    <w:rsid w:val="003B26F6"/>
    <w:rsid w:val="003B7E5E"/>
    <w:rsid w:val="003C3BAF"/>
    <w:rsid w:val="003D4DA0"/>
    <w:rsid w:val="00401E94"/>
    <w:rsid w:val="00407095"/>
    <w:rsid w:val="0044132B"/>
    <w:rsid w:val="00443904"/>
    <w:rsid w:val="004500AA"/>
    <w:rsid w:val="00457C15"/>
    <w:rsid w:val="0046024A"/>
    <w:rsid w:val="0047355E"/>
    <w:rsid w:val="00497D8D"/>
    <w:rsid w:val="004A1E2B"/>
    <w:rsid w:val="004A20CF"/>
    <w:rsid w:val="004A387D"/>
    <w:rsid w:val="004B67FC"/>
    <w:rsid w:val="004C43FB"/>
    <w:rsid w:val="004C6D08"/>
    <w:rsid w:val="004F0C75"/>
    <w:rsid w:val="005027C8"/>
    <w:rsid w:val="00503166"/>
    <w:rsid w:val="00511FD9"/>
    <w:rsid w:val="005165A6"/>
    <w:rsid w:val="00525051"/>
    <w:rsid w:val="00546457"/>
    <w:rsid w:val="00551EDF"/>
    <w:rsid w:val="00570079"/>
    <w:rsid w:val="00572306"/>
    <w:rsid w:val="00576638"/>
    <w:rsid w:val="005801F6"/>
    <w:rsid w:val="005A5933"/>
    <w:rsid w:val="005B09BA"/>
    <w:rsid w:val="005B3074"/>
    <w:rsid w:val="005C0F31"/>
    <w:rsid w:val="005E5A04"/>
    <w:rsid w:val="005F08D5"/>
    <w:rsid w:val="005F260F"/>
    <w:rsid w:val="00604ED2"/>
    <w:rsid w:val="00605AD8"/>
    <w:rsid w:val="00611BC5"/>
    <w:rsid w:val="00613185"/>
    <w:rsid w:val="006473E3"/>
    <w:rsid w:val="00655079"/>
    <w:rsid w:val="006872ED"/>
    <w:rsid w:val="006A2F60"/>
    <w:rsid w:val="006B1BAE"/>
    <w:rsid w:val="006B7497"/>
    <w:rsid w:val="006E76BD"/>
    <w:rsid w:val="006F5265"/>
    <w:rsid w:val="00706AA5"/>
    <w:rsid w:val="0071150F"/>
    <w:rsid w:val="00712CCE"/>
    <w:rsid w:val="00713C8E"/>
    <w:rsid w:val="00732D97"/>
    <w:rsid w:val="0073573B"/>
    <w:rsid w:val="00741E6F"/>
    <w:rsid w:val="00745274"/>
    <w:rsid w:val="0075187C"/>
    <w:rsid w:val="00761034"/>
    <w:rsid w:val="00780993"/>
    <w:rsid w:val="00780EBB"/>
    <w:rsid w:val="00783E5C"/>
    <w:rsid w:val="007909C0"/>
    <w:rsid w:val="00792F5E"/>
    <w:rsid w:val="007A1166"/>
    <w:rsid w:val="007B1903"/>
    <w:rsid w:val="007B673B"/>
    <w:rsid w:val="007B768D"/>
    <w:rsid w:val="007D17F7"/>
    <w:rsid w:val="007E5EDF"/>
    <w:rsid w:val="007F03CE"/>
    <w:rsid w:val="00817736"/>
    <w:rsid w:val="0083301C"/>
    <w:rsid w:val="00833B84"/>
    <w:rsid w:val="00835C12"/>
    <w:rsid w:val="00841871"/>
    <w:rsid w:val="0084674D"/>
    <w:rsid w:val="00856F00"/>
    <w:rsid w:val="008579B8"/>
    <w:rsid w:val="00866892"/>
    <w:rsid w:val="00867ECB"/>
    <w:rsid w:val="00871698"/>
    <w:rsid w:val="00871BCF"/>
    <w:rsid w:val="008738C4"/>
    <w:rsid w:val="008801E4"/>
    <w:rsid w:val="0088555F"/>
    <w:rsid w:val="008B59E5"/>
    <w:rsid w:val="008C28E9"/>
    <w:rsid w:val="008C34FA"/>
    <w:rsid w:val="008C533E"/>
    <w:rsid w:val="008D1511"/>
    <w:rsid w:val="008D446C"/>
    <w:rsid w:val="008D7D5D"/>
    <w:rsid w:val="008E225C"/>
    <w:rsid w:val="0092354B"/>
    <w:rsid w:val="00960B30"/>
    <w:rsid w:val="009633F0"/>
    <w:rsid w:val="00981852"/>
    <w:rsid w:val="009A1143"/>
    <w:rsid w:val="009A53A0"/>
    <w:rsid w:val="009A5E50"/>
    <w:rsid w:val="009B73B7"/>
    <w:rsid w:val="009E16C6"/>
    <w:rsid w:val="009F5902"/>
    <w:rsid w:val="00A11A92"/>
    <w:rsid w:val="00A15A7C"/>
    <w:rsid w:val="00A20066"/>
    <w:rsid w:val="00A37535"/>
    <w:rsid w:val="00A504CD"/>
    <w:rsid w:val="00A514B2"/>
    <w:rsid w:val="00A55B82"/>
    <w:rsid w:val="00A913D6"/>
    <w:rsid w:val="00A92B67"/>
    <w:rsid w:val="00A93732"/>
    <w:rsid w:val="00A976CD"/>
    <w:rsid w:val="00AA2938"/>
    <w:rsid w:val="00AA433F"/>
    <w:rsid w:val="00AA50FB"/>
    <w:rsid w:val="00AB47BF"/>
    <w:rsid w:val="00AC1D90"/>
    <w:rsid w:val="00AC73D9"/>
    <w:rsid w:val="00AD1255"/>
    <w:rsid w:val="00AD7FE5"/>
    <w:rsid w:val="00AE4F84"/>
    <w:rsid w:val="00AF2D51"/>
    <w:rsid w:val="00B0229F"/>
    <w:rsid w:val="00B0380D"/>
    <w:rsid w:val="00B12BF5"/>
    <w:rsid w:val="00B213AF"/>
    <w:rsid w:val="00B25504"/>
    <w:rsid w:val="00B37EAF"/>
    <w:rsid w:val="00B410DA"/>
    <w:rsid w:val="00B46FD3"/>
    <w:rsid w:val="00B5384A"/>
    <w:rsid w:val="00B53B15"/>
    <w:rsid w:val="00B635EC"/>
    <w:rsid w:val="00B7745C"/>
    <w:rsid w:val="00B9101E"/>
    <w:rsid w:val="00BA5C3D"/>
    <w:rsid w:val="00BB3AD6"/>
    <w:rsid w:val="00BD16C4"/>
    <w:rsid w:val="00BD1B13"/>
    <w:rsid w:val="00BF1C80"/>
    <w:rsid w:val="00BF5C0E"/>
    <w:rsid w:val="00BF64BD"/>
    <w:rsid w:val="00C16A9A"/>
    <w:rsid w:val="00C16FCA"/>
    <w:rsid w:val="00C25497"/>
    <w:rsid w:val="00C37AB2"/>
    <w:rsid w:val="00C523FF"/>
    <w:rsid w:val="00C56A04"/>
    <w:rsid w:val="00C74614"/>
    <w:rsid w:val="00C83957"/>
    <w:rsid w:val="00CA3B0D"/>
    <w:rsid w:val="00CB1410"/>
    <w:rsid w:val="00CB493B"/>
    <w:rsid w:val="00CC0798"/>
    <w:rsid w:val="00CC517F"/>
    <w:rsid w:val="00CD6831"/>
    <w:rsid w:val="00CE17D8"/>
    <w:rsid w:val="00CF15C0"/>
    <w:rsid w:val="00CF3F23"/>
    <w:rsid w:val="00CF4D2A"/>
    <w:rsid w:val="00D0390A"/>
    <w:rsid w:val="00D16104"/>
    <w:rsid w:val="00D173AC"/>
    <w:rsid w:val="00D32716"/>
    <w:rsid w:val="00D3319A"/>
    <w:rsid w:val="00D350AE"/>
    <w:rsid w:val="00D41993"/>
    <w:rsid w:val="00D57CC9"/>
    <w:rsid w:val="00D600E6"/>
    <w:rsid w:val="00D74FE9"/>
    <w:rsid w:val="00D82167"/>
    <w:rsid w:val="00D901C0"/>
    <w:rsid w:val="00D907F2"/>
    <w:rsid w:val="00D90E42"/>
    <w:rsid w:val="00D95A7B"/>
    <w:rsid w:val="00D97FE7"/>
    <w:rsid w:val="00DA4A4F"/>
    <w:rsid w:val="00DA4E4F"/>
    <w:rsid w:val="00DB6FBD"/>
    <w:rsid w:val="00DC1171"/>
    <w:rsid w:val="00DE51A8"/>
    <w:rsid w:val="00DF071E"/>
    <w:rsid w:val="00DF09B5"/>
    <w:rsid w:val="00DF5413"/>
    <w:rsid w:val="00E00C16"/>
    <w:rsid w:val="00E02FD6"/>
    <w:rsid w:val="00E03A52"/>
    <w:rsid w:val="00E06CF6"/>
    <w:rsid w:val="00E07905"/>
    <w:rsid w:val="00E14E68"/>
    <w:rsid w:val="00E337FA"/>
    <w:rsid w:val="00E36E0A"/>
    <w:rsid w:val="00E375B0"/>
    <w:rsid w:val="00E42AAF"/>
    <w:rsid w:val="00E43049"/>
    <w:rsid w:val="00E452FD"/>
    <w:rsid w:val="00E67B89"/>
    <w:rsid w:val="00E70617"/>
    <w:rsid w:val="00E86D58"/>
    <w:rsid w:val="00E965B0"/>
    <w:rsid w:val="00EB197D"/>
    <w:rsid w:val="00EC27B4"/>
    <w:rsid w:val="00ED1CCB"/>
    <w:rsid w:val="00ED2A52"/>
    <w:rsid w:val="00EE60CE"/>
    <w:rsid w:val="00EE7052"/>
    <w:rsid w:val="00EF01B7"/>
    <w:rsid w:val="00F10CAA"/>
    <w:rsid w:val="00F22D6A"/>
    <w:rsid w:val="00F23BEA"/>
    <w:rsid w:val="00F314AE"/>
    <w:rsid w:val="00F31DCD"/>
    <w:rsid w:val="00F510EC"/>
    <w:rsid w:val="00F64B6E"/>
    <w:rsid w:val="00F6683A"/>
    <w:rsid w:val="00F67D82"/>
    <w:rsid w:val="00F71F9D"/>
    <w:rsid w:val="00F7324F"/>
    <w:rsid w:val="00F7751A"/>
    <w:rsid w:val="00F91935"/>
    <w:rsid w:val="00F953E5"/>
    <w:rsid w:val="00F9546B"/>
    <w:rsid w:val="00FB4BD5"/>
    <w:rsid w:val="00FC553F"/>
    <w:rsid w:val="00FF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C0E"/>
    <w:rPr>
      <w:rFonts w:cs="Times New Roman"/>
    </w:rPr>
  </w:style>
  <w:style w:type="paragraph" w:customStyle="1" w:styleId="Default">
    <w:name w:val="Default"/>
    <w:uiPriority w:val="99"/>
    <w:rsid w:val="0019579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D039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B1B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1BA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1BAE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C0E"/>
    <w:rPr>
      <w:rFonts w:cs="Times New Roman"/>
    </w:rPr>
  </w:style>
  <w:style w:type="paragraph" w:customStyle="1" w:styleId="Default">
    <w:name w:val="Default"/>
    <w:uiPriority w:val="99"/>
    <w:rsid w:val="0019579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D039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B1B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1BA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1BAE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SAMHSA Underage Drinking Prevention National Media Campaign Evaluation Plan Summary</vt:lpstr>
    </vt:vector>
  </TitlesOfParts>
  <Company>Gallup, Inc.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SAMHSA Underage Drinking Prevention National Media Campaign Evaluation Plan Summary</dc:title>
  <dc:creator>JoJo &amp; Guim</dc:creator>
  <cp:lastModifiedBy>DHHS</cp:lastModifiedBy>
  <cp:revision>3</cp:revision>
  <cp:lastPrinted>2012-04-20T18:58:00Z</cp:lastPrinted>
  <dcterms:created xsi:type="dcterms:W3CDTF">2012-04-20T18:58:00Z</dcterms:created>
  <dcterms:modified xsi:type="dcterms:W3CDTF">2012-04-20T19:15:00Z</dcterms:modified>
</cp:coreProperties>
</file>