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1D" w:rsidRPr="00DC6CF1" w:rsidRDefault="00516B1D" w:rsidP="00516B1D">
      <w:pPr>
        <w:spacing w:after="0"/>
        <w:rPr>
          <w:rFonts w:asciiTheme="majorHAnsi" w:hAnsiTheme="majorHAnsi" w:cs="Georgia"/>
          <w:b/>
          <w:bCs/>
          <w:sz w:val="28"/>
          <w:szCs w:val="28"/>
        </w:rPr>
      </w:pPr>
      <w:r w:rsidRPr="00DC6CF1">
        <w:rPr>
          <w:rFonts w:asciiTheme="majorHAnsi" w:hAnsiTheme="majorHAnsi" w:cs="Georgia"/>
          <w:b/>
          <w:bCs/>
          <w:sz w:val="28"/>
          <w:szCs w:val="28"/>
        </w:rPr>
        <w:t>Attachment A: Focus Group Plan</w:t>
      </w:r>
    </w:p>
    <w:p w:rsidR="00516B1D" w:rsidRPr="00516B1D" w:rsidRDefault="00516B1D" w:rsidP="00516B1D">
      <w:pPr>
        <w:spacing w:after="0"/>
        <w:rPr>
          <w:rFonts w:asciiTheme="majorHAnsi" w:hAnsiTheme="majorHAnsi" w:cs="Georgia"/>
          <w:b/>
          <w:bCs/>
          <w:sz w:val="28"/>
          <w:szCs w:val="28"/>
        </w:rPr>
      </w:pPr>
    </w:p>
    <w:p w:rsidR="00AA0682" w:rsidRPr="00516B1D" w:rsidRDefault="00AA0682" w:rsidP="00516B1D">
      <w:pPr>
        <w:spacing w:after="0"/>
        <w:jc w:val="center"/>
        <w:rPr>
          <w:rFonts w:asciiTheme="majorHAnsi" w:hAnsiTheme="majorHAnsi" w:cs="Georgia"/>
          <w:b/>
          <w:bCs/>
          <w:sz w:val="28"/>
          <w:szCs w:val="28"/>
        </w:rPr>
      </w:pPr>
      <w:r w:rsidRPr="00516B1D">
        <w:rPr>
          <w:rFonts w:asciiTheme="majorHAnsi" w:hAnsiTheme="majorHAnsi" w:cs="Georgia"/>
          <w:b/>
          <w:bCs/>
          <w:sz w:val="28"/>
          <w:szCs w:val="28"/>
        </w:rPr>
        <w:t>National Disaster Distress Helpline</w:t>
      </w:r>
    </w:p>
    <w:p w:rsidR="00AA0682" w:rsidRPr="00516B1D" w:rsidRDefault="00516B1D" w:rsidP="00516B1D">
      <w:pPr>
        <w:spacing w:after="0"/>
        <w:jc w:val="center"/>
        <w:rPr>
          <w:rFonts w:asciiTheme="majorHAnsi" w:hAnsiTheme="majorHAnsi" w:cs="Georgia"/>
          <w:b/>
          <w:bCs/>
          <w:i/>
          <w:iCs/>
          <w:sz w:val="28"/>
          <w:szCs w:val="28"/>
        </w:rPr>
      </w:pPr>
      <w:r w:rsidRPr="00516B1D">
        <w:rPr>
          <w:rFonts w:asciiTheme="majorHAnsi" w:hAnsiTheme="majorHAnsi" w:cs="Georgia"/>
          <w:b/>
          <w:bCs/>
          <w:i/>
          <w:iCs/>
          <w:sz w:val="28"/>
          <w:szCs w:val="28"/>
        </w:rPr>
        <w:t xml:space="preserve">Proposed </w:t>
      </w:r>
      <w:r w:rsidR="00AA0682" w:rsidRPr="00516B1D">
        <w:rPr>
          <w:rFonts w:asciiTheme="majorHAnsi" w:hAnsiTheme="majorHAnsi" w:cs="Georgia"/>
          <w:b/>
          <w:bCs/>
          <w:i/>
          <w:iCs/>
          <w:sz w:val="28"/>
          <w:szCs w:val="28"/>
        </w:rPr>
        <w:t>Focus Group Plan</w:t>
      </w:r>
    </w:p>
    <w:p w:rsidR="005B1ED9" w:rsidRDefault="005B1ED9" w:rsidP="00516B1D">
      <w:pPr>
        <w:spacing w:after="0"/>
        <w:rPr>
          <w:rFonts w:asciiTheme="majorHAnsi" w:hAnsiTheme="majorHAnsi" w:cs="Georgia"/>
          <w:b/>
          <w:sz w:val="24"/>
          <w:szCs w:val="24"/>
        </w:rPr>
      </w:pPr>
      <w:r w:rsidRPr="00516B1D">
        <w:rPr>
          <w:rFonts w:asciiTheme="majorHAnsi" w:hAnsiTheme="majorHAnsi" w:cs="Georgia"/>
          <w:b/>
          <w:sz w:val="24"/>
          <w:szCs w:val="24"/>
        </w:rPr>
        <w:t>Purpose</w:t>
      </w:r>
    </w:p>
    <w:p w:rsidR="00516B1D" w:rsidRPr="00516B1D" w:rsidRDefault="00516B1D" w:rsidP="00516B1D">
      <w:pPr>
        <w:spacing w:after="0"/>
        <w:rPr>
          <w:rFonts w:asciiTheme="majorHAnsi" w:hAnsiTheme="majorHAnsi" w:cs="Georgia"/>
          <w:b/>
          <w:sz w:val="24"/>
          <w:szCs w:val="24"/>
        </w:rPr>
      </w:pPr>
    </w:p>
    <w:p w:rsidR="00AA0682" w:rsidRPr="005B1ED9" w:rsidRDefault="00AA0682" w:rsidP="00516B1D">
      <w:pPr>
        <w:spacing w:after="0"/>
        <w:rPr>
          <w:rFonts w:asciiTheme="majorHAnsi" w:hAnsiTheme="majorHAnsi" w:cs="Georgia"/>
        </w:rPr>
      </w:pPr>
      <w:r w:rsidRPr="005B1ED9">
        <w:rPr>
          <w:rFonts w:asciiTheme="majorHAnsi" w:hAnsiTheme="majorHAnsi" w:cs="Georgia"/>
        </w:rPr>
        <w:t xml:space="preserve">The purpose of the focus groups is to gain insight from the target audience—low-income adults who are both parents and caregivers of older adults living in disaster prone areas—about </w:t>
      </w:r>
      <w:r w:rsidR="006E2FB8" w:rsidRPr="005B1ED9">
        <w:rPr>
          <w:rFonts w:asciiTheme="majorHAnsi" w:hAnsiTheme="majorHAnsi" w:cs="Georgia"/>
        </w:rPr>
        <w:t xml:space="preserve">messages and materials being used, and in development for future use. Topics addressed during the groups will include the </w:t>
      </w:r>
      <w:r w:rsidRPr="005B1ED9">
        <w:rPr>
          <w:rFonts w:asciiTheme="majorHAnsi" w:hAnsiTheme="majorHAnsi" w:cs="Georgia"/>
        </w:rPr>
        <w:t>resources they use during disasters; the ways the</w:t>
      </w:r>
      <w:bookmarkStart w:id="0" w:name="_GoBack"/>
      <w:bookmarkEnd w:id="0"/>
      <w:r w:rsidRPr="005B1ED9">
        <w:rPr>
          <w:rFonts w:asciiTheme="majorHAnsi" w:hAnsiTheme="majorHAnsi" w:cs="Georgia"/>
        </w:rPr>
        <w:t xml:space="preserve">y handle emotional distress; experiences they’ve had during disasters; and </w:t>
      </w:r>
      <w:r w:rsidR="005B1ED9" w:rsidRPr="005B1ED9">
        <w:rPr>
          <w:rFonts w:asciiTheme="majorHAnsi" w:hAnsiTheme="majorHAnsi" w:cs="Georgia"/>
        </w:rPr>
        <w:t xml:space="preserve">what messages </w:t>
      </w:r>
      <w:r w:rsidRPr="005B1ED9">
        <w:rPr>
          <w:rFonts w:asciiTheme="majorHAnsi" w:hAnsiTheme="majorHAnsi" w:cs="Georgia"/>
        </w:rPr>
        <w:t xml:space="preserve">would </w:t>
      </w:r>
      <w:r w:rsidR="005B1ED9" w:rsidRPr="005B1ED9">
        <w:rPr>
          <w:rFonts w:asciiTheme="majorHAnsi" w:hAnsiTheme="majorHAnsi" w:cs="Georgia"/>
        </w:rPr>
        <w:t xml:space="preserve">persuade </w:t>
      </w:r>
      <w:r w:rsidRPr="005B1ED9">
        <w:rPr>
          <w:rFonts w:asciiTheme="majorHAnsi" w:hAnsiTheme="majorHAnsi" w:cs="Georgia"/>
        </w:rPr>
        <w:t xml:space="preserve">them call a national helpline.  The focus groups will probe from many perspectives on how best to communicate to the public about the DDH and help refine the audience on whom marketing efforts should focus. </w:t>
      </w:r>
    </w:p>
    <w:p w:rsidR="00516B1D" w:rsidRDefault="00516B1D" w:rsidP="00516B1D">
      <w:pPr>
        <w:spacing w:after="0"/>
        <w:rPr>
          <w:rFonts w:asciiTheme="majorHAnsi" w:hAnsiTheme="majorHAnsi" w:cs="Georgia"/>
        </w:rPr>
      </w:pPr>
    </w:p>
    <w:p w:rsidR="00AA0682" w:rsidRDefault="00AA0682" w:rsidP="00516B1D">
      <w:pPr>
        <w:spacing w:after="0"/>
        <w:rPr>
          <w:rFonts w:asciiTheme="majorHAnsi" w:hAnsiTheme="majorHAnsi" w:cs="Georgia"/>
        </w:rPr>
      </w:pPr>
      <w:r w:rsidRPr="005B1ED9">
        <w:rPr>
          <w:rFonts w:asciiTheme="majorHAnsi" w:hAnsiTheme="majorHAnsi" w:cs="Georgia"/>
        </w:rPr>
        <w:t>These perspectives include how to:</w:t>
      </w:r>
    </w:p>
    <w:p w:rsidR="00516B1D" w:rsidRPr="005B1ED9" w:rsidRDefault="00516B1D" w:rsidP="00516B1D">
      <w:pPr>
        <w:spacing w:after="0"/>
        <w:rPr>
          <w:rFonts w:asciiTheme="majorHAnsi" w:hAnsiTheme="majorHAnsi" w:cs="Georgia"/>
        </w:rPr>
      </w:pPr>
    </w:p>
    <w:p w:rsidR="00AA0682" w:rsidRPr="005B1ED9" w:rsidRDefault="00AA0682" w:rsidP="00516B1D">
      <w:pPr>
        <w:pStyle w:val="ListParagraph"/>
        <w:numPr>
          <w:ilvl w:val="0"/>
          <w:numId w:val="4"/>
        </w:numPr>
        <w:spacing w:after="0"/>
        <w:rPr>
          <w:rFonts w:asciiTheme="majorHAnsi" w:hAnsiTheme="majorHAnsi"/>
        </w:rPr>
      </w:pPr>
      <w:r w:rsidRPr="005B1ED9">
        <w:rPr>
          <w:rFonts w:asciiTheme="majorHAnsi" w:hAnsiTheme="majorHAnsi"/>
        </w:rPr>
        <w:t>Raise awareness and use of DDH;</w:t>
      </w:r>
    </w:p>
    <w:p w:rsidR="00AA0682" w:rsidRPr="005B1ED9" w:rsidRDefault="00AA0682" w:rsidP="00516B1D">
      <w:pPr>
        <w:pStyle w:val="ListParagraph"/>
        <w:numPr>
          <w:ilvl w:val="1"/>
          <w:numId w:val="4"/>
        </w:numPr>
        <w:spacing w:after="0"/>
        <w:rPr>
          <w:rFonts w:asciiTheme="majorHAnsi" w:hAnsiTheme="majorHAnsi"/>
        </w:rPr>
      </w:pPr>
      <w:r w:rsidRPr="005B1ED9">
        <w:rPr>
          <w:rFonts w:asciiTheme="majorHAnsi" w:hAnsiTheme="majorHAnsi"/>
        </w:rPr>
        <w:t>Understand that DDH exists and when to call.</w:t>
      </w:r>
    </w:p>
    <w:p w:rsidR="00AA0682" w:rsidRPr="005B1ED9" w:rsidRDefault="00AA0682" w:rsidP="00516B1D">
      <w:pPr>
        <w:pStyle w:val="ListParagraph"/>
        <w:numPr>
          <w:ilvl w:val="1"/>
          <w:numId w:val="4"/>
        </w:numPr>
        <w:spacing w:after="0"/>
        <w:rPr>
          <w:rFonts w:asciiTheme="majorHAnsi" w:hAnsiTheme="majorHAnsi"/>
        </w:rPr>
      </w:pPr>
      <w:r w:rsidRPr="005B1ED9">
        <w:rPr>
          <w:rFonts w:asciiTheme="majorHAnsi" w:hAnsiTheme="majorHAnsi"/>
        </w:rPr>
        <w:t>Best ways to educate about DDH’s multiple “uses,” e.g., texting and calling, Spanish language option; resources for the hearing impaired; website, etc.</w:t>
      </w:r>
    </w:p>
    <w:p w:rsidR="00AA0682" w:rsidRPr="005B1ED9" w:rsidRDefault="00AA0682" w:rsidP="00516B1D">
      <w:pPr>
        <w:pStyle w:val="ListParagraph"/>
        <w:numPr>
          <w:ilvl w:val="0"/>
          <w:numId w:val="4"/>
        </w:numPr>
        <w:spacing w:after="0"/>
        <w:rPr>
          <w:rFonts w:asciiTheme="majorHAnsi" w:hAnsiTheme="majorHAnsi"/>
        </w:rPr>
      </w:pPr>
      <w:r w:rsidRPr="005B1ED9">
        <w:rPr>
          <w:rFonts w:asciiTheme="majorHAnsi" w:hAnsiTheme="majorHAnsi"/>
        </w:rPr>
        <w:t>Market the need for DDH, including understanding what messages will resonate with the public and motivate them to call DDH;</w:t>
      </w:r>
    </w:p>
    <w:p w:rsidR="00AA0682" w:rsidRPr="005B1ED9" w:rsidRDefault="00AA0682" w:rsidP="00516B1D">
      <w:pPr>
        <w:pStyle w:val="ListParagraph"/>
        <w:numPr>
          <w:ilvl w:val="0"/>
          <w:numId w:val="4"/>
        </w:numPr>
        <w:spacing w:after="0"/>
        <w:rPr>
          <w:rFonts w:asciiTheme="majorHAnsi" w:hAnsiTheme="majorHAnsi"/>
        </w:rPr>
      </w:pPr>
      <w:r w:rsidRPr="005B1ED9">
        <w:rPr>
          <w:rFonts w:asciiTheme="majorHAnsi" w:hAnsiTheme="majorHAnsi"/>
        </w:rPr>
        <w:t>Educate public about symptoms of disaster-related emotional distress and why they may need the service of DDH;</w:t>
      </w:r>
    </w:p>
    <w:p w:rsidR="00AA0682" w:rsidRPr="005B1ED9" w:rsidRDefault="00AA0682" w:rsidP="00516B1D">
      <w:pPr>
        <w:pStyle w:val="ListParagraph"/>
        <w:numPr>
          <w:ilvl w:val="0"/>
          <w:numId w:val="4"/>
        </w:numPr>
        <w:spacing w:after="0"/>
        <w:rPr>
          <w:rFonts w:asciiTheme="majorHAnsi" w:hAnsiTheme="majorHAnsi"/>
        </w:rPr>
      </w:pPr>
      <w:r w:rsidRPr="005B1ED9">
        <w:rPr>
          <w:rFonts w:asciiTheme="majorHAnsi" w:hAnsiTheme="majorHAnsi"/>
        </w:rPr>
        <w:t>Position DDH so it is a primary source of support for disaster-related emotional distress among the public;</w:t>
      </w:r>
    </w:p>
    <w:p w:rsidR="00AA0682" w:rsidRPr="005B1ED9" w:rsidRDefault="00AA0682" w:rsidP="00516B1D">
      <w:pPr>
        <w:pStyle w:val="ListParagraph"/>
        <w:numPr>
          <w:ilvl w:val="0"/>
          <w:numId w:val="4"/>
        </w:numPr>
        <w:spacing w:after="0"/>
        <w:rPr>
          <w:rFonts w:asciiTheme="majorHAnsi" w:hAnsiTheme="majorHAnsi"/>
        </w:rPr>
      </w:pPr>
      <w:r w:rsidRPr="005B1ED9">
        <w:rPr>
          <w:rFonts w:asciiTheme="majorHAnsi" w:hAnsiTheme="majorHAnsi"/>
        </w:rPr>
        <w:t>Define the services DDH delivers during a disaster (mental health support, counseling, referrals);</w:t>
      </w:r>
    </w:p>
    <w:p w:rsidR="00AA0682" w:rsidRPr="005B1ED9" w:rsidRDefault="00AA0682" w:rsidP="00516B1D">
      <w:pPr>
        <w:pStyle w:val="ListParagraph"/>
        <w:numPr>
          <w:ilvl w:val="0"/>
          <w:numId w:val="4"/>
        </w:numPr>
        <w:spacing w:after="0"/>
        <w:rPr>
          <w:rFonts w:asciiTheme="majorHAnsi" w:hAnsiTheme="majorHAnsi"/>
        </w:rPr>
      </w:pPr>
      <w:r w:rsidRPr="005B1ED9">
        <w:rPr>
          <w:rFonts w:asciiTheme="majorHAnsi" w:hAnsiTheme="majorHAnsi"/>
        </w:rPr>
        <w:t>Educate stakeholders to see DDH as a non-duplicative, collaborative, and supportive resource;</w:t>
      </w:r>
    </w:p>
    <w:p w:rsidR="00AA0682" w:rsidRPr="005B1ED9" w:rsidRDefault="00AA0682" w:rsidP="00516B1D">
      <w:pPr>
        <w:pStyle w:val="ListParagraph"/>
        <w:numPr>
          <w:ilvl w:val="0"/>
          <w:numId w:val="4"/>
        </w:numPr>
        <w:spacing w:after="0"/>
        <w:rPr>
          <w:rFonts w:asciiTheme="majorHAnsi" w:hAnsiTheme="majorHAnsi"/>
        </w:rPr>
      </w:pPr>
      <w:r w:rsidRPr="005B1ED9">
        <w:rPr>
          <w:rFonts w:asciiTheme="majorHAnsi" w:hAnsiTheme="majorHAnsi"/>
        </w:rPr>
        <w:t>Differentiate the DDH as the only national network dedicated to emotional distress relating to disasters (by making note of the fact they only have one phone number); and</w:t>
      </w:r>
    </w:p>
    <w:p w:rsidR="00AA0682" w:rsidRPr="005B1ED9" w:rsidRDefault="00AA0682" w:rsidP="00516B1D">
      <w:pPr>
        <w:pStyle w:val="ListParagraph"/>
        <w:numPr>
          <w:ilvl w:val="0"/>
          <w:numId w:val="4"/>
        </w:numPr>
        <w:spacing w:after="0"/>
        <w:rPr>
          <w:rFonts w:asciiTheme="majorHAnsi" w:hAnsiTheme="majorHAnsi"/>
        </w:rPr>
      </w:pPr>
      <w:r w:rsidRPr="005B1ED9">
        <w:rPr>
          <w:rFonts w:asciiTheme="majorHAnsi" w:hAnsiTheme="majorHAnsi"/>
        </w:rPr>
        <w:t xml:space="preserve">Define a more specific audience who is either most likely to call the DDH or who most needs support offered through the DDH. </w:t>
      </w:r>
    </w:p>
    <w:p w:rsidR="00516B1D" w:rsidRDefault="00516B1D" w:rsidP="00516B1D">
      <w:pPr>
        <w:spacing w:after="0"/>
        <w:rPr>
          <w:rFonts w:asciiTheme="majorHAnsi" w:hAnsiTheme="majorHAnsi" w:cs="Georgia"/>
          <w:b/>
          <w:sz w:val="24"/>
          <w:szCs w:val="24"/>
        </w:rPr>
      </w:pPr>
    </w:p>
    <w:p w:rsidR="005B1ED9" w:rsidRDefault="005B1ED9" w:rsidP="00516B1D">
      <w:pPr>
        <w:spacing w:after="0"/>
        <w:rPr>
          <w:rFonts w:asciiTheme="majorHAnsi" w:hAnsiTheme="majorHAnsi" w:cs="Georgia"/>
          <w:b/>
          <w:sz w:val="24"/>
          <w:szCs w:val="24"/>
        </w:rPr>
      </w:pPr>
      <w:r w:rsidRPr="00516B1D">
        <w:rPr>
          <w:rFonts w:asciiTheme="majorHAnsi" w:hAnsiTheme="majorHAnsi" w:cs="Georgia"/>
          <w:b/>
          <w:sz w:val="24"/>
          <w:szCs w:val="24"/>
        </w:rPr>
        <w:t>Participants</w:t>
      </w:r>
    </w:p>
    <w:p w:rsidR="00516B1D" w:rsidRPr="00516B1D" w:rsidRDefault="00516B1D" w:rsidP="00516B1D">
      <w:pPr>
        <w:spacing w:after="0"/>
        <w:rPr>
          <w:rFonts w:asciiTheme="majorHAnsi" w:hAnsiTheme="majorHAnsi" w:cs="Georgia"/>
          <w:b/>
          <w:sz w:val="24"/>
          <w:szCs w:val="24"/>
        </w:rPr>
      </w:pPr>
    </w:p>
    <w:p w:rsidR="005B1ED9" w:rsidRDefault="005B1ED9" w:rsidP="00516B1D">
      <w:pPr>
        <w:spacing w:after="0"/>
        <w:rPr>
          <w:rFonts w:asciiTheme="majorHAnsi" w:hAnsiTheme="majorHAnsi"/>
        </w:rPr>
      </w:pPr>
      <w:r w:rsidRPr="005B1ED9">
        <w:rPr>
          <w:rFonts w:asciiTheme="majorHAnsi" w:hAnsiTheme="majorHAnsi"/>
        </w:rPr>
        <w:t>The following details the unifying characteristics for all focus group participants.</w:t>
      </w:r>
    </w:p>
    <w:p w:rsidR="005B1ED9" w:rsidRPr="005B1ED9" w:rsidRDefault="005B1ED9" w:rsidP="00516B1D">
      <w:pPr>
        <w:pStyle w:val="ListParagraph"/>
        <w:numPr>
          <w:ilvl w:val="0"/>
          <w:numId w:val="1"/>
        </w:numPr>
        <w:spacing w:after="0"/>
        <w:rPr>
          <w:rFonts w:asciiTheme="majorHAnsi" w:hAnsiTheme="majorHAnsi"/>
        </w:rPr>
      </w:pPr>
      <w:r w:rsidRPr="005B1ED9">
        <w:rPr>
          <w:rFonts w:asciiTheme="majorHAnsi" w:hAnsiTheme="majorHAnsi"/>
        </w:rPr>
        <w:t>Living in disaster-prone areas</w:t>
      </w:r>
    </w:p>
    <w:p w:rsidR="005B1ED9" w:rsidRPr="005B1ED9" w:rsidRDefault="005B1ED9" w:rsidP="00516B1D">
      <w:pPr>
        <w:pStyle w:val="ListParagraph"/>
        <w:numPr>
          <w:ilvl w:val="0"/>
          <w:numId w:val="2"/>
        </w:numPr>
        <w:spacing w:after="0"/>
        <w:rPr>
          <w:rFonts w:asciiTheme="majorHAnsi" w:hAnsiTheme="majorHAnsi"/>
        </w:rPr>
      </w:pPr>
      <w:r w:rsidRPr="005B1ED9">
        <w:rPr>
          <w:rFonts w:asciiTheme="majorHAnsi" w:hAnsiTheme="majorHAnsi"/>
        </w:rPr>
        <w:t xml:space="preserve">Defined by living in a zip code that has experienced one or more major disasters in the last 10 years </w:t>
      </w:r>
    </w:p>
    <w:p w:rsidR="005B1ED9" w:rsidRPr="005B1ED9" w:rsidRDefault="005B1ED9" w:rsidP="00516B1D">
      <w:pPr>
        <w:pStyle w:val="ListParagraph"/>
        <w:numPr>
          <w:ilvl w:val="0"/>
          <w:numId w:val="2"/>
        </w:numPr>
        <w:spacing w:after="0"/>
        <w:rPr>
          <w:rFonts w:asciiTheme="majorHAnsi" w:hAnsiTheme="majorHAnsi"/>
        </w:rPr>
      </w:pPr>
      <w:r w:rsidRPr="005B1ED9">
        <w:rPr>
          <w:rFonts w:asciiTheme="majorHAnsi" w:hAnsiTheme="majorHAnsi"/>
        </w:rPr>
        <w:t>Will purchase lists of people living in these areas</w:t>
      </w:r>
    </w:p>
    <w:p w:rsidR="005B1ED9" w:rsidRPr="005B1ED9" w:rsidRDefault="005B1ED9" w:rsidP="00516B1D">
      <w:pPr>
        <w:pStyle w:val="ListParagraph"/>
        <w:numPr>
          <w:ilvl w:val="0"/>
          <w:numId w:val="2"/>
        </w:numPr>
        <w:spacing w:after="0"/>
        <w:rPr>
          <w:rFonts w:asciiTheme="majorHAnsi" w:hAnsiTheme="majorHAnsi"/>
        </w:rPr>
      </w:pPr>
      <w:r w:rsidRPr="005B1ED9">
        <w:rPr>
          <w:rFonts w:asciiTheme="majorHAnsi" w:hAnsiTheme="majorHAnsi"/>
        </w:rPr>
        <w:lastRenderedPageBreak/>
        <w:t xml:space="preserve">Will have one group in each of the following regions: Gulf Coast, California and Pacific Northwest, Mid-West, and East Coast </w:t>
      </w:r>
    </w:p>
    <w:p w:rsidR="005B1ED9" w:rsidRPr="005B1ED9" w:rsidRDefault="005B1ED9" w:rsidP="00516B1D">
      <w:pPr>
        <w:pStyle w:val="ListParagraph"/>
        <w:spacing w:after="0"/>
        <w:rPr>
          <w:rFonts w:asciiTheme="majorHAnsi" w:hAnsiTheme="majorHAnsi"/>
        </w:rPr>
      </w:pPr>
    </w:p>
    <w:p w:rsidR="005B1ED9" w:rsidRPr="005B1ED9" w:rsidRDefault="005B1ED9" w:rsidP="00516B1D">
      <w:pPr>
        <w:pStyle w:val="ListParagraph"/>
        <w:numPr>
          <w:ilvl w:val="0"/>
          <w:numId w:val="1"/>
        </w:numPr>
        <w:spacing w:after="0"/>
        <w:rPr>
          <w:rFonts w:asciiTheme="majorHAnsi" w:hAnsiTheme="majorHAnsi"/>
        </w:rPr>
      </w:pPr>
      <w:r w:rsidRPr="005B1ED9">
        <w:rPr>
          <w:rFonts w:asciiTheme="majorHAnsi" w:hAnsiTheme="majorHAnsi"/>
        </w:rPr>
        <w:t>Experienced a disaster in adult life, within the last 10 years</w:t>
      </w:r>
    </w:p>
    <w:p w:rsidR="005B1ED9" w:rsidRPr="005B1ED9" w:rsidRDefault="005B1ED9" w:rsidP="00516B1D">
      <w:pPr>
        <w:pStyle w:val="ListParagraph"/>
        <w:numPr>
          <w:ilvl w:val="0"/>
          <w:numId w:val="2"/>
        </w:numPr>
        <w:spacing w:after="0"/>
        <w:rPr>
          <w:rFonts w:asciiTheme="majorHAnsi" w:hAnsiTheme="majorHAnsi"/>
        </w:rPr>
      </w:pPr>
      <w:r w:rsidRPr="005B1ED9">
        <w:rPr>
          <w:rFonts w:asciiTheme="majorHAnsi" w:hAnsiTheme="majorHAnsi"/>
        </w:rPr>
        <w:t>Defined by self-report</w:t>
      </w:r>
    </w:p>
    <w:p w:rsidR="005B1ED9" w:rsidRPr="005B1ED9" w:rsidRDefault="005B1ED9" w:rsidP="00516B1D">
      <w:pPr>
        <w:pStyle w:val="ListParagraph"/>
        <w:numPr>
          <w:ilvl w:val="0"/>
          <w:numId w:val="1"/>
        </w:numPr>
        <w:spacing w:after="0"/>
        <w:rPr>
          <w:rFonts w:asciiTheme="majorHAnsi" w:hAnsiTheme="majorHAnsi"/>
        </w:rPr>
      </w:pPr>
      <w:r w:rsidRPr="005B1ED9">
        <w:rPr>
          <w:rFonts w:asciiTheme="majorHAnsi" w:hAnsiTheme="majorHAnsi"/>
        </w:rPr>
        <w:t>Felt distressed related to the disaster, either at the time or later</w:t>
      </w:r>
    </w:p>
    <w:p w:rsidR="005B1ED9" w:rsidRPr="005B1ED9" w:rsidRDefault="005B1ED9" w:rsidP="00516B1D">
      <w:pPr>
        <w:pStyle w:val="ListParagraph"/>
        <w:numPr>
          <w:ilvl w:val="0"/>
          <w:numId w:val="2"/>
        </w:numPr>
        <w:spacing w:after="0"/>
        <w:rPr>
          <w:rFonts w:asciiTheme="majorHAnsi" w:hAnsiTheme="majorHAnsi"/>
        </w:rPr>
      </w:pPr>
      <w:r w:rsidRPr="005B1ED9">
        <w:rPr>
          <w:rFonts w:asciiTheme="majorHAnsi" w:hAnsiTheme="majorHAnsi"/>
        </w:rPr>
        <w:t>Defined by self-report of one or more common symptoms (distilled from DDH materials)</w:t>
      </w:r>
    </w:p>
    <w:p w:rsidR="005B1ED9" w:rsidRPr="005B1ED9" w:rsidRDefault="005B1ED9" w:rsidP="00516B1D">
      <w:pPr>
        <w:pStyle w:val="ListParagraph"/>
        <w:numPr>
          <w:ilvl w:val="0"/>
          <w:numId w:val="1"/>
        </w:numPr>
        <w:spacing w:after="0"/>
        <w:rPr>
          <w:rFonts w:asciiTheme="majorHAnsi" w:hAnsiTheme="majorHAnsi"/>
        </w:rPr>
      </w:pPr>
      <w:r w:rsidRPr="005B1ED9">
        <w:rPr>
          <w:rFonts w:asciiTheme="majorHAnsi" w:hAnsiTheme="majorHAnsi"/>
        </w:rPr>
        <w:t xml:space="preserve">Low income </w:t>
      </w:r>
    </w:p>
    <w:p w:rsidR="005B1ED9" w:rsidRPr="005B1ED9" w:rsidRDefault="005B1ED9" w:rsidP="00516B1D">
      <w:pPr>
        <w:pStyle w:val="ListParagraph"/>
        <w:numPr>
          <w:ilvl w:val="0"/>
          <w:numId w:val="3"/>
        </w:numPr>
        <w:spacing w:after="0"/>
        <w:rPr>
          <w:rFonts w:asciiTheme="majorHAnsi" w:hAnsiTheme="majorHAnsi"/>
        </w:rPr>
      </w:pPr>
      <w:r w:rsidRPr="005B1ED9">
        <w:rPr>
          <w:rFonts w:asciiTheme="majorHAnsi" w:hAnsiTheme="majorHAnsi"/>
        </w:rPr>
        <w:t xml:space="preserve">Family income cut-offs defined by Bureau of Economic Analysis, variable by geography </w:t>
      </w:r>
    </w:p>
    <w:p w:rsidR="00516B1D" w:rsidRPr="00516B1D" w:rsidRDefault="005B1ED9" w:rsidP="00516B1D">
      <w:pPr>
        <w:pStyle w:val="ListParagraph"/>
        <w:numPr>
          <w:ilvl w:val="0"/>
          <w:numId w:val="3"/>
        </w:numPr>
        <w:spacing w:after="0"/>
        <w:rPr>
          <w:rFonts w:asciiTheme="majorHAnsi" w:hAnsiTheme="majorHAnsi" w:cs="Georgia"/>
          <w:b/>
          <w:sz w:val="24"/>
          <w:szCs w:val="24"/>
        </w:rPr>
      </w:pPr>
      <w:r w:rsidRPr="00516B1D">
        <w:rPr>
          <w:rFonts w:asciiTheme="majorHAnsi" w:hAnsiTheme="majorHAnsi"/>
        </w:rPr>
        <w:t xml:space="preserve">Will purchase lists of people with low incomes  </w:t>
      </w:r>
    </w:p>
    <w:p w:rsidR="00516B1D" w:rsidRDefault="00516B1D" w:rsidP="00516B1D">
      <w:pPr>
        <w:spacing w:after="0"/>
        <w:rPr>
          <w:rFonts w:asciiTheme="majorHAnsi" w:hAnsiTheme="majorHAnsi" w:cs="Georgia"/>
          <w:b/>
          <w:sz w:val="24"/>
          <w:szCs w:val="24"/>
        </w:rPr>
      </w:pPr>
    </w:p>
    <w:p w:rsidR="005B1ED9" w:rsidRDefault="005B1ED9" w:rsidP="00516B1D">
      <w:pPr>
        <w:spacing w:after="0"/>
        <w:rPr>
          <w:rFonts w:asciiTheme="majorHAnsi" w:hAnsiTheme="majorHAnsi" w:cs="Georgia"/>
          <w:b/>
          <w:sz w:val="24"/>
          <w:szCs w:val="24"/>
        </w:rPr>
      </w:pPr>
      <w:r w:rsidRPr="00516B1D">
        <w:rPr>
          <w:rFonts w:asciiTheme="majorHAnsi" w:hAnsiTheme="majorHAnsi" w:cs="Georgia"/>
          <w:b/>
          <w:sz w:val="24"/>
          <w:szCs w:val="24"/>
        </w:rPr>
        <w:t>Segments</w:t>
      </w:r>
    </w:p>
    <w:p w:rsidR="00516B1D" w:rsidRPr="00516B1D" w:rsidRDefault="00516B1D" w:rsidP="00516B1D">
      <w:pPr>
        <w:spacing w:after="0"/>
        <w:rPr>
          <w:rFonts w:asciiTheme="majorHAnsi" w:hAnsiTheme="majorHAnsi" w:cs="Georgia"/>
          <w:b/>
          <w:sz w:val="24"/>
          <w:szCs w:val="24"/>
        </w:rPr>
      </w:pPr>
    </w:p>
    <w:p w:rsidR="005B1ED9" w:rsidRPr="005B1ED9" w:rsidRDefault="005B1ED9" w:rsidP="00516B1D">
      <w:pPr>
        <w:spacing w:after="0"/>
        <w:rPr>
          <w:rFonts w:asciiTheme="majorHAnsi" w:hAnsiTheme="majorHAnsi"/>
        </w:rPr>
      </w:pPr>
      <w:r w:rsidRPr="005B1ED9">
        <w:rPr>
          <w:rFonts w:asciiTheme="majorHAnsi" w:hAnsiTheme="majorHAnsi"/>
        </w:rPr>
        <w:t xml:space="preserve">The following details the specific segments for which we will screen for the focus groups. </w:t>
      </w:r>
    </w:p>
    <w:p w:rsidR="005B1ED9" w:rsidRPr="005B1ED9" w:rsidRDefault="005B1ED9" w:rsidP="00516B1D">
      <w:pPr>
        <w:pStyle w:val="ListParagraph"/>
        <w:numPr>
          <w:ilvl w:val="0"/>
          <w:numId w:val="1"/>
        </w:numPr>
        <w:spacing w:after="0"/>
        <w:rPr>
          <w:rFonts w:asciiTheme="majorHAnsi" w:hAnsiTheme="majorHAnsi"/>
        </w:rPr>
      </w:pPr>
      <w:r w:rsidRPr="005B1ED9">
        <w:rPr>
          <w:rFonts w:asciiTheme="majorHAnsi" w:hAnsiTheme="majorHAnsi"/>
        </w:rPr>
        <w:t>Rural vs. non-rural (urban, suburban)</w:t>
      </w:r>
    </w:p>
    <w:p w:rsidR="005B1ED9" w:rsidRPr="005B1ED9" w:rsidRDefault="005B1ED9" w:rsidP="00516B1D">
      <w:pPr>
        <w:pStyle w:val="ListParagraph"/>
        <w:numPr>
          <w:ilvl w:val="0"/>
          <w:numId w:val="2"/>
        </w:numPr>
        <w:spacing w:after="0"/>
        <w:rPr>
          <w:rFonts w:asciiTheme="majorHAnsi" w:hAnsiTheme="majorHAnsi"/>
        </w:rPr>
      </w:pPr>
      <w:r w:rsidRPr="005B1ED9">
        <w:rPr>
          <w:rFonts w:asciiTheme="majorHAnsi" w:hAnsiTheme="majorHAnsi"/>
        </w:rPr>
        <w:t xml:space="preserve">Defined by zip code </w:t>
      </w:r>
    </w:p>
    <w:p w:rsidR="005B1ED9" w:rsidRPr="005B1ED9" w:rsidRDefault="005B1ED9" w:rsidP="00516B1D">
      <w:pPr>
        <w:pStyle w:val="ListParagraph"/>
        <w:numPr>
          <w:ilvl w:val="0"/>
          <w:numId w:val="2"/>
        </w:numPr>
        <w:spacing w:after="0"/>
        <w:rPr>
          <w:rFonts w:asciiTheme="majorHAnsi" w:hAnsiTheme="majorHAnsi"/>
        </w:rPr>
      </w:pPr>
      <w:r w:rsidRPr="005B1ED9">
        <w:rPr>
          <w:rFonts w:asciiTheme="majorHAnsi" w:hAnsiTheme="majorHAnsi"/>
        </w:rPr>
        <w:t>Will purchase lists of people who live in rural areas</w:t>
      </w:r>
    </w:p>
    <w:p w:rsidR="005B1ED9" w:rsidRPr="005B1ED9" w:rsidRDefault="005B1ED9" w:rsidP="00516B1D">
      <w:pPr>
        <w:pStyle w:val="ListParagraph"/>
        <w:spacing w:after="0"/>
        <w:ind w:left="1080"/>
        <w:rPr>
          <w:rFonts w:asciiTheme="majorHAnsi" w:hAnsiTheme="majorHAnsi"/>
        </w:rPr>
      </w:pPr>
    </w:p>
    <w:p w:rsidR="005B1ED9" w:rsidRPr="005B1ED9" w:rsidRDefault="005B1ED9" w:rsidP="00516B1D">
      <w:pPr>
        <w:pStyle w:val="ListParagraph"/>
        <w:numPr>
          <w:ilvl w:val="0"/>
          <w:numId w:val="1"/>
        </w:numPr>
        <w:spacing w:after="0"/>
        <w:rPr>
          <w:rFonts w:asciiTheme="majorHAnsi" w:hAnsiTheme="majorHAnsi"/>
        </w:rPr>
      </w:pPr>
      <w:r w:rsidRPr="005B1ED9">
        <w:rPr>
          <w:rFonts w:asciiTheme="majorHAnsi" w:hAnsiTheme="majorHAnsi"/>
        </w:rPr>
        <w:t>Primary caretakers for young (under 18), older (over 65), or disabled family members</w:t>
      </w:r>
    </w:p>
    <w:p w:rsidR="005B1ED9" w:rsidRPr="005B1ED9" w:rsidRDefault="005B1ED9" w:rsidP="00516B1D">
      <w:pPr>
        <w:pStyle w:val="ListParagraph"/>
        <w:numPr>
          <w:ilvl w:val="0"/>
          <w:numId w:val="2"/>
        </w:numPr>
        <w:spacing w:after="0"/>
        <w:rPr>
          <w:rFonts w:asciiTheme="majorHAnsi" w:hAnsiTheme="majorHAnsi"/>
        </w:rPr>
      </w:pPr>
      <w:r w:rsidRPr="005B1ED9">
        <w:rPr>
          <w:rFonts w:asciiTheme="majorHAnsi" w:hAnsiTheme="majorHAnsi"/>
        </w:rPr>
        <w:t>Defined by self-report</w:t>
      </w:r>
    </w:p>
    <w:p w:rsidR="005B1ED9" w:rsidRPr="005B1ED9" w:rsidRDefault="005B1ED9" w:rsidP="00516B1D">
      <w:pPr>
        <w:pStyle w:val="ListParagraph"/>
        <w:numPr>
          <w:ilvl w:val="0"/>
          <w:numId w:val="2"/>
        </w:numPr>
        <w:spacing w:after="0"/>
        <w:rPr>
          <w:rFonts w:asciiTheme="majorHAnsi" w:hAnsiTheme="majorHAnsi"/>
        </w:rPr>
      </w:pPr>
      <w:r w:rsidRPr="005B1ED9">
        <w:rPr>
          <w:rFonts w:asciiTheme="majorHAnsi" w:hAnsiTheme="majorHAnsi"/>
        </w:rPr>
        <w:t>Some groups of women caretakers only</w:t>
      </w:r>
    </w:p>
    <w:p w:rsidR="005B1ED9" w:rsidRPr="005B1ED9" w:rsidRDefault="005B1ED9" w:rsidP="00516B1D">
      <w:pPr>
        <w:pStyle w:val="ListParagraph"/>
        <w:spacing w:after="0"/>
        <w:rPr>
          <w:rFonts w:asciiTheme="majorHAnsi" w:hAnsiTheme="majorHAnsi"/>
        </w:rPr>
      </w:pPr>
    </w:p>
    <w:p w:rsidR="005B1ED9" w:rsidRPr="005B1ED9" w:rsidRDefault="005B1ED9" w:rsidP="00516B1D">
      <w:pPr>
        <w:pStyle w:val="ListParagraph"/>
        <w:numPr>
          <w:ilvl w:val="0"/>
          <w:numId w:val="1"/>
        </w:numPr>
        <w:spacing w:after="0"/>
        <w:rPr>
          <w:rFonts w:asciiTheme="majorHAnsi" w:hAnsiTheme="majorHAnsi"/>
        </w:rPr>
      </w:pPr>
      <w:r w:rsidRPr="005B1ED9">
        <w:rPr>
          <w:rFonts w:asciiTheme="majorHAnsi" w:hAnsiTheme="majorHAnsi"/>
        </w:rPr>
        <w:t>DDH callers /</w:t>
      </w:r>
      <w:proofErr w:type="spellStart"/>
      <w:r w:rsidRPr="005B1ED9">
        <w:rPr>
          <w:rFonts w:asciiTheme="majorHAnsi" w:hAnsiTheme="majorHAnsi"/>
        </w:rPr>
        <w:t>texters</w:t>
      </w:r>
      <w:proofErr w:type="spellEnd"/>
    </w:p>
    <w:p w:rsidR="00516B1D" w:rsidRDefault="005B1ED9" w:rsidP="00516B1D">
      <w:pPr>
        <w:pStyle w:val="ListParagraph"/>
        <w:numPr>
          <w:ilvl w:val="0"/>
          <w:numId w:val="2"/>
        </w:numPr>
        <w:spacing w:after="0"/>
        <w:rPr>
          <w:rFonts w:asciiTheme="majorHAnsi" w:hAnsiTheme="majorHAnsi"/>
        </w:rPr>
      </w:pPr>
      <w:r w:rsidRPr="005B1ED9">
        <w:rPr>
          <w:rFonts w:asciiTheme="majorHAnsi" w:hAnsiTheme="majorHAnsi"/>
        </w:rPr>
        <w:t xml:space="preserve">Recruited by crisis centers after a call session </w:t>
      </w:r>
    </w:p>
    <w:p w:rsidR="00516B1D" w:rsidRDefault="00516B1D" w:rsidP="00516B1D">
      <w:pPr>
        <w:spacing w:after="0"/>
        <w:rPr>
          <w:rFonts w:asciiTheme="majorHAnsi" w:hAnsiTheme="majorHAnsi" w:cs="Georgia"/>
          <w:b/>
          <w:sz w:val="24"/>
          <w:szCs w:val="24"/>
        </w:rPr>
      </w:pPr>
    </w:p>
    <w:p w:rsidR="005B1ED9" w:rsidRDefault="005B1ED9" w:rsidP="00516B1D">
      <w:pPr>
        <w:spacing w:after="0"/>
        <w:rPr>
          <w:rFonts w:asciiTheme="majorHAnsi" w:hAnsiTheme="majorHAnsi" w:cs="Georgia"/>
          <w:b/>
          <w:sz w:val="24"/>
          <w:szCs w:val="24"/>
        </w:rPr>
      </w:pPr>
      <w:r w:rsidRPr="00516B1D">
        <w:rPr>
          <w:rFonts w:asciiTheme="majorHAnsi" w:hAnsiTheme="majorHAnsi" w:cs="Georgia"/>
          <w:b/>
          <w:sz w:val="24"/>
          <w:szCs w:val="24"/>
        </w:rPr>
        <w:t xml:space="preserve">Focus Groups </w:t>
      </w:r>
    </w:p>
    <w:p w:rsidR="00516B1D" w:rsidRPr="00516B1D" w:rsidRDefault="00516B1D" w:rsidP="00516B1D">
      <w:pPr>
        <w:spacing w:after="0"/>
        <w:rPr>
          <w:rFonts w:asciiTheme="majorHAnsi" w:hAnsiTheme="majorHAnsi"/>
        </w:rPr>
      </w:pPr>
    </w:p>
    <w:p w:rsidR="005B1ED9" w:rsidRDefault="005B1ED9" w:rsidP="00516B1D">
      <w:pPr>
        <w:spacing w:after="0"/>
        <w:rPr>
          <w:rFonts w:asciiTheme="majorHAnsi" w:hAnsiTheme="majorHAnsi"/>
        </w:rPr>
      </w:pPr>
      <w:r w:rsidRPr="005B1ED9">
        <w:rPr>
          <w:rFonts w:asciiTheme="majorHAnsi" w:hAnsiTheme="majorHAnsi"/>
        </w:rPr>
        <w:t xml:space="preserve">The following table details the focus group segments by region and characteristics. </w:t>
      </w:r>
    </w:p>
    <w:p w:rsidR="00516B1D" w:rsidRPr="005B1ED9" w:rsidRDefault="00516B1D" w:rsidP="00516B1D">
      <w:pPr>
        <w:spacing w:after="0"/>
        <w:rPr>
          <w:rFonts w:asciiTheme="majorHAnsi" w:hAnsiTheme="majorHAnsi"/>
        </w:rPr>
      </w:pPr>
    </w:p>
    <w:tbl>
      <w:tblPr>
        <w:tblStyle w:val="TableGrid"/>
        <w:tblW w:w="0" w:type="auto"/>
        <w:tblLook w:val="04A0" w:firstRow="1" w:lastRow="0" w:firstColumn="1" w:lastColumn="0" w:noHBand="0" w:noVBand="1"/>
      </w:tblPr>
      <w:tblGrid>
        <w:gridCol w:w="3618"/>
        <w:gridCol w:w="2160"/>
        <w:gridCol w:w="2250"/>
        <w:gridCol w:w="1440"/>
      </w:tblGrid>
      <w:tr w:rsidR="005B1ED9" w:rsidRPr="005B1ED9" w:rsidTr="003B0D0F">
        <w:tc>
          <w:tcPr>
            <w:tcW w:w="3618" w:type="dxa"/>
            <w:tcBorders>
              <w:bottom w:val="single" w:sz="4" w:space="0" w:color="auto"/>
            </w:tcBorders>
            <w:shd w:val="clear" w:color="auto" w:fill="808080" w:themeFill="background1" w:themeFillShade="80"/>
          </w:tcPr>
          <w:p w:rsidR="005B1ED9" w:rsidRPr="005B1ED9" w:rsidRDefault="005B1ED9" w:rsidP="00516B1D">
            <w:pPr>
              <w:rPr>
                <w:rFonts w:asciiTheme="majorHAnsi" w:hAnsiTheme="majorHAnsi"/>
                <w:b/>
              </w:rPr>
            </w:pPr>
            <w:r w:rsidRPr="005B1ED9">
              <w:rPr>
                <w:rFonts w:asciiTheme="majorHAnsi" w:hAnsiTheme="majorHAnsi"/>
                <w:b/>
              </w:rPr>
              <w:t>Disaster- Prone Areas Within…</w:t>
            </w:r>
          </w:p>
        </w:tc>
        <w:tc>
          <w:tcPr>
            <w:tcW w:w="2160" w:type="dxa"/>
            <w:tcBorders>
              <w:bottom w:val="single" w:sz="4" w:space="0" w:color="auto"/>
            </w:tcBorders>
            <w:shd w:val="clear" w:color="auto" w:fill="808080" w:themeFill="background1" w:themeFillShade="80"/>
          </w:tcPr>
          <w:p w:rsidR="005B1ED9" w:rsidRPr="005B1ED9" w:rsidRDefault="005B1ED9" w:rsidP="00516B1D">
            <w:pPr>
              <w:rPr>
                <w:rFonts w:asciiTheme="majorHAnsi" w:hAnsiTheme="majorHAnsi"/>
                <w:b/>
              </w:rPr>
            </w:pPr>
            <w:r w:rsidRPr="005B1ED9">
              <w:rPr>
                <w:rFonts w:asciiTheme="majorHAnsi" w:hAnsiTheme="majorHAnsi"/>
                <w:b/>
              </w:rPr>
              <w:t>Caretaker Women</w:t>
            </w:r>
          </w:p>
        </w:tc>
        <w:tc>
          <w:tcPr>
            <w:tcW w:w="2250" w:type="dxa"/>
            <w:tcBorders>
              <w:bottom w:val="single" w:sz="4" w:space="0" w:color="auto"/>
            </w:tcBorders>
            <w:shd w:val="clear" w:color="auto" w:fill="808080" w:themeFill="background1" w:themeFillShade="80"/>
          </w:tcPr>
          <w:p w:rsidR="005B1ED9" w:rsidRPr="005B1ED9" w:rsidRDefault="005B1ED9" w:rsidP="00516B1D">
            <w:pPr>
              <w:rPr>
                <w:rFonts w:asciiTheme="majorHAnsi" w:hAnsiTheme="majorHAnsi"/>
                <w:b/>
              </w:rPr>
            </w:pPr>
            <w:r w:rsidRPr="005B1ED9">
              <w:rPr>
                <w:rFonts w:asciiTheme="majorHAnsi" w:hAnsiTheme="majorHAnsi"/>
                <w:b/>
              </w:rPr>
              <w:t>Caretaker Mixed</w:t>
            </w:r>
          </w:p>
        </w:tc>
        <w:tc>
          <w:tcPr>
            <w:tcW w:w="1440" w:type="dxa"/>
            <w:shd w:val="clear" w:color="auto" w:fill="808080" w:themeFill="background1" w:themeFillShade="80"/>
          </w:tcPr>
          <w:p w:rsidR="005B1ED9" w:rsidRPr="005B1ED9" w:rsidRDefault="005B1ED9" w:rsidP="00516B1D">
            <w:pPr>
              <w:rPr>
                <w:rFonts w:asciiTheme="majorHAnsi" w:hAnsiTheme="majorHAnsi"/>
                <w:b/>
              </w:rPr>
            </w:pPr>
            <w:r w:rsidRPr="005B1ED9">
              <w:rPr>
                <w:rFonts w:asciiTheme="majorHAnsi" w:hAnsiTheme="majorHAnsi"/>
                <w:b/>
              </w:rPr>
              <w:t xml:space="preserve">DDH Callers/ </w:t>
            </w:r>
            <w:proofErr w:type="spellStart"/>
            <w:r w:rsidRPr="005B1ED9">
              <w:rPr>
                <w:rFonts w:asciiTheme="majorHAnsi" w:hAnsiTheme="majorHAnsi"/>
                <w:b/>
              </w:rPr>
              <w:t>Texters</w:t>
            </w:r>
            <w:proofErr w:type="spellEnd"/>
          </w:p>
          <w:p w:rsidR="005B1ED9" w:rsidRPr="005B1ED9" w:rsidRDefault="005B1ED9" w:rsidP="00516B1D">
            <w:pPr>
              <w:rPr>
                <w:rFonts w:asciiTheme="majorHAnsi" w:hAnsiTheme="majorHAnsi"/>
                <w:b/>
              </w:rPr>
            </w:pPr>
          </w:p>
        </w:tc>
      </w:tr>
      <w:tr w:rsidR="005B1ED9" w:rsidRPr="005B1ED9" w:rsidTr="003B0D0F">
        <w:trPr>
          <w:trHeight w:val="285"/>
        </w:trPr>
        <w:tc>
          <w:tcPr>
            <w:tcW w:w="8028" w:type="dxa"/>
            <w:gridSpan w:val="3"/>
            <w:shd w:val="clear" w:color="auto" w:fill="BFBFBF" w:themeFill="background1" w:themeFillShade="BF"/>
          </w:tcPr>
          <w:p w:rsidR="005B1ED9" w:rsidRPr="005B1ED9" w:rsidRDefault="005B1ED9" w:rsidP="00516B1D">
            <w:pPr>
              <w:rPr>
                <w:rFonts w:asciiTheme="majorHAnsi" w:hAnsiTheme="majorHAnsi"/>
                <w:b/>
              </w:rPr>
            </w:pPr>
            <w:r w:rsidRPr="005B1ED9">
              <w:rPr>
                <w:rFonts w:asciiTheme="majorHAnsi" w:hAnsiTheme="majorHAnsi"/>
                <w:b/>
              </w:rPr>
              <w:t xml:space="preserve">Gulf Coast </w:t>
            </w:r>
          </w:p>
        </w:tc>
        <w:tc>
          <w:tcPr>
            <w:tcW w:w="1440" w:type="dxa"/>
            <w:vMerge w:val="restart"/>
          </w:tcPr>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p>
          <w:p w:rsidR="005B1ED9" w:rsidRPr="005B1ED9" w:rsidRDefault="005B1ED9" w:rsidP="00516B1D">
            <w:pPr>
              <w:jc w:val="center"/>
              <w:rPr>
                <w:rFonts w:asciiTheme="majorHAnsi" w:hAnsiTheme="majorHAnsi"/>
                <w:b/>
              </w:rPr>
            </w:pPr>
            <w:r w:rsidRPr="005B1ED9">
              <w:rPr>
                <w:rFonts w:asciiTheme="majorHAnsi" w:hAnsiTheme="majorHAnsi"/>
                <w:b/>
              </w:rPr>
              <w:t>2 groups</w:t>
            </w:r>
          </w:p>
        </w:tc>
      </w:tr>
      <w:tr w:rsidR="005B1ED9" w:rsidRPr="005B1ED9" w:rsidTr="003B0D0F">
        <w:trPr>
          <w:trHeight w:val="533"/>
        </w:trPr>
        <w:tc>
          <w:tcPr>
            <w:tcW w:w="3618" w:type="dxa"/>
          </w:tcPr>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r w:rsidRPr="005B1ED9">
              <w:rPr>
                <w:rFonts w:asciiTheme="majorHAnsi" w:hAnsiTheme="majorHAnsi"/>
                <w:b/>
              </w:rPr>
              <w:t>Rural</w:t>
            </w:r>
          </w:p>
          <w:p w:rsidR="005B1ED9" w:rsidRPr="005B1ED9" w:rsidRDefault="005B1ED9" w:rsidP="00516B1D">
            <w:pPr>
              <w:rPr>
                <w:rFonts w:asciiTheme="majorHAnsi" w:hAnsiTheme="majorHAnsi"/>
                <w:b/>
              </w:rPr>
            </w:pPr>
          </w:p>
        </w:tc>
        <w:tc>
          <w:tcPr>
            <w:tcW w:w="2160" w:type="dxa"/>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r w:rsidRPr="005B1ED9">
              <w:rPr>
                <w:rFonts w:asciiTheme="majorHAnsi" w:hAnsiTheme="majorHAnsi"/>
                <w:b/>
              </w:rPr>
              <w:t>1 group</w:t>
            </w:r>
          </w:p>
        </w:tc>
        <w:tc>
          <w:tcPr>
            <w:tcW w:w="2250" w:type="dxa"/>
          </w:tcPr>
          <w:p w:rsidR="005B1ED9" w:rsidRPr="005B1ED9" w:rsidRDefault="005B1ED9" w:rsidP="00516B1D">
            <w:pPr>
              <w:jc w:val="center"/>
              <w:rPr>
                <w:rFonts w:asciiTheme="majorHAnsi" w:hAnsiTheme="majorHAnsi"/>
                <w:b/>
              </w:rPr>
            </w:pP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795"/>
        </w:trPr>
        <w:tc>
          <w:tcPr>
            <w:tcW w:w="3618" w:type="dxa"/>
          </w:tcPr>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r w:rsidRPr="005B1ED9">
              <w:rPr>
                <w:rFonts w:asciiTheme="majorHAnsi" w:hAnsiTheme="majorHAnsi"/>
                <w:b/>
              </w:rPr>
              <w:t>Non-rural</w:t>
            </w:r>
          </w:p>
          <w:p w:rsidR="005B1ED9" w:rsidRPr="005B1ED9" w:rsidRDefault="005B1ED9" w:rsidP="00516B1D">
            <w:pPr>
              <w:rPr>
                <w:rFonts w:asciiTheme="majorHAnsi" w:hAnsiTheme="majorHAnsi"/>
                <w:b/>
              </w:rPr>
            </w:pPr>
          </w:p>
        </w:tc>
        <w:tc>
          <w:tcPr>
            <w:tcW w:w="2160" w:type="dxa"/>
          </w:tcPr>
          <w:p w:rsidR="005B1ED9" w:rsidRPr="005B1ED9" w:rsidRDefault="005B1ED9" w:rsidP="00516B1D">
            <w:pPr>
              <w:jc w:val="center"/>
              <w:rPr>
                <w:rFonts w:asciiTheme="majorHAnsi" w:hAnsiTheme="majorHAnsi"/>
                <w:b/>
              </w:rPr>
            </w:pPr>
          </w:p>
        </w:tc>
        <w:tc>
          <w:tcPr>
            <w:tcW w:w="2250" w:type="dxa"/>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r w:rsidRPr="005B1ED9">
              <w:rPr>
                <w:rFonts w:asciiTheme="majorHAnsi" w:hAnsiTheme="majorHAnsi"/>
                <w:b/>
              </w:rPr>
              <w:t>1 group</w:t>
            </w: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540"/>
        </w:trPr>
        <w:tc>
          <w:tcPr>
            <w:tcW w:w="8028" w:type="dxa"/>
            <w:gridSpan w:val="3"/>
            <w:shd w:val="clear" w:color="auto" w:fill="BFBFBF" w:themeFill="background1" w:themeFillShade="BF"/>
          </w:tcPr>
          <w:p w:rsidR="005B1ED9" w:rsidRPr="005B1ED9" w:rsidRDefault="005B1ED9" w:rsidP="00516B1D">
            <w:pPr>
              <w:rPr>
                <w:rFonts w:asciiTheme="majorHAnsi" w:hAnsiTheme="majorHAnsi"/>
                <w:b/>
              </w:rPr>
            </w:pPr>
            <w:r w:rsidRPr="005B1ED9">
              <w:rPr>
                <w:rFonts w:asciiTheme="majorHAnsi" w:hAnsiTheme="majorHAnsi"/>
                <w:b/>
              </w:rPr>
              <w:t>California and Pacific Northwest</w:t>
            </w:r>
          </w:p>
          <w:p w:rsidR="005B1ED9" w:rsidRPr="005B1ED9" w:rsidRDefault="005B1ED9" w:rsidP="00516B1D">
            <w:pPr>
              <w:jc w:val="center"/>
              <w:rPr>
                <w:rFonts w:asciiTheme="majorHAnsi" w:hAnsiTheme="majorHAnsi"/>
                <w:b/>
              </w:rPr>
            </w:pP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540"/>
        </w:trPr>
        <w:tc>
          <w:tcPr>
            <w:tcW w:w="3618" w:type="dxa"/>
          </w:tcPr>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r w:rsidRPr="005B1ED9">
              <w:rPr>
                <w:rFonts w:asciiTheme="majorHAnsi" w:hAnsiTheme="majorHAnsi"/>
                <w:b/>
              </w:rPr>
              <w:t>Rural</w:t>
            </w:r>
          </w:p>
        </w:tc>
        <w:tc>
          <w:tcPr>
            <w:tcW w:w="2160" w:type="dxa"/>
          </w:tcPr>
          <w:p w:rsidR="005B1ED9" w:rsidRPr="005B1ED9" w:rsidRDefault="005B1ED9" w:rsidP="00516B1D">
            <w:pPr>
              <w:jc w:val="center"/>
              <w:rPr>
                <w:rFonts w:asciiTheme="majorHAnsi" w:hAnsiTheme="majorHAnsi"/>
                <w:b/>
              </w:rPr>
            </w:pPr>
          </w:p>
        </w:tc>
        <w:tc>
          <w:tcPr>
            <w:tcW w:w="2250" w:type="dxa"/>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r w:rsidRPr="005B1ED9">
              <w:rPr>
                <w:rFonts w:asciiTheme="majorHAnsi" w:hAnsiTheme="majorHAnsi"/>
                <w:b/>
              </w:rPr>
              <w:t>1 group</w:t>
            </w: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525"/>
        </w:trPr>
        <w:tc>
          <w:tcPr>
            <w:tcW w:w="3618" w:type="dxa"/>
          </w:tcPr>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r w:rsidRPr="005B1ED9">
              <w:rPr>
                <w:rFonts w:asciiTheme="majorHAnsi" w:hAnsiTheme="majorHAnsi"/>
                <w:b/>
              </w:rPr>
              <w:t>Non-rural</w:t>
            </w:r>
          </w:p>
          <w:p w:rsidR="005B1ED9" w:rsidRPr="005B1ED9" w:rsidRDefault="005B1ED9" w:rsidP="00516B1D">
            <w:pPr>
              <w:rPr>
                <w:rFonts w:asciiTheme="majorHAnsi" w:hAnsiTheme="majorHAnsi"/>
                <w:b/>
              </w:rPr>
            </w:pPr>
          </w:p>
        </w:tc>
        <w:tc>
          <w:tcPr>
            <w:tcW w:w="2160" w:type="dxa"/>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r w:rsidRPr="005B1ED9">
              <w:rPr>
                <w:rFonts w:asciiTheme="majorHAnsi" w:hAnsiTheme="majorHAnsi"/>
                <w:b/>
              </w:rPr>
              <w:t>1 group</w:t>
            </w:r>
          </w:p>
        </w:tc>
        <w:tc>
          <w:tcPr>
            <w:tcW w:w="2250" w:type="dxa"/>
          </w:tcPr>
          <w:p w:rsidR="005B1ED9" w:rsidRPr="005B1ED9" w:rsidRDefault="005B1ED9" w:rsidP="00516B1D">
            <w:pPr>
              <w:jc w:val="center"/>
              <w:rPr>
                <w:rFonts w:asciiTheme="majorHAnsi" w:hAnsiTheme="majorHAnsi"/>
                <w:b/>
              </w:rPr>
            </w:pP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315"/>
        </w:trPr>
        <w:tc>
          <w:tcPr>
            <w:tcW w:w="8028" w:type="dxa"/>
            <w:gridSpan w:val="3"/>
            <w:shd w:val="clear" w:color="auto" w:fill="BFBFBF" w:themeFill="background1" w:themeFillShade="BF"/>
          </w:tcPr>
          <w:p w:rsidR="005B1ED9" w:rsidRPr="005B1ED9" w:rsidRDefault="005B1ED9" w:rsidP="00516B1D">
            <w:pPr>
              <w:rPr>
                <w:rFonts w:asciiTheme="majorHAnsi" w:hAnsiTheme="majorHAnsi"/>
                <w:b/>
              </w:rPr>
            </w:pPr>
            <w:r w:rsidRPr="005B1ED9">
              <w:rPr>
                <w:rFonts w:asciiTheme="majorHAnsi" w:hAnsiTheme="majorHAnsi"/>
                <w:b/>
              </w:rPr>
              <w:t xml:space="preserve">Mid-West </w:t>
            </w: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504"/>
        </w:trPr>
        <w:tc>
          <w:tcPr>
            <w:tcW w:w="3618" w:type="dxa"/>
          </w:tcPr>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r w:rsidRPr="005B1ED9">
              <w:rPr>
                <w:rFonts w:asciiTheme="majorHAnsi" w:hAnsiTheme="majorHAnsi"/>
                <w:b/>
              </w:rPr>
              <w:t>Rural</w:t>
            </w:r>
          </w:p>
          <w:p w:rsidR="005B1ED9" w:rsidRPr="005B1ED9" w:rsidRDefault="005B1ED9" w:rsidP="00516B1D">
            <w:pPr>
              <w:rPr>
                <w:rFonts w:asciiTheme="majorHAnsi" w:hAnsiTheme="majorHAnsi"/>
                <w:b/>
              </w:rPr>
            </w:pPr>
          </w:p>
        </w:tc>
        <w:tc>
          <w:tcPr>
            <w:tcW w:w="2160" w:type="dxa"/>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r w:rsidRPr="005B1ED9">
              <w:rPr>
                <w:rFonts w:asciiTheme="majorHAnsi" w:hAnsiTheme="majorHAnsi"/>
                <w:b/>
              </w:rPr>
              <w:t>1 group</w:t>
            </w:r>
          </w:p>
        </w:tc>
        <w:tc>
          <w:tcPr>
            <w:tcW w:w="2250" w:type="dxa"/>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555"/>
        </w:trPr>
        <w:tc>
          <w:tcPr>
            <w:tcW w:w="3618" w:type="dxa"/>
            <w:tcBorders>
              <w:bottom w:val="single" w:sz="4" w:space="0" w:color="auto"/>
            </w:tcBorders>
          </w:tcPr>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r w:rsidRPr="005B1ED9">
              <w:rPr>
                <w:rFonts w:asciiTheme="majorHAnsi" w:hAnsiTheme="majorHAnsi"/>
                <w:b/>
              </w:rPr>
              <w:t>Non-rural</w:t>
            </w:r>
          </w:p>
          <w:p w:rsidR="005B1ED9" w:rsidRPr="005B1ED9" w:rsidRDefault="005B1ED9" w:rsidP="00516B1D">
            <w:pPr>
              <w:rPr>
                <w:rFonts w:asciiTheme="majorHAnsi" w:hAnsiTheme="majorHAnsi"/>
                <w:b/>
              </w:rPr>
            </w:pPr>
          </w:p>
        </w:tc>
        <w:tc>
          <w:tcPr>
            <w:tcW w:w="2160" w:type="dxa"/>
            <w:tcBorders>
              <w:bottom w:val="single" w:sz="4" w:space="0" w:color="auto"/>
            </w:tcBorders>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p>
        </w:tc>
        <w:tc>
          <w:tcPr>
            <w:tcW w:w="2250" w:type="dxa"/>
            <w:tcBorders>
              <w:bottom w:val="single" w:sz="4" w:space="0" w:color="auto"/>
            </w:tcBorders>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r w:rsidRPr="005B1ED9">
              <w:rPr>
                <w:rFonts w:asciiTheme="majorHAnsi" w:hAnsiTheme="majorHAnsi"/>
                <w:b/>
              </w:rPr>
              <w:t>1 group</w:t>
            </w: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285"/>
        </w:trPr>
        <w:tc>
          <w:tcPr>
            <w:tcW w:w="8028" w:type="dxa"/>
            <w:gridSpan w:val="3"/>
            <w:shd w:val="clear" w:color="auto" w:fill="BFBFBF" w:themeFill="background1" w:themeFillShade="BF"/>
          </w:tcPr>
          <w:p w:rsidR="005B1ED9" w:rsidRPr="005B1ED9" w:rsidRDefault="005B1ED9" w:rsidP="00516B1D">
            <w:pPr>
              <w:rPr>
                <w:rFonts w:asciiTheme="majorHAnsi" w:hAnsiTheme="majorHAnsi"/>
                <w:b/>
              </w:rPr>
            </w:pPr>
            <w:r w:rsidRPr="005B1ED9">
              <w:rPr>
                <w:rFonts w:asciiTheme="majorHAnsi" w:hAnsiTheme="majorHAnsi"/>
                <w:b/>
              </w:rPr>
              <w:t>East Coast</w:t>
            </w: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519"/>
        </w:trPr>
        <w:tc>
          <w:tcPr>
            <w:tcW w:w="3618" w:type="dxa"/>
          </w:tcPr>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r w:rsidRPr="005B1ED9">
              <w:rPr>
                <w:rFonts w:asciiTheme="majorHAnsi" w:hAnsiTheme="majorHAnsi"/>
                <w:b/>
              </w:rPr>
              <w:t>Rural</w:t>
            </w:r>
          </w:p>
          <w:p w:rsidR="005B1ED9" w:rsidRPr="005B1ED9" w:rsidRDefault="005B1ED9" w:rsidP="00516B1D">
            <w:pPr>
              <w:rPr>
                <w:rFonts w:asciiTheme="majorHAnsi" w:hAnsiTheme="majorHAnsi"/>
                <w:b/>
              </w:rPr>
            </w:pPr>
          </w:p>
        </w:tc>
        <w:tc>
          <w:tcPr>
            <w:tcW w:w="2160" w:type="dxa"/>
          </w:tcPr>
          <w:p w:rsidR="005B1ED9" w:rsidRPr="005B1ED9" w:rsidRDefault="005B1ED9" w:rsidP="00516B1D">
            <w:pPr>
              <w:jc w:val="center"/>
              <w:rPr>
                <w:rFonts w:asciiTheme="majorHAnsi" w:hAnsiTheme="majorHAnsi"/>
                <w:b/>
              </w:rPr>
            </w:pPr>
          </w:p>
        </w:tc>
        <w:tc>
          <w:tcPr>
            <w:tcW w:w="2250" w:type="dxa"/>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r w:rsidRPr="005B1ED9">
              <w:rPr>
                <w:rFonts w:asciiTheme="majorHAnsi" w:hAnsiTheme="majorHAnsi"/>
                <w:b/>
              </w:rPr>
              <w:t>1 group</w:t>
            </w:r>
          </w:p>
        </w:tc>
        <w:tc>
          <w:tcPr>
            <w:tcW w:w="1440" w:type="dxa"/>
            <w:vMerge/>
          </w:tcPr>
          <w:p w:rsidR="005B1ED9" w:rsidRPr="005B1ED9" w:rsidRDefault="005B1ED9" w:rsidP="00516B1D">
            <w:pPr>
              <w:rPr>
                <w:rFonts w:asciiTheme="majorHAnsi" w:hAnsiTheme="majorHAnsi"/>
                <w:b/>
              </w:rPr>
            </w:pPr>
          </w:p>
        </w:tc>
      </w:tr>
      <w:tr w:rsidR="005B1ED9" w:rsidRPr="005B1ED9" w:rsidTr="003B0D0F">
        <w:trPr>
          <w:trHeight w:val="540"/>
        </w:trPr>
        <w:tc>
          <w:tcPr>
            <w:tcW w:w="3618" w:type="dxa"/>
          </w:tcPr>
          <w:p w:rsidR="005B1ED9" w:rsidRPr="005B1ED9" w:rsidRDefault="005B1ED9" w:rsidP="00516B1D">
            <w:pPr>
              <w:rPr>
                <w:rFonts w:asciiTheme="majorHAnsi" w:hAnsiTheme="majorHAnsi"/>
                <w:b/>
              </w:rPr>
            </w:pPr>
          </w:p>
          <w:p w:rsidR="005B1ED9" w:rsidRPr="005B1ED9" w:rsidRDefault="005B1ED9" w:rsidP="00516B1D">
            <w:pPr>
              <w:rPr>
                <w:rFonts w:asciiTheme="majorHAnsi" w:hAnsiTheme="majorHAnsi"/>
                <w:b/>
              </w:rPr>
            </w:pPr>
            <w:r w:rsidRPr="005B1ED9">
              <w:rPr>
                <w:rFonts w:asciiTheme="majorHAnsi" w:hAnsiTheme="majorHAnsi"/>
                <w:b/>
              </w:rPr>
              <w:t>Non-rural</w:t>
            </w:r>
          </w:p>
          <w:p w:rsidR="005B1ED9" w:rsidRPr="005B1ED9" w:rsidRDefault="005B1ED9" w:rsidP="00516B1D">
            <w:pPr>
              <w:rPr>
                <w:rFonts w:asciiTheme="majorHAnsi" w:hAnsiTheme="majorHAnsi"/>
                <w:b/>
              </w:rPr>
            </w:pPr>
          </w:p>
        </w:tc>
        <w:tc>
          <w:tcPr>
            <w:tcW w:w="2160" w:type="dxa"/>
          </w:tcPr>
          <w:p w:rsidR="005B1ED9" w:rsidRPr="005B1ED9" w:rsidRDefault="005B1ED9" w:rsidP="00516B1D">
            <w:pPr>
              <w:jc w:val="center"/>
              <w:rPr>
                <w:rFonts w:asciiTheme="majorHAnsi" w:hAnsiTheme="majorHAnsi"/>
                <w:b/>
              </w:rPr>
            </w:pPr>
          </w:p>
          <w:p w:rsidR="005B1ED9" w:rsidRPr="005B1ED9" w:rsidRDefault="005B1ED9" w:rsidP="00516B1D">
            <w:pPr>
              <w:jc w:val="center"/>
              <w:rPr>
                <w:rFonts w:asciiTheme="majorHAnsi" w:hAnsiTheme="majorHAnsi"/>
                <w:b/>
              </w:rPr>
            </w:pPr>
            <w:r w:rsidRPr="005B1ED9">
              <w:rPr>
                <w:rFonts w:asciiTheme="majorHAnsi" w:hAnsiTheme="majorHAnsi"/>
                <w:b/>
              </w:rPr>
              <w:t>1 group</w:t>
            </w:r>
          </w:p>
        </w:tc>
        <w:tc>
          <w:tcPr>
            <w:tcW w:w="2250" w:type="dxa"/>
          </w:tcPr>
          <w:p w:rsidR="005B1ED9" w:rsidRPr="005B1ED9" w:rsidRDefault="005B1ED9" w:rsidP="00516B1D">
            <w:pPr>
              <w:jc w:val="center"/>
              <w:rPr>
                <w:rFonts w:asciiTheme="majorHAnsi" w:hAnsiTheme="majorHAnsi"/>
                <w:b/>
              </w:rPr>
            </w:pPr>
          </w:p>
        </w:tc>
        <w:tc>
          <w:tcPr>
            <w:tcW w:w="1440" w:type="dxa"/>
            <w:vMerge/>
          </w:tcPr>
          <w:p w:rsidR="005B1ED9" w:rsidRPr="005B1ED9" w:rsidRDefault="005B1ED9" w:rsidP="00516B1D">
            <w:pPr>
              <w:rPr>
                <w:rFonts w:asciiTheme="majorHAnsi" w:hAnsiTheme="majorHAnsi"/>
                <w:b/>
              </w:rPr>
            </w:pPr>
          </w:p>
        </w:tc>
      </w:tr>
    </w:tbl>
    <w:p w:rsidR="005B1ED9" w:rsidRPr="005B1ED9" w:rsidRDefault="005B1ED9" w:rsidP="00516B1D">
      <w:pPr>
        <w:spacing w:after="0"/>
        <w:rPr>
          <w:rFonts w:asciiTheme="majorHAnsi" w:hAnsiTheme="majorHAnsi"/>
          <w:b/>
        </w:rPr>
      </w:pPr>
    </w:p>
    <w:p w:rsidR="00AA0682" w:rsidRDefault="00AA0682" w:rsidP="00516B1D">
      <w:pPr>
        <w:spacing w:after="0"/>
        <w:rPr>
          <w:rFonts w:asciiTheme="majorHAnsi" w:hAnsiTheme="majorHAnsi" w:cs="Georgia"/>
          <w:b/>
          <w:bCs/>
          <w:spacing w:val="-3"/>
        </w:rPr>
      </w:pPr>
      <w:r w:rsidRPr="005B1ED9">
        <w:rPr>
          <w:rFonts w:asciiTheme="majorHAnsi" w:hAnsiTheme="majorHAnsi" w:cs="Georgia"/>
          <w:b/>
          <w:bCs/>
          <w:spacing w:val="-3"/>
        </w:rPr>
        <w:t>Additional Information</w:t>
      </w:r>
    </w:p>
    <w:p w:rsidR="00516B1D" w:rsidRPr="005B1ED9" w:rsidRDefault="00516B1D" w:rsidP="00516B1D">
      <w:pPr>
        <w:spacing w:after="0"/>
        <w:rPr>
          <w:rFonts w:asciiTheme="majorHAnsi" w:hAnsiTheme="majorHAnsi" w:cs="Georgia"/>
          <w:b/>
          <w:bCs/>
          <w:spacing w:val="-3"/>
        </w:rPr>
      </w:pPr>
    </w:p>
    <w:p w:rsidR="00AA0682" w:rsidRDefault="00AA0682" w:rsidP="00516B1D">
      <w:pPr>
        <w:spacing w:after="0"/>
        <w:rPr>
          <w:rFonts w:asciiTheme="majorHAnsi" w:hAnsiTheme="majorHAnsi" w:cs="Georgia"/>
        </w:rPr>
      </w:pPr>
      <w:r w:rsidRPr="005B1ED9">
        <w:rPr>
          <w:rFonts w:asciiTheme="majorHAnsi" w:hAnsiTheme="majorHAnsi" w:cs="Georgia"/>
        </w:rPr>
        <w:t>Gallup will direct all recruitment and other logistics</w:t>
      </w:r>
      <w:r w:rsidR="00516B1D">
        <w:rPr>
          <w:rFonts w:asciiTheme="majorHAnsi" w:hAnsiTheme="majorHAnsi" w:cs="Georgia"/>
        </w:rPr>
        <w:t xml:space="preserve">; and </w:t>
      </w:r>
      <w:r w:rsidRPr="005B1ED9">
        <w:rPr>
          <w:rFonts w:asciiTheme="majorHAnsi" w:hAnsiTheme="majorHAnsi" w:cs="Georgia"/>
        </w:rPr>
        <w:t xml:space="preserve">prepare the screeners, moderators’ guides, and </w:t>
      </w:r>
      <w:r w:rsidR="00516B1D">
        <w:rPr>
          <w:rFonts w:asciiTheme="majorHAnsi" w:hAnsiTheme="majorHAnsi" w:cs="Georgia"/>
        </w:rPr>
        <w:t>messages to be tested</w:t>
      </w:r>
      <w:r w:rsidRPr="005B1ED9">
        <w:rPr>
          <w:rFonts w:asciiTheme="majorHAnsi" w:hAnsiTheme="majorHAnsi" w:cs="Georgia"/>
        </w:rPr>
        <w:t xml:space="preserve"> for advance approval by SAMHSA.</w:t>
      </w:r>
    </w:p>
    <w:p w:rsidR="00516B1D" w:rsidRPr="005B1ED9" w:rsidRDefault="00516B1D" w:rsidP="00516B1D">
      <w:pPr>
        <w:spacing w:after="0"/>
        <w:rPr>
          <w:rFonts w:asciiTheme="majorHAnsi" w:hAnsiTheme="majorHAnsi" w:cs="Georgia"/>
        </w:rPr>
      </w:pPr>
    </w:p>
    <w:p w:rsidR="00AA0682" w:rsidRPr="005B1ED9" w:rsidRDefault="00AA0682" w:rsidP="00516B1D">
      <w:pPr>
        <w:spacing w:after="0"/>
        <w:rPr>
          <w:rFonts w:asciiTheme="majorHAnsi" w:hAnsiTheme="majorHAnsi" w:cs="Georgia"/>
          <w:b/>
          <w:bCs/>
        </w:rPr>
      </w:pPr>
      <w:r w:rsidRPr="005B1ED9">
        <w:rPr>
          <w:rFonts w:asciiTheme="majorHAnsi" w:hAnsiTheme="majorHAnsi" w:cs="Georgia"/>
        </w:rPr>
        <w:t xml:space="preserve">Senior Gallup moderators will facilitate the groups and interviews.  We will audio record and transcribe all groups.  Gallup will provide SAMHSA with a report that summarizes the findings and provides specific recommendations for applying them to the campaign products and activities.  </w:t>
      </w:r>
    </w:p>
    <w:p w:rsidR="001F2DD1" w:rsidRPr="005B1ED9" w:rsidRDefault="001F2DD1" w:rsidP="00516B1D">
      <w:pPr>
        <w:spacing w:after="0"/>
        <w:rPr>
          <w:rFonts w:asciiTheme="majorHAnsi" w:hAnsiTheme="majorHAnsi"/>
        </w:rPr>
      </w:pPr>
    </w:p>
    <w:sectPr w:rsidR="001F2DD1" w:rsidRPr="005B1ED9" w:rsidSect="00DB56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1A" w:rsidRDefault="00516B1D">
      <w:pPr>
        <w:spacing w:after="0" w:line="240" w:lineRule="auto"/>
      </w:pPr>
      <w:r>
        <w:separator/>
      </w:r>
    </w:p>
  </w:endnote>
  <w:endnote w:type="continuationSeparator" w:id="0">
    <w:p w:rsidR="0004291A" w:rsidRDefault="0051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44518"/>
      <w:docPartObj>
        <w:docPartGallery w:val="Page Numbers (Bottom of Page)"/>
        <w:docPartUnique/>
      </w:docPartObj>
    </w:sdtPr>
    <w:sdtEndPr>
      <w:rPr>
        <w:noProof/>
      </w:rPr>
    </w:sdtEndPr>
    <w:sdtContent>
      <w:p w:rsidR="00136CC8" w:rsidRDefault="00136CC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E2008" w:rsidRDefault="00136C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1A" w:rsidRDefault="00516B1D">
      <w:pPr>
        <w:spacing w:after="0" w:line="240" w:lineRule="auto"/>
      </w:pPr>
      <w:r>
        <w:separator/>
      </w:r>
    </w:p>
  </w:footnote>
  <w:footnote w:type="continuationSeparator" w:id="0">
    <w:p w:rsidR="0004291A" w:rsidRDefault="00516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51ED"/>
    <w:multiLevelType w:val="hybridMultilevel"/>
    <w:tmpl w:val="59C20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2A15C0"/>
    <w:multiLevelType w:val="hybridMultilevel"/>
    <w:tmpl w:val="4AA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0C65BB"/>
    <w:multiLevelType w:val="hybridMultilevel"/>
    <w:tmpl w:val="D324C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B283169"/>
    <w:multiLevelType w:val="hybridMultilevel"/>
    <w:tmpl w:val="7152E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82"/>
    <w:rsid w:val="0004291A"/>
    <w:rsid w:val="00136CC8"/>
    <w:rsid w:val="001F2DD1"/>
    <w:rsid w:val="00516B1D"/>
    <w:rsid w:val="005B1ED9"/>
    <w:rsid w:val="006E2FB8"/>
    <w:rsid w:val="00AA0682"/>
    <w:rsid w:val="00DC6CF1"/>
    <w:rsid w:val="00EC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682"/>
    <w:pPr>
      <w:ind w:left="720"/>
      <w:contextualSpacing/>
    </w:pPr>
    <w:rPr>
      <w:rFonts w:eastAsiaTheme="minorHAnsi"/>
    </w:rPr>
  </w:style>
  <w:style w:type="table" w:styleId="TableGrid">
    <w:name w:val="Table Grid"/>
    <w:basedOn w:val="TableNormal"/>
    <w:uiPriority w:val="59"/>
    <w:rsid w:val="00AA0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0682"/>
    <w:rPr>
      <w:sz w:val="16"/>
      <w:szCs w:val="16"/>
    </w:rPr>
  </w:style>
  <w:style w:type="paragraph" w:styleId="CommentText">
    <w:name w:val="annotation text"/>
    <w:basedOn w:val="Normal"/>
    <w:link w:val="CommentTextChar"/>
    <w:uiPriority w:val="99"/>
    <w:semiHidden/>
    <w:unhideWhenUsed/>
    <w:rsid w:val="00AA068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A0682"/>
    <w:rPr>
      <w:sz w:val="20"/>
      <w:szCs w:val="20"/>
    </w:rPr>
  </w:style>
  <w:style w:type="paragraph" w:styleId="BalloonText">
    <w:name w:val="Balloon Text"/>
    <w:basedOn w:val="Normal"/>
    <w:link w:val="BalloonTextChar"/>
    <w:uiPriority w:val="99"/>
    <w:semiHidden/>
    <w:unhideWhenUsed/>
    <w:rsid w:val="00AA0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82"/>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AA0682"/>
    <w:rPr>
      <w:rFonts w:eastAsiaTheme="minorEastAsia"/>
      <w:b/>
      <w:bCs/>
    </w:rPr>
  </w:style>
  <w:style w:type="character" w:customStyle="1" w:styleId="CommentSubjectChar">
    <w:name w:val="Comment Subject Char"/>
    <w:basedOn w:val="CommentTextChar"/>
    <w:link w:val="CommentSubject"/>
    <w:uiPriority w:val="99"/>
    <w:semiHidden/>
    <w:rsid w:val="00AA0682"/>
    <w:rPr>
      <w:rFonts w:eastAsiaTheme="minorEastAsia"/>
      <w:b/>
      <w:bCs/>
      <w:sz w:val="20"/>
      <w:szCs w:val="20"/>
    </w:rPr>
  </w:style>
  <w:style w:type="paragraph" w:styleId="Header">
    <w:name w:val="header"/>
    <w:basedOn w:val="Normal"/>
    <w:link w:val="HeaderChar"/>
    <w:uiPriority w:val="99"/>
    <w:unhideWhenUsed/>
    <w:rsid w:val="00136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C8"/>
    <w:rPr>
      <w:rFonts w:eastAsiaTheme="minorEastAsia"/>
    </w:rPr>
  </w:style>
  <w:style w:type="paragraph" w:styleId="Footer">
    <w:name w:val="footer"/>
    <w:basedOn w:val="Normal"/>
    <w:link w:val="FooterChar"/>
    <w:uiPriority w:val="99"/>
    <w:unhideWhenUsed/>
    <w:rsid w:val="00136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C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682"/>
    <w:pPr>
      <w:ind w:left="720"/>
      <w:contextualSpacing/>
    </w:pPr>
    <w:rPr>
      <w:rFonts w:eastAsiaTheme="minorHAnsi"/>
    </w:rPr>
  </w:style>
  <w:style w:type="table" w:styleId="TableGrid">
    <w:name w:val="Table Grid"/>
    <w:basedOn w:val="TableNormal"/>
    <w:uiPriority w:val="59"/>
    <w:rsid w:val="00AA0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0682"/>
    <w:rPr>
      <w:sz w:val="16"/>
      <w:szCs w:val="16"/>
    </w:rPr>
  </w:style>
  <w:style w:type="paragraph" w:styleId="CommentText">
    <w:name w:val="annotation text"/>
    <w:basedOn w:val="Normal"/>
    <w:link w:val="CommentTextChar"/>
    <w:uiPriority w:val="99"/>
    <w:semiHidden/>
    <w:unhideWhenUsed/>
    <w:rsid w:val="00AA068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A0682"/>
    <w:rPr>
      <w:sz w:val="20"/>
      <w:szCs w:val="20"/>
    </w:rPr>
  </w:style>
  <w:style w:type="paragraph" w:styleId="BalloonText">
    <w:name w:val="Balloon Text"/>
    <w:basedOn w:val="Normal"/>
    <w:link w:val="BalloonTextChar"/>
    <w:uiPriority w:val="99"/>
    <w:semiHidden/>
    <w:unhideWhenUsed/>
    <w:rsid w:val="00AA0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82"/>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AA0682"/>
    <w:rPr>
      <w:rFonts w:eastAsiaTheme="minorEastAsia"/>
      <w:b/>
      <w:bCs/>
    </w:rPr>
  </w:style>
  <w:style w:type="character" w:customStyle="1" w:styleId="CommentSubjectChar">
    <w:name w:val="Comment Subject Char"/>
    <w:basedOn w:val="CommentTextChar"/>
    <w:link w:val="CommentSubject"/>
    <w:uiPriority w:val="99"/>
    <w:semiHidden/>
    <w:rsid w:val="00AA0682"/>
    <w:rPr>
      <w:rFonts w:eastAsiaTheme="minorEastAsia"/>
      <w:b/>
      <w:bCs/>
      <w:sz w:val="20"/>
      <w:szCs w:val="20"/>
    </w:rPr>
  </w:style>
  <w:style w:type="paragraph" w:styleId="Header">
    <w:name w:val="header"/>
    <w:basedOn w:val="Normal"/>
    <w:link w:val="HeaderChar"/>
    <w:uiPriority w:val="99"/>
    <w:unhideWhenUsed/>
    <w:rsid w:val="00136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C8"/>
    <w:rPr>
      <w:rFonts w:eastAsiaTheme="minorEastAsia"/>
    </w:rPr>
  </w:style>
  <w:style w:type="paragraph" w:styleId="Footer">
    <w:name w:val="footer"/>
    <w:basedOn w:val="Normal"/>
    <w:link w:val="FooterChar"/>
    <w:uiPriority w:val="99"/>
    <w:unhideWhenUsed/>
    <w:rsid w:val="00136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C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Gallup, Inc.</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Camille</dc:creator>
  <cp:lastModifiedBy>Zurla , Christina</cp:lastModifiedBy>
  <cp:revision>3</cp:revision>
  <dcterms:created xsi:type="dcterms:W3CDTF">2012-06-22T17:43:00Z</dcterms:created>
  <dcterms:modified xsi:type="dcterms:W3CDTF">2012-06-22T18:08:00Z</dcterms:modified>
</cp:coreProperties>
</file>