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09" w:rsidRPr="00DD6C00" w:rsidRDefault="004B5609" w:rsidP="00597643">
      <w:pPr>
        <w:jc w:val="center"/>
        <w:rPr>
          <w:rFonts w:ascii="Arial" w:hAnsi="Arial" w:cs="Arial"/>
        </w:rPr>
      </w:pPr>
      <w:r>
        <w:rPr>
          <w:rFonts w:ascii="Arial" w:hAnsi="Arial" w:cs="Arial"/>
          <w:b/>
        </w:rPr>
        <w:t>PAPERWORK REDUCTION ACT</w:t>
      </w:r>
    </w:p>
    <w:p w:rsidR="004B5609" w:rsidRDefault="004B5609" w:rsidP="00597643">
      <w:pPr>
        <w:jc w:val="center"/>
        <w:outlineLvl w:val="0"/>
        <w:rPr>
          <w:rFonts w:ascii="Arial" w:hAnsi="Arial" w:cs="Arial"/>
          <w:b/>
        </w:rPr>
      </w:pPr>
      <w:r>
        <w:rPr>
          <w:rFonts w:ascii="Arial" w:hAnsi="Arial" w:cs="Arial"/>
          <w:b/>
        </w:rPr>
        <w:t>LABOR ORGANIZATION OFFICER AND EMPLOYEE REPORT</w:t>
      </w:r>
    </w:p>
    <w:p w:rsidR="004B5609" w:rsidRDefault="004B5609" w:rsidP="00597643">
      <w:pPr>
        <w:jc w:val="center"/>
        <w:rPr>
          <w:rFonts w:ascii="Arial" w:hAnsi="Arial" w:cs="Arial"/>
          <w:b/>
        </w:rPr>
      </w:pPr>
      <w:r>
        <w:rPr>
          <w:rFonts w:ascii="Arial" w:hAnsi="Arial" w:cs="Arial"/>
          <w:b/>
        </w:rPr>
        <w:t>SUPPORTING STATEMENT</w:t>
      </w:r>
    </w:p>
    <w:p w:rsidR="004B5609" w:rsidRDefault="004B5609" w:rsidP="00014EF9">
      <w:pPr>
        <w:rPr>
          <w:rFonts w:ascii="Arial" w:hAnsi="Arial" w:cs="Arial"/>
        </w:rPr>
      </w:pPr>
    </w:p>
    <w:p w:rsidR="004B5609" w:rsidRDefault="004B5609" w:rsidP="00014EF9">
      <w:pPr>
        <w:rPr>
          <w:rFonts w:ascii="Arial" w:hAnsi="Arial" w:cs="Arial"/>
        </w:rPr>
      </w:pPr>
    </w:p>
    <w:p w:rsidR="004B5609" w:rsidRDefault="004B5609" w:rsidP="008654CB">
      <w:pPr>
        <w:outlineLvl w:val="0"/>
        <w:rPr>
          <w:rFonts w:ascii="Arial" w:hAnsi="Arial" w:cs="Arial"/>
        </w:rPr>
      </w:pPr>
      <w:r>
        <w:rPr>
          <w:rFonts w:ascii="Arial" w:hAnsi="Arial" w:cs="Arial"/>
          <w:b/>
        </w:rPr>
        <w:t xml:space="preserve">A.  </w:t>
      </w:r>
      <w:r>
        <w:rPr>
          <w:rFonts w:ascii="Arial" w:hAnsi="Arial" w:cs="Arial"/>
          <w:b/>
          <w:u w:val="single"/>
        </w:rPr>
        <w:t>JUSTIFICATION</w:t>
      </w:r>
    </w:p>
    <w:p w:rsidR="004B5609" w:rsidRDefault="004B5609" w:rsidP="00014EF9">
      <w:pPr>
        <w:rPr>
          <w:rFonts w:ascii="Arial" w:hAnsi="Arial" w:cs="Arial"/>
        </w:rPr>
      </w:pPr>
    </w:p>
    <w:p w:rsidR="004B5609" w:rsidRPr="001977AD" w:rsidRDefault="004B5609" w:rsidP="001C3403">
      <w:pPr>
        <w:numPr>
          <w:ilvl w:val="0"/>
          <w:numId w:val="11"/>
        </w:numPr>
        <w:tabs>
          <w:tab w:val="clear" w:pos="720"/>
          <w:tab w:val="num" w:pos="360"/>
        </w:tabs>
        <w:ind w:left="360"/>
        <w:rPr>
          <w:rFonts w:ascii="Arial" w:hAnsi="Arial" w:cs="Arial"/>
          <w:b/>
          <w:bCs/>
        </w:rPr>
      </w:pPr>
      <w:r w:rsidRPr="001977AD">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B5609" w:rsidRPr="001C3403" w:rsidRDefault="004B5609" w:rsidP="001C3403">
      <w:pPr>
        <w:ind w:left="360"/>
        <w:rPr>
          <w:rFonts w:ascii="Arial" w:hAnsi="Arial" w:cs="Arial"/>
          <w:bCs/>
        </w:rPr>
      </w:pPr>
    </w:p>
    <w:p w:rsidR="004B5609" w:rsidRDefault="004B5609" w:rsidP="00014EF9">
      <w:pPr>
        <w:rPr>
          <w:rFonts w:ascii="Arial" w:hAnsi="Arial" w:cs="Arial"/>
        </w:rPr>
      </w:pPr>
      <w:r>
        <w:rPr>
          <w:rFonts w:ascii="Arial" w:hAnsi="Arial" w:cs="Arial"/>
        </w:rPr>
        <w:t xml:space="preserve">Congress enacted the Labor-Management Reporting and Disclosure Act (LMRDA), 29 U.S.C. 401 et. seq., to provide for the disclosure of information on the financial transactions and administrative practices of labor organizations, and, under certain circumstances, for reporting by labor organization officers and employees, employers, labor relations consultants, and surety companies.  Section 208 of the Act, 29 U.S.C. 438, authorizes the Secretary 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4B5609" w:rsidRDefault="004B5609" w:rsidP="00AB2C7B">
      <w:pPr>
        <w:widowControl/>
        <w:tabs>
          <w:tab w:val="left" w:pos="540"/>
        </w:tabs>
        <w:rPr>
          <w:rFonts w:ascii="Arial" w:hAnsi="Arial" w:cs="Arial"/>
        </w:rPr>
      </w:pPr>
    </w:p>
    <w:p w:rsidR="004B5609" w:rsidRDefault="004B5609" w:rsidP="00AB2C7B">
      <w:pPr>
        <w:widowControl/>
        <w:tabs>
          <w:tab w:val="left" w:pos="540"/>
        </w:tabs>
        <w:rPr>
          <w:rFonts w:ascii="Arial" w:hAnsi="Arial" w:cs="Arial"/>
          <w:color w:val="000000"/>
          <w:sz w:val="20"/>
        </w:rPr>
      </w:pPr>
      <w:r>
        <w:rPr>
          <w:rFonts w:ascii="Arial" w:hAnsi="Arial" w:cs="Arial"/>
        </w:rPr>
        <w:t>Pursuant to section 208, the Secretary established the Form LM-30</w:t>
      </w:r>
      <w:r w:rsidRPr="00A938FC">
        <w:rPr>
          <w:rFonts w:ascii="Arial" w:hAnsi="Arial" w:cs="Arial"/>
        </w:rPr>
        <w:t xml:space="preserve"> </w:t>
      </w:r>
      <w:r w:rsidRPr="005B5CD2">
        <w:rPr>
          <w:rFonts w:ascii="Arial" w:hAnsi="Arial" w:cs="Arial"/>
        </w:rPr>
        <w:t>Labor Organization Officer and Employee Report,</w:t>
      </w:r>
      <w:r>
        <w:rPr>
          <w:rFonts w:ascii="Arial" w:hAnsi="Arial" w:cs="Arial"/>
        </w:rPr>
        <w:t xml:space="preserve"> 29 CFR Part 404 and 29 U.S.C. 432.  The Form LM-30 requires e</w:t>
      </w:r>
      <w:r w:rsidRPr="00BD5DD8">
        <w:rPr>
          <w:rFonts w:ascii="Arial" w:hAnsi="Arial" w:cs="Arial"/>
          <w:szCs w:val="24"/>
        </w:rPr>
        <w:t xml:space="preserve">very labor organization officer and employee (other than an employee performing exclusively clerical or custodial services) </w:t>
      </w:r>
      <w:r>
        <w:rPr>
          <w:rFonts w:ascii="Arial" w:hAnsi="Arial" w:cs="Arial"/>
          <w:szCs w:val="24"/>
        </w:rPr>
        <w:t>to file a Form LM-30 report within 90 days after</w:t>
      </w:r>
      <w:r w:rsidRPr="00BD5DD8">
        <w:rPr>
          <w:rFonts w:ascii="Arial" w:hAnsi="Arial" w:cs="Arial"/>
          <w:szCs w:val="24"/>
        </w:rPr>
        <w:t xml:space="preserve"> the end of his/her fiscal year </w:t>
      </w:r>
      <w:r>
        <w:rPr>
          <w:rFonts w:ascii="Arial" w:hAnsi="Arial" w:cs="Arial"/>
          <w:szCs w:val="24"/>
        </w:rPr>
        <w:t>listing and describing certain financial transactions engaged in, and interests held by, the officer or employee or his/her spouse or minor child:</w:t>
      </w:r>
    </w:p>
    <w:p w:rsidR="004B5609" w:rsidRDefault="004B5609" w:rsidP="00BD5DD8">
      <w:pPr>
        <w:widowControl/>
        <w:tabs>
          <w:tab w:val="left" w:pos="540"/>
        </w:tabs>
        <w:ind w:left="180"/>
        <w:rPr>
          <w:rFonts w:ascii="Arial" w:hAnsi="Arial" w:cs="Arial"/>
          <w:color w:val="000000"/>
          <w:sz w:val="20"/>
        </w:rPr>
      </w:pPr>
    </w:p>
    <w:p w:rsidR="004B5609" w:rsidRPr="00B50CB6" w:rsidRDefault="004B5609" w:rsidP="00BD5DD8">
      <w:pPr>
        <w:widowControl/>
        <w:tabs>
          <w:tab w:val="left" w:pos="540"/>
        </w:tabs>
        <w:ind w:left="180"/>
        <w:rPr>
          <w:rFonts w:ascii="Arial" w:hAnsi="Arial" w:cs="Arial"/>
          <w:color w:val="000000"/>
          <w:szCs w:val="24"/>
        </w:rPr>
      </w:pPr>
      <w:r w:rsidRPr="00B50CB6">
        <w:rPr>
          <w:rFonts w:ascii="Arial" w:hAnsi="Arial" w:cs="Arial"/>
          <w:color w:val="000000"/>
          <w:szCs w:val="24"/>
        </w:rPr>
        <w:t>(1) legal and equitable interests, transactions with, and economic benefits fr</w:t>
      </w:r>
      <w:r>
        <w:rPr>
          <w:rFonts w:ascii="Arial" w:hAnsi="Arial" w:cs="Arial"/>
          <w:color w:val="000000"/>
          <w:szCs w:val="24"/>
        </w:rPr>
        <w:t xml:space="preserve">om an employer whose employees </w:t>
      </w:r>
      <w:r w:rsidRPr="00B50CB6">
        <w:rPr>
          <w:rFonts w:ascii="Arial" w:hAnsi="Arial" w:cs="Arial"/>
          <w:color w:val="000000"/>
          <w:szCs w:val="24"/>
        </w:rPr>
        <w:t>his/her union represents or seeks to represent; (2) legal and equitable interests in, transactions with, and economic benefits from certain businesses which deal with the business of the employer whose employees the union represents or seeks to represent, or which deal with the union or a trust in which the labor organization is interested; and (3) certain income and other economic benefits received from any employer or labor relations consultant</w:t>
      </w:r>
      <w:r>
        <w:rPr>
          <w:rFonts w:ascii="Arial" w:hAnsi="Arial" w:cs="Arial"/>
          <w:color w:val="000000"/>
          <w:szCs w:val="24"/>
        </w:rPr>
        <w:t>.</w:t>
      </w:r>
      <w:r w:rsidRPr="00B50CB6">
        <w:rPr>
          <w:rFonts w:ascii="Arial" w:hAnsi="Arial" w:cs="Arial"/>
          <w:color w:val="000000"/>
          <w:szCs w:val="24"/>
        </w:rPr>
        <w:t xml:space="preserve">  </w:t>
      </w:r>
    </w:p>
    <w:p w:rsidR="004B5609" w:rsidRDefault="004B5609" w:rsidP="00A938FC">
      <w:pPr>
        <w:rPr>
          <w:rFonts w:ascii="Arial" w:hAnsi="Arial" w:cs="Arial"/>
        </w:rPr>
      </w:pPr>
    </w:p>
    <w:p w:rsidR="004B5609" w:rsidRDefault="004B5609" w:rsidP="00A938FC">
      <w:pPr>
        <w:rPr>
          <w:rFonts w:ascii="Arial" w:hAnsi="Arial" w:cs="Arial"/>
        </w:rPr>
      </w:pPr>
      <w:r>
        <w:rPr>
          <w:rFonts w:ascii="Arial" w:hAnsi="Arial" w:cs="Arial"/>
        </w:rPr>
        <w:t>The Form LM-30 applies to officers and employees of labor organizations with private sector employees working in interstate commerce within the meaning of sections 3(i) and (j) of the LMRDA, 29 U.S.C. 402(i) and (j), and of labor organizations composed of U.S. Postal Service employees.  It does not apply to officers and employees of labor organizations that represent employees of the executive branch agencies of the Federal Government, the Library of Congress, the Government Printing Office, or employees of the U.S. Congress.  Form LM-30 filers must ensure the maintenance and retention of supporting records for five years after the required reports are filed.</w:t>
      </w:r>
    </w:p>
    <w:p w:rsidR="004B5609" w:rsidRDefault="004B5609" w:rsidP="00A938FC">
      <w:pPr>
        <w:rPr>
          <w:rFonts w:ascii="Arial" w:hAnsi="Arial" w:cs="Arial"/>
        </w:rPr>
      </w:pPr>
    </w:p>
    <w:p w:rsidR="004B5609" w:rsidRDefault="004B5609" w:rsidP="00014EF9">
      <w:pPr>
        <w:rPr>
          <w:rFonts w:ascii="Arial" w:hAnsi="Arial" w:cs="Arial"/>
          <w:szCs w:val="24"/>
        </w:rPr>
      </w:pPr>
      <w:r w:rsidRPr="00101D63">
        <w:rPr>
          <w:rFonts w:ascii="Arial" w:hAnsi="Arial" w:cs="Arial"/>
          <w:szCs w:val="24"/>
        </w:rPr>
        <w:t xml:space="preserve">Copies of sections 202 and 208 of the LMRDA, 29 U.S.C. 432 and 438, are </w:t>
      </w:r>
      <w:r>
        <w:rPr>
          <w:rFonts w:ascii="Arial" w:hAnsi="Arial" w:cs="Arial"/>
          <w:szCs w:val="24"/>
        </w:rPr>
        <w:t>included in this document as appendices</w:t>
      </w:r>
      <w:r w:rsidRPr="00101D63">
        <w:rPr>
          <w:rFonts w:ascii="Arial" w:hAnsi="Arial" w:cs="Arial"/>
          <w:szCs w:val="24"/>
        </w:rPr>
        <w:t xml:space="preserve">.  </w:t>
      </w:r>
      <w:r w:rsidRPr="0004461D">
        <w:rPr>
          <w:rFonts w:ascii="Arial" w:hAnsi="Arial" w:cs="Arial"/>
          <w:szCs w:val="24"/>
        </w:rPr>
        <w:t>Also, attached for your information are copies of the proposed revised Form LM-30 and instructions.</w:t>
      </w:r>
    </w:p>
    <w:p w:rsidR="004B5609" w:rsidRPr="00101D63" w:rsidRDefault="004B5609" w:rsidP="00014EF9">
      <w:pPr>
        <w:rPr>
          <w:rFonts w:ascii="Arial" w:hAnsi="Arial" w:cs="Arial"/>
          <w:szCs w:val="24"/>
        </w:rPr>
      </w:pPr>
    </w:p>
    <w:p w:rsidR="004B5609" w:rsidRPr="001977AD" w:rsidRDefault="004B5609" w:rsidP="001C3403">
      <w:pPr>
        <w:numPr>
          <w:ilvl w:val="0"/>
          <w:numId w:val="11"/>
        </w:numPr>
        <w:tabs>
          <w:tab w:val="clear" w:pos="720"/>
        </w:tabs>
        <w:ind w:left="360"/>
        <w:rPr>
          <w:rFonts w:ascii="Arial" w:hAnsi="Arial" w:cs="Arial"/>
          <w:b/>
          <w:bCs/>
        </w:rPr>
      </w:pPr>
      <w:r w:rsidRPr="001977AD">
        <w:rPr>
          <w:rFonts w:ascii="Arial" w:hAnsi="Arial" w:cs="Arial"/>
          <w:b/>
          <w:bCs/>
        </w:rPr>
        <w:t>Indicate how, by whom, and for what purpose the information is to be used.  Except for a new collection, indicate the actual use the agency has made of the information received from the current collection.</w:t>
      </w:r>
    </w:p>
    <w:p w:rsidR="004B5609" w:rsidRDefault="004B5609" w:rsidP="001C3403">
      <w:pPr>
        <w:rPr>
          <w:rFonts w:ascii="Arial" w:hAnsi="Arial" w:cs="Arial"/>
          <w:bCs/>
        </w:rPr>
      </w:pPr>
    </w:p>
    <w:p w:rsidR="004B5609" w:rsidRDefault="004B5609" w:rsidP="001C3403">
      <w:pPr>
        <w:rPr>
          <w:rFonts w:ascii="Arial" w:hAnsi="Arial" w:cs="Arial"/>
        </w:rPr>
      </w:pPr>
      <w:r>
        <w:rPr>
          <w:rFonts w:ascii="Arial" w:hAnsi="Arial" w:cs="Arial"/>
        </w:rPr>
        <w:t>Pursuant to §205 of the LMRDA, the purpose of the Form LM-30 reporting requirements is the public disclosure of financial information for covered labor organization employees and officers, which may reveal potential conflicts of interest between the duties of such officers and employees and their respective labor organizations.  The information supplied on the reports is used primarily by 1) labor organization members to self-govern their labor organizations; 2) the Department of Labor and other government agencies to detect improper practices on the part of labor organization officers, employees, and other filers; and 3) the Congress in oversight and legislative functions.  The general public, the media, and researchers may also use the information for their own purposes.</w:t>
      </w:r>
    </w:p>
    <w:p w:rsidR="004B5609" w:rsidRDefault="004B5609" w:rsidP="00014EF9">
      <w:pPr>
        <w:rPr>
          <w:rFonts w:ascii="Arial" w:hAnsi="Arial" w:cs="Arial"/>
        </w:rPr>
      </w:pPr>
    </w:p>
    <w:p w:rsidR="004B5609" w:rsidRDefault="004B5609" w:rsidP="00014EF9">
      <w:pPr>
        <w:rPr>
          <w:rFonts w:ascii="Arial" w:hAnsi="Arial" w:cs="Arial"/>
        </w:rPr>
      </w:pPr>
      <w:r>
        <w:rPr>
          <w:rFonts w:ascii="Arial" w:hAnsi="Arial" w:cs="Arial"/>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4B5609" w:rsidRDefault="004B5609" w:rsidP="00014EF9">
      <w:pPr>
        <w:rPr>
          <w:rFonts w:ascii="Arial" w:hAnsi="Arial" w:cs="Arial"/>
        </w:rPr>
      </w:pPr>
    </w:p>
    <w:p w:rsidR="004B5609" w:rsidRDefault="004B5609" w:rsidP="00014EF9">
      <w:r>
        <w:rPr>
          <w:rFonts w:ascii="Arial" w:hAnsi="Arial" w:cs="Arial"/>
        </w:rPr>
        <w:t xml:space="preserve">Since June 2002, an Internet Web site (www.unionreports.gov) makes it possible for anyone to view online Form LM-30 reports for years 2000 and later.  Additionally, reports for earlier years can be ordered there.   </w:t>
      </w:r>
    </w:p>
    <w:p w:rsidR="004B5609" w:rsidRDefault="004B5609" w:rsidP="00014EF9">
      <w:pPr>
        <w:rPr>
          <w:rFonts w:ascii="Arial" w:hAnsi="Arial" w:cs="Arial"/>
        </w:rPr>
      </w:pPr>
    </w:p>
    <w:p w:rsidR="004B5609" w:rsidRDefault="004B5609" w:rsidP="00014EF9">
      <w:pPr>
        <w:rPr>
          <w:rFonts w:ascii="Arial" w:hAnsi="Arial" w:cs="Arial"/>
        </w:rPr>
      </w:pPr>
      <w:r>
        <w:rPr>
          <w:rFonts w:ascii="Arial" w:hAnsi="Arial" w:cs="Arial"/>
        </w:rPr>
        <w:t xml:space="preserve">Copies of every report submitted are also maintained for public inspection, for copying, upon request, at the U.S. Department of Labor, Room N-1519, </w:t>
      </w:r>
      <w:smartTag w:uri="urn:schemas-microsoft-com:office:smarttags" w:element="address">
        <w:smartTag w:uri="urn:schemas-microsoft-com:office:smarttags" w:element="Street">
          <w:r>
            <w:rPr>
              <w:rFonts w:ascii="Arial" w:hAnsi="Arial" w:cs="Arial"/>
            </w:rPr>
            <w:t>200 Constitution Avenue, NW</w:t>
          </w:r>
        </w:smartTag>
        <w:r>
          <w:rPr>
            <w:rFonts w:ascii="Arial" w:hAnsi="Arial" w:cs="Arial"/>
          </w:rPr>
          <w:t xml:space="preserve">, </w:t>
        </w:r>
        <w:smartTag w:uri="urn:schemas-microsoft-com:office:smarttags" w:element="State">
          <w:r>
            <w:rPr>
              <w:rFonts w:ascii="Arial" w:hAnsi="Arial" w:cs="Arial"/>
            </w:rPr>
            <w:t>Washington</w:t>
          </w:r>
        </w:smartTag>
        <w:r>
          <w:rPr>
            <w:rFonts w:ascii="Arial" w:hAnsi="Arial" w:cs="Arial"/>
          </w:rPr>
          <w:t xml:space="preserve">, </w:t>
        </w:r>
        <w:smartTag w:uri="urn:schemas-microsoft-com:office:smarttags" w:element="State">
          <w:r>
            <w:rPr>
              <w:rFonts w:ascii="Arial" w:hAnsi="Arial" w:cs="Arial"/>
            </w:rPr>
            <w:t>D.C.</w:t>
          </w:r>
        </w:smartTag>
      </w:smartTag>
      <w:r>
        <w:rPr>
          <w:rFonts w:ascii="Arial" w:hAnsi="Arial" w:cs="Arial"/>
        </w:rPr>
        <w:t xml:space="preserve">  20210.  </w:t>
      </w:r>
    </w:p>
    <w:p w:rsidR="004B5609" w:rsidRDefault="004B5609" w:rsidP="00014EF9">
      <w:pPr>
        <w:rPr>
          <w:rFonts w:ascii="Arial" w:hAnsi="Arial" w:cs="Arial"/>
        </w:rPr>
      </w:pPr>
    </w:p>
    <w:p w:rsidR="004B5609" w:rsidRDefault="004B5609" w:rsidP="00F6407D">
      <w:pPr>
        <w:ind w:left="360" w:hanging="360"/>
        <w:rPr>
          <w:rFonts w:ascii="Arial" w:hAnsi="Arial" w:cs="Arial"/>
          <w:bCs/>
        </w:rPr>
      </w:pPr>
      <w:r>
        <w:rPr>
          <w:rFonts w:ascii="Arial" w:hAnsi="Arial" w:cs="Arial"/>
          <w:b/>
        </w:rPr>
        <w:t xml:space="preserve">3.  </w:t>
      </w:r>
      <w:r w:rsidRPr="001977AD">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4B5609" w:rsidRDefault="004B5609" w:rsidP="00F6407D">
      <w:pPr>
        <w:ind w:left="360" w:hanging="360"/>
        <w:rPr>
          <w:rFonts w:ascii="Arial" w:hAnsi="Arial" w:cs="Arial"/>
          <w:bCs/>
        </w:rPr>
      </w:pPr>
    </w:p>
    <w:p w:rsidR="004B5609" w:rsidRDefault="004B5609" w:rsidP="00F6407D">
      <w:r>
        <w:rPr>
          <w:rFonts w:ascii="Arial" w:hAnsi="Arial" w:cs="Arial"/>
          <w:bCs/>
        </w:rPr>
        <w:t>Form LM-30 filers currently do not have the option of submitting their forms to the Department electronically, although, they do have the option of downloading from the OLMS Web site a fillable PDF of the form.  Additionally, s</w:t>
      </w:r>
      <w:r>
        <w:rPr>
          <w:rFonts w:ascii="Arial" w:hAnsi="Arial" w:cs="Arial"/>
        </w:rPr>
        <w:t xml:space="preserve">ince June 2002, an Internet Web site (www.unionreports.gov) makes it possible for anyone to view online Form LM-30 reports for years 2000 and later.  Further, reports for earlier years can be ordered there.   </w:t>
      </w:r>
    </w:p>
    <w:p w:rsidR="004B5609" w:rsidRDefault="004B5609" w:rsidP="00014EF9">
      <w:pPr>
        <w:rPr>
          <w:rFonts w:ascii="Arial" w:hAnsi="Arial" w:cs="Arial"/>
          <w:bCs/>
        </w:rPr>
      </w:pPr>
    </w:p>
    <w:p w:rsidR="004B5609" w:rsidRDefault="004B5609" w:rsidP="00C3389E">
      <w:pPr>
        <w:ind w:left="360" w:hanging="360"/>
        <w:rPr>
          <w:rFonts w:ascii="Arial" w:hAnsi="Arial" w:cs="Arial"/>
          <w:bCs/>
        </w:rPr>
      </w:pPr>
      <w:r>
        <w:rPr>
          <w:rFonts w:ascii="Arial" w:hAnsi="Arial" w:cs="Arial"/>
          <w:bCs/>
        </w:rPr>
        <w:t xml:space="preserve">4.  </w:t>
      </w:r>
      <w:r w:rsidRPr="001977AD">
        <w:rPr>
          <w:rFonts w:ascii="Arial" w:hAnsi="Arial" w:cs="Arial"/>
          <w:b/>
          <w:bCs/>
        </w:rPr>
        <w:t>Describe efforts to identify duplication.  Show specifically why any similar information already available cannot be used or modified for use for the purposes described in Item A.2 above.</w:t>
      </w:r>
    </w:p>
    <w:p w:rsidR="004B5609" w:rsidRDefault="004B5609" w:rsidP="00014EF9">
      <w:pPr>
        <w:rPr>
          <w:rFonts w:ascii="Arial" w:hAnsi="Arial" w:cs="Arial"/>
          <w:bCs/>
        </w:rPr>
      </w:pPr>
    </w:p>
    <w:p w:rsidR="004B5609" w:rsidRDefault="004B5609" w:rsidP="00014EF9">
      <w:pPr>
        <w:rPr>
          <w:rFonts w:ascii="Arial" w:hAnsi="Arial" w:cs="Arial"/>
        </w:rPr>
      </w:pPr>
      <w:r>
        <w:rPr>
          <w:rFonts w:ascii="Arial" w:hAnsi="Arial" w:cs="Arial"/>
        </w:rPr>
        <w:t xml:space="preserve">The Form LM-30 reporting and recordkeeping requirements are not duplicated by any other federal agency or statute.  The Form LM-30 requires labor organization officers and employees to report certain payments from employers.  Form LM-10 requires employers to report, among other things, certain payments to labor organization officers and employees.  This results in some duplicate reporting, a result mandated by Congress in designing parallel reporting schemes to facilitate compliance.  See 29 U.S.C. §§ 432, 433.  </w:t>
      </w:r>
    </w:p>
    <w:p w:rsidR="004B5609" w:rsidRDefault="004B5609" w:rsidP="00014EF9">
      <w:pPr>
        <w:rPr>
          <w:rFonts w:ascii="Arial" w:hAnsi="Arial" w:cs="Arial"/>
        </w:rPr>
      </w:pPr>
    </w:p>
    <w:p w:rsidR="004B5609" w:rsidRDefault="004B5609" w:rsidP="00C3389E">
      <w:pPr>
        <w:ind w:left="360" w:hanging="360"/>
        <w:rPr>
          <w:rFonts w:ascii="Arial" w:hAnsi="Arial" w:cs="Arial"/>
          <w:bCs/>
        </w:rPr>
      </w:pPr>
      <w:r>
        <w:rPr>
          <w:rFonts w:ascii="Arial" w:hAnsi="Arial" w:cs="Arial"/>
          <w:b/>
        </w:rPr>
        <w:t>5.</w:t>
      </w:r>
      <w:r>
        <w:rPr>
          <w:rFonts w:ascii="Arial" w:hAnsi="Arial" w:cs="Arial"/>
        </w:rPr>
        <w:t xml:space="preserve"> </w:t>
      </w:r>
      <w:r w:rsidRPr="001977AD">
        <w:rPr>
          <w:rFonts w:ascii="Arial" w:hAnsi="Arial" w:cs="Arial"/>
          <w:b/>
          <w:bCs/>
        </w:rPr>
        <w:t>If the collection of information impacts small businesses or other small entities, describe any methods used to minimize burden.</w:t>
      </w:r>
    </w:p>
    <w:p w:rsidR="004B5609" w:rsidRDefault="004B5609" w:rsidP="00014EF9">
      <w:pPr>
        <w:rPr>
          <w:rFonts w:ascii="Arial" w:hAnsi="Arial" w:cs="Arial"/>
          <w:bCs/>
        </w:rPr>
      </w:pPr>
    </w:p>
    <w:p w:rsidR="004B5609" w:rsidRDefault="004B5609" w:rsidP="00014EF9">
      <w:pPr>
        <w:rPr>
          <w:rFonts w:ascii="Arial" w:hAnsi="Arial" w:cs="Arial"/>
        </w:rPr>
      </w:pPr>
      <w:r>
        <w:rPr>
          <w:rFonts w:ascii="Arial" w:hAnsi="Arial" w:cs="Arial"/>
        </w:rPr>
        <w:t>This information collection does not have a significant economic impact on a substantial number of small entities.</w:t>
      </w:r>
    </w:p>
    <w:p w:rsidR="004B5609" w:rsidRDefault="004B5609" w:rsidP="00014EF9">
      <w:pPr>
        <w:rPr>
          <w:rFonts w:ascii="Arial" w:hAnsi="Arial" w:cs="Arial"/>
        </w:rPr>
      </w:pPr>
    </w:p>
    <w:p w:rsidR="004B5609" w:rsidRDefault="004B5609" w:rsidP="00014EF9">
      <w:pPr>
        <w:rPr>
          <w:rFonts w:ascii="Arial" w:hAnsi="Arial" w:cs="Arial"/>
          <w:b/>
        </w:rPr>
      </w:pPr>
      <w:r w:rsidRPr="00C3389E">
        <w:rPr>
          <w:rFonts w:ascii="Arial" w:hAnsi="Arial" w:cs="Arial"/>
          <w:b/>
          <w:bCs/>
        </w:rPr>
        <w:t>6.</w:t>
      </w:r>
      <w:r>
        <w:rPr>
          <w:rFonts w:ascii="Arial" w:hAnsi="Arial" w:cs="Arial"/>
          <w:bCs/>
        </w:rPr>
        <w:t xml:space="preserve"> </w:t>
      </w:r>
      <w:r w:rsidRPr="001977AD">
        <w:rPr>
          <w:rFonts w:ascii="Arial" w:hAnsi="Arial" w:cs="Arial"/>
          <w:b/>
          <w:bCs/>
        </w:rPr>
        <w:t>Describe the consequence to federal program or policy activities if the collection is not conducted or is conducted less frequently, as well as any technical or legal obstacles to reducing burden.</w:t>
      </w:r>
    </w:p>
    <w:p w:rsidR="004B5609" w:rsidRDefault="004B5609" w:rsidP="00014EF9">
      <w:pPr>
        <w:rPr>
          <w:rFonts w:ascii="Arial" w:hAnsi="Arial" w:cs="Arial"/>
          <w:b/>
        </w:rPr>
      </w:pPr>
    </w:p>
    <w:p w:rsidR="004B5609" w:rsidRDefault="004B5609" w:rsidP="00014EF9">
      <w:pPr>
        <w:rPr>
          <w:rFonts w:ascii="Arial" w:hAnsi="Arial" w:cs="Arial"/>
        </w:rPr>
      </w:pPr>
      <w:r>
        <w:rPr>
          <w:rFonts w:ascii="Arial" w:hAnsi="Arial" w:cs="Arial"/>
        </w:rPr>
        <w:t xml:space="preserve">The LMRDA explicitly sets the frequency of required filings so any change would require a statutory amendment.  If the information were collected less frequently, OLMS would not have current information available to make the essential public disclosure and to conduct enforcement and oversight activities.  </w:t>
      </w:r>
    </w:p>
    <w:p w:rsidR="004B5609" w:rsidRDefault="004B5609" w:rsidP="00014EF9">
      <w:pPr>
        <w:rPr>
          <w:rFonts w:ascii="Arial" w:hAnsi="Arial" w:cs="Arial"/>
          <w:szCs w:val="24"/>
        </w:rPr>
      </w:pPr>
    </w:p>
    <w:p w:rsidR="004B5609" w:rsidRPr="001977AD" w:rsidRDefault="004B5609" w:rsidP="003325C2">
      <w:pPr>
        <w:ind w:left="720" w:hanging="720"/>
        <w:rPr>
          <w:rFonts w:ascii="Arial" w:hAnsi="Arial" w:cs="Arial"/>
          <w:b/>
          <w:bCs/>
        </w:rPr>
      </w:pPr>
      <w:r>
        <w:rPr>
          <w:rFonts w:ascii="Arial" w:hAnsi="Arial" w:cs="Arial"/>
          <w:b/>
        </w:rPr>
        <w:t>7.</w:t>
      </w:r>
      <w:r>
        <w:rPr>
          <w:rFonts w:ascii="Arial" w:hAnsi="Arial" w:cs="Arial"/>
        </w:rPr>
        <w:t xml:space="preserve">  </w:t>
      </w:r>
      <w:r w:rsidRPr="001977AD">
        <w:rPr>
          <w:rFonts w:ascii="Arial" w:hAnsi="Arial" w:cs="Arial"/>
          <w:b/>
          <w:bCs/>
        </w:rPr>
        <w:t>Explain any special circumstances that would cause an information collection to be conducted in a manner:</w:t>
      </w:r>
    </w:p>
    <w:p w:rsidR="004B5609" w:rsidRPr="001977AD" w:rsidRDefault="004B5609" w:rsidP="003325C2">
      <w:pPr>
        <w:rPr>
          <w:rFonts w:ascii="Arial" w:hAnsi="Arial" w:cs="Arial"/>
          <w:b/>
          <w:bCs/>
        </w:rPr>
      </w:pPr>
    </w:p>
    <w:p w:rsidR="004B5609" w:rsidRPr="001977AD" w:rsidRDefault="004B5609" w:rsidP="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report information to the agency more often than quarterly;</w:t>
      </w:r>
    </w:p>
    <w:p w:rsidR="004B5609" w:rsidRPr="001977AD" w:rsidRDefault="004B5609" w:rsidP="003325C2">
      <w:pPr>
        <w:tabs>
          <w:tab w:val="left" w:pos="-1440"/>
        </w:tabs>
        <w:ind w:left="1440" w:hanging="720"/>
        <w:rPr>
          <w:rFonts w:ascii="Arial" w:hAnsi="Arial" w:cs="Arial"/>
          <w:b/>
          <w:bCs/>
        </w:rPr>
      </w:pPr>
    </w:p>
    <w:p w:rsidR="004B5609" w:rsidRPr="001977AD" w:rsidRDefault="004B5609" w:rsidP="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prepare a written response to a collection of information in fewer than 30 days after receipt of it;</w:t>
      </w:r>
    </w:p>
    <w:p w:rsidR="004B5609" w:rsidRPr="001977AD" w:rsidRDefault="004B5609" w:rsidP="003325C2">
      <w:pPr>
        <w:tabs>
          <w:tab w:val="left" w:pos="-1440"/>
        </w:tabs>
        <w:ind w:left="1440" w:hanging="720"/>
        <w:rPr>
          <w:rFonts w:ascii="Arial" w:hAnsi="Arial" w:cs="Arial"/>
          <w:b/>
          <w:bCs/>
        </w:rPr>
      </w:pPr>
    </w:p>
    <w:p w:rsidR="004B5609" w:rsidRPr="001977AD" w:rsidRDefault="004B5609" w:rsidP="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more than an original and two copies of any document;</w:t>
      </w:r>
    </w:p>
    <w:p w:rsidR="004B5609" w:rsidRPr="001977AD" w:rsidRDefault="004B5609" w:rsidP="003325C2">
      <w:pPr>
        <w:tabs>
          <w:tab w:val="left" w:pos="-1440"/>
        </w:tabs>
        <w:ind w:left="1440" w:hanging="720"/>
        <w:rPr>
          <w:rFonts w:ascii="Arial" w:hAnsi="Arial" w:cs="Arial"/>
          <w:b/>
          <w:bCs/>
        </w:rPr>
      </w:pPr>
    </w:p>
    <w:p w:rsidR="004B5609" w:rsidRPr="001977AD" w:rsidRDefault="004B5609" w:rsidP="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retain records, other than health, medical, government contract, grant-in-aid, or tax records for more than three years;</w:t>
      </w:r>
    </w:p>
    <w:p w:rsidR="004B5609" w:rsidRPr="001977AD" w:rsidRDefault="004B5609" w:rsidP="003325C2">
      <w:pPr>
        <w:tabs>
          <w:tab w:val="left" w:pos="-1440"/>
        </w:tabs>
        <w:ind w:left="1440" w:hanging="720"/>
        <w:rPr>
          <w:rFonts w:ascii="Arial" w:hAnsi="Arial" w:cs="Arial"/>
          <w:b/>
          <w:bCs/>
        </w:rPr>
      </w:pPr>
    </w:p>
    <w:p w:rsidR="004B5609" w:rsidRPr="001977AD" w:rsidRDefault="004B5609" w:rsidP="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 connection with a statistical survey, that is not designed to produce valid and reliable results that can be generalized to the universe of study;</w:t>
      </w:r>
    </w:p>
    <w:p w:rsidR="004B5609" w:rsidRPr="001977AD" w:rsidRDefault="004B5609" w:rsidP="003325C2">
      <w:pPr>
        <w:tabs>
          <w:tab w:val="left" w:pos="-1440"/>
        </w:tabs>
        <w:ind w:left="1440" w:hanging="720"/>
        <w:rPr>
          <w:rFonts w:ascii="Arial" w:hAnsi="Arial" w:cs="Arial"/>
          <w:b/>
          <w:bCs/>
        </w:rPr>
      </w:pPr>
    </w:p>
    <w:p w:rsidR="004B5609" w:rsidRPr="001977AD" w:rsidRDefault="004B5609" w:rsidP="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the use of a statistical data classification that has not been reviewed and approved by OMB;</w:t>
      </w:r>
    </w:p>
    <w:p w:rsidR="004B5609" w:rsidRPr="001977AD" w:rsidRDefault="004B5609" w:rsidP="003325C2">
      <w:pPr>
        <w:tabs>
          <w:tab w:val="left" w:pos="-1440"/>
        </w:tabs>
        <w:ind w:left="1440" w:hanging="720"/>
        <w:rPr>
          <w:rFonts w:ascii="Arial" w:hAnsi="Arial" w:cs="Arial"/>
          <w:b/>
          <w:bCs/>
        </w:rPr>
      </w:pPr>
    </w:p>
    <w:p w:rsidR="004B5609" w:rsidRPr="001977AD" w:rsidRDefault="004B5609" w:rsidP="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B5609" w:rsidRPr="001977AD" w:rsidRDefault="004B5609" w:rsidP="003325C2">
      <w:pPr>
        <w:tabs>
          <w:tab w:val="left" w:pos="-1440"/>
        </w:tabs>
        <w:ind w:left="1440" w:hanging="720"/>
        <w:rPr>
          <w:rFonts w:ascii="Arial" w:hAnsi="Arial" w:cs="Arial"/>
          <w:b/>
          <w:bCs/>
        </w:rPr>
      </w:pPr>
    </w:p>
    <w:p w:rsidR="004B5609" w:rsidRPr="001977AD" w:rsidRDefault="004B5609" w:rsidP="003325C2">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4B5609" w:rsidRDefault="004B5609" w:rsidP="00973CBF">
      <w:pPr>
        <w:rPr>
          <w:rFonts w:ascii="Arial" w:hAnsi="Arial" w:cs="Arial"/>
        </w:rPr>
      </w:pPr>
    </w:p>
    <w:p w:rsidR="004B5609" w:rsidRDefault="004B5609" w:rsidP="001977AD">
      <w:pPr>
        <w:rPr>
          <w:rFonts w:ascii="Arial" w:hAnsi="Arial" w:cs="Arial"/>
        </w:rPr>
      </w:pPr>
      <w:r>
        <w:rPr>
          <w:rFonts w:ascii="Arial" w:hAnsi="Arial" w:cs="Arial"/>
        </w:rPr>
        <w:t>The only special circumstance that requires this collection to be conducted in a manner inconsistent with the general guidelines in 5 CFR 1320.6 is that records necessary to verify the required reports must be maintained for at least five years after the report is filed.  The five-year retention period is established by the LMRDA (LMRDA Sec. 206, 29 U.S.C. 436).</w:t>
      </w:r>
    </w:p>
    <w:p w:rsidR="004B5609" w:rsidRDefault="004B5609" w:rsidP="00973CBF">
      <w:pPr>
        <w:rPr>
          <w:rFonts w:ascii="Arial" w:hAnsi="Arial" w:cs="Arial"/>
        </w:rPr>
      </w:pPr>
    </w:p>
    <w:p w:rsidR="004B5609" w:rsidRPr="001977AD" w:rsidRDefault="004B5609" w:rsidP="00926D19">
      <w:pPr>
        <w:ind w:left="360" w:hanging="360"/>
        <w:rPr>
          <w:rFonts w:ascii="Arial" w:hAnsi="Arial" w:cs="Arial"/>
          <w:b/>
          <w:bCs/>
        </w:rPr>
      </w:pPr>
      <w:r w:rsidRPr="00926D19">
        <w:rPr>
          <w:rFonts w:ascii="Arial" w:hAnsi="Arial" w:cs="Arial"/>
          <w:b/>
          <w:bCs/>
        </w:rPr>
        <w:t>8.</w:t>
      </w:r>
      <w:r>
        <w:rPr>
          <w:rFonts w:ascii="Arial" w:hAnsi="Arial" w:cs="Arial"/>
          <w:bCs/>
        </w:rPr>
        <w:t xml:space="preserve">   </w:t>
      </w:r>
      <w:r w:rsidRPr="001977AD">
        <w:rPr>
          <w:rFonts w:ascii="Arial" w:hAnsi="Arial" w:cs="Arial"/>
          <w:b/>
          <w:bCs/>
        </w:rPr>
        <w:t xml:space="preserve">If applicable, provide a copy and identify the data and page number of publication in the </w:t>
      </w:r>
      <w:r w:rsidRPr="001977AD">
        <w:rPr>
          <w:rFonts w:ascii="Arial" w:hAnsi="Arial" w:cs="Arial"/>
          <w:b/>
          <w:bCs/>
          <w:i/>
        </w:rPr>
        <w:t>Federal Register</w:t>
      </w:r>
      <w:r w:rsidRPr="001977AD">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B5609" w:rsidRPr="001977AD" w:rsidRDefault="004B5609" w:rsidP="00926D19">
      <w:pPr>
        <w:ind w:left="360" w:hanging="360"/>
        <w:rPr>
          <w:rFonts w:ascii="Arial" w:hAnsi="Arial" w:cs="Arial"/>
          <w:b/>
          <w:bCs/>
        </w:rPr>
      </w:pPr>
    </w:p>
    <w:p w:rsidR="004B5609" w:rsidRPr="001977AD" w:rsidRDefault="004B5609" w:rsidP="00926D19">
      <w:pPr>
        <w:ind w:left="360"/>
        <w:rPr>
          <w:rFonts w:ascii="Arial" w:hAnsi="Arial" w:cs="Arial"/>
          <w:b/>
          <w:bCs/>
        </w:rPr>
      </w:pPr>
      <w:r w:rsidRPr="001977AD">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B5609" w:rsidRPr="001977AD" w:rsidRDefault="004B5609" w:rsidP="00926D19">
      <w:pPr>
        <w:ind w:left="360" w:hanging="360"/>
        <w:rPr>
          <w:rFonts w:ascii="Arial" w:hAnsi="Arial" w:cs="Arial"/>
          <w:b/>
          <w:bCs/>
        </w:rPr>
      </w:pPr>
    </w:p>
    <w:p w:rsidR="004B5609" w:rsidRPr="001977AD" w:rsidRDefault="004B5609" w:rsidP="00926D19">
      <w:pPr>
        <w:tabs>
          <w:tab w:val="left" w:pos="-1440"/>
        </w:tabs>
        <w:ind w:left="360" w:hanging="360"/>
        <w:rPr>
          <w:rFonts w:ascii="Arial" w:hAnsi="Arial" w:cs="Arial"/>
          <w:b/>
          <w:bCs/>
        </w:rPr>
      </w:pPr>
      <w:r w:rsidRPr="001977AD">
        <w:rPr>
          <w:rFonts w:ascii="Arial" w:hAnsi="Arial" w:cs="Arial"/>
          <w:b/>
          <w:bCs/>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B5609" w:rsidRDefault="004B5609" w:rsidP="00926D19">
      <w:pPr>
        <w:tabs>
          <w:tab w:val="left" w:pos="-1440"/>
        </w:tabs>
        <w:ind w:left="360" w:hanging="360"/>
        <w:rPr>
          <w:rFonts w:ascii="Arial" w:hAnsi="Arial" w:cs="Arial"/>
          <w:bCs/>
        </w:rPr>
      </w:pPr>
    </w:p>
    <w:p w:rsidR="004B5609" w:rsidRDefault="004B5609" w:rsidP="00D30BC1">
      <w:pPr>
        <w:rPr>
          <w:rFonts w:ascii="Arial" w:hAnsi="Arial" w:cs="Arial"/>
          <w:bCs/>
        </w:rPr>
      </w:pPr>
      <w:r w:rsidRPr="007B3E2E">
        <w:rPr>
          <w:rFonts w:ascii="Arial" w:hAnsi="Arial" w:cs="Arial"/>
          <w:bCs/>
        </w:rPr>
        <w:t>On August 10, 2010, (75 FR</w:t>
      </w:r>
      <w:r>
        <w:rPr>
          <w:rFonts w:ascii="Arial" w:hAnsi="Arial" w:cs="Arial"/>
          <w:bCs/>
        </w:rPr>
        <w:t xml:space="preserve"> 48416</w:t>
      </w:r>
      <w:r w:rsidRPr="007B3E2E">
        <w:rPr>
          <w:rFonts w:ascii="Arial" w:hAnsi="Arial" w:cs="Arial"/>
          <w:bCs/>
        </w:rPr>
        <w:t xml:space="preserve"> ), the Department published a notice proposing revisions to the</w:t>
      </w:r>
      <w:r>
        <w:rPr>
          <w:rFonts w:ascii="Arial" w:hAnsi="Arial" w:cs="Arial"/>
          <w:bCs/>
        </w:rPr>
        <w:t xml:space="preserve"> 2007 Form LM-30.  (Attached).    </w:t>
      </w:r>
    </w:p>
    <w:p w:rsidR="004B5609" w:rsidRDefault="004B5609" w:rsidP="00973CBF">
      <w:pPr>
        <w:rPr>
          <w:rFonts w:ascii="Arial" w:hAnsi="Arial" w:cs="Arial"/>
        </w:rPr>
      </w:pPr>
    </w:p>
    <w:p w:rsidR="004B5609" w:rsidRDefault="004B5609" w:rsidP="003325C2">
      <w:pPr>
        <w:ind w:left="360" w:hanging="360"/>
        <w:rPr>
          <w:rFonts w:ascii="Arial" w:hAnsi="Arial" w:cs="Arial"/>
          <w:bCs/>
        </w:rPr>
      </w:pPr>
      <w:r>
        <w:rPr>
          <w:rFonts w:ascii="Arial" w:hAnsi="Arial" w:cs="Arial"/>
          <w:b/>
        </w:rPr>
        <w:t>9</w:t>
      </w:r>
      <w:r w:rsidRPr="003325C2">
        <w:rPr>
          <w:rFonts w:ascii="Arial" w:hAnsi="Arial" w:cs="Arial"/>
          <w:b/>
        </w:rPr>
        <w:t>.</w:t>
      </w:r>
      <w:r>
        <w:rPr>
          <w:rFonts w:ascii="Arial" w:hAnsi="Arial" w:cs="Arial"/>
        </w:rPr>
        <w:t xml:space="preserve">  </w:t>
      </w:r>
      <w:r w:rsidRPr="001977AD">
        <w:rPr>
          <w:rFonts w:ascii="Arial" w:hAnsi="Arial" w:cs="Arial"/>
          <w:b/>
          <w:bCs/>
        </w:rPr>
        <w:t>Explain any decision to provide any payment or gift to respondents, other than re-numeration of contractors or grantees.</w:t>
      </w:r>
    </w:p>
    <w:p w:rsidR="004B5609" w:rsidRDefault="004B5609" w:rsidP="00973CBF">
      <w:pPr>
        <w:rPr>
          <w:rFonts w:ascii="Arial" w:hAnsi="Arial" w:cs="Arial"/>
          <w:bCs/>
        </w:rPr>
      </w:pPr>
    </w:p>
    <w:p w:rsidR="004B5609" w:rsidRDefault="004B5609" w:rsidP="00973CBF">
      <w:pPr>
        <w:rPr>
          <w:rFonts w:ascii="Arial" w:hAnsi="Arial" w:cs="Arial"/>
        </w:rPr>
      </w:pPr>
      <w:r>
        <w:rPr>
          <w:rFonts w:ascii="Arial" w:hAnsi="Arial" w:cs="Arial"/>
        </w:rPr>
        <w:t>OLMS does not provide any payment or gift to respondents.</w:t>
      </w:r>
    </w:p>
    <w:p w:rsidR="004B5609" w:rsidRDefault="004B5609" w:rsidP="00014EF9">
      <w:pPr>
        <w:rPr>
          <w:rFonts w:ascii="Arial" w:hAnsi="Arial" w:cs="Arial"/>
        </w:rPr>
      </w:pPr>
    </w:p>
    <w:p w:rsidR="004B5609" w:rsidRPr="001977AD" w:rsidRDefault="004B5609" w:rsidP="001977AD">
      <w:pPr>
        <w:ind w:left="540" w:hanging="540"/>
        <w:rPr>
          <w:rFonts w:ascii="Arial" w:hAnsi="Arial" w:cs="Arial"/>
          <w:b/>
          <w:bCs/>
        </w:rPr>
      </w:pPr>
      <w:r>
        <w:rPr>
          <w:rFonts w:ascii="Arial" w:hAnsi="Arial" w:cs="Arial"/>
          <w:b/>
        </w:rPr>
        <w:t xml:space="preserve">10.   </w:t>
      </w:r>
      <w:r w:rsidRPr="001977AD">
        <w:rPr>
          <w:rFonts w:ascii="Arial" w:hAnsi="Arial" w:cs="Arial"/>
          <w:b/>
          <w:bCs/>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4B5609" w:rsidRDefault="004B5609" w:rsidP="003C00B1">
      <w:pPr>
        <w:rPr>
          <w:rFonts w:ascii="Arial" w:hAnsi="Arial" w:cs="Arial"/>
          <w:bCs/>
        </w:rPr>
      </w:pPr>
    </w:p>
    <w:p w:rsidR="004B5609" w:rsidRPr="003C00B1" w:rsidRDefault="004B5609" w:rsidP="003C00B1">
      <w:pPr>
        <w:rPr>
          <w:rFonts w:ascii="Arial" w:hAnsi="Arial" w:cs="Arial"/>
        </w:rPr>
      </w:pPr>
      <w:r>
        <w:rPr>
          <w:rFonts w:ascii="Arial" w:hAnsi="Arial" w:cs="Arial"/>
        </w:rPr>
        <w:t xml:space="preserve">The contents of the reports filed pursuant to the LMRDA reporting requirements are by law public information.  Therefore, no assurances of confidentiality are provided.  </w:t>
      </w:r>
    </w:p>
    <w:p w:rsidR="004B5609" w:rsidRPr="00E702F6" w:rsidRDefault="004B5609" w:rsidP="00014EF9">
      <w:pPr>
        <w:autoSpaceDE w:val="0"/>
        <w:autoSpaceDN w:val="0"/>
        <w:adjustRightInd w:val="0"/>
        <w:rPr>
          <w:rFonts w:ascii="Arial" w:hAnsi="Arial"/>
          <w:szCs w:val="24"/>
        </w:rPr>
      </w:pPr>
    </w:p>
    <w:p w:rsidR="004B5609" w:rsidRDefault="004B5609" w:rsidP="004951F2">
      <w:pPr>
        <w:ind w:left="540" w:hanging="540"/>
        <w:rPr>
          <w:rFonts w:ascii="Arial" w:hAnsi="Arial" w:cs="Arial"/>
          <w:b/>
        </w:rPr>
      </w:pPr>
      <w:r>
        <w:rPr>
          <w:rFonts w:ascii="Arial" w:hAnsi="Arial" w:cs="Arial"/>
          <w:b/>
        </w:rPr>
        <w:t xml:space="preserve">11.   </w:t>
      </w:r>
      <w:r w:rsidRPr="001977AD">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Arial" w:hAnsi="Arial" w:cs="Arial"/>
          <w:b/>
        </w:rPr>
        <w:t xml:space="preserve"> </w:t>
      </w:r>
    </w:p>
    <w:p w:rsidR="004B5609" w:rsidRDefault="004B5609" w:rsidP="000919CF">
      <w:pPr>
        <w:rPr>
          <w:rFonts w:ascii="Arial" w:hAnsi="Arial" w:cs="Arial"/>
          <w:b/>
        </w:rPr>
      </w:pPr>
    </w:p>
    <w:p w:rsidR="004B5609" w:rsidRDefault="004B5609" w:rsidP="000919CF">
      <w:pPr>
        <w:rPr>
          <w:rFonts w:ascii="Arial" w:hAnsi="Arial" w:cs="Arial"/>
        </w:rPr>
      </w:pPr>
      <w:r>
        <w:rPr>
          <w:rFonts w:ascii="Arial" w:hAnsi="Arial" w:cs="Arial"/>
        </w:rPr>
        <w:t>No sensitive information is collected on the form.</w:t>
      </w:r>
    </w:p>
    <w:p w:rsidR="004B5609" w:rsidRDefault="004B5609" w:rsidP="000919CF">
      <w:pPr>
        <w:ind w:left="360"/>
        <w:rPr>
          <w:rFonts w:ascii="Arial" w:hAnsi="Arial" w:cs="Arial"/>
        </w:rPr>
      </w:pPr>
    </w:p>
    <w:p w:rsidR="004B5609" w:rsidRPr="001977AD" w:rsidRDefault="004B5609" w:rsidP="007A4477">
      <w:pPr>
        <w:tabs>
          <w:tab w:val="left" w:pos="-1440"/>
        </w:tabs>
        <w:ind w:left="720" w:hanging="720"/>
        <w:rPr>
          <w:rFonts w:ascii="Arial" w:hAnsi="Arial" w:cs="Arial"/>
          <w:b/>
          <w:bCs/>
        </w:rPr>
      </w:pPr>
      <w:r w:rsidRPr="00D37A4A">
        <w:rPr>
          <w:rFonts w:ascii="Arial" w:hAnsi="Arial" w:cs="Arial"/>
          <w:b/>
        </w:rPr>
        <w:t>1</w:t>
      </w:r>
      <w:r>
        <w:rPr>
          <w:rFonts w:ascii="Arial" w:hAnsi="Arial" w:cs="Arial"/>
          <w:b/>
        </w:rPr>
        <w:t>2</w:t>
      </w:r>
      <w:r w:rsidRPr="00D37A4A">
        <w:rPr>
          <w:rFonts w:ascii="Arial" w:hAnsi="Arial" w:cs="Arial"/>
          <w:b/>
        </w:rPr>
        <w:t>.</w:t>
      </w:r>
      <w:r>
        <w:t xml:space="preserve">  </w:t>
      </w:r>
      <w:r w:rsidRPr="001977AD">
        <w:rPr>
          <w:rFonts w:ascii="Arial" w:hAnsi="Arial" w:cs="Arial"/>
          <w:b/>
          <w:bCs/>
        </w:rPr>
        <w:t xml:space="preserve">Provide estimates of the hour burden of the </w:t>
      </w:r>
      <w:r>
        <w:rPr>
          <w:rFonts w:ascii="Arial" w:hAnsi="Arial" w:cs="Arial"/>
          <w:b/>
          <w:bCs/>
        </w:rPr>
        <w:t xml:space="preserve">collection of information.  The </w:t>
      </w:r>
      <w:r w:rsidRPr="001977AD">
        <w:rPr>
          <w:rFonts w:ascii="Arial" w:hAnsi="Arial" w:cs="Arial"/>
          <w:b/>
          <w:bCs/>
        </w:rPr>
        <w:t>statement should:</w:t>
      </w:r>
    </w:p>
    <w:p w:rsidR="004B5609" w:rsidRPr="001977AD" w:rsidRDefault="004B5609" w:rsidP="007A4477">
      <w:pPr>
        <w:rPr>
          <w:rFonts w:ascii="Arial" w:hAnsi="Arial" w:cs="Arial"/>
          <w:b/>
          <w:bCs/>
        </w:rPr>
      </w:pPr>
    </w:p>
    <w:p w:rsidR="004B5609" w:rsidRPr="001977AD" w:rsidRDefault="004B5609" w:rsidP="007A44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B5609" w:rsidRPr="001977AD" w:rsidRDefault="004B5609" w:rsidP="007A4477">
      <w:pPr>
        <w:rPr>
          <w:rFonts w:ascii="Arial" w:hAnsi="Arial" w:cs="Arial"/>
          <w:b/>
          <w:bCs/>
        </w:rPr>
      </w:pPr>
    </w:p>
    <w:p w:rsidR="004B5609" w:rsidRPr="001977AD" w:rsidRDefault="004B5609" w:rsidP="007A44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this request for approval covers more than one form, provide separate hour burden estimates for each form.</w:t>
      </w:r>
    </w:p>
    <w:p w:rsidR="004B5609" w:rsidRPr="001977AD" w:rsidRDefault="004B5609" w:rsidP="007A4477">
      <w:pPr>
        <w:tabs>
          <w:tab w:val="left" w:pos="-1440"/>
        </w:tabs>
        <w:ind w:left="1440" w:hanging="720"/>
        <w:rPr>
          <w:rFonts w:ascii="Arial" w:hAnsi="Arial" w:cs="Arial"/>
          <w:b/>
          <w:bCs/>
        </w:rPr>
      </w:pPr>
    </w:p>
    <w:p w:rsidR="004B5609" w:rsidRPr="001977AD" w:rsidRDefault="004B5609" w:rsidP="007A4477">
      <w:pPr>
        <w:widowControl/>
        <w:numPr>
          <w:ilvl w:val="0"/>
          <w:numId w:val="9"/>
        </w:numPr>
        <w:tabs>
          <w:tab w:val="clear" w:pos="1800"/>
          <w:tab w:val="left" w:pos="-1440"/>
          <w:tab w:val="num" w:pos="1440"/>
        </w:tabs>
        <w:ind w:left="1440" w:hanging="720"/>
        <w:rPr>
          <w:rFonts w:ascii="Arial" w:hAnsi="Arial" w:cs="Arial"/>
          <w:b/>
          <w:bCs/>
        </w:rPr>
      </w:pPr>
      <w:r w:rsidRPr="001977AD">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B5609" w:rsidRDefault="004B5609" w:rsidP="00D37A4A">
      <w:pPr>
        <w:rPr>
          <w:rFonts w:ascii="Arial" w:hAnsi="Arial" w:cs="Arial"/>
          <w:color w:val="000000"/>
        </w:rPr>
      </w:pPr>
    </w:p>
    <w:p w:rsidR="004B5609" w:rsidRDefault="004B5609" w:rsidP="00D37A4A">
      <w:pPr>
        <w:rPr>
          <w:rFonts w:ascii="Arial" w:hAnsi="Arial" w:cs="Arial"/>
        </w:rPr>
      </w:pPr>
      <w:r>
        <w:rPr>
          <w:rFonts w:ascii="Arial" w:hAnsi="Arial" w:cs="Arial"/>
          <w:color w:val="000000"/>
        </w:rPr>
        <w:t xml:space="preserve">Table </w:t>
      </w:r>
      <w:r w:rsidRPr="0036069C">
        <w:rPr>
          <w:rFonts w:ascii="Arial" w:hAnsi="Arial" w:cs="Arial"/>
          <w:color w:val="000000"/>
        </w:rPr>
        <w:t xml:space="preserve">1 </w:t>
      </w:r>
      <w:r w:rsidRPr="0036069C">
        <w:rPr>
          <w:rFonts w:ascii="Arial" w:hAnsi="Arial" w:cs="Arial"/>
        </w:rPr>
        <w:t xml:space="preserve">details the annualized reporting and recordkeeping burden for the revised Form LM-30 and </w:t>
      </w:r>
      <w:r>
        <w:rPr>
          <w:rFonts w:ascii="Arial" w:hAnsi="Arial" w:cs="Arial"/>
        </w:rPr>
        <w:t>Table</w:t>
      </w:r>
      <w:r w:rsidRPr="0036069C">
        <w:rPr>
          <w:rFonts w:ascii="Arial" w:hAnsi="Arial" w:cs="Arial"/>
        </w:rPr>
        <w:t xml:space="preserve"> 2 details the annualized respondent cost estimates for the revised Form LM-30.  These estimates derive from the notice of proposed rulemaking</w:t>
      </w:r>
      <w:r>
        <w:rPr>
          <w:rFonts w:ascii="Arial" w:hAnsi="Arial" w:cs="Arial"/>
        </w:rPr>
        <w:t xml:space="preserve"> (NPRM)</w:t>
      </w:r>
      <w:r w:rsidRPr="0036069C">
        <w:rPr>
          <w:rFonts w:ascii="Arial" w:hAnsi="Arial" w:cs="Arial"/>
        </w:rPr>
        <w:t xml:space="preserve"> seeking revisions to the </w:t>
      </w:r>
      <w:r>
        <w:rPr>
          <w:rFonts w:ascii="Arial" w:hAnsi="Arial" w:cs="Arial"/>
        </w:rPr>
        <w:t xml:space="preserve">2007 </w:t>
      </w:r>
      <w:r w:rsidRPr="0036069C">
        <w:rPr>
          <w:rFonts w:ascii="Arial" w:hAnsi="Arial" w:cs="Arial"/>
        </w:rPr>
        <w:t>Form</w:t>
      </w:r>
      <w:r>
        <w:rPr>
          <w:rFonts w:ascii="Arial" w:hAnsi="Arial" w:cs="Arial"/>
        </w:rPr>
        <w:t xml:space="preserve"> LM-30, which are</w:t>
      </w:r>
      <w:r w:rsidRPr="000B4975">
        <w:rPr>
          <w:rFonts w:ascii="Arial" w:hAnsi="Arial" w:cs="Arial"/>
        </w:rPr>
        <w:t xml:space="preserve"> based upon Fiscal Year 2009 Form LM-30 data available to the Department through its electronic disclosure system.  This data reveals that labor union officials submitted 1,932 Form LM-30 reports during calendar Fiscal Year 2009, which is the Department’s estimate for the number of responses</w:t>
      </w:r>
      <w:r>
        <w:rPr>
          <w:rFonts w:ascii="Arial" w:hAnsi="Arial" w:cs="Arial"/>
        </w:rPr>
        <w:t xml:space="preserve"> for the proposed revised form</w:t>
      </w:r>
      <w:r w:rsidRPr="000B4975">
        <w:rPr>
          <w:rFonts w:ascii="Arial" w:hAnsi="Arial" w:cs="Arial"/>
        </w:rPr>
        <w:t xml:space="preserve">.  The Department multiplied the 1,932 responses by the estimated 1.5 burden hours (or 90 minutes) per respondent (the estimated burden hour estimate for the revised Form LM-30, as stated in the NPRM) to yield 2,898 total burden hours.  </w:t>
      </w:r>
    </w:p>
    <w:p w:rsidR="004B5609" w:rsidRDefault="004B5609" w:rsidP="00D45802">
      <w:pPr>
        <w:autoSpaceDE w:val="0"/>
        <w:autoSpaceDN w:val="0"/>
        <w:adjustRightInd w:val="0"/>
        <w:rPr>
          <w:rFonts w:ascii="Arial" w:hAnsi="Arial"/>
          <w:color w:val="000000"/>
          <w:szCs w:val="24"/>
        </w:rPr>
      </w:pPr>
    </w:p>
    <w:tbl>
      <w:tblPr>
        <w:tblW w:w="7097" w:type="dxa"/>
        <w:jc w:val="center"/>
        <w:tblInd w:w="93" w:type="dxa"/>
        <w:tblLook w:val="0000"/>
      </w:tblPr>
      <w:tblGrid>
        <w:gridCol w:w="1700"/>
        <w:gridCol w:w="1607"/>
        <w:gridCol w:w="1731"/>
        <w:gridCol w:w="2059"/>
      </w:tblGrid>
      <w:tr w:rsidR="004B5609" w:rsidTr="00FF1CA0">
        <w:trPr>
          <w:trHeight w:val="255"/>
          <w:jc w:val="center"/>
        </w:trPr>
        <w:tc>
          <w:tcPr>
            <w:tcW w:w="7097" w:type="dxa"/>
            <w:gridSpan w:val="4"/>
            <w:tcBorders>
              <w:top w:val="nil"/>
              <w:left w:val="nil"/>
              <w:bottom w:val="nil"/>
              <w:right w:val="nil"/>
            </w:tcBorders>
            <w:shd w:val="clear" w:color="auto" w:fill="FFFFFF"/>
            <w:noWrap/>
            <w:vAlign w:val="bottom"/>
          </w:tcPr>
          <w:p w:rsidR="004B5609" w:rsidRDefault="004B5609" w:rsidP="00E8530C">
            <w:pPr>
              <w:widowControl/>
              <w:jc w:val="center"/>
              <w:rPr>
                <w:rFonts w:ascii="Arial" w:hAnsi="Arial" w:cs="Arial"/>
                <w:b/>
                <w:sz w:val="20"/>
              </w:rPr>
            </w:pPr>
            <w:r>
              <w:rPr>
                <w:rFonts w:ascii="Arial" w:hAnsi="Arial" w:cs="Arial"/>
                <w:b/>
                <w:sz w:val="20"/>
              </w:rPr>
              <w:t>TABLE 1</w:t>
            </w:r>
          </w:p>
          <w:p w:rsidR="004B5609" w:rsidRDefault="004B5609" w:rsidP="00E8530C">
            <w:pPr>
              <w:widowControl/>
              <w:jc w:val="center"/>
              <w:rPr>
                <w:rFonts w:ascii="Arial" w:hAnsi="Arial" w:cs="Arial"/>
                <w:sz w:val="20"/>
              </w:rPr>
            </w:pPr>
            <w:r>
              <w:rPr>
                <w:rFonts w:ascii="Arial" w:hAnsi="Arial" w:cs="Arial"/>
                <w:b/>
                <w:sz w:val="20"/>
              </w:rPr>
              <w:t>ANNUALIZED REPORTING AND RECORDKEEPING BURDEN</w:t>
            </w:r>
          </w:p>
        </w:tc>
      </w:tr>
      <w:tr w:rsidR="004B5609" w:rsidTr="00E8530C">
        <w:trPr>
          <w:trHeight w:val="255"/>
          <w:jc w:val="center"/>
        </w:trPr>
        <w:tc>
          <w:tcPr>
            <w:tcW w:w="1700" w:type="dxa"/>
            <w:tcBorders>
              <w:top w:val="nil"/>
              <w:left w:val="nil"/>
              <w:bottom w:val="single" w:sz="4" w:space="0" w:color="auto"/>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Form</w:t>
            </w:r>
          </w:p>
        </w:tc>
        <w:tc>
          <w:tcPr>
            <w:tcW w:w="1607" w:type="dxa"/>
            <w:tcBorders>
              <w:top w:val="nil"/>
              <w:left w:val="nil"/>
              <w:bottom w:val="single" w:sz="4" w:space="0" w:color="auto"/>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Responses</w:t>
            </w:r>
          </w:p>
        </w:tc>
        <w:tc>
          <w:tcPr>
            <w:tcW w:w="1731" w:type="dxa"/>
            <w:tcBorders>
              <w:top w:val="nil"/>
              <w:left w:val="nil"/>
              <w:bottom w:val="single" w:sz="4" w:space="0" w:color="auto"/>
              <w:right w:val="nil"/>
            </w:tcBorders>
            <w:shd w:val="clear" w:color="auto" w:fill="FFFFFF"/>
            <w:noWrap/>
            <w:vAlign w:val="bottom"/>
          </w:tcPr>
          <w:p w:rsidR="004B5609" w:rsidRDefault="004B5609" w:rsidP="00A7332D">
            <w:pPr>
              <w:widowControl/>
              <w:rPr>
                <w:rFonts w:ascii="Arial" w:hAnsi="Arial" w:cs="Arial"/>
                <w:sz w:val="20"/>
              </w:rPr>
            </w:pPr>
            <w:r>
              <w:rPr>
                <w:rFonts w:ascii="Arial" w:hAnsi="Arial" w:cs="Arial"/>
                <w:sz w:val="20"/>
              </w:rPr>
              <w:t>Reporting and Recordkeeping Hours per Respondent</w:t>
            </w:r>
          </w:p>
        </w:tc>
        <w:tc>
          <w:tcPr>
            <w:tcW w:w="2059" w:type="dxa"/>
            <w:tcBorders>
              <w:top w:val="nil"/>
              <w:left w:val="nil"/>
              <w:bottom w:val="single" w:sz="4" w:space="0" w:color="auto"/>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Total Reporting and Recordkeeping Hours</w:t>
            </w:r>
          </w:p>
        </w:tc>
      </w:tr>
      <w:tr w:rsidR="004B5609" w:rsidTr="00E8530C">
        <w:trPr>
          <w:trHeight w:val="255"/>
          <w:jc w:val="center"/>
        </w:trPr>
        <w:tc>
          <w:tcPr>
            <w:tcW w:w="1700" w:type="dxa"/>
            <w:tcBorders>
              <w:top w:val="nil"/>
              <w:left w:val="nil"/>
              <w:bottom w:val="nil"/>
              <w:right w:val="nil"/>
            </w:tcBorders>
            <w:shd w:val="clear" w:color="auto" w:fill="FFFFFF"/>
            <w:noWrap/>
            <w:vAlign w:val="bottom"/>
          </w:tcPr>
          <w:p w:rsidR="004B5609" w:rsidRDefault="004B5609" w:rsidP="00C432F2">
            <w:pPr>
              <w:widowControl/>
              <w:rPr>
                <w:rFonts w:ascii="Arial" w:hAnsi="Arial" w:cs="Arial"/>
                <w:sz w:val="20"/>
              </w:rPr>
            </w:pPr>
            <w:r>
              <w:rPr>
                <w:rFonts w:ascii="Arial" w:hAnsi="Arial" w:cs="Arial"/>
                <w:sz w:val="20"/>
              </w:rPr>
              <w:t>Revised LM-30</w:t>
            </w:r>
          </w:p>
        </w:tc>
        <w:tc>
          <w:tcPr>
            <w:tcW w:w="1607" w:type="dxa"/>
            <w:tcBorders>
              <w:top w:val="nil"/>
              <w:left w:val="nil"/>
              <w:bottom w:val="nil"/>
              <w:right w:val="nil"/>
            </w:tcBorders>
            <w:shd w:val="clear" w:color="auto" w:fill="FFFFFF"/>
            <w:noWrap/>
            <w:vAlign w:val="bottom"/>
          </w:tcPr>
          <w:p w:rsidR="004B5609" w:rsidRDefault="004B5609" w:rsidP="00C432F2">
            <w:pPr>
              <w:widowControl/>
              <w:jc w:val="right"/>
              <w:rPr>
                <w:rFonts w:ascii="Arial" w:hAnsi="Arial" w:cs="Arial"/>
                <w:sz w:val="20"/>
              </w:rPr>
            </w:pPr>
            <w:r>
              <w:rPr>
                <w:rFonts w:ascii="Arial" w:hAnsi="Arial" w:cs="Arial"/>
                <w:sz w:val="20"/>
              </w:rPr>
              <w:t>1,932</w:t>
            </w:r>
          </w:p>
        </w:tc>
        <w:tc>
          <w:tcPr>
            <w:tcW w:w="1731" w:type="dxa"/>
            <w:tcBorders>
              <w:top w:val="nil"/>
              <w:left w:val="nil"/>
              <w:bottom w:val="nil"/>
              <w:right w:val="nil"/>
            </w:tcBorders>
            <w:shd w:val="clear" w:color="auto" w:fill="FFFFFF"/>
            <w:noWrap/>
            <w:vAlign w:val="bottom"/>
          </w:tcPr>
          <w:p w:rsidR="004B5609" w:rsidRPr="0047501B" w:rsidRDefault="004B5609" w:rsidP="00C432F2">
            <w:pPr>
              <w:widowControl/>
              <w:jc w:val="right"/>
              <w:rPr>
                <w:rFonts w:ascii="Arial" w:hAnsi="Arial" w:cs="Arial"/>
                <w:sz w:val="20"/>
              </w:rPr>
            </w:pPr>
            <w:r>
              <w:rPr>
                <w:rFonts w:ascii="Arial" w:hAnsi="Arial" w:cs="Arial"/>
                <w:sz w:val="20"/>
              </w:rPr>
              <w:t>1.5</w:t>
            </w:r>
          </w:p>
        </w:tc>
        <w:tc>
          <w:tcPr>
            <w:tcW w:w="2059" w:type="dxa"/>
            <w:tcBorders>
              <w:top w:val="nil"/>
              <w:left w:val="nil"/>
              <w:bottom w:val="nil"/>
              <w:right w:val="nil"/>
            </w:tcBorders>
            <w:shd w:val="clear" w:color="auto" w:fill="FFFFFF"/>
            <w:noWrap/>
            <w:vAlign w:val="bottom"/>
          </w:tcPr>
          <w:p w:rsidR="004B5609" w:rsidRDefault="004B5609" w:rsidP="00C432F2">
            <w:pPr>
              <w:widowControl/>
              <w:jc w:val="right"/>
              <w:rPr>
                <w:rFonts w:ascii="Arial" w:hAnsi="Arial" w:cs="Arial"/>
                <w:sz w:val="20"/>
              </w:rPr>
            </w:pPr>
            <w:r>
              <w:rPr>
                <w:rFonts w:ascii="Arial" w:hAnsi="Arial" w:cs="Arial"/>
                <w:sz w:val="20"/>
              </w:rPr>
              <w:t>2,898</w:t>
            </w:r>
          </w:p>
        </w:tc>
      </w:tr>
      <w:tr w:rsidR="004B5609" w:rsidTr="00E8530C">
        <w:trPr>
          <w:trHeight w:val="150"/>
          <w:jc w:val="center"/>
        </w:trPr>
        <w:tc>
          <w:tcPr>
            <w:tcW w:w="1700"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1607"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1731" w:type="dxa"/>
            <w:tcBorders>
              <w:top w:val="nil"/>
              <w:left w:val="nil"/>
              <w:bottom w:val="nil"/>
              <w:right w:val="nil"/>
            </w:tcBorders>
            <w:shd w:val="clear" w:color="auto" w:fill="FFFFFF"/>
            <w:noWrap/>
            <w:vAlign w:val="bottom"/>
          </w:tcPr>
          <w:p w:rsidR="004B5609" w:rsidRDefault="004B5609" w:rsidP="00014EF9">
            <w:pPr>
              <w:widowControl/>
              <w:jc w:val="right"/>
              <w:rPr>
                <w:rFonts w:ascii="Arial" w:hAnsi="Arial" w:cs="Arial"/>
                <w:sz w:val="20"/>
              </w:rPr>
            </w:pPr>
            <w:r>
              <w:rPr>
                <w:rFonts w:ascii="Arial" w:hAnsi="Arial" w:cs="Arial"/>
                <w:sz w:val="20"/>
              </w:rPr>
              <w:t> </w:t>
            </w:r>
          </w:p>
        </w:tc>
        <w:tc>
          <w:tcPr>
            <w:tcW w:w="2059"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r>
      <w:tr w:rsidR="004B5609" w:rsidTr="00E8530C">
        <w:trPr>
          <w:trHeight w:val="255"/>
          <w:jc w:val="center"/>
        </w:trPr>
        <w:tc>
          <w:tcPr>
            <w:tcW w:w="7097" w:type="dxa"/>
            <w:gridSpan w:val="4"/>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Note: The number of reporting and recordkeeping hours has been rounded.</w:t>
            </w:r>
          </w:p>
        </w:tc>
      </w:tr>
      <w:tr w:rsidR="004B5609" w:rsidTr="00E8530C">
        <w:trPr>
          <w:trHeight w:val="255"/>
          <w:jc w:val="center"/>
        </w:trPr>
        <w:tc>
          <w:tcPr>
            <w:tcW w:w="5038" w:type="dxa"/>
            <w:gridSpan w:val="3"/>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c>
          <w:tcPr>
            <w:tcW w:w="2059"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r>
    </w:tbl>
    <w:p w:rsidR="004B5609" w:rsidRDefault="004B5609" w:rsidP="00014EF9">
      <w:pPr>
        <w:rPr>
          <w:rFonts w:ascii="Arial" w:hAnsi="Arial" w:cs="Arial"/>
          <w:b/>
        </w:rPr>
      </w:pPr>
    </w:p>
    <w:p w:rsidR="004B5609" w:rsidRDefault="004B5609" w:rsidP="00014EF9">
      <w:pPr>
        <w:rPr>
          <w:rFonts w:ascii="Arial" w:hAnsi="Arial" w:cs="Arial"/>
          <w:szCs w:val="24"/>
        </w:rPr>
      </w:pPr>
      <w:r>
        <w:rPr>
          <w:rFonts w:ascii="Arial" w:hAnsi="Arial" w:cs="Arial"/>
        </w:rPr>
        <w:t>Table</w:t>
      </w:r>
      <w:r w:rsidRPr="00693231">
        <w:rPr>
          <w:rFonts w:ascii="Arial" w:hAnsi="Arial" w:cs="Arial"/>
        </w:rPr>
        <w:t xml:space="preserve"> 2 shows estimates of the annualized cost to respondents for the burden hours estimated for the information collection.  </w:t>
      </w:r>
      <w:r w:rsidRPr="00693231">
        <w:rPr>
          <w:rFonts w:ascii="Arial" w:hAnsi="Arial" w:cs="Arial"/>
          <w:szCs w:val="24"/>
        </w:rPr>
        <w:t>Source information for labor organization salaries is taken directly from data submitted in Fiscal Year 2009 by filers of the Form LM-2, Labor Organization Annual Report.  The Form LM-2 is filed by the largest unions (those with over $250,000 in annual receipts), and this report requires unions to indicate salary payments to their officers and employees.  From this data, the Department was able to calculate average wages for three categories of union officials most likely to complete a Form LM-30: union presidents, union secretary-treasurers, and international union representatives.  Next, the Department increased these figures by 43.00% to account for total compensation.</w:t>
      </w:r>
      <w:r w:rsidRPr="00693231">
        <w:rPr>
          <w:rStyle w:val="FootnoteReference"/>
          <w:rFonts w:ascii="Arial" w:hAnsi="Arial" w:cs="Arial"/>
          <w:szCs w:val="24"/>
        </w:rPr>
        <w:footnoteReference w:id="2"/>
      </w:r>
      <w:r w:rsidRPr="00693231">
        <w:rPr>
          <w:rFonts w:ascii="Arial" w:hAnsi="Arial" w:cs="Arial"/>
          <w:szCs w:val="24"/>
        </w:rPr>
        <w:t xml:space="preserve">  As a result, the Department estimates that union presidents earn an average hourly wage of $34.65 ($49.55 after adjusting by 43.00% for total compensation); union secretary-treasurers, $31.87 ($45.57 after adjusting by 43.00% for total compensation); and international representatives, $33.83 ($48.38 after adjusting by 43.00% for total compensation).  The Department also estimated that each of these union officials accounted for one third of the Form LM-30 reports submitted and thus one third of the total burden hours </w:t>
      </w:r>
      <w:r w:rsidRPr="008C480B">
        <w:rPr>
          <w:rFonts w:ascii="Arial" w:hAnsi="Arial" w:cs="Arial"/>
          <w:szCs w:val="24"/>
        </w:rPr>
        <w:t xml:space="preserve">(2,898 hours divided by three equals approximately 966).  Therefore, the total cost was $138,621 (966 times $49.55; 966 times $45.57; and 966 times $48.38).  </w:t>
      </w:r>
    </w:p>
    <w:p w:rsidR="004B5609" w:rsidRDefault="004B5609" w:rsidP="00014EF9">
      <w:pPr>
        <w:rPr>
          <w:rFonts w:ascii="Arial" w:hAnsi="Arial" w:cs="Arial"/>
        </w:rPr>
      </w:pPr>
    </w:p>
    <w:tbl>
      <w:tblPr>
        <w:tblW w:w="7202" w:type="dxa"/>
        <w:jc w:val="center"/>
        <w:tblInd w:w="93" w:type="dxa"/>
        <w:tblLook w:val="0000"/>
      </w:tblPr>
      <w:tblGrid>
        <w:gridCol w:w="272"/>
        <w:gridCol w:w="2142"/>
        <w:gridCol w:w="1453"/>
        <w:gridCol w:w="1296"/>
        <w:gridCol w:w="1767"/>
        <w:gridCol w:w="272"/>
      </w:tblGrid>
      <w:tr w:rsidR="004B5609">
        <w:trPr>
          <w:trHeight w:val="315"/>
          <w:jc w:val="center"/>
        </w:trPr>
        <w:tc>
          <w:tcPr>
            <w:tcW w:w="7202" w:type="dxa"/>
            <w:gridSpan w:val="6"/>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b/>
                <w:bCs/>
                <w:szCs w:val="24"/>
              </w:rPr>
            </w:pPr>
            <w:bookmarkStart w:id="0" w:name="RANGE!A1:F45"/>
            <w:bookmarkEnd w:id="0"/>
            <w:r>
              <w:rPr>
                <w:rFonts w:ascii="Arial" w:hAnsi="Arial" w:cs="Arial"/>
                <w:b/>
                <w:bCs/>
                <w:szCs w:val="24"/>
              </w:rPr>
              <w:t>TABLE 2</w:t>
            </w:r>
          </w:p>
        </w:tc>
      </w:tr>
      <w:tr w:rsidR="004B5609">
        <w:trPr>
          <w:trHeight w:val="315"/>
          <w:jc w:val="center"/>
        </w:trPr>
        <w:tc>
          <w:tcPr>
            <w:tcW w:w="7202" w:type="dxa"/>
            <w:gridSpan w:val="6"/>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b/>
                <w:bCs/>
                <w:szCs w:val="24"/>
              </w:rPr>
            </w:pPr>
            <w:r>
              <w:rPr>
                <w:rFonts w:ascii="Arial" w:hAnsi="Arial" w:cs="Arial"/>
                <w:b/>
                <w:bCs/>
                <w:szCs w:val="24"/>
              </w:rPr>
              <w:t>ANNUALIZED RESPONDENT COST ESTIMATES</w:t>
            </w:r>
          </w:p>
        </w:tc>
      </w:tr>
      <w:tr w:rsidR="004B5609">
        <w:trPr>
          <w:trHeight w:val="255"/>
          <w:jc w:val="center"/>
        </w:trPr>
        <w:tc>
          <w:tcPr>
            <w:tcW w:w="272"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c>
          <w:tcPr>
            <w:tcW w:w="2142"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c>
          <w:tcPr>
            <w:tcW w:w="1453"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c>
          <w:tcPr>
            <w:tcW w:w="1296"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c>
          <w:tcPr>
            <w:tcW w:w="1767"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r>
      <w:tr w:rsidR="004B5609">
        <w:trPr>
          <w:trHeight w:val="255"/>
          <w:jc w:val="center"/>
        </w:trPr>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2142"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c>
          <w:tcPr>
            <w:tcW w:w="1453"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c>
          <w:tcPr>
            <w:tcW w:w="1296"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Burden</w:t>
            </w:r>
          </w:p>
        </w:tc>
        <w:tc>
          <w:tcPr>
            <w:tcW w:w="1767"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r>
      <w:tr w:rsidR="004B5609">
        <w:trPr>
          <w:trHeight w:val="255"/>
          <w:jc w:val="center"/>
        </w:trPr>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2142"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Form</w:t>
            </w:r>
          </w:p>
        </w:tc>
        <w:tc>
          <w:tcPr>
            <w:tcW w:w="1453"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Responses</w:t>
            </w:r>
          </w:p>
        </w:tc>
        <w:tc>
          <w:tcPr>
            <w:tcW w:w="1296"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Hours</w:t>
            </w:r>
          </w:p>
        </w:tc>
        <w:tc>
          <w:tcPr>
            <w:tcW w:w="1767"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Cost</w:t>
            </w:r>
          </w:p>
        </w:tc>
        <w:tc>
          <w:tcPr>
            <w:tcW w:w="272" w:type="dxa"/>
            <w:tcBorders>
              <w:top w:val="nil"/>
              <w:left w:val="nil"/>
              <w:bottom w:val="nil"/>
              <w:right w:val="nil"/>
            </w:tcBorders>
            <w:shd w:val="clear" w:color="auto" w:fill="FFFFFF"/>
            <w:noWrap/>
            <w:vAlign w:val="bottom"/>
          </w:tcPr>
          <w:p w:rsidR="004B5609" w:rsidRDefault="004B5609" w:rsidP="00014EF9">
            <w:pPr>
              <w:widowControl/>
              <w:jc w:val="center"/>
              <w:rPr>
                <w:rFonts w:ascii="Arial" w:hAnsi="Arial" w:cs="Arial"/>
                <w:sz w:val="20"/>
              </w:rPr>
            </w:pPr>
            <w:r>
              <w:rPr>
                <w:rFonts w:ascii="Arial" w:hAnsi="Arial" w:cs="Arial"/>
                <w:sz w:val="20"/>
              </w:rPr>
              <w:t> </w:t>
            </w:r>
          </w:p>
        </w:tc>
      </w:tr>
      <w:tr w:rsidR="004B5609">
        <w:trPr>
          <w:trHeight w:val="255"/>
          <w:jc w:val="center"/>
        </w:trPr>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214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1453"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1296"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1767"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r>
      <w:tr w:rsidR="004B5609">
        <w:trPr>
          <w:trHeight w:val="255"/>
          <w:jc w:val="center"/>
        </w:trPr>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214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LM-30</w:t>
            </w:r>
          </w:p>
        </w:tc>
        <w:tc>
          <w:tcPr>
            <w:tcW w:w="1453" w:type="dxa"/>
            <w:tcBorders>
              <w:top w:val="nil"/>
              <w:left w:val="nil"/>
              <w:bottom w:val="nil"/>
              <w:right w:val="nil"/>
            </w:tcBorders>
            <w:shd w:val="clear" w:color="auto" w:fill="FFFFFF"/>
            <w:noWrap/>
            <w:vAlign w:val="bottom"/>
          </w:tcPr>
          <w:p w:rsidR="004B5609" w:rsidRDefault="004B5609" w:rsidP="00014EF9">
            <w:pPr>
              <w:widowControl/>
              <w:jc w:val="right"/>
              <w:rPr>
                <w:rFonts w:ascii="Arial" w:hAnsi="Arial" w:cs="Arial"/>
                <w:sz w:val="20"/>
              </w:rPr>
            </w:pPr>
            <w:r>
              <w:rPr>
                <w:rFonts w:ascii="Arial" w:hAnsi="Arial" w:cs="Arial"/>
                <w:sz w:val="20"/>
              </w:rPr>
              <w:t>1,932</w:t>
            </w:r>
          </w:p>
        </w:tc>
        <w:tc>
          <w:tcPr>
            <w:tcW w:w="1296" w:type="dxa"/>
            <w:tcBorders>
              <w:top w:val="nil"/>
              <w:left w:val="nil"/>
              <w:bottom w:val="nil"/>
              <w:right w:val="nil"/>
            </w:tcBorders>
            <w:shd w:val="clear" w:color="auto" w:fill="FFFFFF"/>
            <w:noWrap/>
            <w:vAlign w:val="bottom"/>
          </w:tcPr>
          <w:p w:rsidR="004B5609" w:rsidRDefault="004B5609" w:rsidP="00AE1958">
            <w:pPr>
              <w:widowControl/>
              <w:jc w:val="right"/>
              <w:rPr>
                <w:rFonts w:ascii="Arial" w:hAnsi="Arial" w:cs="Arial"/>
                <w:sz w:val="20"/>
              </w:rPr>
            </w:pPr>
            <w:r>
              <w:rPr>
                <w:rFonts w:ascii="Arial" w:hAnsi="Arial" w:cs="Arial"/>
                <w:sz w:val="20"/>
              </w:rPr>
              <w:t>2,898</w:t>
            </w:r>
          </w:p>
        </w:tc>
        <w:tc>
          <w:tcPr>
            <w:tcW w:w="1767" w:type="dxa"/>
            <w:tcBorders>
              <w:top w:val="nil"/>
              <w:left w:val="nil"/>
              <w:bottom w:val="nil"/>
              <w:right w:val="nil"/>
            </w:tcBorders>
            <w:shd w:val="clear" w:color="auto" w:fill="FFFFFF"/>
            <w:noWrap/>
            <w:vAlign w:val="bottom"/>
          </w:tcPr>
          <w:p w:rsidR="004B5609" w:rsidRPr="00E11ED7" w:rsidRDefault="004B5609" w:rsidP="00F9569B">
            <w:pPr>
              <w:widowControl/>
              <w:jc w:val="right"/>
              <w:rPr>
                <w:rFonts w:ascii="Arial" w:hAnsi="Arial" w:cs="Arial"/>
                <w:sz w:val="20"/>
              </w:rPr>
            </w:pPr>
            <w:r w:rsidRPr="00E11ED7">
              <w:rPr>
                <w:rFonts w:ascii="Arial" w:hAnsi="Arial" w:cs="Arial"/>
                <w:sz w:val="20"/>
              </w:rPr>
              <w:t>$</w:t>
            </w:r>
            <w:r>
              <w:rPr>
                <w:rFonts w:ascii="Arial" w:hAnsi="Arial" w:cs="Arial"/>
                <w:sz w:val="20"/>
              </w:rPr>
              <w:t>138,621</w:t>
            </w:r>
          </w:p>
        </w:tc>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r>
      <w:tr w:rsidR="004B5609">
        <w:trPr>
          <w:trHeight w:val="150"/>
          <w:jc w:val="center"/>
        </w:trPr>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c>
          <w:tcPr>
            <w:tcW w:w="214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c>
          <w:tcPr>
            <w:tcW w:w="1453"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c>
          <w:tcPr>
            <w:tcW w:w="1296" w:type="dxa"/>
            <w:tcBorders>
              <w:top w:val="nil"/>
              <w:left w:val="nil"/>
              <w:bottom w:val="nil"/>
              <w:right w:val="nil"/>
            </w:tcBorders>
            <w:shd w:val="clear" w:color="auto" w:fill="FFFFFF"/>
            <w:noWrap/>
            <w:vAlign w:val="bottom"/>
          </w:tcPr>
          <w:p w:rsidR="004B5609" w:rsidRDefault="004B5609" w:rsidP="00014EF9">
            <w:pPr>
              <w:widowControl/>
              <w:jc w:val="right"/>
              <w:rPr>
                <w:rFonts w:ascii="Arial" w:hAnsi="Arial" w:cs="Arial"/>
                <w:sz w:val="20"/>
              </w:rPr>
            </w:pPr>
          </w:p>
        </w:tc>
        <w:tc>
          <w:tcPr>
            <w:tcW w:w="1767"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r>
      <w:tr w:rsidR="004B5609">
        <w:trPr>
          <w:trHeight w:val="255"/>
          <w:jc w:val="center"/>
        </w:trPr>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4891" w:type="dxa"/>
            <w:gridSpan w:val="3"/>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Note: Some numbers may not add due to rounding.</w:t>
            </w:r>
          </w:p>
        </w:tc>
        <w:tc>
          <w:tcPr>
            <w:tcW w:w="1767"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r>
              <w:rPr>
                <w:rFonts w:ascii="Arial" w:hAnsi="Arial" w:cs="Arial"/>
                <w:sz w:val="20"/>
              </w:rPr>
              <w:t> </w:t>
            </w:r>
          </w:p>
        </w:tc>
      </w:tr>
      <w:tr w:rsidR="004B5609">
        <w:trPr>
          <w:trHeight w:val="255"/>
          <w:jc w:val="center"/>
        </w:trPr>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c>
          <w:tcPr>
            <w:tcW w:w="4891" w:type="dxa"/>
            <w:gridSpan w:val="3"/>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c>
          <w:tcPr>
            <w:tcW w:w="1767"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c>
          <w:tcPr>
            <w:tcW w:w="272" w:type="dxa"/>
            <w:tcBorders>
              <w:top w:val="nil"/>
              <w:left w:val="nil"/>
              <w:bottom w:val="nil"/>
              <w:right w:val="nil"/>
            </w:tcBorders>
            <w:shd w:val="clear" w:color="auto" w:fill="FFFFFF"/>
            <w:noWrap/>
            <w:vAlign w:val="bottom"/>
          </w:tcPr>
          <w:p w:rsidR="004B5609" w:rsidRDefault="004B5609" w:rsidP="00014EF9">
            <w:pPr>
              <w:widowControl/>
              <w:rPr>
                <w:rFonts w:ascii="Arial" w:hAnsi="Arial" w:cs="Arial"/>
                <w:sz w:val="20"/>
              </w:rPr>
            </w:pPr>
          </w:p>
        </w:tc>
      </w:tr>
    </w:tbl>
    <w:p w:rsidR="004B5609" w:rsidRDefault="004B5609" w:rsidP="00014EF9">
      <w:pPr>
        <w:rPr>
          <w:rFonts w:ascii="Arial" w:hAnsi="Arial" w:cs="Arial"/>
        </w:rPr>
      </w:pPr>
    </w:p>
    <w:p w:rsidR="004B5609" w:rsidRPr="001977AD" w:rsidRDefault="004B5609" w:rsidP="007A4477">
      <w:pPr>
        <w:tabs>
          <w:tab w:val="left" w:pos="-1440"/>
        </w:tabs>
        <w:ind w:left="720" w:hanging="720"/>
        <w:rPr>
          <w:rFonts w:ascii="Arial" w:hAnsi="Arial" w:cs="Arial"/>
          <w:b/>
          <w:bCs/>
        </w:rPr>
      </w:pPr>
      <w:r>
        <w:rPr>
          <w:rFonts w:ascii="Arial" w:hAnsi="Arial" w:cs="Arial"/>
          <w:b/>
          <w:color w:val="000000"/>
        </w:rPr>
        <w:t xml:space="preserve">13.      </w:t>
      </w:r>
      <w:r w:rsidRPr="001977AD">
        <w:rPr>
          <w:rFonts w:ascii="Arial" w:hAnsi="Arial" w:cs="Arial"/>
          <w:b/>
          <w:bCs/>
        </w:rPr>
        <w:t>Provide an estimate of the total annual cost burden to respondents or record-keepers resulting from the collection of information.  (Do not include the cost of any hour burden shown in Items A.12 and A.14).</w:t>
      </w:r>
    </w:p>
    <w:p w:rsidR="004B5609" w:rsidRPr="001977AD" w:rsidRDefault="004B5609" w:rsidP="007A4477">
      <w:pPr>
        <w:rPr>
          <w:rFonts w:ascii="Arial" w:hAnsi="Arial" w:cs="Arial"/>
          <w:b/>
        </w:rPr>
      </w:pPr>
    </w:p>
    <w:p w:rsidR="004B5609" w:rsidRPr="001977AD" w:rsidRDefault="004B5609" w:rsidP="007A4477">
      <w:pPr>
        <w:tabs>
          <w:tab w:val="left" w:pos="-1440"/>
        </w:tabs>
        <w:ind w:left="1440" w:hanging="720"/>
        <w:rPr>
          <w:rFonts w:ascii="Arial" w:hAnsi="Arial" w:cs="Arial"/>
          <w:b/>
          <w:bCs/>
        </w:rPr>
      </w:pPr>
      <w:r w:rsidRPr="001977AD">
        <w:rPr>
          <w:rFonts w:ascii="Arial" w:hAnsi="Arial" w:cs="Arial"/>
          <w:b/>
        </w:rPr>
        <w:t>•</w:t>
      </w:r>
      <w:r w:rsidRPr="001977AD">
        <w:rPr>
          <w:rFonts w:ascii="Arial" w:hAnsi="Arial" w:cs="Arial"/>
          <w:b/>
        </w:rPr>
        <w:tab/>
      </w:r>
      <w:r w:rsidRPr="001977AD">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B5609" w:rsidRPr="001977AD" w:rsidRDefault="004B5609" w:rsidP="007A4477">
      <w:pPr>
        <w:rPr>
          <w:rFonts w:ascii="Arial" w:hAnsi="Arial" w:cs="Arial"/>
          <w:b/>
          <w:bCs/>
        </w:rPr>
      </w:pPr>
    </w:p>
    <w:p w:rsidR="004B5609" w:rsidRPr="001977AD" w:rsidRDefault="004B5609" w:rsidP="007A44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B5609" w:rsidRPr="001977AD" w:rsidRDefault="004B5609" w:rsidP="007A4477">
      <w:pPr>
        <w:rPr>
          <w:rFonts w:ascii="Arial" w:hAnsi="Arial" w:cs="Arial"/>
          <w:b/>
          <w:bCs/>
        </w:rPr>
      </w:pPr>
    </w:p>
    <w:p w:rsidR="004B5609" w:rsidRPr="001977AD" w:rsidRDefault="004B5609" w:rsidP="007A44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B5609" w:rsidRDefault="004B5609" w:rsidP="00BA198A">
      <w:pPr>
        <w:rPr>
          <w:rFonts w:ascii="Arial" w:hAnsi="Arial" w:cs="Arial"/>
        </w:rPr>
      </w:pPr>
    </w:p>
    <w:p w:rsidR="004B5609" w:rsidRDefault="004B5609" w:rsidP="00BA198A">
      <w:pPr>
        <w:rPr>
          <w:rFonts w:ascii="Arial" w:hAnsi="Arial" w:cs="Arial"/>
        </w:rPr>
      </w:pPr>
      <w:r>
        <w:rPr>
          <w:rFonts w:ascii="Arial" w:hAnsi="Arial" w:cs="Arial"/>
        </w:rPr>
        <w:t>There are no operation and maintenance costs to respondents or recordkeepers resulting from the collection of information beyond the cost of the burden hours addressed in Item 12.  Any capital investments including computers and software that are usual and customary expenses incurred by persons in the normal course of their business are excluded from the regulatory definition of burden as capital investments.</w:t>
      </w:r>
    </w:p>
    <w:p w:rsidR="004B5609" w:rsidRDefault="004B5609" w:rsidP="00014EF9">
      <w:pPr>
        <w:rPr>
          <w:rFonts w:ascii="Arial" w:hAnsi="Arial" w:cs="Arial"/>
          <w:b/>
          <w:color w:val="000000"/>
        </w:rPr>
      </w:pPr>
    </w:p>
    <w:p w:rsidR="004B5609" w:rsidRPr="001977AD" w:rsidRDefault="004B5609" w:rsidP="00955662">
      <w:pPr>
        <w:numPr>
          <w:ilvl w:val="0"/>
          <w:numId w:val="12"/>
        </w:numPr>
        <w:tabs>
          <w:tab w:val="left" w:pos="540"/>
        </w:tabs>
        <w:ind w:hanging="810"/>
        <w:rPr>
          <w:rFonts w:ascii="Arial" w:hAnsi="Arial" w:cs="Arial"/>
          <w:b/>
          <w:bCs/>
        </w:rPr>
      </w:pPr>
      <w:r>
        <w:rPr>
          <w:rFonts w:ascii="Arial" w:hAnsi="Arial" w:cs="Arial"/>
          <w:b/>
          <w:bCs/>
        </w:rPr>
        <w:t xml:space="preserve">    </w:t>
      </w:r>
      <w:r w:rsidRPr="001977AD">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004B5609" w:rsidRDefault="004B5609" w:rsidP="007A4477">
      <w:pPr>
        <w:rPr>
          <w:rFonts w:ascii="Arial" w:hAnsi="Arial" w:cs="Arial"/>
          <w:bCs/>
        </w:rPr>
      </w:pPr>
    </w:p>
    <w:p w:rsidR="004B5609" w:rsidRDefault="004B5609" w:rsidP="007A4477">
      <w:pPr>
        <w:rPr>
          <w:rFonts w:ascii="Arial" w:hAnsi="Arial" w:cs="Arial"/>
          <w:color w:val="000000"/>
        </w:rPr>
      </w:pPr>
      <w:r>
        <w:rPr>
          <w:rFonts w:ascii="Arial" w:hAnsi="Arial" w:cs="Arial"/>
        </w:rPr>
        <w:t>Table</w:t>
      </w:r>
      <w:r w:rsidRPr="0036069C">
        <w:rPr>
          <w:rFonts w:ascii="Arial" w:hAnsi="Arial" w:cs="Arial"/>
        </w:rPr>
        <w:t xml:space="preserve"> </w:t>
      </w:r>
      <w:r>
        <w:rPr>
          <w:rFonts w:ascii="Arial" w:hAnsi="Arial" w:cs="Arial"/>
          <w:color w:val="000000"/>
        </w:rPr>
        <w:t xml:space="preserve">3 provides a summary of federal costs associated with the various reporting forms included in most recent ICR approval for OMB # 1215-0188.  Since the Department’s Office of Labor-Management Standards (OLMS) calculates the Federal costs associated with administering its forms as a whole, it cannot break down the Federal cost associated exclusively with the Form LM-30.  Federal estimated costs include costs for contractors and operational expenses such as equipment, overhead, and printing as well as salaries and benefits for the OLMS staff in the National Office and field offices who are involved with reporting and disclosure activities.  These estimates include time devoted to: (a) receipt and processing of reports; (b) disclosing reports to the public; (c) obtaining delinquent reports; (d) reviewing reports, (e) obtaining amended reports if reports are determined to be deficient; and (f) providing compliance assistance training on recordkeeping and reporting requirements. </w:t>
      </w:r>
    </w:p>
    <w:p w:rsidR="004B5609" w:rsidRDefault="004B5609" w:rsidP="00125727">
      <w:pPr>
        <w:ind w:left="360"/>
        <w:rPr>
          <w:rFonts w:ascii="Arial" w:hAnsi="Arial" w:cs="Arial"/>
          <w:color w:val="000000"/>
        </w:rPr>
      </w:pPr>
    </w:p>
    <w:tbl>
      <w:tblPr>
        <w:tblW w:w="6485" w:type="dxa"/>
        <w:tblInd w:w="1447" w:type="dxa"/>
        <w:tblLook w:val="0000"/>
      </w:tblPr>
      <w:tblGrid>
        <w:gridCol w:w="272"/>
        <w:gridCol w:w="4150"/>
        <w:gridCol w:w="1791"/>
        <w:gridCol w:w="272"/>
      </w:tblGrid>
      <w:tr w:rsidR="004B5609" w:rsidTr="00913530">
        <w:trPr>
          <w:trHeight w:val="315"/>
        </w:trPr>
        <w:tc>
          <w:tcPr>
            <w:tcW w:w="6485" w:type="dxa"/>
            <w:gridSpan w:val="4"/>
            <w:tcBorders>
              <w:top w:val="nil"/>
              <w:left w:val="nil"/>
              <w:bottom w:val="nil"/>
              <w:right w:val="nil"/>
            </w:tcBorders>
            <w:shd w:val="clear" w:color="auto" w:fill="FFFFFF"/>
            <w:noWrap/>
            <w:vAlign w:val="bottom"/>
          </w:tcPr>
          <w:p w:rsidR="004B5609" w:rsidRDefault="004B5609" w:rsidP="00913530">
            <w:pPr>
              <w:widowControl/>
              <w:jc w:val="center"/>
              <w:rPr>
                <w:rFonts w:ascii="Arial" w:hAnsi="Arial" w:cs="Arial"/>
                <w:b/>
                <w:bCs/>
                <w:szCs w:val="24"/>
              </w:rPr>
            </w:pPr>
            <w:r>
              <w:rPr>
                <w:rFonts w:ascii="Arial" w:hAnsi="Arial" w:cs="Arial"/>
                <w:b/>
                <w:bCs/>
                <w:szCs w:val="24"/>
              </w:rPr>
              <w:t>TABLE 3</w:t>
            </w:r>
          </w:p>
        </w:tc>
      </w:tr>
      <w:tr w:rsidR="004B5609" w:rsidTr="00913530">
        <w:trPr>
          <w:trHeight w:val="255"/>
        </w:trPr>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r>
      <w:tr w:rsidR="004B5609" w:rsidTr="00913530">
        <w:trPr>
          <w:trHeight w:val="315"/>
        </w:trPr>
        <w:tc>
          <w:tcPr>
            <w:tcW w:w="6485" w:type="dxa"/>
            <w:gridSpan w:val="4"/>
            <w:tcBorders>
              <w:top w:val="nil"/>
              <w:left w:val="nil"/>
              <w:bottom w:val="nil"/>
              <w:right w:val="nil"/>
            </w:tcBorders>
            <w:shd w:val="clear" w:color="auto" w:fill="FFFFFF"/>
            <w:noWrap/>
            <w:vAlign w:val="bottom"/>
          </w:tcPr>
          <w:p w:rsidR="004B5609" w:rsidRDefault="004B5609" w:rsidP="00913530">
            <w:pPr>
              <w:widowControl/>
              <w:jc w:val="center"/>
              <w:rPr>
                <w:rFonts w:ascii="Arial" w:hAnsi="Arial" w:cs="Arial"/>
                <w:b/>
                <w:bCs/>
                <w:szCs w:val="24"/>
              </w:rPr>
            </w:pPr>
            <w:r>
              <w:rPr>
                <w:rFonts w:ascii="Arial" w:hAnsi="Arial" w:cs="Arial"/>
                <w:b/>
                <w:bCs/>
                <w:szCs w:val="24"/>
              </w:rPr>
              <w:t>ANNUALIZED FEDERAL COST ESTIMATES</w:t>
            </w:r>
          </w:p>
        </w:tc>
      </w:tr>
      <w:tr w:rsidR="004B5609" w:rsidTr="00913530">
        <w:trPr>
          <w:trHeight w:val="255"/>
        </w:trPr>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r>
      <w:tr w:rsidR="004B5609" w:rsidTr="00913530">
        <w:trPr>
          <w:trHeight w:val="297"/>
        </w:trPr>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National Office</w:t>
            </w:r>
          </w:p>
        </w:tc>
        <w:tc>
          <w:tcPr>
            <w:tcW w:w="1791" w:type="dxa"/>
            <w:tcBorders>
              <w:top w:val="nil"/>
              <w:left w:val="nil"/>
              <w:bottom w:val="nil"/>
              <w:right w:val="nil"/>
            </w:tcBorders>
            <w:shd w:val="clear" w:color="auto" w:fill="FFFFFF"/>
            <w:noWrap/>
            <w:vAlign w:val="bottom"/>
          </w:tcPr>
          <w:p w:rsidR="004B5609" w:rsidRPr="007C1DEB" w:rsidRDefault="004B5609" w:rsidP="00913530">
            <w:pPr>
              <w:widowControl/>
              <w:jc w:val="right"/>
              <w:rPr>
                <w:rFonts w:ascii="Arial" w:hAnsi="Arial" w:cs="Arial"/>
                <w:sz w:val="20"/>
              </w:rPr>
            </w:pPr>
            <w:r w:rsidRPr="007C1DEB">
              <w:rPr>
                <w:rFonts w:ascii="Arial" w:hAnsi="Arial" w:cs="Arial"/>
                <w:sz w:val="20"/>
              </w:rPr>
              <w:t>$</w:t>
            </w:r>
            <w:r>
              <w:rPr>
                <w:rFonts w:ascii="Arial" w:hAnsi="Arial" w:cs="Arial"/>
                <w:sz w:val="20"/>
              </w:rPr>
              <w:t>2,710,726</w:t>
            </w:r>
          </w:p>
        </w:tc>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r>
      <w:tr w:rsidR="004B5609" w:rsidTr="00913530">
        <w:trPr>
          <w:trHeight w:val="255"/>
        </w:trPr>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4B5609" w:rsidRPr="007C1DEB" w:rsidRDefault="004B5609" w:rsidP="00913530">
            <w:pPr>
              <w:widowControl/>
              <w:rPr>
                <w:rFonts w:ascii="Arial" w:hAnsi="Arial" w:cs="Arial"/>
                <w:sz w:val="20"/>
              </w:rPr>
            </w:pPr>
            <w:r w:rsidRPr="007C1DEB">
              <w:rPr>
                <w:rFonts w:ascii="Arial" w:hAnsi="Arial" w:cs="Arial"/>
                <w:sz w:val="20"/>
              </w:rPr>
              <w:t> </w:t>
            </w:r>
          </w:p>
        </w:tc>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r>
      <w:tr w:rsidR="004B5609" w:rsidTr="00913530">
        <w:trPr>
          <w:trHeight w:val="270"/>
        </w:trPr>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Field Offices</w:t>
            </w:r>
          </w:p>
        </w:tc>
        <w:tc>
          <w:tcPr>
            <w:tcW w:w="1791" w:type="dxa"/>
            <w:tcBorders>
              <w:top w:val="nil"/>
              <w:left w:val="nil"/>
              <w:bottom w:val="single" w:sz="8" w:space="0" w:color="auto"/>
              <w:right w:val="nil"/>
            </w:tcBorders>
            <w:shd w:val="clear" w:color="auto" w:fill="FFFFFF"/>
            <w:noWrap/>
            <w:vAlign w:val="bottom"/>
          </w:tcPr>
          <w:p w:rsidR="004B5609" w:rsidRPr="00437974" w:rsidRDefault="004B5609" w:rsidP="00913530">
            <w:pPr>
              <w:widowControl/>
              <w:jc w:val="right"/>
              <w:rPr>
                <w:rFonts w:ascii="Arial" w:hAnsi="Arial" w:cs="Arial"/>
                <w:sz w:val="20"/>
                <w:highlight w:val="yellow"/>
              </w:rPr>
            </w:pPr>
            <w:r w:rsidRPr="007C1DEB">
              <w:rPr>
                <w:rFonts w:ascii="Arial" w:hAnsi="Arial" w:cs="Arial"/>
                <w:sz w:val="20"/>
              </w:rPr>
              <w:t>$</w:t>
            </w:r>
            <w:r>
              <w:rPr>
                <w:rFonts w:ascii="Arial" w:hAnsi="Arial" w:cs="Arial"/>
                <w:sz w:val="20"/>
              </w:rPr>
              <w:t>3,779,778</w:t>
            </w:r>
          </w:p>
        </w:tc>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r>
      <w:tr w:rsidR="004B5609" w:rsidTr="00913530">
        <w:trPr>
          <w:trHeight w:val="255"/>
        </w:trPr>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r>
      <w:tr w:rsidR="004B5609" w:rsidTr="00913530">
        <w:trPr>
          <w:trHeight w:val="255"/>
        </w:trPr>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Total</w:t>
            </w:r>
          </w:p>
        </w:tc>
        <w:tc>
          <w:tcPr>
            <w:tcW w:w="1791" w:type="dxa"/>
            <w:tcBorders>
              <w:top w:val="nil"/>
              <w:left w:val="nil"/>
              <w:bottom w:val="nil"/>
              <w:right w:val="nil"/>
            </w:tcBorders>
            <w:shd w:val="clear" w:color="auto" w:fill="FFFFFF"/>
            <w:noWrap/>
            <w:vAlign w:val="bottom"/>
          </w:tcPr>
          <w:p w:rsidR="004B5609" w:rsidRDefault="004B5609" w:rsidP="00913530">
            <w:pPr>
              <w:widowControl/>
              <w:jc w:val="right"/>
              <w:rPr>
                <w:rFonts w:ascii="Arial" w:hAnsi="Arial" w:cs="Arial"/>
                <w:sz w:val="20"/>
              </w:rPr>
            </w:pPr>
            <w:r w:rsidRPr="007C1DEB">
              <w:rPr>
                <w:rFonts w:ascii="Arial" w:hAnsi="Arial" w:cs="Arial"/>
                <w:sz w:val="20"/>
              </w:rPr>
              <w:t>$</w:t>
            </w:r>
            <w:r>
              <w:rPr>
                <w:rFonts w:ascii="Arial" w:hAnsi="Arial" w:cs="Arial"/>
                <w:sz w:val="20"/>
              </w:rPr>
              <w:t>6,490,504</w:t>
            </w:r>
          </w:p>
        </w:tc>
        <w:tc>
          <w:tcPr>
            <w:tcW w:w="272" w:type="dxa"/>
            <w:tcBorders>
              <w:top w:val="nil"/>
              <w:left w:val="nil"/>
              <w:bottom w:val="nil"/>
              <w:right w:val="nil"/>
            </w:tcBorders>
            <w:shd w:val="clear" w:color="auto" w:fill="FFFFFF"/>
            <w:noWrap/>
            <w:vAlign w:val="bottom"/>
          </w:tcPr>
          <w:p w:rsidR="004B5609" w:rsidRDefault="004B5609" w:rsidP="00913530">
            <w:pPr>
              <w:widowControl/>
              <w:rPr>
                <w:rFonts w:ascii="Arial" w:hAnsi="Arial" w:cs="Arial"/>
                <w:sz w:val="20"/>
              </w:rPr>
            </w:pPr>
            <w:r>
              <w:rPr>
                <w:rFonts w:ascii="Arial" w:hAnsi="Arial" w:cs="Arial"/>
                <w:sz w:val="20"/>
              </w:rPr>
              <w:t> </w:t>
            </w:r>
          </w:p>
        </w:tc>
      </w:tr>
    </w:tbl>
    <w:p w:rsidR="004B5609" w:rsidRDefault="004B5609" w:rsidP="00014EF9">
      <w:pPr>
        <w:rPr>
          <w:rFonts w:ascii="Arial" w:hAnsi="Arial" w:cs="Arial"/>
          <w:color w:val="000000"/>
        </w:rPr>
      </w:pPr>
    </w:p>
    <w:p w:rsidR="004B5609" w:rsidRPr="001D6D26" w:rsidRDefault="004B5609" w:rsidP="001D6D26">
      <w:pPr>
        <w:ind w:left="720" w:hanging="720"/>
        <w:rPr>
          <w:rFonts w:ascii="Arial" w:hAnsi="Arial" w:cs="Arial"/>
          <w:b/>
          <w:bCs/>
        </w:rPr>
      </w:pPr>
      <w:r w:rsidRPr="001D6D26">
        <w:rPr>
          <w:rFonts w:ascii="Arial" w:hAnsi="Arial" w:cs="Arial"/>
          <w:b/>
          <w:bCs/>
        </w:rPr>
        <w:t>15.</w:t>
      </w:r>
      <w:r w:rsidRPr="001D6D26">
        <w:rPr>
          <w:rFonts w:ascii="Arial" w:hAnsi="Arial" w:cs="Arial"/>
          <w:b/>
          <w:bCs/>
        </w:rPr>
        <w:tab/>
        <w:t>Explain the reasons for any program changes or adjustments.</w:t>
      </w:r>
    </w:p>
    <w:p w:rsidR="004B5609" w:rsidRDefault="004B5609" w:rsidP="001D6D26">
      <w:pPr>
        <w:ind w:left="720" w:hanging="720"/>
        <w:rPr>
          <w:rFonts w:ascii="Arial" w:hAnsi="Arial" w:cs="Arial"/>
        </w:rPr>
      </w:pPr>
    </w:p>
    <w:p w:rsidR="004B5609" w:rsidRDefault="004B5609" w:rsidP="007F397F">
      <w:pPr>
        <w:rPr>
          <w:rFonts w:ascii="Arial" w:hAnsi="Arial" w:cs="Arial"/>
          <w:szCs w:val="24"/>
        </w:rPr>
      </w:pPr>
      <w:r>
        <w:rPr>
          <w:rFonts w:ascii="Arial" w:hAnsi="Arial" w:cs="Arial"/>
        </w:rPr>
        <w:t>This is not applicable to the proposed revised Form LM-30, as the Department is seeking a new information collection for the revised form.</w:t>
      </w:r>
    </w:p>
    <w:p w:rsidR="004B5609" w:rsidRPr="00CC137F" w:rsidRDefault="004B5609" w:rsidP="001D6D26">
      <w:pPr>
        <w:ind w:left="720" w:hanging="720"/>
        <w:rPr>
          <w:rFonts w:ascii="Arial" w:hAnsi="Arial" w:cs="Arial"/>
        </w:rPr>
      </w:pPr>
    </w:p>
    <w:p w:rsidR="004B5609" w:rsidRDefault="004B5609" w:rsidP="001D6D26">
      <w:pPr>
        <w:ind w:left="720" w:hanging="720"/>
        <w:rPr>
          <w:rFonts w:ascii="Arial" w:hAnsi="Arial" w:cs="Arial"/>
          <w:bCs/>
        </w:rPr>
      </w:pPr>
      <w:r w:rsidRPr="001D6D26">
        <w:rPr>
          <w:rFonts w:ascii="Arial" w:hAnsi="Arial" w:cs="Arial"/>
          <w:b/>
          <w:bCs/>
        </w:rPr>
        <w:t>16.</w:t>
      </w:r>
      <w:r w:rsidRPr="001D6D26">
        <w:rPr>
          <w:rFonts w:ascii="Arial" w:hAnsi="Arial" w:cs="Arial"/>
          <w:b/>
        </w:rPr>
        <w:tab/>
      </w:r>
      <w:r w:rsidRPr="001D6D2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B5609" w:rsidRDefault="004B5609" w:rsidP="001D6D26">
      <w:pPr>
        <w:ind w:left="720" w:hanging="720"/>
        <w:rPr>
          <w:rFonts w:ascii="Arial" w:hAnsi="Arial" w:cs="Arial"/>
          <w:bCs/>
        </w:rPr>
      </w:pPr>
    </w:p>
    <w:p w:rsidR="004B5609" w:rsidRPr="00BC3785" w:rsidRDefault="004B5609" w:rsidP="001D6D26">
      <w:pPr>
        <w:ind w:left="720" w:hanging="720"/>
        <w:rPr>
          <w:rFonts w:ascii="Arial" w:hAnsi="Arial" w:cs="Arial"/>
          <w:bCs/>
        </w:rPr>
      </w:pPr>
      <w:r>
        <w:rPr>
          <w:rFonts w:ascii="Arial" w:hAnsi="Arial" w:cs="Arial"/>
          <w:bCs/>
        </w:rPr>
        <w:t>This is not applicable to the proposed Form LM-30 information collection.</w:t>
      </w:r>
    </w:p>
    <w:p w:rsidR="004B5609" w:rsidRDefault="004B5609" w:rsidP="0080729C">
      <w:pPr>
        <w:rPr>
          <w:rFonts w:ascii="Arial" w:hAnsi="Arial" w:cs="Arial"/>
          <w:b/>
        </w:rPr>
      </w:pPr>
    </w:p>
    <w:p w:rsidR="004B5609" w:rsidRDefault="004B5609" w:rsidP="001D6D26">
      <w:pPr>
        <w:ind w:left="540" w:hanging="540"/>
        <w:rPr>
          <w:rFonts w:ascii="Arial" w:hAnsi="Arial" w:cs="Arial"/>
          <w:bCs/>
        </w:rPr>
      </w:pPr>
      <w:r>
        <w:rPr>
          <w:rFonts w:ascii="Arial" w:hAnsi="Arial" w:cs="Arial"/>
          <w:b/>
        </w:rPr>
        <w:t xml:space="preserve">17.   </w:t>
      </w:r>
      <w:r w:rsidRPr="006E0CDF">
        <w:rPr>
          <w:rFonts w:ascii="Arial" w:hAnsi="Arial" w:cs="Arial"/>
          <w:b/>
          <w:bCs/>
        </w:rPr>
        <w:t>If seeking approval to not display the expiration date for OMB approval of the information collection, explain the reasons that display would be inappropriate.</w:t>
      </w:r>
    </w:p>
    <w:p w:rsidR="004B5609" w:rsidRDefault="004B5609" w:rsidP="0080729C">
      <w:pPr>
        <w:rPr>
          <w:rFonts w:ascii="Arial" w:hAnsi="Arial" w:cs="Arial"/>
          <w:bCs/>
        </w:rPr>
      </w:pPr>
    </w:p>
    <w:p w:rsidR="004B5609" w:rsidRDefault="004B5609" w:rsidP="0080729C">
      <w:pPr>
        <w:rPr>
          <w:rFonts w:ascii="Arial" w:hAnsi="Arial" w:cs="Arial"/>
        </w:rPr>
      </w:pPr>
      <w:r>
        <w:rPr>
          <w:rFonts w:ascii="Arial" w:hAnsi="Arial" w:cs="Arial"/>
        </w:rPr>
        <w:t>The Department is not seeking an exemption to the display of the expiration date of the OMB approval of the information collection.</w:t>
      </w:r>
    </w:p>
    <w:p w:rsidR="004B5609" w:rsidRDefault="004B5609" w:rsidP="0080729C">
      <w:pPr>
        <w:rPr>
          <w:rFonts w:ascii="Arial" w:hAnsi="Arial" w:cs="Arial"/>
        </w:rPr>
      </w:pPr>
    </w:p>
    <w:p w:rsidR="004B5609" w:rsidRDefault="004B5609" w:rsidP="00014EF9">
      <w:pPr>
        <w:rPr>
          <w:rFonts w:ascii="Arial" w:hAnsi="Arial" w:cs="Arial"/>
          <w:bCs/>
        </w:rPr>
      </w:pPr>
      <w:r>
        <w:rPr>
          <w:rFonts w:ascii="Arial" w:hAnsi="Arial" w:cs="Arial"/>
          <w:b/>
        </w:rPr>
        <w:t xml:space="preserve">18. </w:t>
      </w:r>
      <w:r w:rsidRPr="006E0CDF">
        <w:rPr>
          <w:rFonts w:ascii="Arial" w:hAnsi="Arial" w:cs="Arial"/>
          <w:b/>
          <w:bCs/>
        </w:rPr>
        <w:t>Explain each exception to the certification statement in ROCIS.</w:t>
      </w:r>
    </w:p>
    <w:p w:rsidR="004B5609" w:rsidRDefault="004B5609" w:rsidP="00014EF9">
      <w:pPr>
        <w:rPr>
          <w:rFonts w:ascii="Arial" w:hAnsi="Arial" w:cs="Arial"/>
          <w:bCs/>
        </w:rPr>
      </w:pPr>
    </w:p>
    <w:p w:rsidR="004B5609" w:rsidRDefault="004B5609" w:rsidP="00014EF9">
      <w:pPr>
        <w:rPr>
          <w:rFonts w:ascii="Arial" w:hAnsi="Arial" w:cs="Arial"/>
        </w:rPr>
      </w:pPr>
      <w:r>
        <w:rPr>
          <w:rFonts w:ascii="Arial" w:hAnsi="Arial" w:cs="Arial"/>
        </w:rPr>
        <w:t xml:space="preserve">The Department is not requesting any exceptions to the certification statement required by the Paperwork Reduction Act.  OLMS is able to certify compliance with all provisions. </w:t>
      </w:r>
    </w:p>
    <w:p w:rsidR="004B5609" w:rsidRDefault="004B5609" w:rsidP="00014EF9">
      <w:pPr>
        <w:rPr>
          <w:rFonts w:ascii="Arial" w:hAnsi="Arial" w:cs="Arial"/>
        </w:rPr>
      </w:pPr>
    </w:p>
    <w:p w:rsidR="004B5609" w:rsidRDefault="004B5609" w:rsidP="00014EF9">
      <w:pPr>
        <w:rPr>
          <w:rFonts w:ascii="Arial" w:hAnsi="Arial" w:cs="Arial"/>
          <w:b/>
          <w:u w:val="single"/>
        </w:rPr>
      </w:pPr>
      <w:r w:rsidRPr="0080729C">
        <w:rPr>
          <w:rFonts w:ascii="Arial" w:hAnsi="Arial" w:cs="Arial"/>
          <w:b/>
        </w:rPr>
        <w:t xml:space="preserve">B. </w:t>
      </w:r>
      <w:r>
        <w:rPr>
          <w:rFonts w:ascii="Arial" w:hAnsi="Arial" w:cs="Arial"/>
          <w:b/>
        </w:rPr>
        <w:t xml:space="preserve"> </w:t>
      </w:r>
      <w:r>
        <w:rPr>
          <w:rFonts w:ascii="Arial" w:hAnsi="Arial" w:cs="Arial"/>
          <w:b/>
          <w:u w:val="single"/>
        </w:rPr>
        <w:t>COLLECTIONS OF INFORMATION EMPLOYING STATISTICAL METHODS</w:t>
      </w:r>
    </w:p>
    <w:p w:rsidR="004B5609" w:rsidRDefault="004B5609" w:rsidP="00014EF9">
      <w:pPr>
        <w:rPr>
          <w:rFonts w:ascii="Arial" w:hAnsi="Arial" w:cs="Arial"/>
          <w:b/>
          <w:u w:val="single"/>
        </w:rPr>
      </w:pPr>
    </w:p>
    <w:p w:rsidR="004B5609" w:rsidRDefault="004B5609" w:rsidP="00515464">
      <w:pPr>
        <w:rPr>
          <w:rFonts w:ascii="Arial" w:hAnsi="Arial" w:cs="Arial"/>
        </w:rPr>
      </w:pPr>
      <w:r>
        <w:rPr>
          <w:rFonts w:ascii="Arial" w:hAnsi="Arial" w:cs="Arial"/>
        </w:rPr>
        <w:t>This information collection does not employ statistical methods.</w:t>
      </w:r>
    </w:p>
    <w:p w:rsidR="004B5609" w:rsidRDefault="004B5609" w:rsidP="00515464">
      <w:pPr>
        <w:rPr>
          <w:rFonts w:ascii="Arial" w:hAnsi="Arial" w:cs="Arial"/>
        </w:rPr>
      </w:pPr>
    </w:p>
    <w:p w:rsidR="004B5609" w:rsidRDefault="004B5609" w:rsidP="00515464">
      <w:pPr>
        <w:rPr>
          <w:rFonts w:ascii="Arial" w:hAnsi="Arial" w:cs="Arial"/>
        </w:rPr>
      </w:pPr>
      <w:r>
        <w:rPr>
          <w:rFonts w:ascii="Arial" w:hAnsi="Arial" w:cs="Arial"/>
        </w:rPr>
        <w:t>Attachments</w:t>
      </w:r>
    </w:p>
    <w:p w:rsidR="004B5609" w:rsidRDefault="004B5609" w:rsidP="00515464">
      <w:pPr>
        <w:rPr>
          <w:rFonts w:ascii="Arial" w:hAnsi="Arial" w:cs="Arial"/>
        </w:rPr>
      </w:pPr>
    </w:p>
    <w:p w:rsidR="004B5609" w:rsidRPr="0004461D" w:rsidRDefault="004B5609" w:rsidP="00515464">
      <w:pPr>
        <w:rPr>
          <w:rFonts w:ascii="Arial" w:hAnsi="Arial" w:cs="Arial"/>
        </w:rPr>
      </w:pPr>
      <w:r w:rsidRPr="0004461D">
        <w:rPr>
          <w:rFonts w:ascii="Arial" w:hAnsi="Arial" w:cs="Arial"/>
        </w:rPr>
        <w:t>Proposed Form LM-30</w:t>
      </w:r>
    </w:p>
    <w:p w:rsidR="004B5609" w:rsidRDefault="004B5609" w:rsidP="00515464">
      <w:pPr>
        <w:rPr>
          <w:rFonts w:ascii="Arial" w:hAnsi="Arial" w:cs="Arial"/>
        </w:rPr>
      </w:pPr>
      <w:r w:rsidRPr="0004461D">
        <w:rPr>
          <w:rFonts w:ascii="Arial" w:hAnsi="Arial" w:cs="Arial"/>
        </w:rPr>
        <w:t>Proposed Form LM-30 Instructions</w:t>
      </w:r>
    </w:p>
    <w:p w:rsidR="004B5609" w:rsidRPr="0004461D" w:rsidRDefault="004B5609" w:rsidP="00515464">
      <w:pPr>
        <w:rPr>
          <w:rFonts w:ascii="Arial" w:hAnsi="Arial" w:cs="Arial"/>
        </w:rPr>
      </w:pPr>
      <w:r>
        <w:rPr>
          <w:rFonts w:ascii="Arial" w:hAnsi="Arial" w:cs="Arial"/>
        </w:rPr>
        <w:t>Proposed Form LM-30 NPRM</w:t>
      </w:r>
    </w:p>
    <w:p w:rsidR="004B5609" w:rsidRDefault="004B5609" w:rsidP="00515464">
      <w:pPr>
        <w:rPr>
          <w:rFonts w:ascii="Arial" w:hAnsi="Arial" w:cs="Arial"/>
        </w:rPr>
      </w:pPr>
    </w:p>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Default="004B5609" w:rsidP="00515464"/>
    <w:p w:rsidR="004B5609" w:rsidRPr="00FC23A4" w:rsidRDefault="004B5609" w:rsidP="003A2FB1">
      <w:pPr>
        <w:widowControl/>
        <w:spacing w:before="100" w:beforeAutospacing="1" w:after="100" w:afterAutospacing="1"/>
        <w:jc w:val="center"/>
        <w:rPr>
          <w:rFonts w:ascii="Arial" w:hAnsi="Arial" w:cs="Arial"/>
          <w:b/>
          <w:bCs/>
          <w:szCs w:val="24"/>
        </w:rPr>
      </w:pPr>
      <w:r w:rsidRPr="00FC23A4">
        <w:rPr>
          <w:rFonts w:ascii="Arial" w:hAnsi="Arial" w:cs="Arial"/>
          <w:b/>
          <w:bCs/>
          <w:szCs w:val="24"/>
        </w:rPr>
        <w:t>Appendix</w:t>
      </w:r>
      <w:r>
        <w:rPr>
          <w:rFonts w:ascii="Arial" w:hAnsi="Arial" w:cs="Arial"/>
          <w:b/>
          <w:bCs/>
          <w:szCs w:val="24"/>
        </w:rPr>
        <w:t xml:space="preserve"> A</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b/>
          <w:bCs/>
          <w:szCs w:val="24"/>
        </w:rPr>
        <w:t>Report of Officers and Employees of Labor Organizations</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(29 U.S.C. 432)</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SEC. 202. (a) Every officer of a labor organization and every employee of a labor organization (other than an employee performing exclusively clerical or custodial services) shall file with the Secretary a signed report listing and describing for his preceding fiscal year-</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(1) any stock, bond, security, or other interest, legal or equitable, which he or his spouse or minor child directly or indirectly held in, and any income or any other benefit with monetary value (including reimbursed expenses) which he or his spouse or minor child derived directly or indirectly from, an employer whose employees such labor organization represents or is actively seeking to represent, except payments and other benefits received as a bona fide employee of such employer;</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(2) any transaction in which he or his spouse or minor child engaged, directly or indirectly, involving any stock, bond, security, or loan to or from, or other legal or equitable interest in the business of an employer whose employees such labor organization represents or is actively seeking to represent;</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(3) any stock, bond, security, or other interest, legal or equitable, which he or his spouse or minor child directly or indirectly held in, and any income or any other benefit with monetary value (including reimbursed expenses) which he or his spouse or minor child directly or indirectly derived from, any business a substantial part of which consists of buying from, selling or leasing to, or otherwise dealing with, the business of an employer whose employees such labor organization represents or is actively seeking to represent;</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(4) any stock, bond, security, or other interest, legal or equitable, which he or his spouse or minor child directly or indirectly held in, and any income or any other benefit with monetary value (including reimbursed expenses) which he or his spouse or minor child directly or indirectly derived from, a business any part of which consists of buying from, or selling or leasing directly or indirectly to, or otherwise dealing with such labor organization;</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(5) any direct or indirect business transaction or arrangement between him or his spouse or minor child and any employer whose employees his organization represents or is actively seeking to represent, except work performed and payments and benefits received as a bona fide employee of such employer and except purchases and sales of goods or services in the regular course of business at prices generally available to any employee of such employer; and</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(6) any payment of money or other thing of value (including reimbursed expenses) which he or his spouse or minor child received directly or indirectly from any employer or any person who acts as a labor relations consultant to an employer, except payments of the kinds referred to in section 302(c) of the Labor Management Relations Act, 1947, as amended.</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(b) The provisions of paragraphs (1), (2), (3), (4), and (5) of subsection (a) shall not be construed to require any such officer or employee to report his bona fide investments in securities traded on a securities exchange registered as a national securities exchange under the Securities Exchange Act of 1934, in shares in an investment company registered under the Investment Company Act or in securities of a public utility holding company registered under the Public Utility Holding Company Act of 1935, or to report any income derived therefrom.</w:t>
      </w:r>
    </w:p>
    <w:p w:rsidR="004B5609" w:rsidRPr="008E4110"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(c) Nothing contained in this section shall be construed to require any officer or employee of a labor organization to file a report under subsection (a) unless he or his spouse or minor child holds or has held an interest, has received income or any other benefit with monetary value or a loan, or has engaged in a transaction described therein.</w:t>
      </w:r>
    </w:p>
    <w:p w:rsidR="004B5609" w:rsidRDefault="004B5609" w:rsidP="008E4110">
      <w:pPr>
        <w:widowControl/>
        <w:spacing w:before="100" w:beforeAutospacing="1" w:after="100" w:afterAutospacing="1"/>
        <w:jc w:val="center"/>
        <w:rPr>
          <w:rFonts w:ascii="Arial" w:hAnsi="Arial" w:cs="Arial"/>
          <w:b/>
          <w:bCs/>
          <w:szCs w:val="24"/>
        </w:rPr>
      </w:pPr>
      <w:r>
        <w:rPr>
          <w:rFonts w:ascii="Arial" w:hAnsi="Arial" w:cs="Arial"/>
          <w:b/>
          <w:bCs/>
          <w:szCs w:val="24"/>
        </w:rPr>
        <w:t>Appendix B</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b/>
          <w:bCs/>
          <w:szCs w:val="24"/>
        </w:rPr>
        <w:t>Rules and Regulations</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(29 U.S.C. 438)</w:t>
      </w:r>
    </w:p>
    <w:p w:rsidR="004B5609" w:rsidRPr="00FC23A4" w:rsidRDefault="004B5609" w:rsidP="003A2FB1">
      <w:pPr>
        <w:widowControl/>
        <w:spacing w:before="100" w:beforeAutospacing="1" w:after="100" w:afterAutospacing="1"/>
        <w:rPr>
          <w:rFonts w:ascii="Arial" w:hAnsi="Arial" w:cs="Arial"/>
          <w:szCs w:val="24"/>
        </w:rPr>
      </w:pPr>
      <w:r w:rsidRPr="00FC23A4">
        <w:rPr>
          <w:rFonts w:ascii="Arial" w:hAnsi="Arial" w:cs="Arial"/>
          <w:szCs w:val="24"/>
        </w:rPr>
        <w:t>SEC. 208. The Secretary shall have authority to issue, amend, and rescind rules and regulations prescribing the form and publication of reports required to be filed under this title and such other reasonable rules and regulations (including rules prescribing reports concerning trusts in which a labor organization is interested) as he may find necessary to prevent the circumvention or evasion of such reporting requirements. In exercising his power under this section the Secretary shall prescribe by general rule simplified reports for labor organizations or employers for whom he finds that by virtue of their size a detailed report would be unduly burdensome, but the Secretary may revoke such provision for simplified forms of any labor organization or employer if he determines, after such investigation as he deems proper and due notice and opportunity for a hearing, that the purposes of this section would be served thereby.</w:t>
      </w:r>
    </w:p>
    <w:p w:rsidR="004B5609" w:rsidRPr="00FC23A4" w:rsidRDefault="004B5609" w:rsidP="00515464">
      <w:pPr>
        <w:rPr>
          <w:rFonts w:ascii="Arial" w:hAnsi="Arial" w:cs="Arial"/>
          <w:szCs w:val="24"/>
        </w:rPr>
      </w:pPr>
    </w:p>
    <w:sectPr w:rsidR="004B5609" w:rsidRPr="00FC23A4" w:rsidSect="00014EF9">
      <w:footerReference w:type="default" r:id="rId7"/>
      <w:endnotePr>
        <w:numFmt w:val="decimal"/>
      </w:endnotePr>
      <w:pgSz w:w="12240" w:h="15840"/>
      <w:pgMar w:top="432" w:right="720" w:bottom="1440" w:left="1440" w:header="432" w:footer="43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609" w:rsidRDefault="004B5609">
      <w:r>
        <w:separator/>
      </w:r>
    </w:p>
  </w:endnote>
  <w:endnote w:type="continuationSeparator" w:id="1">
    <w:p w:rsidR="004B5609" w:rsidRDefault="004B56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09" w:rsidRDefault="004B56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B5609" w:rsidRDefault="004B5609">
    <w:pPr>
      <w:pStyle w:val="Footer"/>
      <w:jc w:val="center"/>
      <w:rPr>
        <w:rFonts w:ascii="Arial" w:hAnsi="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609" w:rsidRDefault="004B5609">
      <w:r>
        <w:separator/>
      </w:r>
    </w:p>
  </w:footnote>
  <w:footnote w:type="continuationSeparator" w:id="1">
    <w:p w:rsidR="004B5609" w:rsidRDefault="004B5609">
      <w:r>
        <w:continuationSeparator/>
      </w:r>
    </w:p>
  </w:footnote>
  <w:footnote w:id="2">
    <w:p w:rsidR="004B5609" w:rsidRDefault="004B5609">
      <w:pPr>
        <w:pStyle w:val="FootnoteText"/>
      </w:pPr>
      <w:r w:rsidRPr="00CC1C08">
        <w:rPr>
          <w:rStyle w:val="FootnoteReference"/>
          <w:rFonts w:ascii="Arial" w:hAnsi="Arial" w:cs="Arial"/>
        </w:rPr>
        <w:footnoteRef/>
      </w:r>
      <w:r w:rsidRPr="00CC1C08">
        <w:rPr>
          <w:rFonts w:ascii="Arial" w:hAnsi="Arial" w:cs="Arial"/>
        </w:rPr>
        <w:t xml:space="preserve"> </w:t>
      </w:r>
      <w:r w:rsidRPr="00291851">
        <w:rPr>
          <w:rFonts w:ascii="Arial" w:hAnsi="Arial" w:cs="Arial"/>
          <w:i/>
        </w:rPr>
        <w:t>See</w:t>
      </w:r>
      <w:r w:rsidRPr="00291851">
        <w:rPr>
          <w:rFonts w:ascii="Arial" w:hAnsi="Arial" w:cs="Arial"/>
        </w:rPr>
        <w:t xml:space="preserve"> Employer Costs for Employee Compensation Summary, from the </w:t>
      </w:r>
      <w:r>
        <w:rPr>
          <w:rFonts w:ascii="Arial" w:hAnsi="Arial" w:cs="Arial"/>
        </w:rPr>
        <w:t>Bureau of Labor Statistics (</w:t>
      </w:r>
      <w:r w:rsidRPr="00291851">
        <w:rPr>
          <w:rFonts w:ascii="Arial" w:hAnsi="Arial" w:cs="Arial"/>
        </w:rPr>
        <w:t>BLS</w:t>
      </w:r>
      <w:r>
        <w:rPr>
          <w:rFonts w:ascii="Arial" w:hAnsi="Arial" w:cs="Arial"/>
        </w:rPr>
        <w:t>)</w:t>
      </w:r>
      <w:r w:rsidRPr="00291851">
        <w:rPr>
          <w:rFonts w:ascii="Arial" w:hAnsi="Arial" w:cs="Arial"/>
        </w:rPr>
        <w:t xml:space="preserve">, at </w:t>
      </w:r>
      <w:hyperlink r:id="rId1" w:history="1">
        <w:r w:rsidRPr="00291851">
          <w:rPr>
            <w:rStyle w:val="Hyperlink"/>
            <w:rFonts w:ascii="Arial" w:hAnsi="Arial" w:cs="Arial"/>
          </w:rPr>
          <w:t>http://www.bls.gov/news.release/ecec.nr0.htm</w:t>
        </w:r>
      </w:hyperlink>
      <w:r w:rsidRPr="00291851">
        <w:rPr>
          <w:rFonts w:ascii="Arial" w:hAnsi="Arial" w:cs="Arial"/>
        </w:rPr>
        <w:t xml:space="preserve">.  The Department increased the </w:t>
      </w:r>
      <w:r>
        <w:rPr>
          <w:rFonts w:ascii="Arial" w:hAnsi="Arial" w:cs="Arial"/>
        </w:rPr>
        <w:t xml:space="preserve">average </w:t>
      </w:r>
      <w:r w:rsidRPr="00291851">
        <w:rPr>
          <w:rFonts w:ascii="Arial" w:hAnsi="Arial" w:cs="Arial"/>
        </w:rPr>
        <w:t>hourly wage rate</w:t>
      </w:r>
      <w:r>
        <w:rPr>
          <w:rFonts w:ascii="Arial" w:hAnsi="Arial" w:cs="Arial"/>
        </w:rPr>
        <w:t xml:space="preserve"> for employees </w:t>
      </w:r>
      <w:r w:rsidRPr="00291851">
        <w:rPr>
          <w:rFonts w:ascii="Arial" w:hAnsi="Arial" w:cs="Arial"/>
        </w:rPr>
        <w:t>($20.49 in 2008</w:t>
      </w:r>
      <w:r>
        <w:rPr>
          <w:rFonts w:ascii="Arial" w:hAnsi="Arial" w:cs="Arial"/>
        </w:rPr>
        <w:t>)</w:t>
      </w:r>
      <w:r w:rsidRPr="00291851">
        <w:rPr>
          <w:rFonts w:ascii="Arial" w:hAnsi="Arial" w:cs="Arial"/>
        </w:rPr>
        <w:t xml:space="preserve"> by the percentage total of the average hourly compensation figure ($8.90 in 2008) over the aver</w:t>
      </w:r>
      <w:r>
        <w:rPr>
          <w:rFonts w:ascii="Arial" w:hAnsi="Arial" w:cs="Arial"/>
        </w:rPr>
        <w:t>age hourly wage, i.e., 43.00 %</w:t>
      </w:r>
      <w:r w:rsidRPr="00291851">
        <w:rPr>
          <w:rFonts w:ascii="Arial" w:hAnsi="Arial" w:cs="Aria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numPicBullet w:numPicBulletId="2">
    <w:pict>
      <v:shape id="_x0000_i1027" type="#_x0000_t75" style="width:3in;height:3in" o:bullet="t">
        <v:imagedata r:id="rId1" o:title=""/>
      </v:shape>
    </w:pict>
  </w:numPicBullet>
  <w:abstractNum w:abstractNumId="0">
    <w:nsid w:val="046E2D49"/>
    <w:multiLevelType w:val="hybridMultilevel"/>
    <w:tmpl w:val="01044740"/>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
    <w:nsid w:val="0EF0364B"/>
    <w:multiLevelType w:val="hybridMultilevel"/>
    <w:tmpl w:val="1804918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8CC655C"/>
    <w:multiLevelType w:val="multilevel"/>
    <w:tmpl w:val="89923208"/>
    <w:lvl w:ilvl="0">
      <w:start w:val="1"/>
      <w:numFmt w:val="none"/>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color w:val="auto"/>
      </w:rPr>
    </w:lvl>
    <w:lvl w:ilvl="3">
      <w:start w:val="1"/>
      <w:numFmt w:val="decimal"/>
      <w:pStyle w:val="Heading4"/>
      <w:lvlText w:val="%2.%3.%4"/>
      <w:lvlJc w:val="left"/>
      <w:pPr>
        <w:tabs>
          <w:tab w:val="num" w:pos="576"/>
        </w:tabs>
        <w:ind w:left="2016" w:hanging="2016"/>
      </w:pPr>
      <w:rPr>
        <w:rFonts w:ascii="Times New Roman" w:hAnsi="Times New Roman" w:cs="Times New Roman" w:hint="default"/>
        <w:b/>
        <w:i w:val="0"/>
        <w:caps w:val="0"/>
        <w:strike w:val="0"/>
        <w:dstrike w:val="0"/>
        <w:outline w:val="0"/>
        <w:shadow w:val="0"/>
        <w:emboss w:val="0"/>
        <w:imprint w:val="0"/>
        <w:vanish w:val="0"/>
        <w:color w:val="auto"/>
        <w:sz w:val="24"/>
        <w:u w:val="none"/>
        <w:vertAlign w:val="baseline"/>
      </w:rPr>
    </w:lvl>
    <w:lvl w:ilvl="4">
      <w:start w:val="1"/>
      <w:numFmt w:val="decimal"/>
      <w:pStyle w:val="Heading5"/>
      <w:lvlText w:val="%1.%2.%3.%4.%5"/>
      <w:lvlJc w:val="left"/>
      <w:pPr>
        <w:tabs>
          <w:tab w:val="num" w:pos="-2772"/>
        </w:tabs>
        <w:ind w:left="-2772" w:hanging="1008"/>
      </w:pPr>
      <w:rPr>
        <w:rFonts w:cs="Times New Roman" w:hint="default"/>
      </w:rPr>
    </w:lvl>
    <w:lvl w:ilvl="5">
      <w:start w:val="1"/>
      <w:numFmt w:val="decimal"/>
      <w:pStyle w:val="Heading6"/>
      <w:lvlText w:val="%1.%2.%3.%4.%5.%6"/>
      <w:lvlJc w:val="left"/>
      <w:pPr>
        <w:tabs>
          <w:tab w:val="num" w:pos="-2628"/>
        </w:tabs>
        <w:ind w:left="-2628" w:hanging="1152"/>
      </w:pPr>
      <w:rPr>
        <w:rFonts w:cs="Times New Roman" w:hint="default"/>
      </w:rPr>
    </w:lvl>
    <w:lvl w:ilvl="6">
      <w:start w:val="1"/>
      <w:numFmt w:val="decimal"/>
      <w:pStyle w:val="Heading7"/>
      <w:lvlText w:val="%1.%2.%3.%4.%5.%6.%7"/>
      <w:lvlJc w:val="left"/>
      <w:pPr>
        <w:tabs>
          <w:tab w:val="num" w:pos="-2484"/>
        </w:tabs>
        <w:ind w:left="-2484" w:hanging="1296"/>
      </w:pPr>
      <w:rPr>
        <w:rFonts w:cs="Times New Roman" w:hint="default"/>
      </w:rPr>
    </w:lvl>
    <w:lvl w:ilvl="7">
      <w:start w:val="1"/>
      <w:numFmt w:val="decimal"/>
      <w:pStyle w:val="Heading8"/>
      <w:lvlText w:val="%1.%2.%3.%4.%5.%6.%7.%8"/>
      <w:lvlJc w:val="left"/>
      <w:pPr>
        <w:tabs>
          <w:tab w:val="num" w:pos="-2340"/>
        </w:tabs>
        <w:ind w:left="-2340" w:hanging="1440"/>
      </w:pPr>
      <w:rPr>
        <w:rFonts w:cs="Times New Roman" w:hint="default"/>
      </w:rPr>
    </w:lvl>
    <w:lvl w:ilvl="8">
      <w:start w:val="1"/>
      <w:numFmt w:val="decimal"/>
      <w:pStyle w:val="Heading9"/>
      <w:lvlText w:val="%1.%2.%3.%4.%5.%6.%7.%8.%9"/>
      <w:lvlJc w:val="left"/>
      <w:pPr>
        <w:tabs>
          <w:tab w:val="num" w:pos="-2196"/>
        </w:tabs>
        <w:ind w:left="-2196" w:hanging="1584"/>
      </w:pPr>
      <w:rPr>
        <w:rFonts w:cs="Times New Roman" w:hint="default"/>
      </w:rPr>
    </w:lvl>
  </w:abstractNum>
  <w:abstractNum w:abstractNumId="3">
    <w:nsid w:val="29945B0F"/>
    <w:multiLevelType w:val="hybridMultilevel"/>
    <w:tmpl w:val="BAAE1672"/>
    <w:lvl w:ilvl="0" w:tplc="1DC0A588">
      <w:start w:val="14"/>
      <w:numFmt w:val="decimal"/>
      <w:lvlText w:val="%1."/>
      <w:lvlJc w:val="left"/>
      <w:pPr>
        <w:tabs>
          <w:tab w:val="num" w:pos="810"/>
        </w:tabs>
        <w:ind w:left="810" w:hanging="45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D5A6689"/>
    <w:multiLevelType w:val="multilevel"/>
    <w:tmpl w:val="E63083A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9415E"/>
    <w:multiLevelType w:val="hybridMultilevel"/>
    <w:tmpl w:val="491AE10C"/>
    <w:lvl w:ilvl="0" w:tplc="A036C280">
      <w:start w:val="14"/>
      <w:numFmt w:val="decimal"/>
      <w:lvlText w:val="%1."/>
      <w:lvlJc w:val="left"/>
      <w:pPr>
        <w:tabs>
          <w:tab w:val="num" w:pos="810"/>
        </w:tabs>
        <w:ind w:left="810" w:hanging="45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613197A"/>
    <w:multiLevelType w:val="hybridMultilevel"/>
    <w:tmpl w:val="F76A6786"/>
    <w:lvl w:ilvl="0" w:tplc="C62E54F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250A2F"/>
    <w:multiLevelType w:val="hybridMultilevel"/>
    <w:tmpl w:val="7ACC4F44"/>
    <w:lvl w:ilvl="0" w:tplc="141E335A">
      <w:start w:val="12"/>
      <w:numFmt w:val="decimal"/>
      <w:lvlText w:val="%1."/>
      <w:lvlJc w:val="left"/>
      <w:pPr>
        <w:tabs>
          <w:tab w:val="num" w:pos="810"/>
        </w:tabs>
        <w:ind w:left="810" w:hanging="45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F64482F"/>
    <w:multiLevelType w:val="hybridMultilevel"/>
    <w:tmpl w:val="2D7092A2"/>
    <w:lvl w:ilvl="0" w:tplc="4D4CC52E">
      <w:start w:val="11"/>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71522E94"/>
    <w:multiLevelType w:val="hybridMultilevel"/>
    <w:tmpl w:val="E8A45D8E"/>
    <w:lvl w:ilvl="0" w:tplc="75C0E48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7780EEB"/>
    <w:multiLevelType w:val="hybridMultilevel"/>
    <w:tmpl w:val="14847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0"/>
  </w:num>
  <w:num w:numId="6">
    <w:abstractNumId w:val="11"/>
  </w:num>
  <w:num w:numId="7">
    <w:abstractNumId w:val="4"/>
  </w:num>
  <w:num w:numId="8">
    <w:abstractNumId w:val="3"/>
  </w:num>
  <w:num w:numId="9">
    <w:abstractNumId w:val="9"/>
  </w:num>
  <w:num w:numId="10">
    <w:abstractNumId w:val="2"/>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noPunctuationKerning/>
  <w:characterSpacingControl w:val="doNotCompress"/>
  <w:footnotePr>
    <w:footnote w:id="0"/>
    <w:footnote w:id="1"/>
  </w:footnotePr>
  <w:endnotePr>
    <w:numFmt w:val="decimal"/>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7E9A"/>
    <w:rsid w:val="000000BA"/>
    <w:rsid w:val="000024FC"/>
    <w:rsid w:val="00003156"/>
    <w:rsid w:val="00004731"/>
    <w:rsid w:val="00005048"/>
    <w:rsid w:val="00012049"/>
    <w:rsid w:val="00013C04"/>
    <w:rsid w:val="00013E0A"/>
    <w:rsid w:val="000140C5"/>
    <w:rsid w:val="00014EF9"/>
    <w:rsid w:val="000201DC"/>
    <w:rsid w:val="00021E67"/>
    <w:rsid w:val="0003073B"/>
    <w:rsid w:val="00031ADA"/>
    <w:rsid w:val="00032D2E"/>
    <w:rsid w:val="00033B52"/>
    <w:rsid w:val="00034E3A"/>
    <w:rsid w:val="00035B61"/>
    <w:rsid w:val="0003643A"/>
    <w:rsid w:val="00037A61"/>
    <w:rsid w:val="00041587"/>
    <w:rsid w:val="0004461D"/>
    <w:rsid w:val="00044CCB"/>
    <w:rsid w:val="00045EA3"/>
    <w:rsid w:val="00047D7F"/>
    <w:rsid w:val="00050095"/>
    <w:rsid w:val="00050EDC"/>
    <w:rsid w:val="00051449"/>
    <w:rsid w:val="00056B42"/>
    <w:rsid w:val="00061C73"/>
    <w:rsid w:val="00062A72"/>
    <w:rsid w:val="00063BA7"/>
    <w:rsid w:val="0006538A"/>
    <w:rsid w:val="0007257B"/>
    <w:rsid w:val="0007301F"/>
    <w:rsid w:val="000736A2"/>
    <w:rsid w:val="00076B99"/>
    <w:rsid w:val="00080A2B"/>
    <w:rsid w:val="00082398"/>
    <w:rsid w:val="00090433"/>
    <w:rsid w:val="000919CF"/>
    <w:rsid w:val="00093351"/>
    <w:rsid w:val="0009610B"/>
    <w:rsid w:val="000975C7"/>
    <w:rsid w:val="000A7BFE"/>
    <w:rsid w:val="000B3192"/>
    <w:rsid w:val="000B4975"/>
    <w:rsid w:val="000B6932"/>
    <w:rsid w:val="000B796C"/>
    <w:rsid w:val="000C080D"/>
    <w:rsid w:val="000C232F"/>
    <w:rsid w:val="000C3673"/>
    <w:rsid w:val="000D6D0E"/>
    <w:rsid w:val="000D72F9"/>
    <w:rsid w:val="000E0043"/>
    <w:rsid w:val="000E08D6"/>
    <w:rsid w:val="000F16E7"/>
    <w:rsid w:val="000F2E7D"/>
    <w:rsid w:val="00101D63"/>
    <w:rsid w:val="00104785"/>
    <w:rsid w:val="00107F30"/>
    <w:rsid w:val="00107FCD"/>
    <w:rsid w:val="001132D3"/>
    <w:rsid w:val="00113E94"/>
    <w:rsid w:val="0011538A"/>
    <w:rsid w:val="00117B11"/>
    <w:rsid w:val="0012134C"/>
    <w:rsid w:val="00121A48"/>
    <w:rsid w:val="00121D24"/>
    <w:rsid w:val="0012211E"/>
    <w:rsid w:val="001246AD"/>
    <w:rsid w:val="00125727"/>
    <w:rsid w:val="00125AA1"/>
    <w:rsid w:val="00132945"/>
    <w:rsid w:val="00134402"/>
    <w:rsid w:val="0013450E"/>
    <w:rsid w:val="00136C98"/>
    <w:rsid w:val="0013736A"/>
    <w:rsid w:val="00142112"/>
    <w:rsid w:val="0014531B"/>
    <w:rsid w:val="00146D5A"/>
    <w:rsid w:val="001552CE"/>
    <w:rsid w:val="00155388"/>
    <w:rsid w:val="00156A5A"/>
    <w:rsid w:val="00157206"/>
    <w:rsid w:val="001622A1"/>
    <w:rsid w:val="00164DDA"/>
    <w:rsid w:val="00167ECA"/>
    <w:rsid w:val="001703F8"/>
    <w:rsid w:val="0017207D"/>
    <w:rsid w:val="00177D67"/>
    <w:rsid w:val="00185A20"/>
    <w:rsid w:val="00187A02"/>
    <w:rsid w:val="00191EA1"/>
    <w:rsid w:val="001955F8"/>
    <w:rsid w:val="001977AD"/>
    <w:rsid w:val="0019789D"/>
    <w:rsid w:val="001A0E07"/>
    <w:rsid w:val="001A3B03"/>
    <w:rsid w:val="001B08E5"/>
    <w:rsid w:val="001B2215"/>
    <w:rsid w:val="001B2800"/>
    <w:rsid w:val="001B4D8E"/>
    <w:rsid w:val="001B57B6"/>
    <w:rsid w:val="001C3403"/>
    <w:rsid w:val="001C6A67"/>
    <w:rsid w:val="001D0007"/>
    <w:rsid w:val="001D2E9A"/>
    <w:rsid w:val="001D3283"/>
    <w:rsid w:val="001D6D26"/>
    <w:rsid w:val="001D7A39"/>
    <w:rsid w:val="001E0053"/>
    <w:rsid w:val="001E2712"/>
    <w:rsid w:val="001E3480"/>
    <w:rsid w:val="001E62FD"/>
    <w:rsid w:val="001F3864"/>
    <w:rsid w:val="001F3ED7"/>
    <w:rsid w:val="001F42D5"/>
    <w:rsid w:val="001F44E6"/>
    <w:rsid w:val="001F5739"/>
    <w:rsid w:val="001F6E72"/>
    <w:rsid w:val="002001AC"/>
    <w:rsid w:val="00200E42"/>
    <w:rsid w:val="00202800"/>
    <w:rsid w:val="00202979"/>
    <w:rsid w:val="002035B8"/>
    <w:rsid w:val="00214525"/>
    <w:rsid w:val="00220829"/>
    <w:rsid w:val="00221AF1"/>
    <w:rsid w:val="00222267"/>
    <w:rsid w:val="00223200"/>
    <w:rsid w:val="00225072"/>
    <w:rsid w:val="00226948"/>
    <w:rsid w:val="0022793F"/>
    <w:rsid w:val="0023045C"/>
    <w:rsid w:val="0023258F"/>
    <w:rsid w:val="00233BD2"/>
    <w:rsid w:val="002368BE"/>
    <w:rsid w:val="00241B90"/>
    <w:rsid w:val="00241EFC"/>
    <w:rsid w:val="0024277A"/>
    <w:rsid w:val="00244417"/>
    <w:rsid w:val="00244BA7"/>
    <w:rsid w:val="00262AD5"/>
    <w:rsid w:val="00263241"/>
    <w:rsid w:val="00263F37"/>
    <w:rsid w:val="00271668"/>
    <w:rsid w:val="00272200"/>
    <w:rsid w:val="0027474D"/>
    <w:rsid w:val="00276B60"/>
    <w:rsid w:val="00282CE4"/>
    <w:rsid w:val="002908F2"/>
    <w:rsid w:val="0029137B"/>
    <w:rsid w:val="00291851"/>
    <w:rsid w:val="00291EA9"/>
    <w:rsid w:val="00291FFC"/>
    <w:rsid w:val="0029423E"/>
    <w:rsid w:val="00295541"/>
    <w:rsid w:val="002966DB"/>
    <w:rsid w:val="0029747E"/>
    <w:rsid w:val="002A235B"/>
    <w:rsid w:val="002A6289"/>
    <w:rsid w:val="002A6E67"/>
    <w:rsid w:val="002B39D8"/>
    <w:rsid w:val="002B736C"/>
    <w:rsid w:val="002B765F"/>
    <w:rsid w:val="002C04D6"/>
    <w:rsid w:val="002C0E2D"/>
    <w:rsid w:val="002C14CC"/>
    <w:rsid w:val="002C7A61"/>
    <w:rsid w:val="002D1389"/>
    <w:rsid w:val="002D30FB"/>
    <w:rsid w:val="002D324B"/>
    <w:rsid w:val="002D3CAD"/>
    <w:rsid w:val="002D58FA"/>
    <w:rsid w:val="002D5E3E"/>
    <w:rsid w:val="002D6CEC"/>
    <w:rsid w:val="002D778A"/>
    <w:rsid w:val="002D7F84"/>
    <w:rsid w:val="002E0F0C"/>
    <w:rsid w:val="002E4442"/>
    <w:rsid w:val="002E7EA0"/>
    <w:rsid w:val="002F0D23"/>
    <w:rsid w:val="002F1D95"/>
    <w:rsid w:val="002F4453"/>
    <w:rsid w:val="002F5766"/>
    <w:rsid w:val="002F6FD7"/>
    <w:rsid w:val="002F7B70"/>
    <w:rsid w:val="00302A72"/>
    <w:rsid w:val="00306BFE"/>
    <w:rsid w:val="0031015A"/>
    <w:rsid w:val="00313345"/>
    <w:rsid w:val="00316879"/>
    <w:rsid w:val="00316F44"/>
    <w:rsid w:val="00317A5D"/>
    <w:rsid w:val="00320F0F"/>
    <w:rsid w:val="003306DA"/>
    <w:rsid w:val="0033172D"/>
    <w:rsid w:val="00331901"/>
    <w:rsid w:val="003325C2"/>
    <w:rsid w:val="003327E9"/>
    <w:rsid w:val="00337559"/>
    <w:rsid w:val="00337C46"/>
    <w:rsid w:val="003425FB"/>
    <w:rsid w:val="00345D5E"/>
    <w:rsid w:val="0034743D"/>
    <w:rsid w:val="00351659"/>
    <w:rsid w:val="00352568"/>
    <w:rsid w:val="003528D7"/>
    <w:rsid w:val="00352E6F"/>
    <w:rsid w:val="00352F5E"/>
    <w:rsid w:val="0035603B"/>
    <w:rsid w:val="003579F7"/>
    <w:rsid w:val="0036069C"/>
    <w:rsid w:val="003623FF"/>
    <w:rsid w:val="00364892"/>
    <w:rsid w:val="0036639A"/>
    <w:rsid w:val="0036772D"/>
    <w:rsid w:val="0037164A"/>
    <w:rsid w:val="003731EF"/>
    <w:rsid w:val="003748AB"/>
    <w:rsid w:val="0038058F"/>
    <w:rsid w:val="00381AAA"/>
    <w:rsid w:val="00384B54"/>
    <w:rsid w:val="00386C42"/>
    <w:rsid w:val="00387D32"/>
    <w:rsid w:val="00387DE6"/>
    <w:rsid w:val="003908C7"/>
    <w:rsid w:val="00392543"/>
    <w:rsid w:val="00393590"/>
    <w:rsid w:val="00394240"/>
    <w:rsid w:val="003A0EAB"/>
    <w:rsid w:val="003A2FB1"/>
    <w:rsid w:val="003A6ACC"/>
    <w:rsid w:val="003B0955"/>
    <w:rsid w:val="003B118D"/>
    <w:rsid w:val="003B1750"/>
    <w:rsid w:val="003B711A"/>
    <w:rsid w:val="003B7A0C"/>
    <w:rsid w:val="003C00B1"/>
    <w:rsid w:val="003C0E7C"/>
    <w:rsid w:val="003C426F"/>
    <w:rsid w:val="003C6C53"/>
    <w:rsid w:val="003C7054"/>
    <w:rsid w:val="003D0C0A"/>
    <w:rsid w:val="003D1201"/>
    <w:rsid w:val="003E0975"/>
    <w:rsid w:val="003E15F6"/>
    <w:rsid w:val="003E1EDB"/>
    <w:rsid w:val="003E3242"/>
    <w:rsid w:val="003E74AB"/>
    <w:rsid w:val="003F1452"/>
    <w:rsid w:val="003F2044"/>
    <w:rsid w:val="003F2552"/>
    <w:rsid w:val="003F78D8"/>
    <w:rsid w:val="00400532"/>
    <w:rsid w:val="00410D3E"/>
    <w:rsid w:val="0041136A"/>
    <w:rsid w:val="00413991"/>
    <w:rsid w:val="00413C19"/>
    <w:rsid w:val="0041554A"/>
    <w:rsid w:val="00417211"/>
    <w:rsid w:val="004172CA"/>
    <w:rsid w:val="004209A6"/>
    <w:rsid w:val="004235F7"/>
    <w:rsid w:val="00424A41"/>
    <w:rsid w:val="00426AC3"/>
    <w:rsid w:val="00433FFA"/>
    <w:rsid w:val="00436F0C"/>
    <w:rsid w:val="00437974"/>
    <w:rsid w:val="004403DF"/>
    <w:rsid w:val="00447D74"/>
    <w:rsid w:val="00453D45"/>
    <w:rsid w:val="004557D0"/>
    <w:rsid w:val="00457AEA"/>
    <w:rsid w:val="00460BEB"/>
    <w:rsid w:val="00472165"/>
    <w:rsid w:val="00473325"/>
    <w:rsid w:val="0047377E"/>
    <w:rsid w:val="0047501B"/>
    <w:rsid w:val="00477B55"/>
    <w:rsid w:val="0048314A"/>
    <w:rsid w:val="00483C58"/>
    <w:rsid w:val="00484F60"/>
    <w:rsid w:val="00485341"/>
    <w:rsid w:val="00494C0D"/>
    <w:rsid w:val="004951F2"/>
    <w:rsid w:val="00495364"/>
    <w:rsid w:val="00495948"/>
    <w:rsid w:val="004A25E0"/>
    <w:rsid w:val="004A4BBF"/>
    <w:rsid w:val="004B0BEA"/>
    <w:rsid w:val="004B3192"/>
    <w:rsid w:val="004B4A5C"/>
    <w:rsid w:val="004B5609"/>
    <w:rsid w:val="004B7854"/>
    <w:rsid w:val="004C136C"/>
    <w:rsid w:val="004C31DE"/>
    <w:rsid w:val="004C39D7"/>
    <w:rsid w:val="004C463E"/>
    <w:rsid w:val="004C4AD2"/>
    <w:rsid w:val="004C5EE2"/>
    <w:rsid w:val="004C6BB5"/>
    <w:rsid w:val="004D0542"/>
    <w:rsid w:val="004D11E2"/>
    <w:rsid w:val="004D16DB"/>
    <w:rsid w:val="004D2B5F"/>
    <w:rsid w:val="004D3BA4"/>
    <w:rsid w:val="004E143A"/>
    <w:rsid w:val="004F045B"/>
    <w:rsid w:val="004F31B5"/>
    <w:rsid w:val="004F44CD"/>
    <w:rsid w:val="004F54C4"/>
    <w:rsid w:val="00500FA4"/>
    <w:rsid w:val="005016DA"/>
    <w:rsid w:val="00503AC4"/>
    <w:rsid w:val="005121E8"/>
    <w:rsid w:val="00513CDB"/>
    <w:rsid w:val="00514265"/>
    <w:rsid w:val="00515464"/>
    <w:rsid w:val="005168D2"/>
    <w:rsid w:val="00521AF6"/>
    <w:rsid w:val="00523A53"/>
    <w:rsid w:val="00523F18"/>
    <w:rsid w:val="0052498D"/>
    <w:rsid w:val="00532B4A"/>
    <w:rsid w:val="00542AFE"/>
    <w:rsid w:val="00546BBA"/>
    <w:rsid w:val="00550484"/>
    <w:rsid w:val="005505ED"/>
    <w:rsid w:val="00551D82"/>
    <w:rsid w:val="00551EF5"/>
    <w:rsid w:val="005612B9"/>
    <w:rsid w:val="005736A6"/>
    <w:rsid w:val="00576FBA"/>
    <w:rsid w:val="0057762C"/>
    <w:rsid w:val="005805B0"/>
    <w:rsid w:val="00581D67"/>
    <w:rsid w:val="00582752"/>
    <w:rsid w:val="0058313D"/>
    <w:rsid w:val="005851A5"/>
    <w:rsid w:val="00585ED3"/>
    <w:rsid w:val="00591952"/>
    <w:rsid w:val="005954A2"/>
    <w:rsid w:val="005970BC"/>
    <w:rsid w:val="00597643"/>
    <w:rsid w:val="005A3378"/>
    <w:rsid w:val="005A44D3"/>
    <w:rsid w:val="005A4DF3"/>
    <w:rsid w:val="005B5CD2"/>
    <w:rsid w:val="005C5866"/>
    <w:rsid w:val="005C7D4E"/>
    <w:rsid w:val="005C7F2D"/>
    <w:rsid w:val="005D475F"/>
    <w:rsid w:val="005D4887"/>
    <w:rsid w:val="005D5DBD"/>
    <w:rsid w:val="005E1931"/>
    <w:rsid w:val="005E2C83"/>
    <w:rsid w:val="005E3A97"/>
    <w:rsid w:val="005E5499"/>
    <w:rsid w:val="005E63AF"/>
    <w:rsid w:val="005F370B"/>
    <w:rsid w:val="005F778E"/>
    <w:rsid w:val="00606B61"/>
    <w:rsid w:val="006119ED"/>
    <w:rsid w:val="00615FB8"/>
    <w:rsid w:val="00617377"/>
    <w:rsid w:val="00621BF7"/>
    <w:rsid w:val="0062213F"/>
    <w:rsid w:val="00622275"/>
    <w:rsid w:val="006303F2"/>
    <w:rsid w:val="0063220A"/>
    <w:rsid w:val="00634D30"/>
    <w:rsid w:val="00637214"/>
    <w:rsid w:val="0064033A"/>
    <w:rsid w:val="00642EA5"/>
    <w:rsid w:val="00646501"/>
    <w:rsid w:val="00647A49"/>
    <w:rsid w:val="006516A0"/>
    <w:rsid w:val="00652953"/>
    <w:rsid w:val="00654008"/>
    <w:rsid w:val="00654FB9"/>
    <w:rsid w:val="00655448"/>
    <w:rsid w:val="0065554B"/>
    <w:rsid w:val="00656E52"/>
    <w:rsid w:val="006578BD"/>
    <w:rsid w:val="00667E9A"/>
    <w:rsid w:val="00670642"/>
    <w:rsid w:val="006731A0"/>
    <w:rsid w:val="00673688"/>
    <w:rsid w:val="00673837"/>
    <w:rsid w:val="006742DB"/>
    <w:rsid w:val="00676472"/>
    <w:rsid w:val="00677ADE"/>
    <w:rsid w:val="00680BF2"/>
    <w:rsid w:val="00683DCD"/>
    <w:rsid w:val="0068489D"/>
    <w:rsid w:val="00685AB1"/>
    <w:rsid w:val="0068689F"/>
    <w:rsid w:val="00692351"/>
    <w:rsid w:val="00693231"/>
    <w:rsid w:val="00693D9D"/>
    <w:rsid w:val="006A187E"/>
    <w:rsid w:val="006A1C86"/>
    <w:rsid w:val="006B1199"/>
    <w:rsid w:val="006B2394"/>
    <w:rsid w:val="006B288D"/>
    <w:rsid w:val="006B3A38"/>
    <w:rsid w:val="006B561A"/>
    <w:rsid w:val="006B5FEA"/>
    <w:rsid w:val="006B68B7"/>
    <w:rsid w:val="006B783D"/>
    <w:rsid w:val="006C006F"/>
    <w:rsid w:val="006C114B"/>
    <w:rsid w:val="006C1BDC"/>
    <w:rsid w:val="006C2D39"/>
    <w:rsid w:val="006C50D3"/>
    <w:rsid w:val="006C5C4B"/>
    <w:rsid w:val="006C68C4"/>
    <w:rsid w:val="006D0B0D"/>
    <w:rsid w:val="006D34AC"/>
    <w:rsid w:val="006D3940"/>
    <w:rsid w:val="006D47A4"/>
    <w:rsid w:val="006D536C"/>
    <w:rsid w:val="006E0CDF"/>
    <w:rsid w:val="006E4D3D"/>
    <w:rsid w:val="006E546C"/>
    <w:rsid w:val="006E79CA"/>
    <w:rsid w:val="006F225A"/>
    <w:rsid w:val="006F30F3"/>
    <w:rsid w:val="006F56B1"/>
    <w:rsid w:val="00703374"/>
    <w:rsid w:val="00704193"/>
    <w:rsid w:val="00707B84"/>
    <w:rsid w:val="00707F7B"/>
    <w:rsid w:val="0071265D"/>
    <w:rsid w:val="00714705"/>
    <w:rsid w:val="0072186E"/>
    <w:rsid w:val="0072310E"/>
    <w:rsid w:val="00732B3C"/>
    <w:rsid w:val="00736301"/>
    <w:rsid w:val="00736548"/>
    <w:rsid w:val="00750272"/>
    <w:rsid w:val="00750ADD"/>
    <w:rsid w:val="007533FA"/>
    <w:rsid w:val="00757663"/>
    <w:rsid w:val="007577B6"/>
    <w:rsid w:val="00761625"/>
    <w:rsid w:val="0076392E"/>
    <w:rsid w:val="00764C43"/>
    <w:rsid w:val="0076507E"/>
    <w:rsid w:val="00772685"/>
    <w:rsid w:val="00774598"/>
    <w:rsid w:val="00775F3F"/>
    <w:rsid w:val="00780A67"/>
    <w:rsid w:val="007849A2"/>
    <w:rsid w:val="007868AA"/>
    <w:rsid w:val="0079033D"/>
    <w:rsid w:val="00793236"/>
    <w:rsid w:val="00793E83"/>
    <w:rsid w:val="007950CD"/>
    <w:rsid w:val="00795965"/>
    <w:rsid w:val="00796655"/>
    <w:rsid w:val="00796729"/>
    <w:rsid w:val="007967D4"/>
    <w:rsid w:val="00797079"/>
    <w:rsid w:val="00797BB4"/>
    <w:rsid w:val="007A0811"/>
    <w:rsid w:val="007A0862"/>
    <w:rsid w:val="007A272E"/>
    <w:rsid w:val="007A2B3E"/>
    <w:rsid w:val="007A3A20"/>
    <w:rsid w:val="007A4477"/>
    <w:rsid w:val="007A664A"/>
    <w:rsid w:val="007B3E2E"/>
    <w:rsid w:val="007B4193"/>
    <w:rsid w:val="007B4B24"/>
    <w:rsid w:val="007B5B97"/>
    <w:rsid w:val="007B5E3A"/>
    <w:rsid w:val="007B754E"/>
    <w:rsid w:val="007C1DEB"/>
    <w:rsid w:val="007C1F37"/>
    <w:rsid w:val="007C27D6"/>
    <w:rsid w:val="007C2B7D"/>
    <w:rsid w:val="007C6108"/>
    <w:rsid w:val="007C6747"/>
    <w:rsid w:val="007D075E"/>
    <w:rsid w:val="007D6AA6"/>
    <w:rsid w:val="007D6F73"/>
    <w:rsid w:val="007E428A"/>
    <w:rsid w:val="007E57AF"/>
    <w:rsid w:val="007F07F2"/>
    <w:rsid w:val="007F2479"/>
    <w:rsid w:val="007F397F"/>
    <w:rsid w:val="007F4E05"/>
    <w:rsid w:val="007F5581"/>
    <w:rsid w:val="007F58A8"/>
    <w:rsid w:val="007F6723"/>
    <w:rsid w:val="008007B5"/>
    <w:rsid w:val="008036EE"/>
    <w:rsid w:val="00804540"/>
    <w:rsid w:val="0080729C"/>
    <w:rsid w:val="00810D5D"/>
    <w:rsid w:val="008148AC"/>
    <w:rsid w:val="0081548D"/>
    <w:rsid w:val="00817742"/>
    <w:rsid w:val="00820BDA"/>
    <w:rsid w:val="00823654"/>
    <w:rsid w:val="0082662A"/>
    <w:rsid w:val="00832F36"/>
    <w:rsid w:val="00833EAE"/>
    <w:rsid w:val="00836C8A"/>
    <w:rsid w:val="00840B81"/>
    <w:rsid w:val="008453B1"/>
    <w:rsid w:val="008564B7"/>
    <w:rsid w:val="0085661A"/>
    <w:rsid w:val="0086460A"/>
    <w:rsid w:val="008654CB"/>
    <w:rsid w:val="008660E2"/>
    <w:rsid w:val="0087035D"/>
    <w:rsid w:val="00873C1A"/>
    <w:rsid w:val="008756DC"/>
    <w:rsid w:val="0087643A"/>
    <w:rsid w:val="00876800"/>
    <w:rsid w:val="0087702C"/>
    <w:rsid w:val="00877082"/>
    <w:rsid w:val="00877DB2"/>
    <w:rsid w:val="00880E51"/>
    <w:rsid w:val="00886B20"/>
    <w:rsid w:val="00893A4D"/>
    <w:rsid w:val="008951EC"/>
    <w:rsid w:val="00895B8C"/>
    <w:rsid w:val="00896973"/>
    <w:rsid w:val="00896DE5"/>
    <w:rsid w:val="00897429"/>
    <w:rsid w:val="00897AC8"/>
    <w:rsid w:val="008A3E6F"/>
    <w:rsid w:val="008A472B"/>
    <w:rsid w:val="008A4C6D"/>
    <w:rsid w:val="008B1B2F"/>
    <w:rsid w:val="008B69E9"/>
    <w:rsid w:val="008B7679"/>
    <w:rsid w:val="008C0119"/>
    <w:rsid w:val="008C1418"/>
    <w:rsid w:val="008C1B15"/>
    <w:rsid w:val="008C26E4"/>
    <w:rsid w:val="008C480B"/>
    <w:rsid w:val="008D18A1"/>
    <w:rsid w:val="008D6BEB"/>
    <w:rsid w:val="008D7592"/>
    <w:rsid w:val="008D7D7D"/>
    <w:rsid w:val="008E27C3"/>
    <w:rsid w:val="008E3BEE"/>
    <w:rsid w:val="008E4110"/>
    <w:rsid w:val="008E7E6C"/>
    <w:rsid w:val="008F2470"/>
    <w:rsid w:val="008F298D"/>
    <w:rsid w:val="008F4330"/>
    <w:rsid w:val="00903587"/>
    <w:rsid w:val="009048EA"/>
    <w:rsid w:val="00906D62"/>
    <w:rsid w:val="00911D75"/>
    <w:rsid w:val="00913530"/>
    <w:rsid w:val="00914F74"/>
    <w:rsid w:val="00921767"/>
    <w:rsid w:val="00926020"/>
    <w:rsid w:val="00926D19"/>
    <w:rsid w:val="00934620"/>
    <w:rsid w:val="00935C43"/>
    <w:rsid w:val="00940D68"/>
    <w:rsid w:val="009435CF"/>
    <w:rsid w:val="00944965"/>
    <w:rsid w:val="009510B5"/>
    <w:rsid w:val="00955662"/>
    <w:rsid w:val="00955703"/>
    <w:rsid w:val="009611C8"/>
    <w:rsid w:val="0096224F"/>
    <w:rsid w:val="0096547F"/>
    <w:rsid w:val="0096688A"/>
    <w:rsid w:val="0096740F"/>
    <w:rsid w:val="0097244D"/>
    <w:rsid w:val="00973CBF"/>
    <w:rsid w:val="00975537"/>
    <w:rsid w:val="0097634D"/>
    <w:rsid w:val="00977810"/>
    <w:rsid w:val="00977D83"/>
    <w:rsid w:val="00977F81"/>
    <w:rsid w:val="00980629"/>
    <w:rsid w:val="00985458"/>
    <w:rsid w:val="00987334"/>
    <w:rsid w:val="00987E0D"/>
    <w:rsid w:val="00990ADF"/>
    <w:rsid w:val="00994D97"/>
    <w:rsid w:val="009A54E4"/>
    <w:rsid w:val="009B160D"/>
    <w:rsid w:val="009B354E"/>
    <w:rsid w:val="009B71CD"/>
    <w:rsid w:val="009B75CA"/>
    <w:rsid w:val="009B7F9B"/>
    <w:rsid w:val="009C445F"/>
    <w:rsid w:val="009C52D5"/>
    <w:rsid w:val="009C5B21"/>
    <w:rsid w:val="009D060E"/>
    <w:rsid w:val="009D1820"/>
    <w:rsid w:val="009D1EC3"/>
    <w:rsid w:val="009D25AB"/>
    <w:rsid w:val="009D47F8"/>
    <w:rsid w:val="009D63E5"/>
    <w:rsid w:val="009D65D2"/>
    <w:rsid w:val="009E34E7"/>
    <w:rsid w:val="009E5DA5"/>
    <w:rsid w:val="009F4750"/>
    <w:rsid w:val="009F4E4E"/>
    <w:rsid w:val="009F6392"/>
    <w:rsid w:val="009F6CE6"/>
    <w:rsid w:val="009F73B9"/>
    <w:rsid w:val="00A00CF7"/>
    <w:rsid w:val="00A01AE0"/>
    <w:rsid w:val="00A10601"/>
    <w:rsid w:val="00A10DAF"/>
    <w:rsid w:val="00A11611"/>
    <w:rsid w:val="00A1257D"/>
    <w:rsid w:val="00A133CA"/>
    <w:rsid w:val="00A204A3"/>
    <w:rsid w:val="00A21261"/>
    <w:rsid w:val="00A21428"/>
    <w:rsid w:val="00A217BD"/>
    <w:rsid w:val="00A22A3C"/>
    <w:rsid w:val="00A25D53"/>
    <w:rsid w:val="00A30767"/>
    <w:rsid w:val="00A33FF1"/>
    <w:rsid w:val="00A36039"/>
    <w:rsid w:val="00A411D8"/>
    <w:rsid w:val="00A44999"/>
    <w:rsid w:val="00A535D3"/>
    <w:rsid w:val="00A562A3"/>
    <w:rsid w:val="00A573B4"/>
    <w:rsid w:val="00A618BF"/>
    <w:rsid w:val="00A63799"/>
    <w:rsid w:val="00A648D0"/>
    <w:rsid w:val="00A6621A"/>
    <w:rsid w:val="00A675D9"/>
    <w:rsid w:val="00A73280"/>
    <w:rsid w:val="00A7332D"/>
    <w:rsid w:val="00A768E2"/>
    <w:rsid w:val="00A86EE0"/>
    <w:rsid w:val="00A935B6"/>
    <w:rsid w:val="00A938FC"/>
    <w:rsid w:val="00A93911"/>
    <w:rsid w:val="00A9406E"/>
    <w:rsid w:val="00A974E8"/>
    <w:rsid w:val="00AA20D8"/>
    <w:rsid w:val="00AA2A62"/>
    <w:rsid w:val="00AA69FA"/>
    <w:rsid w:val="00AA6B91"/>
    <w:rsid w:val="00AB09A5"/>
    <w:rsid w:val="00AB19E1"/>
    <w:rsid w:val="00AB2C7B"/>
    <w:rsid w:val="00AB5637"/>
    <w:rsid w:val="00AB5C83"/>
    <w:rsid w:val="00AB6E50"/>
    <w:rsid w:val="00AC1943"/>
    <w:rsid w:val="00AC2E17"/>
    <w:rsid w:val="00AC4E8F"/>
    <w:rsid w:val="00AC756C"/>
    <w:rsid w:val="00AD1B25"/>
    <w:rsid w:val="00AD5D97"/>
    <w:rsid w:val="00AD7180"/>
    <w:rsid w:val="00AE02DE"/>
    <w:rsid w:val="00AE1958"/>
    <w:rsid w:val="00AE20F0"/>
    <w:rsid w:val="00AE2433"/>
    <w:rsid w:val="00AF3FB3"/>
    <w:rsid w:val="00AF6F9F"/>
    <w:rsid w:val="00B0057C"/>
    <w:rsid w:val="00B00C44"/>
    <w:rsid w:val="00B03325"/>
    <w:rsid w:val="00B048B5"/>
    <w:rsid w:val="00B049BB"/>
    <w:rsid w:val="00B05270"/>
    <w:rsid w:val="00B053CC"/>
    <w:rsid w:val="00B11984"/>
    <w:rsid w:val="00B24080"/>
    <w:rsid w:val="00B24B46"/>
    <w:rsid w:val="00B2502C"/>
    <w:rsid w:val="00B35535"/>
    <w:rsid w:val="00B41909"/>
    <w:rsid w:val="00B44BA6"/>
    <w:rsid w:val="00B46AB1"/>
    <w:rsid w:val="00B50CB6"/>
    <w:rsid w:val="00B532CD"/>
    <w:rsid w:val="00B55AC6"/>
    <w:rsid w:val="00B57659"/>
    <w:rsid w:val="00B57A5D"/>
    <w:rsid w:val="00B62ABF"/>
    <w:rsid w:val="00B63290"/>
    <w:rsid w:val="00B6684C"/>
    <w:rsid w:val="00B73C6B"/>
    <w:rsid w:val="00B73D52"/>
    <w:rsid w:val="00B74011"/>
    <w:rsid w:val="00B771E6"/>
    <w:rsid w:val="00B77333"/>
    <w:rsid w:val="00B81DC1"/>
    <w:rsid w:val="00B81FC2"/>
    <w:rsid w:val="00B8407F"/>
    <w:rsid w:val="00B84B7E"/>
    <w:rsid w:val="00B85CCD"/>
    <w:rsid w:val="00B87AA7"/>
    <w:rsid w:val="00B87B60"/>
    <w:rsid w:val="00B91DED"/>
    <w:rsid w:val="00B9265E"/>
    <w:rsid w:val="00B9456C"/>
    <w:rsid w:val="00B9557C"/>
    <w:rsid w:val="00B95CD2"/>
    <w:rsid w:val="00B96520"/>
    <w:rsid w:val="00B97500"/>
    <w:rsid w:val="00BA0BE0"/>
    <w:rsid w:val="00BA198A"/>
    <w:rsid w:val="00BA1BA0"/>
    <w:rsid w:val="00BA4848"/>
    <w:rsid w:val="00BA4B49"/>
    <w:rsid w:val="00BB25B6"/>
    <w:rsid w:val="00BC3785"/>
    <w:rsid w:val="00BC62BC"/>
    <w:rsid w:val="00BD3DBB"/>
    <w:rsid w:val="00BD5DD8"/>
    <w:rsid w:val="00BE218A"/>
    <w:rsid w:val="00BE37FA"/>
    <w:rsid w:val="00BF20F7"/>
    <w:rsid w:val="00BF2727"/>
    <w:rsid w:val="00BF4F83"/>
    <w:rsid w:val="00BF6E50"/>
    <w:rsid w:val="00C04570"/>
    <w:rsid w:val="00C04D2E"/>
    <w:rsid w:val="00C068A3"/>
    <w:rsid w:val="00C11006"/>
    <w:rsid w:val="00C12955"/>
    <w:rsid w:val="00C15B3C"/>
    <w:rsid w:val="00C16224"/>
    <w:rsid w:val="00C17E2F"/>
    <w:rsid w:val="00C20A54"/>
    <w:rsid w:val="00C20F99"/>
    <w:rsid w:val="00C23AA3"/>
    <w:rsid w:val="00C23D24"/>
    <w:rsid w:val="00C23E41"/>
    <w:rsid w:val="00C27394"/>
    <w:rsid w:val="00C312A0"/>
    <w:rsid w:val="00C3389E"/>
    <w:rsid w:val="00C36721"/>
    <w:rsid w:val="00C432F2"/>
    <w:rsid w:val="00C461CE"/>
    <w:rsid w:val="00C50638"/>
    <w:rsid w:val="00C50837"/>
    <w:rsid w:val="00C50C29"/>
    <w:rsid w:val="00C5184A"/>
    <w:rsid w:val="00C53483"/>
    <w:rsid w:val="00C553B4"/>
    <w:rsid w:val="00C6737D"/>
    <w:rsid w:val="00C7319D"/>
    <w:rsid w:val="00C7593F"/>
    <w:rsid w:val="00C76197"/>
    <w:rsid w:val="00C81330"/>
    <w:rsid w:val="00C90426"/>
    <w:rsid w:val="00C906FB"/>
    <w:rsid w:val="00C90E6D"/>
    <w:rsid w:val="00C91E47"/>
    <w:rsid w:val="00C928D1"/>
    <w:rsid w:val="00C9412F"/>
    <w:rsid w:val="00C941B6"/>
    <w:rsid w:val="00C95B87"/>
    <w:rsid w:val="00C97370"/>
    <w:rsid w:val="00C9744B"/>
    <w:rsid w:val="00C97F1D"/>
    <w:rsid w:val="00CA1633"/>
    <w:rsid w:val="00CA1E19"/>
    <w:rsid w:val="00CA3FF2"/>
    <w:rsid w:val="00CB1EF2"/>
    <w:rsid w:val="00CB5737"/>
    <w:rsid w:val="00CB61EA"/>
    <w:rsid w:val="00CB7EC0"/>
    <w:rsid w:val="00CC12B4"/>
    <w:rsid w:val="00CC137F"/>
    <w:rsid w:val="00CC1C08"/>
    <w:rsid w:val="00CC445E"/>
    <w:rsid w:val="00CC5916"/>
    <w:rsid w:val="00CC7EE9"/>
    <w:rsid w:val="00CC7FFD"/>
    <w:rsid w:val="00CD66AB"/>
    <w:rsid w:val="00CE0ADD"/>
    <w:rsid w:val="00CE115D"/>
    <w:rsid w:val="00CE15D2"/>
    <w:rsid w:val="00CE4F9F"/>
    <w:rsid w:val="00CE582E"/>
    <w:rsid w:val="00CE58B5"/>
    <w:rsid w:val="00CF2736"/>
    <w:rsid w:val="00CF506C"/>
    <w:rsid w:val="00CF5B33"/>
    <w:rsid w:val="00CF647A"/>
    <w:rsid w:val="00D00BFA"/>
    <w:rsid w:val="00D04531"/>
    <w:rsid w:val="00D1090C"/>
    <w:rsid w:val="00D13921"/>
    <w:rsid w:val="00D150A4"/>
    <w:rsid w:val="00D15811"/>
    <w:rsid w:val="00D15BF9"/>
    <w:rsid w:val="00D216BC"/>
    <w:rsid w:val="00D2335B"/>
    <w:rsid w:val="00D254D3"/>
    <w:rsid w:val="00D26756"/>
    <w:rsid w:val="00D30BC1"/>
    <w:rsid w:val="00D314E6"/>
    <w:rsid w:val="00D3270B"/>
    <w:rsid w:val="00D32F75"/>
    <w:rsid w:val="00D372EA"/>
    <w:rsid w:val="00D37A4A"/>
    <w:rsid w:val="00D41536"/>
    <w:rsid w:val="00D41DA9"/>
    <w:rsid w:val="00D43180"/>
    <w:rsid w:val="00D45802"/>
    <w:rsid w:val="00D510A3"/>
    <w:rsid w:val="00D51216"/>
    <w:rsid w:val="00D5542F"/>
    <w:rsid w:val="00D6049E"/>
    <w:rsid w:val="00D6308F"/>
    <w:rsid w:val="00D67846"/>
    <w:rsid w:val="00D71991"/>
    <w:rsid w:val="00D720FC"/>
    <w:rsid w:val="00D72EC5"/>
    <w:rsid w:val="00D7405A"/>
    <w:rsid w:val="00D74FE8"/>
    <w:rsid w:val="00D7609D"/>
    <w:rsid w:val="00D80EB9"/>
    <w:rsid w:val="00D87F87"/>
    <w:rsid w:val="00D92416"/>
    <w:rsid w:val="00D93EB1"/>
    <w:rsid w:val="00D9571A"/>
    <w:rsid w:val="00D95F11"/>
    <w:rsid w:val="00D97164"/>
    <w:rsid w:val="00DA02D5"/>
    <w:rsid w:val="00DA22F6"/>
    <w:rsid w:val="00DB1392"/>
    <w:rsid w:val="00DB1838"/>
    <w:rsid w:val="00DB36E8"/>
    <w:rsid w:val="00DC082F"/>
    <w:rsid w:val="00DC4A0C"/>
    <w:rsid w:val="00DC59C5"/>
    <w:rsid w:val="00DC61C6"/>
    <w:rsid w:val="00DC7E4D"/>
    <w:rsid w:val="00DD320C"/>
    <w:rsid w:val="00DD3669"/>
    <w:rsid w:val="00DD3ED1"/>
    <w:rsid w:val="00DD6C00"/>
    <w:rsid w:val="00DE4570"/>
    <w:rsid w:val="00DE4676"/>
    <w:rsid w:val="00DE740E"/>
    <w:rsid w:val="00DF0B00"/>
    <w:rsid w:val="00DF3D47"/>
    <w:rsid w:val="00DF69EA"/>
    <w:rsid w:val="00DF743A"/>
    <w:rsid w:val="00E0441C"/>
    <w:rsid w:val="00E05BAC"/>
    <w:rsid w:val="00E11ED7"/>
    <w:rsid w:val="00E12004"/>
    <w:rsid w:val="00E15997"/>
    <w:rsid w:val="00E15A8C"/>
    <w:rsid w:val="00E22A36"/>
    <w:rsid w:val="00E32B9D"/>
    <w:rsid w:val="00E410EA"/>
    <w:rsid w:val="00E446D9"/>
    <w:rsid w:val="00E463E8"/>
    <w:rsid w:val="00E46B4A"/>
    <w:rsid w:val="00E50501"/>
    <w:rsid w:val="00E509D9"/>
    <w:rsid w:val="00E50E08"/>
    <w:rsid w:val="00E521A7"/>
    <w:rsid w:val="00E538C2"/>
    <w:rsid w:val="00E54019"/>
    <w:rsid w:val="00E60805"/>
    <w:rsid w:val="00E61A4A"/>
    <w:rsid w:val="00E620E1"/>
    <w:rsid w:val="00E62D12"/>
    <w:rsid w:val="00E7027C"/>
    <w:rsid w:val="00E702F6"/>
    <w:rsid w:val="00E70D85"/>
    <w:rsid w:val="00E71AA9"/>
    <w:rsid w:val="00E723D0"/>
    <w:rsid w:val="00E740E8"/>
    <w:rsid w:val="00E75439"/>
    <w:rsid w:val="00E76053"/>
    <w:rsid w:val="00E76B61"/>
    <w:rsid w:val="00E77567"/>
    <w:rsid w:val="00E77F2D"/>
    <w:rsid w:val="00E8039E"/>
    <w:rsid w:val="00E833B8"/>
    <w:rsid w:val="00E8504C"/>
    <w:rsid w:val="00E8530C"/>
    <w:rsid w:val="00E864FB"/>
    <w:rsid w:val="00E9169A"/>
    <w:rsid w:val="00E928D6"/>
    <w:rsid w:val="00E93553"/>
    <w:rsid w:val="00E9454E"/>
    <w:rsid w:val="00EA0957"/>
    <w:rsid w:val="00EA4AB9"/>
    <w:rsid w:val="00EA4AD8"/>
    <w:rsid w:val="00EA6EA3"/>
    <w:rsid w:val="00EB3009"/>
    <w:rsid w:val="00EC03C6"/>
    <w:rsid w:val="00EC1202"/>
    <w:rsid w:val="00EC1A1C"/>
    <w:rsid w:val="00EC21C2"/>
    <w:rsid w:val="00EC6A2F"/>
    <w:rsid w:val="00ED066E"/>
    <w:rsid w:val="00ED0DBA"/>
    <w:rsid w:val="00ED29AD"/>
    <w:rsid w:val="00EE21D6"/>
    <w:rsid w:val="00EE3677"/>
    <w:rsid w:val="00EE6B46"/>
    <w:rsid w:val="00EF0103"/>
    <w:rsid w:val="00EF125E"/>
    <w:rsid w:val="00EF5227"/>
    <w:rsid w:val="00EF6E61"/>
    <w:rsid w:val="00EF7565"/>
    <w:rsid w:val="00EF7867"/>
    <w:rsid w:val="00F01AEA"/>
    <w:rsid w:val="00F02C03"/>
    <w:rsid w:val="00F03391"/>
    <w:rsid w:val="00F049D9"/>
    <w:rsid w:val="00F05EA9"/>
    <w:rsid w:val="00F10BDF"/>
    <w:rsid w:val="00F12013"/>
    <w:rsid w:val="00F12388"/>
    <w:rsid w:val="00F12409"/>
    <w:rsid w:val="00F15534"/>
    <w:rsid w:val="00F164FE"/>
    <w:rsid w:val="00F169B8"/>
    <w:rsid w:val="00F22FB3"/>
    <w:rsid w:val="00F23243"/>
    <w:rsid w:val="00F23726"/>
    <w:rsid w:val="00F2437C"/>
    <w:rsid w:val="00F257EA"/>
    <w:rsid w:val="00F2726C"/>
    <w:rsid w:val="00F30F50"/>
    <w:rsid w:val="00F32C2A"/>
    <w:rsid w:val="00F34D73"/>
    <w:rsid w:val="00F40D7F"/>
    <w:rsid w:val="00F42955"/>
    <w:rsid w:val="00F45791"/>
    <w:rsid w:val="00F45E30"/>
    <w:rsid w:val="00F46BDE"/>
    <w:rsid w:val="00F476F4"/>
    <w:rsid w:val="00F47C9B"/>
    <w:rsid w:val="00F50E65"/>
    <w:rsid w:val="00F52CEB"/>
    <w:rsid w:val="00F559B7"/>
    <w:rsid w:val="00F564F1"/>
    <w:rsid w:val="00F6407D"/>
    <w:rsid w:val="00F7407A"/>
    <w:rsid w:val="00F74C88"/>
    <w:rsid w:val="00F76614"/>
    <w:rsid w:val="00F778A3"/>
    <w:rsid w:val="00F80F85"/>
    <w:rsid w:val="00F81CBE"/>
    <w:rsid w:val="00F84060"/>
    <w:rsid w:val="00F860BD"/>
    <w:rsid w:val="00F9246F"/>
    <w:rsid w:val="00F94312"/>
    <w:rsid w:val="00F94E42"/>
    <w:rsid w:val="00F9569B"/>
    <w:rsid w:val="00FA2190"/>
    <w:rsid w:val="00FA558F"/>
    <w:rsid w:val="00FA55A1"/>
    <w:rsid w:val="00FA7EE1"/>
    <w:rsid w:val="00FB21BB"/>
    <w:rsid w:val="00FB38F3"/>
    <w:rsid w:val="00FB4062"/>
    <w:rsid w:val="00FB44F1"/>
    <w:rsid w:val="00FB4D18"/>
    <w:rsid w:val="00FC1F78"/>
    <w:rsid w:val="00FC23A4"/>
    <w:rsid w:val="00FC251D"/>
    <w:rsid w:val="00FC32B4"/>
    <w:rsid w:val="00FC42DE"/>
    <w:rsid w:val="00FC456F"/>
    <w:rsid w:val="00FC796D"/>
    <w:rsid w:val="00FC7EA0"/>
    <w:rsid w:val="00FD49ED"/>
    <w:rsid w:val="00FD5BCF"/>
    <w:rsid w:val="00FD6904"/>
    <w:rsid w:val="00FD7952"/>
    <w:rsid w:val="00FE2AA5"/>
    <w:rsid w:val="00FE5EA6"/>
    <w:rsid w:val="00FF040C"/>
    <w:rsid w:val="00FF05FC"/>
    <w:rsid w:val="00FF1CA0"/>
    <w:rsid w:val="00FF43B6"/>
    <w:rsid w:val="00FF78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F9"/>
    <w:pPr>
      <w:widowControl w:val="0"/>
    </w:pPr>
    <w:rPr>
      <w:rFonts w:ascii="Courier" w:hAnsi="Courier"/>
      <w:sz w:val="24"/>
      <w:szCs w:val="20"/>
    </w:rPr>
  </w:style>
  <w:style w:type="paragraph" w:styleId="Heading1">
    <w:name w:val="heading 1"/>
    <w:basedOn w:val="Normal"/>
    <w:next w:val="Normal"/>
    <w:link w:val="Heading1Char"/>
    <w:uiPriority w:val="99"/>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z w:val="36"/>
    </w:rPr>
  </w:style>
  <w:style w:type="paragraph" w:styleId="Heading2">
    <w:name w:val="heading 2"/>
    <w:basedOn w:val="Normal"/>
    <w:next w:val="Normal"/>
    <w:link w:val="Heading2Char"/>
    <w:uiPriority w:val="99"/>
    <w:qFormat/>
    <w:rsid w:val="001C3403"/>
    <w:pPr>
      <w:keepNext/>
      <w:pageBreakBefore/>
      <w:numPr>
        <w:ilvl w:val="1"/>
        <w:numId w:val="10"/>
      </w:numPr>
      <w:outlineLvl w:val="1"/>
    </w:pPr>
    <w:rPr>
      <w:b/>
      <w:color w:val="000000"/>
      <w:sz w:val="32"/>
    </w:rPr>
  </w:style>
  <w:style w:type="paragraph" w:styleId="Heading3">
    <w:name w:val="heading 3"/>
    <w:basedOn w:val="Normal"/>
    <w:next w:val="Normal"/>
    <w:link w:val="Heading3Char"/>
    <w:uiPriority w:val="99"/>
    <w:qFormat/>
    <w:rsid w:val="001C3403"/>
    <w:pPr>
      <w:keepNext/>
      <w:pageBreakBefore/>
      <w:numPr>
        <w:ilvl w:val="2"/>
        <w:numId w:val="10"/>
      </w:numPr>
      <w:outlineLvl w:val="2"/>
    </w:pPr>
    <w:rPr>
      <w:b/>
      <w:color w:val="000000"/>
      <w:sz w:val="28"/>
    </w:rPr>
  </w:style>
  <w:style w:type="paragraph" w:styleId="Heading4">
    <w:name w:val="heading 4"/>
    <w:basedOn w:val="Normal"/>
    <w:next w:val="Normal"/>
    <w:link w:val="Heading4Char"/>
    <w:uiPriority w:val="99"/>
    <w:qFormat/>
    <w:rsid w:val="001C3403"/>
    <w:pPr>
      <w:widowControl/>
      <w:numPr>
        <w:ilvl w:val="3"/>
        <w:numId w:val="10"/>
      </w:numPr>
      <w:outlineLvl w:val="3"/>
    </w:pPr>
    <w:rPr>
      <w:b/>
      <w:szCs w:val="24"/>
    </w:rPr>
  </w:style>
  <w:style w:type="paragraph" w:styleId="Heading5">
    <w:name w:val="heading 5"/>
    <w:aliases w:val="5 sub-bullet,sb,4"/>
    <w:basedOn w:val="Normal"/>
    <w:next w:val="Normal"/>
    <w:link w:val="Heading5Char"/>
    <w:uiPriority w:val="99"/>
    <w:qFormat/>
    <w:rsid w:val="001C3403"/>
    <w:pPr>
      <w:widowControl/>
      <w:numPr>
        <w:ilvl w:val="4"/>
        <w:numId w:val="10"/>
      </w:numPr>
      <w:spacing w:before="240" w:after="60"/>
      <w:outlineLvl w:val="4"/>
    </w:pPr>
    <w:rPr>
      <w:b/>
      <w:bCs/>
      <w:i/>
      <w:iCs/>
      <w:sz w:val="26"/>
      <w:szCs w:val="26"/>
    </w:rPr>
  </w:style>
  <w:style w:type="paragraph" w:styleId="Heading6">
    <w:name w:val="heading 6"/>
    <w:aliases w:val="sub-dash,sd,5"/>
    <w:basedOn w:val="Normal"/>
    <w:next w:val="Normal"/>
    <w:link w:val="Heading6Char"/>
    <w:uiPriority w:val="99"/>
    <w:qFormat/>
    <w:rsid w:val="001C3403"/>
    <w:pPr>
      <w:widowControl/>
      <w:numPr>
        <w:ilvl w:val="5"/>
        <w:numId w:val="10"/>
      </w:numPr>
      <w:spacing w:before="240" w:after="60"/>
      <w:outlineLvl w:val="5"/>
    </w:pPr>
    <w:rPr>
      <w:b/>
      <w:bCs/>
      <w:sz w:val="22"/>
      <w:szCs w:val="22"/>
    </w:rPr>
  </w:style>
  <w:style w:type="paragraph" w:styleId="Heading7">
    <w:name w:val="heading 7"/>
    <w:basedOn w:val="Normal"/>
    <w:next w:val="Normal"/>
    <w:link w:val="Heading7Char"/>
    <w:uiPriority w:val="99"/>
    <w:qFormat/>
    <w:rsid w:val="001C3403"/>
    <w:pPr>
      <w:widowControl/>
      <w:numPr>
        <w:ilvl w:val="6"/>
        <w:numId w:val="10"/>
      </w:numPr>
      <w:spacing w:before="240" w:after="60"/>
      <w:outlineLvl w:val="6"/>
    </w:pPr>
    <w:rPr>
      <w:szCs w:val="24"/>
    </w:rPr>
  </w:style>
  <w:style w:type="paragraph" w:styleId="Heading8">
    <w:name w:val="heading 8"/>
    <w:basedOn w:val="Normal"/>
    <w:next w:val="Normal"/>
    <w:link w:val="Heading8Char"/>
    <w:uiPriority w:val="99"/>
    <w:qFormat/>
    <w:rsid w:val="001C3403"/>
    <w:pPr>
      <w:widowControl/>
      <w:numPr>
        <w:ilvl w:val="7"/>
        <w:numId w:val="10"/>
      </w:numPr>
      <w:spacing w:before="240" w:after="60"/>
      <w:outlineLvl w:val="7"/>
    </w:pPr>
    <w:rPr>
      <w:i/>
      <w:iCs/>
      <w:szCs w:val="24"/>
    </w:rPr>
  </w:style>
  <w:style w:type="paragraph" w:styleId="Heading9">
    <w:name w:val="heading 9"/>
    <w:basedOn w:val="Normal"/>
    <w:next w:val="Normal"/>
    <w:link w:val="Heading9Char"/>
    <w:uiPriority w:val="99"/>
    <w:qFormat/>
    <w:rsid w:val="001C3403"/>
    <w:pPr>
      <w:widowControl/>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sz w:val="22"/>
      <w:szCs w:val="22"/>
    </w:rPr>
  </w:style>
  <w:style w:type="paragraph" w:styleId="Footer">
    <w:name w:val="footer"/>
    <w:basedOn w:val="Normal"/>
    <w:link w:val="FooterChar"/>
    <w:uiPriority w:val="99"/>
    <w:rsid w:val="00014EF9"/>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rPr>
  </w:style>
  <w:style w:type="character" w:styleId="PageNumber">
    <w:name w:val="page number"/>
    <w:basedOn w:val="DefaultParagraphFont"/>
    <w:uiPriority w:val="99"/>
    <w:rsid w:val="00014EF9"/>
    <w:rPr>
      <w:rFonts w:cs="Times New Roman"/>
    </w:rPr>
  </w:style>
  <w:style w:type="paragraph" w:styleId="Header">
    <w:name w:val="header"/>
    <w:basedOn w:val="Normal"/>
    <w:link w:val="HeaderChar"/>
    <w:uiPriority w:val="99"/>
    <w:rsid w:val="00014EF9"/>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rPr>
  </w:style>
  <w:style w:type="paragraph" w:styleId="Title">
    <w:name w:val="Title"/>
    <w:basedOn w:val="Normal"/>
    <w:link w:val="TitleChar"/>
    <w:uiPriority w:val="99"/>
    <w:qFormat/>
    <w:rsid w:val="00014EF9"/>
    <w:pPr>
      <w:widowControl/>
      <w:jc w:val="center"/>
    </w:pPr>
    <w:rPr>
      <w:b/>
      <w:szCs w:val="24"/>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alloonText">
    <w:name w:val="Balloon Text"/>
    <w:basedOn w:val="Normal"/>
    <w:link w:val="BalloonTextChar"/>
    <w:uiPriority w:val="99"/>
    <w:semiHidden/>
    <w:rsid w:val="00014EF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72186E"/>
    <w:rPr>
      <w:rFonts w:cs="Times New Roman"/>
      <w:sz w:val="16"/>
      <w:szCs w:val="16"/>
    </w:rPr>
  </w:style>
  <w:style w:type="paragraph" w:styleId="CommentText">
    <w:name w:val="annotation text"/>
    <w:basedOn w:val="Normal"/>
    <w:link w:val="CommentTextChar"/>
    <w:uiPriority w:val="99"/>
    <w:semiHidden/>
    <w:rsid w:val="0072186E"/>
    <w:rPr>
      <w:sz w:val="20"/>
    </w:rPr>
  </w:style>
  <w:style w:type="character" w:customStyle="1" w:styleId="CommentTextChar">
    <w:name w:val="Comment Text Char"/>
    <w:basedOn w:val="DefaultParagraphFont"/>
    <w:link w:val="CommentText"/>
    <w:uiPriority w:val="99"/>
    <w:semiHidden/>
    <w:locked/>
    <w:rPr>
      <w:rFonts w:ascii="Courier" w:hAnsi="Courier" w:cs="Times New Roman"/>
    </w:rPr>
  </w:style>
  <w:style w:type="paragraph" w:styleId="CommentSubject">
    <w:name w:val="annotation subject"/>
    <w:basedOn w:val="CommentText"/>
    <w:next w:val="CommentText"/>
    <w:link w:val="CommentSubjectChar"/>
    <w:uiPriority w:val="99"/>
    <w:semiHidden/>
    <w:rsid w:val="0072186E"/>
    <w:rPr>
      <w:b/>
      <w:bCs/>
    </w:rPr>
  </w:style>
  <w:style w:type="character" w:customStyle="1" w:styleId="CommentSubjectChar">
    <w:name w:val="Comment Subject Char"/>
    <w:basedOn w:val="CommentTextChar"/>
    <w:link w:val="CommentSubject"/>
    <w:uiPriority w:val="99"/>
    <w:semiHidden/>
    <w:locked/>
    <w:rPr>
      <w:b/>
      <w:bCs/>
    </w:rPr>
  </w:style>
  <w:style w:type="character" w:styleId="Hyperlink">
    <w:name w:val="Hyperlink"/>
    <w:basedOn w:val="DefaultParagraphFont"/>
    <w:uiPriority w:val="99"/>
    <w:rsid w:val="0064033A"/>
    <w:rPr>
      <w:rFonts w:cs="Times New Roman"/>
      <w:color w:val="0000FF"/>
      <w:u w:val="single"/>
    </w:rPr>
  </w:style>
  <w:style w:type="paragraph" w:styleId="HTMLPreformatted">
    <w:name w:val="HTML Preformatted"/>
    <w:basedOn w:val="Normal"/>
    <w:link w:val="HTMLPreformattedChar"/>
    <w:uiPriority w:val="99"/>
    <w:rsid w:val="00CB6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NormalWeb">
    <w:name w:val="Normal (Web)"/>
    <w:basedOn w:val="Normal"/>
    <w:uiPriority w:val="99"/>
    <w:rsid w:val="00A974E8"/>
    <w:pPr>
      <w:widowControl/>
      <w:spacing w:before="100" w:beforeAutospacing="1" w:after="100" w:afterAutospacing="1"/>
    </w:pPr>
    <w:rPr>
      <w:rFonts w:ascii="Verdana" w:hAnsi="Verdana"/>
      <w:sz w:val="19"/>
      <w:szCs w:val="19"/>
    </w:rPr>
  </w:style>
  <w:style w:type="character" w:customStyle="1" w:styleId="documentbody1">
    <w:name w:val="documentbody1"/>
    <w:basedOn w:val="DefaultParagraphFont"/>
    <w:uiPriority w:val="99"/>
    <w:rsid w:val="00FA7EE1"/>
    <w:rPr>
      <w:rFonts w:ascii="Verdana" w:hAnsi="Verdana" w:cs="Times New Roman"/>
      <w:sz w:val="19"/>
      <w:szCs w:val="19"/>
    </w:rPr>
  </w:style>
  <w:style w:type="paragraph" w:styleId="DocumentMap">
    <w:name w:val="Document Map"/>
    <w:basedOn w:val="Normal"/>
    <w:link w:val="DocumentMapChar"/>
    <w:uiPriority w:val="99"/>
    <w:semiHidden/>
    <w:rsid w:val="008654C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uiPriority w:val="99"/>
    <w:semiHidden/>
    <w:rsid w:val="00291851"/>
    <w:rPr>
      <w:sz w:val="20"/>
    </w:rPr>
  </w:style>
  <w:style w:type="character" w:customStyle="1" w:styleId="FootnoteTextChar">
    <w:name w:val="Footnote Text Char"/>
    <w:basedOn w:val="DefaultParagraphFont"/>
    <w:link w:val="FootnoteText"/>
    <w:uiPriority w:val="99"/>
    <w:semiHidden/>
    <w:locked/>
    <w:rPr>
      <w:rFonts w:ascii="Courier" w:hAnsi="Courier" w:cs="Times New Roman"/>
    </w:rPr>
  </w:style>
  <w:style w:type="character" w:styleId="FootnoteReference">
    <w:name w:val="footnote reference"/>
    <w:basedOn w:val="DefaultParagraphFont"/>
    <w:uiPriority w:val="99"/>
    <w:semiHidden/>
    <w:rsid w:val="00291851"/>
    <w:rPr>
      <w:rFonts w:cs="Times New Roman"/>
      <w:vertAlign w:val="superscript"/>
    </w:rPr>
  </w:style>
  <w:style w:type="character" w:styleId="FollowedHyperlink">
    <w:name w:val="FollowedHyperlink"/>
    <w:basedOn w:val="DefaultParagraphFont"/>
    <w:uiPriority w:val="99"/>
    <w:rsid w:val="00C15B3C"/>
    <w:rPr>
      <w:rFonts w:cs="Times New Roman"/>
      <w:color w:val="800080"/>
      <w:u w:val="single"/>
    </w:rPr>
  </w:style>
  <w:style w:type="character" w:customStyle="1" w:styleId="updatebodytest">
    <w:name w:val="updatebodytest"/>
    <w:basedOn w:val="DefaultParagraphFont"/>
    <w:uiPriority w:val="99"/>
    <w:rsid w:val="003A2FB1"/>
    <w:rPr>
      <w:rFonts w:cs="Times New Roman"/>
    </w:rPr>
  </w:style>
  <w:style w:type="character" w:customStyle="1" w:styleId="mainheader">
    <w:name w:val="mainheader"/>
    <w:basedOn w:val="DefaultParagraphFont"/>
    <w:uiPriority w:val="99"/>
    <w:rsid w:val="003A2FB1"/>
    <w:rPr>
      <w:rFonts w:cs="Times New Roman"/>
    </w:rPr>
  </w:style>
</w:styles>
</file>

<file path=word/webSettings.xml><?xml version="1.0" encoding="utf-8"?>
<w:webSettings xmlns:r="http://schemas.openxmlformats.org/officeDocument/2006/relationships" xmlns:w="http://schemas.openxmlformats.org/wordprocessingml/2006/main">
  <w:divs>
    <w:div w:id="2006131963">
      <w:marLeft w:val="0"/>
      <w:marRight w:val="0"/>
      <w:marTop w:val="0"/>
      <w:marBottom w:val="0"/>
      <w:divBdr>
        <w:top w:val="none" w:sz="0" w:space="0" w:color="auto"/>
        <w:left w:val="none" w:sz="0" w:space="0" w:color="auto"/>
        <w:bottom w:val="none" w:sz="0" w:space="0" w:color="auto"/>
        <w:right w:val="none" w:sz="0" w:space="0" w:color="auto"/>
      </w:divBdr>
    </w:div>
    <w:div w:id="2006131964">
      <w:marLeft w:val="0"/>
      <w:marRight w:val="0"/>
      <w:marTop w:val="0"/>
      <w:marBottom w:val="0"/>
      <w:divBdr>
        <w:top w:val="none" w:sz="0" w:space="0" w:color="auto"/>
        <w:left w:val="none" w:sz="0" w:space="0" w:color="auto"/>
        <w:bottom w:val="none" w:sz="0" w:space="0" w:color="auto"/>
        <w:right w:val="none" w:sz="0" w:space="0" w:color="auto"/>
      </w:divBdr>
    </w:div>
    <w:div w:id="2006131965">
      <w:marLeft w:val="0"/>
      <w:marRight w:val="0"/>
      <w:marTop w:val="0"/>
      <w:marBottom w:val="0"/>
      <w:divBdr>
        <w:top w:val="none" w:sz="0" w:space="0" w:color="auto"/>
        <w:left w:val="none" w:sz="0" w:space="0" w:color="auto"/>
        <w:bottom w:val="none" w:sz="0" w:space="0" w:color="auto"/>
        <w:right w:val="none" w:sz="0" w:space="0" w:color="auto"/>
      </w:divBdr>
    </w:div>
    <w:div w:id="2006131966">
      <w:marLeft w:val="0"/>
      <w:marRight w:val="0"/>
      <w:marTop w:val="0"/>
      <w:marBottom w:val="0"/>
      <w:divBdr>
        <w:top w:val="none" w:sz="0" w:space="0" w:color="auto"/>
        <w:left w:val="none" w:sz="0" w:space="0" w:color="auto"/>
        <w:bottom w:val="none" w:sz="0" w:space="0" w:color="auto"/>
        <w:right w:val="none" w:sz="0" w:space="0" w:color="auto"/>
      </w:divBdr>
    </w:div>
    <w:div w:id="2006131967">
      <w:marLeft w:val="0"/>
      <w:marRight w:val="0"/>
      <w:marTop w:val="0"/>
      <w:marBottom w:val="0"/>
      <w:divBdr>
        <w:top w:val="none" w:sz="0" w:space="0" w:color="auto"/>
        <w:left w:val="none" w:sz="0" w:space="0" w:color="auto"/>
        <w:bottom w:val="none" w:sz="0" w:space="0" w:color="auto"/>
        <w:right w:val="none" w:sz="0" w:space="0" w:color="auto"/>
      </w:divBdr>
    </w:div>
    <w:div w:id="2006131968">
      <w:marLeft w:val="0"/>
      <w:marRight w:val="0"/>
      <w:marTop w:val="0"/>
      <w:marBottom w:val="0"/>
      <w:divBdr>
        <w:top w:val="none" w:sz="0" w:space="0" w:color="auto"/>
        <w:left w:val="none" w:sz="0" w:space="0" w:color="auto"/>
        <w:bottom w:val="none" w:sz="0" w:space="0" w:color="auto"/>
        <w:right w:val="none" w:sz="0" w:space="0" w:color="auto"/>
      </w:divBdr>
    </w:div>
    <w:div w:id="2006131969">
      <w:marLeft w:val="0"/>
      <w:marRight w:val="0"/>
      <w:marTop w:val="0"/>
      <w:marBottom w:val="0"/>
      <w:divBdr>
        <w:top w:val="none" w:sz="0" w:space="0" w:color="auto"/>
        <w:left w:val="none" w:sz="0" w:space="0" w:color="auto"/>
        <w:bottom w:val="none" w:sz="0" w:space="0" w:color="auto"/>
        <w:right w:val="none" w:sz="0" w:space="0" w:color="auto"/>
      </w:divBdr>
    </w:div>
    <w:div w:id="2006131970">
      <w:marLeft w:val="0"/>
      <w:marRight w:val="0"/>
      <w:marTop w:val="0"/>
      <w:marBottom w:val="0"/>
      <w:divBdr>
        <w:top w:val="none" w:sz="0" w:space="0" w:color="auto"/>
        <w:left w:val="none" w:sz="0" w:space="0" w:color="auto"/>
        <w:bottom w:val="none" w:sz="0" w:space="0" w:color="auto"/>
        <w:right w:val="none" w:sz="0" w:space="0" w:color="auto"/>
      </w:divBdr>
    </w:div>
    <w:div w:id="2006131971">
      <w:marLeft w:val="0"/>
      <w:marRight w:val="0"/>
      <w:marTop w:val="0"/>
      <w:marBottom w:val="0"/>
      <w:divBdr>
        <w:top w:val="none" w:sz="0" w:space="0" w:color="auto"/>
        <w:left w:val="none" w:sz="0" w:space="0" w:color="auto"/>
        <w:bottom w:val="none" w:sz="0" w:space="0" w:color="auto"/>
        <w:right w:val="none" w:sz="0" w:space="0" w:color="auto"/>
      </w:divBdr>
    </w:div>
    <w:div w:id="2006131972">
      <w:marLeft w:val="0"/>
      <w:marRight w:val="0"/>
      <w:marTop w:val="0"/>
      <w:marBottom w:val="0"/>
      <w:divBdr>
        <w:top w:val="none" w:sz="0" w:space="0" w:color="auto"/>
        <w:left w:val="none" w:sz="0" w:space="0" w:color="auto"/>
        <w:bottom w:val="none" w:sz="0" w:space="0" w:color="auto"/>
        <w:right w:val="none" w:sz="0" w:space="0" w:color="auto"/>
      </w:divBdr>
    </w:div>
    <w:div w:id="2006131973">
      <w:marLeft w:val="0"/>
      <w:marRight w:val="0"/>
      <w:marTop w:val="0"/>
      <w:marBottom w:val="0"/>
      <w:divBdr>
        <w:top w:val="none" w:sz="0" w:space="0" w:color="auto"/>
        <w:left w:val="none" w:sz="0" w:space="0" w:color="auto"/>
        <w:bottom w:val="none" w:sz="0" w:space="0" w:color="auto"/>
        <w:right w:val="none" w:sz="0" w:space="0" w:color="auto"/>
      </w:divBdr>
    </w:div>
    <w:div w:id="2006131974">
      <w:marLeft w:val="0"/>
      <w:marRight w:val="0"/>
      <w:marTop w:val="0"/>
      <w:marBottom w:val="0"/>
      <w:divBdr>
        <w:top w:val="none" w:sz="0" w:space="0" w:color="auto"/>
        <w:left w:val="none" w:sz="0" w:space="0" w:color="auto"/>
        <w:bottom w:val="none" w:sz="0" w:space="0" w:color="auto"/>
        <w:right w:val="none" w:sz="0" w:space="0" w:color="auto"/>
      </w:divBdr>
    </w:div>
    <w:div w:id="2006131975">
      <w:marLeft w:val="0"/>
      <w:marRight w:val="0"/>
      <w:marTop w:val="0"/>
      <w:marBottom w:val="0"/>
      <w:divBdr>
        <w:top w:val="none" w:sz="0" w:space="0" w:color="auto"/>
        <w:left w:val="none" w:sz="0" w:space="0" w:color="auto"/>
        <w:bottom w:val="none" w:sz="0" w:space="0" w:color="auto"/>
        <w:right w:val="none" w:sz="0" w:space="0" w:color="auto"/>
      </w:divBdr>
    </w:div>
    <w:div w:id="2006131976">
      <w:marLeft w:val="0"/>
      <w:marRight w:val="0"/>
      <w:marTop w:val="0"/>
      <w:marBottom w:val="0"/>
      <w:divBdr>
        <w:top w:val="none" w:sz="0" w:space="0" w:color="auto"/>
        <w:left w:val="none" w:sz="0" w:space="0" w:color="auto"/>
        <w:bottom w:val="none" w:sz="0" w:space="0" w:color="auto"/>
        <w:right w:val="none" w:sz="0" w:space="0" w:color="auto"/>
      </w:divBdr>
    </w:div>
    <w:div w:id="2006131977">
      <w:marLeft w:val="0"/>
      <w:marRight w:val="0"/>
      <w:marTop w:val="0"/>
      <w:marBottom w:val="0"/>
      <w:divBdr>
        <w:top w:val="none" w:sz="0" w:space="0" w:color="auto"/>
        <w:left w:val="none" w:sz="0" w:space="0" w:color="auto"/>
        <w:bottom w:val="none" w:sz="0" w:space="0" w:color="auto"/>
        <w:right w:val="none" w:sz="0" w:space="0" w:color="auto"/>
      </w:divBdr>
    </w:div>
    <w:div w:id="2006131978">
      <w:marLeft w:val="0"/>
      <w:marRight w:val="0"/>
      <w:marTop w:val="0"/>
      <w:marBottom w:val="0"/>
      <w:divBdr>
        <w:top w:val="none" w:sz="0" w:space="0" w:color="auto"/>
        <w:left w:val="none" w:sz="0" w:space="0" w:color="auto"/>
        <w:bottom w:val="none" w:sz="0" w:space="0" w:color="auto"/>
        <w:right w:val="none" w:sz="0" w:space="0" w:color="auto"/>
      </w:divBdr>
    </w:div>
    <w:div w:id="2006131979">
      <w:marLeft w:val="0"/>
      <w:marRight w:val="0"/>
      <w:marTop w:val="0"/>
      <w:marBottom w:val="0"/>
      <w:divBdr>
        <w:top w:val="none" w:sz="0" w:space="0" w:color="auto"/>
        <w:left w:val="none" w:sz="0" w:space="0" w:color="auto"/>
        <w:bottom w:val="none" w:sz="0" w:space="0" w:color="auto"/>
        <w:right w:val="none" w:sz="0" w:space="0" w:color="auto"/>
      </w:divBdr>
    </w:div>
    <w:div w:id="2006131980">
      <w:marLeft w:val="0"/>
      <w:marRight w:val="0"/>
      <w:marTop w:val="0"/>
      <w:marBottom w:val="0"/>
      <w:divBdr>
        <w:top w:val="none" w:sz="0" w:space="0" w:color="auto"/>
        <w:left w:val="none" w:sz="0" w:space="0" w:color="auto"/>
        <w:bottom w:val="none" w:sz="0" w:space="0" w:color="auto"/>
        <w:right w:val="none" w:sz="0" w:space="0" w:color="auto"/>
      </w:divBdr>
    </w:div>
    <w:div w:id="2006131981">
      <w:marLeft w:val="0"/>
      <w:marRight w:val="0"/>
      <w:marTop w:val="0"/>
      <w:marBottom w:val="0"/>
      <w:divBdr>
        <w:top w:val="none" w:sz="0" w:space="0" w:color="auto"/>
        <w:left w:val="none" w:sz="0" w:space="0" w:color="auto"/>
        <w:bottom w:val="none" w:sz="0" w:space="0" w:color="auto"/>
        <w:right w:val="none" w:sz="0" w:space="0" w:color="auto"/>
      </w:divBdr>
    </w:div>
    <w:div w:id="2006131982">
      <w:marLeft w:val="0"/>
      <w:marRight w:val="0"/>
      <w:marTop w:val="0"/>
      <w:marBottom w:val="0"/>
      <w:divBdr>
        <w:top w:val="none" w:sz="0" w:space="0" w:color="auto"/>
        <w:left w:val="none" w:sz="0" w:space="0" w:color="auto"/>
        <w:bottom w:val="none" w:sz="0" w:space="0" w:color="auto"/>
        <w:right w:val="none" w:sz="0" w:space="0" w:color="auto"/>
      </w:divBdr>
    </w:div>
    <w:div w:id="2006131983">
      <w:marLeft w:val="0"/>
      <w:marRight w:val="0"/>
      <w:marTop w:val="0"/>
      <w:marBottom w:val="0"/>
      <w:divBdr>
        <w:top w:val="none" w:sz="0" w:space="0" w:color="auto"/>
        <w:left w:val="none" w:sz="0" w:space="0" w:color="auto"/>
        <w:bottom w:val="none" w:sz="0" w:space="0" w:color="auto"/>
        <w:right w:val="none" w:sz="0" w:space="0" w:color="auto"/>
      </w:divBdr>
    </w:div>
    <w:div w:id="2006131984">
      <w:marLeft w:val="0"/>
      <w:marRight w:val="0"/>
      <w:marTop w:val="0"/>
      <w:marBottom w:val="0"/>
      <w:divBdr>
        <w:top w:val="none" w:sz="0" w:space="0" w:color="auto"/>
        <w:left w:val="none" w:sz="0" w:space="0" w:color="auto"/>
        <w:bottom w:val="none" w:sz="0" w:space="0" w:color="auto"/>
        <w:right w:val="none" w:sz="0" w:space="0" w:color="auto"/>
      </w:divBdr>
    </w:div>
    <w:div w:id="2006131985">
      <w:marLeft w:val="0"/>
      <w:marRight w:val="0"/>
      <w:marTop w:val="0"/>
      <w:marBottom w:val="0"/>
      <w:divBdr>
        <w:top w:val="none" w:sz="0" w:space="0" w:color="auto"/>
        <w:left w:val="none" w:sz="0" w:space="0" w:color="auto"/>
        <w:bottom w:val="none" w:sz="0" w:space="0" w:color="auto"/>
        <w:right w:val="none" w:sz="0" w:space="0" w:color="auto"/>
      </w:divBdr>
    </w:div>
    <w:div w:id="2006131986">
      <w:marLeft w:val="0"/>
      <w:marRight w:val="0"/>
      <w:marTop w:val="0"/>
      <w:marBottom w:val="0"/>
      <w:divBdr>
        <w:top w:val="none" w:sz="0" w:space="0" w:color="auto"/>
        <w:left w:val="none" w:sz="0" w:space="0" w:color="auto"/>
        <w:bottom w:val="none" w:sz="0" w:space="0" w:color="auto"/>
        <w:right w:val="none" w:sz="0" w:space="0" w:color="auto"/>
      </w:divBdr>
    </w:div>
    <w:div w:id="2006131987">
      <w:marLeft w:val="0"/>
      <w:marRight w:val="0"/>
      <w:marTop w:val="0"/>
      <w:marBottom w:val="0"/>
      <w:divBdr>
        <w:top w:val="none" w:sz="0" w:space="0" w:color="auto"/>
        <w:left w:val="none" w:sz="0" w:space="0" w:color="auto"/>
        <w:bottom w:val="none" w:sz="0" w:space="0" w:color="auto"/>
        <w:right w:val="none" w:sz="0" w:space="0" w:color="auto"/>
      </w:divBdr>
    </w:div>
    <w:div w:id="2006131988">
      <w:marLeft w:val="0"/>
      <w:marRight w:val="0"/>
      <w:marTop w:val="0"/>
      <w:marBottom w:val="0"/>
      <w:divBdr>
        <w:top w:val="none" w:sz="0" w:space="0" w:color="auto"/>
        <w:left w:val="none" w:sz="0" w:space="0" w:color="auto"/>
        <w:bottom w:val="none" w:sz="0" w:space="0" w:color="auto"/>
        <w:right w:val="none" w:sz="0" w:space="0" w:color="auto"/>
      </w:divBdr>
    </w:div>
    <w:div w:id="2006131989">
      <w:marLeft w:val="0"/>
      <w:marRight w:val="0"/>
      <w:marTop w:val="0"/>
      <w:marBottom w:val="0"/>
      <w:divBdr>
        <w:top w:val="none" w:sz="0" w:space="0" w:color="auto"/>
        <w:left w:val="none" w:sz="0" w:space="0" w:color="auto"/>
        <w:bottom w:val="none" w:sz="0" w:space="0" w:color="auto"/>
        <w:right w:val="none" w:sz="0" w:space="0" w:color="auto"/>
      </w:divBdr>
    </w:div>
    <w:div w:id="2006131990">
      <w:marLeft w:val="0"/>
      <w:marRight w:val="0"/>
      <w:marTop w:val="0"/>
      <w:marBottom w:val="0"/>
      <w:divBdr>
        <w:top w:val="none" w:sz="0" w:space="0" w:color="auto"/>
        <w:left w:val="none" w:sz="0" w:space="0" w:color="auto"/>
        <w:bottom w:val="none" w:sz="0" w:space="0" w:color="auto"/>
        <w:right w:val="none" w:sz="0" w:space="0" w:color="auto"/>
      </w:divBdr>
    </w:div>
    <w:div w:id="2006131991">
      <w:marLeft w:val="0"/>
      <w:marRight w:val="0"/>
      <w:marTop w:val="0"/>
      <w:marBottom w:val="0"/>
      <w:divBdr>
        <w:top w:val="none" w:sz="0" w:space="0" w:color="auto"/>
        <w:left w:val="none" w:sz="0" w:space="0" w:color="auto"/>
        <w:bottom w:val="none" w:sz="0" w:space="0" w:color="auto"/>
        <w:right w:val="none" w:sz="0" w:space="0" w:color="auto"/>
      </w:divBdr>
    </w:div>
    <w:div w:id="2006131992">
      <w:marLeft w:val="0"/>
      <w:marRight w:val="0"/>
      <w:marTop w:val="0"/>
      <w:marBottom w:val="0"/>
      <w:divBdr>
        <w:top w:val="none" w:sz="0" w:space="0" w:color="auto"/>
        <w:left w:val="none" w:sz="0" w:space="0" w:color="auto"/>
        <w:bottom w:val="none" w:sz="0" w:space="0" w:color="auto"/>
        <w:right w:val="none" w:sz="0" w:space="0" w:color="auto"/>
      </w:divBdr>
    </w:div>
    <w:div w:id="2006131993">
      <w:marLeft w:val="0"/>
      <w:marRight w:val="0"/>
      <w:marTop w:val="0"/>
      <w:marBottom w:val="0"/>
      <w:divBdr>
        <w:top w:val="none" w:sz="0" w:space="0" w:color="auto"/>
        <w:left w:val="none" w:sz="0" w:space="0" w:color="auto"/>
        <w:bottom w:val="none" w:sz="0" w:space="0" w:color="auto"/>
        <w:right w:val="none" w:sz="0" w:space="0" w:color="auto"/>
      </w:divBdr>
    </w:div>
    <w:div w:id="2006131994">
      <w:marLeft w:val="0"/>
      <w:marRight w:val="0"/>
      <w:marTop w:val="0"/>
      <w:marBottom w:val="0"/>
      <w:divBdr>
        <w:top w:val="none" w:sz="0" w:space="0" w:color="auto"/>
        <w:left w:val="none" w:sz="0" w:space="0" w:color="auto"/>
        <w:bottom w:val="none" w:sz="0" w:space="0" w:color="auto"/>
        <w:right w:val="none" w:sz="0" w:space="0" w:color="auto"/>
      </w:divBdr>
    </w:div>
    <w:div w:id="2006131995">
      <w:marLeft w:val="0"/>
      <w:marRight w:val="0"/>
      <w:marTop w:val="0"/>
      <w:marBottom w:val="0"/>
      <w:divBdr>
        <w:top w:val="none" w:sz="0" w:space="0" w:color="auto"/>
        <w:left w:val="none" w:sz="0" w:space="0" w:color="auto"/>
        <w:bottom w:val="none" w:sz="0" w:space="0" w:color="auto"/>
        <w:right w:val="none" w:sz="0" w:space="0" w:color="auto"/>
      </w:divBdr>
    </w:div>
    <w:div w:id="2006131996">
      <w:marLeft w:val="0"/>
      <w:marRight w:val="0"/>
      <w:marTop w:val="0"/>
      <w:marBottom w:val="0"/>
      <w:divBdr>
        <w:top w:val="none" w:sz="0" w:space="0" w:color="auto"/>
        <w:left w:val="none" w:sz="0" w:space="0" w:color="auto"/>
        <w:bottom w:val="none" w:sz="0" w:space="0" w:color="auto"/>
        <w:right w:val="none" w:sz="0" w:space="0" w:color="auto"/>
      </w:divBdr>
    </w:div>
    <w:div w:id="2006131997">
      <w:marLeft w:val="0"/>
      <w:marRight w:val="0"/>
      <w:marTop w:val="0"/>
      <w:marBottom w:val="0"/>
      <w:divBdr>
        <w:top w:val="none" w:sz="0" w:space="0" w:color="auto"/>
        <w:left w:val="none" w:sz="0" w:space="0" w:color="auto"/>
        <w:bottom w:val="none" w:sz="0" w:space="0" w:color="auto"/>
        <w:right w:val="none" w:sz="0" w:space="0" w:color="auto"/>
      </w:divBdr>
    </w:div>
    <w:div w:id="2006131998">
      <w:marLeft w:val="0"/>
      <w:marRight w:val="0"/>
      <w:marTop w:val="0"/>
      <w:marBottom w:val="0"/>
      <w:divBdr>
        <w:top w:val="none" w:sz="0" w:space="0" w:color="auto"/>
        <w:left w:val="none" w:sz="0" w:space="0" w:color="auto"/>
        <w:bottom w:val="none" w:sz="0" w:space="0" w:color="auto"/>
        <w:right w:val="none" w:sz="0" w:space="0" w:color="auto"/>
      </w:divBdr>
    </w:div>
    <w:div w:id="2006131999">
      <w:marLeft w:val="0"/>
      <w:marRight w:val="0"/>
      <w:marTop w:val="0"/>
      <w:marBottom w:val="0"/>
      <w:divBdr>
        <w:top w:val="none" w:sz="0" w:space="0" w:color="auto"/>
        <w:left w:val="none" w:sz="0" w:space="0" w:color="auto"/>
        <w:bottom w:val="none" w:sz="0" w:space="0" w:color="auto"/>
        <w:right w:val="none" w:sz="0" w:space="0" w:color="auto"/>
      </w:divBdr>
    </w:div>
    <w:div w:id="2006132000">
      <w:marLeft w:val="0"/>
      <w:marRight w:val="0"/>
      <w:marTop w:val="0"/>
      <w:marBottom w:val="0"/>
      <w:divBdr>
        <w:top w:val="none" w:sz="0" w:space="0" w:color="auto"/>
        <w:left w:val="none" w:sz="0" w:space="0" w:color="auto"/>
        <w:bottom w:val="none" w:sz="0" w:space="0" w:color="auto"/>
        <w:right w:val="none" w:sz="0" w:space="0" w:color="auto"/>
      </w:divBdr>
    </w:div>
    <w:div w:id="2006132001">
      <w:marLeft w:val="0"/>
      <w:marRight w:val="0"/>
      <w:marTop w:val="0"/>
      <w:marBottom w:val="0"/>
      <w:divBdr>
        <w:top w:val="none" w:sz="0" w:space="0" w:color="auto"/>
        <w:left w:val="none" w:sz="0" w:space="0" w:color="auto"/>
        <w:bottom w:val="none" w:sz="0" w:space="0" w:color="auto"/>
        <w:right w:val="none" w:sz="0" w:space="0" w:color="auto"/>
      </w:divBdr>
    </w:div>
    <w:div w:id="2006132002">
      <w:marLeft w:val="0"/>
      <w:marRight w:val="0"/>
      <w:marTop w:val="0"/>
      <w:marBottom w:val="0"/>
      <w:divBdr>
        <w:top w:val="none" w:sz="0" w:space="0" w:color="auto"/>
        <w:left w:val="none" w:sz="0" w:space="0" w:color="auto"/>
        <w:bottom w:val="none" w:sz="0" w:space="0" w:color="auto"/>
        <w:right w:val="none" w:sz="0" w:space="0" w:color="auto"/>
      </w:divBdr>
    </w:div>
    <w:div w:id="2006132003">
      <w:marLeft w:val="0"/>
      <w:marRight w:val="0"/>
      <w:marTop w:val="0"/>
      <w:marBottom w:val="0"/>
      <w:divBdr>
        <w:top w:val="none" w:sz="0" w:space="0" w:color="auto"/>
        <w:left w:val="none" w:sz="0" w:space="0" w:color="auto"/>
        <w:bottom w:val="none" w:sz="0" w:space="0" w:color="auto"/>
        <w:right w:val="none" w:sz="0" w:space="0" w:color="auto"/>
      </w:divBdr>
    </w:div>
    <w:div w:id="2006132004">
      <w:marLeft w:val="0"/>
      <w:marRight w:val="0"/>
      <w:marTop w:val="0"/>
      <w:marBottom w:val="0"/>
      <w:divBdr>
        <w:top w:val="none" w:sz="0" w:space="0" w:color="auto"/>
        <w:left w:val="none" w:sz="0" w:space="0" w:color="auto"/>
        <w:bottom w:val="none" w:sz="0" w:space="0" w:color="auto"/>
        <w:right w:val="none" w:sz="0" w:space="0" w:color="auto"/>
      </w:divBdr>
    </w:div>
    <w:div w:id="2006132005">
      <w:marLeft w:val="0"/>
      <w:marRight w:val="0"/>
      <w:marTop w:val="0"/>
      <w:marBottom w:val="0"/>
      <w:divBdr>
        <w:top w:val="none" w:sz="0" w:space="0" w:color="auto"/>
        <w:left w:val="none" w:sz="0" w:space="0" w:color="auto"/>
        <w:bottom w:val="none" w:sz="0" w:space="0" w:color="auto"/>
        <w:right w:val="none" w:sz="0" w:space="0" w:color="auto"/>
      </w:divBdr>
    </w:div>
    <w:div w:id="2006132006">
      <w:marLeft w:val="0"/>
      <w:marRight w:val="0"/>
      <w:marTop w:val="0"/>
      <w:marBottom w:val="0"/>
      <w:divBdr>
        <w:top w:val="none" w:sz="0" w:space="0" w:color="auto"/>
        <w:left w:val="none" w:sz="0" w:space="0" w:color="auto"/>
        <w:bottom w:val="none" w:sz="0" w:space="0" w:color="auto"/>
        <w:right w:val="none" w:sz="0" w:space="0" w:color="auto"/>
      </w:divBdr>
    </w:div>
    <w:div w:id="2006132007">
      <w:marLeft w:val="0"/>
      <w:marRight w:val="0"/>
      <w:marTop w:val="0"/>
      <w:marBottom w:val="0"/>
      <w:divBdr>
        <w:top w:val="none" w:sz="0" w:space="0" w:color="auto"/>
        <w:left w:val="none" w:sz="0" w:space="0" w:color="auto"/>
        <w:bottom w:val="none" w:sz="0" w:space="0" w:color="auto"/>
        <w:right w:val="none" w:sz="0" w:space="0" w:color="auto"/>
      </w:divBdr>
    </w:div>
    <w:div w:id="20061320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nr0.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10</Pages>
  <Words>3856</Words>
  <Characters>21981</Characters>
  <Application>Microsoft Office Outlook</Application>
  <DocSecurity>0</DocSecurity>
  <Lines>0</Lines>
  <Paragraphs>0</Paragraphs>
  <ScaleCrop>false</ScaleCrop>
  <Company>Employment Standards Administration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US Department of Labor </dc:creator>
  <cp:keywords/>
  <dc:description/>
  <cp:lastModifiedBy>U.S. Department of Labor</cp:lastModifiedBy>
  <cp:revision>3</cp:revision>
  <cp:lastPrinted>2009-12-01T12:44:00Z</cp:lastPrinted>
  <dcterms:created xsi:type="dcterms:W3CDTF">2010-07-21T19:17:00Z</dcterms:created>
  <dcterms:modified xsi:type="dcterms:W3CDTF">2010-08-25T19:15:00Z</dcterms:modified>
</cp:coreProperties>
</file>