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C9" w:rsidRDefault="00B60DE2">
      <w:r>
        <w:t>Justification for Non-Material Change</w:t>
      </w:r>
    </w:p>
    <w:p w:rsidR="00B60DE2" w:rsidRDefault="00B60DE2"/>
    <w:p w:rsidR="00B60DE2" w:rsidRDefault="00B60DE2">
      <w:r>
        <w:t>The changes requested in this ICR are required to correct for the double-counting of burden captured by other collections.</w:t>
      </w:r>
    </w:p>
    <w:sectPr w:rsidR="00B60DE2" w:rsidSect="00BB1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B60DE2"/>
    <w:rsid w:val="00B60DE2"/>
    <w:rsid w:val="00BB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The U.S. Department of the Treasury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Department of Treasury</dc:creator>
  <cp:keywords/>
  <dc:description/>
  <cp:lastModifiedBy>US Department of Treasury</cp:lastModifiedBy>
  <cp:revision>1</cp:revision>
  <dcterms:created xsi:type="dcterms:W3CDTF">2010-09-14T13:23:00Z</dcterms:created>
  <dcterms:modified xsi:type="dcterms:W3CDTF">2010-09-14T13:25:00Z</dcterms:modified>
</cp:coreProperties>
</file>