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B29" w:rsidRDefault="00725F48">
      <w:pPr>
        <w:pStyle w:val="Title"/>
        <w:rPr>
          <w:rFonts w:ascii="Times New Roman" w:hAnsi="Times New Roman"/>
          <w:sz w:val="24"/>
        </w:rPr>
      </w:pPr>
      <w:r>
        <w:rPr>
          <w:rFonts w:ascii="Times New Roman" w:hAnsi="Times New Roman"/>
          <w:sz w:val="24"/>
        </w:rPr>
        <w:tab/>
        <w:t>SUPPORTING STATEMENT</w:t>
      </w:r>
    </w:p>
    <w:p w:rsidR="00413B29" w:rsidRDefault="00725F48">
      <w:pPr>
        <w:pStyle w:val="Title"/>
        <w:rPr>
          <w:rFonts w:ascii="Times New Roman" w:hAnsi="Times New Roman"/>
          <w:sz w:val="24"/>
        </w:rPr>
      </w:pPr>
      <w:r>
        <w:rPr>
          <w:rFonts w:ascii="Times New Roman" w:hAnsi="Times New Roman"/>
          <w:sz w:val="24"/>
        </w:rPr>
        <w:tab/>
        <w:t>FOR PAPERWORK REDUCTION ACT SUBMISSION</w:t>
      </w:r>
    </w:p>
    <w:p w:rsidR="00413B29" w:rsidRDefault="00725F48">
      <w:pPr>
        <w:tabs>
          <w:tab w:val="left" w:pos="0"/>
        </w:tabs>
        <w:suppressAutoHyphens/>
        <w:rPr>
          <w:rFonts w:ascii="Times New Roman" w:hAnsi="Times New Roman"/>
          <w:b/>
        </w:rPr>
      </w:pPr>
      <w:r>
        <w:rPr>
          <w:rFonts w:ascii="Times New Roman" w:hAnsi="Times New Roman"/>
          <w:b/>
        </w:rPr>
        <w:t>(03287) 1840-NEW</w:t>
      </w:r>
    </w:p>
    <w:bookmarkStart w:id="0" w:name="Text1"/>
    <w:p w:rsidR="00413B29" w:rsidRDefault="00A47384">
      <w:pPr>
        <w:suppressAutoHyphens/>
        <w:jc w:val="center"/>
        <w:rPr>
          <w:rFonts w:ascii="Times New Roman" w:hAnsi="Times New Roman"/>
          <w:b/>
        </w:rPr>
      </w:pPr>
      <w:r>
        <w:rPr>
          <w:rFonts w:ascii="Times New Roman" w:hAnsi="Times New Roman"/>
          <w:b/>
        </w:rPr>
        <w:fldChar w:fldCharType="begin">
          <w:ffData>
            <w:name w:val="Text1"/>
            <w:enabled/>
            <w:calcOnExit w:val="0"/>
            <w:textInput/>
          </w:ffData>
        </w:fldChar>
      </w:r>
      <w:r w:rsidR="00725F48">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sidR="00725F48">
        <w:rPr>
          <w:rFonts w:ascii="Times New Roman" w:hAnsi="Times New Roman"/>
          <w:b/>
          <w:noProof/>
        </w:rPr>
        <w:t> </w:t>
      </w:r>
      <w:r w:rsidR="00725F48">
        <w:rPr>
          <w:rFonts w:ascii="Times New Roman" w:hAnsi="Times New Roman"/>
          <w:b/>
          <w:noProof/>
        </w:rPr>
        <w:t> </w:t>
      </w:r>
      <w:r w:rsidR="00725F48">
        <w:rPr>
          <w:rFonts w:ascii="Times New Roman" w:hAnsi="Times New Roman"/>
          <w:b/>
          <w:noProof/>
        </w:rPr>
        <w:t> </w:t>
      </w:r>
      <w:r w:rsidR="00725F48">
        <w:rPr>
          <w:rFonts w:ascii="Times New Roman" w:hAnsi="Times New Roman"/>
          <w:b/>
          <w:noProof/>
        </w:rPr>
        <w:t> </w:t>
      </w:r>
      <w:r w:rsidR="00725F48">
        <w:rPr>
          <w:rFonts w:ascii="Times New Roman" w:hAnsi="Times New Roman"/>
          <w:b/>
          <w:noProof/>
        </w:rPr>
        <w:t> </w:t>
      </w:r>
      <w:r>
        <w:rPr>
          <w:rFonts w:ascii="Times New Roman" w:hAnsi="Times New Roman"/>
          <w:b/>
        </w:rPr>
        <w:fldChar w:fldCharType="end"/>
      </w:r>
      <w:bookmarkEnd w:id="0"/>
    </w:p>
    <w:p w:rsidR="00413B29" w:rsidRDefault="00725F48">
      <w:pPr>
        <w:tabs>
          <w:tab w:val="left" w:pos="0"/>
        </w:tabs>
        <w:suppressAutoHyphens/>
        <w:rPr>
          <w:rFonts w:ascii="Times New Roman" w:hAnsi="Times New Roman"/>
        </w:rPr>
      </w:pPr>
      <w:r>
        <w:rPr>
          <w:rFonts w:ascii="Times New Roman" w:hAnsi="Times New Roman"/>
          <w:b/>
        </w:rPr>
        <w:t xml:space="preserve">A. Justification </w:t>
      </w:r>
    </w:p>
    <w:p w:rsidR="00413B29" w:rsidRDefault="00413B29">
      <w:pPr>
        <w:tabs>
          <w:tab w:val="left" w:pos="0"/>
        </w:tabs>
        <w:suppressAutoHyphens/>
        <w:rPr>
          <w:rFonts w:ascii="Times New Roman" w:hAnsi="Times New Roman"/>
        </w:rPr>
      </w:pPr>
    </w:p>
    <w:p w:rsidR="00413B29" w:rsidRDefault="00725F48">
      <w:pPr>
        <w:pStyle w:val="BodyText"/>
      </w:pPr>
      <w: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13B29" w:rsidRDefault="00413B29">
      <w:pPr>
        <w:rPr>
          <w:rFonts w:ascii="Times New Roman" w:hAnsi="Times New Roman"/>
        </w:rPr>
      </w:pPr>
    </w:p>
    <w:p w:rsidR="00413B29" w:rsidRDefault="00725F48">
      <w:pPr>
        <w:rPr>
          <w:rFonts w:ascii="Times New Roman" w:hAnsi="Times New Roman"/>
        </w:rPr>
      </w:pPr>
      <w:r>
        <w:rPr>
          <w:rFonts w:ascii="Times New Roman" w:hAnsi="Times New Roman"/>
        </w:rPr>
        <w:t xml:space="preserve">Consistent with the provisions of Title VII, Part B of the Higher Education Act of 1965, as amended, the Fund for the Improvement of Postsecondary Education (FIPSE) works to improve postsecondary education through grants to postsecondary educational institutions and agencies.  Such grants are awarded on the basis of competitively reviewed applications submitted to FIPSE under its Comprehensive and Special Focus Competition Program grant competitions.  The Department of Education is requesting permission to conduct combined data collection for the Comprehensive Program (84.117B), four (4) Special Focus Programs: </w:t>
      </w:r>
      <w:r>
        <w:rPr>
          <w:rFonts w:ascii="Times New Roman" w:hAnsi="Times New Roman"/>
          <w:bCs/>
        </w:rPr>
        <w:t xml:space="preserve">European Union/United States of America Cooperation Program in Higher Education and Vocational Education and Training (EU-U.S. Atlantis Program), the Program for North American Mobility in Higher Education (North American Program), the U.S.-Brazil Higher Education Consortia Program (U.S.-Brazil Program), and the U.S.-Russia Program (new program </w:t>
      </w:r>
      <w:r w:rsidR="001B36CC">
        <w:rPr>
          <w:rFonts w:ascii="Times New Roman" w:hAnsi="Times New Roman"/>
          <w:bCs/>
        </w:rPr>
        <w:t>funded since</w:t>
      </w:r>
      <w:r>
        <w:rPr>
          <w:rFonts w:ascii="Times New Roman" w:hAnsi="Times New Roman"/>
          <w:bCs/>
        </w:rPr>
        <w:t xml:space="preserve"> FY 2007). </w:t>
      </w:r>
      <w:r>
        <w:rPr>
          <w:rFonts w:ascii="Times New Roman" w:hAnsi="Times New Roman"/>
        </w:rPr>
        <w:t xml:space="preserve"> </w:t>
      </w:r>
      <w:r w:rsidR="001B36CC">
        <w:rPr>
          <w:rFonts w:ascii="Times New Roman" w:hAnsi="Times New Roman"/>
        </w:rPr>
        <w:t>The r</w:t>
      </w:r>
      <w:r>
        <w:rPr>
          <w:rFonts w:ascii="Times New Roman" w:hAnsi="Times New Roman"/>
        </w:rPr>
        <w:t xml:space="preserve">egulations governing these programs are contained in 34 CFR Part 75 (Education Department General Administrative Regulations).  </w:t>
      </w:r>
    </w:p>
    <w:p w:rsidR="001B36CC" w:rsidRDefault="001B36CC">
      <w:pPr>
        <w:rPr>
          <w:rFonts w:ascii="Times New Roman" w:hAnsi="Times New Roman"/>
        </w:rPr>
      </w:pPr>
    </w:p>
    <w:p w:rsidR="00413B29" w:rsidRDefault="00725F48">
      <w:pPr>
        <w:rPr>
          <w:rFonts w:ascii="Times New Roman" w:hAnsi="Times New Roman"/>
        </w:rPr>
      </w:pPr>
      <w:r>
        <w:rPr>
          <w:rFonts w:ascii="Times New Roman" w:hAnsi="Times New Roman"/>
        </w:rPr>
        <w:t xml:space="preserve">The Comprehensive Program has been funding improvements in postsecondary education </w:t>
      </w:r>
      <w:r w:rsidR="007C700D">
        <w:rPr>
          <w:rFonts w:ascii="Times New Roman" w:hAnsi="Times New Roman"/>
        </w:rPr>
        <w:t xml:space="preserve">annually </w:t>
      </w:r>
      <w:r>
        <w:rPr>
          <w:rFonts w:ascii="Times New Roman" w:hAnsi="Times New Roman"/>
        </w:rPr>
        <w:t>since its authorization in 1973</w:t>
      </w:r>
      <w:r w:rsidR="007C700D">
        <w:rPr>
          <w:rFonts w:ascii="Times New Roman" w:hAnsi="Times New Roman"/>
        </w:rPr>
        <w:t xml:space="preserve"> with the exception of 2005</w:t>
      </w:r>
      <w:r>
        <w:rPr>
          <w:rFonts w:ascii="Times New Roman" w:hAnsi="Times New Roman"/>
        </w:rPr>
        <w:t>.  Only non-profit organizations may apply for grants.</w:t>
      </w:r>
    </w:p>
    <w:p w:rsidR="00413B29" w:rsidRDefault="00413B29">
      <w:pPr>
        <w:rPr>
          <w:rFonts w:ascii="Times New Roman" w:hAnsi="Times New Roman"/>
        </w:rPr>
      </w:pPr>
    </w:p>
    <w:p w:rsidR="00413B29" w:rsidRDefault="00725F48">
      <w:pPr>
        <w:rPr>
          <w:rFonts w:ascii="Times New Roman" w:hAnsi="Times New Roman"/>
        </w:rPr>
      </w:pPr>
      <w:r>
        <w:rPr>
          <w:rFonts w:ascii="Times New Roman" w:hAnsi="Times New Roman"/>
        </w:rPr>
        <w:t xml:space="preserve">The EU-U.S. Cooperation Program was established under a formal U.S. and European Union Cooperation Agreement (The New Transatlantic Agenda) signed in June 1995 between the European Commission (EC) and the United States Information Agency.  The discretionary grant program is jointly funded and administered by FIPSE for the U.S. Department of Education and the European Commission’s Directorate General for Education and Culture.   </w:t>
      </w:r>
      <w:r w:rsidR="007C700D">
        <w:rPr>
          <w:rFonts w:ascii="Times New Roman" w:hAnsi="Times New Roman"/>
        </w:rPr>
        <w:t xml:space="preserve">The EU-U.S. Program has been funded annually since 1996.  </w:t>
      </w:r>
      <w:r w:rsidR="00811C9B">
        <w:rPr>
          <w:rFonts w:ascii="Times New Roman" w:hAnsi="Times New Roman"/>
        </w:rPr>
        <w:t>In June of</w:t>
      </w:r>
      <w:r>
        <w:rPr>
          <w:rFonts w:ascii="Times New Roman" w:hAnsi="Times New Roman"/>
        </w:rPr>
        <w:t xml:space="preserve"> 200</w:t>
      </w:r>
      <w:r w:rsidR="001B36CC">
        <w:rPr>
          <w:rFonts w:ascii="Times New Roman" w:hAnsi="Times New Roman"/>
        </w:rPr>
        <w:t>6</w:t>
      </w:r>
      <w:r>
        <w:rPr>
          <w:rFonts w:ascii="Times New Roman" w:hAnsi="Times New Roman"/>
        </w:rPr>
        <w:t xml:space="preserve">, a new </w:t>
      </w:r>
      <w:r w:rsidR="001B36CC">
        <w:rPr>
          <w:rFonts w:ascii="Times New Roman" w:hAnsi="Times New Roman"/>
        </w:rPr>
        <w:t>seven</w:t>
      </w:r>
      <w:r>
        <w:rPr>
          <w:rFonts w:ascii="Times New Roman" w:hAnsi="Times New Roman"/>
        </w:rPr>
        <w:t xml:space="preserve">-year Cooperation Agreement was signed by the U.S. State Department and the European Commission. </w:t>
      </w:r>
    </w:p>
    <w:p w:rsidR="00413B29" w:rsidRDefault="00413B29">
      <w:pPr>
        <w:ind w:left="1440"/>
        <w:rPr>
          <w:rFonts w:ascii="Times New Roman" w:hAnsi="Times New Roman"/>
        </w:rPr>
      </w:pPr>
    </w:p>
    <w:p w:rsidR="00413B29" w:rsidRDefault="00725F48">
      <w:pPr>
        <w:rPr>
          <w:rFonts w:ascii="Times New Roman" w:hAnsi="Times New Roman"/>
        </w:rPr>
      </w:pPr>
      <w:r>
        <w:rPr>
          <w:rFonts w:ascii="Times New Roman" w:hAnsi="Times New Roman"/>
        </w:rPr>
        <w:t xml:space="preserve">The Program for North American Mobility in Higher Education fosters student exchange within the context of multilateral curricular development.  Students benefit from having an added "North American" curriculum and cultural dimension to their studies through combination of trilateral curricular innovation and study abroad.  The Program is administrated collectively by the Fund for the Improvement of Postsecondary Education (FIPSE), U.S. Department of Education; Human Resources Development Canada (HRDC); and in Mexico by the Dirección de </w:t>
      </w:r>
      <w:r>
        <w:rPr>
          <w:rFonts w:ascii="Times New Roman" w:hAnsi="Times New Roman"/>
        </w:rPr>
        <w:lastRenderedPageBreak/>
        <w:t>Desarollo Universitario, Secretaría de Educación Pública (SEP).</w:t>
      </w:r>
      <w:r w:rsidR="007C700D" w:rsidRPr="007C700D">
        <w:rPr>
          <w:rFonts w:ascii="Times New Roman" w:hAnsi="Times New Roman"/>
        </w:rPr>
        <w:t xml:space="preserve"> </w:t>
      </w:r>
      <w:r w:rsidR="007C700D">
        <w:rPr>
          <w:rFonts w:ascii="Times New Roman" w:hAnsi="Times New Roman"/>
        </w:rPr>
        <w:t xml:space="preserve">The North American Program was funded in 1995-1997, 2000-2004, 2006, 2007, 2008—a competition was not held in 2009.  </w:t>
      </w:r>
    </w:p>
    <w:p w:rsidR="00413B29" w:rsidRDefault="00725F48">
      <w:pPr>
        <w:ind w:left="1440"/>
        <w:rPr>
          <w:rFonts w:ascii="Times New Roman" w:hAnsi="Times New Roman"/>
        </w:rPr>
      </w:pPr>
      <w:r>
        <w:rPr>
          <w:rFonts w:ascii="Times New Roman" w:hAnsi="Times New Roman"/>
        </w:rPr>
        <w:t xml:space="preserve"> </w:t>
      </w:r>
    </w:p>
    <w:p w:rsidR="00413B29" w:rsidRDefault="00725F48">
      <w:pPr>
        <w:autoSpaceDE w:val="0"/>
        <w:autoSpaceDN w:val="0"/>
        <w:adjustRightInd w:val="0"/>
        <w:rPr>
          <w:rFonts w:ascii="Times New Roman" w:hAnsi="Times New Roman"/>
        </w:rPr>
      </w:pPr>
      <w:r>
        <w:rPr>
          <w:rFonts w:ascii="Times New Roman" w:hAnsi="Times New Roman"/>
        </w:rPr>
        <w:t xml:space="preserve">The  U.S.-Brazil Higher Education Consortia Program awards grants to U.S. institutions participating in bilateral institutional cooperation and student exchange programs in the United States and Brazil.  Institutions are funded by their respective government agencies: in the United States, the U.S. Department of Education’s Fund for the Improvement for Postsecondary Education (FIPSE); in Brazil, the Fundação Coordenação de Aperfeiçoamento de Pessoal de Nível Superior (CAPES), Brazilian Ministry of Education.  </w:t>
      </w:r>
      <w:r w:rsidR="007C700D">
        <w:rPr>
          <w:rFonts w:ascii="Times New Roman" w:hAnsi="Times New Roman"/>
        </w:rPr>
        <w:t xml:space="preserve">The U.S.-Brazil Program was funded in 2001-2004, 2006-2009.  </w:t>
      </w:r>
    </w:p>
    <w:p w:rsidR="007A211F" w:rsidRDefault="007A211F">
      <w:pPr>
        <w:autoSpaceDE w:val="0"/>
        <w:autoSpaceDN w:val="0"/>
        <w:adjustRightInd w:val="0"/>
        <w:rPr>
          <w:rFonts w:ascii="Times New Roman" w:hAnsi="Times New Roman"/>
        </w:rPr>
      </w:pPr>
    </w:p>
    <w:p w:rsidR="00413B29" w:rsidRDefault="007A211F" w:rsidP="00ED3F19">
      <w:pPr>
        <w:autoSpaceDE w:val="0"/>
        <w:autoSpaceDN w:val="0"/>
        <w:adjustRightInd w:val="0"/>
        <w:rPr>
          <w:rFonts w:ascii="Times New Roman" w:hAnsi="Times New Roman"/>
        </w:rPr>
      </w:pPr>
      <w:r>
        <w:rPr>
          <w:rFonts w:ascii="Times New Roman" w:hAnsi="Times New Roman"/>
        </w:rPr>
        <w:t>The U.S.-Russia program is to foster educational cooperation among institutions of higher education in the United States and Russia</w:t>
      </w:r>
      <w:r w:rsidR="001825F1">
        <w:rPr>
          <w:rFonts w:ascii="Times New Roman" w:hAnsi="Times New Roman"/>
        </w:rPr>
        <w:t>.  On May 31, 2006, the U.S. Secretary of Education and the Minister of Education and Science of the Russian Federation signed an historic agreement aimed at promoting understanding between the peoples of the Russian Federation and the United States.</w:t>
      </w:r>
      <w:r w:rsidR="007C700D" w:rsidRPr="007C700D">
        <w:rPr>
          <w:rFonts w:ascii="Times New Roman" w:hAnsi="Times New Roman"/>
        </w:rPr>
        <w:t xml:space="preserve"> </w:t>
      </w:r>
      <w:r w:rsidR="007C700D">
        <w:rPr>
          <w:rFonts w:ascii="Times New Roman" w:hAnsi="Times New Roman"/>
        </w:rPr>
        <w:t xml:space="preserve">The U.S.-Russia Program was funded from 2007-2009.  </w:t>
      </w:r>
    </w:p>
    <w:p w:rsidR="007C372B" w:rsidRDefault="007C372B" w:rsidP="00ED3F19">
      <w:pPr>
        <w:autoSpaceDE w:val="0"/>
        <w:autoSpaceDN w:val="0"/>
        <w:adjustRightInd w:val="0"/>
        <w:rPr>
          <w:rFonts w:ascii="Times New Roman" w:hAnsi="Times New Roman"/>
        </w:rPr>
      </w:pPr>
    </w:p>
    <w:p w:rsidR="007C372B" w:rsidRDefault="00037631" w:rsidP="007C372B">
      <w:pPr>
        <w:rPr>
          <w:rFonts w:ascii="Times New Roman" w:hAnsi="Times New Roman"/>
        </w:rPr>
      </w:pPr>
      <w:r>
        <w:rPr>
          <w:rFonts w:ascii="Times New Roman" w:hAnsi="Times New Roman"/>
        </w:rPr>
        <w:t>In Fiscal Years</w:t>
      </w:r>
      <w:r w:rsidR="007C372B">
        <w:rPr>
          <w:rFonts w:ascii="Times New Roman" w:hAnsi="Times New Roman"/>
        </w:rPr>
        <w:t xml:space="preserve"> 2004, 2005, 2008, </w:t>
      </w:r>
      <w:r>
        <w:rPr>
          <w:rFonts w:ascii="Times New Roman" w:hAnsi="Times New Roman"/>
        </w:rPr>
        <w:t xml:space="preserve">and </w:t>
      </w:r>
      <w:r w:rsidR="007C372B">
        <w:rPr>
          <w:rFonts w:ascii="Times New Roman" w:hAnsi="Times New Roman"/>
        </w:rPr>
        <w:t>2009</w:t>
      </w:r>
      <w:r>
        <w:rPr>
          <w:rFonts w:ascii="Times New Roman" w:hAnsi="Times New Roman"/>
        </w:rPr>
        <w:t>,</w:t>
      </w:r>
      <w:r w:rsidR="007C372B">
        <w:rPr>
          <w:rFonts w:ascii="Times New Roman" w:hAnsi="Times New Roman"/>
        </w:rPr>
        <w:t xml:space="preserve"> FIPSE also administered and monitored a range of 300-400 Congressionally-directed grants.  </w:t>
      </w:r>
    </w:p>
    <w:p w:rsidR="00ED3F19" w:rsidRDefault="00ED3F19" w:rsidP="00ED3F19">
      <w:pPr>
        <w:autoSpaceDE w:val="0"/>
        <w:autoSpaceDN w:val="0"/>
        <w:adjustRightInd w:val="0"/>
        <w:rPr>
          <w:rFonts w:ascii="Times New Roman" w:hAnsi="Times New Roman"/>
        </w:rPr>
      </w:pPr>
    </w:p>
    <w:p w:rsidR="00413B29" w:rsidRDefault="00725F48">
      <w:pPr>
        <w:pStyle w:val="BodyTextIndent"/>
        <w:rPr>
          <w:i/>
          <w:iCs/>
        </w:rPr>
      </w:pPr>
      <w:r>
        <w:rPr>
          <w:i/>
          <w:iCs/>
        </w:rPr>
        <w:t>2.</w:t>
      </w:r>
      <w:r>
        <w:rPr>
          <w:i/>
          <w:iCs/>
        </w:rPr>
        <w:tab/>
        <w:t>Indicate how, by whom, and for what purpose the information is to be used.  Except for a new collection, indicate the actual use the agency has made of the information received from the current collection.</w:t>
      </w:r>
    </w:p>
    <w:p w:rsidR="00413B29" w:rsidRDefault="00413B29">
      <w:pPr>
        <w:tabs>
          <w:tab w:val="left" w:pos="-1440"/>
        </w:tabs>
        <w:rPr>
          <w:rFonts w:ascii="Times New Roman" w:hAnsi="Times New Roman"/>
        </w:rPr>
      </w:pPr>
    </w:p>
    <w:p w:rsidR="00413B29" w:rsidRDefault="00725F48">
      <w:pPr>
        <w:tabs>
          <w:tab w:val="left" w:pos="-1440"/>
        </w:tabs>
        <w:rPr>
          <w:rFonts w:ascii="Times New Roman" w:hAnsi="Times New Roman"/>
        </w:rPr>
      </w:pPr>
      <w:r>
        <w:rPr>
          <w:rFonts w:ascii="Times New Roman" w:hAnsi="Times New Roman"/>
          <w:b/>
          <w:bCs/>
        </w:rPr>
        <w:t xml:space="preserve">Comprehensive and International Project Forms (two (2) forms for 84.116B, J, M, N, and S): </w:t>
      </w:r>
      <w:r>
        <w:rPr>
          <w:rFonts w:ascii="Times New Roman" w:hAnsi="Times New Roman"/>
        </w:rPr>
        <w:t>Annual and final performance reports are necessary to ensure that the information and data to be collected will result in a balanced and effective assessment of the student exchanges and curricular developments of the Comprehensive and four international</w:t>
      </w:r>
      <w:r w:rsidR="001B36CC">
        <w:rPr>
          <w:rFonts w:ascii="Times New Roman" w:hAnsi="Times New Roman"/>
        </w:rPr>
        <w:t xml:space="preserve"> programs</w:t>
      </w:r>
      <w:r>
        <w:rPr>
          <w:rFonts w:ascii="Times New Roman" w:hAnsi="Times New Roman"/>
        </w:rPr>
        <w:t xml:space="preserve">.   </w:t>
      </w:r>
      <w:r w:rsidR="001B36CC">
        <w:rPr>
          <w:rFonts w:ascii="Times New Roman" w:hAnsi="Times New Roman"/>
        </w:rPr>
        <w:t xml:space="preserve">The </w:t>
      </w:r>
      <w:r>
        <w:rPr>
          <w:rFonts w:ascii="Times New Roman" w:hAnsi="Times New Roman"/>
        </w:rPr>
        <w:t xml:space="preserve">U.S. Department of Education standard forms for annual and final performance reports ask grantees to provide information that is not suited to consortium-based projects.  The new forms include requests for performance information, a report narrative, a student mobility data sheet, a final budget summary, and a project description.   </w:t>
      </w:r>
      <w:r w:rsidR="00574BAF">
        <w:rPr>
          <w:rFonts w:ascii="Times New Roman" w:hAnsi="Times New Roman"/>
        </w:rPr>
        <w:t>We will decrease the hour burden from 20 hours per response to 1</w:t>
      </w:r>
      <w:r w:rsidR="00D46C45">
        <w:rPr>
          <w:rFonts w:ascii="Times New Roman" w:hAnsi="Times New Roman"/>
        </w:rPr>
        <w:t>7</w:t>
      </w:r>
      <w:r w:rsidR="00574BAF">
        <w:rPr>
          <w:rFonts w:ascii="Times New Roman" w:hAnsi="Times New Roman"/>
        </w:rPr>
        <w:t xml:space="preserve"> hours per response for both the annual and final reports.  Some questions have been combined but less repetition is included.  We are requiring </w:t>
      </w:r>
      <w:r w:rsidR="001B36CC">
        <w:rPr>
          <w:rFonts w:ascii="Times New Roman" w:hAnsi="Times New Roman"/>
        </w:rPr>
        <w:t>the grantee to write an essay describing the key accomplishments and challenges of the project</w:t>
      </w:r>
      <w:r w:rsidR="00ED3F19">
        <w:rPr>
          <w:rFonts w:ascii="Times New Roman" w:hAnsi="Times New Roman"/>
        </w:rPr>
        <w:t>.   T</w:t>
      </w:r>
      <w:r>
        <w:rPr>
          <w:rFonts w:ascii="Times New Roman" w:hAnsi="Times New Roman"/>
        </w:rPr>
        <w:t xml:space="preserve">he information to be collected in the new forms reflects the focus of the project activities much more accurately, </w:t>
      </w:r>
      <w:r w:rsidR="00532D17">
        <w:rPr>
          <w:rFonts w:ascii="Times New Roman" w:hAnsi="Times New Roman"/>
        </w:rPr>
        <w:t xml:space="preserve">and includes a required evaluation report which was not required in the previous reporting instrument.  FIPSE’s evaluator reviews each evaluation report in detail and the collection will thus include successes to be shared with the greater education community.  </w:t>
      </w:r>
      <w:r>
        <w:rPr>
          <w:rFonts w:ascii="Times New Roman" w:hAnsi="Times New Roman"/>
        </w:rPr>
        <w:t xml:space="preserve"> </w:t>
      </w:r>
    </w:p>
    <w:p w:rsidR="00532D17" w:rsidRDefault="00532D17">
      <w:pPr>
        <w:tabs>
          <w:tab w:val="left" w:pos="-1440"/>
        </w:tabs>
        <w:rPr>
          <w:rFonts w:ascii="Times New Roman" w:hAnsi="Times New Roman"/>
        </w:rPr>
      </w:pPr>
    </w:p>
    <w:p w:rsidR="00413B29" w:rsidRDefault="00725F48">
      <w:pPr>
        <w:tabs>
          <w:tab w:val="left" w:pos="-1440"/>
        </w:tabs>
        <w:rPr>
          <w:rFonts w:ascii="Times New Roman" w:hAnsi="Times New Roman"/>
        </w:rPr>
      </w:pPr>
      <w:r>
        <w:rPr>
          <w:rFonts w:ascii="Times New Roman" w:hAnsi="Times New Roman"/>
        </w:rPr>
        <w:t>FIPSE places great emphasis on the collection of information from performance reports as a means to assure the quality of program management and show progress toward meeting its performance</w:t>
      </w:r>
      <w:r w:rsidR="00037631">
        <w:rPr>
          <w:rFonts w:ascii="Times New Roman" w:hAnsi="Times New Roman"/>
        </w:rPr>
        <w:t xml:space="preserve"> goals</w:t>
      </w:r>
      <w:r>
        <w:rPr>
          <w:rFonts w:ascii="Times New Roman" w:hAnsi="Times New Roman"/>
        </w:rPr>
        <w:t>.</w:t>
      </w:r>
    </w:p>
    <w:p w:rsidR="007C372B" w:rsidRDefault="007C372B">
      <w:pPr>
        <w:tabs>
          <w:tab w:val="left" w:pos="-1440"/>
        </w:tabs>
        <w:rPr>
          <w:rFonts w:ascii="Times New Roman" w:hAnsi="Times New Roman"/>
        </w:rPr>
      </w:pPr>
    </w:p>
    <w:p w:rsidR="00D46C45" w:rsidRDefault="00D46C45">
      <w:pPr>
        <w:rPr>
          <w:rFonts w:ascii="Times New Roman" w:hAnsi="Times New Roman"/>
          <w:b/>
        </w:rPr>
      </w:pPr>
      <w:r>
        <w:rPr>
          <w:rFonts w:ascii="Times New Roman" w:hAnsi="Times New Roman"/>
          <w:b/>
        </w:rPr>
        <w:br w:type="page"/>
      </w:r>
    </w:p>
    <w:p w:rsidR="00D46C45" w:rsidRPr="00D46C45" w:rsidRDefault="00D46C45" w:rsidP="007C372B">
      <w:pPr>
        <w:rPr>
          <w:rFonts w:ascii="Times New Roman" w:hAnsi="Times New Roman"/>
          <w:b/>
        </w:rPr>
      </w:pPr>
      <w:r w:rsidRPr="00D46C45">
        <w:rPr>
          <w:rFonts w:ascii="Times New Roman" w:hAnsi="Times New Roman"/>
          <w:b/>
        </w:rPr>
        <w:lastRenderedPageBreak/>
        <w:t xml:space="preserve">Congressionally-directed </w:t>
      </w:r>
      <w:r>
        <w:rPr>
          <w:rFonts w:ascii="Times New Roman" w:hAnsi="Times New Roman"/>
          <w:b/>
        </w:rPr>
        <w:t>forms</w:t>
      </w:r>
      <w:r w:rsidRPr="00D46C45">
        <w:rPr>
          <w:rFonts w:ascii="Times New Roman" w:hAnsi="Times New Roman"/>
          <w:b/>
        </w:rPr>
        <w:t xml:space="preserve"> </w:t>
      </w:r>
      <w:r>
        <w:rPr>
          <w:rFonts w:ascii="Times New Roman" w:hAnsi="Times New Roman"/>
          <w:b/>
        </w:rPr>
        <w:t>(two (2) forms for 84.116Z</w:t>
      </w:r>
      <w:r w:rsidR="00E52926">
        <w:rPr>
          <w:rFonts w:ascii="Times New Roman" w:hAnsi="Times New Roman"/>
          <w:b/>
        </w:rPr>
        <w:t>)</w:t>
      </w:r>
      <w:r>
        <w:rPr>
          <w:rFonts w:ascii="Times New Roman" w:hAnsi="Times New Roman"/>
          <w:b/>
        </w:rPr>
        <w:t>:</w:t>
      </w:r>
    </w:p>
    <w:p w:rsidR="007C372B" w:rsidRDefault="00D46C45" w:rsidP="007C372B">
      <w:pPr>
        <w:rPr>
          <w:rFonts w:ascii="Times New Roman" w:hAnsi="Times New Roman"/>
        </w:rPr>
      </w:pPr>
      <w:r>
        <w:rPr>
          <w:rFonts w:ascii="Times New Roman" w:hAnsi="Times New Roman"/>
        </w:rPr>
        <w:t>Results of the annual and final p</w:t>
      </w:r>
      <w:r w:rsidR="005F2728">
        <w:rPr>
          <w:rFonts w:ascii="Times New Roman" w:hAnsi="Times New Roman"/>
        </w:rPr>
        <w:t xml:space="preserve">erformance reports will be used to monitor the allowability and reasonableness of grant expenditures toward the accomplishment of a specified congressional purpose stated in the Appropriations Act.   The reports </w:t>
      </w:r>
      <w:r>
        <w:rPr>
          <w:rFonts w:ascii="Times New Roman" w:hAnsi="Times New Roman"/>
        </w:rPr>
        <w:t xml:space="preserve">are </w:t>
      </w:r>
      <w:r w:rsidR="005F2728">
        <w:rPr>
          <w:rFonts w:ascii="Times New Roman" w:hAnsi="Times New Roman"/>
        </w:rPr>
        <w:t xml:space="preserve">collected via the </w:t>
      </w:r>
      <w:r w:rsidR="007C372B">
        <w:rPr>
          <w:rFonts w:ascii="Times New Roman" w:hAnsi="Times New Roman"/>
        </w:rPr>
        <w:t xml:space="preserve">FIPSE </w:t>
      </w:r>
      <w:r w:rsidR="005F2728">
        <w:rPr>
          <w:rFonts w:ascii="Times New Roman" w:hAnsi="Times New Roman"/>
        </w:rPr>
        <w:t xml:space="preserve">database to strengthen FIPSE’s methods of internal controls for monitoring grant expenditures and enhancing transparency of project activities.  It will also serve as a safeguard and check-and-balance system against possible fraudulent activity.  Since these are </w:t>
      </w:r>
      <w:r w:rsidR="007C372B">
        <w:rPr>
          <w:rFonts w:ascii="Times New Roman" w:hAnsi="Times New Roman"/>
        </w:rPr>
        <w:t xml:space="preserve">Congressionally-directed grants </w:t>
      </w:r>
      <w:r w:rsidR="005F2728">
        <w:rPr>
          <w:rFonts w:ascii="Times New Roman" w:hAnsi="Times New Roman"/>
        </w:rPr>
        <w:t>and therefore noncompetitive, FIPSE staff need to closely monitor these projects to assure that tax payer monies are spent according to Federal regulation</w:t>
      </w:r>
      <w:r w:rsidR="007C700D">
        <w:rPr>
          <w:rFonts w:ascii="Times New Roman" w:hAnsi="Times New Roman"/>
        </w:rPr>
        <w:t>s</w:t>
      </w:r>
      <w:r w:rsidR="005F2728">
        <w:rPr>
          <w:rFonts w:ascii="Times New Roman" w:hAnsi="Times New Roman"/>
        </w:rPr>
        <w:t>.  The dat</w:t>
      </w:r>
      <w:r>
        <w:rPr>
          <w:rFonts w:ascii="Times New Roman" w:hAnsi="Times New Roman"/>
        </w:rPr>
        <w:t>a</w:t>
      </w:r>
      <w:r w:rsidR="007C372B">
        <w:rPr>
          <w:rFonts w:ascii="Times New Roman" w:hAnsi="Times New Roman"/>
        </w:rPr>
        <w:t xml:space="preserve"> provide</w:t>
      </w:r>
      <w:r w:rsidR="005F2728">
        <w:rPr>
          <w:rFonts w:ascii="Times New Roman" w:hAnsi="Times New Roman"/>
        </w:rPr>
        <w:t>d</w:t>
      </w:r>
      <w:r w:rsidR="007C372B">
        <w:rPr>
          <w:rFonts w:ascii="Times New Roman" w:hAnsi="Times New Roman"/>
        </w:rPr>
        <w:t xml:space="preserve"> in the annual</w:t>
      </w:r>
      <w:r w:rsidR="005F2728">
        <w:rPr>
          <w:rFonts w:ascii="Times New Roman" w:hAnsi="Times New Roman"/>
        </w:rPr>
        <w:t xml:space="preserve"> and final performance reports</w:t>
      </w:r>
      <w:r w:rsidR="00BD6DBE">
        <w:rPr>
          <w:rFonts w:ascii="Times New Roman" w:hAnsi="Times New Roman"/>
        </w:rPr>
        <w:t xml:space="preserve"> for fiscal year 2010 projects</w:t>
      </w:r>
      <w:r w:rsidR="005F2728">
        <w:rPr>
          <w:rFonts w:ascii="Times New Roman" w:hAnsi="Times New Roman"/>
        </w:rPr>
        <w:t xml:space="preserve"> will ascertain</w:t>
      </w:r>
      <w:r w:rsidR="007C372B">
        <w:rPr>
          <w:rFonts w:ascii="Times New Roman" w:hAnsi="Times New Roman"/>
        </w:rPr>
        <w:t xml:space="preserve"> if grant recipients have expended funds for the Congressionally-directed purpose specified in the conference report, H. Rept. 111-366, </w:t>
      </w:r>
      <w:r w:rsidR="007C700D">
        <w:rPr>
          <w:rFonts w:ascii="Times New Roman" w:hAnsi="Times New Roman"/>
        </w:rPr>
        <w:t>pages</w:t>
      </w:r>
      <w:r w:rsidR="007C372B">
        <w:rPr>
          <w:rFonts w:ascii="Times New Roman" w:hAnsi="Times New Roman"/>
        </w:rPr>
        <w:t xml:space="preserve"> 106</w:t>
      </w:r>
      <w:r w:rsidR="007C700D">
        <w:rPr>
          <w:rFonts w:ascii="Times New Roman" w:hAnsi="Times New Roman"/>
        </w:rPr>
        <w:t>6-1072</w:t>
      </w:r>
      <w:r w:rsidR="007C372B">
        <w:rPr>
          <w:rFonts w:ascii="Times New Roman" w:hAnsi="Times New Roman"/>
        </w:rPr>
        <w:t xml:space="preserve"> (</w:t>
      </w:r>
      <w:r w:rsidR="00212048">
        <w:rPr>
          <w:rFonts w:ascii="Times New Roman" w:hAnsi="Times New Roman"/>
        </w:rPr>
        <w:t>2010</w:t>
      </w:r>
      <w:r w:rsidR="007C372B">
        <w:rPr>
          <w:rFonts w:ascii="Times New Roman" w:hAnsi="Times New Roman"/>
        </w:rPr>
        <w:t xml:space="preserve">) or if activities and expenditures were in compliance with discretionary grant regulations.  </w:t>
      </w:r>
      <w:r w:rsidR="001902A8">
        <w:rPr>
          <w:rFonts w:ascii="Times New Roman" w:hAnsi="Times New Roman"/>
        </w:rPr>
        <w:t xml:space="preserve">The burden will be reduced from 15 hours to 8 hours due to format of the form and combining of questions.  </w:t>
      </w:r>
    </w:p>
    <w:p w:rsidR="00413B29" w:rsidRDefault="00413B29">
      <w:pPr>
        <w:tabs>
          <w:tab w:val="left" w:pos="-720"/>
        </w:tabs>
        <w:suppressAutoHyphens/>
        <w:rPr>
          <w:rFonts w:ascii="Times New Roman" w:hAnsi="Times New Roman"/>
        </w:rPr>
      </w:pPr>
    </w:p>
    <w:p w:rsidR="00413B29" w:rsidRDefault="00725F48">
      <w:pPr>
        <w:pStyle w:val="BodyText"/>
        <w:tabs>
          <w:tab w:val="clear" w:pos="0"/>
          <w:tab w:val="left" w:pos="-720"/>
        </w:tabs>
      </w:pPr>
      <w: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413B29" w:rsidRDefault="00413B29">
      <w:pPr>
        <w:tabs>
          <w:tab w:val="left" w:pos="-720"/>
        </w:tabs>
        <w:suppressAutoHyphens/>
        <w:rPr>
          <w:rFonts w:ascii="Times New Roman" w:hAnsi="Times New Roman"/>
        </w:rPr>
      </w:pPr>
    </w:p>
    <w:p w:rsidR="007C372B" w:rsidRDefault="00725F48">
      <w:pPr>
        <w:tabs>
          <w:tab w:val="left" w:pos="-720"/>
        </w:tabs>
        <w:suppressAutoHyphens/>
        <w:rPr>
          <w:rFonts w:ascii="Times New Roman" w:hAnsi="Times New Roman"/>
        </w:rPr>
      </w:pPr>
      <w:r>
        <w:rPr>
          <w:rFonts w:ascii="Times New Roman" w:hAnsi="Times New Roman"/>
        </w:rPr>
        <w:t xml:space="preserve">The collection of information is designed for Web-based submission of all the information requested.  Grantees will be able to use FIPSE’s Web site to submit annual and final performance information on their grants.  The Comprehensive Program and the four (4) international programs will use </w:t>
      </w:r>
      <w:r w:rsidR="00ED3F19">
        <w:rPr>
          <w:rFonts w:ascii="Times New Roman" w:hAnsi="Times New Roman"/>
        </w:rPr>
        <w:t xml:space="preserve">similar </w:t>
      </w:r>
      <w:r>
        <w:rPr>
          <w:rFonts w:ascii="Times New Roman" w:hAnsi="Times New Roman"/>
        </w:rPr>
        <w:t xml:space="preserve">forms for the annual performance report and the final performance report.  </w:t>
      </w:r>
      <w:r w:rsidR="00ED3F19">
        <w:rPr>
          <w:rFonts w:ascii="Times New Roman" w:hAnsi="Times New Roman"/>
        </w:rPr>
        <w:t>The forms vary slightly because we are collecting data on students studying abroad for the Department of State’s International Agency Working Group (IAWG)</w:t>
      </w:r>
      <w:r w:rsidR="00532D17">
        <w:rPr>
          <w:rFonts w:ascii="Times New Roman" w:hAnsi="Times New Roman"/>
        </w:rPr>
        <w:t xml:space="preserve"> for the international programs and have a </w:t>
      </w:r>
      <w:r w:rsidR="003A2AB6">
        <w:rPr>
          <w:rFonts w:ascii="Times New Roman" w:hAnsi="Times New Roman"/>
        </w:rPr>
        <w:t xml:space="preserve">different </w:t>
      </w:r>
      <w:r w:rsidR="00532D17">
        <w:rPr>
          <w:rFonts w:ascii="Times New Roman" w:hAnsi="Times New Roman"/>
        </w:rPr>
        <w:t>form for the Comprehensive program thus allowing for any special focus competitions that may be held under the Comprehensive program</w:t>
      </w:r>
      <w:r w:rsidR="00ED3F19">
        <w:rPr>
          <w:rFonts w:ascii="Times New Roman" w:hAnsi="Times New Roman"/>
        </w:rPr>
        <w:t xml:space="preserve">.  </w:t>
      </w:r>
      <w:r w:rsidR="007C372B">
        <w:rPr>
          <w:rFonts w:ascii="Times New Roman" w:hAnsi="Times New Roman"/>
        </w:rPr>
        <w:t xml:space="preserve">The Congressionally-directed grants have a slightly different format due to the nature of Congressionally-directed grants.  </w:t>
      </w:r>
    </w:p>
    <w:p w:rsidR="007C372B" w:rsidRDefault="007C372B">
      <w:pPr>
        <w:tabs>
          <w:tab w:val="left" w:pos="-720"/>
        </w:tabs>
        <w:suppressAutoHyphens/>
        <w:rPr>
          <w:rFonts w:ascii="Times New Roman" w:hAnsi="Times New Roman"/>
        </w:rPr>
      </w:pPr>
    </w:p>
    <w:p w:rsidR="00413B29" w:rsidRDefault="00ED3F19">
      <w:pPr>
        <w:tabs>
          <w:tab w:val="left" w:pos="-720"/>
        </w:tabs>
        <w:suppressAutoHyphens/>
        <w:rPr>
          <w:rFonts w:ascii="Times New Roman" w:hAnsi="Times New Roman"/>
        </w:rPr>
      </w:pPr>
      <w:r>
        <w:rPr>
          <w:rFonts w:ascii="Times New Roman" w:hAnsi="Times New Roman"/>
        </w:rPr>
        <w:t>The data collected in the FIPSE database enables our evaluation specialist to conduct progra</w:t>
      </w:r>
      <w:r w:rsidR="00037631">
        <w:rPr>
          <w:rFonts w:ascii="Times New Roman" w:hAnsi="Times New Roman"/>
        </w:rPr>
        <w:t>m evaluation of FIPSE’s program</w:t>
      </w:r>
      <w:r>
        <w:rPr>
          <w:rFonts w:ascii="Times New Roman" w:hAnsi="Times New Roman"/>
        </w:rPr>
        <w:t>s to provide outcomes and outputs as well as improve the program m</w:t>
      </w:r>
      <w:r w:rsidR="00725F48">
        <w:rPr>
          <w:rFonts w:ascii="Times New Roman" w:hAnsi="Times New Roman"/>
        </w:rPr>
        <w:t xml:space="preserve">anagement </w:t>
      </w:r>
      <w:r>
        <w:rPr>
          <w:rFonts w:ascii="Times New Roman" w:hAnsi="Times New Roman"/>
        </w:rPr>
        <w:t xml:space="preserve">of the programs. </w:t>
      </w:r>
    </w:p>
    <w:p w:rsidR="00ED3F19" w:rsidRDefault="00ED3F19">
      <w:pPr>
        <w:tabs>
          <w:tab w:val="left" w:pos="-720"/>
        </w:tabs>
        <w:suppressAutoHyphens/>
        <w:rPr>
          <w:rFonts w:ascii="Times New Roman" w:hAnsi="Times New Roman"/>
        </w:rPr>
      </w:pPr>
    </w:p>
    <w:p w:rsidR="00413B29" w:rsidRDefault="00725F48">
      <w:pPr>
        <w:pStyle w:val="BodyText"/>
        <w:tabs>
          <w:tab w:val="clear" w:pos="0"/>
          <w:tab w:val="left" w:pos="-720"/>
        </w:tabs>
      </w:pPr>
      <w:r>
        <w:t>4.  Describe efforts to identify duplication.  Show specifically why any similar information already available cannot be used or modified for use of the purposes described in Item 2 above.</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 xml:space="preserve">FIPSE staff has made every effort to ensure that there is no duplication of data acquisition.  </w:t>
      </w:r>
    </w:p>
    <w:p w:rsidR="00413B29" w:rsidRDefault="00413B29">
      <w:pPr>
        <w:tabs>
          <w:tab w:val="left" w:pos="-720"/>
        </w:tabs>
        <w:suppressAutoHyphens/>
        <w:rPr>
          <w:rFonts w:ascii="Times New Roman" w:hAnsi="Times New Roman"/>
        </w:rPr>
      </w:pPr>
    </w:p>
    <w:p w:rsidR="00413B29" w:rsidRDefault="00725F48">
      <w:pPr>
        <w:pStyle w:val="BodyText"/>
        <w:tabs>
          <w:tab w:val="clear" w:pos="0"/>
          <w:tab w:val="left" w:pos="-720"/>
        </w:tabs>
      </w:pPr>
      <w:r>
        <w:t>5.  If the collection of information impacts small businesses or other small entities (Item 5 of OMB Form 83-I), describe any methods used to minimize burden.</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The collection of information does not impact small businesses or other small entities.</w:t>
      </w:r>
    </w:p>
    <w:p w:rsidR="00413B29" w:rsidRDefault="00413B29">
      <w:pPr>
        <w:pStyle w:val="EndnoteText"/>
        <w:rPr>
          <w:rFonts w:ascii="Times New Roman" w:hAnsi="Times New Roman"/>
        </w:rPr>
      </w:pPr>
    </w:p>
    <w:p w:rsidR="00413B29" w:rsidRDefault="00725F48">
      <w:pPr>
        <w:pStyle w:val="BodyText"/>
        <w:tabs>
          <w:tab w:val="clear" w:pos="0"/>
          <w:tab w:val="left" w:pos="-720"/>
        </w:tabs>
      </w:pPr>
      <w:r>
        <w:lastRenderedPageBreak/>
        <w:t>6.  Describe the consequences to Federal program or policy activities if the collection is not conducted or is conducted less frequently, as well as any technical or legal obstacles to reducing burden.</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According to the Government Performance and Results Act of 1993 (GPRA), FIPSE grant competitions are required by law to collect information regarding program and project effectiveness.</w:t>
      </w:r>
    </w:p>
    <w:p w:rsidR="00413B29" w:rsidRDefault="00413B29">
      <w:pPr>
        <w:tabs>
          <w:tab w:val="left" w:pos="-720"/>
        </w:tabs>
        <w:suppressAutoHyphens/>
        <w:rPr>
          <w:rFonts w:ascii="Times New Roman" w:hAnsi="Times New Roman"/>
        </w:rPr>
      </w:pPr>
    </w:p>
    <w:p w:rsidR="00413B29" w:rsidRDefault="00725F48">
      <w:pPr>
        <w:pStyle w:val="BodyText"/>
        <w:tabs>
          <w:tab w:val="clear" w:pos="0"/>
          <w:tab w:val="left" w:pos="-720"/>
        </w:tabs>
      </w:pPr>
      <w:r>
        <w:t>7. Explain any special circumstances that would cause an information collection to be conducted in a manner:</w:t>
      </w:r>
    </w:p>
    <w:p w:rsidR="00413B29" w:rsidRDefault="00413B29">
      <w:pPr>
        <w:tabs>
          <w:tab w:val="left" w:pos="-720"/>
        </w:tabs>
        <w:suppressAutoHyphens/>
        <w:rPr>
          <w:rFonts w:ascii="Times New Roman" w:hAnsi="Times New Roman"/>
          <w:b/>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-requiring respondents to report information to the agency more often than quarterly;</w:t>
      </w:r>
    </w:p>
    <w:p w:rsidR="00413B29" w:rsidRDefault="00413B29">
      <w:pPr>
        <w:numPr>
          <w:ilvl w:val="12"/>
          <w:numId w:val="0"/>
        </w:numPr>
        <w:tabs>
          <w:tab w:val="left" w:pos="-720"/>
        </w:tabs>
        <w:suppressAutoHyphens/>
        <w:ind w:left="340"/>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-requiring respondents to prepare a written response to a collection of information in fewer than 30 days after receipt of it;</w:t>
      </w:r>
    </w:p>
    <w:p w:rsidR="00413B29" w:rsidRDefault="00413B29">
      <w:pPr>
        <w:numPr>
          <w:ilvl w:val="12"/>
          <w:numId w:val="0"/>
        </w:num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-requiring respondents to submit more than an original and two copies of any document;</w:t>
      </w:r>
    </w:p>
    <w:p w:rsidR="00413B29" w:rsidRDefault="00413B29">
      <w:pPr>
        <w:numPr>
          <w:ilvl w:val="12"/>
          <w:numId w:val="0"/>
        </w:num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-requiring respondents to retain records, other than health, medical, government contract, grant-in-aid, or tax records for more than three years;</w:t>
      </w:r>
    </w:p>
    <w:p w:rsidR="00413B29" w:rsidRDefault="00413B29">
      <w:pPr>
        <w:numPr>
          <w:ilvl w:val="12"/>
          <w:numId w:val="0"/>
        </w:num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-in connection with a statistical survey, that is not designed to produce valid and reliable results than can be generalized to the universe of study;</w:t>
      </w:r>
    </w:p>
    <w:p w:rsidR="00413B29" w:rsidRDefault="00413B29">
      <w:pPr>
        <w:numPr>
          <w:ilvl w:val="12"/>
          <w:numId w:val="0"/>
        </w:num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-requiring the use of a statistical data classification that has not been reviewed and approved by OMB;</w:t>
      </w:r>
    </w:p>
    <w:p w:rsidR="00413B29" w:rsidRDefault="00413B29">
      <w:pPr>
        <w:numPr>
          <w:ilvl w:val="12"/>
          <w:numId w:val="0"/>
        </w:num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13B29" w:rsidRDefault="00413B29">
      <w:pPr>
        <w:numPr>
          <w:ilvl w:val="12"/>
          <w:numId w:val="0"/>
        </w:num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rPr>
      </w:pPr>
      <w:r>
        <w:rPr>
          <w:rFonts w:ascii="Times New Roman" w:hAnsi="Times New Roman"/>
        </w:rPr>
        <w:t>-requiring respondents to submit proprietary trade secrets, or other confidential information unless the agency can demonstrate th</w:t>
      </w:r>
      <w:r w:rsidR="00532D17">
        <w:rPr>
          <w:rFonts w:ascii="Times New Roman" w:hAnsi="Times New Roman"/>
        </w:rPr>
        <w:t>a</w:t>
      </w:r>
      <w:r>
        <w:rPr>
          <w:rFonts w:ascii="Times New Roman" w:hAnsi="Times New Roman"/>
        </w:rPr>
        <w:t>t it has instituted procedures to protect the information’s confidentiality to the extent permitted by law.</w:t>
      </w:r>
    </w:p>
    <w:p w:rsidR="00413B29" w:rsidRDefault="00413B29">
      <w:pPr>
        <w:tabs>
          <w:tab w:val="left" w:pos="-720"/>
        </w:tabs>
        <w:suppressAutoHyphens/>
        <w:rPr>
          <w:rFonts w:ascii="Times New Roman" w:hAnsi="Times New Roman"/>
        </w:rPr>
      </w:pPr>
    </w:p>
    <w:p w:rsidR="00413B29" w:rsidRDefault="00725F48">
      <w:pPr>
        <w:tabs>
          <w:tab w:val="left" w:pos="-1440"/>
        </w:tabs>
        <w:ind w:left="1440" w:hanging="720"/>
        <w:rPr>
          <w:rFonts w:ascii="Times New Roman" w:hAnsi="Times New Roman"/>
        </w:rPr>
      </w:pPr>
      <w:r>
        <w:rPr>
          <w:rFonts w:ascii="Times New Roman" w:hAnsi="Times New Roman"/>
        </w:rPr>
        <w:t>No special circumstances apply.</w:t>
      </w:r>
    </w:p>
    <w:p w:rsidR="00413B29" w:rsidRDefault="00413B29">
      <w:pPr>
        <w:tabs>
          <w:tab w:val="left" w:pos="-720"/>
        </w:tabs>
        <w:suppressAutoHyphens/>
        <w:rPr>
          <w:rFonts w:ascii="Times New Roman" w:hAnsi="Times New Roman"/>
        </w:rPr>
      </w:pPr>
    </w:p>
    <w:p w:rsidR="00413B29" w:rsidRDefault="00725F48">
      <w:pPr>
        <w:numPr>
          <w:ilvl w:val="0"/>
          <w:numId w:val="2"/>
        </w:numPr>
        <w:tabs>
          <w:tab w:val="left" w:pos="-720"/>
          <w:tab w:val="left" w:pos="375"/>
        </w:tabs>
        <w:suppressAutoHyphens/>
        <w:rPr>
          <w:rFonts w:ascii="Times New Roman" w:hAnsi="Times New Roman"/>
          <w:i/>
          <w:iCs/>
        </w:rPr>
      </w:pP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13B29" w:rsidRDefault="00413B29">
      <w:pPr>
        <w:tabs>
          <w:tab w:val="left" w:pos="-720"/>
        </w:tabs>
        <w:suppressAutoHyphens/>
        <w:rPr>
          <w:rStyle w:val="a"/>
          <w:rFonts w:ascii="Times New Roman" w:hAnsi="Times New Roman"/>
          <w:b/>
        </w:rPr>
      </w:pPr>
    </w:p>
    <w:p w:rsidR="00413B29" w:rsidRDefault="00725F48">
      <w:pPr>
        <w:tabs>
          <w:tab w:val="left" w:pos="-720"/>
        </w:tabs>
        <w:suppressAutoHyphens/>
        <w:rPr>
          <w:rStyle w:val="a"/>
          <w:rFonts w:ascii="Times New Roman" w:hAnsi="Times New Roman"/>
          <w:i/>
          <w:iCs/>
        </w:rPr>
      </w:pPr>
      <w:r>
        <w:rPr>
          <w:rStyle w:val="a"/>
          <w:rFonts w:ascii="Times New Roman" w:hAnsi="Times New Roman"/>
          <w:i/>
          <w:iCs/>
        </w:rPr>
        <w:t>Describe efforts to consult with persons outside the agency to obtain their views on the</w:t>
      </w:r>
    </w:p>
    <w:p w:rsidR="00413B29" w:rsidRDefault="00725F48">
      <w:pPr>
        <w:tabs>
          <w:tab w:val="left" w:pos="-720"/>
        </w:tabs>
        <w:suppressAutoHyphens/>
        <w:rPr>
          <w:rStyle w:val="a"/>
          <w:rFonts w:ascii="Times New Roman" w:hAnsi="Times New Roman"/>
          <w:i/>
          <w:iCs/>
        </w:rPr>
      </w:pPr>
      <w:r>
        <w:rPr>
          <w:rStyle w:val="a"/>
          <w:rFonts w:ascii="Times New Roman" w:hAnsi="Times New Roman"/>
          <w:i/>
          <w:iCs/>
        </w:rPr>
        <w:lastRenderedPageBreak/>
        <w:t xml:space="preserve"> availability of data, frequency of collection, the clarity of instruction and record keeping, disclosure, or reporting format (if any), and on the data elements to be recorded, disclosed, or reported.</w:t>
      </w:r>
    </w:p>
    <w:p w:rsidR="00413B29" w:rsidRDefault="00413B29">
      <w:pPr>
        <w:tabs>
          <w:tab w:val="left" w:pos="-720"/>
        </w:tabs>
        <w:suppressAutoHyphens/>
        <w:rPr>
          <w:rStyle w:val="a"/>
          <w:rFonts w:ascii="Times New Roman" w:hAnsi="Times New Roman"/>
          <w:i/>
          <w:iCs/>
        </w:rPr>
      </w:pPr>
    </w:p>
    <w:p w:rsidR="00413B29" w:rsidRDefault="00725F48">
      <w:pPr>
        <w:tabs>
          <w:tab w:val="left" w:pos="-720"/>
        </w:tabs>
        <w:suppressAutoHyphens/>
        <w:rPr>
          <w:rFonts w:ascii="Times New Roman" w:hAnsi="Times New Roman"/>
          <w:i/>
          <w:iCs/>
        </w:rPr>
      </w:pPr>
      <w:r>
        <w:rPr>
          <w:rStyle w:val="a"/>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32D17" w:rsidRDefault="00532D17" w:rsidP="00532D17">
      <w:pPr>
        <w:tabs>
          <w:tab w:val="left" w:pos="-1440"/>
        </w:tabs>
        <w:rPr>
          <w:rFonts w:ascii="Times New Roman" w:hAnsi="Times New Roman"/>
        </w:rPr>
      </w:pPr>
    </w:p>
    <w:p w:rsidR="00413B29" w:rsidRDefault="00725F48">
      <w:pPr>
        <w:tabs>
          <w:tab w:val="left" w:pos="-1440"/>
        </w:tabs>
        <w:rPr>
          <w:rFonts w:ascii="Times New Roman" w:hAnsi="Times New Roman"/>
        </w:rPr>
      </w:pPr>
      <w:r>
        <w:rPr>
          <w:rFonts w:ascii="Times New Roman" w:hAnsi="Times New Roman"/>
        </w:rPr>
        <w:t xml:space="preserve">Each year FIPSE staff evaluates the effectiveness of grants through regular telephone and e-mail contacts with project directors, an annual meeting of the project directors in each program, and annual performance reports submitted by the grantees.  Information gathered through such means is focused on objectives unique to individual projects.  </w:t>
      </w:r>
      <w:r w:rsidR="00532D17">
        <w:rPr>
          <w:rFonts w:ascii="Times New Roman" w:hAnsi="Times New Roman"/>
        </w:rPr>
        <w:t xml:space="preserve">The FIPSE database </w:t>
      </w:r>
      <w:r>
        <w:rPr>
          <w:rFonts w:ascii="Times New Roman" w:hAnsi="Times New Roman"/>
        </w:rPr>
        <w:t>greatly facilitate</w:t>
      </w:r>
      <w:r w:rsidR="003A2AB6">
        <w:rPr>
          <w:rFonts w:ascii="Times New Roman" w:hAnsi="Times New Roman"/>
        </w:rPr>
        <w:t>s</w:t>
      </w:r>
      <w:r>
        <w:rPr>
          <w:rFonts w:ascii="Times New Roman" w:hAnsi="Times New Roman"/>
        </w:rPr>
        <w:t xml:space="preserve"> total program evaluation objectives such as the effectiveness of the consortia format or student learning outcomes that are common to a cohort of projects both within and across the </w:t>
      </w:r>
      <w:r w:rsidR="003A2AB6">
        <w:rPr>
          <w:rFonts w:ascii="Times New Roman" w:hAnsi="Times New Roman"/>
        </w:rPr>
        <w:t xml:space="preserve">four </w:t>
      </w:r>
      <w:r>
        <w:rPr>
          <w:rFonts w:ascii="Times New Roman" w:hAnsi="Times New Roman"/>
        </w:rPr>
        <w:t>programs in areas such as engineering or business</w:t>
      </w:r>
      <w:r w:rsidR="007C372B">
        <w:rPr>
          <w:rFonts w:ascii="Times New Roman" w:hAnsi="Times New Roman"/>
        </w:rPr>
        <w:t xml:space="preserve"> and if applicable any Congressionally-directed grants</w:t>
      </w:r>
      <w:r>
        <w:rPr>
          <w:rFonts w:ascii="Times New Roman" w:hAnsi="Times New Roman"/>
        </w:rPr>
        <w:t xml:space="preserve">. </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9. </w:t>
      </w:r>
      <w:r>
        <w:rPr>
          <w:rStyle w:val="a"/>
          <w:rFonts w:ascii="Times New Roman" w:hAnsi="Times New Roman"/>
          <w:i/>
          <w:iCs/>
        </w:rPr>
        <w:t>Explain any decision to provide any payment or gift to respondents, other than remuneration of contractors or grantees.</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ED does not provide any payment or gift to respondents</w:t>
      </w:r>
      <w:r w:rsidR="00037631">
        <w:rPr>
          <w:rFonts w:ascii="Times New Roman" w:hAnsi="Times New Roman"/>
        </w:rPr>
        <w:t>.</w:t>
      </w:r>
    </w:p>
    <w:p w:rsidR="00413B29" w:rsidRDefault="00413B29">
      <w:pPr>
        <w:tabs>
          <w:tab w:val="left" w:pos="-720"/>
        </w:tabs>
        <w:suppressAutoHyphens/>
        <w:rPr>
          <w:rFonts w:ascii="Times New Roman" w:hAnsi="Times New Roman"/>
        </w:rPr>
      </w:pPr>
    </w:p>
    <w:p w:rsidR="00413B29" w:rsidRDefault="00725F48">
      <w:pPr>
        <w:pStyle w:val="BodyText"/>
        <w:tabs>
          <w:tab w:val="clear" w:pos="0"/>
          <w:tab w:val="left" w:pos="-720"/>
        </w:tabs>
      </w:pPr>
      <w:r>
        <w:t>10. Describe any assurance of confidentiality provided to respondents and the basis for the assurance in statute, regulation, or agency policy.</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No assurance of confidentiality is provided to respondents</w:t>
      </w:r>
      <w:r w:rsidR="006E2129">
        <w:rPr>
          <w:rFonts w:ascii="Times New Roman" w:hAnsi="Times New Roman"/>
        </w:rPr>
        <w:t xml:space="preserve">.  </w:t>
      </w:r>
    </w:p>
    <w:p w:rsidR="006E2129" w:rsidRDefault="006E2129">
      <w:pPr>
        <w:tabs>
          <w:tab w:val="left" w:pos="-720"/>
        </w:tabs>
        <w:suppressAutoHyphens/>
        <w:rPr>
          <w:rFonts w:ascii="Times New Roman" w:hAnsi="Times New Roman"/>
        </w:rPr>
      </w:pPr>
    </w:p>
    <w:p w:rsidR="00413B29" w:rsidRDefault="00725F48">
      <w:pPr>
        <w:pStyle w:val="BodyText"/>
        <w:tabs>
          <w:tab w:val="clear" w:pos="0"/>
          <w:tab w:val="left" w:pos="-720"/>
        </w:tabs>
      </w:pPr>
      <w: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This program does not include information of a sensitive nature.</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Style w:val="a"/>
          <w:rFonts w:ascii="Times New Roman" w:hAnsi="Times New Roman"/>
          <w:i/>
          <w:iCs/>
        </w:rPr>
      </w:pPr>
      <w:r>
        <w:rPr>
          <w:rFonts w:ascii="Times New Roman" w:hAnsi="Times New Roman"/>
          <w:i/>
          <w:iCs/>
        </w:rPr>
        <w:t xml:space="preserve">12. </w:t>
      </w:r>
      <w:r>
        <w:rPr>
          <w:rStyle w:val="a"/>
          <w:rFonts w:ascii="Times New Roman" w:hAnsi="Times New Roman"/>
          <w:i/>
          <w:iCs/>
        </w:rPr>
        <w:t>Provide estimates of the hour burden of the collection of information.  The statement should :</w:t>
      </w:r>
    </w:p>
    <w:p w:rsidR="00413B29" w:rsidRDefault="00413B29">
      <w:pPr>
        <w:tabs>
          <w:tab w:val="left" w:pos="-720"/>
          <w:tab w:val="left" w:pos="1247"/>
        </w:tabs>
        <w:suppressAutoHyphens/>
        <w:ind w:left="340"/>
        <w:rPr>
          <w:rStyle w:val="a"/>
          <w:rFonts w:ascii="Times New Roman" w:hAnsi="Times New Roman"/>
          <w:i/>
          <w:iCs/>
        </w:rPr>
      </w:pPr>
    </w:p>
    <w:p w:rsidR="00413B29" w:rsidRDefault="00725F48">
      <w:pPr>
        <w:tabs>
          <w:tab w:val="left" w:pos="-720"/>
          <w:tab w:val="left" w:pos="1247"/>
        </w:tabs>
        <w:suppressAutoHyphens/>
        <w:ind w:left="340"/>
        <w:rPr>
          <w:rStyle w:val="a"/>
          <w:rFonts w:ascii="Times New Roman" w:hAnsi="Times New Roman"/>
          <w:i/>
          <w:iCs/>
        </w:rPr>
      </w:pPr>
      <w:r>
        <w:rPr>
          <w:rStyle w:val="a"/>
          <w:rFonts w:ascii="Times New Roman" w:hAnsi="Times New Roman"/>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413B29" w:rsidRDefault="00413B29">
      <w:pPr>
        <w:tabs>
          <w:tab w:val="left" w:pos="-720"/>
          <w:tab w:val="left" w:pos="1247"/>
        </w:tabs>
        <w:suppressAutoHyphens/>
        <w:ind w:left="340"/>
        <w:rPr>
          <w:rStyle w:val="a"/>
          <w:rFonts w:ascii="Times New Roman" w:hAnsi="Times New Roman"/>
          <w:i/>
          <w:iCs/>
        </w:rPr>
      </w:pPr>
    </w:p>
    <w:p w:rsidR="00413B29" w:rsidRDefault="00725F48">
      <w:pPr>
        <w:tabs>
          <w:tab w:val="left" w:pos="-720"/>
          <w:tab w:val="left" w:pos="1247"/>
        </w:tabs>
        <w:suppressAutoHyphens/>
        <w:ind w:left="340"/>
        <w:rPr>
          <w:rStyle w:val="a"/>
          <w:rFonts w:ascii="Times New Roman" w:hAnsi="Times New Roman"/>
          <w:i/>
          <w:iCs/>
        </w:rPr>
      </w:pPr>
      <w:r>
        <w:rPr>
          <w:rStyle w:val="a"/>
          <w:rFonts w:ascii="Times New Roman" w:hAnsi="Times New Roman"/>
          <w:i/>
          <w:iCs/>
        </w:rPr>
        <w:t>-If this request for approval covers more than one form, provide separate hour burden estimates for each form and aggregate the hour burdens in item 13 of OMB Form 83-I.</w:t>
      </w:r>
    </w:p>
    <w:p w:rsidR="006665B7" w:rsidRDefault="00725F48">
      <w:pPr>
        <w:tabs>
          <w:tab w:val="left" w:pos="-720"/>
          <w:tab w:val="left" w:pos="1247"/>
        </w:tabs>
        <w:suppressAutoHyphens/>
        <w:ind w:left="340"/>
        <w:rPr>
          <w:rStyle w:val="a"/>
          <w:rFonts w:ascii="Times New Roman" w:hAnsi="Times New Roman"/>
          <w:i/>
          <w:iCs/>
        </w:rPr>
      </w:pPr>
      <w:r>
        <w:rPr>
          <w:rStyle w:val="a"/>
          <w:rFonts w:ascii="Times New Roman" w:hAnsi="Times New Roman"/>
          <w:i/>
          <w:iCs/>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not be included in Item 14.</w:t>
      </w:r>
    </w:p>
    <w:p w:rsidR="00413B29" w:rsidRDefault="00413B29" w:rsidP="006665B7">
      <w:pPr>
        <w:rPr>
          <w:rFonts w:ascii="Times New Roman" w:hAnsi="Times New Roman"/>
          <w:i/>
          <w:iCs/>
        </w:rPr>
      </w:pPr>
    </w:p>
    <w:p w:rsidR="00413B29" w:rsidRDefault="00413B29">
      <w:pPr>
        <w:suppressAutoHyphens/>
        <w:rPr>
          <w:rFonts w:ascii="Times New Roman" w:hAnsi="Times New Roman"/>
        </w:rPr>
      </w:pPr>
    </w:p>
    <w:p w:rsidR="00413B29" w:rsidRDefault="00413B29">
      <w:pPr>
        <w:tabs>
          <w:tab w:val="left" w:pos="-720"/>
        </w:tabs>
        <w:suppressAutoHyphen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666"/>
        <w:gridCol w:w="2718"/>
      </w:tblGrid>
      <w:tr w:rsidR="00413B29">
        <w:tc>
          <w:tcPr>
            <w:tcW w:w="3192" w:type="dxa"/>
          </w:tcPr>
          <w:p w:rsidR="00413B29" w:rsidRDefault="00725F48">
            <w:pPr>
              <w:pStyle w:val="Heading1"/>
            </w:pPr>
            <w:r>
              <w:t>ANNUAL REPORT</w:t>
            </w:r>
          </w:p>
        </w:tc>
        <w:tc>
          <w:tcPr>
            <w:tcW w:w="3666" w:type="dxa"/>
          </w:tcPr>
          <w:p w:rsidR="00413B29" w:rsidRDefault="00725F48">
            <w:pPr>
              <w:tabs>
                <w:tab w:val="left" w:pos="-720"/>
              </w:tabs>
              <w:suppressAutoHyphens/>
              <w:rPr>
                <w:rFonts w:ascii="Times New Roman" w:hAnsi="Times New Roman"/>
                <w:b/>
                <w:bCs/>
              </w:rPr>
            </w:pPr>
            <w:r>
              <w:rPr>
                <w:rFonts w:ascii="Times New Roman" w:hAnsi="Times New Roman"/>
                <w:b/>
                <w:bCs/>
              </w:rPr>
              <w:t>Form for 84.116B, J, M, N, or S</w:t>
            </w:r>
          </w:p>
        </w:tc>
        <w:tc>
          <w:tcPr>
            <w:tcW w:w="2718" w:type="dxa"/>
          </w:tcPr>
          <w:p w:rsidR="00413B29" w:rsidRDefault="00725F48">
            <w:pPr>
              <w:tabs>
                <w:tab w:val="left" w:pos="-720"/>
              </w:tabs>
              <w:suppressAutoHyphens/>
              <w:rPr>
                <w:rFonts w:ascii="Times New Roman" w:hAnsi="Times New Roman"/>
                <w:b/>
                <w:bCs/>
              </w:rPr>
            </w:pPr>
            <w:r>
              <w:rPr>
                <w:rFonts w:ascii="Times New Roman" w:hAnsi="Times New Roman"/>
                <w:b/>
                <w:bCs/>
              </w:rPr>
              <w:t>Form for 84.116Z</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Number of respondents</w:t>
            </w:r>
          </w:p>
        </w:tc>
        <w:tc>
          <w:tcPr>
            <w:tcW w:w="3666" w:type="dxa"/>
          </w:tcPr>
          <w:p w:rsidR="00413B29" w:rsidRDefault="00725F48">
            <w:pPr>
              <w:tabs>
                <w:tab w:val="left" w:pos="-720"/>
              </w:tabs>
              <w:suppressAutoHyphens/>
              <w:rPr>
                <w:rFonts w:ascii="Times New Roman" w:hAnsi="Times New Roman"/>
              </w:rPr>
            </w:pPr>
            <w:r>
              <w:rPr>
                <w:rFonts w:ascii="Times New Roman" w:hAnsi="Times New Roman"/>
              </w:rPr>
              <w:t>140</w:t>
            </w:r>
          </w:p>
        </w:tc>
        <w:tc>
          <w:tcPr>
            <w:tcW w:w="2718" w:type="dxa"/>
          </w:tcPr>
          <w:p w:rsidR="00413B29" w:rsidRDefault="00725F48" w:rsidP="00EF4CFE">
            <w:pPr>
              <w:tabs>
                <w:tab w:val="left" w:pos="-720"/>
              </w:tabs>
              <w:suppressAutoHyphens/>
              <w:rPr>
                <w:rFonts w:ascii="Times New Roman" w:hAnsi="Times New Roman"/>
              </w:rPr>
            </w:pPr>
            <w:r>
              <w:rPr>
                <w:rFonts w:ascii="Times New Roman" w:hAnsi="Times New Roman"/>
              </w:rPr>
              <w:t>1</w:t>
            </w:r>
            <w:r w:rsidR="00EF4CFE">
              <w:rPr>
                <w:rFonts w:ascii="Times New Roman" w:hAnsi="Times New Roman"/>
              </w:rPr>
              <w:t>32</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Frequency of response</w:t>
            </w:r>
          </w:p>
        </w:tc>
        <w:tc>
          <w:tcPr>
            <w:tcW w:w="3666" w:type="dxa"/>
          </w:tcPr>
          <w:p w:rsidR="00413B29" w:rsidRDefault="00725F48">
            <w:pPr>
              <w:tabs>
                <w:tab w:val="left" w:pos="-720"/>
              </w:tabs>
              <w:suppressAutoHyphens/>
              <w:rPr>
                <w:rFonts w:ascii="Times New Roman" w:hAnsi="Times New Roman"/>
              </w:rPr>
            </w:pPr>
            <w:r>
              <w:rPr>
                <w:rFonts w:ascii="Times New Roman" w:hAnsi="Times New Roman"/>
              </w:rPr>
              <w:t>Annual</w:t>
            </w:r>
          </w:p>
        </w:tc>
        <w:tc>
          <w:tcPr>
            <w:tcW w:w="2718" w:type="dxa"/>
          </w:tcPr>
          <w:p w:rsidR="00413B29" w:rsidRDefault="00725F48">
            <w:pPr>
              <w:tabs>
                <w:tab w:val="left" w:pos="-720"/>
              </w:tabs>
              <w:suppressAutoHyphens/>
              <w:rPr>
                <w:rFonts w:ascii="Times New Roman" w:hAnsi="Times New Roman"/>
              </w:rPr>
            </w:pPr>
            <w:r>
              <w:rPr>
                <w:rFonts w:ascii="Times New Roman" w:hAnsi="Times New Roman"/>
              </w:rPr>
              <w:t>Annual</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Hour burden</w:t>
            </w:r>
          </w:p>
        </w:tc>
        <w:tc>
          <w:tcPr>
            <w:tcW w:w="3666" w:type="dxa"/>
          </w:tcPr>
          <w:p w:rsidR="00413B29" w:rsidRDefault="00EF4CFE" w:rsidP="006B650B">
            <w:pPr>
              <w:tabs>
                <w:tab w:val="left" w:pos="-720"/>
              </w:tabs>
              <w:suppressAutoHyphens/>
              <w:rPr>
                <w:rFonts w:ascii="Times New Roman" w:hAnsi="Times New Roman"/>
              </w:rPr>
            </w:pPr>
            <w:r>
              <w:rPr>
                <w:rFonts w:ascii="Times New Roman" w:hAnsi="Times New Roman"/>
              </w:rPr>
              <w:t>1</w:t>
            </w:r>
            <w:r w:rsidR="006B650B">
              <w:rPr>
                <w:rFonts w:ascii="Times New Roman" w:hAnsi="Times New Roman"/>
              </w:rPr>
              <w:t>7</w:t>
            </w:r>
          </w:p>
        </w:tc>
        <w:tc>
          <w:tcPr>
            <w:tcW w:w="2718" w:type="dxa"/>
          </w:tcPr>
          <w:p w:rsidR="00413B29" w:rsidRDefault="00EF4CFE">
            <w:pPr>
              <w:tabs>
                <w:tab w:val="left" w:pos="-720"/>
              </w:tabs>
              <w:suppressAutoHyphens/>
              <w:rPr>
                <w:rFonts w:ascii="Times New Roman" w:hAnsi="Times New Roman"/>
              </w:rPr>
            </w:pPr>
            <w:r>
              <w:rPr>
                <w:rFonts w:ascii="Times New Roman" w:hAnsi="Times New Roman"/>
              </w:rPr>
              <w:t>8</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Total burden</w:t>
            </w:r>
          </w:p>
        </w:tc>
        <w:tc>
          <w:tcPr>
            <w:tcW w:w="3666" w:type="dxa"/>
          </w:tcPr>
          <w:p w:rsidR="00413B29" w:rsidRDefault="006B650B" w:rsidP="00EF4CFE">
            <w:pPr>
              <w:tabs>
                <w:tab w:val="left" w:pos="-720"/>
              </w:tabs>
              <w:suppressAutoHyphens/>
              <w:rPr>
                <w:rFonts w:ascii="Times New Roman" w:hAnsi="Times New Roman"/>
              </w:rPr>
            </w:pPr>
            <w:r>
              <w:rPr>
                <w:rFonts w:ascii="Times New Roman" w:hAnsi="Times New Roman"/>
              </w:rPr>
              <w:t>2</w:t>
            </w:r>
            <w:r w:rsidR="00BD6DBE">
              <w:rPr>
                <w:rFonts w:ascii="Times New Roman" w:hAnsi="Times New Roman"/>
              </w:rPr>
              <w:t>,</w:t>
            </w:r>
            <w:r>
              <w:rPr>
                <w:rFonts w:ascii="Times New Roman" w:hAnsi="Times New Roman"/>
              </w:rPr>
              <w:t>380</w:t>
            </w:r>
          </w:p>
        </w:tc>
        <w:tc>
          <w:tcPr>
            <w:tcW w:w="2718" w:type="dxa"/>
          </w:tcPr>
          <w:p w:rsidR="00413B29" w:rsidRDefault="00725F48" w:rsidP="00B82577">
            <w:pPr>
              <w:tabs>
                <w:tab w:val="left" w:pos="-720"/>
              </w:tabs>
              <w:suppressAutoHyphens/>
              <w:rPr>
                <w:rFonts w:ascii="Times New Roman" w:hAnsi="Times New Roman"/>
              </w:rPr>
            </w:pPr>
            <w:r>
              <w:rPr>
                <w:rFonts w:ascii="Times New Roman" w:hAnsi="Times New Roman"/>
              </w:rPr>
              <w:t>1,</w:t>
            </w:r>
            <w:r w:rsidR="00B82577">
              <w:rPr>
                <w:rFonts w:ascii="Times New Roman" w:hAnsi="Times New Roman"/>
              </w:rPr>
              <w:t>0</w:t>
            </w:r>
            <w:r w:rsidR="00EF4CFE">
              <w:rPr>
                <w:rFonts w:ascii="Times New Roman" w:hAnsi="Times New Roman"/>
              </w:rPr>
              <w:t>56</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Total est. cost to respondents</w:t>
            </w:r>
          </w:p>
        </w:tc>
        <w:tc>
          <w:tcPr>
            <w:tcW w:w="3666" w:type="dxa"/>
          </w:tcPr>
          <w:p w:rsidR="00413B29" w:rsidRDefault="00725F48" w:rsidP="006B650B">
            <w:pPr>
              <w:tabs>
                <w:tab w:val="left" w:pos="-720"/>
              </w:tabs>
              <w:suppressAutoHyphens/>
              <w:rPr>
                <w:rFonts w:ascii="Times New Roman" w:hAnsi="Times New Roman"/>
              </w:rPr>
            </w:pPr>
            <w:r>
              <w:rPr>
                <w:rFonts w:ascii="Times New Roman" w:hAnsi="Times New Roman"/>
              </w:rPr>
              <w:t>$</w:t>
            </w:r>
            <w:r w:rsidR="006B650B">
              <w:rPr>
                <w:rFonts w:ascii="Times New Roman" w:hAnsi="Times New Roman"/>
              </w:rPr>
              <w:t>66,640</w:t>
            </w:r>
          </w:p>
        </w:tc>
        <w:tc>
          <w:tcPr>
            <w:tcW w:w="2718" w:type="dxa"/>
          </w:tcPr>
          <w:p w:rsidR="00413B29" w:rsidRDefault="00725F48" w:rsidP="00EF4CFE">
            <w:pPr>
              <w:tabs>
                <w:tab w:val="left" w:pos="-720"/>
              </w:tabs>
              <w:suppressAutoHyphens/>
              <w:rPr>
                <w:rFonts w:ascii="Times New Roman" w:hAnsi="Times New Roman"/>
              </w:rPr>
            </w:pPr>
            <w:r>
              <w:rPr>
                <w:rFonts w:ascii="Times New Roman" w:hAnsi="Times New Roman"/>
              </w:rPr>
              <w:t>$</w:t>
            </w:r>
            <w:r w:rsidR="00EF4CFE">
              <w:rPr>
                <w:rFonts w:ascii="Times New Roman" w:hAnsi="Times New Roman"/>
              </w:rPr>
              <w:t>29,568</w:t>
            </w:r>
          </w:p>
        </w:tc>
      </w:tr>
      <w:tr w:rsidR="00413B29">
        <w:tc>
          <w:tcPr>
            <w:tcW w:w="3192" w:type="dxa"/>
          </w:tcPr>
          <w:p w:rsidR="00413B29" w:rsidRDefault="00413B29">
            <w:pPr>
              <w:tabs>
                <w:tab w:val="left" w:pos="-720"/>
              </w:tabs>
              <w:suppressAutoHyphens/>
              <w:rPr>
                <w:rFonts w:ascii="Times New Roman" w:hAnsi="Times New Roman"/>
              </w:rPr>
            </w:pPr>
          </w:p>
        </w:tc>
        <w:tc>
          <w:tcPr>
            <w:tcW w:w="3666" w:type="dxa"/>
          </w:tcPr>
          <w:p w:rsidR="00413B29" w:rsidRDefault="00413B29">
            <w:pPr>
              <w:tabs>
                <w:tab w:val="left" w:pos="-720"/>
              </w:tabs>
              <w:suppressAutoHyphens/>
              <w:rPr>
                <w:rFonts w:ascii="Times New Roman" w:hAnsi="Times New Roman"/>
              </w:rPr>
            </w:pPr>
          </w:p>
        </w:tc>
        <w:tc>
          <w:tcPr>
            <w:tcW w:w="2718" w:type="dxa"/>
          </w:tcPr>
          <w:p w:rsidR="00413B29" w:rsidRDefault="00413B29">
            <w:pPr>
              <w:tabs>
                <w:tab w:val="left" w:pos="-720"/>
              </w:tabs>
              <w:suppressAutoHyphens/>
              <w:rPr>
                <w:rFonts w:ascii="Times New Roman" w:hAnsi="Times New Roman"/>
              </w:rPr>
            </w:pPr>
          </w:p>
        </w:tc>
      </w:tr>
      <w:tr w:rsidR="00413B29">
        <w:tc>
          <w:tcPr>
            <w:tcW w:w="3192" w:type="dxa"/>
          </w:tcPr>
          <w:p w:rsidR="00413B29" w:rsidRDefault="00725F48">
            <w:pPr>
              <w:pStyle w:val="Heading1"/>
            </w:pPr>
            <w:r>
              <w:t>FINAL REPORT</w:t>
            </w:r>
          </w:p>
        </w:tc>
        <w:tc>
          <w:tcPr>
            <w:tcW w:w="3666" w:type="dxa"/>
          </w:tcPr>
          <w:p w:rsidR="00413B29" w:rsidRDefault="00413B29">
            <w:pPr>
              <w:tabs>
                <w:tab w:val="left" w:pos="-720"/>
              </w:tabs>
              <w:suppressAutoHyphens/>
              <w:rPr>
                <w:rFonts w:ascii="Times New Roman" w:hAnsi="Times New Roman"/>
              </w:rPr>
            </w:pPr>
          </w:p>
        </w:tc>
        <w:tc>
          <w:tcPr>
            <w:tcW w:w="2718" w:type="dxa"/>
          </w:tcPr>
          <w:p w:rsidR="00413B29" w:rsidRDefault="00413B29">
            <w:pPr>
              <w:tabs>
                <w:tab w:val="left" w:pos="-720"/>
              </w:tabs>
              <w:suppressAutoHyphens/>
              <w:rPr>
                <w:rFonts w:ascii="Times New Roman" w:hAnsi="Times New Roman"/>
              </w:rPr>
            </w:pP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Number of respondents</w:t>
            </w:r>
          </w:p>
        </w:tc>
        <w:tc>
          <w:tcPr>
            <w:tcW w:w="3666" w:type="dxa"/>
          </w:tcPr>
          <w:p w:rsidR="00413B29" w:rsidRDefault="00EF4CFE">
            <w:pPr>
              <w:tabs>
                <w:tab w:val="left" w:pos="-720"/>
              </w:tabs>
              <w:suppressAutoHyphens/>
              <w:rPr>
                <w:rFonts w:ascii="Times New Roman" w:hAnsi="Times New Roman"/>
              </w:rPr>
            </w:pPr>
            <w:r>
              <w:rPr>
                <w:rFonts w:ascii="Times New Roman" w:hAnsi="Times New Roman"/>
              </w:rPr>
              <w:t>100</w:t>
            </w:r>
          </w:p>
        </w:tc>
        <w:tc>
          <w:tcPr>
            <w:tcW w:w="2718" w:type="dxa"/>
          </w:tcPr>
          <w:p w:rsidR="00413B29" w:rsidRDefault="00EF4CFE">
            <w:pPr>
              <w:tabs>
                <w:tab w:val="left" w:pos="-720"/>
              </w:tabs>
              <w:suppressAutoHyphens/>
              <w:rPr>
                <w:rFonts w:ascii="Times New Roman" w:hAnsi="Times New Roman"/>
              </w:rPr>
            </w:pPr>
            <w:r>
              <w:rPr>
                <w:rFonts w:ascii="Times New Roman" w:hAnsi="Times New Roman"/>
              </w:rPr>
              <w:t>529</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Frequency of response</w:t>
            </w:r>
          </w:p>
        </w:tc>
        <w:tc>
          <w:tcPr>
            <w:tcW w:w="3666" w:type="dxa"/>
          </w:tcPr>
          <w:p w:rsidR="00413B29" w:rsidRDefault="00725F48">
            <w:pPr>
              <w:tabs>
                <w:tab w:val="left" w:pos="-720"/>
              </w:tabs>
              <w:suppressAutoHyphens/>
              <w:rPr>
                <w:rFonts w:ascii="Times New Roman" w:hAnsi="Times New Roman"/>
              </w:rPr>
            </w:pPr>
            <w:r>
              <w:rPr>
                <w:rFonts w:ascii="Times New Roman" w:hAnsi="Times New Roman"/>
              </w:rPr>
              <w:t>One time</w:t>
            </w:r>
          </w:p>
        </w:tc>
        <w:tc>
          <w:tcPr>
            <w:tcW w:w="2718" w:type="dxa"/>
          </w:tcPr>
          <w:p w:rsidR="00413B29" w:rsidRDefault="00725F48">
            <w:pPr>
              <w:tabs>
                <w:tab w:val="left" w:pos="-720"/>
              </w:tabs>
              <w:suppressAutoHyphens/>
              <w:rPr>
                <w:rFonts w:ascii="Times New Roman" w:hAnsi="Times New Roman"/>
              </w:rPr>
            </w:pPr>
            <w:r>
              <w:rPr>
                <w:rFonts w:ascii="Times New Roman" w:hAnsi="Times New Roman"/>
              </w:rPr>
              <w:t>One time</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Hour burden</w:t>
            </w:r>
          </w:p>
        </w:tc>
        <w:tc>
          <w:tcPr>
            <w:tcW w:w="3666" w:type="dxa"/>
          </w:tcPr>
          <w:p w:rsidR="00413B29" w:rsidRDefault="00EF4CFE" w:rsidP="006B650B">
            <w:pPr>
              <w:tabs>
                <w:tab w:val="left" w:pos="-720"/>
              </w:tabs>
              <w:suppressAutoHyphens/>
              <w:rPr>
                <w:rFonts w:ascii="Times New Roman" w:hAnsi="Times New Roman"/>
              </w:rPr>
            </w:pPr>
            <w:r>
              <w:rPr>
                <w:rFonts w:ascii="Times New Roman" w:hAnsi="Times New Roman"/>
              </w:rPr>
              <w:t>1</w:t>
            </w:r>
            <w:r w:rsidR="006B650B">
              <w:rPr>
                <w:rFonts w:ascii="Times New Roman" w:hAnsi="Times New Roman"/>
              </w:rPr>
              <w:t>7</w:t>
            </w:r>
          </w:p>
        </w:tc>
        <w:tc>
          <w:tcPr>
            <w:tcW w:w="2718" w:type="dxa"/>
          </w:tcPr>
          <w:p w:rsidR="00413B29" w:rsidRDefault="00725F48" w:rsidP="00EF4CFE">
            <w:pPr>
              <w:tabs>
                <w:tab w:val="left" w:pos="-720"/>
              </w:tabs>
              <w:suppressAutoHyphens/>
              <w:rPr>
                <w:rFonts w:ascii="Times New Roman" w:hAnsi="Times New Roman"/>
              </w:rPr>
            </w:pPr>
            <w:r>
              <w:rPr>
                <w:rFonts w:ascii="Times New Roman" w:hAnsi="Times New Roman"/>
              </w:rPr>
              <w:t>1</w:t>
            </w:r>
            <w:r w:rsidR="00EF4CFE">
              <w:rPr>
                <w:rFonts w:ascii="Times New Roman" w:hAnsi="Times New Roman"/>
              </w:rPr>
              <w:t>0</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Total burden</w:t>
            </w:r>
          </w:p>
        </w:tc>
        <w:tc>
          <w:tcPr>
            <w:tcW w:w="3666" w:type="dxa"/>
          </w:tcPr>
          <w:p w:rsidR="00413B29" w:rsidRDefault="00725F48" w:rsidP="006B650B">
            <w:pPr>
              <w:tabs>
                <w:tab w:val="left" w:pos="-720"/>
              </w:tabs>
              <w:suppressAutoHyphens/>
              <w:rPr>
                <w:rFonts w:ascii="Times New Roman" w:hAnsi="Times New Roman"/>
              </w:rPr>
            </w:pPr>
            <w:r>
              <w:rPr>
                <w:rFonts w:ascii="Times New Roman" w:hAnsi="Times New Roman"/>
              </w:rPr>
              <w:t>1,</w:t>
            </w:r>
            <w:r w:rsidR="006B650B">
              <w:rPr>
                <w:rFonts w:ascii="Times New Roman" w:hAnsi="Times New Roman"/>
              </w:rPr>
              <w:t>7</w:t>
            </w:r>
            <w:r>
              <w:rPr>
                <w:rFonts w:ascii="Times New Roman" w:hAnsi="Times New Roman"/>
              </w:rPr>
              <w:t>00</w:t>
            </w:r>
          </w:p>
        </w:tc>
        <w:tc>
          <w:tcPr>
            <w:tcW w:w="2718" w:type="dxa"/>
          </w:tcPr>
          <w:p w:rsidR="00413B29" w:rsidRDefault="00EF4CFE">
            <w:pPr>
              <w:tabs>
                <w:tab w:val="left" w:pos="-720"/>
              </w:tabs>
              <w:suppressAutoHyphens/>
              <w:rPr>
                <w:rFonts w:ascii="Times New Roman" w:hAnsi="Times New Roman"/>
              </w:rPr>
            </w:pPr>
            <w:r>
              <w:rPr>
                <w:rFonts w:ascii="Times New Roman" w:hAnsi="Times New Roman"/>
              </w:rPr>
              <w:t>5,290</w:t>
            </w:r>
          </w:p>
        </w:tc>
      </w:tr>
      <w:tr w:rsidR="00413B29">
        <w:tc>
          <w:tcPr>
            <w:tcW w:w="3192" w:type="dxa"/>
          </w:tcPr>
          <w:p w:rsidR="00413B29" w:rsidRDefault="00725F48">
            <w:pPr>
              <w:tabs>
                <w:tab w:val="left" w:pos="-720"/>
              </w:tabs>
              <w:suppressAutoHyphens/>
              <w:rPr>
                <w:rFonts w:ascii="Times New Roman" w:hAnsi="Times New Roman"/>
              </w:rPr>
            </w:pPr>
            <w:r>
              <w:rPr>
                <w:rFonts w:ascii="Times New Roman" w:hAnsi="Times New Roman"/>
              </w:rPr>
              <w:t>Total est. cost to respondents</w:t>
            </w:r>
          </w:p>
        </w:tc>
        <w:tc>
          <w:tcPr>
            <w:tcW w:w="3666" w:type="dxa"/>
          </w:tcPr>
          <w:p w:rsidR="00413B29" w:rsidRDefault="00725F48" w:rsidP="006B650B">
            <w:pPr>
              <w:tabs>
                <w:tab w:val="left" w:pos="-720"/>
              </w:tabs>
              <w:suppressAutoHyphens/>
              <w:rPr>
                <w:rFonts w:ascii="Times New Roman" w:hAnsi="Times New Roman"/>
              </w:rPr>
            </w:pPr>
            <w:r>
              <w:rPr>
                <w:rFonts w:ascii="Times New Roman" w:hAnsi="Times New Roman"/>
              </w:rPr>
              <w:t>$</w:t>
            </w:r>
            <w:r w:rsidR="006B650B">
              <w:rPr>
                <w:rFonts w:ascii="Times New Roman" w:hAnsi="Times New Roman"/>
              </w:rPr>
              <w:t>47,600</w:t>
            </w:r>
          </w:p>
        </w:tc>
        <w:tc>
          <w:tcPr>
            <w:tcW w:w="2718" w:type="dxa"/>
          </w:tcPr>
          <w:p w:rsidR="00413B29" w:rsidRDefault="00725F48" w:rsidP="00EF4CFE">
            <w:pPr>
              <w:tabs>
                <w:tab w:val="left" w:pos="-720"/>
              </w:tabs>
              <w:suppressAutoHyphens/>
              <w:rPr>
                <w:rFonts w:ascii="Times New Roman" w:hAnsi="Times New Roman"/>
              </w:rPr>
            </w:pPr>
            <w:r>
              <w:rPr>
                <w:rFonts w:ascii="Times New Roman" w:hAnsi="Times New Roman"/>
              </w:rPr>
              <w:t>$</w:t>
            </w:r>
            <w:r w:rsidR="00EF4CFE">
              <w:rPr>
                <w:rFonts w:ascii="Times New Roman" w:hAnsi="Times New Roman"/>
              </w:rPr>
              <w:t>148,120</w:t>
            </w:r>
          </w:p>
        </w:tc>
      </w:tr>
    </w:tbl>
    <w:p w:rsidR="00413B29" w:rsidRDefault="00725F48">
      <w:pPr>
        <w:numPr>
          <w:ilvl w:val="0"/>
          <w:numId w:val="7"/>
        </w:numPr>
        <w:tabs>
          <w:tab w:val="left" w:pos="-720"/>
        </w:tabs>
        <w:suppressAutoHyphens/>
        <w:rPr>
          <w:rFonts w:ascii="Times New Roman" w:hAnsi="Times New Roman"/>
        </w:rPr>
      </w:pPr>
      <w:r>
        <w:rPr>
          <w:rFonts w:ascii="Times New Roman" w:hAnsi="Times New Roman"/>
        </w:rPr>
        <w:t xml:space="preserve">Annual Grand Total for four (4) forms: </w:t>
      </w:r>
      <w:r w:rsidR="00BE1F59">
        <w:rPr>
          <w:rFonts w:ascii="Times New Roman" w:hAnsi="Times New Roman"/>
        </w:rPr>
        <w:t>10,4</w:t>
      </w:r>
      <w:r w:rsidR="006B650B">
        <w:rPr>
          <w:rFonts w:ascii="Times New Roman" w:hAnsi="Times New Roman"/>
        </w:rPr>
        <w:t>2</w:t>
      </w:r>
      <w:r w:rsidR="00BE1F59">
        <w:rPr>
          <w:rFonts w:ascii="Times New Roman" w:hAnsi="Times New Roman"/>
        </w:rPr>
        <w:t>6</w:t>
      </w:r>
      <w:r>
        <w:rPr>
          <w:rFonts w:ascii="Times New Roman" w:hAnsi="Times New Roman"/>
        </w:rPr>
        <w:t xml:space="preserve"> hours</w:t>
      </w:r>
    </w:p>
    <w:p w:rsidR="00413B29" w:rsidRDefault="00725F48">
      <w:pPr>
        <w:numPr>
          <w:ilvl w:val="0"/>
          <w:numId w:val="7"/>
        </w:numPr>
        <w:tabs>
          <w:tab w:val="left" w:pos="-720"/>
        </w:tabs>
        <w:suppressAutoHyphens/>
        <w:rPr>
          <w:rFonts w:ascii="Times New Roman" w:hAnsi="Times New Roman"/>
        </w:rPr>
      </w:pPr>
      <w:r>
        <w:rPr>
          <w:rFonts w:ascii="Times New Roman" w:hAnsi="Times New Roman"/>
        </w:rPr>
        <w:t>Annual Grand Total estimated cost to respondents for four (4) forms: $</w:t>
      </w:r>
      <w:r w:rsidR="006B650B">
        <w:rPr>
          <w:rFonts w:ascii="Times New Roman" w:hAnsi="Times New Roman"/>
        </w:rPr>
        <w:t>291,928</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13.  </w:t>
      </w:r>
      <w:r>
        <w:rPr>
          <w:rStyle w:val="a"/>
          <w:rFonts w:ascii="Times New Roman" w:hAnsi="Times New Roman"/>
          <w:i/>
          <w:iCs/>
        </w:rPr>
        <w:t>Provide an estimate of the total annual cost burden to respondents or record keepers resulting from the collection of information.  (Do not include the cost of any hour burden shown in Items 12 and 14.)</w:t>
      </w:r>
    </w:p>
    <w:p w:rsidR="00413B29" w:rsidRDefault="00413B29">
      <w:pPr>
        <w:tabs>
          <w:tab w:val="left" w:pos="-720"/>
        </w:tabs>
        <w:suppressAutoHyphens/>
        <w:rPr>
          <w:rFonts w:ascii="Times New Roman" w:hAnsi="Times New Roman"/>
        </w:rPr>
      </w:pPr>
    </w:p>
    <w:p w:rsidR="00413B29" w:rsidRDefault="00413B29">
      <w:pPr>
        <w:tabs>
          <w:tab w:val="left" w:pos="-720"/>
        </w:tabs>
        <w:suppressAutoHyphens/>
        <w:rPr>
          <w:rFonts w:ascii="Times New Roman" w:hAnsi="Times New Roman"/>
        </w:rPr>
      </w:pPr>
    </w:p>
    <w:p w:rsidR="00413B29" w:rsidRDefault="00725F48">
      <w:pPr>
        <w:tabs>
          <w:tab w:val="left" w:pos="-720"/>
          <w:tab w:val="left" w:pos="1247"/>
        </w:tabs>
        <w:suppressAutoHyphens/>
        <w:ind w:left="340"/>
        <w:rPr>
          <w:rFonts w:ascii="Times New Roman" w:hAnsi="Times New Roman"/>
          <w:i/>
          <w:iCs/>
        </w:rPr>
      </w:pPr>
      <w:r>
        <w:rPr>
          <w:rFonts w:ascii="Times New Roman" w:hAnsi="Times New Roman"/>
          <w:i/>
          <w:iCs/>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13B29" w:rsidRDefault="00413B29">
      <w:pPr>
        <w:numPr>
          <w:ilvl w:val="12"/>
          <w:numId w:val="0"/>
        </w:numPr>
        <w:tabs>
          <w:tab w:val="left" w:pos="-720"/>
        </w:tabs>
        <w:suppressAutoHyphens/>
        <w:ind w:left="340"/>
        <w:rPr>
          <w:rFonts w:ascii="Times New Roman" w:hAnsi="Times New Roman"/>
          <w:i/>
          <w:iCs/>
        </w:rPr>
      </w:pPr>
    </w:p>
    <w:p w:rsidR="00413B29" w:rsidRDefault="00725F48">
      <w:pPr>
        <w:tabs>
          <w:tab w:val="left" w:pos="-720"/>
          <w:tab w:val="left" w:pos="1247"/>
        </w:tabs>
        <w:suppressAutoHyphens/>
        <w:ind w:left="340"/>
        <w:rPr>
          <w:rFonts w:ascii="Times New Roman" w:hAnsi="Times New Roman"/>
          <w:i/>
          <w:iCs/>
        </w:rPr>
      </w:pPr>
      <w:r>
        <w:rPr>
          <w:rFonts w:ascii="Times New Roman" w:hAnsi="Times New Roman"/>
          <w:i/>
          <w:iCs/>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w:t>
      </w:r>
      <w:r>
        <w:rPr>
          <w:rFonts w:ascii="Times New Roman" w:hAnsi="Times New Roman"/>
          <w:i/>
          <w:iCs/>
        </w:rPr>
        <w:lastRenderedPageBreak/>
        <w:t>analysis associated with the rulemaking containing the information collection, as appropriate.</w:t>
      </w:r>
    </w:p>
    <w:p w:rsidR="00413B29" w:rsidRDefault="00413B29">
      <w:pPr>
        <w:tabs>
          <w:tab w:val="left" w:pos="-720"/>
          <w:tab w:val="left" w:pos="1247"/>
        </w:tabs>
        <w:suppressAutoHyphens/>
        <w:ind w:left="340"/>
        <w:rPr>
          <w:rFonts w:ascii="Times New Roman" w:hAnsi="Times New Roman"/>
          <w:i/>
          <w:iCs/>
        </w:rPr>
      </w:pPr>
    </w:p>
    <w:p w:rsidR="00413B29" w:rsidRDefault="00725F48">
      <w:pPr>
        <w:tabs>
          <w:tab w:val="left" w:pos="-720"/>
          <w:tab w:val="left" w:pos="1247"/>
        </w:tabs>
        <w:suppressAutoHyphens/>
        <w:ind w:left="340"/>
        <w:rPr>
          <w:rFonts w:ascii="Times New Roman" w:hAnsi="Times New Roman"/>
          <w:i/>
          <w:iCs/>
        </w:rPr>
      </w:pPr>
      <w:r>
        <w:rPr>
          <w:rFonts w:ascii="Times New Roman" w:hAnsi="Times New Roman"/>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13B29" w:rsidRDefault="00413B29">
      <w:pPr>
        <w:tabs>
          <w:tab w:val="left" w:pos="-720"/>
        </w:tabs>
        <w:suppressAutoHyphens/>
        <w:rPr>
          <w:rFonts w:ascii="Times New Roman" w:hAnsi="Times New Roman"/>
          <w:i/>
          <w:iCs/>
        </w:rPr>
      </w:pPr>
    </w:p>
    <w:p w:rsidR="00413B29" w:rsidRDefault="00725F48">
      <w:pPr>
        <w:tabs>
          <w:tab w:val="left" w:pos="-720"/>
        </w:tabs>
        <w:suppressAutoHyphens/>
        <w:rPr>
          <w:rFonts w:ascii="Times New Roman" w:hAnsi="Times New Roman"/>
          <w:i/>
          <w:iCs/>
        </w:rPr>
      </w:pPr>
      <w:r>
        <w:rPr>
          <w:rFonts w:ascii="Times New Roman" w:hAnsi="Times New Roman"/>
          <w:i/>
          <w:iCs/>
        </w:rPr>
        <w:tab/>
        <w:t>Total Annualized Capital/Startup Cost</w:t>
      </w:r>
      <w:r>
        <w:rPr>
          <w:rFonts w:ascii="Times New Roman" w:hAnsi="Times New Roman"/>
          <w:i/>
          <w:iCs/>
        </w:rPr>
        <w:tab/>
        <w:t xml:space="preserve">: </w:t>
      </w:r>
      <w:r w:rsidR="00A47384">
        <w:rPr>
          <w:rFonts w:ascii="Times New Roman" w:hAnsi="Times New Roman"/>
          <w:i/>
          <w:iCs/>
        </w:rPr>
        <w:fldChar w:fldCharType="begin">
          <w:ffData>
            <w:name w:val="Startup"/>
            <w:enabled/>
            <w:calcOnExit w:val="0"/>
            <w:textInput/>
          </w:ffData>
        </w:fldChar>
      </w:r>
      <w:bookmarkStart w:id="1" w:name="Startup"/>
      <w:r>
        <w:rPr>
          <w:rFonts w:ascii="Times New Roman" w:hAnsi="Times New Roman"/>
          <w:i/>
          <w:iCs/>
        </w:rPr>
        <w:instrText xml:space="preserve"> FORMTEXT </w:instrText>
      </w:r>
      <w:r w:rsidR="00A47384">
        <w:rPr>
          <w:rFonts w:ascii="Times New Roman" w:hAnsi="Times New Roman"/>
          <w:i/>
          <w:iCs/>
        </w:rPr>
      </w:r>
      <w:r w:rsidR="00A47384">
        <w:rPr>
          <w:rFonts w:ascii="Times New Roman" w:hAnsi="Times New Roman"/>
          <w:i/>
          <w:iCs/>
        </w:rPr>
        <w:fldChar w:fldCharType="separate"/>
      </w:r>
      <w:r>
        <w:rPr>
          <w:rFonts w:ascii="Times New Roman" w:hAnsi="Times New Roman"/>
          <w:i/>
          <w:iCs/>
        </w:rPr>
        <w:t>$ .00</w:t>
      </w:r>
      <w:r w:rsidR="00A47384">
        <w:rPr>
          <w:rFonts w:ascii="Times New Roman" w:hAnsi="Times New Roman"/>
          <w:i/>
          <w:iCs/>
        </w:rPr>
        <w:fldChar w:fldCharType="end"/>
      </w:r>
      <w:bookmarkEnd w:id="1"/>
    </w:p>
    <w:p w:rsidR="00413B29" w:rsidRDefault="00725F48">
      <w:pPr>
        <w:tabs>
          <w:tab w:val="left" w:pos="-720"/>
        </w:tabs>
        <w:suppressAutoHyphens/>
        <w:rPr>
          <w:rFonts w:ascii="Times New Roman" w:hAnsi="Times New Roman"/>
          <w:i/>
          <w:iCs/>
        </w:rPr>
      </w:pPr>
      <w:r>
        <w:rPr>
          <w:rFonts w:ascii="Times New Roman" w:hAnsi="Times New Roman"/>
          <w:i/>
          <w:iCs/>
        </w:rPr>
        <w:tab/>
        <w:t>Total Annual Costs (O&amp;M)</w:t>
      </w:r>
      <w:r>
        <w:rPr>
          <w:rFonts w:ascii="Times New Roman" w:hAnsi="Times New Roman"/>
          <w:i/>
          <w:iCs/>
        </w:rPr>
        <w:tab/>
      </w:r>
      <w:r>
        <w:rPr>
          <w:rFonts w:ascii="Times New Roman" w:hAnsi="Times New Roman"/>
          <w:i/>
          <w:iCs/>
        </w:rPr>
        <w:tab/>
        <w:t xml:space="preserve">: </w:t>
      </w:r>
      <w:r w:rsidR="00A47384">
        <w:rPr>
          <w:rFonts w:ascii="Times New Roman" w:hAnsi="Times New Roman"/>
          <w:i/>
          <w:iCs/>
        </w:rPr>
        <w:fldChar w:fldCharType="begin">
          <w:ffData>
            <w:name w:val="OM"/>
            <w:enabled/>
            <w:calcOnExit w:val="0"/>
            <w:textInput/>
          </w:ffData>
        </w:fldChar>
      </w:r>
      <w:bookmarkStart w:id="2" w:name="OM"/>
      <w:r>
        <w:rPr>
          <w:rFonts w:ascii="Times New Roman" w:hAnsi="Times New Roman"/>
          <w:i/>
          <w:iCs/>
        </w:rPr>
        <w:instrText xml:space="preserve"> FORMTEXT </w:instrText>
      </w:r>
      <w:r w:rsidR="00A47384">
        <w:rPr>
          <w:rFonts w:ascii="Times New Roman" w:hAnsi="Times New Roman"/>
          <w:i/>
          <w:iCs/>
        </w:rPr>
      </w:r>
      <w:r w:rsidR="00A47384">
        <w:rPr>
          <w:rFonts w:ascii="Times New Roman" w:hAnsi="Times New Roman"/>
          <w:i/>
          <w:iCs/>
        </w:rPr>
        <w:fldChar w:fldCharType="separate"/>
      </w:r>
      <w:r>
        <w:rPr>
          <w:rFonts w:ascii="Times New Roman" w:hAnsi="Times New Roman"/>
          <w:i/>
          <w:iCs/>
        </w:rPr>
        <w:t xml:space="preserve">  .00</w:t>
      </w:r>
      <w:r w:rsidR="00A47384">
        <w:rPr>
          <w:rFonts w:ascii="Times New Roman" w:hAnsi="Times New Roman"/>
          <w:i/>
          <w:iCs/>
        </w:rPr>
        <w:fldChar w:fldCharType="end"/>
      </w:r>
      <w:bookmarkEnd w:id="2"/>
    </w:p>
    <w:p w:rsidR="00413B29" w:rsidRDefault="00725F48">
      <w:pPr>
        <w:tabs>
          <w:tab w:val="left" w:pos="-720"/>
        </w:tabs>
        <w:suppressAutoHyphens/>
        <w:rPr>
          <w:rFonts w:ascii="Times New Roman" w:hAnsi="Times New Roman"/>
          <w:i/>
          <w:iCs/>
        </w:rPr>
      </w:pP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t xml:space="preserve"> ____________________</w:t>
      </w:r>
    </w:p>
    <w:p w:rsidR="00413B29" w:rsidRDefault="00725F48">
      <w:pPr>
        <w:tabs>
          <w:tab w:val="left" w:pos="-720"/>
        </w:tabs>
        <w:suppressAutoHyphens/>
        <w:rPr>
          <w:rFonts w:ascii="Times New Roman" w:hAnsi="Times New Roman"/>
          <w:i/>
          <w:iCs/>
        </w:rPr>
      </w:pPr>
      <w:r>
        <w:rPr>
          <w:rFonts w:ascii="Times New Roman" w:hAnsi="Times New Roman"/>
          <w:i/>
          <w:iCs/>
        </w:rPr>
        <w:tab/>
        <w:t>Total Annualized Costs Requested</w:t>
      </w:r>
      <w:r>
        <w:rPr>
          <w:rFonts w:ascii="Times New Roman" w:hAnsi="Times New Roman"/>
          <w:i/>
          <w:iCs/>
        </w:rPr>
        <w:tab/>
        <w:t>:</w:t>
      </w:r>
    </w:p>
    <w:p w:rsidR="00413B29" w:rsidRDefault="00413B29">
      <w:pPr>
        <w:tabs>
          <w:tab w:val="left" w:pos="-720"/>
        </w:tabs>
        <w:suppressAutoHyphens/>
        <w:rPr>
          <w:rFonts w:ascii="Times New Roman" w:hAnsi="Times New Roman"/>
        </w:rPr>
      </w:pP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The only cost to respondents is the staff time shown above in item 12.</w:t>
      </w:r>
    </w:p>
    <w:p w:rsidR="00413B29" w:rsidRDefault="00413B29">
      <w:pPr>
        <w:ind w:left="720"/>
        <w:rPr>
          <w:rFonts w:ascii="Times New Roman" w:hAnsi="Times New Roman"/>
        </w:rPr>
      </w:pP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14. </w:t>
      </w:r>
      <w:r>
        <w:rPr>
          <w:rStyle w:val="a"/>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413B29" w:rsidRDefault="00413B29">
      <w:pPr>
        <w:tabs>
          <w:tab w:val="left" w:pos="-720"/>
        </w:tabs>
        <w:suppressAutoHyphens/>
        <w:rPr>
          <w:rFonts w:ascii="Times New Roman" w:hAnsi="Times New Roman"/>
        </w:rPr>
      </w:pPr>
    </w:p>
    <w:p w:rsidR="00413B29" w:rsidRDefault="00725F48">
      <w:pPr>
        <w:ind w:firstLine="1440"/>
        <w:rPr>
          <w:rFonts w:ascii="Times New Roman" w:hAnsi="Times New Roman"/>
        </w:rPr>
      </w:pPr>
      <w:r>
        <w:rPr>
          <w:rFonts w:ascii="Times New Roman" w:hAnsi="Times New Roman"/>
        </w:rPr>
        <w:t>5% of four staff salaries</w:t>
      </w:r>
      <w:r>
        <w:rPr>
          <w:rFonts w:ascii="Times New Roman" w:hAnsi="Times New Roman"/>
        </w:rPr>
        <w:tab/>
      </w:r>
      <w:r>
        <w:rPr>
          <w:rFonts w:ascii="Times New Roman" w:hAnsi="Times New Roman"/>
        </w:rPr>
        <w:tab/>
      </w:r>
      <w:r>
        <w:rPr>
          <w:rFonts w:ascii="Times New Roman" w:hAnsi="Times New Roman"/>
        </w:rPr>
        <w:tab/>
        <w:t>$ 20,000</w:t>
      </w:r>
    </w:p>
    <w:p w:rsidR="00413B29" w:rsidRDefault="00725F48">
      <w:pPr>
        <w:ind w:firstLine="1440"/>
        <w:rPr>
          <w:rFonts w:ascii="Times New Roman" w:hAnsi="Times New Roman"/>
        </w:rPr>
      </w:pPr>
      <w:r>
        <w:rPr>
          <w:rFonts w:ascii="Times New Roman" w:hAnsi="Times New Roman"/>
        </w:rPr>
        <w:t xml:space="preserve">30% of overhead for support            </w:t>
      </w:r>
      <w:r>
        <w:rPr>
          <w:rFonts w:ascii="Times New Roman" w:hAnsi="Times New Roman"/>
        </w:rPr>
        <w:tab/>
      </w:r>
      <w:r>
        <w:rPr>
          <w:rFonts w:ascii="Times New Roman" w:hAnsi="Times New Roman"/>
        </w:rPr>
        <w:tab/>
        <w:t>$   6,000</w:t>
      </w:r>
    </w:p>
    <w:p w:rsidR="00413B29" w:rsidRDefault="00725F48">
      <w:pPr>
        <w:ind w:firstLine="1440"/>
        <w:rPr>
          <w:rFonts w:ascii="Times New Roman" w:hAnsi="Times New Roman"/>
        </w:rPr>
      </w:pPr>
      <w:r>
        <w:rPr>
          <w:rFonts w:ascii="Times New Roman" w:hAnsi="Times New Roman"/>
        </w:rPr>
        <w:t>Contractor personnel costs</w:t>
      </w:r>
      <w:r>
        <w:rPr>
          <w:rFonts w:ascii="Times New Roman" w:hAnsi="Times New Roman"/>
        </w:rPr>
        <w:tab/>
      </w:r>
      <w:r>
        <w:rPr>
          <w:rFonts w:ascii="Times New Roman" w:hAnsi="Times New Roman"/>
        </w:rPr>
        <w:tab/>
      </w:r>
      <w:r>
        <w:rPr>
          <w:rFonts w:ascii="Times New Roman" w:hAnsi="Times New Roman"/>
        </w:rPr>
        <w:tab/>
        <w:t>$160,000</w:t>
      </w:r>
    </w:p>
    <w:p w:rsidR="00413B29" w:rsidRDefault="00413B29">
      <w:pPr>
        <w:ind w:firstLine="3600"/>
        <w:rPr>
          <w:rFonts w:ascii="Times New Roman" w:hAnsi="Times New Roman"/>
        </w:rPr>
      </w:pPr>
    </w:p>
    <w:p w:rsidR="00413B29" w:rsidRDefault="00725F48">
      <w:pPr>
        <w:ind w:firstLine="1440"/>
        <w:rPr>
          <w:rFonts w:ascii="Times New Roman" w:hAnsi="Times New Roman"/>
        </w:rPr>
      </w:pPr>
      <w:r>
        <w:rPr>
          <w:rFonts w:ascii="Times New Roman" w:hAnsi="Times New Roman"/>
        </w:rPr>
        <w:t>Total cost of Contract and Department of Education staff/overhead.....$186,000</w:t>
      </w:r>
    </w:p>
    <w:p w:rsidR="00413B29" w:rsidRDefault="00413B29">
      <w:pPr>
        <w:tabs>
          <w:tab w:val="left" w:pos="-720"/>
        </w:tabs>
        <w:suppressAutoHyphens/>
        <w:rPr>
          <w:rFonts w:ascii="Times New Roman" w:hAnsi="Times New Roman"/>
        </w:rPr>
      </w:pP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15. </w:t>
      </w:r>
      <w:r>
        <w:rPr>
          <w:rStyle w:val="a"/>
          <w:rFonts w:ascii="Times New Roman" w:hAnsi="Times New Roman"/>
          <w:i/>
          <w:iCs/>
        </w:rPr>
        <w:t>Explain the reasons for any program changes or adjustments reported in Items 13 or 14 of the OMB Form 83-I.</w:t>
      </w:r>
    </w:p>
    <w:p w:rsidR="00413B29" w:rsidRDefault="00413B29">
      <w:pPr>
        <w:tabs>
          <w:tab w:val="left" w:pos="-720"/>
        </w:tabs>
        <w:suppressAutoHyphens/>
        <w:rPr>
          <w:rFonts w:ascii="Times New Roman" w:hAnsi="Times New Roman"/>
        </w:rPr>
      </w:pPr>
    </w:p>
    <w:p w:rsidR="00413B29" w:rsidRDefault="004E5514">
      <w:pPr>
        <w:tabs>
          <w:tab w:val="left" w:pos="-720"/>
        </w:tabs>
        <w:suppressAutoHyphens/>
        <w:rPr>
          <w:rFonts w:ascii="Times New Roman" w:hAnsi="Times New Roman"/>
        </w:rPr>
      </w:pPr>
      <w:r>
        <w:rPr>
          <w:rFonts w:ascii="Times New Roman" w:hAnsi="Times New Roman"/>
        </w:rPr>
        <w:t xml:space="preserve">This is a currently active collection.  </w:t>
      </w:r>
      <w:r w:rsidR="00B82577">
        <w:rPr>
          <w:rFonts w:ascii="Times New Roman" w:hAnsi="Times New Roman"/>
        </w:rPr>
        <w:t xml:space="preserve">We have reduced the burden to the public.  Please see above.  </w:t>
      </w:r>
      <w:r w:rsidR="006E2129">
        <w:rPr>
          <w:rFonts w:ascii="Times New Roman" w:hAnsi="Times New Roman"/>
        </w:rPr>
        <w:t>The increase i</w:t>
      </w:r>
      <w:r w:rsidR="008949AB">
        <w:rPr>
          <w:rFonts w:ascii="Times New Roman" w:hAnsi="Times New Roman"/>
        </w:rPr>
        <w:t>n</w:t>
      </w:r>
      <w:r w:rsidR="006E2129">
        <w:rPr>
          <w:rFonts w:ascii="Times New Roman" w:hAnsi="Times New Roman"/>
        </w:rPr>
        <w:t xml:space="preserve"> the number of respondents is due to the fact that we have more congressionally –directed grants to administer.  </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16. </w:t>
      </w:r>
      <w:r>
        <w:rPr>
          <w:rStyle w:val="a"/>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 xml:space="preserve">The findings and results obtained from this collection will be based on self-reported information and on inferences and conclusions drawn across all of the funded projects.  Selected information is available on the </w:t>
      </w:r>
      <w:r w:rsidR="0078460E" w:rsidRPr="0078460E">
        <w:rPr>
          <w:rFonts w:ascii="Times New Roman" w:hAnsi="Times New Roman"/>
        </w:rPr>
        <w:t>http://www2.ed.gov/about/offices/list/ope/fipse/index.html</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17. </w:t>
      </w:r>
      <w:r>
        <w:rPr>
          <w:rStyle w:val="a"/>
          <w:rFonts w:ascii="Times New Roman" w:hAnsi="Times New Roman"/>
          <w:i/>
          <w:iCs/>
        </w:rPr>
        <w:t>If seeking approval to not display the expiration date for OMB approval of the information collection, explain the reasons that display would be inappropriate.</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rPr>
      </w:pPr>
      <w:r>
        <w:rPr>
          <w:rFonts w:ascii="Times New Roman" w:hAnsi="Times New Roman"/>
        </w:rPr>
        <w:t>We will display the expiration date for OMB approval of the collection.</w:t>
      </w:r>
    </w:p>
    <w:p w:rsidR="00413B29" w:rsidRDefault="00413B29">
      <w:pPr>
        <w:tabs>
          <w:tab w:val="left" w:pos="-720"/>
        </w:tabs>
        <w:suppressAutoHyphens/>
        <w:rPr>
          <w:rFonts w:ascii="Times New Roman" w:hAnsi="Times New Roman"/>
        </w:rPr>
      </w:pPr>
    </w:p>
    <w:p w:rsidR="00413B29" w:rsidRDefault="00725F48">
      <w:pPr>
        <w:tabs>
          <w:tab w:val="left" w:pos="-720"/>
        </w:tabs>
        <w:suppressAutoHyphens/>
        <w:rPr>
          <w:rFonts w:ascii="Times New Roman" w:hAnsi="Times New Roman"/>
          <w:i/>
          <w:iCs/>
        </w:rPr>
      </w:pPr>
      <w:r>
        <w:rPr>
          <w:rFonts w:ascii="Times New Roman" w:hAnsi="Times New Roman"/>
          <w:i/>
          <w:iCs/>
        </w:rPr>
        <w:t xml:space="preserve">18. </w:t>
      </w:r>
      <w:r>
        <w:rPr>
          <w:rStyle w:val="a"/>
          <w:rFonts w:ascii="Times New Roman" w:hAnsi="Times New Roman"/>
          <w:i/>
          <w:iCs/>
        </w:rPr>
        <w:t>Explain each exception to the certification statement identified in Item 20, “Certification for Paperwork Reduction Act Submissions,” of OMB Form 83-I.</w:t>
      </w:r>
    </w:p>
    <w:p w:rsidR="00413B29" w:rsidRDefault="00413B29">
      <w:pPr>
        <w:pStyle w:val="Quick1"/>
        <w:numPr>
          <w:ilvl w:val="0"/>
          <w:numId w:val="0"/>
        </w:numPr>
        <w:tabs>
          <w:tab w:val="left" w:pos="-1440"/>
        </w:tabs>
        <w:rPr>
          <w:snapToGrid/>
        </w:rPr>
      </w:pPr>
    </w:p>
    <w:p w:rsidR="00413B29" w:rsidRDefault="00725F48">
      <w:pPr>
        <w:pStyle w:val="Quick1"/>
        <w:numPr>
          <w:ilvl w:val="0"/>
          <w:numId w:val="0"/>
        </w:numPr>
        <w:tabs>
          <w:tab w:val="left" w:pos="-1440"/>
        </w:tabs>
      </w:pPr>
      <w:r>
        <w:t>We are not requesting any exceptions.</w:t>
      </w:r>
    </w:p>
    <w:p w:rsidR="00413B29" w:rsidRDefault="00413B29">
      <w:pPr>
        <w:pStyle w:val="EndnoteText"/>
        <w:rPr>
          <w:rFonts w:ascii="Times New Roman" w:hAnsi="Times New Roman"/>
        </w:rPr>
      </w:pPr>
    </w:p>
    <w:p w:rsidR="00413B29" w:rsidRDefault="00413B29">
      <w:pPr>
        <w:tabs>
          <w:tab w:val="left" w:pos="-720"/>
        </w:tabs>
        <w:suppressAutoHyphens/>
        <w:rPr>
          <w:rFonts w:ascii="Times New Roman" w:hAnsi="Times New Roman"/>
        </w:rPr>
      </w:pPr>
    </w:p>
    <w:p w:rsidR="00413B29" w:rsidRDefault="00413B29">
      <w:pPr>
        <w:tabs>
          <w:tab w:val="left" w:pos="-720"/>
        </w:tabs>
        <w:suppressAutoHyphens/>
        <w:rPr>
          <w:rFonts w:ascii="Times New Roman" w:hAnsi="Times New Roman"/>
        </w:rPr>
      </w:pPr>
    </w:p>
    <w:sectPr w:rsidR="00413B29" w:rsidSect="00413B29">
      <w:footerReference w:type="default" r:id="rId8"/>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6C7" w:rsidRDefault="00D476C7">
      <w:pPr>
        <w:spacing w:line="20" w:lineRule="exact"/>
      </w:pPr>
    </w:p>
  </w:endnote>
  <w:endnote w:type="continuationSeparator" w:id="0">
    <w:p w:rsidR="00D476C7" w:rsidRDefault="00D476C7">
      <w:r>
        <w:t xml:space="preserve"> </w:t>
      </w:r>
    </w:p>
  </w:endnote>
  <w:endnote w:type="continuationNotice" w:id="1">
    <w:p w:rsidR="00D476C7" w:rsidRDefault="00D476C7">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577" w:rsidRDefault="00B82577">
    <w:pPr>
      <w:spacing w:before="140" w:line="100" w:lineRule="exact"/>
      <w:rPr>
        <w:sz w:val="10"/>
      </w:rPr>
    </w:pPr>
  </w:p>
  <w:p w:rsidR="00B82577" w:rsidRDefault="00B82577">
    <w:pPr>
      <w:tabs>
        <w:tab w:val="left" w:pos="0"/>
      </w:tabs>
      <w:suppressAutoHyphens/>
    </w:pPr>
  </w:p>
  <w:p w:rsidR="00B82577" w:rsidRDefault="00A47384">
    <w:pPr>
      <w:tabs>
        <w:tab w:val="left" w:pos="0"/>
      </w:tabs>
      <w:suppressAutoHyphens/>
    </w:pPr>
    <w:r>
      <w:rPr>
        <w:noProof/>
      </w:rPr>
      <w:pict>
        <v:rect id="_x0000_s1025" style="position:absolute;margin-left:1.5pt;margin-top:12pt;width:465pt;height:12pt;z-index:-251658752;mso-position-horizontal-relative:margin" o:allowincell="f" filled="f" stroked="f" strokeweight="0">
          <v:textbox inset="0,0,0,0">
            <w:txbxContent>
              <w:p w:rsidR="00B82577" w:rsidRDefault="00B82577">
                <w:pPr>
                  <w:tabs>
                    <w:tab w:val="center" w:pos="4650"/>
                  </w:tabs>
                  <w:suppressAutoHyphens/>
                  <w:jc w:val="both"/>
                </w:pPr>
                <w:r>
                  <w:tab/>
                </w:r>
                <w:fldSimple w:instr="page \* arabic">
                  <w:r w:rsidR="008949AB">
                    <w:rPr>
                      <w:noProof/>
                    </w:rPr>
                    <w:t>8</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6C7" w:rsidRDefault="00D476C7">
      <w:r>
        <w:separator/>
      </w:r>
    </w:p>
  </w:footnote>
  <w:footnote w:type="continuationSeparator" w:id="0">
    <w:p w:rsidR="00D476C7" w:rsidRDefault="00D47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singleLevel"/>
    <w:tmpl w:val="00000000"/>
    <w:lvl w:ilvl="0">
      <w:start w:val="1"/>
      <w:numFmt w:val="decimal"/>
      <w:pStyle w:val="Quick1"/>
      <w:lvlText w:val="%1."/>
      <w:lvlJc w:val="left"/>
      <w:pPr>
        <w:tabs>
          <w:tab w:val="num" w:pos="1440"/>
        </w:tabs>
      </w:pPr>
      <w:rPr>
        <w:rFonts w:ascii="Times New Roman" w:hAnsi="Times New Roman"/>
        <w:sz w:val="24"/>
      </w:rPr>
    </w:lvl>
  </w:abstractNum>
  <w:abstractNum w:abstractNumId="2">
    <w:nsid w:val="28A035B8"/>
    <w:multiLevelType w:val="singleLevel"/>
    <w:tmpl w:val="1082AB00"/>
    <w:lvl w:ilvl="0">
      <w:start w:val="1"/>
      <w:numFmt w:val="decimal"/>
      <w:lvlText w:val="%1."/>
      <w:legacy w:legacy="1" w:legacySpace="0" w:legacyIndent="360"/>
      <w:lvlJc w:val="left"/>
      <w:pPr>
        <w:ind w:left="360" w:hanging="360"/>
      </w:pPr>
    </w:lvl>
  </w:abstractNum>
  <w:abstractNum w:abstractNumId="3">
    <w:nsid w:val="3F60178F"/>
    <w:multiLevelType w:val="hybridMultilevel"/>
    <w:tmpl w:val="9CAE320E"/>
    <w:lvl w:ilvl="0" w:tplc="B9767D76">
      <w:start w:val="2"/>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lvl>
  </w:abstractNum>
  <w:abstractNum w:abstractNumId="5">
    <w:nsid w:val="61AF36A0"/>
    <w:multiLevelType w:val="hybridMultilevel"/>
    <w:tmpl w:val="BECE7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9681247"/>
    <w:multiLevelType w:val="singleLevel"/>
    <w:tmpl w:val="1082AB00"/>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2"/>
  </w:num>
  <w:num w:numId="4">
    <w:abstractNumId w:val="6"/>
  </w:num>
  <w:num w:numId="5">
    <w:abstractNumId w:val="3"/>
  </w:num>
  <w:num w:numId="6">
    <w:abstractNumId w:val="1"/>
    <w:lvlOverride w:ilvl="0">
      <w:startOverride w:val="17"/>
      <w:lvl w:ilvl="0">
        <w:start w:val="17"/>
        <w:numFmt w:val="decimal"/>
        <w:pStyle w:val="Quick1"/>
        <w:lvlText w:val="%1."/>
        <w:lvlJc w:val="left"/>
      </w:lvl>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6"/>
    <o:shapelayout v:ext="edit">
      <o:idmap v:ext="edit" data="1"/>
    </o:shapelayout>
  </w:hdrShapeDefaults>
  <w:footnotePr>
    <w:footnote w:id="-1"/>
    <w:footnote w:id="0"/>
  </w:footnotePr>
  <w:endnotePr>
    <w:numFmt w:val="decimal"/>
    <w:endnote w:id="-1"/>
    <w:endnote w:id="0"/>
    <w:endnote w:id="1"/>
  </w:endnotePr>
  <w:compat/>
  <w:rsids>
    <w:rsidRoot w:val="00725F48"/>
    <w:rsid w:val="00037631"/>
    <w:rsid w:val="000C183A"/>
    <w:rsid w:val="000F6603"/>
    <w:rsid w:val="00173236"/>
    <w:rsid w:val="001825F1"/>
    <w:rsid w:val="001902A8"/>
    <w:rsid w:val="001B36CC"/>
    <w:rsid w:val="00212048"/>
    <w:rsid w:val="0026489A"/>
    <w:rsid w:val="00324760"/>
    <w:rsid w:val="003A2AB6"/>
    <w:rsid w:val="003B43E4"/>
    <w:rsid w:val="003D682C"/>
    <w:rsid w:val="00413B29"/>
    <w:rsid w:val="004942A8"/>
    <w:rsid w:val="004E5514"/>
    <w:rsid w:val="00532D17"/>
    <w:rsid w:val="00574BAF"/>
    <w:rsid w:val="005D5808"/>
    <w:rsid w:val="005F2728"/>
    <w:rsid w:val="006665B7"/>
    <w:rsid w:val="006B650B"/>
    <w:rsid w:val="006D639F"/>
    <w:rsid w:val="006E2129"/>
    <w:rsid w:val="007220BD"/>
    <w:rsid w:val="00725F48"/>
    <w:rsid w:val="00760E24"/>
    <w:rsid w:val="0078460E"/>
    <w:rsid w:val="007A211F"/>
    <w:rsid w:val="007C372B"/>
    <w:rsid w:val="007C700D"/>
    <w:rsid w:val="00811C9B"/>
    <w:rsid w:val="0082090F"/>
    <w:rsid w:val="008949AB"/>
    <w:rsid w:val="009A2333"/>
    <w:rsid w:val="00A02605"/>
    <w:rsid w:val="00A47384"/>
    <w:rsid w:val="00AA1EB5"/>
    <w:rsid w:val="00AC50BA"/>
    <w:rsid w:val="00B82577"/>
    <w:rsid w:val="00BD6DBE"/>
    <w:rsid w:val="00BE1F59"/>
    <w:rsid w:val="00CF3CB7"/>
    <w:rsid w:val="00D46C45"/>
    <w:rsid w:val="00D476C7"/>
    <w:rsid w:val="00D80CB0"/>
    <w:rsid w:val="00DC27B2"/>
    <w:rsid w:val="00DD34C9"/>
    <w:rsid w:val="00DE394A"/>
    <w:rsid w:val="00E52926"/>
    <w:rsid w:val="00EA4FB9"/>
    <w:rsid w:val="00ED3F19"/>
    <w:rsid w:val="00EF4CFE"/>
    <w:rsid w:val="00F6706D"/>
    <w:rsid w:val="00F92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29"/>
    <w:rPr>
      <w:rFonts w:ascii="Courier" w:hAnsi="Courier"/>
      <w:sz w:val="24"/>
    </w:rPr>
  </w:style>
  <w:style w:type="paragraph" w:styleId="Heading1">
    <w:name w:val="heading 1"/>
    <w:basedOn w:val="Normal"/>
    <w:next w:val="Normal"/>
    <w:qFormat/>
    <w:rsid w:val="00413B29"/>
    <w:pPr>
      <w:keepNext/>
      <w:tabs>
        <w:tab w:val="left" w:pos="-720"/>
      </w:tabs>
      <w:suppressAutoHyphen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13B29"/>
    <w:pPr>
      <w:tabs>
        <w:tab w:val="left" w:pos="-720"/>
      </w:tabs>
      <w:suppressAutoHyphens/>
    </w:pPr>
  </w:style>
  <w:style w:type="character" w:styleId="EndnoteReference">
    <w:name w:val="endnote reference"/>
    <w:basedOn w:val="DefaultParagraphFont"/>
    <w:semiHidden/>
    <w:rsid w:val="00413B29"/>
    <w:rPr>
      <w:rFonts w:ascii="Courier" w:hAnsi="Courier"/>
      <w:noProof w:val="0"/>
      <w:sz w:val="24"/>
      <w:vertAlign w:val="superscript"/>
      <w:lang w:val="en-US"/>
    </w:rPr>
  </w:style>
  <w:style w:type="paragraph" w:styleId="FootnoteText">
    <w:name w:val="footnote text"/>
    <w:basedOn w:val="Normal"/>
    <w:semiHidden/>
    <w:rsid w:val="00413B29"/>
    <w:pPr>
      <w:tabs>
        <w:tab w:val="left" w:pos="-720"/>
      </w:tabs>
      <w:suppressAutoHyphens/>
    </w:pPr>
  </w:style>
  <w:style w:type="character" w:styleId="FootnoteReference">
    <w:name w:val="footnote reference"/>
    <w:basedOn w:val="DefaultParagraphFont"/>
    <w:semiHidden/>
    <w:rsid w:val="00413B29"/>
    <w:rPr>
      <w:rFonts w:ascii="Courier" w:hAnsi="Courier"/>
      <w:noProof w:val="0"/>
      <w:sz w:val="24"/>
      <w:vertAlign w:val="superscript"/>
      <w:lang w:val="en-US"/>
    </w:rPr>
  </w:style>
  <w:style w:type="character" w:customStyle="1" w:styleId="DefaultParagraphFo">
    <w:name w:val="Default Paragraph Fo"/>
    <w:basedOn w:val="DefaultParagraphFont"/>
    <w:rsid w:val="00413B29"/>
  </w:style>
  <w:style w:type="character" w:customStyle="1" w:styleId="EquationCaption">
    <w:name w:val="_Equation Caption"/>
    <w:basedOn w:val="DefaultParagraphFont"/>
    <w:rsid w:val="00413B29"/>
  </w:style>
  <w:style w:type="paragraph" w:styleId="Footer">
    <w:name w:val="footer"/>
    <w:basedOn w:val="Normal"/>
    <w:semiHidden/>
    <w:rsid w:val="00413B29"/>
    <w:pPr>
      <w:tabs>
        <w:tab w:val="left" w:pos="0"/>
        <w:tab w:val="center" w:pos="4320"/>
        <w:tab w:val="right" w:pos="8640"/>
      </w:tabs>
      <w:suppressAutoHyphens/>
    </w:pPr>
  </w:style>
  <w:style w:type="paragraph" w:styleId="Header">
    <w:name w:val="header"/>
    <w:basedOn w:val="Normal"/>
    <w:semiHidden/>
    <w:rsid w:val="00413B29"/>
    <w:pPr>
      <w:tabs>
        <w:tab w:val="left" w:pos="0"/>
        <w:tab w:val="left" w:pos="360"/>
        <w:tab w:val="right" w:pos="9000"/>
        <w:tab w:val="left" w:pos="9360"/>
      </w:tabs>
      <w:suppressAutoHyphens/>
    </w:pPr>
  </w:style>
  <w:style w:type="character" w:styleId="PageNumber">
    <w:name w:val="page number"/>
    <w:basedOn w:val="DefaultParagraphFont"/>
    <w:semiHidden/>
    <w:rsid w:val="00413B29"/>
  </w:style>
  <w:style w:type="character" w:customStyle="1" w:styleId="EquationCaption1">
    <w:name w:val="_Equation Caption1"/>
    <w:basedOn w:val="DefaultParagraphFont"/>
    <w:rsid w:val="00413B29"/>
  </w:style>
  <w:style w:type="paragraph" w:styleId="TOC1">
    <w:name w:val="toc 1"/>
    <w:basedOn w:val="Normal"/>
    <w:next w:val="Normal"/>
    <w:semiHidden/>
    <w:rsid w:val="00413B29"/>
    <w:pPr>
      <w:tabs>
        <w:tab w:val="right" w:leader="dot" w:pos="9360"/>
      </w:tabs>
      <w:suppressAutoHyphens/>
      <w:spacing w:before="480"/>
      <w:ind w:left="720" w:right="720" w:hanging="720"/>
    </w:pPr>
  </w:style>
  <w:style w:type="paragraph" w:styleId="TOC2">
    <w:name w:val="toc 2"/>
    <w:basedOn w:val="Normal"/>
    <w:next w:val="Normal"/>
    <w:semiHidden/>
    <w:rsid w:val="00413B29"/>
    <w:pPr>
      <w:tabs>
        <w:tab w:val="right" w:leader="dot" w:pos="9360"/>
      </w:tabs>
      <w:suppressAutoHyphens/>
      <w:ind w:left="1440" w:right="720" w:hanging="720"/>
    </w:pPr>
  </w:style>
  <w:style w:type="paragraph" w:styleId="TOC3">
    <w:name w:val="toc 3"/>
    <w:basedOn w:val="Normal"/>
    <w:next w:val="Normal"/>
    <w:semiHidden/>
    <w:rsid w:val="00413B29"/>
    <w:pPr>
      <w:tabs>
        <w:tab w:val="right" w:leader="dot" w:pos="9360"/>
      </w:tabs>
      <w:suppressAutoHyphens/>
      <w:ind w:left="2160" w:right="720" w:hanging="720"/>
    </w:pPr>
  </w:style>
  <w:style w:type="paragraph" w:styleId="TOC4">
    <w:name w:val="toc 4"/>
    <w:basedOn w:val="Normal"/>
    <w:next w:val="Normal"/>
    <w:semiHidden/>
    <w:rsid w:val="00413B29"/>
    <w:pPr>
      <w:tabs>
        <w:tab w:val="right" w:leader="dot" w:pos="9360"/>
      </w:tabs>
      <w:suppressAutoHyphens/>
      <w:ind w:left="2880" w:right="720" w:hanging="720"/>
    </w:pPr>
  </w:style>
  <w:style w:type="paragraph" w:styleId="TOC5">
    <w:name w:val="toc 5"/>
    <w:basedOn w:val="Normal"/>
    <w:next w:val="Normal"/>
    <w:semiHidden/>
    <w:rsid w:val="00413B29"/>
    <w:pPr>
      <w:tabs>
        <w:tab w:val="right" w:leader="dot" w:pos="9360"/>
      </w:tabs>
      <w:suppressAutoHyphens/>
      <w:ind w:left="3600" w:right="720" w:hanging="720"/>
    </w:pPr>
  </w:style>
  <w:style w:type="paragraph" w:styleId="TOC6">
    <w:name w:val="toc 6"/>
    <w:basedOn w:val="Normal"/>
    <w:next w:val="Normal"/>
    <w:semiHidden/>
    <w:rsid w:val="00413B29"/>
    <w:pPr>
      <w:tabs>
        <w:tab w:val="right" w:pos="9360"/>
      </w:tabs>
      <w:suppressAutoHyphens/>
      <w:ind w:left="720" w:hanging="720"/>
    </w:pPr>
  </w:style>
  <w:style w:type="paragraph" w:styleId="TOC7">
    <w:name w:val="toc 7"/>
    <w:basedOn w:val="Normal"/>
    <w:next w:val="Normal"/>
    <w:semiHidden/>
    <w:rsid w:val="00413B29"/>
    <w:pPr>
      <w:suppressAutoHyphens/>
      <w:ind w:left="720" w:hanging="720"/>
    </w:pPr>
  </w:style>
  <w:style w:type="paragraph" w:styleId="TOC8">
    <w:name w:val="toc 8"/>
    <w:basedOn w:val="Normal"/>
    <w:next w:val="Normal"/>
    <w:semiHidden/>
    <w:rsid w:val="00413B29"/>
    <w:pPr>
      <w:tabs>
        <w:tab w:val="right" w:pos="9360"/>
      </w:tabs>
      <w:suppressAutoHyphens/>
      <w:ind w:left="720" w:hanging="720"/>
    </w:pPr>
  </w:style>
  <w:style w:type="paragraph" w:styleId="TOC9">
    <w:name w:val="toc 9"/>
    <w:basedOn w:val="Normal"/>
    <w:next w:val="Normal"/>
    <w:semiHidden/>
    <w:rsid w:val="00413B29"/>
    <w:pPr>
      <w:tabs>
        <w:tab w:val="right" w:leader="dot" w:pos="9360"/>
      </w:tabs>
      <w:suppressAutoHyphens/>
      <w:ind w:left="720" w:hanging="720"/>
    </w:pPr>
  </w:style>
  <w:style w:type="paragraph" w:styleId="Index1">
    <w:name w:val="index 1"/>
    <w:basedOn w:val="Normal"/>
    <w:next w:val="Normal"/>
    <w:semiHidden/>
    <w:rsid w:val="00413B29"/>
    <w:pPr>
      <w:tabs>
        <w:tab w:val="right" w:leader="dot" w:pos="9360"/>
      </w:tabs>
      <w:suppressAutoHyphens/>
      <w:ind w:left="1440" w:right="720" w:hanging="1440"/>
    </w:pPr>
  </w:style>
  <w:style w:type="paragraph" w:styleId="Index2">
    <w:name w:val="index 2"/>
    <w:basedOn w:val="Normal"/>
    <w:next w:val="Normal"/>
    <w:semiHidden/>
    <w:rsid w:val="00413B29"/>
    <w:pPr>
      <w:tabs>
        <w:tab w:val="right" w:leader="dot" w:pos="9360"/>
      </w:tabs>
      <w:suppressAutoHyphens/>
      <w:ind w:left="1440" w:right="720" w:hanging="720"/>
    </w:pPr>
  </w:style>
  <w:style w:type="paragraph" w:styleId="TOAHeading">
    <w:name w:val="toa heading"/>
    <w:basedOn w:val="Normal"/>
    <w:next w:val="Normal"/>
    <w:semiHidden/>
    <w:rsid w:val="00413B29"/>
    <w:pPr>
      <w:tabs>
        <w:tab w:val="right" w:pos="9360"/>
      </w:tabs>
      <w:suppressAutoHyphens/>
    </w:pPr>
  </w:style>
  <w:style w:type="paragraph" w:styleId="Caption">
    <w:name w:val="caption"/>
    <w:basedOn w:val="Normal"/>
    <w:next w:val="Normal"/>
    <w:qFormat/>
    <w:rsid w:val="00413B29"/>
  </w:style>
  <w:style w:type="character" w:customStyle="1" w:styleId="EquationCaption2">
    <w:name w:val="_Equation Caption2"/>
    <w:basedOn w:val="DefaultParagraphFont"/>
    <w:rsid w:val="00413B29"/>
  </w:style>
  <w:style w:type="character" w:customStyle="1" w:styleId="EquationCaption3">
    <w:name w:val="_Equation Caption3"/>
    <w:rsid w:val="00413B29"/>
  </w:style>
  <w:style w:type="character" w:customStyle="1" w:styleId="a">
    <w:name w:val="À"/>
    <w:basedOn w:val="DefaultParagraphFont"/>
    <w:rsid w:val="00413B29"/>
  </w:style>
  <w:style w:type="paragraph" w:styleId="Title">
    <w:name w:val="Title"/>
    <w:basedOn w:val="Normal"/>
    <w:qFormat/>
    <w:rsid w:val="00413B29"/>
    <w:pPr>
      <w:spacing w:before="240" w:after="60"/>
      <w:jc w:val="center"/>
    </w:pPr>
    <w:rPr>
      <w:rFonts w:ascii="Arial" w:hAnsi="Arial"/>
      <w:b/>
      <w:kern w:val="28"/>
      <w:sz w:val="32"/>
    </w:rPr>
  </w:style>
  <w:style w:type="paragraph" w:customStyle="1" w:styleId="Quick1">
    <w:name w:val="Quick 1."/>
    <w:basedOn w:val="Normal"/>
    <w:rsid w:val="00413B29"/>
    <w:pPr>
      <w:widowControl w:val="0"/>
      <w:numPr>
        <w:numId w:val="6"/>
      </w:numPr>
      <w:ind w:left="1440" w:right="720" w:hanging="720"/>
    </w:pPr>
    <w:rPr>
      <w:rFonts w:ascii="Times New Roman" w:hAnsi="Times New Roman"/>
      <w:snapToGrid w:val="0"/>
    </w:rPr>
  </w:style>
  <w:style w:type="paragraph" w:styleId="BodyTextIndent">
    <w:name w:val="Body Text Indent"/>
    <w:basedOn w:val="Normal"/>
    <w:semiHidden/>
    <w:rsid w:val="00413B29"/>
    <w:pPr>
      <w:tabs>
        <w:tab w:val="left" w:pos="-720"/>
      </w:tabs>
      <w:suppressAutoHyphens/>
      <w:ind w:left="720" w:hanging="720"/>
    </w:pPr>
    <w:rPr>
      <w:rFonts w:ascii="Times New Roman" w:hAnsi="Times New Roman"/>
    </w:rPr>
  </w:style>
  <w:style w:type="paragraph" w:styleId="BodyText">
    <w:name w:val="Body Text"/>
    <w:basedOn w:val="Normal"/>
    <w:semiHidden/>
    <w:rsid w:val="00413B29"/>
    <w:pPr>
      <w:tabs>
        <w:tab w:val="left" w:pos="0"/>
      </w:tabs>
      <w:suppressAutoHyphens/>
    </w:pPr>
    <w:rPr>
      <w:rFonts w:ascii="Times New Roman" w:hAnsi="Times New Roman"/>
      <w:i/>
      <w:iCs/>
    </w:rPr>
  </w:style>
  <w:style w:type="paragraph" w:styleId="BodyTextIndent2">
    <w:name w:val="Body Text Indent 2"/>
    <w:basedOn w:val="Normal"/>
    <w:semiHidden/>
    <w:rsid w:val="00413B29"/>
    <w:pPr>
      <w:tabs>
        <w:tab w:val="left" w:pos="-720"/>
        <w:tab w:val="left" w:pos="1247"/>
      </w:tabs>
      <w:suppressAutoHyphens/>
      <w:ind w:left="340"/>
    </w:pPr>
    <w:rPr>
      <w:rFonts w:ascii="Times New Roman" w:hAnsi="Times New Roman"/>
      <w:i/>
      <w:iCs/>
    </w:rPr>
  </w:style>
  <w:style w:type="character" w:styleId="Hyperlink">
    <w:name w:val="Hyperlink"/>
    <w:basedOn w:val="DefaultParagraphFont"/>
    <w:uiPriority w:val="99"/>
    <w:unhideWhenUsed/>
    <w:rsid w:val="00ED3F19"/>
    <w:rPr>
      <w:color w:val="0000FF" w:themeColor="hyperlink"/>
      <w:u w:val="single"/>
    </w:rPr>
  </w:style>
  <w:style w:type="paragraph" w:styleId="BalloonText">
    <w:name w:val="Balloon Text"/>
    <w:basedOn w:val="Normal"/>
    <w:link w:val="BalloonTextChar"/>
    <w:uiPriority w:val="99"/>
    <w:semiHidden/>
    <w:unhideWhenUsed/>
    <w:rsid w:val="007C700D"/>
    <w:rPr>
      <w:rFonts w:ascii="Tahoma" w:hAnsi="Tahoma" w:cs="Tahoma"/>
      <w:sz w:val="16"/>
      <w:szCs w:val="16"/>
    </w:rPr>
  </w:style>
  <w:style w:type="character" w:customStyle="1" w:styleId="BalloonTextChar">
    <w:name w:val="Balloon Text Char"/>
    <w:basedOn w:val="DefaultParagraphFont"/>
    <w:link w:val="BalloonText"/>
    <w:uiPriority w:val="99"/>
    <w:semiHidden/>
    <w:rsid w:val="007C700D"/>
    <w:rPr>
      <w:rFonts w:ascii="Tahoma" w:hAnsi="Tahoma" w:cs="Tahoma"/>
      <w:sz w:val="16"/>
      <w:szCs w:val="16"/>
    </w:rPr>
  </w:style>
  <w:style w:type="character" w:styleId="CommentReference">
    <w:name w:val="annotation reference"/>
    <w:basedOn w:val="DefaultParagraphFont"/>
    <w:uiPriority w:val="99"/>
    <w:semiHidden/>
    <w:unhideWhenUsed/>
    <w:rsid w:val="00BD6DBE"/>
    <w:rPr>
      <w:sz w:val="16"/>
      <w:szCs w:val="16"/>
    </w:rPr>
  </w:style>
  <w:style w:type="paragraph" w:styleId="CommentText">
    <w:name w:val="annotation text"/>
    <w:basedOn w:val="Normal"/>
    <w:link w:val="CommentTextChar"/>
    <w:uiPriority w:val="99"/>
    <w:semiHidden/>
    <w:unhideWhenUsed/>
    <w:rsid w:val="00BD6DBE"/>
    <w:rPr>
      <w:sz w:val="20"/>
    </w:rPr>
  </w:style>
  <w:style w:type="character" w:customStyle="1" w:styleId="CommentTextChar">
    <w:name w:val="Comment Text Char"/>
    <w:basedOn w:val="DefaultParagraphFont"/>
    <w:link w:val="CommentText"/>
    <w:uiPriority w:val="99"/>
    <w:semiHidden/>
    <w:rsid w:val="00BD6DBE"/>
    <w:rPr>
      <w:rFonts w:ascii="Courier" w:hAnsi="Courier"/>
    </w:rPr>
  </w:style>
  <w:style w:type="paragraph" w:styleId="CommentSubject">
    <w:name w:val="annotation subject"/>
    <w:basedOn w:val="CommentText"/>
    <w:next w:val="CommentText"/>
    <w:link w:val="CommentSubjectChar"/>
    <w:uiPriority w:val="99"/>
    <w:semiHidden/>
    <w:unhideWhenUsed/>
    <w:rsid w:val="00BD6DBE"/>
    <w:rPr>
      <w:b/>
      <w:bCs/>
    </w:rPr>
  </w:style>
  <w:style w:type="character" w:customStyle="1" w:styleId="CommentSubjectChar">
    <w:name w:val="Comment Subject Char"/>
    <w:basedOn w:val="CommentTextChar"/>
    <w:link w:val="CommentSubject"/>
    <w:uiPriority w:val="99"/>
    <w:semiHidden/>
    <w:rsid w:val="00BD6D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FB48-9D8A-403D-8D2E-839548D5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3</cp:revision>
  <cp:lastPrinted>2010-08-17T14:52:00Z</cp:lastPrinted>
  <dcterms:created xsi:type="dcterms:W3CDTF">2010-08-17T13:54:00Z</dcterms:created>
  <dcterms:modified xsi:type="dcterms:W3CDTF">2010-08-17T14:52:00Z</dcterms:modified>
</cp:coreProperties>
</file>