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3D" w:rsidRDefault="0079389A" w:rsidP="0027323A">
      <w:pPr>
        <w:jc w:val="center"/>
        <w:rPr>
          <w:rFonts w:ascii="Arial" w:hAnsi="Arial"/>
          <w:sz w:val="22"/>
        </w:rPr>
      </w:pPr>
      <w:r w:rsidRPr="00EB0A15">
        <w:rPr>
          <w:rFonts w:ascii="Arial" w:hAnsi="Arial" w:cs="Arial"/>
          <w:sz w:val="22"/>
          <w:szCs w:val="22"/>
        </w:rPr>
        <w:fldChar w:fldCharType="begin"/>
      </w:r>
      <w:r w:rsidR="002B233D" w:rsidRPr="00EB0A15">
        <w:rPr>
          <w:rFonts w:ascii="Arial" w:hAnsi="Arial" w:cs="Arial"/>
          <w:sz w:val="22"/>
          <w:szCs w:val="22"/>
        </w:rPr>
        <w:instrText xml:space="preserve"> SEQ CHAPTER \h \r 1</w:instrText>
      </w:r>
      <w:r w:rsidRPr="00EB0A15">
        <w:rPr>
          <w:rFonts w:ascii="Arial" w:hAnsi="Arial" w:cs="Arial"/>
          <w:sz w:val="22"/>
          <w:szCs w:val="22"/>
        </w:rPr>
        <w:fldChar w:fldCharType="end"/>
      </w:r>
      <w:r w:rsidR="003F134A" w:rsidRPr="00EB0A15">
        <w:rPr>
          <w:rFonts w:ascii="Arial" w:hAnsi="Arial" w:cs="Arial"/>
          <w:sz w:val="22"/>
          <w:szCs w:val="22"/>
        </w:rPr>
        <w:t>FINAL</w:t>
      </w:r>
      <w:r w:rsidR="002B233D">
        <w:rPr>
          <w:rFonts w:ascii="Arial" w:hAnsi="Arial"/>
          <w:sz w:val="22"/>
        </w:rPr>
        <w:t xml:space="preserve"> OMB SUPPORTING STATEMENT</w:t>
      </w:r>
    </w:p>
    <w:p w:rsidR="002B233D" w:rsidRDefault="002B233D" w:rsidP="0027323A">
      <w:pPr>
        <w:jc w:val="center"/>
        <w:rPr>
          <w:rFonts w:ascii="Arial" w:hAnsi="Arial"/>
          <w:sz w:val="22"/>
        </w:rPr>
      </w:pPr>
      <w:r>
        <w:rPr>
          <w:rFonts w:ascii="Arial" w:hAnsi="Arial"/>
          <w:sz w:val="22"/>
        </w:rPr>
        <w:t>FOR</w:t>
      </w:r>
    </w:p>
    <w:p w:rsidR="002B233D" w:rsidRDefault="002B233D" w:rsidP="0027323A">
      <w:pPr>
        <w:jc w:val="center"/>
        <w:rPr>
          <w:rFonts w:ascii="Arial" w:hAnsi="Arial"/>
          <w:sz w:val="22"/>
        </w:rPr>
      </w:pPr>
      <w:r>
        <w:rPr>
          <w:rFonts w:ascii="Arial" w:hAnsi="Arial"/>
          <w:sz w:val="22"/>
        </w:rPr>
        <w:t>10 CFR PART 11</w:t>
      </w:r>
    </w:p>
    <w:p w:rsidR="002B233D" w:rsidRDefault="002B233D" w:rsidP="0027323A">
      <w:pPr>
        <w:jc w:val="center"/>
        <w:rPr>
          <w:rFonts w:ascii="Arial" w:hAnsi="Arial"/>
          <w:sz w:val="22"/>
        </w:rPr>
      </w:pPr>
      <w:r>
        <w:rPr>
          <w:rFonts w:ascii="Arial" w:hAnsi="Arial"/>
          <w:sz w:val="22"/>
        </w:rPr>
        <w:t>CRITERIA AND PROCEDURES FOR DETERMINING ELIGIBILITY FOR</w:t>
      </w:r>
    </w:p>
    <w:p w:rsidR="002B233D" w:rsidRDefault="002B233D" w:rsidP="0027323A">
      <w:pPr>
        <w:jc w:val="center"/>
        <w:rPr>
          <w:rFonts w:ascii="Arial" w:hAnsi="Arial"/>
          <w:sz w:val="22"/>
        </w:rPr>
      </w:pPr>
      <w:r>
        <w:rPr>
          <w:rFonts w:ascii="Arial" w:hAnsi="Arial"/>
          <w:sz w:val="22"/>
        </w:rPr>
        <w:t>ACCESS TO OR CONTROL OVER SPECIAL NUCLEAR MATERIAL</w:t>
      </w:r>
    </w:p>
    <w:p w:rsidR="002B233D" w:rsidRDefault="002B233D" w:rsidP="0027323A">
      <w:pPr>
        <w:jc w:val="center"/>
        <w:rPr>
          <w:rFonts w:ascii="Arial" w:hAnsi="Arial"/>
          <w:sz w:val="22"/>
        </w:rPr>
      </w:pPr>
      <w:r>
        <w:rPr>
          <w:rFonts w:ascii="Arial" w:hAnsi="Arial"/>
          <w:sz w:val="22"/>
        </w:rPr>
        <w:t>(3150-0062)</w:t>
      </w:r>
    </w:p>
    <w:p w:rsidR="002B233D" w:rsidRDefault="002B233D" w:rsidP="0027323A">
      <w:pPr>
        <w:jc w:val="center"/>
        <w:rPr>
          <w:rFonts w:ascii="Arial" w:hAnsi="Arial"/>
          <w:sz w:val="22"/>
        </w:rPr>
      </w:pPr>
      <w:r>
        <w:rPr>
          <w:rFonts w:ascii="Arial" w:hAnsi="Arial"/>
          <w:sz w:val="22"/>
        </w:rPr>
        <w:t>---</w:t>
      </w:r>
    </w:p>
    <w:p w:rsidR="002B233D" w:rsidRDefault="002B233D" w:rsidP="0027323A">
      <w:pPr>
        <w:jc w:val="center"/>
        <w:rPr>
          <w:rFonts w:ascii="Arial" w:hAnsi="Arial"/>
          <w:sz w:val="22"/>
        </w:rPr>
      </w:pPr>
      <w:r>
        <w:rPr>
          <w:rFonts w:ascii="Arial" w:hAnsi="Arial"/>
          <w:sz w:val="22"/>
        </w:rPr>
        <w:t>EXTENSION</w:t>
      </w:r>
    </w:p>
    <w:p w:rsidR="002B233D" w:rsidRDefault="002B233D" w:rsidP="0027323A">
      <w:pPr>
        <w:rPr>
          <w:rFonts w:ascii="Arial" w:hAnsi="Arial"/>
          <w:sz w:val="22"/>
        </w:rPr>
      </w:pPr>
    </w:p>
    <w:p w:rsidR="002B233D" w:rsidRDefault="002B233D" w:rsidP="0027323A">
      <w:pPr>
        <w:rPr>
          <w:rFonts w:ascii="Arial" w:hAnsi="Arial"/>
          <w:sz w:val="22"/>
        </w:rPr>
      </w:pPr>
    </w:p>
    <w:p w:rsidR="002B233D" w:rsidRDefault="002B233D" w:rsidP="0027323A">
      <w:pPr>
        <w:rPr>
          <w:rFonts w:ascii="Arial" w:hAnsi="Arial"/>
          <w:sz w:val="22"/>
        </w:rPr>
      </w:pPr>
      <w:r>
        <w:rPr>
          <w:rFonts w:ascii="Arial" w:hAnsi="Arial"/>
          <w:sz w:val="22"/>
          <w:u w:val="single"/>
        </w:rPr>
        <w:t>Description of the Information Collection</w:t>
      </w:r>
    </w:p>
    <w:p w:rsidR="002B233D" w:rsidRDefault="002B233D" w:rsidP="0027323A">
      <w:pPr>
        <w:rPr>
          <w:rFonts w:ascii="Arial" w:hAnsi="Arial"/>
          <w:sz w:val="22"/>
        </w:rPr>
      </w:pPr>
    </w:p>
    <w:p w:rsidR="002B233D" w:rsidRDefault="002B233D" w:rsidP="0027323A">
      <w:pPr>
        <w:rPr>
          <w:rFonts w:ascii="Arial" w:hAnsi="Arial"/>
          <w:sz w:val="22"/>
        </w:rPr>
      </w:pPr>
      <w:r>
        <w:rPr>
          <w:rFonts w:ascii="Arial" w:hAnsi="Arial"/>
          <w:sz w:val="22"/>
        </w:rPr>
        <w:t>NRC regulations in 10 CFR Part 11 establish requirements for access to special nuclear material and the criteria and procedures for resolving questions concerning the eligibility of individuals to receive special nuclear material access authorization.  These requirements, criteria, and procedures apply to employees (including applicants for employment), contractors, and consultants of NRC licensees and contractors whose activities involve access to or control over special nuclear material at either fixed sites or in transportation activities.  The regulations are issued pursuant to the Atomic Energy Act of 1954, as amended.</w:t>
      </w:r>
    </w:p>
    <w:p w:rsidR="002B233D" w:rsidRDefault="002B233D" w:rsidP="0027323A">
      <w:pPr>
        <w:rPr>
          <w:rFonts w:ascii="Arial" w:hAnsi="Arial"/>
          <w:sz w:val="22"/>
        </w:rPr>
      </w:pPr>
    </w:p>
    <w:p w:rsidR="002B233D" w:rsidRDefault="002B233D" w:rsidP="0027323A">
      <w:pPr>
        <w:rPr>
          <w:rFonts w:ascii="Arial" w:hAnsi="Arial"/>
          <w:sz w:val="22"/>
        </w:rPr>
      </w:pPr>
    </w:p>
    <w:p w:rsidR="002B233D" w:rsidRDefault="002B233D" w:rsidP="0027323A">
      <w:pPr>
        <w:numPr>
          <w:ilvl w:val="0"/>
          <w:numId w:val="2"/>
        </w:numPr>
        <w:tabs>
          <w:tab w:val="clear" w:pos="1080"/>
          <w:tab w:val="left" w:pos="-1440"/>
          <w:tab w:val="left" w:pos="-720"/>
        </w:tabs>
        <w:ind w:left="720"/>
        <w:rPr>
          <w:rFonts w:ascii="Arial" w:hAnsi="Arial"/>
          <w:sz w:val="22"/>
        </w:rPr>
      </w:pPr>
      <w:r>
        <w:rPr>
          <w:rFonts w:ascii="Arial" w:hAnsi="Arial"/>
          <w:sz w:val="22"/>
          <w:u w:val="single"/>
        </w:rPr>
        <w:t>Justification</w:t>
      </w:r>
    </w:p>
    <w:p w:rsidR="002B233D" w:rsidRDefault="002B233D"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Need for and Practical Utility of the Information Collection</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Two levels of special nuclear material access authorization are established.  The higher level, NRC-U, is based on a full field background investigation and applies to (i) all positions in the security force, (ii) certain management positions, (iii) all individuals who require unescorted access to special nuclear material or within vital areas, (iv) those jobs in which an individual, alone or in cooperation with another individual who does not possess an NRC-U special nuclear material access authorization, could act to steal or divert special nuclear material or commit sabotage, and (v) drivers of motor vehicles and pilots of aircraft transporting significant quantities of special nuclear material, those who escort road, rail, air, or sea shipments of special nuclear material, and those who are authorized to direct deviation from planned transportation routes.  The lower level, NRC-R, is based on a National Agency Check and credit investigation and applies to all individuals who require unescorted access to protected areas and who are not required to possess an NRC-U special nuclear material access authorization.</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 xml:space="preserve">Both the National Agency Check and credit investigation and the full field background investigation are conducted by the Office of Personnel Management (OPM).  The National Agency Check and credit investigation consists of a check of files of the Federal Bureau of Investigation (FBI) (fingerprinting and central files), OPM (Security-Investigative Index), and a check of military records and records of other government agencies and a credit check.  The full field background investigation consists of interviews of references, conducted by investigative agents of OPM, in addition to the records check.  Sources of information developed in the course of the investigation are also interviewed.  </w:t>
      </w:r>
      <w:r>
        <w:rPr>
          <w:rFonts w:ascii="Arial" w:hAnsi="Arial"/>
          <w:sz w:val="22"/>
        </w:rPr>
        <w:lastRenderedPageBreak/>
        <w:t>The full field background investigation conducted by OPM generally covers the 10-year period of the individual's adult life prior to the investigation.</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Personal history information which is submitted on applicants for relevant jobs is provided to OPM, which conducts investigations.  NRC reviews the results of these investigations and makes determinations of the eligibility of the applicants for access authorization.</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 11.9</w:t>
      </w:r>
      <w:r>
        <w:rPr>
          <w:rFonts w:ascii="Arial" w:hAnsi="Arial"/>
          <w:sz w:val="22"/>
        </w:rPr>
        <w:t xml:space="preserve"> provides that licensees and other organizations may submit an application for an exemption from any requirement of Part 11.  Applications under this section are examined by the NRC staff to determine whether the requested exemption is authorized by law and whether it will not constitute an undue risk to the common defense and security.  Documentation related to the request, notification, and processing of an exemption is required to be maintained as a record for 3 years after the period covered by the exemption.  No licensees have requested exemptions in recent years, and no requests are anticipated.</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 11.11(a)</w:t>
      </w:r>
      <w:r>
        <w:rPr>
          <w:rFonts w:ascii="Arial" w:hAnsi="Arial"/>
          <w:sz w:val="22"/>
        </w:rPr>
        <w:t xml:space="preserve"> requires that all fixed site licensees and transportation facilities submit an amendment to their security plan identifying those jobs which will require incumbents to have material access authorizations.  The information is needed by NRC to determine the extent of requirements for access authorizations and to establish that such authorizations are keyed to job requirements.  All current licensees have submitted the required amendments, and no new licensees are anticipated.</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 11.13(b)</w:t>
      </w:r>
      <w:r>
        <w:rPr>
          <w:rFonts w:ascii="Arial" w:hAnsi="Arial"/>
          <w:sz w:val="22"/>
        </w:rPr>
        <w:t xml:space="preserve"> requires licensees who ship special nuclear material subject to the physical protection requirements of specified sections of 10 CFR Part 73 to make a record, prior to shipment, of the name and special nuclear material access authorization number of certain individuals assigned to the shipment.  The record must be retained for 3 years after the shipment is made.  The information is needed to permit NRC inspectors to verify that the licensee is complying with requirements for access to special nuclear material in transit and to permit followup in the event of any incident.  There are currently no licensed Category I shippers, hence no current burden is anticipated.</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Sections 11.15(a), (b), (c), and (d)</w:t>
      </w:r>
      <w:r>
        <w:rPr>
          <w:rFonts w:ascii="Arial" w:hAnsi="Arial"/>
          <w:sz w:val="22"/>
        </w:rPr>
        <w:t xml:space="preserve"> requires an employer to file an application with the NRC on behalf of the employee for special nuclear material access authorization, renewal, or change in level.  </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 11.15(a)(2)</w:t>
      </w:r>
      <w:r>
        <w:rPr>
          <w:rFonts w:ascii="Arial" w:hAnsi="Arial"/>
          <w:sz w:val="22"/>
        </w:rPr>
        <w:t xml:space="preserve"> permits licensees to request certification of existing clearances of individuals from the NRC or other Federal agencies if the investigation data are equivalent to that required for NRC-U or NRC-R access authorization.  Information upon which to base certifications is submitted on a Security Acknowledgment (NRC Form 176) and Request for Access Authorization (NRC Form 237, OMB Clearance No. 3150-0050).  The information submitted is needed to determine the investigative basis and level of clearance.  It is evaluated by NRC to determine whether access authorization should be granted.</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lastRenderedPageBreak/>
        <w:t>Section 11.15(b)</w:t>
      </w:r>
      <w:r>
        <w:rPr>
          <w:rFonts w:ascii="Arial" w:hAnsi="Arial"/>
          <w:sz w:val="22"/>
        </w:rPr>
        <w:t xml:space="preserve"> requires that, for individuals other than those qualified under § 11.15(a)(2), above, licensees must submit applications for special nuclear material access authorization for individuals employed in jobs identified in Section 11.11.  Applications contain personal history information which is provided to OPM, which conducts an investigation or National Agency Check.  NRC then determines whether the individual should be granted the level of special nuclear material access authorization that was requested.</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 11.15(c)</w:t>
      </w:r>
      <w:r>
        <w:rPr>
          <w:rFonts w:ascii="Arial" w:hAnsi="Arial"/>
          <w:sz w:val="22"/>
        </w:rPr>
        <w:t xml:space="preserve"> provides that, with specified exceptions, access authorizations expire 5 years from the date of issuance, and requires that applications for renewal be filed with NRC at least 120 days prior to expiration.  In addition, this section allows an exception to the NRC-U and NRC-R special nuclear material access authorization expiration date for individuals who have an active DOE-Q or DOE-L access authorization and are subject to the DOE reinvestigation program.</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Section 11.15(c) also requires the licensee to submit NRC renewal applications only for an individual who has not been reinvestigated by DOE or another Federal agency within a 5- to 7-year span permitted in the regulations.  The burden is attributable to and will be reported under the clearance for Standard Form 86, OMB No. 3206-0007, and NRC Form 237, OMB No. 3150-0050.</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 11.15(d)</w:t>
      </w:r>
      <w:r>
        <w:rPr>
          <w:rFonts w:ascii="Arial" w:hAnsi="Arial"/>
          <w:sz w:val="22"/>
        </w:rPr>
        <w:t xml:space="preserve"> requires that applications must be filed with NRC for a change in level of access authorization if changes in the employee's job responsibilities so require.  The application must include a description of the new duties to be assigned or assumed, justified by reference to the licensee's security plan.</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The information required by § 11.15 is needed to enable NRC to make determinations concerning the eligibility of individuals for special nuclear material access authorization and to determine whether NRC licensees are in compliance with requirements for identifying and obtaining access authorization for specified types of jobs.</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 11.16</w:t>
      </w:r>
      <w:r>
        <w:rPr>
          <w:rFonts w:ascii="Arial" w:hAnsi="Arial"/>
          <w:sz w:val="22"/>
        </w:rPr>
        <w:t xml:space="preserve"> requires that licensees wishing to withdraw or cancel a request for an individual to be granted a special nuclear material access authorization do so by supplying the identifying information on the individual and the level of authorization requested.  This information must be provided immediately by telephone and confirmed in writing.  This information is needed so that the full field investigation or National Agency Check may be discontinued.</w:t>
      </w:r>
    </w:p>
    <w:p w:rsidR="00B55839" w:rsidRDefault="00B55839"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Agency Use of the Information</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 xml:space="preserve">Personal history information which is submitted on applicants for relevant jobs is provided to OPM, which conducts investigations.  NRC reviews the results of these investigations and makes determinations of the eligibility of the applicants for access authorization.   Applications for an exemption from requirements of 10 CFR Part 11 are examined by the NRC staff to determine whether the requested exemption is authorized by law and whether it will not constitute an undue risk to the common defense and security.  Information in licensee security plans identifying those jobs which will require incumbents to have material access authorizations is needed by NRC to determine the extent of requirements for </w:t>
      </w:r>
      <w:r>
        <w:rPr>
          <w:rFonts w:ascii="Arial" w:hAnsi="Arial"/>
          <w:sz w:val="22"/>
        </w:rPr>
        <w:lastRenderedPageBreak/>
        <w:t xml:space="preserve">access authorizations and to establish that such authorizations are keyed to job requirements.  Records of the name and special nuclear material access authorization number of certain individuals assigned to shipments of special nuclear material are needed to permit </w:t>
      </w:r>
    </w:p>
    <w:p w:rsidR="0027323A" w:rsidRDefault="0027323A" w:rsidP="0027323A">
      <w:pPr>
        <w:ind w:left="1440"/>
      </w:pPr>
    </w:p>
    <w:p w:rsidR="002B233D" w:rsidRDefault="002B233D" w:rsidP="0027323A">
      <w:pPr>
        <w:ind w:left="1440"/>
        <w:rPr>
          <w:rFonts w:ascii="Arial" w:hAnsi="Arial"/>
          <w:sz w:val="22"/>
        </w:rPr>
      </w:pPr>
      <w:r>
        <w:rPr>
          <w:rFonts w:ascii="Arial" w:hAnsi="Arial"/>
          <w:sz w:val="22"/>
        </w:rPr>
        <w:t xml:space="preserve">NRC inspectors to verify that the licensee is complying with requirements for access to special nuclear material in transit and to permit followup in the event of any incident.  Applications for special nuclear material access authorization for individuals employed in jobs identified in § 11.11 are provided to OPM, which conducts an investigation or National Agency Check.  NRC then determines whether the individual should be granted the level of special nuclear material access authorization that was requested.  Applications required by § 11.15 for access authorization or a change in level of access authorization based on a change in the employee's job responsibilities are needed to enable NRC to make </w:t>
      </w:r>
      <w:r w:rsidR="0027323A">
        <w:rPr>
          <w:rFonts w:ascii="Arial" w:hAnsi="Arial"/>
          <w:sz w:val="22"/>
        </w:rPr>
        <w:t>determinations concerning</w:t>
      </w:r>
      <w:r>
        <w:rPr>
          <w:rFonts w:ascii="Arial" w:hAnsi="Arial"/>
          <w:sz w:val="22"/>
        </w:rPr>
        <w:t xml:space="preserve"> the eligibility of individuals for special nuclear material access authorization and to determine whether NRC licensees are in compliance with requirements for identifying and obtaining access authorization for specified types of jobs.</w:t>
      </w:r>
    </w:p>
    <w:p w:rsidR="002B233D" w:rsidRDefault="002B233D" w:rsidP="0027323A">
      <w:pPr>
        <w:rPr>
          <w:rFonts w:ascii="Arial" w:hAnsi="Arial"/>
          <w:sz w:val="22"/>
        </w:rPr>
      </w:pPr>
    </w:p>
    <w:p w:rsidR="002B233D" w:rsidRPr="00BC2919" w:rsidRDefault="002B233D" w:rsidP="0027323A">
      <w:pPr>
        <w:numPr>
          <w:ilvl w:val="1"/>
          <w:numId w:val="2"/>
        </w:numPr>
        <w:tabs>
          <w:tab w:val="clear" w:pos="1800"/>
          <w:tab w:val="left" w:pos="-1440"/>
          <w:tab w:val="left" w:pos="-720"/>
        </w:tabs>
        <w:ind w:left="1440"/>
        <w:rPr>
          <w:rFonts w:ascii="Arial" w:hAnsi="Arial"/>
          <w:color w:val="000000"/>
          <w:sz w:val="22"/>
        </w:rPr>
      </w:pPr>
      <w:r w:rsidRPr="00BC2919">
        <w:rPr>
          <w:rFonts w:ascii="Arial" w:hAnsi="Arial"/>
          <w:color w:val="000000"/>
          <w:sz w:val="22"/>
          <w:u w:val="single"/>
        </w:rPr>
        <w:t>Reduction of Burden Through Information Technology</w:t>
      </w:r>
    </w:p>
    <w:p w:rsidR="006A2037" w:rsidRDefault="006A2037" w:rsidP="0027323A">
      <w:pPr>
        <w:widowControl w:val="0"/>
        <w:ind w:left="1440" w:firstLine="720"/>
        <w:rPr>
          <w:rFonts w:ascii="Arial" w:hAnsi="Arial"/>
          <w:sz w:val="22"/>
        </w:rPr>
      </w:pPr>
    </w:p>
    <w:p w:rsidR="00246491" w:rsidRDefault="00246491" w:rsidP="006156B7">
      <w:pPr>
        <w:widowControl w:val="0"/>
        <w:ind w:left="1440"/>
        <w:rPr>
          <w:rFonts w:ascii="Arial" w:hAnsi="Arial"/>
          <w:sz w:val="22"/>
        </w:rPr>
      </w:pPr>
      <w:r>
        <w:rPr>
          <w:rFonts w:ascii="Arial" w:hAnsi="Arial"/>
          <w:sz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w:t>
      </w:r>
      <w:r w:rsidR="00705A53">
        <w:rPr>
          <w:rFonts w:ascii="Arial" w:hAnsi="Arial"/>
          <w:sz w:val="22"/>
        </w:rPr>
        <w:t xml:space="preserve">It is estimated that approximately </w:t>
      </w:r>
      <w:r w:rsidR="007970E6">
        <w:rPr>
          <w:rFonts w:ascii="Arial" w:hAnsi="Arial"/>
          <w:color w:val="000000"/>
          <w:sz w:val="22"/>
        </w:rPr>
        <w:t>0</w:t>
      </w:r>
      <w:r w:rsidR="00EB0A15">
        <w:rPr>
          <w:rFonts w:ascii="Arial" w:hAnsi="Arial"/>
          <w:color w:val="000000"/>
          <w:sz w:val="22"/>
        </w:rPr>
        <w:t xml:space="preserve"> percent</w:t>
      </w:r>
      <w:r w:rsidR="00705A53">
        <w:rPr>
          <w:rFonts w:ascii="Arial" w:hAnsi="Arial"/>
          <w:sz w:val="22"/>
        </w:rPr>
        <w:t xml:space="preserve"> of the potential responses are filed electronically.</w:t>
      </w:r>
    </w:p>
    <w:p w:rsidR="002B233D" w:rsidRDefault="002B233D" w:rsidP="0027323A">
      <w:pPr>
        <w:rPr>
          <w:rFonts w:ascii="Arial" w:hAnsi="Arial"/>
          <w:sz w:val="22"/>
        </w:rPr>
      </w:pPr>
    </w:p>
    <w:p w:rsidR="002B233D" w:rsidRPr="006A2037" w:rsidRDefault="002B233D" w:rsidP="0027323A">
      <w:pPr>
        <w:numPr>
          <w:ilvl w:val="1"/>
          <w:numId w:val="2"/>
        </w:numPr>
        <w:tabs>
          <w:tab w:val="clear" w:pos="1800"/>
          <w:tab w:val="left" w:pos="-1440"/>
          <w:tab w:val="left" w:pos="-720"/>
        </w:tabs>
        <w:ind w:left="1440"/>
        <w:rPr>
          <w:rFonts w:ascii="Arial" w:hAnsi="Arial"/>
          <w:sz w:val="22"/>
        </w:rPr>
      </w:pPr>
      <w:r w:rsidRPr="006A2037">
        <w:rPr>
          <w:rFonts w:ascii="Arial" w:hAnsi="Arial"/>
          <w:sz w:val="22"/>
          <w:u w:val="single"/>
        </w:rPr>
        <w:t>Effort to Identify Duplication and Use Similar Information</w:t>
      </w:r>
    </w:p>
    <w:p w:rsidR="006A2037" w:rsidRDefault="006A2037" w:rsidP="0027323A">
      <w:pPr>
        <w:widowControl w:val="0"/>
        <w:rPr>
          <w:rFonts w:ascii="Arial" w:hAnsi="Arial"/>
          <w:sz w:val="22"/>
        </w:rPr>
      </w:pPr>
    </w:p>
    <w:p w:rsidR="002B233D" w:rsidRDefault="00246491" w:rsidP="006156B7">
      <w:pPr>
        <w:widowControl w:val="0"/>
        <w:ind w:left="1440"/>
        <w:rPr>
          <w:rFonts w:ascii="Arial" w:hAnsi="Arial"/>
          <w:sz w:val="22"/>
        </w:rPr>
      </w:pPr>
      <w:r>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B55839" w:rsidRDefault="00B55839"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Effort to Reduce Small Business Burden</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The NRC has determined that none of the affected licensees are small entities as that term is defined in the Regulatory Flexibility Act.</w:t>
      </w:r>
    </w:p>
    <w:p w:rsidR="002B233D" w:rsidRDefault="002B233D"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Consequences to Federal Programs or Policy Activities if the Collection is not Conducted or is Conducted Less Frequently</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If the information were not collected, NRC would not have the information needed to assure that licensees will continue to conduct programs in a manner that will assure adequate protection of the common defense and security.  Applications for new access authorization are submitted only once.  Applications for renewal of access authorization are submitted every 5 years.</w:t>
      </w:r>
    </w:p>
    <w:p w:rsidR="002B233D" w:rsidRDefault="002B233D"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Circumstances Which Justify Variation from Office of Management and Budget (OMB) Guidelines</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Contrary to the OMB Guidelines in 5 CFR 1320.5(d), § 11.16 requires that licensees provide notification to NRC immediately by telephone, with prompt confirmation in writing, of the withdrawal or cancellation of any request for access authorization.  This requirement is needed to allow the government to promptly terminate investigations which may be underway in order to prevent the further expenditure of extremely scarce government investigative resources on a clearance that will not be needed.</w:t>
      </w:r>
    </w:p>
    <w:p w:rsidR="002B233D" w:rsidRDefault="002B233D" w:rsidP="0027323A">
      <w:pPr>
        <w:rPr>
          <w:rFonts w:ascii="Arial" w:hAnsi="Arial"/>
          <w:sz w:val="22"/>
        </w:rPr>
      </w:pPr>
    </w:p>
    <w:p w:rsidR="002B233D" w:rsidRPr="007A7E9E" w:rsidRDefault="002B233D" w:rsidP="0027323A">
      <w:pPr>
        <w:numPr>
          <w:ilvl w:val="1"/>
          <w:numId w:val="2"/>
        </w:numPr>
        <w:tabs>
          <w:tab w:val="clear" w:pos="1800"/>
          <w:tab w:val="left" w:pos="-1440"/>
          <w:tab w:val="left" w:pos="-720"/>
        </w:tabs>
        <w:ind w:left="1440"/>
        <w:rPr>
          <w:rFonts w:ascii="Arial" w:hAnsi="Arial"/>
          <w:sz w:val="22"/>
        </w:rPr>
      </w:pPr>
      <w:r w:rsidRPr="007A7E9E">
        <w:rPr>
          <w:rFonts w:ascii="Arial" w:hAnsi="Arial"/>
          <w:sz w:val="22"/>
          <w:u w:val="single"/>
        </w:rPr>
        <w:t>Consultations Outside the NRC</w:t>
      </w:r>
      <w:r w:rsidRPr="007A7E9E">
        <w:rPr>
          <w:rFonts w:ascii="Arial" w:hAnsi="Arial"/>
          <w:sz w:val="22"/>
        </w:rPr>
        <w:t xml:space="preserve"> </w:t>
      </w:r>
    </w:p>
    <w:p w:rsidR="006332EB" w:rsidRDefault="006332EB" w:rsidP="0027323A">
      <w:pPr>
        <w:widowControl w:val="0"/>
        <w:ind w:left="1440" w:firstLine="720"/>
        <w:rPr>
          <w:rFonts w:ascii="Arial" w:hAnsi="Arial"/>
          <w:sz w:val="22"/>
        </w:rPr>
      </w:pPr>
    </w:p>
    <w:p w:rsidR="007D5919" w:rsidRPr="003F134A" w:rsidRDefault="007D5919" w:rsidP="006156B7">
      <w:pPr>
        <w:widowControl w:val="0"/>
        <w:ind w:left="1440"/>
        <w:rPr>
          <w:rFonts w:ascii="Arial" w:hAnsi="Arial"/>
          <w:sz w:val="22"/>
        </w:rPr>
      </w:pPr>
      <w:r>
        <w:rPr>
          <w:rFonts w:ascii="Arial" w:hAnsi="Arial"/>
          <w:sz w:val="22"/>
        </w:rPr>
        <w:t xml:space="preserve">Opportunity for public comment on the information collection requirements for this clearance package </w:t>
      </w:r>
      <w:r w:rsidR="00EB0A15">
        <w:rPr>
          <w:rFonts w:ascii="Arial" w:hAnsi="Arial"/>
          <w:sz w:val="22"/>
        </w:rPr>
        <w:t>was</w:t>
      </w:r>
      <w:r>
        <w:rPr>
          <w:rFonts w:ascii="Arial" w:hAnsi="Arial"/>
          <w:sz w:val="22"/>
        </w:rPr>
        <w:t xml:space="preserve"> published in the </w:t>
      </w:r>
      <w:r>
        <w:rPr>
          <w:rFonts w:ascii="Arial" w:hAnsi="Arial"/>
          <w:sz w:val="22"/>
          <w:u w:val="single"/>
        </w:rPr>
        <w:t>Federal Register</w:t>
      </w:r>
      <w:r w:rsidR="003F134A" w:rsidRPr="003F134A">
        <w:rPr>
          <w:rFonts w:ascii="Arial" w:hAnsi="Arial"/>
          <w:sz w:val="22"/>
        </w:rPr>
        <w:t xml:space="preserve"> </w:t>
      </w:r>
      <w:r w:rsidR="004202E4">
        <w:rPr>
          <w:rFonts w:ascii="Arial" w:hAnsi="Arial"/>
          <w:sz w:val="22"/>
        </w:rPr>
        <w:t>on April 2, 2010 (75 FR 16868)</w:t>
      </w:r>
      <w:r w:rsidR="003F134A">
        <w:rPr>
          <w:rFonts w:ascii="Arial" w:hAnsi="Arial"/>
          <w:sz w:val="22"/>
        </w:rPr>
        <w:t xml:space="preserve">. </w:t>
      </w:r>
      <w:r w:rsidR="00EB0A15">
        <w:rPr>
          <w:rFonts w:ascii="Arial" w:hAnsi="Arial"/>
          <w:sz w:val="22"/>
        </w:rPr>
        <w:t xml:space="preserve"> </w:t>
      </w:r>
      <w:r w:rsidR="003F134A">
        <w:rPr>
          <w:rFonts w:ascii="Arial" w:hAnsi="Arial"/>
          <w:sz w:val="22"/>
        </w:rPr>
        <w:t>No comments were received.</w:t>
      </w:r>
    </w:p>
    <w:p w:rsidR="006332EB" w:rsidRDefault="006332EB"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Payment or Gift to Respondents</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Not applicable.</w:t>
      </w:r>
    </w:p>
    <w:p w:rsidR="002B233D" w:rsidRDefault="002B233D" w:rsidP="0027323A">
      <w:pPr>
        <w:rPr>
          <w:rFonts w:ascii="Arial" w:hAnsi="Arial"/>
          <w:sz w:val="22"/>
        </w:rPr>
      </w:pPr>
    </w:p>
    <w:p w:rsidR="002B233D" w:rsidRPr="005C7364" w:rsidRDefault="002B233D" w:rsidP="0027323A">
      <w:pPr>
        <w:numPr>
          <w:ilvl w:val="1"/>
          <w:numId w:val="2"/>
        </w:numPr>
        <w:tabs>
          <w:tab w:val="clear" w:pos="1800"/>
          <w:tab w:val="left" w:pos="-1440"/>
          <w:tab w:val="left" w:pos="-720"/>
        </w:tabs>
        <w:ind w:left="1440"/>
        <w:rPr>
          <w:rFonts w:ascii="Arial" w:hAnsi="Arial"/>
          <w:sz w:val="22"/>
        </w:rPr>
      </w:pPr>
      <w:r w:rsidRPr="005C7364">
        <w:rPr>
          <w:rFonts w:ascii="Arial" w:hAnsi="Arial"/>
          <w:sz w:val="22"/>
          <w:u w:val="single"/>
        </w:rPr>
        <w:t>Confidentiality of the Information</w:t>
      </w:r>
      <w:r w:rsidRPr="005C7364">
        <w:rPr>
          <w:rFonts w:ascii="Arial" w:hAnsi="Arial"/>
          <w:sz w:val="22"/>
        </w:rPr>
        <w:t xml:space="preserve"> </w:t>
      </w:r>
    </w:p>
    <w:p w:rsidR="005C7364" w:rsidRDefault="005C7364" w:rsidP="0027323A">
      <w:pPr>
        <w:widowControl w:val="0"/>
        <w:rPr>
          <w:rFonts w:ascii="Arial" w:hAnsi="Arial"/>
          <w:sz w:val="22"/>
        </w:rPr>
      </w:pPr>
    </w:p>
    <w:p w:rsidR="007D5919" w:rsidRDefault="007D5919" w:rsidP="006156B7">
      <w:pPr>
        <w:widowControl w:val="0"/>
        <w:ind w:left="1440"/>
        <w:rPr>
          <w:rFonts w:ascii="Arial" w:hAnsi="Arial"/>
          <w:sz w:val="22"/>
        </w:rPr>
      </w:pPr>
      <w:r>
        <w:rPr>
          <w:rFonts w:ascii="Arial" w:hAnsi="Arial"/>
          <w:sz w:val="22"/>
        </w:rPr>
        <w:t>Confidential and proprietary information is protected in accordance with NRC regulations at 10 CFR 9.17(a) and 10 CFR 2.390(b).</w:t>
      </w:r>
    </w:p>
    <w:p w:rsidR="007D5919" w:rsidRDefault="007D5919" w:rsidP="0027323A">
      <w:pPr>
        <w:widowControl w:val="0"/>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Justification for Sensitive Questions</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Sensitive information collected under this program has been previously cleared in connection with Standard Form 86, OMB Clearance No. 3206-0007.</w:t>
      </w:r>
    </w:p>
    <w:p w:rsidR="002B233D" w:rsidRDefault="002B233D" w:rsidP="0027323A">
      <w:pPr>
        <w:rPr>
          <w:rFonts w:ascii="Arial" w:hAnsi="Arial"/>
          <w:sz w:val="22"/>
        </w:rPr>
      </w:pPr>
    </w:p>
    <w:p w:rsidR="002B233D" w:rsidRPr="00D43701" w:rsidRDefault="002B233D" w:rsidP="0027323A">
      <w:pPr>
        <w:numPr>
          <w:ilvl w:val="1"/>
          <w:numId w:val="2"/>
        </w:numPr>
        <w:tabs>
          <w:tab w:val="clear" w:pos="1800"/>
          <w:tab w:val="left" w:pos="-1440"/>
          <w:tab w:val="left" w:pos="-720"/>
        </w:tabs>
        <w:ind w:left="1440"/>
        <w:rPr>
          <w:rFonts w:ascii="Arial" w:hAnsi="Arial"/>
          <w:sz w:val="22"/>
        </w:rPr>
      </w:pPr>
      <w:r w:rsidRPr="00D43701">
        <w:rPr>
          <w:rFonts w:ascii="Arial" w:hAnsi="Arial"/>
          <w:sz w:val="22"/>
          <w:u w:val="single"/>
        </w:rPr>
        <w:t xml:space="preserve">Estimated Burden and Burden Hour Cost </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The annual burden is expected to be 1.25 hours, based on NRC staff experience and the number of reports submitted in the past.  The cost per hour is the NRC’s professional hour cost, which is based on NRC’s fee recovery rate ($2</w:t>
      </w:r>
      <w:r w:rsidR="00D43701">
        <w:rPr>
          <w:rFonts w:ascii="Arial" w:hAnsi="Arial"/>
          <w:sz w:val="22"/>
        </w:rPr>
        <w:t>57</w:t>
      </w:r>
      <w:r>
        <w:rPr>
          <w:rFonts w:ascii="Arial" w:hAnsi="Arial"/>
          <w:sz w:val="22"/>
        </w:rPr>
        <w:t xml:space="preserve">), as published in NRC’s annual fee recovery rule.  </w:t>
      </w:r>
    </w:p>
    <w:p w:rsidR="002B233D" w:rsidRDefault="002B233D" w:rsidP="0027323A">
      <w:pPr>
        <w:rPr>
          <w:rFonts w:ascii="Arial" w:hAnsi="Arial"/>
          <w:sz w:val="22"/>
        </w:rPr>
      </w:pPr>
    </w:p>
    <w:p w:rsidR="008720FC" w:rsidRDefault="008720FC">
      <w:pPr>
        <w:rPr>
          <w:rFonts w:ascii="Arial" w:hAnsi="Arial"/>
          <w:sz w:val="22"/>
        </w:rPr>
      </w:pPr>
      <w:r>
        <w:rPr>
          <w:rFonts w:ascii="Arial" w:hAnsi="Arial"/>
          <w:sz w:val="22"/>
        </w:rPr>
        <w:br w:type="page"/>
      </w:r>
    </w:p>
    <w:p w:rsidR="002B233D" w:rsidRDefault="002B233D" w:rsidP="0027323A">
      <w:pPr>
        <w:ind w:left="1440"/>
        <w:rPr>
          <w:rFonts w:ascii="Arial" w:hAnsi="Arial"/>
          <w:sz w:val="22"/>
        </w:rPr>
      </w:pPr>
      <w:r>
        <w:rPr>
          <w:rFonts w:ascii="Arial" w:hAnsi="Arial"/>
          <w:sz w:val="22"/>
          <w:u w:val="single"/>
        </w:rPr>
        <w:lastRenderedPageBreak/>
        <w:t>Reporting Requirements</w:t>
      </w:r>
    </w:p>
    <w:p w:rsidR="002B233D" w:rsidRDefault="002B233D" w:rsidP="0027323A">
      <w:pPr>
        <w:rPr>
          <w:rFonts w:ascii="Arial" w:hAnsi="Arial"/>
          <w:sz w:val="22"/>
        </w:rPr>
      </w:pPr>
    </w:p>
    <w:tbl>
      <w:tblPr>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1530"/>
        <w:gridCol w:w="1620"/>
        <w:gridCol w:w="1530"/>
        <w:gridCol w:w="1440"/>
        <w:gridCol w:w="990"/>
        <w:gridCol w:w="1080"/>
        <w:gridCol w:w="2340"/>
      </w:tblGrid>
      <w:tr w:rsidR="002B233D">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Section</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No. of Respondents</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Responses per Respondent</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Burden Hrs Per Response</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Total Annual Burden</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Cost @ $2</w:t>
            </w:r>
            <w:r w:rsidR="00D43701">
              <w:rPr>
                <w:rFonts w:ascii="Arial" w:hAnsi="Arial"/>
                <w:sz w:val="22"/>
              </w:rPr>
              <w:t>57</w:t>
            </w:r>
            <w:r>
              <w:rPr>
                <w:rFonts w:ascii="Arial" w:hAnsi="Arial"/>
                <w:sz w:val="22"/>
              </w:rPr>
              <w:t>/Hr</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Comment</w:t>
            </w:r>
          </w:p>
        </w:tc>
      </w:tr>
      <w:tr w:rsidR="002B233D">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11.9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8</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r>
      <w:tr w:rsidR="002B233D">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11.11(a)</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40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r>
      <w:tr w:rsidR="002B233D">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11.15(a)(2)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Burden approved under NRC Form 237, OMB 3150-0050</w:t>
            </w:r>
          </w:p>
        </w:tc>
      </w:tr>
      <w:tr w:rsidR="002B233D">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11.15(b)</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Burden for the Personnel Security Packet,  SF-86, is approved under OMB 3206-0007</w:t>
            </w:r>
          </w:p>
        </w:tc>
      </w:tr>
      <w:tr w:rsidR="002B233D">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11.15(c)</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Burden for the Personnel Security Packet, SF-86, is approved under OMB 3206-0007 and burden for NRC Form 237 is approved under OMB 3150-0050</w:t>
            </w:r>
          </w:p>
        </w:tc>
      </w:tr>
      <w:tr w:rsidR="002B233D">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11.15(d)</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Burden approved for NRC Form 237 is approved under OMB 3150-0050</w:t>
            </w:r>
          </w:p>
        </w:tc>
      </w:tr>
      <w:tr w:rsidR="002B233D">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11.16</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5</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0.25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1.25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w:t>
            </w:r>
            <w:r w:rsidR="00D43701">
              <w:rPr>
                <w:rFonts w:ascii="Arial" w:hAnsi="Arial"/>
                <w:sz w:val="22"/>
              </w:rPr>
              <w:t>321.25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r>
      <w:tr w:rsidR="002B233D">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Total</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5</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1.25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w:t>
            </w:r>
            <w:r w:rsidR="00D43701">
              <w:rPr>
                <w:rFonts w:ascii="Arial" w:hAnsi="Arial"/>
                <w:sz w:val="22"/>
              </w:rPr>
              <w:t>321.25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r>
    </w:tbl>
    <w:p w:rsidR="002B233D" w:rsidRDefault="002B233D" w:rsidP="0027323A">
      <w:pPr>
        <w:rPr>
          <w:rFonts w:ascii="Arial" w:hAnsi="Arial"/>
          <w:sz w:val="22"/>
        </w:rPr>
      </w:pPr>
    </w:p>
    <w:p w:rsidR="008720FC" w:rsidRDefault="008720FC">
      <w:pPr>
        <w:rPr>
          <w:rFonts w:ascii="Arial" w:hAnsi="Arial"/>
          <w:sz w:val="22"/>
          <w:u w:val="single"/>
        </w:rPr>
      </w:pPr>
      <w:r>
        <w:rPr>
          <w:rFonts w:ascii="Arial" w:hAnsi="Arial"/>
          <w:sz w:val="22"/>
          <w:u w:val="single"/>
        </w:rPr>
        <w:br w:type="page"/>
      </w:r>
    </w:p>
    <w:p w:rsidR="002B233D" w:rsidRDefault="002B233D" w:rsidP="0027323A">
      <w:pPr>
        <w:ind w:left="1440"/>
        <w:rPr>
          <w:rFonts w:ascii="Arial" w:hAnsi="Arial"/>
          <w:sz w:val="22"/>
        </w:rPr>
      </w:pPr>
      <w:r>
        <w:rPr>
          <w:rFonts w:ascii="Arial" w:hAnsi="Arial"/>
          <w:sz w:val="22"/>
          <w:u w:val="single"/>
        </w:rPr>
        <w:lastRenderedPageBreak/>
        <w:t>Recordkeeping Requirements</w:t>
      </w:r>
    </w:p>
    <w:p w:rsidR="002B233D" w:rsidRDefault="002B233D" w:rsidP="0027323A">
      <w:pPr>
        <w:rPr>
          <w:rFonts w:ascii="Arial" w:hAnsi="Arial"/>
          <w:sz w:val="22"/>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2304"/>
        <w:gridCol w:w="1944"/>
        <w:gridCol w:w="1944"/>
        <w:gridCol w:w="1944"/>
        <w:gridCol w:w="2214"/>
      </w:tblGrid>
      <w:tr w:rsidR="002B233D">
        <w:trPr>
          <w:cantSplit/>
        </w:trPr>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Section</w:t>
            </w:r>
          </w:p>
        </w:tc>
        <w:tc>
          <w:tcPr>
            <w:tcW w:w="19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No. of Recordkeepers</w:t>
            </w:r>
          </w:p>
        </w:tc>
        <w:tc>
          <w:tcPr>
            <w:tcW w:w="19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Hrs. Per Recordkeeper</w:t>
            </w:r>
          </w:p>
        </w:tc>
        <w:tc>
          <w:tcPr>
            <w:tcW w:w="19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Total Annual Burden Hrs.</w:t>
            </w:r>
          </w:p>
        </w:tc>
        <w:tc>
          <w:tcPr>
            <w:tcW w:w="22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Retention Period</w:t>
            </w:r>
          </w:p>
        </w:tc>
      </w:tr>
      <w:tr w:rsidR="002B233D">
        <w:trPr>
          <w:cantSplit/>
        </w:trPr>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11.9</w:t>
            </w:r>
          </w:p>
        </w:tc>
        <w:tc>
          <w:tcPr>
            <w:tcW w:w="19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0</w:t>
            </w:r>
          </w:p>
        </w:tc>
        <w:tc>
          <w:tcPr>
            <w:tcW w:w="19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w:t>
            </w:r>
          </w:p>
        </w:tc>
        <w:tc>
          <w:tcPr>
            <w:tcW w:w="19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0</w:t>
            </w:r>
          </w:p>
        </w:tc>
        <w:tc>
          <w:tcPr>
            <w:tcW w:w="22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3 yrs after exemption period</w:t>
            </w:r>
          </w:p>
        </w:tc>
      </w:tr>
      <w:tr w:rsidR="002B233D">
        <w:trPr>
          <w:cantSplit/>
        </w:trPr>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11.13(b)</w:t>
            </w:r>
          </w:p>
        </w:tc>
        <w:tc>
          <w:tcPr>
            <w:tcW w:w="19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0</w:t>
            </w:r>
          </w:p>
        </w:tc>
        <w:tc>
          <w:tcPr>
            <w:tcW w:w="19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2</w:t>
            </w:r>
          </w:p>
        </w:tc>
        <w:tc>
          <w:tcPr>
            <w:tcW w:w="19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0</w:t>
            </w:r>
          </w:p>
        </w:tc>
        <w:tc>
          <w:tcPr>
            <w:tcW w:w="22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3 yrs after shipment</w:t>
            </w:r>
          </w:p>
        </w:tc>
      </w:tr>
      <w:tr w:rsidR="002B233D">
        <w:trPr>
          <w:cantSplit/>
        </w:trPr>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Total</w:t>
            </w:r>
          </w:p>
        </w:tc>
        <w:tc>
          <w:tcPr>
            <w:tcW w:w="19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0</w:t>
            </w:r>
          </w:p>
        </w:tc>
        <w:tc>
          <w:tcPr>
            <w:tcW w:w="19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c>
          <w:tcPr>
            <w:tcW w:w="19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r>
              <w:rPr>
                <w:rFonts w:ascii="Arial" w:hAnsi="Arial"/>
                <w:sz w:val="22"/>
              </w:rPr>
              <w:t>0</w:t>
            </w:r>
          </w:p>
        </w:tc>
        <w:tc>
          <w:tcPr>
            <w:tcW w:w="22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233D" w:rsidRDefault="002B233D" w:rsidP="0027323A">
            <w:pPr>
              <w:rPr>
                <w:rFonts w:ascii="Arial" w:hAnsi="Arial"/>
                <w:sz w:val="22"/>
              </w:rPr>
            </w:pPr>
          </w:p>
        </w:tc>
      </w:tr>
    </w:tbl>
    <w:p w:rsidR="002B233D" w:rsidRDefault="002B233D" w:rsidP="0027323A">
      <w:pPr>
        <w:rPr>
          <w:rFonts w:ascii="Arial" w:hAnsi="Arial"/>
          <w:sz w:val="22"/>
        </w:rPr>
      </w:pPr>
    </w:p>
    <w:p w:rsidR="002B233D" w:rsidRDefault="002B233D" w:rsidP="0027323A">
      <w:pPr>
        <w:rPr>
          <w:rFonts w:ascii="Arial" w:hAnsi="Arial"/>
          <w:sz w:val="22"/>
        </w:rPr>
      </w:pPr>
      <w:r>
        <w:rPr>
          <w:rFonts w:ascii="Arial" w:hAnsi="Arial"/>
          <w:sz w:val="22"/>
        </w:rPr>
        <w:t>Total Number of Respondents: 5</w:t>
      </w:r>
    </w:p>
    <w:p w:rsidR="002B233D" w:rsidRDefault="002B233D" w:rsidP="0027323A">
      <w:pPr>
        <w:rPr>
          <w:rFonts w:ascii="Arial" w:hAnsi="Arial"/>
          <w:sz w:val="22"/>
        </w:rPr>
      </w:pPr>
      <w:r>
        <w:rPr>
          <w:rFonts w:ascii="Arial" w:hAnsi="Arial"/>
          <w:sz w:val="22"/>
        </w:rPr>
        <w:t>Total Burden: 1.25 hours</w:t>
      </w:r>
    </w:p>
    <w:p w:rsidR="002B233D" w:rsidRDefault="002B233D" w:rsidP="0027323A">
      <w:pPr>
        <w:rPr>
          <w:rFonts w:ascii="Arial" w:hAnsi="Arial"/>
          <w:sz w:val="22"/>
        </w:rPr>
      </w:pPr>
    </w:p>
    <w:p w:rsidR="002B233D" w:rsidRPr="00D43701" w:rsidRDefault="002B233D" w:rsidP="0027323A">
      <w:pPr>
        <w:numPr>
          <w:ilvl w:val="1"/>
          <w:numId w:val="2"/>
        </w:numPr>
        <w:tabs>
          <w:tab w:val="clear" w:pos="1800"/>
          <w:tab w:val="left" w:pos="-1440"/>
          <w:tab w:val="left" w:pos="-720"/>
        </w:tabs>
        <w:ind w:left="1440"/>
        <w:rPr>
          <w:rFonts w:ascii="Arial" w:hAnsi="Arial"/>
          <w:sz w:val="22"/>
        </w:rPr>
      </w:pPr>
      <w:r w:rsidRPr="00D43701">
        <w:rPr>
          <w:rFonts w:ascii="Arial" w:hAnsi="Arial"/>
          <w:sz w:val="22"/>
          <w:u w:val="single"/>
        </w:rPr>
        <w:t>Estimate of Other Additional Costs</w:t>
      </w:r>
    </w:p>
    <w:p w:rsidR="00D43701" w:rsidRDefault="00D43701" w:rsidP="0027323A">
      <w:pPr>
        <w:rPr>
          <w:rFonts w:ascii="Arial" w:hAnsi="Arial" w:cs="Arial"/>
          <w:sz w:val="22"/>
          <w:szCs w:val="22"/>
        </w:rPr>
      </w:pPr>
    </w:p>
    <w:p w:rsidR="007D5919" w:rsidRDefault="007D5919" w:rsidP="006156B7">
      <w:pPr>
        <w:ind w:left="1440"/>
        <w:rPr>
          <w:rFonts w:ascii="Arial" w:hAnsi="Arial" w:cs="Arial"/>
          <w:sz w:val="22"/>
          <w:szCs w:val="22"/>
        </w:rPr>
      </w:pPr>
      <w:r w:rsidRPr="008341BD">
        <w:rPr>
          <w:rFonts w:ascii="Arial" w:hAnsi="Arial" w:cs="Arial"/>
          <w:sz w:val="22"/>
          <w:szCs w:val="22"/>
        </w:rPr>
        <w:t xml:space="preserve">The NRC has determined that the </w:t>
      </w:r>
      <w:r>
        <w:rPr>
          <w:rFonts w:ascii="Arial" w:hAnsi="Arial" w:cs="Arial"/>
          <w:sz w:val="22"/>
          <w:szCs w:val="22"/>
        </w:rPr>
        <w:t xml:space="preserve">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sidR="001F0E1C">
        <w:rPr>
          <w:rFonts w:ascii="Arial" w:hAnsi="Arial" w:cs="Arial"/>
          <w:sz w:val="22"/>
          <w:szCs w:val="22"/>
        </w:rPr>
        <w:t>0</w:t>
      </w:r>
      <w:r>
        <w:rPr>
          <w:rFonts w:ascii="Arial" w:hAnsi="Arial" w:cs="Arial"/>
          <w:sz w:val="22"/>
          <w:szCs w:val="22"/>
        </w:rPr>
        <w:t xml:space="preserve"> hours, the storage cost for this clearance is $00</w:t>
      </w:r>
      <w:r w:rsidRPr="00645292">
        <w:rPr>
          <w:rFonts w:ascii="Arial" w:hAnsi="Arial" w:cs="Arial"/>
          <w:sz w:val="22"/>
          <w:szCs w:val="22"/>
        </w:rPr>
        <w:t>.00 (</w:t>
      </w:r>
      <w:r w:rsidR="001F0E1C">
        <w:rPr>
          <w:rFonts w:ascii="Arial" w:hAnsi="Arial" w:cs="Arial"/>
          <w:sz w:val="22"/>
          <w:szCs w:val="22"/>
        </w:rPr>
        <w:t>0</w:t>
      </w:r>
      <w:r>
        <w:rPr>
          <w:rFonts w:ascii="Arial" w:hAnsi="Arial" w:cs="Arial"/>
          <w:sz w:val="22"/>
          <w:szCs w:val="22"/>
        </w:rPr>
        <w:t xml:space="preserve"> hours x 0.0004 x $257/hour)</w:t>
      </w:r>
      <w:r w:rsidRPr="00645292">
        <w:rPr>
          <w:rFonts w:ascii="Arial" w:hAnsi="Arial" w:cs="Arial"/>
          <w:sz w:val="22"/>
          <w:szCs w:val="22"/>
        </w:rPr>
        <w:t>.</w:t>
      </w:r>
    </w:p>
    <w:p w:rsidR="0027323A" w:rsidRDefault="0027323A" w:rsidP="0027323A">
      <w:pPr>
        <w:rPr>
          <w:rFonts w:ascii="Arial" w:hAnsi="Arial"/>
          <w:sz w:val="22"/>
        </w:rPr>
      </w:pPr>
    </w:p>
    <w:p w:rsidR="002B233D" w:rsidRPr="001F0E1C" w:rsidRDefault="002B233D" w:rsidP="0027323A">
      <w:pPr>
        <w:numPr>
          <w:ilvl w:val="1"/>
          <w:numId w:val="2"/>
        </w:numPr>
        <w:tabs>
          <w:tab w:val="clear" w:pos="1800"/>
          <w:tab w:val="left" w:pos="-1440"/>
          <w:tab w:val="left" w:pos="-720"/>
        </w:tabs>
        <w:ind w:left="1440"/>
        <w:rPr>
          <w:rFonts w:ascii="Arial" w:hAnsi="Arial"/>
          <w:sz w:val="22"/>
        </w:rPr>
      </w:pPr>
      <w:r w:rsidRPr="001F0E1C">
        <w:rPr>
          <w:rFonts w:ascii="Arial" w:hAnsi="Arial"/>
          <w:sz w:val="22"/>
          <w:u w:val="single"/>
        </w:rPr>
        <w:t xml:space="preserve">Estimated Annualized Cost to the Federal Government </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The majority of the cost incurred under 10 CFR Part 11 is attributable to activities in connection with the review and handling of the following reporting forms, and has been reported to OMB in connection with the clearance of those forms:</w:t>
      </w:r>
    </w:p>
    <w:p w:rsidR="008720FC" w:rsidRDefault="008720FC" w:rsidP="0027323A">
      <w:pPr>
        <w:ind w:left="2880" w:hanging="2880"/>
        <w:rPr>
          <w:rFonts w:ascii="Arial" w:hAnsi="Arial"/>
          <w:sz w:val="22"/>
        </w:rPr>
      </w:pPr>
    </w:p>
    <w:p w:rsidR="002B233D" w:rsidRDefault="008720FC" w:rsidP="008720FC">
      <w:pPr>
        <w:tabs>
          <w:tab w:val="left" w:pos="1440"/>
          <w:tab w:val="left" w:pos="3600"/>
        </w:tabs>
        <w:ind w:left="2880" w:hanging="2880"/>
        <w:rPr>
          <w:rFonts w:ascii="Arial" w:hAnsi="Arial"/>
          <w:sz w:val="22"/>
        </w:rPr>
      </w:pPr>
      <w:r>
        <w:rPr>
          <w:rFonts w:ascii="Arial" w:hAnsi="Arial"/>
          <w:sz w:val="22"/>
        </w:rPr>
        <w:tab/>
      </w:r>
      <w:r w:rsidR="002B233D">
        <w:rPr>
          <w:rFonts w:ascii="Arial" w:hAnsi="Arial"/>
          <w:sz w:val="22"/>
        </w:rPr>
        <w:t>SF 86</w:t>
      </w:r>
      <w:r w:rsidR="002B233D">
        <w:rPr>
          <w:rFonts w:ascii="Arial" w:hAnsi="Arial"/>
          <w:sz w:val="22"/>
        </w:rPr>
        <w:tab/>
      </w:r>
      <w:r w:rsidR="002B233D">
        <w:rPr>
          <w:rFonts w:ascii="Arial" w:hAnsi="Arial"/>
          <w:sz w:val="22"/>
        </w:rPr>
        <w:tab/>
        <w:t>OMB Clearance No. 3206-0007</w:t>
      </w:r>
    </w:p>
    <w:p w:rsidR="002B233D" w:rsidRDefault="002B233D" w:rsidP="0027323A">
      <w:pPr>
        <w:rPr>
          <w:rFonts w:ascii="Arial" w:hAnsi="Arial"/>
          <w:sz w:val="22"/>
        </w:rPr>
      </w:pPr>
    </w:p>
    <w:p w:rsidR="002B233D" w:rsidRDefault="002B233D" w:rsidP="0027323A">
      <w:pPr>
        <w:rPr>
          <w:rFonts w:ascii="Arial" w:hAnsi="Arial"/>
          <w:sz w:val="22"/>
        </w:rPr>
      </w:pPr>
      <w:r>
        <w:rPr>
          <w:rFonts w:ascii="Arial" w:hAnsi="Arial"/>
          <w:sz w:val="22"/>
        </w:rPr>
        <w:tab/>
      </w:r>
      <w:r>
        <w:rPr>
          <w:rFonts w:ascii="Arial" w:hAnsi="Arial"/>
          <w:sz w:val="22"/>
        </w:rPr>
        <w:tab/>
        <w:t>NRC Form 237</w:t>
      </w:r>
      <w:r>
        <w:rPr>
          <w:rFonts w:ascii="Arial" w:hAnsi="Arial"/>
          <w:sz w:val="22"/>
        </w:rPr>
        <w:tab/>
        <w:t>OMB Clearance No. 3150-0050</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It is expected that there will be a small number of withdrawals and cancellations of requests for access authorization which will not be covered by the above forms clearances.  The estimated cost of NRC staff processing of those withdrawals, at a rate of $2</w:t>
      </w:r>
      <w:r w:rsidR="001F0E1C">
        <w:rPr>
          <w:rFonts w:ascii="Arial" w:hAnsi="Arial"/>
          <w:sz w:val="22"/>
        </w:rPr>
        <w:t>57</w:t>
      </w:r>
      <w:r>
        <w:rPr>
          <w:rFonts w:ascii="Arial" w:hAnsi="Arial"/>
          <w:sz w:val="22"/>
        </w:rPr>
        <w:t xml:space="preserve"> per hour, is $</w:t>
      </w:r>
      <w:r w:rsidR="001F0E1C">
        <w:rPr>
          <w:rFonts w:ascii="Arial" w:hAnsi="Arial"/>
          <w:sz w:val="22"/>
        </w:rPr>
        <w:t>514</w:t>
      </w:r>
      <w:r>
        <w:rPr>
          <w:rFonts w:ascii="Arial" w:hAnsi="Arial"/>
          <w:sz w:val="22"/>
        </w:rPr>
        <w:t xml:space="preserve"> (5 reports x .4 hr x $2</w:t>
      </w:r>
      <w:r w:rsidR="001F0E1C">
        <w:rPr>
          <w:rFonts w:ascii="Arial" w:hAnsi="Arial"/>
          <w:sz w:val="22"/>
        </w:rPr>
        <w:t>57</w:t>
      </w:r>
      <w:r>
        <w:rPr>
          <w:rFonts w:ascii="Arial" w:hAnsi="Arial"/>
          <w:sz w:val="22"/>
        </w:rPr>
        <w:t xml:space="preserve">).  </w:t>
      </w:r>
    </w:p>
    <w:p w:rsidR="002B233D" w:rsidRDefault="002B233D" w:rsidP="0027323A">
      <w:pPr>
        <w:rPr>
          <w:rFonts w:ascii="Arial" w:hAnsi="Arial"/>
          <w:sz w:val="22"/>
        </w:rPr>
      </w:pPr>
    </w:p>
    <w:p w:rsidR="002B233D" w:rsidRPr="001F0E1C" w:rsidRDefault="002B233D" w:rsidP="0027323A">
      <w:pPr>
        <w:numPr>
          <w:ilvl w:val="1"/>
          <w:numId w:val="2"/>
        </w:numPr>
        <w:tabs>
          <w:tab w:val="clear" w:pos="1800"/>
          <w:tab w:val="left" w:pos="-1440"/>
          <w:tab w:val="left" w:pos="-720"/>
        </w:tabs>
        <w:ind w:left="1440"/>
        <w:rPr>
          <w:rFonts w:ascii="Arial" w:hAnsi="Arial"/>
          <w:sz w:val="22"/>
        </w:rPr>
      </w:pPr>
      <w:r w:rsidRPr="001F0E1C">
        <w:rPr>
          <w:rFonts w:ascii="Arial" w:hAnsi="Arial"/>
          <w:sz w:val="22"/>
          <w:u w:val="single"/>
        </w:rPr>
        <w:t>Reasons for Change in Burden or Cost</w:t>
      </w:r>
    </w:p>
    <w:p w:rsidR="001F0E1C" w:rsidRDefault="001F0E1C" w:rsidP="0027323A">
      <w:pPr>
        <w:ind w:left="1440"/>
        <w:rPr>
          <w:rFonts w:ascii="Arial" w:hAnsi="Arial"/>
          <w:sz w:val="22"/>
        </w:rPr>
      </w:pPr>
    </w:p>
    <w:p w:rsidR="002B233D" w:rsidRDefault="002B233D" w:rsidP="0027323A">
      <w:pPr>
        <w:ind w:left="1440"/>
        <w:rPr>
          <w:rFonts w:ascii="Arial" w:hAnsi="Arial"/>
          <w:sz w:val="22"/>
        </w:rPr>
      </w:pPr>
      <w:r>
        <w:rPr>
          <w:rFonts w:ascii="Arial" w:hAnsi="Arial"/>
          <w:sz w:val="22"/>
        </w:rPr>
        <w:t>There is no change in burden; however, the professional hourly cost rate for professional staff has increased from $</w:t>
      </w:r>
      <w:r w:rsidR="001F0E1C">
        <w:rPr>
          <w:rFonts w:ascii="Arial" w:hAnsi="Arial"/>
          <w:sz w:val="22"/>
        </w:rPr>
        <w:t>21</w:t>
      </w:r>
      <w:r>
        <w:rPr>
          <w:rFonts w:ascii="Arial" w:hAnsi="Arial"/>
          <w:sz w:val="22"/>
        </w:rPr>
        <w:t>6/hr to $2</w:t>
      </w:r>
      <w:r w:rsidR="001F0E1C">
        <w:rPr>
          <w:rFonts w:ascii="Arial" w:hAnsi="Arial"/>
          <w:sz w:val="22"/>
        </w:rPr>
        <w:t>57</w:t>
      </w:r>
      <w:r>
        <w:rPr>
          <w:rFonts w:ascii="Arial" w:hAnsi="Arial"/>
          <w:sz w:val="22"/>
        </w:rPr>
        <w:t>/hr.</w:t>
      </w:r>
    </w:p>
    <w:p w:rsidR="002B233D" w:rsidRDefault="002B233D"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Publication for Statistical Use</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None.</w:t>
      </w:r>
    </w:p>
    <w:p w:rsidR="002B233D" w:rsidRDefault="002B233D"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lastRenderedPageBreak/>
        <w:t>Reason for Not Displaying Expiration Date</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The 10 CFR Part 11 requirements are contained in a regulation.  Amending the Code of Federal Regulati</w:t>
      </w:r>
      <w:r w:rsidR="001F0E1C">
        <w:rPr>
          <w:rFonts w:ascii="Arial" w:hAnsi="Arial"/>
          <w:sz w:val="22"/>
        </w:rPr>
        <w:t>ons to display information that</w:t>
      </w:r>
      <w:r w:rsidR="007D5436">
        <w:rPr>
          <w:rFonts w:ascii="Arial" w:hAnsi="Arial"/>
          <w:sz w:val="22"/>
        </w:rPr>
        <w:t>,</w:t>
      </w:r>
      <w:r>
        <w:rPr>
          <w:rFonts w:ascii="Arial" w:hAnsi="Arial"/>
          <w:sz w:val="22"/>
        </w:rPr>
        <w:t xml:space="preserve"> in an annual publication</w:t>
      </w:r>
      <w:r w:rsidR="007D5436">
        <w:rPr>
          <w:rFonts w:ascii="Arial" w:hAnsi="Arial"/>
          <w:sz w:val="22"/>
        </w:rPr>
        <w:t xml:space="preserve">,    </w:t>
      </w:r>
      <w:r>
        <w:rPr>
          <w:rFonts w:ascii="Arial" w:hAnsi="Arial"/>
          <w:sz w:val="22"/>
        </w:rPr>
        <w:t xml:space="preserve"> could become obsolete</w:t>
      </w:r>
      <w:r w:rsidR="007D5436">
        <w:rPr>
          <w:rFonts w:ascii="Arial" w:hAnsi="Arial"/>
          <w:sz w:val="22"/>
        </w:rPr>
        <w:t xml:space="preserve"> </w:t>
      </w:r>
      <w:r>
        <w:rPr>
          <w:rFonts w:ascii="Arial" w:hAnsi="Arial"/>
          <w:sz w:val="22"/>
        </w:rPr>
        <w:t>would be unduly burdensome and too difficult to keep current.</w:t>
      </w:r>
    </w:p>
    <w:p w:rsidR="002B233D" w:rsidRDefault="002B233D"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Exceptions to the Certification Statement</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None.</w:t>
      </w:r>
    </w:p>
    <w:p w:rsidR="002B233D" w:rsidRDefault="002B233D" w:rsidP="0027323A">
      <w:pPr>
        <w:rPr>
          <w:rFonts w:ascii="Arial" w:hAnsi="Arial"/>
          <w:sz w:val="22"/>
        </w:rPr>
      </w:pPr>
    </w:p>
    <w:p w:rsidR="002B233D" w:rsidRPr="0027323A" w:rsidRDefault="002B233D" w:rsidP="0027323A">
      <w:pPr>
        <w:numPr>
          <w:ilvl w:val="0"/>
          <w:numId w:val="2"/>
        </w:numPr>
        <w:tabs>
          <w:tab w:val="clear" w:pos="1080"/>
          <w:tab w:val="left" w:pos="-1440"/>
          <w:tab w:val="left" w:pos="-720"/>
        </w:tabs>
        <w:ind w:left="720"/>
        <w:rPr>
          <w:rFonts w:ascii="Arial" w:hAnsi="Arial"/>
          <w:sz w:val="22"/>
          <w:u w:val="single"/>
        </w:rPr>
      </w:pPr>
      <w:r>
        <w:rPr>
          <w:rFonts w:ascii="Arial" w:hAnsi="Arial"/>
          <w:sz w:val="22"/>
          <w:u w:val="single"/>
        </w:rPr>
        <w:t>Collection of Information Employing Statistical Methods</w:t>
      </w:r>
    </w:p>
    <w:p w:rsidR="002B233D" w:rsidRDefault="002B233D" w:rsidP="0027323A">
      <w:pPr>
        <w:rPr>
          <w:rFonts w:ascii="Arial" w:hAnsi="Arial"/>
          <w:sz w:val="22"/>
        </w:rPr>
      </w:pPr>
    </w:p>
    <w:p w:rsidR="002B233D" w:rsidRDefault="00766646" w:rsidP="0027323A">
      <w:pPr>
        <w:ind w:left="720"/>
      </w:pPr>
      <w:r>
        <w:rPr>
          <w:rFonts w:ascii="Arial" w:hAnsi="Arial"/>
          <w:sz w:val="22"/>
        </w:rPr>
        <w:tab/>
      </w:r>
      <w:r w:rsidR="002B233D">
        <w:rPr>
          <w:rFonts w:ascii="Arial" w:hAnsi="Arial"/>
          <w:sz w:val="22"/>
        </w:rPr>
        <w:t>Statistical methods are not used in this collection of information.</w:t>
      </w:r>
    </w:p>
    <w:sectPr w:rsidR="002B233D" w:rsidSect="00B55839">
      <w:headerReference w:type="even" r:id="rId7"/>
      <w:headerReference w:type="default" r:id="rId8"/>
      <w:footerReference w:type="even" r:id="rId9"/>
      <w:type w:val="continuous"/>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37" w:rsidRDefault="009D6237">
      <w:r>
        <w:separator/>
      </w:r>
    </w:p>
  </w:endnote>
  <w:endnote w:type="continuationSeparator" w:id="0">
    <w:p w:rsidR="009D6237" w:rsidRDefault="009D6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01" w:rsidRDefault="00D43701">
    <w:pPr>
      <w:framePr w:w="9720" w:h="256"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Arial" w:hAnsi="Arial"/>
        <w:sz w:val="22"/>
      </w:rPr>
      <w:t>-</w:t>
    </w:r>
    <w:r>
      <w:rPr>
        <w:rFonts w:ascii="Arial" w:hAnsi="Arial"/>
        <w:sz w:val="22"/>
      </w:rPr>
      <w:pgNum/>
    </w:r>
    <w:r>
      <w:rPr>
        <w:rFonts w:ascii="Arial" w:hAnsi="Arial"/>
        <w:sz w:val="22"/>
      </w:rPr>
      <w:t>-</w:t>
    </w:r>
  </w:p>
  <w:p w:rsidR="00D43701" w:rsidRDefault="00D437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37" w:rsidRDefault="009D6237">
      <w:r>
        <w:separator/>
      </w:r>
    </w:p>
  </w:footnote>
  <w:footnote w:type="continuationSeparator" w:id="0">
    <w:p w:rsidR="009D6237" w:rsidRDefault="009D6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01" w:rsidRDefault="00D437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01" w:rsidRDefault="00D437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96996"/>
    <w:multiLevelType w:val="multilevel"/>
    <w:tmpl w:val="84D42210"/>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8DC482C"/>
    <w:multiLevelType w:val="hybridMultilevel"/>
    <w:tmpl w:val="84D42210"/>
    <w:lvl w:ilvl="0" w:tplc="FA94943A">
      <w:start w:val="1"/>
      <w:numFmt w:val="upperLetter"/>
      <w:lvlText w:val="%1."/>
      <w:lvlJc w:val="left"/>
      <w:pPr>
        <w:tabs>
          <w:tab w:val="num" w:pos="1080"/>
        </w:tabs>
        <w:ind w:left="1080" w:hanging="720"/>
      </w:pPr>
      <w:rPr>
        <w:rFonts w:hint="default"/>
      </w:rPr>
    </w:lvl>
    <w:lvl w:ilvl="1" w:tplc="475AD91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7B3283"/>
    <w:multiLevelType w:val="hybridMultilevel"/>
    <w:tmpl w:val="32F68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E6E11"/>
    <w:rsid w:val="0004615F"/>
    <w:rsid w:val="000606B9"/>
    <w:rsid w:val="000F2A09"/>
    <w:rsid w:val="001E6A3C"/>
    <w:rsid w:val="001F0E1C"/>
    <w:rsid w:val="00246491"/>
    <w:rsid w:val="0027323A"/>
    <w:rsid w:val="002B233D"/>
    <w:rsid w:val="002E522B"/>
    <w:rsid w:val="003D5AF5"/>
    <w:rsid w:val="003F134A"/>
    <w:rsid w:val="0040741C"/>
    <w:rsid w:val="004202E4"/>
    <w:rsid w:val="00503F79"/>
    <w:rsid w:val="005C7364"/>
    <w:rsid w:val="005D17E4"/>
    <w:rsid w:val="006156B7"/>
    <w:rsid w:val="006332EB"/>
    <w:rsid w:val="006A2037"/>
    <w:rsid w:val="00705A53"/>
    <w:rsid w:val="00766646"/>
    <w:rsid w:val="0079389A"/>
    <w:rsid w:val="007970E6"/>
    <w:rsid w:val="007A7E9E"/>
    <w:rsid w:val="007D5436"/>
    <w:rsid w:val="007D5919"/>
    <w:rsid w:val="00800F75"/>
    <w:rsid w:val="008671C7"/>
    <w:rsid w:val="008720FC"/>
    <w:rsid w:val="008D560D"/>
    <w:rsid w:val="008E64EA"/>
    <w:rsid w:val="008F19D9"/>
    <w:rsid w:val="009A2EBA"/>
    <w:rsid w:val="009B3D97"/>
    <w:rsid w:val="009D6237"/>
    <w:rsid w:val="00AB1615"/>
    <w:rsid w:val="00AE6E11"/>
    <w:rsid w:val="00B55839"/>
    <w:rsid w:val="00B721E1"/>
    <w:rsid w:val="00B958A7"/>
    <w:rsid w:val="00BA6807"/>
    <w:rsid w:val="00BC2919"/>
    <w:rsid w:val="00BD02BE"/>
    <w:rsid w:val="00BD0627"/>
    <w:rsid w:val="00D3773C"/>
    <w:rsid w:val="00D43701"/>
    <w:rsid w:val="00DD6D02"/>
    <w:rsid w:val="00E43F73"/>
    <w:rsid w:val="00E6187B"/>
    <w:rsid w:val="00E86EC8"/>
    <w:rsid w:val="00EB0A15"/>
    <w:rsid w:val="00EB7DBA"/>
    <w:rsid w:val="00F27F7F"/>
    <w:rsid w:val="00FB1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9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02BE"/>
    <w:pPr>
      <w:tabs>
        <w:tab w:val="center" w:pos="4320"/>
        <w:tab w:val="right" w:pos="8640"/>
      </w:tabs>
    </w:pPr>
  </w:style>
  <w:style w:type="paragraph" w:customStyle="1" w:styleId="Document1">
    <w:name w:val="Document[1]"/>
    <w:basedOn w:val="Normal"/>
    <w:rsid w:val="00FB19D6"/>
    <w:pPr>
      <w:widowControl w:val="0"/>
    </w:pPr>
    <w:rPr>
      <w:b/>
      <w:sz w:val="36"/>
    </w:rPr>
  </w:style>
  <w:style w:type="paragraph" w:customStyle="1" w:styleId="Document2">
    <w:name w:val="Document[2]"/>
    <w:basedOn w:val="Normal"/>
    <w:rsid w:val="00FB19D6"/>
    <w:pPr>
      <w:widowControl w:val="0"/>
    </w:pPr>
    <w:rPr>
      <w:b/>
      <w:u w:val="single"/>
    </w:rPr>
  </w:style>
  <w:style w:type="paragraph" w:customStyle="1" w:styleId="Document3">
    <w:name w:val="Document[3]"/>
    <w:basedOn w:val="Normal"/>
    <w:rsid w:val="00FB19D6"/>
    <w:pPr>
      <w:widowControl w:val="0"/>
    </w:pPr>
    <w:rPr>
      <w:b/>
    </w:rPr>
  </w:style>
  <w:style w:type="paragraph" w:customStyle="1" w:styleId="Document4">
    <w:name w:val="Document[4]"/>
    <w:basedOn w:val="Normal"/>
    <w:rsid w:val="00FB19D6"/>
    <w:pPr>
      <w:widowControl w:val="0"/>
    </w:pPr>
    <w:rPr>
      <w:b/>
      <w:i/>
    </w:rPr>
  </w:style>
  <w:style w:type="paragraph" w:customStyle="1" w:styleId="Document5">
    <w:name w:val="Document[5]"/>
    <w:basedOn w:val="Normal"/>
    <w:rsid w:val="00FB19D6"/>
    <w:pPr>
      <w:widowControl w:val="0"/>
    </w:pPr>
  </w:style>
  <w:style w:type="paragraph" w:customStyle="1" w:styleId="Document6">
    <w:name w:val="Document[6]"/>
    <w:basedOn w:val="Normal"/>
    <w:rsid w:val="00FB19D6"/>
    <w:pPr>
      <w:widowControl w:val="0"/>
    </w:pPr>
  </w:style>
  <w:style w:type="paragraph" w:customStyle="1" w:styleId="Document7">
    <w:name w:val="Document[7]"/>
    <w:basedOn w:val="Normal"/>
    <w:rsid w:val="00FB19D6"/>
    <w:pPr>
      <w:widowControl w:val="0"/>
    </w:pPr>
  </w:style>
  <w:style w:type="paragraph" w:customStyle="1" w:styleId="Document8">
    <w:name w:val="Document[8]"/>
    <w:basedOn w:val="Normal"/>
    <w:rsid w:val="00FB19D6"/>
    <w:pPr>
      <w:widowControl w:val="0"/>
    </w:pPr>
  </w:style>
  <w:style w:type="paragraph" w:customStyle="1" w:styleId="Level9">
    <w:name w:val="Level 9"/>
    <w:basedOn w:val="Normal"/>
    <w:rsid w:val="00FB19D6"/>
    <w:pPr>
      <w:widowControl w:val="0"/>
    </w:pPr>
    <w:rPr>
      <w:b/>
    </w:rPr>
  </w:style>
  <w:style w:type="paragraph" w:customStyle="1" w:styleId="Technical1">
    <w:name w:val="Technical[1]"/>
    <w:basedOn w:val="Normal"/>
    <w:rsid w:val="00FB19D6"/>
    <w:pPr>
      <w:widowControl w:val="0"/>
    </w:pPr>
    <w:rPr>
      <w:b/>
      <w:sz w:val="36"/>
    </w:rPr>
  </w:style>
  <w:style w:type="paragraph" w:customStyle="1" w:styleId="Technical2">
    <w:name w:val="Technical[2]"/>
    <w:basedOn w:val="Normal"/>
    <w:rsid w:val="00FB19D6"/>
    <w:pPr>
      <w:widowControl w:val="0"/>
    </w:pPr>
    <w:rPr>
      <w:b/>
      <w:u w:val="single"/>
    </w:rPr>
  </w:style>
  <w:style w:type="paragraph" w:customStyle="1" w:styleId="Technical3">
    <w:name w:val="Technical[3]"/>
    <w:basedOn w:val="Normal"/>
    <w:rsid w:val="00FB19D6"/>
    <w:pPr>
      <w:widowControl w:val="0"/>
    </w:pPr>
    <w:rPr>
      <w:b/>
    </w:rPr>
  </w:style>
  <w:style w:type="paragraph" w:customStyle="1" w:styleId="Technical4">
    <w:name w:val="Technical[4]"/>
    <w:basedOn w:val="Normal"/>
    <w:rsid w:val="00FB19D6"/>
    <w:pPr>
      <w:widowControl w:val="0"/>
    </w:pPr>
    <w:rPr>
      <w:b/>
    </w:rPr>
  </w:style>
  <w:style w:type="paragraph" w:customStyle="1" w:styleId="Technical5">
    <w:name w:val="Technical[5]"/>
    <w:basedOn w:val="Normal"/>
    <w:rsid w:val="00FB19D6"/>
    <w:pPr>
      <w:widowControl w:val="0"/>
    </w:pPr>
    <w:rPr>
      <w:b/>
    </w:rPr>
  </w:style>
  <w:style w:type="paragraph" w:customStyle="1" w:styleId="Technical6">
    <w:name w:val="Technical[6]"/>
    <w:basedOn w:val="Normal"/>
    <w:rsid w:val="00FB19D6"/>
    <w:pPr>
      <w:widowControl w:val="0"/>
    </w:pPr>
    <w:rPr>
      <w:b/>
    </w:rPr>
  </w:style>
  <w:style w:type="paragraph" w:customStyle="1" w:styleId="Technical7">
    <w:name w:val="Technical[7]"/>
    <w:basedOn w:val="Normal"/>
    <w:rsid w:val="00FB19D6"/>
    <w:pPr>
      <w:widowControl w:val="0"/>
    </w:pPr>
    <w:rPr>
      <w:b/>
    </w:rPr>
  </w:style>
  <w:style w:type="paragraph" w:customStyle="1" w:styleId="Technical8">
    <w:name w:val="Technical[8]"/>
    <w:basedOn w:val="Normal"/>
    <w:rsid w:val="00FB19D6"/>
    <w:pPr>
      <w:widowControl w:val="0"/>
    </w:pPr>
    <w:rPr>
      <w:b/>
    </w:rPr>
  </w:style>
  <w:style w:type="paragraph" w:customStyle="1" w:styleId="RightPar1">
    <w:name w:val="Right Par[1]"/>
    <w:basedOn w:val="Normal"/>
    <w:rsid w:val="00FB19D6"/>
    <w:pPr>
      <w:widowControl w:val="0"/>
    </w:pPr>
  </w:style>
  <w:style w:type="paragraph" w:customStyle="1" w:styleId="RightPar2">
    <w:name w:val="Right Par[2]"/>
    <w:basedOn w:val="Normal"/>
    <w:rsid w:val="00FB19D6"/>
    <w:pPr>
      <w:widowControl w:val="0"/>
    </w:pPr>
  </w:style>
  <w:style w:type="paragraph" w:customStyle="1" w:styleId="RightPar3">
    <w:name w:val="Right Par[3]"/>
    <w:basedOn w:val="Normal"/>
    <w:rsid w:val="00FB19D6"/>
    <w:pPr>
      <w:widowControl w:val="0"/>
    </w:pPr>
  </w:style>
  <w:style w:type="paragraph" w:customStyle="1" w:styleId="RightPar4">
    <w:name w:val="Right Par[4]"/>
    <w:basedOn w:val="Normal"/>
    <w:rsid w:val="00FB19D6"/>
    <w:pPr>
      <w:widowControl w:val="0"/>
    </w:pPr>
  </w:style>
  <w:style w:type="paragraph" w:customStyle="1" w:styleId="RightPar5">
    <w:name w:val="Right Par[5]"/>
    <w:basedOn w:val="Normal"/>
    <w:rsid w:val="00FB19D6"/>
    <w:pPr>
      <w:widowControl w:val="0"/>
    </w:pPr>
  </w:style>
  <w:style w:type="paragraph" w:customStyle="1" w:styleId="RightPar6">
    <w:name w:val="Right Par[6]"/>
    <w:basedOn w:val="Normal"/>
    <w:rsid w:val="00FB19D6"/>
    <w:pPr>
      <w:widowControl w:val="0"/>
    </w:pPr>
  </w:style>
  <w:style w:type="paragraph" w:customStyle="1" w:styleId="RightPar7">
    <w:name w:val="Right Par[7]"/>
    <w:basedOn w:val="Normal"/>
    <w:rsid w:val="00FB19D6"/>
    <w:pPr>
      <w:widowControl w:val="0"/>
    </w:pPr>
  </w:style>
  <w:style w:type="paragraph" w:customStyle="1" w:styleId="RightPar8">
    <w:name w:val="Right Par[8]"/>
    <w:basedOn w:val="Normal"/>
    <w:rsid w:val="00FB19D6"/>
    <w:pPr>
      <w:widowControl w:val="0"/>
    </w:pPr>
  </w:style>
  <w:style w:type="character" w:customStyle="1" w:styleId="Bibliogrphy">
    <w:name w:val="Bibliogrphy"/>
    <w:basedOn w:val="DefaultParagraphFont"/>
    <w:rsid w:val="00FB19D6"/>
  </w:style>
  <w:style w:type="character" w:customStyle="1" w:styleId="DocInit">
    <w:name w:val="Doc Init"/>
    <w:basedOn w:val="DefaultParagraphFont"/>
    <w:rsid w:val="00FB19D6"/>
  </w:style>
  <w:style w:type="character" w:customStyle="1" w:styleId="TechInit">
    <w:name w:val="Tech Init"/>
    <w:basedOn w:val="DefaultParagraphFont"/>
    <w:rsid w:val="00FB19D6"/>
  </w:style>
  <w:style w:type="character" w:customStyle="1" w:styleId="Pleading">
    <w:name w:val="Pleading"/>
    <w:basedOn w:val="DefaultParagraphFont"/>
    <w:rsid w:val="00FB19D6"/>
  </w:style>
  <w:style w:type="character" w:customStyle="1" w:styleId="S1">
    <w:name w:val="S.1"/>
    <w:basedOn w:val="DefaultParagraphFont"/>
    <w:rsid w:val="00FB19D6"/>
    <w:rPr>
      <w:b/>
      <w:i/>
    </w:rPr>
  </w:style>
  <w:style w:type="character" w:customStyle="1" w:styleId="WPHeading2">
    <w:name w:val="WP_Heading 2"/>
    <w:basedOn w:val="DefaultParagraphFont"/>
    <w:rsid w:val="00FB19D6"/>
    <w:rPr>
      <w:sz w:val="29"/>
      <w:u w:val="single"/>
    </w:rPr>
  </w:style>
  <w:style w:type="character" w:customStyle="1" w:styleId="WPHeading1">
    <w:name w:val="WP_Heading 1"/>
    <w:basedOn w:val="DefaultParagraphFont"/>
    <w:rsid w:val="00FB19D6"/>
    <w:rPr>
      <w:b/>
      <w:sz w:val="36"/>
    </w:rPr>
  </w:style>
  <w:style w:type="character" w:customStyle="1" w:styleId="BulletList">
    <w:name w:val="Bullet List"/>
    <w:basedOn w:val="DefaultParagraphFont"/>
    <w:rsid w:val="00FB19D6"/>
  </w:style>
  <w:style w:type="character" w:customStyle="1" w:styleId="Header1">
    <w:name w:val="Header1"/>
    <w:basedOn w:val="DefaultParagraphFont"/>
    <w:rsid w:val="00FB19D6"/>
    <w:rPr>
      <w:sz w:val="20"/>
    </w:rPr>
  </w:style>
  <w:style w:type="character" w:customStyle="1" w:styleId="DefaultPara">
    <w:name w:val="Default Para"/>
    <w:basedOn w:val="DefaultParagraphFont"/>
    <w:rsid w:val="00FB19D6"/>
    <w:rPr>
      <w:sz w:val="24"/>
    </w:rPr>
  </w:style>
  <w:style w:type="character" w:customStyle="1" w:styleId="Footer1">
    <w:name w:val="Footer1"/>
    <w:basedOn w:val="DefaultParagraphFont"/>
    <w:rsid w:val="00FB19D6"/>
    <w:rPr>
      <w:noProof w:val="0"/>
      <w:lang w:val="en-GB"/>
    </w:rPr>
  </w:style>
  <w:style w:type="paragraph" w:styleId="Footer">
    <w:name w:val="footer"/>
    <w:basedOn w:val="Normal"/>
    <w:rsid w:val="00BD02BE"/>
    <w:pPr>
      <w:tabs>
        <w:tab w:val="center" w:pos="4320"/>
        <w:tab w:val="right" w:pos="8640"/>
      </w:tabs>
    </w:pPr>
  </w:style>
  <w:style w:type="character" w:styleId="PageNumber">
    <w:name w:val="page number"/>
    <w:basedOn w:val="DefaultParagraphFont"/>
    <w:rsid w:val="00B558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dmb2</dc:creator>
  <cp:keywords/>
  <cp:lastModifiedBy>DMB2</cp:lastModifiedBy>
  <cp:revision>2</cp:revision>
  <cp:lastPrinted>2010-08-02T14:12:00Z</cp:lastPrinted>
  <dcterms:created xsi:type="dcterms:W3CDTF">2010-08-04T13:39:00Z</dcterms:created>
  <dcterms:modified xsi:type="dcterms:W3CDTF">2010-08-04T13:39:00Z</dcterms:modified>
</cp:coreProperties>
</file>