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55" w:rsidRPr="00CA02BF" w:rsidRDefault="00511955" w:rsidP="00F0420B">
      <w:pPr>
        <w:jc w:val="center"/>
        <w:rPr>
          <w:sz w:val="32"/>
          <w:szCs w:val="32"/>
        </w:rPr>
      </w:pPr>
      <w:bookmarkStart w:id="0" w:name="OLE_LINK1"/>
      <w:bookmarkStart w:id="1" w:name="OLE_LINK2"/>
      <w:r w:rsidRPr="00CA02BF">
        <w:rPr>
          <w:sz w:val="32"/>
          <w:szCs w:val="32"/>
        </w:rPr>
        <w:t>Supporting Statement A for</w:t>
      </w:r>
    </w:p>
    <w:p w:rsidR="00511955" w:rsidRDefault="00511955" w:rsidP="00F0420B">
      <w:pPr>
        <w:ind w:left="1440" w:firstLine="720"/>
        <w:rPr>
          <w:sz w:val="28"/>
          <w:szCs w:val="28"/>
        </w:rPr>
      </w:pPr>
    </w:p>
    <w:p w:rsidR="00511955" w:rsidRDefault="00511955" w:rsidP="00F0420B">
      <w:pPr>
        <w:ind w:left="1440" w:firstLine="720"/>
        <w:rPr>
          <w:sz w:val="28"/>
          <w:szCs w:val="28"/>
        </w:rPr>
      </w:pPr>
      <w:r>
        <w:rPr>
          <w:sz w:val="28"/>
          <w:szCs w:val="28"/>
        </w:rPr>
        <w:t xml:space="preserve">         </w:t>
      </w:r>
    </w:p>
    <w:p w:rsidR="00511955" w:rsidRDefault="00511955" w:rsidP="00F0420B">
      <w:pPr>
        <w:ind w:left="1440" w:firstLine="720"/>
        <w:rPr>
          <w:sz w:val="28"/>
          <w:szCs w:val="28"/>
        </w:rPr>
      </w:pPr>
      <w:r>
        <w:rPr>
          <w:sz w:val="28"/>
          <w:szCs w:val="28"/>
        </w:rPr>
        <w:t xml:space="preserve">              </w:t>
      </w:r>
    </w:p>
    <w:p w:rsidR="00511955" w:rsidRDefault="00511955" w:rsidP="00F0420B">
      <w:pPr>
        <w:ind w:left="1440" w:firstLine="720"/>
        <w:rPr>
          <w:sz w:val="28"/>
          <w:szCs w:val="28"/>
        </w:rPr>
      </w:pPr>
    </w:p>
    <w:p w:rsidR="00511955" w:rsidRDefault="00511955" w:rsidP="00F0420B">
      <w:pPr>
        <w:ind w:left="1440" w:firstLine="720"/>
        <w:rPr>
          <w:sz w:val="28"/>
          <w:szCs w:val="28"/>
        </w:rPr>
      </w:pPr>
    </w:p>
    <w:p w:rsidR="00511955" w:rsidRPr="000F5B86" w:rsidRDefault="00511955" w:rsidP="00F0420B">
      <w:pPr>
        <w:spacing w:line="480" w:lineRule="auto"/>
        <w:jc w:val="center"/>
        <w:rPr>
          <w:b/>
          <w:sz w:val="28"/>
          <w:szCs w:val="28"/>
        </w:rPr>
      </w:pPr>
      <w:r>
        <w:rPr>
          <w:sz w:val="28"/>
          <w:szCs w:val="28"/>
        </w:rPr>
        <w:t xml:space="preserve">       </w:t>
      </w:r>
      <w:r w:rsidRPr="000F5B86">
        <w:rPr>
          <w:b/>
          <w:sz w:val="28"/>
          <w:szCs w:val="28"/>
        </w:rPr>
        <w:t xml:space="preserve">Assessing the Long-term impacts of research </w:t>
      </w:r>
      <w:r>
        <w:rPr>
          <w:b/>
          <w:sz w:val="28"/>
          <w:szCs w:val="28"/>
        </w:rPr>
        <w:t xml:space="preserve">and </w:t>
      </w:r>
      <w:r w:rsidRPr="000F5B86">
        <w:rPr>
          <w:b/>
          <w:sz w:val="28"/>
          <w:szCs w:val="28"/>
        </w:rPr>
        <w:t>training programs</w:t>
      </w:r>
      <w:r>
        <w:rPr>
          <w:b/>
          <w:sz w:val="28"/>
          <w:szCs w:val="28"/>
        </w:rPr>
        <w:t xml:space="preserve"> supported by the John E. Fogarty International Center (FIC)</w:t>
      </w:r>
    </w:p>
    <w:p w:rsidR="00511955" w:rsidRDefault="00511955" w:rsidP="00F0420B">
      <w:pPr>
        <w:ind w:left="1440" w:firstLine="720"/>
        <w:rPr>
          <w:sz w:val="32"/>
          <w:szCs w:val="32"/>
        </w:rPr>
      </w:pPr>
    </w:p>
    <w:p w:rsidR="00511955" w:rsidRDefault="00511955" w:rsidP="00F0420B">
      <w:pPr>
        <w:ind w:left="1440" w:firstLine="720"/>
        <w:rPr>
          <w:sz w:val="32"/>
          <w:szCs w:val="32"/>
        </w:rPr>
      </w:pPr>
    </w:p>
    <w:p w:rsidR="00511955" w:rsidRDefault="00511955" w:rsidP="00F0420B">
      <w:pPr>
        <w:ind w:left="1440" w:firstLine="720"/>
        <w:rPr>
          <w:sz w:val="32"/>
          <w:szCs w:val="32"/>
        </w:rPr>
      </w:pPr>
    </w:p>
    <w:p w:rsidR="00511955" w:rsidRDefault="00511955" w:rsidP="00F0420B">
      <w:pPr>
        <w:ind w:left="1440" w:firstLine="720"/>
        <w:rPr>
          <w:sz w:val="32"/>
          <w:szCs w:val="32"/>
        </w:rPr>
      </w:pPr>
    </w:p>
    <w:p w:rsidR="00511955" w:rsidRDefault="00511955" w:rsidP="00F0420B">
      <w:pPr>
        <w:ind w:left="1440" w:firstLine="720"/>
        <w:rPr>
          <w:sz w:val="32"/>
          <w:szCs w:val="32"/>
        </w:rPr>
      </w:pPr>
      <w:r>
        <w:rPr>
          <w:sz w:val="32"/>
          <w:szCs w:val="32"/>
        </w:rPr>
        <w:t xml:space="preserve">                      Date: August 18, 2010</w:t>
      </w:r>
    </w:p>
    <w:p w:rsidR="00511955" w:rsidRDefault="00511955" w:rsidP="00F0420B">
      <w:pPr>
        <w:ind w:left="1440" w:firstLine="720"/>
        <w:rPr>
          <w:sz w:val="32"/>
          <w:szCs w:val="32"/>
        </w:rPr>
      </w:pPr>
    </w:p>
    <w:p w:rsidR="00511955" w:rsidRPr="00967AAE" w:rsidRDefault="00511955" w:rsidP="00F0420B">
      <w:pPr>
        <w:rPr>
          <w:color w:val="0000FF"/>
          <w:sz w:val="32"/>
          <w:szCs w:val="32"/>
        </w:rPr>
      </w:pPr>
    </w:p>
    <w:p w:rsidR="00511955" w:rsidRPr="00680E77" w:rsidRDefault="00511955" w:rsidP="00F0420B">
      <w:pPr>
        <w:rPr>
          <w:color w:val="FF0000"/>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Default="00511955" w:rsidP="00F0420B">
      <w:pPr>
        <w:rPr>
          <w:color w:val="0000FF"/>
          <w:sz w:val="32"/>
          <w:szCs w:val="32"/>
        </w:rPr>
      </w:pPr>
    </w:p>
    <w:p w:rsidR="00511955" w:rsidRPr="002F6F4B" w:rsidRDefault="00511955" w:rsidP="00F0420B">
      <w:pPr>
        <w:rPr>
          <w:sz w:val="32"/>
          <w:szCs w:val="32"/>
        </w:rPr>
      </w:pPr>
      <w:r w:rsidRPr="002F6F4B">
        <w:rPr>
          <w:sz w:val="32"/>
          <w:szCs w:val="32"/>
        </w:rPr>
        <w:t>Name: Rachel Sturke, PhD</w:t>
      </w:r>
    </w:p>
    <w:p w:rsidR="00511955" w:rsidRPr="002F6F4B" w:rsidRDefault="00511955" w:rsidP="00F0420B">
      <w:pPr>
        <w:rPr>
          <w:sz w:val="32"/>
          <w:szCs w:val="32"/>
        </w:rPr>
      </w:pPr>
      <w:r w:rsidRPr="002F6F4B">
        <w:rPr>
          <w:sz w:val="32"/>
          <w:szCs w:val="32"/>
        </w:rPr>
        <w:t>Address: Fogarty International Center, 31 Center Drive - MSC 2220, Bethesda, MD 20892-2220</w:t>
      </w:r>
    </w:p>
    <w:p w:rsidR="00511955" w:rsidRPr="002F6F4B" w:rsidRDefault="00511955" w:rsidP="00F0420B">
      <w:pPr>
        <w:rPr>
          <w:sz w:val="32"/>
          <w:szCs w:val="32"/>
        </w:rPr>
      </w:pPr>
      <w:r w:rsidRPr="002F6F4B">
        <w:rPr>
          <w:sz w:val="32"/>
          <w:szCs w:val="32"/>
        </w:rPr>
        <w:t>Telephone: 301.480.6025</w:t>
      </w:r>
    </w:p>
    <w:p w:rsidR="00511955" w:rsidRPr="002F6F4B" w:rsidRDefault="00511955" w:rsidP="00F0420B">
      <w:pPr>
        <w:rPr>
          <w:sz w:val="32"/>
          <w:szCs w:val="32"/>
        </w:rPr>
      </w:pPr>
      <w:r w:rsidRPr="002F6F4B">
        <w:rPr>
          <w:sz w:val="32"/>
          <w:szCs w:val="32"/>
        </w:rPr>
        <w:t>Fax:</w:t>
      </w:r>
    </w:p>
    <w:p w:rsidR="00511955" w:rsidRDefault="00511955" w:rsidP="00F0420B">
      <w:pPr>
        <w:rPr>
          <w:sz w:val="32"/>
          <w:szCs w:val="32"/>
        </w:rPr>
      </w:pPr>
      <w:r w:rsidRPr="002F6F4B">
        <w:rPr>
          <w:sz w:val="32"/>
          <w:szCs w:val="32"/>
        </w:rPr>
        <w:t>Email: sturkerachel@mail.nih.gov</w:t>
      </w:r>
    </w:p>
    <w:p w:rsidR="00511955" w:rsidRDefault="00511955" w:rsidP="00F0420B">
      <w:pPr>
        <w:rPr>
          <w:sz w:val="32"/>
          <w:szCs w:val="32"/>
        </w:rPr>
      </w:pPr>
    </w:p>
    <w:p w:rsidR="00511955" w:rsidRDefault="00511955" w:rsidP="00F0420B">
      <w:pPr>
        <w:rPr>
          <w:sz w:val="32"/>
          <w:szCs w:val="32"/>
        </w:rPr>
      </w:pPr>
    </w:p>
    <w:p w:rsidR="00511955" w:rsidRDefault="00511955" w:rsidP="00F0420B">
      <w:pPr>
        <w:rPr>
          <w:sz w:val="32"/>
          <w:szCs w:val="32"/>
        </w:rPr>
      </w:pPr>
    </w:p>
    <w:p w:rsidR="00511955" w:rsidRDefault="00511955">
      <w:pPr>
        <w:widowControl/>
      </w:pPr>
      <w:r>
        <w:br w:type="page"/>
      </w:r>
    </w:p>
    <w:p w:rsidR="00511955" w:rsidRDefault="00511955" w:rsidP="00F0420B">
      <w:pPr>
        <w:rPr>
          <w:caps/>
          <w:noProof/>
        </w:rPr>
      </w:pPr>
    </w:p>
    <w:p w:rsidR="00511955" w:rsidRPr="00200A60" w:rsidRDefault="00511955">
      <w:pPr>
        <w:pStyle w:val="TOCHeading"/>
        <w:rPr>
          <w:sz w:val="20"/>
        </w:rPr>
      </w:pPr>
      <w:r w:rsidRPr="00200A60">
        <w:rPr>
          <w:sz w:val="20"/>
        </w:rPr>
        <w:t>Contents</w:t>
      </w:r>
    </w:p>
    <w:p w:rsidR="00511955" w:rsidRPr="00200A60" w:rsidRDefault="00511955">
      <w:pPr>
        <w:pStyle w:val="TOC1"/>
        <w:rPr>
          <w:rFonts w:ascii="Calibri" w:hAnsi="Calibri"/>
          <w:b w:val="0"/>
          <w:caps w:val="0"/>
          <w:sz w:val="18"/>
          <w:szCs w:val="22"/>
        </w:rPr>
      </w:pPr>
      <w:r w:rsidRPr="00200A60">
        <w:rPr>
          <w:sz w:val="18"/>
        </w:rPr>
        <w:fldChar w:fldCharType="begin"/>
      </w:r>
      <w:r w:rsidRPr="00200A60">
        <w:rPr>
          <w:sz w:val="18"/>
        </w:rPr>
        <w:instrText xml:space="preserve"> TOC \o "1-3" \h \z \u </w:instrText>
      </w:r>
      <w:r w:rsidRPr="00200A60">
        <w:rPr>
          <w:sz w:val="18"/>
        </w:rPr>
        <w:fldChar w:fldCharType="separate"/>
      </w:r>
      <w:hyperlink w:anchor="_Toc269296646" w:history="1">
        <w:r w:rsidRPr="00200A60">
          <w:rPr>
            <w:rStyle w:val="Hyperlink"/>
            <w:sz w:val="20"/>
          </w:rPr>
          <w:t>A.1. Circumstances Making the Collection of Information Necessary</w:t>
        </w:r>
        <w:r w:rsidRPr="00200A60">
          <w:rPr>
            <w:webHidden/>
            <w:sz w:val="20"/>
          </w:rPr>
          <w:tab/>
        </w:r>
        <w:r w:rsidRPr="00200A60">
          <w:rPr>
            <w:webHidden/>
            <w:sz w:val="20"/>
          </w:rPr>
          <w:fldChar w:fldCharType="begin"/>
        </w:r>
        <w:r w:rsidRPr="00200A60">
          <w:rPr>
            <w:webHidden/>
            <w:sz w:val="20"/>
          </w:rPr>
          <w:instrText xml:space="preserve"> PAGEREF _Toc269296646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47" w:history="1">
        <w:r w:rsidRPr="00200A60">
          <w:rPr>
            <w:rStyle w:val="Hyperlink"/>
            <w:sz w:val="20"/>
          </w:rPr>
          <w:t>A.2.  Purpose and Use of the Information</w:t>
        </w:r>
        <w:r w:rsidRPr="00200A60">
          <w:rPr>
            <w:webHidden/>
            <w:sz w:val="20"/>
          </w:rPr>
          <w:tab/>
        </w:r>
        <w:r w:rsidRPr="00200A60">
          <w:rPr>
            <w:webHidden/>
            <w:sz w:val="20"/>
          </w:rPr>
          <w:fldChar w:fldCharType="begin"/>
        </w:r>
        <w:r w:rsidRPr="00200A60">
          <w:rPr>
            <w:webHidden/>
            <w:sz w:val="20"/>
          </w:rPr>
          <w:instrText xml:space="preserve"> PAGEREF _Toc269296647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48" w:history="1">
        <w:r w:rsidRPr="00200A60">
          <w:rPr>
            <w:rStyle w:val="Hyperlink"/>
            <w:sz w:val="20"/>
          </w:rPr>
          <w:t>A.3.  Use of Information Technology and Burden Reduction</w:t>
        </w:r>
        <w:r w:rsidRPr="00200A60">
          <w:rPr>
            <w:webHidden/>
            <w:sz w:val="20"/>
          </w:rPr>
          <w:tab/>
        </w:r>
        <w:r w:rsidRPr="00200A60">
          <w:rPr>
            <w:webHidden/>
            <w:sz w:val="20"/>
          </w:rPr>
          <w:fldChar w:fldCharType="begin"/>
        </w:r>
        <w:r w:rsidRPr="00200A60">
          <w:rPr>
            <w:webHidden/>
            <w:sz w:val="20"/>
          </w:rPr>
          <w:instrText xml:space="preserve"> PAGEREF _Toc269296648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49" w:history="1">
        <w:r w:rsidRPr="00200A60">
          <w:rPr>
            <w:rStyle w:val="Hyperlink"/>
            <w:sz w:val="20"/>
          </w:rPr>
          <w:t>A.4. Efforts to Identify Duplication and Use of Similar Information</w:t>
        </w:r>
        <w:r w:rsidRPr="00200A60">
          <w:rPr>
            <w:webHidden/>
            <w:sz w:val="20"/>
          </w:rPr>
          <w:tab/>
        </w:r>
        <w:r w:rsidRPr="00200A60">
          <w:rPr>
            <w:webHidden/>
            <w:sz w:val="20"/>
          </w:rPr>
          <w:fldChar w:fldCharType="begin"/>
        </w:r>
        <w:r w:rsidRPr="00200A60">
          <w:rPr>
            <w:webHidden/>
            <w:sz w:val="20"/>
          </w:rPr>
          <w:instrText xml:space="preserve"> PAGEREF _Toc269296649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0" w:history="1">
        <w:r w:rsidRPr="00200A60">
          <w:rPr>
            <w:rStyle w:val="Hyperlink"/>
            <w:sz w:val="20"/>
          </w:rPr>
          <w:t>A.5 Impact on Small Businesses or Other Small Entities</w:t>
        </w:r>
        <w:r w:rsidRPr="00200A60">
          <w:rPr>
            <w:webHidden/>
            <w:sz w:val="20"/>
          </w:rPr>
          <w:tab/>
        </w:r>
        <w:r w:rsidRPr="00200A60">
          <w:rPr>
            <w:webHidden/>
            <w:sz w:val="20"/>
          </w:rPr>
          <w:fldChar w:fldCharType="begin"/>
        </w:r>
        <w:r w:rsidRPr="00200A60">
          <w:rPr>
            <w:webHidden/>
            <w:sz w:val="20"/>
          </w:rPr>
          <w:instrText xml:space="preserve"> PAGEREF _Toc269296650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1" w:history="1">
        <w:r w:rsidRPr="00200A60">
          <w:rPr>
            <w:rStyle w:val="Hyperlink"/>
            <w:sz w:val="20"/>
          </w:rPr>
          <w:t>A.6. Consequences of Collecting the Information Less Frequently</w:t>
        </w:r>
        <w:r w:rsidRPr="00200A60">
          <w:rPr>
            <w:webHidden/>
            <w:sz w:val="20"/>
          </w:rPr>
          <w:tab/>
        </w:r>
        <w:r w:rsidRPr="00200A60">
          <w:rPr>
            <w:webHidden/>
            <w:sz w:val="20"/>
          </w:rPr>
          <w:fldChar w:fldCharType="begin"/>
        </w:r>
        <w:r w:rsidRPr="00200A60">
          <w:rPr>
            <w:webHidden/>
            <w:sz w:val="20"/>
          </w:rPr>
          <w:instrText xml:space="preserve"> PAGEREF _Toc269296651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2" w:history="1">
        <w:r w:rsidRPr="00200A60">
          <w:rPr>
            <w:rStyle w:val="Hyperlink"/>
            <w:sz w:val="20"/>
          </w:rPr>
          <w:t>A.7. Special Circumstances Relating to the Guidelines of 5 CFR 1320.5</w:t>
        </w:r>
        <w:r w:rsidRPr="00200A60">
          <w:rPr>
            <w:webHidden/>
            <w:sz w:val="20"/>
          </w:rPr>
          <w:tab/>
        </w:r>
        <w:r w:rsidRPr="00200A60">
          <w:rPr>
            <w:webHidden/>
            <w:sz w:val="20"/>
          </w:rPr>
          <w:fldChar w:fldCharType="begin"/>
        </w:r>
        <w:r w:rsidRPr="00200A60">
          <w:rPr>
            <w:webHidden/>
            <w:sz w:val="20"/>
          </w:rPr>
          <w:instrText xml:space="preserve"> PAGEREF _Toc269296652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3" w:history="1">
        <w:r w:rsidRPr="00200A60">
          <w:rPr>
            <w:rStyle w:val="Hyperlink"/>
            <w:sz w:val="20"/>
          </w:rPr>
          <w:t>A.8. Comments in Response to the Federal Register Notice and Efforts to Consult Outside Agency</w:t>
        </w:r>
        <w:r w:rsidRPr="00200A60">
          <w:rPr>
            <w:webHidden/>
            <w:sz w:val="20"/>
          </w:rPr>
          <w:tab/>
        </w:r>
        <w:r w:rsidRPr="00200A60">
          <w:rPr>
            <w:webHidden/>
            <w:sz w:val="20"/>
          </w:rPr>
          <w:fldChar w:fldCharType="begin"/>
        </w:r>
        <w:r w:rsidRPr="00200A60">
          <w:rPr>
            <w:webHidden/>
            <w:sz w:val="20"/>
          </w:rPr>
          <w:instrText xml:space="preserve"> PAGEREF _Toc269296653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4" w:history="1">
        <w:r w:rsidRPr="00200A60">
          <w:rPr>
            <w:rStyle w:val="Hyperlink"/>
            <w:sz w:val="20"/>
          </w:rPr>
          <w:t>A.9. Explanation of Any Payment or Gift to Respondents</w:t>
        </w:r>
        <w:r w:rsidRPr="00200A60">
          <w:rPr>
            <w:webHidden/>
            <w:sz w:val="20"/>
          </w:rPr>
          <w:tab/>
        </w:r>
        <w:r w:rsidRPr="00200A60">
          <w:rPr>
            <w:webHidden/>
            <w:sz w:val="20"/>
          </w:rPr>
          <w:fldChar w:fldCharType="begin"/>
        </w:r>
        <w:r w:rsidRPr="00200A60">
          <w:rPr>
            <w:webHidden/>
            <w:sz w:val="20"/>
          </w:rPr>
          <w:instrText xml:space="preserve"> PAGEREF _Toc269296654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5" w:history="1">
        <w:r w:rsidRPr="00200A60">
          <w:rPr>
            <w:rStyle w:val="Hyperlink"/>
            <w:sz w:val="20"/>
          </w:rPr>
          <w:t>A.10.   Assurance of Confidentiality Provided to Respondents</w:t>
        </w:r>
        <w:r w:rsidRPr="00200A60">
          <w:rPr>
            <w:webHidden/>
            <w:sz w:val="20"/>
          </w:rPr>
          <w:tab/>
        </w:r>
        <w:r w:rsidRPr="00200A60">
          <w:rPr>
            <w:webHidden/>
            <w:sz w:val="20"/>
          </w:rPr>
          <w:fldChar w:fldCharType="begin"/>
        </w:r>
        <w:r w:rsidRPr="00200A60">
          <w:rPr>
            <w:webHidden/>
            <w:sz w:val="20"/>
          </w:rPr>
          <w:instrText xml:space="preserve"> PAGEREF _Toc269296655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6" w:history="1">
        <w:r w:rsidRPr="00200A60">
          <w:rPr>
            <w:rStyle w:val="Hyperlink"/>
            <w:sz w:val="20"/>
          </w:rPr>
          <w:t>A.11. Justification for Sensitive Questions</w:t>
        </w:r>
        <w:r w:rsidRPr="00200A60">
          <w:rPr>
            <w:webHidden/>
            <w:sz w:val="20"/>
          </w:rPr>
          <w:tab/>
        </w:r>
        <w:r w:rsidRPr="00200A60">
          <w:rPr>
            <w:webHidden/>
            <w:sz w:val="20"/>
          </w:rPr>
          <w:fldChar w:fldCharType="begin"/>
        </w:r>
        <w:r w:rsidRPr="00200A60">
          <w:rPr>
            <w:webHidden/>
            <w:sz w:val="20"/>
          </w:rPr>
          <w:instrText xml:space="preserve"> PAGEREF _Toc269296656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7" w:history="1">
        <w:r w:rsidRPr="00200A60">
          <w:rPr>
            <w:rStyle w:val="Hyperlink"/>
            <w:sz w:val="20"/>
          </w:rPr>
          <w:t>A.12. Estimates of Hour Burden Including Annualized Hourly Costs</w:t>
        </w:r>
        <w:r w:rsidRPr="00200A60">
          <w:rPr>
            <w:webHidden/>
            <w:sz w:val="20"/>
          </w:rPr>
          <w:tab/>
        </w:r>
        <w:r w:rsidRPr="00200A60">
          <w:rPr>
            <w:webHidden/>
            <w:sz w:val="20"/>
          </w:rPr>
          <w:fldChar w:fldCharType="begin"/>
        </w:r>
        <w:r w:rsidRPr="00200A60">
          <w:rPr>
            <w:webHidden/>
            <w:sz w:val="20"/>
          </w:rPr>
          <w:instrText xml:space="preserve"> PAGEREF _Toc269296657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8" w:history="1">
        <w:r w:rsidRPr="00200A60">
          <w:rPr>
            <w:rStyle w:val="Hyperlink"/>
            <w:sz w:val="20"/>
          </w:rPr>
          <w:t>A.13. Estimate of Other Total Annual Cost Burden to Respondents or Recordkeepers</w:t>
        </w:r>
        <w:r w:rsidRPr="00200A60">
          <w:rPr>
            <w:webHidden/>
            <w:sz w:val="20"/>
          </w:rPr>
          <w:tab/>
        </w:r>
        <w:r w:rsidRPr="00200A60">
          <w:rPr>
            <w:webHidden/>
            <w:sz w:val="20"/>
          </w:rPr>
          <w:fldChar w:fldCharType="begin"/>
        </w:r>
        <w:r w:rsidRPr="00200A60">
          <w:rPr>
            <w:webHidden/>
            <w:sz w:val="20"/>
          </w:rPr>
          <w:instrText xml:space="preserve"> PAGEREF _Toc269296658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59" w:history="1">
        <w:r w:rsidRPr="00200A60">
          <w:rPr>
            <w:rStyle w:val="Hyperlink"/>
            <w:sz w:val="20"/>
          </w:rPr>
          <w:t>A.14. Annualized Cost to the Federal Government</w:t>
        </w:r>
        <w:r w:rsidRPr="00200A60">
          <w:rPr>
            <w:webHidden/>
            <w:sz w:val="20"/>
          </w:rPr>
          <w:tab/>
        </w:r>
        <w:r w:rsidRPr="00200A60">
          <w:rPr>
            <w:webHidden/>
            <w:sz w:val="20"/>
          </w:rPr>
          <w:fldChar w:fldCharType="begin"/>
        </w:r>
        <w:r w:rsidRPr="00200A60">
          <w:rPr>
            <w:webHidden/>
            <w:sz w:val="20"/>
          </w:rPr>
          <w:instrText xml:space="preserve"> PAGEREF _Toc269296659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60" w:history="1">
        <w:r w:rsidRPr="00200A60">
          <w:rPr>
            <w:rStyle w:val="Hyperlink"/>
            <w:sz w:val="20"/>
          </w:rPr>
          <w:t>A.15. Explanation for Program Changes or Adjustments</w:t>
        </w:r>
        <w:r w:rsidRPr="00200A60">
          <w:rPr>
            <w:webHidden/>
            <w:sz w:val="20"/>
          </w:rPr>
          <w:tab/>
        </w:r>
        <w:r w:rsidRPr="00200A60">
          <w:rPr>
            <w:webHidden/>
            <w:sz w:val="20"/>
          </w:rPr>
          <w:fldChar w:fldCharType="begin"/>
        </w:r>
        <w:r w:rsidRPr="00200A60">
          <w:rPr>
            <w:webHidden/>
            <w:sz w:val="20"/>
          </w:rPr>
          <w:instrText xml:space="preserve"> PAGEREF _Toc269296660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61" w:history="1">
        <w:r w:rsidRPr="00200A60">
          <w:rPr>
            <w:rStyle w:val="Hyperlink"/>
            <w:sz w:val="20"/>
          </w:rPr>
          <w:t>A.16. Plans for Tabulation and Publication and Project Time Schedule</w:t>
        </w:r>
        <w:r w:rsidRPr="00200A60">
          <w:rPr>
            <w:webHidden/>
            <w:sz w:val="20"/>
          </w:rPr>
          <w:tab/>
        </w:r>
        <w:r w:rsidRPr="00200A60">
          <w:rPr>
            <w:webHidden/>
            <w:sz w:val="20"/>
          </w:rPr>
          <w:fldChar w:fldCharType="begin"/>
        </w:r>
        <w:r w:rsidRPr="00200A60">
          <w:rPr>
            <w:webHidden/>
            <w:sz w:val="20"/>
          </w:rPr>
          <w:instrText xml:space="preserve"> PAGEREF _Toc269296661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62" w:history="1">
        <w:r w:rsidRPr="00200A60">
          <w:rPr>
            <w:rStyle w:val="Hyperlink"/>
            <w:sz w:val="20"/>
          </w:rPr>
          <w:t>A.17. Reason(s) Display of OMB Expiration Date is Inappropriate</w:t>
        </w:r>
        <w:r w:rsidRPr="00200A60">
          <w:rPr>
            <w:webHidden/>
            <w:sz w:val="20"/>
          </w:rPr>
          <w:tab/>
        </w:r>
        <w:r w:rsidRPr="00200A60">
          <w:rPr>
            <w:webHidden/>
            <w:sz w:val="20"/>
          </w:rPr>
          <w:fldChar w:fldCharType="begin"/>
        </w:r>
        <w:r w:rsidRPr="00200A60">
          <w:rPr>
            <w:webHidden/>
            <w:sz w:val="20"/>
          </w:rPr>
          <w:instrText xml:space="preserve"> PAGEREF _Toc269296662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Pr="00200A60" w:rsidRDefault="00511955">
      <w:pPr>
        <w:pStyle w:val="TOC1"/>
        <w:rPr>
          <w:rFonts w:ascii="Calibri" w:hAnsi="Calibri"/>
          <w:b w:val="0"/>
          <w:caps w:val="0"/>
          <w:sz w:val="18"/>
          <w:szCs w:val="22"/>
        </w:rPr>
      </w:pPr>
      <w:hyperlink w:anchor="_Toc269296663" w:history="1">
        <w:r w:rsidRPr="00200A60">
          <w:rPr>
            <w:rStyle w:val="Hyperlink"/>
            <w:sz w:val="20"/>
          </w:rPr>
          <w:t>A.18. Exceptions to Certification for Paperwork Reduction Act Submissions</w:t>
        </w:r>
        <w:r w:rsidRPr="00200A60">
          <w:rPr>
            <w:webHidden/>
            <w:sz w:val="20"/>
          </w:rPr>
          <w:tab/>
        </w:r>
        <w:r w:rsidRPr="00200A60">
          <w:rPr>
            <w:webHidden/>
            <w:sz w:val="20"/>
          </w:rPr>
          <w:fldChar w:fldCharType="begin"/>
        </w:r>
        <w:r w:rsidRPr="00200A60">
          <w:rPr>
            <w:webHidden/>
            <w:sz w:val="20"/>
          </w:rPr>
          <w:instrText xml:space="preserve"> PAGEREF _Toc269296663 \h </w:instrText>
        </w:r>
        <w:r w:rsidRPr="00672859">
          <w:rPr>
            <w:sz w:val="20"/>
          </w:rPr>
        </w:r>
        <w:r w:rsidRPr="00200A60">
          <w:rPr>
            <w:webHidden/>
            <w:sz w:val="20"/>
          </w:rPr>
          <w:fldChar w:fldCharType="separate"/>
        </w:r>
        <w:r>
          <w:rPr>
            <w:webHidden/>
            <w:sz w:val="20"/>
          </w:rPr>
          <w:t>2</w:t>
        </w:r>
        <w:r w:rsidRPr="00200A60">
          <w:rPr>
            <w:webHidden/>
            <w:sz w:val="20"/>
          </w:rPr>
          <w:fldChar w:fldCharType="end"/>
        </w:r>
      </w:hyperlink>
    </w:p>
    <w:p w:rsidR="00511955" w:rsidRDefault="00511955">
      <w:r w:rsidRPr="00200A60">
        <w:rPr>
          <w:sz w:val="18"/>
        </w:rPr>
        <w:fldChar w:fldCharType="end"/>
      </w:r>
    </w:p>
    <w:p w:rsidR="00511955" w:rsidRDefault="00511955">
      <w:pPr>
        <w:widowControl/>
        <w:rPr>
          <w:caps/>
          <w:noProof/>
        </w:rPr>
      </w:pPr>
      <w:r>
        <w:rPr>
          <w:caps/>
          <w:noProof/>
        </w:rPr>
        <w:br w:type="page"/>
      </w:r>
    </w:p>
    <w:p w:rsidR="00511955" w:rsidRPr="000B3AD1" w:rsidRDefault="00511955" w:rsidP="00F0420B">
      <w:pPr>
        <w:rPr>
          <w:rFonts w:ascii="Cambria" w:hAnsi="Cambria"/>
          <w:b/>
          <w:caps/>
          <w:noProof/>
          <w:color w:val="4F81BD"/>
          <w:sz w:val="24"/>
          <w:szCs w:val="24"/>
        </w:rPr>
      </w:pPr>
      <w:r w:rsidRPr="000B3AD1">
        <w:rPr>
          <w:rFonts w:ascii="Cambria" w:hAnsi="Cambria"/>
          <w:b/>
          <w:noProof/>
          <w:color w:val="4F81BD"/>
          <w:sz w:val="24"/>
          <w:szCs w:val="24"/>
        </w:rPr>
        <w:t>List of attachments</w:t>
      </w:r>
    </w:p>
    <w:p w:rsidR="00511955" w:rsidRDefault="00511955" w:rsidP="00F0420B">
      <w:pPr>
        <w:rPr>
          <w:caps/>
          <w:noProof/>
        </w:rPr>
      </w:pPr>
    </w:p>
    <w:p w:rsidR="00511955" w:rsidRDefault="00511955" w:rsidP="00F0420B">
      <w:pPr>
        <w:rPr>
          <w:caps/>
          <w:noProof/>
        </w:rPr>
      </w:pPr>
      <w:r>
        <w:rPr>
          <w:noProof/>
        </w:rPr>
        <w:t>Attachment 1: Consent Form for Participants</w:t>
      </w:r>
    </w:p>
    <w:p w:rsidR="00511955" w:rsidRDefault="00511955" w:rsidP="00F0420B">
      <w:bookmarkStart w:id="2" w:name="_Toc268882780"/>
      <w:r>
        <w:t>Attachment 2: Estimate of hourly rate for foreign researchers</w:t>
      </w:r>
      <w:bookmarkEnd w:id="2"/>
    </w:p>
    <w:p w:rsidR="00511955" w:rsidRDefault="00511955" w:rsidP="00F0420B">
      <w:bookmarkStart w:id="3" w:name="_Toc268882781"/>
      <w:r w:rsidRPr="00943D9D">
        <w:t xml:space="preserve">Attachment </w:t>
      </w:r>
      <w:r>
        <w:t>3</w:t>
      </w:r>
      <w:r w:rsidRPr="00943D9D">
        <w:t>: Interview Guide for US-Based Princip</w:t>
      </w:r>
      <w:r>
        <w:t>a</w:t>
      </w:r>
      <w:r w:rsidRPr="00943D9D">
        <w:t>l Investigators</w:t>
      </w:r>
      <w:bookmarkEnd w:id="3"/>
    </w:p>
    <w:p w:rsidR="00511955" w:rsidRDefault="00511955" w:rsidP="00F0420B">
      <w:bookmarkStart w:id="4" w:name="_Toc268882782"/>
      <w:r>
        <w:t xml:space="preserve">Attachment 4: </w:t>
      </w:r>
      <w:r w:rsidRPr="00C456E5">
        <w:t>Case Study Questionnaire for FIC Trainees</w:t>
      </w:r>
      <w:bookmarkEnd w:id="4"/>
    </w:p>
    <w:p w:rsidR="00511955" w:rsidRDefault="00511955" w:rsidP="00F0420B">
      <w:bookmarkStart w:id="5" w:name="_Toc268882783"/>
      <w:r>
        <w:t>Attachment 5: Focus Group Discussion Guide for Trainees</w:t>
      </w:r>
      <w:bookmarkEnd w:id="5"/>
    </w:p>
    <w:p w:rsidR="00511955" w:rsidRDefault="00511955" w:rsidP="00F0420B">
      <w:bookmarkStart w:id="6" w:name="_Toc268882784"/>
      <w:r>
        <w:t>Attachment 6: Interview Discussion Guide for Trainees (University-Based)</w:t>
      </w:r>
      <w:bookmarkEnd w:id="6"/>
    </w:p>
    <w:p w:rsidR="00511955" w:rsidRDefault="00511955" w:rsidP="00F0420B">
      <w:bookmarkStart w:id="7" w:name="_Toc268882785"/>
      <w:r>
        <w:t>Attachment 7: Interview Discussion Guide for Trainees (Non University-Based)</w:t>
      </w:r>
      <w:bookmarkEnd w:id="7"/>
    </w:p>
    <w:p w:rsidR="00511955" w:rsidRDefault="00511955" w:rsidP="00BA7A40">
      <w:bookmarkStart w:id="8" w:name="_Toc268882786"/>
      <w:r>
        <w:t>Attachment 8: Interview Discussion Guide for University Leaders</w:t>
      </w:r>
      <w:bookmarkEnd w:id="8"/>
    </w:p>
    <w:p w:rsidR="00511955" w:rsidRDefault="00511955" w:rsidP="00BA7A40">
      <w:bookmarkStart w:id="9" w:name="_Toc268882787"/>
      <w:r>
        <w:t>Attachment 9: Interview Discussion Guide for Policy-Makers and Scientific Leaders</w:t>
      </w:r>
      <w:bookmarkEnd w:id="9"/>
    </w:p>
    <w:p w:rsidR="00511955" w:rsidRDefault="00511955" w:rsidP="00BA7A40">
      <w:bookmarkStart w:id="10" w:name="_Toc268882788"/>
      <w:r>
        <w:t>Attachment 10: Conceptual Framework</w:t>
      </w:r>
      <w:bookmarkEnd w:id="10"/>
    </w:p>
    <w:p w:rsidR="00511955" w:rsidRDefault="00511955" w:rsidP="00BA7A40">
      <w:bookmarkStart w:id="11" w:name="_Toc268882789"/>
      <w:r>
        <w:t>Attachment 11: Research Questions</w:t>
      </w:r>
      <w:bookmarkEnd w:id="11"/>
    </w:p>
    <w:p w:rsidR="00511955" w:rsidRPr="00BA7A40" w:rsidRDefault="00511955" w:rsidP="00BA7A40"/>
    <w:p w:rsidR="00511955" w:rsidRDefault="00511955" w:rsidP="00F0420B">
      <w:pPr>
        <w:rPr>
          <w:caps/>
          <w:noProof/>
        </w:rPr>
      </w:pPr>
    </w:p>
    <w:p w:rsidR="00511955" w:rsidRDefault="00511955" w:rsidP="00F0420B">
      <w:pPr>
        <w:rPr>
          <w:caps/>
          <w:noProof/>
        </w:rPr>
      </w:pPr>
    </w:p>
    <w:p w:rsidR="00511955" w:rsidRDefault="00511955" w:rsidP="00F0420B">
      <w:pPr>
        <w:rPr>
          <w:caps/>
          <w:noProof/>
        </w:rPr>
      </w:pPr>
    </w:p>
    <w:p w:rsidR="00511955" w:rsidRDefault="00511955" w:rsidP="00F0420B">
      <w:pPr>
        <w:rPr>
          <w:caps/>
          <w:noProof/>
        </w:rPr>
      </w:pPr>
    </w:p>
    <w:p w:rsidR="00511955" w:rsidRPr="007400AC" w:rsidRDefault="00511955" w:rsidP="00853AC0">
      <w:pPr>
        <w:spacing w:line="480" w:lineRule="auto"/>
        <w:jc w:val="center"/>
        <w:rPr>
          <w:b/>
          <w:sz w:val="28"/>
          <w:szCs w:val="28"/>
        </w:rPr>
      </w:pPr>
    </w:p>
    <w:bookmarkEnd w:id="0"/>
    <w:bookmarkEnd w:id="1"/>
    <w:p w:rsidR="00511955" w:rsidRPr="00853AC0" w:rsidRDefault="00511955" w:rsidP="00853AC0">
      <w:pPr>
        <w:spacing w:line="480" w:lineRule="auto"/>
        <w:jc w:val="center"/>
        <w:rPr>
          <w:b/>
          <w:sz w:val="24"/>
          <w:szCs w:val="24"/>
        </w:rPr>
      </w:pPr>
    </w:p>
    <w:p w:rsidR="00511955" w:rsidRDefault="00511955" w:rsidP="00853AC0">
      <w:pPr>
        <w:spacing w:line="480" w:lineRule="auto"/>
        <w:rPr>
          <w:b/>
          <w:sz w:val="24"/>
          <w:szCs w:val="24"/>
          <w:u w:val="single"/>
        </w:rPr>
        <w:sectPr w:rsidR="00511955" w:rsidSect="00F84374">
          <w:footerReference w:type="even" r:id="rId7"/>
          <w:footerReference w:type="default" r:id="rId8"/>
          <w:footnotePr>
            <w:numRestart w:val="eachSect"/>
          </w:footnotePr>
          <w:endnotePr>
            <w:numFmt w:val="decimal"/>
          </w:endnotePr>
          <w:pgSz w:w="12240" w:h="15840"/>
          <w:pgMar w:top="1260" w:right="1152" w:bottom="1440" w:left="1152" w:header="720" w:footer="720" w:gutter="0"/>
          <w:cols w:space="720"/>
          <w:noEndnote/>
          <w:docGrid w:linePitch="360"/>
        </w:sectPr>
      </w:pPr>
    </w:p>
    <w:p w:rsidR="00511955" w:rsidRPr="00131FB9" w:rsidRDefault="00511955" w:rsidP="00F0420B">
      <w:pPr>
        <w:pStyle w:val="Heading1"/>
      </w:pPr>
      <w:bookmarkStart w:id="12" w:name="_Toc269296646"/>
      <w:r w:rsidRPr="00131FB9">
        <w:t>A.1. Circumstances Making the Collection of Information Necessary</w:t>
      </w:r>
      <w:bookmarkEnd w:id="12"/>
      <w:r w:rsidRPr="00131FB9">
        <w:t xml:space="preserve"> </w:t>
      </w:r>
    </w:p>
    <w:p w:rsidR="00511955" w:rsidRDefault="00511955" w:rsidP="00131FB9">
      <w:pPr>
        <w:spacing w:line="480" w:lineRule="auto"/>
        <w:rPr>
          <w:sz w:val="24"/>
          <w:szCs w:val="24"/>
        </w:rPr>
      </w:pPr>
    </w:p>
    <w:p w:rsidR="00511955" w:rsidRPr="00131FB9" w:rsidRDefault="00511955" w:rsidP="00131FB9">
      <w:pPr>
        <w:spacing w:line="480" w:lineRule="auto"/>
        <w:rPr>
          <w:sz w:val="24"/>
          <w:szCs w:val="24"/>
        </w:rPr>
      </w:pPr>
      <w:r w:rsidRPr="00131FB9">
        <w:rPr>
          <w:sz w:val="24"/>
          <w:szCs w:val="24"/>
        </w:rPr>
        <w:t xml:space="preserve">The John E. Fogarty International Center (FIC) at the National Institutes of Health (NIH) is dedicated to supporting and facilitating global health research conducted by U.S. and international investigators, building partnerships between health research organizations in the U.S. and abroad, and training the next generation of scientists to address global health needs.  FIC currently administers 23 programs, 17 of which are research training programs intended to build research capacity in low and middle income countries by training researchers at organizations around the world.  The oldest of these programs, the AIDS International Training and Research Program (AITRP), has trained approximately 1400 researchers since 1988.  </w:t>
      </w:r>
    </w:p>
    <w:p w:rsidR="00511955" w:rsidRDefault="00511955" w:rsidP="00426B71">
      <w:pPr>
        <w:spacing w:after="280" w:afterAutospacing="1" w:line="480" w:lineRule="auto"/>
        <w:rPr>
          <w:rFonts w:cs="Calibri"/>
          <w:sz w:val="24"/>
          <w:szCs w:val="24"/>
        </w:rPr>
      </w:pPr>
      <w:r w:rsidRPr="00426B71">
        <w:rPr>
          <w:sz w:val="24"/>
          <w:szCs w:val="24"/>
        </w:rPr>
        <w:t xml:space="preserve">While AITRP other FIC programs have been subject to periodic evaluation as individual programs (see for example Adedokun, Baytop et al. 2008), the cumulative impact of FIC support on research capacity building at educational institutions in low and middle income countries has not been evaluated. </w:t>
      </w:r>
      <w:r w:rsidRPr="00426B71">
        <w:rPr>
          <w:rFonts w:cs="Calibri"/>
          <w:sz w:val="24"/>
          <w:szCs w:val="24"/>
        </w:rPr>
        <w:t xml:space="preserve">With a more than 20 year history of investment in </w:t>
      </w:r>
      <w:r>
        <w:rPr>
          <w:rFonts w:cs="Calibri"/>
          <w:sz w:val="24"/>
          <w:szCs w:val="24"/>
        </w:rPr>
        <w:t xml:space="preserve">international research </w:t>
      </w:r>
      <w:r w:rsidRPr="00426B71">
        <w:rPr>
          <w:rFonts w:cs="Calibri"/>
          <w:sz w:val="24"/>
          <w:szCs w:val="24"/>
        </w:rPr>
        <w:t xml:space="preserve">capacity building, it is </w:t>
      </w:r>
      <w:r>
        <w:rPr>
          <w:rFonts w:cs="Calibri"/>
          <w:sz w:val="24"/>
          <w:szCs w:val="24"/>
        </w:rPr>
        <w:t>widely believed th</w:t>
      </w:r>
      <w:r w:rsidRPr="00426B71">
        <w:rPr>
          <w:rFonts w:cs="Calibri"/>
          <w:sz w:val="24"/>
          <w:szCs w:val="24"/>
        </w:rPr>
        <w:t>at impact</w:t>
      </w:r>
      <w:r>
        <w:rPr>
          <w:rFonts w:cs="Calibri"/>
          <w:sz w:val="24"/>
          <w:szCs w:val="24"/>
        </w:rPr>
        <w:t>s</w:t>
      </w:r>
      <w:r w:rsidRPr="00426B71">
        <w:rPr>
          <w:rFonts w:cs="Calibri"/>
          <w:sz w:val="24"/>
          <w:szCs w:val="24"/>
        </w:rPr>
        <w:t xml:space="preserve"> </w:t>
      </w:r>
      <w:r>
        <w:rPr>
          <w:rFonts w:cs="Calibri"/>
          <w:sz w:val="24"/>
          <w:szCs w:val="24"/>
        </w:rPr>
        <w:t>of FIC research training programs on collaborating</w:t>
      </w:r>
      <w:r w:rsidRPr="00426B71">
        <w:rPr>
          <w:rFonts w:cs="Calibri"/>
          <w:sz w:val="24"/>
          <w:szCs w:val="24"/>
        </w:rPr>
        <w:t xml:space="preserve"> organizations </w:t>
      </w:r>
      <w:r>
        <w:rPr>
          <w:rFonts w:cs="Calibri"/>
          <w:sz w:val="24"/>
          <w:szCs w:val="24"/>
        </w:rPr>
        <w:t>have been diverse and significant, but little evidence is currently available to substantiate this claim or to inform future investments by FIC in this area</w:t>
      </w:r>
      <w:r w:rsidRPr="00426B71">
        <w:rPr>
          <w:rFonts w:cs="Calibri"/>
          <w:sz w:val="24"/>
          <w:szCs w:val="24"/>
        </w:rPr>
        <w:t xml:space="preserve">. </w:t>
      </w:r>
    </w:p>
    <w:p w:rsidR="00511955" w:rsidRPr="00F0420B" w:rsidRDefault="00511955" w:rsidP="00426B71">
      <w:pPr>
        <w:spacing w:after="280" w:afterAutospacing="1" w:line="480" w:lineRule="auto"/>
        <w:rPr>
          <w:rFonts w:cs="Calibri"/>
          <w:sz w:val="24"/>
          <w:szCs w:val="24"/>
        </w:rPr>
      </w:pPr>
      <w:r w:rsidRPr="00F0420B">
        <w:rPr>
          <w:sz w:val="24"/>
          <w:szCs w:val="24"/>
        </w:rPr>
        <w:t>The authority to collect this information is under 42 USC 287b.</w:t>
      </w:r>
    </w:p>
    <w:p w:rsidR="00511955" w:rsidRPr="00D60DB5" w:rsidRDefault="00511955" w:rsidP="00F0420B">
      <w:pPr>
        <w:pStyle w:val="Heading1"/>
      </w:pPr>
      <w:bookmarkStart w:id="13" w:name="_Toc269296647"/>
      <w:r w:rsidRPr="00D60DB5">
        <w:t>A.2.  Purpose and Use of the Information</w:t>
      </w:r>
      <w:bookmarkEnd w:id="13"/>
      <w:r w:rsidRPr="00D60DB5">
        <w:t xml:space="preserve"> </w:t>
      </w:r>
    </w:p>
    <w:p w:rsidR="00511955" w:rsidRPr="00131FB9" w:rsidRDefault="00511955" w:rsidP="002A78D7">
      <w:pPr>
        <w:spacing w:after="280" w:afterAutospacing="1" w:line="480" w:lineRule="auto"/>
        <w:rPr>
          <w:sz w:val="24"/>
          <w:szCs w:val="24"/>
        </w:rPr>
      </w:pPr>
      <w:r w:rsidRPr="00131FB9">
        <w:rPr>
          <w:sz w:val="24"/>
          <w:szCs w:val="24"/>
        </w:rPr>
        <w:t xml:space="preserve">This study </w:t>
      </w:r>
      <w:r>
        <w:rPr>
          <w:sz w:val="24"/>
          <w:szCs w:val="24"/>
        </w:rPr>
        <w:t>will use institution-based case studies</w:t>
      </w:r>
      <w:r w:rsidRPr="00131FB9">
        <w:rPr>
          <w:sz w:val="24"/>
          <w:szCs w:val="24"/>
        </w:rPr>
        <w:t xml:space="preserve"> to develop a comprehensive understanding of the long term impacts of FIC research training programs</w:t>
      </w:r>
      <w:r>
        <w:rPr>
          <w:sz w:val="24"/>
          <w:szCs w:val="24"/>
        </w:rPr>
        <w:t>,</w:t>
      </w:r>
      <w:r w:rsidRPr="00131FB9">
        <w:rPr>
          <w:sz w:val="24"/>
          <w:szCs w:val="24"/>
        </w:rPr>
        <w:t xml:space="preserve"> including </w:t>
      </w:r>
      <w:r>
        <w:rPr>
          <w:sz w:val="24"/>
          <w:szCs w:val="24"/>
        </w:rPr>
        <w:t>both proximate effects (e.g.</w:t>
      </w:r>
      <w:r w:rsidRPr="00131FB9">
        <w:rPr>
          <w:sz w:val="24"/>
          <w:szCs w:val="24"/>
        </w:rPr>
        <w:t xml:space="preserve"> professional development and career paths of individual trainees</w:t>
      </w:r>
      <w:r>
        <w:rPr>
          <w:sz w:val="24"/>
          <w:szCs w:val="24"/>
        </w:rPr>
        <w:t xml:space="preserve">) and </w:t>
      </w:r>
      <w:r w:rsidRPr="00131FB9">
        <w:rPr>
          <w:sz w:val="24"/>
          <w:szCs w:val="24"/>
        </w:rPr>
        <w:t>broader effects upon organizational capacity, knowledge production, and policy development.</w:t>
      </w:r>
      <w:r>
        <w:rPr>
          <w:sz w:val="24"/>
          <w:szCs w:val="24"/>
        </w:rPr>
        <w:t xml:space="preserve">  </w:t>
      </w:r>
      <w:r w:rsidRPr="00131FB9">
        <w:rPr>
          <w:sz w:val="24"/>
          <w:szCs w:val="24"/>
        </w:rPr>
        <w:t>A</w:t>
      </w:r>
      <w:r>
        <w:rPr>
          <w:sz w:val="24"/>
          <w:szCs w:val="24"/>
        </w:rPr>
        <w:t xml:space="preserve">n additional goal is to develop and test a set of </w:t>
      </w:r>
      <w:r w:rsidRPr="00131FB9">
        <w:rPr>
          <w:sz w:val="24"/>
          <w:szCs w:val="24"/>
        </w:rPr>
        <w:t xml:space="preserve">research methods for </w:t>
      </w:r>
      <w:r>
        <w:rPr>
          <w:sz w:val="24"/>
          <w:szCs w:val="24"/>
        </w:rPr>
        <w:t xml:space="preserve">assessing </w:t>
      </w:r>
      <w:r w:rsidRPr="00131FB9">
        <w:rPr>
          <w:sz w:val="24"/>
          <w:szCs w:val="24"/>
        </w:rPr>
        <w:t>long term impacts of research training programs.</w:t>
      </w:r>
    </w:p>
    <w:p w:rsidR="00511955" w:rsidRPr="00131FB9" w:rsidRDefault="00511955" w:rsidP="00131FB9">
      <w:pPr>
        <w:spacing w:after="280" w:afterAutospacing="1" w:line="480" w:lineRule="auto"/>
        <w:rPr>
          <w:sz w:val="24"/>
          <w:szCs w:val="24"/>
        </w:rPr>
      </w:pPr>
      <w:r w:rsidRPr="00131FB9">
        <w:rPr>
          <w:sz w:val="24"/>
          <w:szCs w:val="24"/>
        </w:rPr>
        <w:t xml:space="preserve">It is anticipated that this study will </w:t>
      </w:r>
      <w:r>
        <w:rPr>
          <w:sz w:val="24"/>
          <w:szCs w:val="24"/>
        </w:rPr>
        <w:t>be used by FIC to inform its</w:t>
      </w:r>
      <w:r w:rsidRPr="00131FB9">
        <w:rPr>
          <w:sz w:val="24"/>
          <w:szCs w:val="24"/>
        </w:rPr>
        <w:t xml:space="preserve"> understanding of the potential long term impacts of </w:t>
      </w:r>
      <w:r>
        <w:rPr>
          <w:sz w:val="24"/>
          <w:szCs w:val="24"/>
        </w:rPr>
        <w:t xml:space="preserve">its </w:t>
      </w:r>
      <w:r w:rsidRPr="00131FB9">
        <w:rPr>
          <w:sz w:val="24"/>
          <w:szCs w:val="24"/>
        </w:rPr>
        <w:t>investment</w:t>
      </w:r>
      <w:r>
        <w:rPr>
          <w:sz w:val="24"/>
          <w:szCs w:val="24"/>
        </w:rPr>
        <w:t>s</w:t>
      </w:r>
      <w:r w:rsidRPr="00131FB9">
        <w:rPr>
          <w:sz w:val="24"/>
          <w:szCs w:val="24"/>
        </w:rPr>
        <w:t xml:space="preserve"> in </w:t>
      </w:r>
      <w:r>
        <w:rPr>
          <w:sz w:val="24"/>
          <w:szCs w:val="24"/>
        </w:rPr>
        <w:t xml:space="preserve">research capacity building </w:t>
      </w:r>
      <w:r w:rsidRPr="00131FB9">
        <w:rPr>
          <w:sz w:val="24"/>
          <w:szCs w:val="24"/>
        </w:rPr>
        <w:t>and the mechanisms thro</w:t>
      </w:r>
      <w:r>
        <w:rPr>
          <w:sz w:val="24"/>
          <w:szCs w:val="24"/>
        </w:rPr>
        <w:t xml:space="preserve">ugh which these impacts occur. Such knowledge is essential to strategic planning at the Center level. The information will also be used by individual program staff members to improve planning and management of ongoing research training programs. </w:t>
      </w:r>
      <w:r w:rsidRPr="00131FB9">
        <w:rPr>
          <w:sz w:val="24"/>
          <w:szCs w:val="24"/>
        </w:rPr>
        <w:t xml:space="preserve">It is </w:t>
      </w:r>
      <w:r>
        <w:rPr>
          <w:sz w:val="24"/>
          <w:szCs w:val="24"/>
        </w:rPr>
        <w:t xml:space="preserve">also </w:t>
      </w:r>
      <w:r w:rsidRPr="00131FB9">
        <w:rPr>
          <w:sz w:val="24"/>
          <w:szCs w:val="24"/>
        </w:rPr>
        <w:t xml:space="preserve">hoped that the </w:t>
      </w:r>
      <w:r>
        <w:rPr>
          <w:sz w:val="24"/>
          <w:szCs w:val="24"/>
        </w:rPr>
        <w:t xml:space="preserve">results of the study </w:t>
      </w:r>
      <w:r w:rsidRPr="00131FB9">
        <w:rPr>
          <w:sz w:val="24"/>
          <w:szCs w:val="24"/>
        </w:rPr>
        <w:t xml:space="preserve">will inform ongoing debates in the </w:t>
      </w:r>
      <w:r>
        <w:rPr>
          <w:sz w:val="24"/>
          <w:szCs w:val="24"/>
        </w:rPr>
        <w:t xml:space="preserve">broader </w:t>
      </w:r>
      <w:r w:rsidRPr="00131FB9">
        <w:rPr>
          <w:sz w:val="24"/>
          <w:szCs w:val="24"/>
        </w:rPr>
        <w:t xml:space="preserve">global health research community about the channels through which organizational research capacity development occurs and potential strategies for developing centers of research excellence. </w:t>
      </w:r>
    </w:p>
    <w:p w:rsidR="00511955" w:rsidRPr="00990735" w:rsidRDefault="00511955" w:rsidP="00D37944">
      <w:pPr>
        <w:pStyle w:val="Heading1"/>
      </w:pPr>
      <w:bookmarkStart w:id="14" w:name="_Toc269296648"/>
      <w:r w:rsidRPr="00990735">
        <w:t>A.3.  Use of Information Technology and Burden Reduction</w:t>
      </w:r>
      <w:bookmarkEnd w:id="14"/>
      <w:r w:rsidRPr="00990735">
        <w:t xml:space="preserve"> </w:t>
      </w:r>
    </w:p>
    <w:p w:rsidR="00511955" w:rsidRDefault="00511955" w:rsidP="00853AC0">
      <w:pPr>
        <w:spacing w:line="480" w:lineRule="auto"/>
        <w:rPr>
          <w:iCs/>
          <w:sz w:val="24"/>
          <w:szCs w:val="24"/>
        </w:rPr>
      </w:pPr>
      <w:r w:rsidRPr="00990735">
        <w:rPr>
          <w:iCs/>
          <w:sz w:val="24"/>
          <w:szCs w:val="24"/>
        </w:rPr>
        <w:t xml:space="preserve">The nature of the information to be collected (detailed accounts of </w:t>
      </w:r>
      <w:r>
        <w:rPr>
          <w:iCs/>
          <w:sz w:val="24"/>
          <w:szCs w:val="24"/>
        </w:rPr>
        <w:t xml:space="preserve">personal </w:t>
      </w:r>
      <w:r w:rsidRPr="00990735">
        <w:rPr>
          <w:iCs/>
          <w:sz w:val="24"/>
          <w:szCs w:val="24"/>
        </w:rPr>
        <w:t xml:space="preserve">experiences with FIC programs and their impacts) requires personal interaction with informants via interviews and focus groups. In order to minimize communication barriers due to linguistic, cultural, or technological barriers, the interviews will be conducted in person. </w:t>
      </w:r>
      <w:r>
        <w:rPr>
          <w:iCs/>
          <w:sz w:val="24"/>
          <w:szCs w:val="24"/>
        </w:rPr>
        <w:t xml:space="preserve">A brief written questionnaire will also be distributed to </w:t>
      </w:r>
      <w:r w:rsidRPr="000D682C">
        <w:rPr>
          <w:iCs/>
          <w:sz w:val="24"/>
          <w:szCs w:val="24"/>
        </w:rPr>
        <w:t xml:space="preserve">focus group participants. Under ordinary circumstances, information technology such as </w:t>
      </w:r>
      <w:r w:rsidRPr="000D682C">
        <w:rPr>
          <w:sz w:val="24"/>
          <w:szCs w:val="24"/>
        </w:rPr>
        <w:t xml:space="preserve">Computer Assisted Telephone Interviews </w:t>
      </w:r>
      <w:r w:rsidRPr="000D682C">
        <w:rPr>
          <w:iCs/>
          <w:sz w:val="24"/>
          <w:szCs w:val="24"/>
        </w:rPr>
        <w:t>could be used to facilitate this portion of the data collection, but the fact that the data collection will</w:t>
      </w:r>
      <w:r>
        <w:rPr>
          <w:iCs/>
          <w:sz w:val="24"/>
          <w:szCs w:val="24"/>
        </w:rPr>
        <w:t xml:space="preserve"> be conducted in low and middle income country settings with uncertain access to resources such internet access makes a paper-based approach more reliable.</w:t>
      </w:r>
    </w:p>
    <w:p w:rsidR="00511955" w:rsidRDefault="00511955" w:rsidP="00853AC0">
      <w:pPr>
        <w:spacing w:line="480" w:lineRule="auto"/>
        <w:rPr>
          <w:b/>
          <w:sz w:val="24"/>
          <w:szCs w:val="24"/>
          <w:u w:val="single"/>
        </w:rPr>
      </w:pPr>
    </w:p>
    <w:p w:rsidR="00511955" w:rsidRPr="00131FB9" w:rsidRDefault="00511955" w:rsidP="00D37944">
      <w:pPr>
        <w:pStyle w:val="Heading1"/>
      </w:pPr>
      <w:bookmarkStart w:id="15" w:name="_Toc269296649"/>
      <w:r w:rsidRPr="00131FB9">
        <w:t>A.4. Efforts to Identify Duplication and Use of Similar Information</w:t>
      </w:r>
      <w:bookmarkEnd w:id="15"/>
    </w:p>
    <w:p w:rsidR="00511955" w:rsidRPr="00853AC0" w:rsidRDefault="00511955" w:rsidP="00853AC0">
      <w:pPr>
        <w:spacing w:line="480" w:lineRule="auto"/>
        <w:rPr>
          <w:sz w:val="24"/>
          <w:szCs w:val="24"/>
        </w:rPr>
      </w:pPr>
      <w:r w:rsidRPr="00990735">
        <w:rPr>
          <w:sz w:val="24"/>
          <w:szCs w:val="24"/>
        </w:rPr>
        <w:t>Every effort has been made to identify information that can be collected by the contractor rather than from the survey respondents.  For example, details such as publication records and NIH funding history will be gathered by the contractor from NIH databases in lieu of requesting this information from the survey respondents. To the extent that it is possible to do so, relevant information will also be extracted from previous evaluations of the research training programs in question, although it is anticipated that this information will be out of date in most cases.</w:t>
      </w:r>
    </w:p>
    <w:p w:rsidR="00511955" w:rsidRDefault="00511955" w:rsidP="00853AC0">
      <w:pPr>
        <w:spacing w:line="480" w:lineRule="auto"/>
        <w:rPr>
          <w:b/>
          <w:sz w:val="24"/>
          <w:szCs w:val="24"/>
          <w:u w:val="single"/>
        </w:rPr>
      </w:pPr>
    </w:p>
    <w:p w:rsidR="00511955" w:rsidRPr="00131FB9" w:rsidRDefault="00511955" w:rsidP="00D37944">
      <w:pPr>
        <w:pStyle w:val="Heading1"/>
      </w:pPr>
      <w:bookmarkStart w:id="16" w:name="_Toc269296650"/>
      <w:r w:rsidRPr="00131FB9">
        <w:t>A.5 Impact on Small Businesses or Other Small Entities</w:t>
      </w:r>
      <w:bookmarkEnd w:id="16"/>
      <w:r w:rsidRPr="00131FB9">
        <w:t xml:space="preserve"> </w:t>
      </w:r>
    </w:p>
    <w:p w:rsidR="00511955" w:rsidRPr="00853AC0" w:rsidRDefault="00511955" w:rsidP="00853AC0">
      <w:pPr>
        <w:spacing w:line="480" w:lineRule="auto"/>
        <w:rPr>
          <w:sz w:val="24"/>
          <w:szCs w:val="24"/>
        </w:rPr>
      </w:pPr>
      <w:r w:rsidRPr="00853AC0">
        <w:rPr>
          <w:sz w:val="24"/>
          <w:szCs w:val="24"/>
        </w:rPr>
        <w:t>No small businesses will be involved in this study.</w:t>
      </w:r>
    </w:p>
    <w:p w:rsidR="00511955" w:rsidRDefault="00511955" w:rsidP="00853AC0">
      <w:pPr>
        <w:spacing w:line="480" w:lineRule="auto"/>
        <w:rPr>
          <w:b/>
          <w:sz w:val="24"/>
          <w:szCs w:val="24"/>
          <w:u w:val="single"/>
        </w:rPr>
      </w:pPr>
    </w:p>
    <w:p w:rsidR="00511955" w:rsidRPr="00131FB9" w:rsidRDefault="00511955" w:rsidP="00D37944">
      <w:pPr>
        <w:pStyle w:val="Heading1"/>
      </w:pPr>
      <w:bookmarkStart w:id="17" w:name="_Toc269296651"/>
      <w:r w:rsidRPr="00131FB9">
        <w:t>A.6. Consequences of Collecting the Information Less Frequently</w:t>
      </w:r>
      <w:bookmarkEnd w:id="17"/>
      <w:r w:rsidRPr="00131FB9">
        <w:t xml:space="preserve"> </w:t>
      </w:r>
    </w:p>
    <w:p w:rsidR="00511955" w:rsidRPr="00990735" w:rsidRDefault="00511955" w:rsidP="00853AC0">
      <w:pPr>
        <w:spacing w:line="480" w:lineRule="auto"/>
        <w:rPr>
          <w:sz w:val="24"/>
          <w:szCs w:val="24"/>
        </w:rPr>
      </w:pPr>
      <w:r>
        <w:rPr>
          <w:sz w:val="24"/>
          <w:szCs w:val="24"/>
        </w:rPr>
        <w:t>Information will only be collected once per collaborating institution using a case study approach, so frequency of data collection is not a concern. If information is collected for fewer cases than anticipated, the study will still have value for strategic planning and program management. No technical or legal obstacles are anticipated.</w:t>
      </w:r>
    </w:p>
    <w:p w:rsidR="00511955" w:rsidRDefault="00511955" w:rsidP="00853AC0">
      <w:pPr>
        <w:spacing w:line="480" w:lineRule="auto"/>
        <w:rPr>
          <w:b/>
          <w:sz w:val="24"/>
          <w:szCs w:val="24"/>
          <w:u w:val="single"/>
        </w:rPr>
      </w:pPr>
    </w:p>
    <w:p w:rsidR="00511955" w:rsidRPr="00131FB9" w:rsidRDefault="00511955" w:rsidP="00D37944">
      <w:pPr>
        <w:pStyle w:val="Heading1"/>
      </w:pPr>
      <w:bookmarkStart w:id="18" w:name="_Toc269296652"/>
      <w:r w:rsidRPr="00131FB9">
        <w:t>A.7. Special Circumstances Relating to the Guidelines of 5 CFR 1320.5</w:t>
      </w:r>
      <w:bookmarkEnd w:id="18"/>
      <w:r w:rsidRPr="00131FB9">
        <w:t xml:space="preserve"> </w:t>
      </w:r>
    </w:p>
    <w:p w:rsidR="00511955" w:rsidRPr="00853AC0" w:rsidRDefault="00511955" w:rsidP="00853AC0">
      <w:pPr>
        <w:spacing w:line="480" w:lineRule="auto"/>
        <w:rPr>
          <w:position w:val="-7"/>
          <w:sz w:val="24"/>
          <w:szCs w:val="24"/>
        </w:rPr>
      </w:pPr>
      <w:r>
        <w:rPr>
          <w:sz w:val="24"/>
          <w:szCs w:val="24"/>
        </w:rPr>
        <w:t xml:space="preserve">The proposed data collection </w:t>
      </w:r>
      <w:r w:rsidRPr="00853AC0">
        <w:rPr>
          <w:sz w:val="24"/>
          <w:szCs w:val="24"/>
        </w:rPr>
        <w:t>fully complies with all guidelines of 5 CFR 1320.5.</w:t>
      </w:r>
    </w:p>
    <w:p w:rsidR="00511955" w:rsidRPr="00853AC0" w:rsidRDefault="00511955" w:rsidP="00853AC0">
      <w:pPr>
        <w:spacing w:line="480" w:lineRule="auto"/>
        <w:rPr>
          <w:b/>
          <w:sz w:val="24"/>
          <w:szCs w:val="24"/>
        </w:rPr>
      </w:pPr>
    </w:p>
    <w:p w:rsidR="00511955" w:rsidRPr="00853AC0" w:rsidRDefault="00511955" w:rsidP="00D37944">
      <w:pPr>
        <w:pStyle w:val="Heading1"/>
      </w:pPr>
      <w:bookmarkStart w:id="19" w:name="_Toc269296653"/>
      <w:r w:rsidRPr="00131FB9">
        <w:t>A.8. Comments in Response to the Federal Register Notice and Efforts to Consult Outside</w:t>
      </w:r>
      <w:r w:rsidRPr="00853AC0">
        <w:t xml:space="preserve"> Agency</w:t>
      </w:r>
      <w:bookmarkEnd w:id="19"/>
      <w:r w:rsidRPr="00853AC0">
        <w:t xml:space="preserve"> </w:t>
      </w:r>
    </w:p>
    <w:p w:rsidR="00511955" w:rsidRPr="00D37944" w:rsidRDefault="00511955" w:rsidP="00D703B5">
      <w:pPr>
        <w:spacing w:line="480" w:lineRule="auto"/>
        <w:rPr>
          <w:sz w:val="24"/>
          <w:szCs w:val="24"/>
        </w:rPr>
      </w:pPr>
      <w:r w:rsidRPr="00835E75">
        <w:rPr>
          <w:sz w:val="24"/>
          <w:szCs w:val="24"/>
        </w:rPr>
        <w:t xml:space="preserve">As required by  5 CFR 1320.8(d), comments on the information collection activities as part of this study were solicited through publication of a 60 Day Notice in the </w:t>
      </w:r>
      <w:r w:rsidRPr="006C3615">
        <w:rPr>
          <w:sz w:val="24"/>
          <w:szCs w:val="24"/>
        </w:rPr>
        <w:t xml:space="preserve">Federal Register on May 27, 2010 (volume 75, number 102, page </w:t>
      </w:r>
      <w:r w:rsidRPr="006C3615">
        <w:rPr>
          <w:rFonts w:ascii="Melior-Bold" w:hAnsi="Melior-Bold" w:cs="Melior-Bold"/>
          <w:bCs/>
          <w:sz w:val="22"/>
          <w:szCs w:val="22"/>
        </w:rPr>
        <w:t>29763)</w:t>
      </w:r>
      <w:r w:rsidRPr="006C3615">
        <w:rPr>
          <w:sz w:val="24"/>
          <w:szCs w:val="24"/>
        </w:rPr>
        <w:t xml:space="preserve">. </w:t>
      </w:r>
      <w:r w:rsidRPr="00D37944">
        <w:rPr>
          <w:sz w:val="24"/>
          <w:szCs w:val="24"/>
        </w:rPr>
        <w:t>One comment was received from a member of the public. The commenter raised objections to the study on the grounds that: a) in the present economy, tax dollars should not be spent wastefully; and b) tax dollars should not be spent outside the US. The commenter did not address cost and hour burden specifically, and the objections raised appeared to apply more generally to FIC's mission than to the proposed case studies. As such, FIC does not believe the objections can reasonably be accommodated within the context of this study design. </w:t>
      </w:r>
    </w:p>
    <w:p w:rsidR="00511955" w:rsidRPr="00853AC0" w:rsidRDefault="00511955" w:rsidP="00D703B5">
      <w:pPr>
        <w:widowControl/>
        <w:autoSpaceDE w:val="0"/>
        <w:autoSpaceDN w:val="0"/>
        <w:adjustRightInd w:val="0"/>
        <w:spacing w:line="480" w:lineRule="auto"/>
        <w:rPr>
          <w:sz w:val="24"/>
          <w:szCs w:val="24"/>
        </w:rPr>
      </w:pPr>
      <w:r>
        <w:rPr>
          <w:sz w:val="24"/>
          <w:szCs w:val="24"/>
        </w:rPr>
        <w:t xml:space="preserve">FIC has created an external advisory group for the study, and members are actively being recruited. The advisory group will be consulted on matters related to study design, data collection, analysis, and reporting. </w:t>
      </w:r>
    </w:p>
    <w:p w:rsidR="00511955" w:rsidRPr="00853AC0" w:rsidRDefault="00511955" w:rsidP="00D703B5">
      <w:pPr>
        <w:spacing w:line="480" w:lineRule="auto"/>
        <w:rPr>
          <w:position w:val="-7"/>
          <w:sz w:val="24"/>
          <w:szCs w:val="24"/>
        </w:rPr>
      </w:pPr>
    </w:p>
    <w:p w:rsidR="00511955" w:rsidRPr="00131FB9" w:rsidRDefault="00511955" w:rsidP="00D37944">
      <w:pPr>
        <w:pStyle w:val="Heading1"/>
      </w:pPr>
      <w:bookmarkStart w:id="20" w:name="_Toc269296654"/>
      <w:r w:rsidRPr="00131FB9">
        <w:t>A.9. Explanation of Any Payment or Gift to Respondents</w:t>
      </w:r>
      <w:bookmarkEnd w:id="20"/>
      <w:r w:rsidRPr="00131FB9">
        <w:t xml:space="preserve"> </w:t>
      </w:r>
    </w:p>
    <w:p w:rsidR="00511955" w:rsidRPr="00853AC0" w:rsidRDefault="00511955" w:rsidP="00853AC0">
      <w:pPr>
        <w:spacing w:line="480" w:lineRule="auto"/>
        <w:rPr>
          <w:sz w:val="24"/>
          <w:szCs w:val="24"/>
        </w:rPr>
      </w:pPr>
      <w:r w:rsidRPr="00853AC0">
        <w:rPr>
          <w:sz w:val="24"/>
          <w:szCs w:val="24"/>
        </w:rPr>
        <w:t>No payment or gift will be made to respondents as a part of this study.</w:t>
      </w:r>
      <w:r w:rsidRPr="00853AC0" w:rsidDel="00777C4E">
        <w:rPr>
          <w:sz w:val="24"/>
          <w:szCs w:val="24"/>
        </w:rPr>
        <w:t xml:space="preserve"> </w:t>
      </w:r>
    </w:p>
    <w:p w:rsidR="00511955" w:rsidRPr="00853AC0" w:rsidRDefault="00511955" w:rsidP="00853AC0">
      <w:pPr>
        <w:spacing w:line="480" w:lineRule="auto"/>
        <w:rPr>
          <w:b/>
          <w:sz w:val="24"/>
          <w:szCs w:val="24"/>
        </w:rPr>
      </w:pPr>
    </w:p>
    <w:p w:rsidR="00511955" w:rsidRPr="008B7581" w:rsidRDefault="00511955" w:rsidP="006108DD">
      <w:pPr>
        <w:pStyle w:val="Heading1"/>
      </w:pPr>
      <w:bookmarkStart w:id="21" w:name="_Toc269296655"/>
      <w:r w:rsidRPr="008B7581">
        <w:t>A.10.   Assurance of Confidentiality Provided to Respondents</w:t>
      </w:r>
      <w:bookmarkEnd w:id="21"/>
    </w:p>
    <w:p w:rsidR="00511955" w:rsidRPr="004F3C3C" w:rsidRDefault="00511955" w:rsidP="009C060F">
      <w:pPr>
        <w:spacing w:line="480" w:lineRule="auto"/>
        <w:rPr>
          <w:i/>
          <w:sz w:val="24"/>
          <w:szCs w:val="24"/>
        </w:rPr>
      </w:pPr>
      <w:r w:rsidRPr="00442CC7">
        <w:rPr>
          <w:sz w:val="24"/>
          <w:szCs w:val="24"/>
        </w:rPr>
        <w:t>Data gathered as part of this survey will be identifiable</w:t>
      </w:r>
      <w:r>
        <w:rPr>
          <w:sz w:val="24"/>
          <w:szCs w:val="24"/>
        </w:rPr>
        <w:t xml:space="preserve"> by the name of the respondent, but records of individual responses (in the form of interview notes) will be maintained by the contractor and destroyed as soon as each case report is completed</w:t>
      </w:r>
      <w:r w:rsidRPr="00442CC7">
        <w:rPr>
          <w:sz w:val="24"/>
          <w:szCs w:val="24"/>
        </w:rPr>
        <w:t xml:space="preserve">.  Participants will review and sign a </w:t>
      </w:r>
      <w:r w:rsidRPr="004F3C3C">
        <w:rPr>
          <w:sz w:val="24"/>
          <w:szCs w:val="24"/>
        </w:rPr>
        <w:t xml:space="preserve">written notice of informed consent </w:t>
      </w:r>
      <w:r>
        <w:rPr>
          <w:sz w:val="24"/>
          <w:szCs w:val="24"/>
        </w:rPr>
        <w:t>(Attachment 1</w:t>
      </w:r>
      <w:r w:rsidRPr="004F3C3C">
        <w:rPr>
          <w:sz w:val="24"/>
          <w:szCs w:val="24"/>
        </w:rPr>
        <w:t xml:space="preserve">) prior to participation.  Participants will be informed that the information they provide will not be disclosed to anyone but the researchers conducting this study except as otherwise required by law, that data collected from them will only be reported by the contractor in an aggregate form, and that their participation is completely voluntary. </w:t>
      </w:r>
    </w:p>
    <w:p w:rsidR="00511955" w:rsidRPr="00853AC0" w:rsidRDefault="00511955" w:rsidP="00853AC0">
      <w:pPr>
        <w:spacing w:line="480" w:lineRule="auto"/>
        <w:rPr>
          <w:sz w:val="24"/>
          <w:szCs w:val="24"/>
        </w:rPr>
      </w:pPr>
      <w:r w:rsidRPr="008B7581">
        <w:rPr>
          <w:sz w:val="24"/>
          <w:szCs w:val="24"/>
        </w:rPr>
        <w:t>This data collection activity is exempt from 45 CFR 46 Regulations for Protection of Human Subjects because: a) the data will be reported in aggregate and therefore participants will not be identifiable directly or through identifiers linked to the subjects; and b) because any disclosure of the human subjects' responses outside the research would not place the subjects at risk of criminal or civil liability or be damaging to the subjects' financial standing, employability, or reputation.</w:t>
      </w:r>
      <w:r>
        <w:rPr>
          <w:sz w:val="24"/>
          <w:szCs w:val="24"/>
        </w:rPr>
        <w:t xml:space="preserve"> Nevertheless, review and approval will be sought from the contractor’s Institutional Review Board.</w:t>
      </w:r>
    </w:p>
    <w:p w:rsidR="00511955" w:rsidRPr="00853AC0" w:rsidRDefault="00511955" w:rsidP="00853AC0">
      <w:pPr>
        <w:spacing w:line="480" w:lineRule="auto"/>
        <w:rPr>
          <w:sz w:val="24"/>
          <w:szCs w:val="24"/>
        </w:rPr>
      </w:pPr>
    </w:p>
    <w:p w:rsidR="00511955" w:rsidRPr="00131FB9" w:rsidRDefault="00511955" w:rsidP="006108DD">
      <w:pPr>
        <w:pStyle w:val="Heading1"/>
      </w:pPr>
      <w:bookmarkStart w:id="22" w:name="_Toc269296656"/>
      <w:r w:rsidRPr="00131FB9">
        <w:t>A.11. Justification for Sensitive Questions</w:t>
      </w:r>
      <w:bookmarkEnd w:id="22"/>
      <w:r w:rsidRPr="00131FB9">
        <w:t xml:space="preserve"> </w:t>
      </w:r>
    </w:p>
    <w:p w:rsidR="00511955" w:rsidRDefault="00511955" w:rsidP="00853AC0">
      <w:pPr>
        <w:spacing w:line="480" w:lineRule="auto"/>
        <w:rPr>
          <w:sz w:val="24"/>
          <w:szCs w:val="24"/>
        </w:rPr>
      </w:pPr>
      <w:r w:rsidRPr="00853AC0">
        <w:rPr>
          <w:sz w:val="24"/>
          <w:szCs w:val="24"/>
        </w:rPr>
        <w:t xml:space="preserve">This survey does not contain questions of a sensitive nature, such as sexual behavior and attitudes, religious beliefs, and other matters that are commonly considered private. </w:t>
      </w:r>
    </w:p>
    <w:p w:rsidR="00511955" w:rsidRPr="004F3C3C" w:rsidRDefault="00511955" w:rsidP="00D177B5">
      <w:pPr>
        <w:spacing w:line="480" w:lineRule="auto"/>
        <w:rPr>
          <w:i/>
          <w:sz w:val="24"/>
          <w:szCs w:val="24"/>
        </w:rPr>
      </w:pPr>
      <w:r>
        <w:rPr>
          <w:sz w:val="24"/>
          <w:szCs w:val="24"/>
        </w:rPr>
        <w:t>Personally Identifiable Information gathers as part of this study will be limited to the names of respondents. As described in A.10, records of individual responses (in the form of interview notes) will be maintained by the contractor and destroyed as soon as each case report is completed</w:t>
      </w:r>
      <w:r w:rsidRPr="00442CC7">
        <w:rPr>
          <w:sz w:val="24"/>
          <w:szCs w:val="24"/>
        </w:rPr>
        <w:t xml:space="preserve">.  Participants will review and sign a </w:t>
      </w:r>
      <w:r w:rsidRPr="004F3C3C">
        <w:rPr>
          <w:sz w:val="24"/>
          <w:szCs w:val="24"/>
        </w:rPr>
        <w:t xml:space="preserve">written notice of informed consent </w:t>
      </w:r>
      <w:r>
        <w:rPr>
          <w:sz w:val="24"/>
          <w:szCs w:val="24"/>
        </w:rPr>
        <w:t>(Attachment 1</w:t>
      </w:r>
      <w:r w:rsidRPr="004F3C3C">
        <w:rPr>
          <w:sz w:val="24"/>
          <w:szCs w:val="24"/>
        </w:rPr>
        <w:t xml:space="preserve">) prior to participation.  Participants will be informed that the information they provide will not be disclosed to anyone but the researchers conducting this study except as otherwise required by law, that data collected from them will only be reported by the contractor in an aggregate form, and that their participation is completely voluntary. </w:t>
      </w:r>
    </w:p>
    <w:p w:rsidR="00511955" w:rsidRPr="00131FB9" w:rsidRDefault="00511955" w:rsidP="006108DD">
      <w:pPr>
        <w:pStyle w:val="Heading1"/>
      </w:pPr>
      <w:bookmarkStart w:id="23" w:name="_Toc269296657"/>
      <w:r w:rsidRPr="00131FB9">
        <w:t>A.12. Estimates of Hour Burden Including Annualized Hourly Costs</w:t>
      </w:r>
      <w:bookmarkEnd w:id="23"/>
    </w:p>
    <w:p w:rsidR="00511955" w:rsidRPr="00A81373" w:rsidRDefault="00511955" w:rsidP="00853AC0">
      <w:pPr>
        <w:spacing w:line="480" w:lineRule="auto"/>
        <w:rPr>
          <w:sz w:val="24"/>
          <w:szCs w:val="24"/>
        </w:rPr>
      </w:pPr>
      <w:r w:rsidRPr="00A81373">
        <w:rPr>
          <w:sz w:val="24"/>
          <w:szCs w:val="24"/>
        </w:rPr>
        <w:t xml:space="preserve">As summarized in Table </w:t>
      </w:r>
      <w:r>
        <w:rPr>
          <w:sz w:val="24"/>
          <w:szCs w:val="24"/>
        </w:rPr>
        <w:t>A.12.</w:t>
      </w:r>
      <w:r w:rsidRPr="00A81373">
        <w:rPr>
          <w:sz w:val="24"/>
          <w:szCs w:val="24"/>
        </w:rPr>
        <w:t>1, the estimated number of participants per case study is 105</w:t>
      </w:r>
      <w:r>
        <w:rPr>
          <w:sz w:val="24"/>
          <w:szCs w:val="24"/>
        </w:rPr>
        <w:t xml:space="preserve">. Data will be collected only once per participant. </w:t>
      </w:r>
      <w:r w:rsidRPr="00A81373">
        <w:rPr>
          <w:sz w:val="24"/>
          <w:szCs w:val="24"/>
        </w:rPr>
        <w:t xml:space="preserve">The </w:t>
      </w:r>
      <w:r>
        <w:rPr>
          <w:sz w:val="24"/>
          <w:szCs w:val="24"/>
        </w:rPr>
        <w:t>expected</w:t>
      </w:r>
      <w:r w:rsidRPr="00A81373">
        <w:rPr>
          <w:sz w:val="24"/>
          <w:szCs w:val="24"/>
        </w:rPr>
        <w:t xml:space="preserve"> burden </w:t>
      </w:r>
      <w:r>
        <w:rPr>
          <w:sz w:val="24"/>
          <w:szCs w:val="24"/>
        </w:rPr>
        <w:t>will be one hour per participant for interviewees and two hours for focus group participants. Two case studies will be completed per year for a total annual burden to respondents of 290 hours; FIC is planning a total of 10 case studies over five years for a total of 1450 hours</w:t>
      </w:r>
      <w:r w:rsidRPr="00A81373">
        <w:rPr>
          <w:sz w:val="24"/>
          <w:szCs w:val="24"/>
        </w:rPr>
        <w:t>.</w:t>
      </w:r>
    </w:p>
    <w:p w:rsidR="00511955" w:rsidRDefault="00511955" w:rsidP="00F35801">
      <w:pPr>
        <w:spacing w:line="480" w:lineRule="auto"/>
        <w:rPr>
          <w:sz w:val="24"/>
          <w:szCs w:val="24"/>
        </w:rPr>
      </w:pPr>
      <w:r w:rsidRPr="005F5DFA">
        <w:rPr>
          <w:sz w:val="24"/>
          <w:szCs w:val="24"/>
        </w:rPr>
        <w:t xml:space="preserve">An average hourly rate for the foreign researchers was estimated at $13/hr (US).  This rate was estimated by obtaining the mid-range salaries for scientists in six low- to middle-income countries where FIC has investments (two countries each in Africa, Asia, and South America) from an internet resource for international salary data (Please see Attachment </w:t>
      </w:r>
      <w:r>
        <w:rPr>
          <w:sz w:val="24"/>
          <w:szCs w:val="24"/>
        </w:rPr>
        <w:t>2</w:t>
      </w:r>
      <w:r w:rsidRPr="005F5DFA">
        <w:rPr>
          <w:sz w:val="24"/>
          <w:szCs w:val="24"/>
        </w:rPr>
        <w:t xml:space="preserve"> for more information). </w:t>
      </w:r>
      <w:r>
        <w:rPr>
          <w:sz w:val="24"/>
          <w:szCs w:val="24"/>
        </w:rPr>
        <w:t xml:space="preserve">For US-based </w:t>
      </w:r>
      <w:r w:rsidRPr="00EE0DAA">
        <w:rPr>
          <w:sz w:val="24"/>
          <w:szCs w:val="24"/>
        </w:rPr>
        <w:t xml:space="preserve">researchers, we estimated an hourly rate of $38.94 (based on an average annual salary of $81,000). As summarized in Table </w:t>
      </w:r>
      <w:r>
        <w:rPr>
          <w:sz w:val="24"/>
          <w:szCs w:val="24"/>
        </w:rPr>
        <w:t>A.12.</w:t>
      </w:r>
      <w:r w:rsidRPr="00EE0DAA">
        <w:rPr>
          <w:sz w:val="24"/>
          <w:szCs w:val="24"/>
        </w:rPr>
        <w:t xml:space="preserve">2, the annualized cost to respondents is estimated at: </w:t>
      </w:r>
      <w:r w:rsidRPr="005F5DFA">
        <w:rPr>
          <w:color w:val="000000"/>
          <w:sz w:val="24"/>
          <w:szCs w:val="24"/>
        </w:rPr>
        <w:t>$4,807.60</w:t>
      </w:r>
      <w:r>
        <w:rPr>
          <w:color w:val="000000"/>
          <w:sz w:val="24"/>
          <w:szCs w:val="24"/>
        </w:rPr>
        <w:t>, and the total cost over five years is $24,038</w:t>
      </w:r>
      <w:r w:rsidRPr="00EE0DAA">
        <w:rPr>
          <w:sz w:val="24"/>
          <w:szCs w:val="24"/>
        </w:rPr>
        <w:t xml:space="preserve">.  There are no Capital Costs to report.  </w:t>
      </w:r>
    </w:p>
    <w:p w:rsidR="00511955" w:rsidRPr="00D177B5" w:rsidRDefault="00511955" w:rsidP="00F35801">
      <w:pPr>
        <w:spacing w:line="480" w:lineRule="auto"/>
        <w:rPr>
          <w:sz w:val="24"/>
          <w:szCs w:val="24"/>
        </w:rPr>
      </w:pPr>
      <w:r>
        <w:rPr>
          <w:sz w:val="24"/>
          <w:szCs w:val="24"/>
        </w:rPr>
        <w:t xml:space="preserve">As described in A.14, the expected total </w:t>
      </w:r>
      <w:r w:rsidRPr="00D177B5">
        <w:rPr>
          <w:sz w:val="24"/>
          <w:szCs w:val="24"/>
        </w:rPr>
        <w:t xml:space="preserve">annual cost to the federal government, inclusive of contractor costs, NIH costs, and expected burden to the public, is </w:t>
      </w:r>
      <w:r w:rsidRPr="00D177B5">
        <w:rPr>
          <w:bCs/>
          <w:sz w:val="24"/>
          <w:szCs w:val="24"/>
        </w:rPr>
        <w:t>$39,037.60</w:t>
      </w:r>
      <w:r w:rsidRPr="00D177B5">
        <w:rPr>
          <w:b/>
          <w:bCs/>
          <w:sz w:val="24"/>
          <w:szCs w:val="24"/>
        </w:rPr>
        <w:t>.</w:t>
      </w:r>
    </w:p>
    <w:p w:rsidR="00511955" w:rsidRDefault="00511955">
      <w:pPr>
        <w:widowControl/>
        <w:rPr>
          <w:b/>
          <w:szCs w:val="24"/>
        </w:rPr>
      </w:pPr>
      <w:r>
        <w:rPr>
          <w:b/>
          <w:szCs w:val="24"/>
        </w:rPr>
        <w:br w:type="page"/>
      </w:r>
    </w:p>
    <w:p w:rsidR="00511955" w:rsidRPr="00EE4A89" w:rsidRDefault="00511955" w:rsidP="00853AC0">
      <w:pPr>
        <w:rPr>
          <w:b/>
          <w:szCs w:val="24"/>
        </w:rPr>
      </w:pPr>
      <w:r w:rsidRPr="00EE4A89">
        <w:rPr>
          <w:b/>
          <w:szCs w:val="24"/>
        </w:rPr>
        <w:t xml:space="preserve">Table </w:t>
      </w:r>
      <w:r>
        <w:rPr>
          <w:b/>
          <w:szCs w:val="24"/>
        </w:rPr>
        <w:t>A.12.</w:t>
      </w:r>
      <w:r w:rsidRPr="00EE4A89">
        <w:rPr>
          <w:b/>
          <w:szCs w:val="24"/>
        </w:rPr>
        <w:t>1.Annualized Estimate of Hour Burden</w:t>
      </w:r>
    </w:p>
    <w:tbl>
      <w:tblPr>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29"/>
        <w:gridCol w:w="1517"/>
        <w:gridCol w:w="1355"/>
        <w:gridCol w:w="1172"/>
        <w:gridCol w:w="1122"/>
        <w:gridCol w:w="2040"/>
      </w:tblGrid>
      <w:tr w:rsidR="00511955" w:rsidRPr="005F5DFA" w:rsidTr="00EE4A89">
        <w:tc>
          <w:tcPr>
            <w:tcW w:w="1929" w:type="dxa"/>
          </w:tcPr>
          <w:p w:rsidR="00511955" w:rsidRPr="00EE0DAA" w:rsidRDefault="00511955" w:rsidP="00EE4A89">
            <w:pPr>
              <w:ind w:left="-18"/>
              <w:rPr>
                <w:b/>
                <w:bCs/>
              </w:rPr>
            </w:pPr>
            <w:r w:rsidRPr="00EE0DAA">
              <w:rPr>
                <w:b/>
                <w:bCs/>
              </w:rPr>
              <w:t>Category of Participant</w:t>
            </w:r>
          </w:p>
        </w:tc>
        <w:tc>
          <w:tcPr>
            <w:tcW w:w="1517" w:type="dxa"/>
          </w:tcPr>
          <w:p w:rsidR="00511955" w:rsidRPr="00EE0DAA" w:rsidRDefault="00511955" w:rsidP="006C3615">
            <w:pPr>
              <w:rPr>
                <w:b/>
                <w:bCs/>
              </w:rPr>
            </w:pPr>
            <w:r w:rsidRPr="00EE0DAA">
              <w:rPr>
                <w:b/>
                <w:bCs/>
              </w:rPr>
              <w:t>Expected number of participants per case study</w:t>
            </w:r>
          </w:p>
        </w:tc>
        <w:tc>
          <w:tcPr>
            <w:tcW w:w="1355" w:type="dxa"/>
          </w:tcPr>
          <w:p w:rsidR="00511955" w:rsidRPr="00EE0DAA" w:rsidRDefault="00511955" w:rsidP="006C3615">
            <w:pPr>
              <w:rPr>
                <w:b/>
                <w:bCs/>
              </w:rPr>
            </w:pPr>
            <w:r w:rsidRPr="00EE0DAA">
              <w:rPr>
                <w:b/>
                <w:bCs/>
              </w:rPr>
              <w:t>Number of cases per year</w:t>
            </w:r>
          </w:p>
        </w:tc>
        <w:tc>
          <w:tcPr>
            <w:tcW w:w="1172" w:type="dxa"/>
          </w:tcPr>
          <w:p w:rsidR="00511955" w:rsidRPr="00EE0DAA" w:rsidRDefault="00511955" w:rsidP="00CE480F">
            <w:pPr>
              <w:rPr>
                <w:b/>
                <w:bCs/>
              </w:rPr>
            </w:pPr>
            <w:r w:rsidRPr="00EE0DAA">
              <w:rPr>
                <w:b/>
                <w:bCs/>
              </w:rPr>
              <w:t>Number of responses per respondent</w:t>
            </w:r>
          </w:p>
        </w:tc>
        <w:tc>
          <w:tcPr>
            <w:tcW w:w="1122" w:type="dxa"/>
          </w:tcPr>
          <w:p w:rsidR="00511955" w:rsidRPr="00EE0DAA" w:rsidRDefault="00511955" w:rsidP="00CE480F">
            <w:pPr>
              <w:rPr>
                <w:b/>
                <w:bCs/>
              </w:rPr>
            </w:pPr>
            <w:r w:rsidRPr="00EE0DAA">
              <w:rPr>
                <w:b/>
                <w:bCs/>
              </w:rPr>
              <w:t>Average burden hours per response</w:t>
            </w:r>
          </w:p>
        </w:tc>
        <w:tc>
          <w:tcPr>
            <w:tcW w:w="2040" w:type="dxa"/>
          </w:tcPr>
          <w:p w:rsidR="00511955" w:rsidRPr="00EE0DAA" w:rsidRDefault="00511955" w:rsidP="00CE480F">
            <w:pPr>
              <w:rPr>
                <w:b/>
                <w:bCs/>
              </w:rPr>
            </w:pPr>
            <w:r w:rsidRPr="00EE0DAA">
              <w:rPr>
                <w:b/>
                <w:bCs/>
              </w:rPr>
              <w:t>Estimated total annual burden hours requested</w:t>
            </w:r>
          </w:p>
        </w:tc>
      </w:tr>
      <w:tr w:rsidR="00511955" w:rsidRPr="006D0C89" w:rsidTr="00EE4A89">
        <w:tc>
          <w:tcPr>
            <w:tcW w:w="1929" w:type="dxa"/>
          </w:tcPr>
          <w:p w:rsidR="00511955" w:rsidRPr="00EE0DAA" w:rsidRDefault="00511955" w:rsidP="00EE4A89">
            <w:pPr>
              <w:pStyle w:val="ListParagraph"/>
              <w:ind w:left="-18" w:firstLine="0"/>
              <w:rPr>
                <w:rFonts w:ascii="Times New Roman" w:hAnsi="Times New Roman"/>
                <w:sz w:val="20"/>
                <w:szCs w:val="20"/>
              </w:rPr>
            </w:pPr>
            <w:r w:rsidRPr="00EE0DAA">
              <w:rPr>
                <w:rFonts w:ascii="Times New Roman" w:hAnsi="Times New Roman"/>
                <w:sz w:val="20"/>
                <w:szCs w:val="20"/>
              </w:rPr>
              <w:t>US-based principal investigators (Interviews)</w:t>
            </w:r>
          </w:p>
        </w:tc>
        <w:tc>
          <w:tcPr>
            <w:tcW w:w="1517" w:type="dxa"/>
          </w:tcPr>
          <w:p w:rsidR="00511955" w:rsidRPr="00EE0DAA" w:rsidRDefault="00511955" w:rsidP="00CE480F">
            <w:r w:rsidRPr="00EE0DAA">
              <w:t>20</w:t>
            </w:r>
          </w:p>
        </w:tc>
        <w:tc>
          <w:tcPr>
            <w:tcW w:w="1355" w:type="dxa"/>
          </w:tcPr>
          <w:p w:rsidR="00511955" w:rsidRPr="00EE0DAA" w:rsidRDefault="00511955" w:rsidP="00CE480F">
            <w:r w:rsidRPr="00EE0DAA">
              <w:t>2</w:t>
            </w:r>
          </w:p>
        </w:tc>
        <w:tc>
          <w:tcPr>
            <w:tcW w:w="1172" w:type="dxa"/>
          </w:tcPr>
          <w:p w:rsidR="00511955" w:rsidRPr="00EE0DAA" w:rsidRDefault="00511955" w:rsidP="00CE480F">
            <w:r w:rsidRPr="00EE0DAA">
              <w:t>1</w:t>
            </w:r>
          </w:p>
        </w:tc>
        <w:tc>
          <w:tcPr>
            <w:tcW w:w="1122" w:type="dxa"/>
          </w:tcPr>
          <w:p w:rsidR="00511955" w:rsidRPr="00EE0DAA" w:rsidRDefault="00511955" w:rsidP="00CE480F">
            <w:r w:rsidRPr="00EE0DAA">
              <w:t>1</w:t>
            </w:r>
          </w:p>
        </w:tc>
        <w:tc>
          <w:tcPr>
            <w:tcW w:w="2040" w:type="dxa"/>
          </w:tcPr>
          <w:p w:rsidR="00511955" w:rsidRPr="00EE0DAA" w:rsidRDefault="00511955" w:rsidP="00CE480F">
            <w:r w:rsidRPr="00EE0DAA">
              <w:t>40</w:t>
            </w:r>
          </w:p>
        </w:tc>
      </w:tr>
      <w:tr w:rsidR="00511955" w:rsidRPr="006D0C89" w:rsidTr="00EE4A89">
        <w:tc>
          <w:tcPr>
            <w:tcW w:w="1929" w:type="dxa"/>
          </w:tcPr>
          <w:p w:rsidR="00511955" w:rsidRPr="00EE0DAA" w:rsidRDefault="00511955" w:rsidP="004D5D10">
            <w:pPr>
              <w:ind w:left="-18"/>
            </w:pPr>
            <w:r w:rsidRPr="00EE0DAA">
              <w:t>Case institution trainees (Focus groups and survey)</w:t>
            </w:r>
          </w:p>
        </w:tc>
        <w:tc>
          <w:tcPr>
            <w:tcW w:w="1517" w:type="dxa"/>
          </w:tcPr>
          <w:p w:rsidR="00511955" w:rsidRPr="00EE0DAA" w:rsidRDefault="00511955" w:rsidP="00CE480F">
            <w:r w:rsidRPr="00EE0DAA">
              <w:t>40</w:t>
            </w:r>
          </w:p>
        </w:tc>
        <w:tc>
          <w:tcPr>
            <w:tcW w:w="1355" w:type="dxa"/>
          </w:tcPr>
          <w:p w:rsidR="00511955" w:rsidRPr="00EE0DAA" w:rsidRDefault="00511955" w:rsidP="00CE480F">
            <w:r w:rsidRPr="00EE0DAA">
              <w:t>2</w:t>
            </w:r>
          </w:p>
        </w:tc>
        <w:tc>
          <w:tcPr>
            <w:tcW w:w="1172" w:type="dxa"/>
          </w:tcPr>
          <w:p w:rsidR="00511955" w:rsidRPr="00EE0DAA" w:rsidRDefault="00511955" w:rsidP="00CE480F">
            <w:r w:rsidRPr="00EE0DAA">
              <w:t>1</w:t>
            </w:r>
          </w:p>
        </w:tc>
        <w:tc>
          <w:tcPr>
            <w:tcW w:w="1122" w:type="dxa"/>
          </w:tcPr>
          <w:p w:rsidR="00511955" w:rsidRPr="00EE0DAA" w:rsidRDefault="00511955" w:rsidP="00CE480F">
            <w:r w:rsidRPr="00EE0DAA">
              <w:t>2</w:t>
            </w:r>
          </w:p>
        </w:tc>
        <w:tc>
          <w:tcPr>
            <w:tcW w:w="2040" w:type="dxa"/>
          </w:tcPr>
          <w:p w:rsidR="00511955" w:rsidRPr="00EE0DAA" w:rsidRDefault="00511955" w:rsidP="00CE480F">
            <w:r w:rsidRPr="00EE0DAA">
              <w:t>160</w:t>
            </w:r>
          </w:p>
        </w:tc>
      </w:tr>
      <w:tr w:rsidR="00511955" w:rsidRPr="006D0C89" w:rsidTr="00EE4A89">
        <w:tc>
          <w:tcPr>
            <w:tcW w:w="1929" w:type="dxa"/>
          </w:tcPr>
          <w:p w:rsidR="00511955" w:rsidRPr="00EE0DAA" w:rsidRDefault="00511955" w:rsidP="00EE4A89">
            <w:pPr>
              <w:ind w:left="-18"/>
            </w:pPr>
            <w:r w:rsidRPr="00EE0DAA">
              <w:t>Case institution leaders</w:t>
            </w:r>
          </w:p>
          <w:p w:rsidR="00511955" w:rsidRPr="00EE0DAA" w:rsidRDefault="00511955" w:rsidP="00EE4A89">
            <w:pPr>
              <w:ind w:left="-18"/>
            </w:pPr>
            <w:r w:rsidRPr="00EE0DAA">
              <w:t>(Interviews)</w:t>
            </w:r>
          </w:p>
        </w:tc>
        <w:tc>
          <w:tcPr>
            <w:tcW w:w="1517" w:type="dxa"/>
          </w:tcPr>
          <w:p w:rsidR="00511955" w:rsidRPr="00EE0DAA" w:rsidRDefault="00511955" w:rsidP="00CE480F">
            <w:r w:rsidRPr="00EE0DAA">
              <w:t>4</w:t>
            </w:r>
          </w:p>
        </w:tc>
        <w:tc>
          <w:tcPr>
            <w:tcW w:w="1355" w:type="dxa"/>
          </w:tcPr>
          <w:p w:rsidR="00511955" w:rsidRPr="00EE0DAA" w:rsidRDefault="00511955" w:rsidP="00CE480F">
            <w:r w:rsidRPr="00EE0DAA">
              <w:t>2</w:t>
            </w:r>
          </w:p>
        </w:tc>
        <w:tc>
          <w:tcPr>
            <w:tcW w:w="1172" w:type="dxa"/>
          </w:tcPr>
          <w:p w:rsidR="00511955" w:rsidRPr="00EE0DAA" w:rsidRDefault="00511955" w:rsidP="00CE480F">
            <w:r w:rsidRPr="00EE0DAA">
              <w:t>1</w:t>
            </w:r>
          </w:p>
        </w:tc>
        <w:tc>
          <w:tcPr>
            <w:tcW w:w="1122" w:type="dxa"/>
          </w:tcPr>
          <w:p w:rsidR="00511955" w:rsidRPr="00EE0DAA" w:rsidRDefault="00511955" w:rsidP="00CE480F">
            <w:r w:rsidRPr="00EE0DAA">
              <w:t>1</w:t>
            </w:r>
          </w:p>
        </w:tc>
        <w:tc>
          <w:tcPr>
            <w:tcW w:w="2040" w:type="dxa"/>
          </w:tcPr>
          <w:p w:rsidR="00511955" w:rsidRPr="00EE0DAA" w:rsidRDefault="00511955" w:rsidP="00CE480F">
            <w:r w:rsidRPr="00EE0DAA">
              <w:t>8</w:t>
            </w:r>
          </w:p>
        </w:tc>
      </w:tr>
      <w:tr w:rsidR="00511955" w:rsidRPr="006D0C89" w:rsidTr="00EE4A89">
        <w:tc>
          <w:tcPr>
            <w:tcW w:w="1929" w:type="dxa"/>
          </w:tcPr>
          <w:p w:rsidR="00511955" w:rsidRPr="00EE0DAA" w:rsidRDefault="00511955" w:rsidP="00EE4A89">
            <w:pPr>
              <w:ind w:left="-18"/>
            </w:pPr>
            <w:r w:rsidRPr="00EE0DAA">
              <w:t>Case institution trainees</w:t>
            </w:r>
          </w:p>
          <w:p w:rsidR="00511955" w:rsidRPr="00EE0DAA" w:rsidRDefault="00511955" w:rsidP="00EE4A89">
            <w:pPr>
              <w:ind w:left="-18"/>
            </w:pPr>
            <w:r w:rsidRPr="00EE0DAA">
              <w:t>(Interviews)</w:t>
            </w:r>
          </w:p>
        </w:tc>
        <w:tc>
          <w:tcPr>
            <w:tcW w:w="1517" w:type="dxa"/>
          </w:tcPr>
          <w:p w:rsidR="00511955" w:rsidRPr="00EE0DAA" w:rsidRDefault="00511955" w:rsidP="00CE480F">
            <w:r w:rsidRPr="00EE0DAA">
              <w:t>13</w:t>
            </w:r>
          </w:p>
        </w:tc>
        <w:tc>
          <w:tcPr>
            <w:tcW w:w="1355" w:type="dxa"/>
          </w:tcPr>
          <w:p w:rsidR="00511955" w:rsidRPr="00EE0DAA" w:rsidRDefault="00511955" w:rsidP="00CE480F">
            <w:r w:rsidRPr="00EE0DAA">
              <w:t>2</w:t>
            </w:r>
          </w:p>
        </w:tc>
        <w:tc>
          <w:tcPr>
            <w:tcW w:w="1172" w:type="dxa"/>
          </w:tcPr>
          <w:p w:rsidR="00511955" w:rsidRPr="00EE0DAA" w:rsidRDefault="00511955" w:rsidP="00CE480F">
            <w:r w:rsidRPr="00EE0DAA">
              <w:t>1</w:t>
            </w:r>
          </w:p>
        </w:tc>
        <w:tc>
          <w:tcPr>
            <w:tcW w:w="1122" w:type="dxa"/>
          </w:tcPr>
          <w:p w:rsidR="00511955" w:rsidRPr="00EE0DAA" w:rsidRDefault="00511955" w:rsidP="00CE480F">
            <w:r w:rsidRPr="00EE0DAA">
              <w:t>1</w:t>
            </w:r>
          </w:p>
        </w:tc>
        <w:tc>
          <w:tcPr>
            <w:tcW w:w="2040" w:type="dxa"/>
          </w:tcPr>
          <w:p w:rsidR="00511955" w:rsidRPr="00EE0DAA" w:rsidRDefault="00511955" w:rsidP="00CE480F">
            <w:r w:rsidRPr="00EE0DAA">
              <w:t>26</w:t>
            </w:r>
          </w:p>
        </w:tc>
      </w:tr>
      <w:tr w:rsidR="00511955" w:rsidRPr="006D0C89" w:rsidTr="00EE4A89">
        <w:tc>
          <w:tcPr>
            <w:tcW w:w="1929" w:type="dxa"/>
          </w:tcPr>
          <w:p w:rsidR="00511955" w:rsidRPr="00EE0DAA" w:rsidRDefault="00511955" w:rsidP="00EE4A89">
            <w:pPr>
              <w:ind w:left="-18"/>
            </w:pPr>
            <w:r w:rsidRPr="00EE0DAA">
              <w:t>FIC grantees at case institutions</w:t>
            </w:r>
          </w:p>
          <w:p w:rsidR="00511955" w:rsidRPr="00EE0DAA" w:rsidRDefault="00511955" w:rsidP="00EE4A89">
            <w:pPr>
              <w:ind w:left="-18"/>
            </w:pPr>
            <w:r w:rsidRPr="00EE0DAA">
              <w:t>(Interviews)</w:t>
            </w:r>
          </w:p>
        </w:tc>
        <w:tc>
          <w:tcPr>
            <w:tcW w:w="1517" w:type="dxa"/>
          </w:tcPr>
          <w:p w:rsidR="00511955" w:rsidRPr="00EE0DAA" w:rsidRDefault="00511955" w:rsidP="00CE480F">
            <w:r w:rsidRPr="00EE0DAA">
              <w:t>20</w:t>
            </w:r>
          </w:p>
        </w:tc>
        <w:tc>
          <w:tcPr>
            <w:tcW w:w="1355" w:type="dxa"/>
          </w:tcPr>
          <w:p w:rsidR="00511955" w:rsidRPr="00EE0DAA" w:rsidRDefault="00511955" w:rsidP="00CE480F">
            <w:r w:rsidRPr="00EE0DAA">
              <w:t>2</w:t>
            </w:r>
          </w:p>
        </w:tc>
        <w:tc>
          <w:tcPr>
            <w:tcW w:w="1172" w:type="dxa"/>
          </w:tcPr>
          <w:p w:rsidR="00511955" w:rsidRPr="00EE0DAA" w:rsidRDefault="00511955" w:rsidP="00CE480F">
            <w:r w:rsidRPr="00EE0DAA">
              <w:t>1</w:t>
            </w:r>
          </w:p>
        </w:tc>
        <w:tc>
          <w:tcPr>
            <w:tcW w:w="1122" w:type="dxa"/>
          </w:tcPr>
          <w:p w:rsidR="00511955" w:rsidRPr="00EE0DAA" w:rsidRDefault="00511955" w:rsidP="00CE480F">
            <w:r w:rsidRPr="00EE0DAA">
              <w:t>1</w:t>
            </w:r>
          </w:p>
        </w:tc>
        <w:tc>
          <w:tcPr>
            <w:tcW w:w="2040" w:type="dxa"/>
          </w:tcPr>
          <w:p w:rsidR="00511955" w:rsidRPr="00EE0DAA" w:rsidRDefault="00511955" w:rsidP="00CE480F">
            <w:r w:rsidRPr="00EE0DAA">
              <w:t>40</w:t>
            </w:r>
          </w:p>
        </w:tc>
      </w:tr>
      <w:tr w:rsidR="00511955" w:rsidRPr="006D0C89" w:rsidTr="00EE4A89">
        <w:tc>
          <w:tcPr>
            <w:tcW w:w="1929" w:type="dxa"/>
          </w:tcPr>
          <w:p w:rsidR="00511955" w:rsidRPr="00EE0DAA" w:rsidRDefault="00511955" w:rsidP="00EE4A89">
            <w:pPr>
              <w:ind w:left="-18"/>
            </w:pPr>
            <w:r w:rsidRPr="00EE0DAA">
              <w:t>Policy-makers/scientific leaders in case institution country (Interviews)</w:t>
            </w:r>
          </w:p>
        </w:tc>
        <w:tc>
          <w:tcPr>
            <w:tcW w:w="1517" w:type="dxa"/>
          </w:tcPr>
          <w:p w:rsidR="00511955" w:rsidRPr="00EE0DAA" w:rsidRDefault="00511955" w:rsidP="00CE480F">
            <w:r w:rsidRPr="00EE0DAA">
              <w:t>8</w:t>
            </w:r>
          </w:p>
        </w:tc>
        <w:tc>
          <w:tcPr>
            <w:tcW w:w="1355" w:type="dxa"/>
          </w:tcPr>
          <w:p w:rsidR="00511955" w:rsidRPr="00EE0DAA" w:rsidRDefault="00511955" w:rsidP="00CE480F">
            <w:r w:rsidRPr="00EE0DAA">
              <w:t>2</w:t>
            </w:r>
          </w:p>
        </w:tc>
        <w:tc>
          <w:tcPr>
            <w:tcW w:w="1172" w:type="dxa"/>
          </w:tcPr>
          <w:p w:rsidR="00511955" w:rsidRPr="00EE0DAA" w:rsidRDefault="00511955" w:rsidP="00CE480F">
            <w:r w:rsidRPr="00EE0DAA">
              <w:t>1</w:t>
            </w:r>
          </w:p>
        </w:tc>
        <w:tc>
          <w:tcPr>
            <w:tcW w:w="1122" w:type="dxa"/>
          </w:tcPr>
          <w:p w:rsidR="00511955" w:rsidRPr="00EE0DAA" w:rsidRDefault="00511955" w:rsidP="00CE480F">
            <w:r w:rsidRPr="00EE0DAA">
              <w:t>1</w:t>
            </w:r>
          </w:p>
        </w:tc>
        <w:tc>
          <w:tcPr>
            <w:tcW w:w="2040" w:type="dxa"/>
          </w:tcPr>
          <w:p w:rsidR="00511955" w:rsidRPr="00EE0DAA" w:rsidRDefault="00511955" w:rsidP="00CE480F">
            <w:r w:rsidRPr="00EE0DAA">
              <w:t>16</w:t>
            </w:r>
          </w:p>
        </w:tc>
      </w:tr>
      <w:tr w:rsidR="00511955" w:rsidRPr="006D0C89" w:rsidTr="00EE4A89">
        <w:tc>
          <w:tcPr>
            <w:tcW w:w="1929" w:type="dxa"/>
          </w:tcPr>
          <w:p w:rsidR="00511955" w:rsidRPr="00EE0DAA" w:rsidRDefault="00511955" w:rsidP="00EE4A89">
            <w:pPr>
              <w:pStyle w:val="ListParagraph"/>
              <w:ind w:left="-18" w:firstLine="0"/>
              <w:rPr>
                <w:rFonts w:ascii="Times New Roman" w:hAnsi="Times New Roman"/>
                <w:sz w:val="20"/>
                <w:szCs w:val="20"/>
              </w:rPr>
            </w:pPr>
            <w:r w:rsidRPr="00EE0DAA">
              <w:rPr>
                <w:rFonts w:ascii="Times New Roman" w:hAnsi="Times New Roman"/>
                <w:sz w:val="20"/>
                <w:szCs w:val="20"/>
              </w:rPr>
              <w:t>Total</w:t>
            </w:r>
          </w:p>
        </w:tc>
        <w:tc>
          <w:tcPr>
            <w:tcW w:w="1517" w:type="dxa"/>
          </w:tcPr>
          <w:p w:rsidR="00511955" w:rsidRPr="00EE0DAA" w:rsidRDefault="00511955" w:rsidP="00EF7AF2">
            <w:r w:rsidRPr="00EE0DAA">
              <w:t>105</w:t>
            </w:r>
            <w:r>
              <w:t xml:space="preserve"> per case study*</w:t>
            </w:r>
          </w:p>
        </w:tc>
        <w:tc>
          <w:tcPr>
            <w:tcW w:w="1355" w:type="dxa"/>
          </w:tcPr>
          <w:p w:rsidR="00511955" w:rsidRPr="00EE0DAA" w:rsidRDefault="00511955" w:rsidP="00CE480F"/>
        </w:tc>
        <w:tc>
          <w:tcPr>
            <w:tcW w:w="1172" w:type="dxa"/>
          </w:tcPr>
          <w:p w:rsidR="00511955" w:rsidRPr="00EE0DAA" w:rsidRDefault="00511955" w:rsidP="00CE480F"/>
        </w:tc>
        <w:tc>
          <w:tcPr>
            <w:tcW w:w="1122" w:type="dxa"/>
          </w:tcPr>
          <w:p w:rsidR="00511955" w:rsidRPr="00EE0DAA" w:rsidRDefault="00511955" w:rsidP="00CE480F"/>
        </w:tc>
        <w:tc>
          <w:tcPr>
            <w:tcW w:w="2040" w:type="dxa"/>
          </w:tcPr>
          <w:p w:rsidR="00511955" w:rsidRPr="00EE0DAA" w:rsidRDefault="00511955" w:rsidP="00483E2B">
            <w:r w:rsidRPr="00EE0DAA">
              <w:t>290</w:t>
            </w:r>
            <w:r>
              <w:t xml:space="preserve"> </w:t>
            </w:r>
          </w:p>
        </w:tc>
      </w:tr>
    </w:tbl>
    <w:p w:rsidR="00511955" w:rsidRPr="00EF7AF2" w:rsidRDefault="00511955" w:rsidP="00853AC0">
      <w:r w:rsidRPr="00EF7AF2">
        <w:t xml:space="preserve">* Because there will be two case studies per year, the total number of participants expected annually will be 210. </w:t>
      </w:r>
    </w:p>
    <w:p w:rsidR="00511955" w:rsidRPr="00131FB9" w:rsidRDefault="00511955" w:rsidP="00853AC0">
      <w:pPr>
        <w:rPr>
          <w:sz w:val="24"/>
          <w:szCs w:val="24"/>
          <w:highlight w:val="yellow"/>
        </w:rPr>
      </w:pPr>
    </w:p>
    <w:p w:rsidR="00511955" w:rsidRPr="00226FC1" w:rsidRDefault="00511955" w:rsidP="00853AC0">
      <w:pPr>
        <w:rPr>
          <w:b/>
          <w:szCs w:val="24"/>
          <w:highlight w:val="yellow"/>
        </w:rPr>
      </w:pPr>
      <w:r w:rsidRPr="00226FC1">
        <w:rPr>
          <w:b/>
          <w:szCs w:val="24"/>
        </w:rPr>
        <w:t>Table A.12.2. Annualized Cost to Respondents</w:t>
      </w:r>
    </w:p>
    <w:tbl>
      <w:tblPr>
        <w:tblW w:w="7840" w:type="dxa"/>
        <w:tblInd w:w="98" w:type="dxa"/>
        <w:tblLook w:val="00A0"/>
      </w:tblPr>
      <w:tblGrid>
        <w:gridCol w:w="2530"/>
        <w:gridCol w:w="1890"/>
        <w:gridCol w:w="1710"/>
        <w:gridCol w:w="1710"/>
      </w:tblGrid>
      <w:tr w:rsidR="00511955" w:rsidRPr="005F5DFA" w:rsidTr="00EE0DAA">
        <w:trPr>
          <w:trHeight w:val="746"/>
        </w:trPr>
        <w:tc>
          <w:tcPr>
            <w:tcW w:w="2530" w:type="dxa"/>
            <w:tcBorders>
              <w:top w:val="single" w:sz="4" w:space="0" w:color="auto"/>
              <w:left w:val="single" w:sz="4" w:space="0" w:color="auto"/>
              <w:bottom w:val="single" w:sz="4" w:space="0" w:color="auto"/>
              <w:right w:val="single" w:sz="4" w:space="0" w:color="auto"/>
            </w:tcBorders>
            <w:noWrap/>
            <w:vAlign w:val="bottom"/>
          </w:tcPr>
          <w:p w:rsidR="00511955" w:rsidRPr="005F5DFA" w:rsidRDefault="00511955" w:rsidP="005F5DFA">
            <w:pPr>
              <w:widowControl/>
              <w:rPr>
                <w:color w:val="000000"/>
              </w:rPr>
            </w:pPr>
            <w:r w:rsidRPr="005F5DFA">
              <w:rPr>
                <w:color w:val="000000"/>
              </w:rPr>
              <w:t> </w:t>
            </w:r>
          </w:p>
        </w:tc>
        <w:tc>
          <w:tcPr>
            <w:tcW w:w="1890" w:type="dxa"/>
            <w:tcBorders>
              <w:top w:val="single" w:sz="4" w:space="0" w:color="auto"/>
              <w:left w:val="nil"/>
              <w:bottom w:val="single" w:sz="4" w:space="0" w:color="auto"/>
              <w:right w:val="single" w:sz="4" w:space="0" w:color="auto"/>
            </w:tcBorders>
          </w:tcPr>
          <w:p w:rsidR="00511955" w:rsidRPr="005F5DFA" w:rsidRDefault="00511955" w:rsidP="005F5DFA">
            <w:pPr>
              <w:widowControl/>
              <w:rPr>
                <w:b/>
                <w:bCs/>
                <w:color w:val="000000"/>
              </w:rPr>
            </w:pPr>
            <w:r w:rsidRPr="005F5DFA">
              <w:rPr>
                <w:b/>
                <w:bCs/>
                <w:color w:val="000000"/>
              </w:rPr>
              <w:t>Estimated total annual burden hours requested</w:t>
            </w:r>
            <w:r>
              <w:rPr>
                <w:b/>
                <w:bCs/>
                <w:color w:val="000000"/>
              </w:rPr>
              <w:t xml:space="preserve"> (based on two case studies per year)</w:t>
            </w:r>
          </w:p>
        </w:tc>
        <w:tc>
          <w:tcPr>
            <w:tcW w:w="1710" w:type="dxa"/>
            <w:tcBorders>
              <w:top w:val="single" w:sz="4" w:space="0" w:color="auto"/>
              <w:left w:val="nil"/>
              <w:bottom w:val="single" w:sz="4" w:space="0" w:color="auto"/>
              <w:right w:val="single" w:sz="4" w:space="0" w:color="auto"/>
            </w:tcBorders>
          </w:tcPr>
          <w:p w:rsidR="00511955" w:rsidRPr="005F5DFA" w:rsidRDefault="00511955" w:rsidP="005F5DFA">
            <w:pPr>
              <w:widowControl/>
              <w:rPr>
                <w:b/>
                <w:bCs/>
              </w:rPr>
            </w:pPr>
            <w:r w:rsidRPr="005F5DFA">
              <w:rPr>
                <w:b/>
                <w:bCs/>
              </w:rPr>
              <w:t xml:space="preserve">Estimated hourly </w:t>
            </w:r>
            <w:r w:rsidRPr="00EE0DAA">
              <w:rPr>
                <w:b/>
                <w:bCs/>
              </w:rPr>
              <w:t>wage</w:t>
            </w:r>
          </w:p>
        </w:tc>
        <w:tc>
          <w:tcPr>
            <w:tcW w:w="1710" w:type="dxa"/>
            <w:tcBorders>
              <w:top w:val="single" w:sz="4" w:space="0" w:color="auto"/>
              <w:left w:val="nil"/>
              <w:bottom w:val="single" w:sz="4" w:space="0" w:color="auto"/>
              <w:right w:val="single" w:sz="4" w:space="0" w:color="auto"/>
            </w:tcBorders>
          </w:tcPr>
          <w:p w:rsidR="00511955" w:rsidRPr="005F5DFA" w:rsidRDefault="00511955" w:rsidP="005F5DFA">
            <w:pPr>
              <w:widowControl/>
              <w:rPr>
                <w:b/>
                <w:bCs/>
                <w:color w:val="000000"/>
              </w:rPr>
            </w:pPr>
            <w:r w:rsidRPr="005F5DFA">
              <w:rPr>
                <w:b/>
                <w:bCs/>
                <w:color w:val="000000"/>
              </w:rPr>
              <w:t>Estimated annual cost to respondents</w:t>
            </w:r>
          </w:p>
        </w:tc>
      </w:tr>
      <w:tr w:rsidR="00511955" w:rsidRPr="005F5DFA" w:rsidTr="00EE0DAA">
        <w:trPr>
          <w:trHeight w:val="600"/>
        </w:trPr>
        <w:tc>
          <w:tcPr>
            <w:tcW w:w="2530" w:type="dxa"/>
            <w:tcBorders>
              <w:top w:val="nil"/>
              <w:left w:val="single" w:sz="4" w:space="0" w:color="auto"/>
              <w:bottom w:val="single" w:sz="4" w:space="0" w:color="auto"/>
              <w:right w:val="single" w:sz="4" w:space="0" w:color="auto"/>
            </w:tcBorders>
          </w:tcPr>
          <w:p w:rsidR="00511955" w:rsidRPr="00EE0DAA" w:rsidRDefault="00511955" w:rsidP="00CE480F">
            <w:pPr>
              <w:pStyle w:val="ListParagraph"/>
              <w:ind w:left="0" w:firstLine="0"/>
              <w:rPr>
                <w:rFonts w:ascii="Times New Roman" w:hAnsi="Times New Roman"/>
                <w:sz w:val="20"/>
                <w:szCs w:val="20"/>
              </w:rPr>
            </w:pPr>
            <w:r w:rsidRPr="00EE0DAA">
              <w:rPr>
                <w:rFonts w:ascii="Times New Roman" w:hAnsi="Times New Roman"/>
                <w:sz w:val="20"/>
                <w:szCs w:val="20"/>
              </w:rPr>
              <w:t>US-based principal investigators (Interviews)</w:t>
            </w:r>
          </w:p>
        </w:tc>
        <w:tc>
          <w:tcPr>
            <w:tcW w:w="1890" w:type="dxa"/>
            <w:tcBorders>
              <w:top w:val="nil"/>
              <w:left w:val="nil"/>
              <w:bottom w:val="single" w:sz="4" w:space="0" w:color="auto"/>
              <w:right w:val="single" w:sz="4" w:space="0" w:color="auto"/>
            </w:tcBorders>
          </w:tcPr>
          <w:p w:rsidR="00511955" w:rsidRPr="005F5DFA" w:rsidRDefault="00511955" w:rsidP="005F5DFA">
            <w:pPr>
              <w:widowControl/>
              <w:jc w:val="right"/>
              <w:rPr>
                <w:color w:val="000000"/>
              </w:rPr>
            </w:pPr>
            <w:r w:rsidRPr="005F5DFA">
              <w:rPr>
                <w:color w:val="000000"/>
              </w:rPr>
              <w:t>40</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$38.94 </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$1,557.60 </w:t>
            </w:r>
          </w:p>
        </w:tc>
      </w:tr>
      <w:tr w:rsidR="00511955" w:rsidRPr="005F5DFA" w:rsidTr="00EE0DAA">
        <w:trPr>
          <w:trHeight w:val="782"/>
        </w:trPr>
        <w:tc>
          <w:tcPr>
            <w:tcW w:w="2530" w:type="dxa"/>
            <w:tcBorders>
              <w:top w:val="nil"/>
              <w:left w:val="single" w:sz="4" w:space="0" w:color="auto"/>
              <w:bottom w:val="single" w:sz="4" w:space="0" w:color="auto"/>
              <w:right w:val="single" w:sz="4" w:space="0" w:color="auto"/>
            </w:tcBorders>
          </w:tcPr>
          <w:p w:rsidR="00511955" w:rsidRPr="00EE0DAA" w:rsidRDefault="00511955" w:rsidP="000371CC">
            <w:r w:rsidRPr="00EE0DAA">
              <w:t>Case institution trainees (Focus groups and survey)</w:t>
            </w:r>
          </w:p>
        </w:tc>
        <w:tc>
          <w:tcPr>
            <w:tcW w:w="1890" w:type="dxa"/>
            <w:tcBorders>
              <w:top w:val="nil"/>
              <w:left w:val="nil"/>
              <w:bottom w:val="single" w:sz="4" w:space="0" w:color="auto"/>
              <w:right w:val="single" w:sz="4" w:space="0" w:color="auto"/>
            </w:tcBorders>
          </w:tcPr>
          <w:p w:rsidR="00511955" w:rsidRPr="005F5DFA" w:rsidRDefault="00511955" w:rsidP="005F5DFA">
            <w:pPr>
              <w:widowControl/>
              <w:jc w:val="right"/>
              <w:rPr>
                <w:color w:val="000000"/>
              </w:rPr>
            </w:pPr>
            <w:r w:rsidRPr="005F5DFA">
              <w:rPr>
                <w:color w:val="000000"/>
              </w:rPr>
              <w:t>160</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b/>
                <w:bCs/>
                <w:color w:val="000000"/>
              </w:rPr>
            </w:pPr>
            <w:r w:rsidRPr="005F5DFA">
              <w:rPr>
                <w:b/>
                <w:bCs/>
                <w:color w:val="000000"/>
              </w:rPr>
              <w:t xml:space="preserve">$13.00 </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$2,080.00 </w:t>
            </w:r>
          </w:p>
        </w:tc>
      </w:tr>
      <w:tr w:rsidR="00511955" w:rsidRPr="005F5DFA" w:rsidTr="00EE0DAA">
        <w:trPr>
          <w:trHeight w:val="530"/>
        </w:trPr>
        <w:tc>
          <w:tcPr>
            <w:tcW w:w="2530" w:type="dxa"/>
            <w:tcBorders>
              <w:top w:val="nil"/>
              <w:left w:val="single" w:sz="4" w:space="0" w:color="auto"/>
              <w:bottom w:val="single" w:sz="4" w:space="0" w:color="auto"/>
              <w:right w:val="single" w:sz="4" w:space="0" w:color="auto"/>
            </w:tcBorders>
          </w:tcPr>
          <w:p w:rsidR="00511955" w:rsidRPr="00EE0DAA" w:rsidRDefault="00511955" w:rsidP="00CE480F">
            <w:r w:rsidRPr="00EE0DAA">
              <w:t>Case institution leaders</w:t>
            </w:r>
          </w:p>
          <w:p w:rsidR="00511955" w:rsidRPr="00EE0DAA" w:rsidRDefault="00511955" w:rsidP="00CE480F">
            <w:r w:rsidRPr="00EE0DAA">
              <w:t>(Interviews)</w:t>
            </w:r>
          </w:p>
        </w:tc>
        <w:tc>
          <w:tcPr>
            <w:tcW w:w="1890" w:type="dxa"/>
            <w:tcBorders>
              <w:top w:val="nil"/>
              <w:left w:val="nil"/>
              <w:bottom w:val="single" w:sz="4" w:space="0" w:color="auto"/>
              <w:right w:val="single" w:sz="4" w:space="0" w:color="auto"/>
            </w:tcBorders>
          </w:tcPr>
          <w:p w:rsidR="00511955" w:rsidRPr="005F5DFA" w:rsidRDefault="00511955" w:rsidP="005F5DFA">
            <w:pPr>
              <w:widowControl/>
              <w:jc w:val="right"/>
              <w:rPr>
                <w:color w:val="000000"/>
              </w:rPr>
            </w:pPr>
            <w:r w:rsidRPr="005F5DFA">
              <w:rPr>
                <w:color w:val="000000"/>
              </w:rPr>
              <w:t>8</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b/>
                <w:bCs/>
                <w:color w:val="000000"/>
              </w:rPr>
            </w:pPr>
            <w:r w:rsidRPr="005F5DFA">
              <w:rPr>
                <w:b/>
                <w:bCs/>
                <w:color w:val="000000"/>
              </w:rPr>
              <w:t xml:space="preserve">$13.00 </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$104.00 </w:t>
            </w:r>
          </w:p>
        </w:tc>
      </w:tr>
      <w:tr w:rsidR="00511955" w:rsidRPr="005F5DFA" w:rsidTr="00EE0DAA">
        <w:trPr>
          <w:trHeight w:val="660"/>
        </w:trPr>
        <w:tc>
          <w:tcPr>
            <w:tcW w:w="2530" w:type="dxa"/>
            <w:tcBorders>
              <w:top w:val="nil"/>
              <w:left w:val="single" w:sz="4" w:space="0" w:color="auto"/>
              <w:bottom w:val="single" w:sz="4" w:space="0" w:color="auto"/>
              <w:right w:val="single" w:sz="4" w:space="0" w:color="auto"/>
            </w:tcBorders>
          </w:tcPr>
          <w:p w:rsidR="00511955" w:rsidRPr="00EE0DAA" w:rsidRDefault="00511955" w:rsidP="00CE480F">
            <w:r w:rsidRPr="00EE0DAA">
              <w:t>Case institution trainees</w:t>
            </w:r>
          </w:p>
          <w:p w:rsidR="00511955" w:rsidRPr="00EE0DAA" w:rsidRDefault="00511955" w:rsidP="00CE480F">
            <w:r w:rsidRPr="00EE0DAA">
              <w:t>(Interviews)</w:t>
            </w:r>
          </w:p>
        </w:tc>
        <w:tc>
          <w:tcPr>
            <w:tcW w:w="1890" w:type="dxa"/>
            <w:tcBorders>
              <w:top w:val="nil"/>
              <w:left w:val="nil"/>
              <w:bottom w:val="single" w:sz="4" w:space="0" w:color="auto"/>
              <w:right w:val="single" w:sz="4" w:space="0" w:color="auto"/>
            </w:tcBorders>
          </w:tcPr>
          <w:p w:rsidR="00511955" w:rsidRPr="005F5DFA" w:rsidRDefault="00511955" w:rsidP="005F5DFA">
            <w:pPr>
              <w:widowControl/>
              <w:jc w:val="right"/>
              <w:rPr>
                <w:color w:val="000000"/>
              </w:rPr>
            </w:pPr>
            <w:r w:rsidRPr="005F5DFA">
              <w:rPr>
                <w:color w:val="000000"/>
              </w:rPr>
              <w:t>26</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b/>
                <w:bCs/>
                <w:color w:val="000000"/>
              </w:rPr>
            </w:pPr>
            <w:r w:rsidRPr="005F5DFA">
              <w:rPr>
                <w:b/>
                <w:bCs/>
                <w:color w:val="000000"/>
              </w:rPr>
              <w:t xml:space="preserve">$13.00 </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$338.00 </w:t>
            </w:r>
          </w:p>
        </w:tc>
      </w:tr>
      <w:tr w:rsidR="00511955" w:rsidRPr="005F5DFA" w:rsidTr="00EE0DAA">
        <w:trPr>
          <w:trHeight w:val="660"/>
        </w:trPr>
        <w:tc>
          <w:tcPr>
            <w:tcW w:w="2530" w:type="dxa"/>
            <w:tcBorders>
              <w:top w:val="nil"/>
              <w:left w:val="single" w:sz="4" w:space="0" w:color="auto"/>
              <w:bottom w:val="single" w:sz="4" w:space="0" w:color="auto"/>
              <w:right w:val="single" w:sz="4" w:space="0" w:color="auto"/>
            </w:tcBorders>
          </w:tcPr>
          <w:p w:rsidR="00511955" w:rsidRPr="00EE0DAA" w:rsidRDefault="00511955" w:rsidP="00CE480F">
            <w:r w:rsidRPr="00EE0DAA">
              <w:t>FIC grantees at case institutions</w:t>
            </w:r>
          </w:p>
          <w:p w:rsidR="00511955" w:rsidRPr="00EE0DAA" w:rsidRDefault="00511955" w:rsidP="00CE480F">
            <w:r w:rsidRPr="00EE0DAA">
              <w:t>(Interviews)</w:t>
            </w:r>
          </w:p>
        </w:tc>
        <w:tc>
          <w:tcPr>
            <w:tcW w:w="1890" w:type="dxa"/>
            <w:tcBorders>
              <w:top w:val="nil"/>
              <w:left w:val="nil"/>
              <w:bottom w:val="single" w:sz="4" w:space="0" w:color="auto"/>
              <w:right w:val="single" w:sz="4" w:space="0" w:color="auto"/>
            </w:tcBorders>
          </w:tcPr>
          <w:p w:rsidR="00511955" w:rsidRPr="005F5DFA" w:rsidRDefault="00511955" w:rsidP="005F5DFA">
            <w:pPr>
              <w:widowControl/>
              <w:jc w:val="right"/>
              <w:rPr>
                <w:color w:val="000000"/>
              </w:rPr>
            </w:pPr>
            <w:r w:rsidRPr="005F5DFA">
              <w:rPr>
                <w:color w:val="000000"/>
              </w:rPr>
              <w:t>40</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b/>
                <w:bCs/>
                <w:color w:val="000000"/>
              </w:rPr>
            </w:pPr>
            <w:r w:rsidRPr="005F5DFA">
              <w:rPr>
                <w:b/>
                <w:bCs/>
                <w:color w:val="000000"/>
              </w:rPr>
              <w:t xml:space="preserve">$13.00 </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$520.00 </w:t>
            </w:r>
          </w:p>
        </w:tc>
      </w:tr>
      <w:tr w:rsidR="00511955" w:rsidRPr="005F5DFA" w:rsidTr="00EE0DAA">
        <w:trPr>
          <w:trHeight w:val="530"/>
        </w:trPr>
        <w:tc>
          <w:tcPr>
            <w:tcW w:w="2530" w:type="dxa"/>
            <w:tcBorders>
              <w:top w:val="nil"/>
              <w:left w:val="single" w:sz="4" w:space="0" w:color="auto"/>
              <w:bottom w:val="single" w:sz="4" w:space="0" w:color="auto"/>
              <w:right w:val="single" w:sz="4" w:space="0" w:color="auto"/>
            </w:tcBorders>
          </w:tcPr>
          <w:p w:rsidR="00511955" w:rsidRPr="00EE0DAA" w:rsidRDefault="00511955" w:rsidP="00CE480F">
            <w:r w:rsidRPr="00EE0DAA">
              <w:t>Policy-makers/scientific leaders in case institution country (Interviews)</w:t>
            </w:r>
          </w:p>
        </w:tc>
        <w:tc>
          <w:tcPr>
            <w:tcW w:w="1890" w:type="dxa"/>
            <w:tcBorders>
              <w:top w:val="nil"/>
              <w:left w:val="nil"/>
              <w:bottom w:val="single" w:sz="4" w:space="0" w:color="auto"/>
              <w:right w:val="single" w:sz="4" w:space="0" w:color="auto"/>
            </w:tcBorders>
          </w:tcPr>
          <w:p w:rsidR="00511955" w:rsidRPr="005F5DFA" w:rsidRDefault="00511955" w:rsidP="005F5DFA">
            <w:pPr>
              <w:widowControl/>
              <w:jc w:val="right"/>
              <w:rPr>
                <w:color w:val="000000"/>
              </w:rPr>
            </w:pPr>
            <w:r w:rsidRPr="005F5DFA">
              <w:rPr>
                <w:color w:val="000000"/>
              </w:rPr>
              <w:t>16</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b/>
                <w:bCs/>
                <w:color w:val="000000"/>
              </w:rPr>
            </w:pPr>
            <w:r w:rsidRPr="005F5DFA">
              <w:rPr>
                <w:b/>
                <w:bCs/>
                <w:color w:val="000000"/>
              </w:rPr>
              <w:t xml:space="preserve">$13.00 </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$208.00 </w:t>
            </w:r>
          </w:p>
        </w:tc>
      </w:tr>
      <w:tr w:rsidR="00511955" w:rsidRPr="005F5DFA" w:rsidTr="00EE0DAA">
        <w:trPr>
          <w:trHeight w:val="330"/>
        </w:trPr>
        <w:tc>
          <w:tcPr>
            <w:tcW w:w="2530" w:type="dxa"/>
            <w:tcBorders>
              <w:top w:val="nil"/>
              <w:left w:val="single" w:sz="4" w:space="0" w:color="auto"/>
              <w:bottom w:val="single" w:sz="4" w:space="0" w:color="auto"/>
              <w:right w:val="single" w:sz="4" w:space="0" w:color="auto"/>
            </w:tcBorders>
          </w:tcPr>
          <w:p w:rsidR="00511955" w:rsidRPr="00EE0DAA" w:rsidRDefault="00511955" w:rsidP="00CE480F">
            <w:pPr>
              <w:pStyle w:val="ListParagraph"/>
              <w:ind w:left="0" w:firstLine="0"/>
              <w:rPr>
                <w:rFonts w:ascii="Times New Roman" w:hAnsi="Times New Roman"/>
                <w:sz w:val="20"/>
                <w:szCs w:val="20"/>
              </w:rPr>
            </w:pPr>
            <w:r>
              <w:rPr>
                <w:rFonts w:ascii="Times New Roman" w:hAnsi="Times New Roman"/>
                <w:sz w:val="20"/>
                <w:szCs w:val="20"/>
              </w:rPr>
              <w:t>Annual Total</w:t>
            </w:r>
          </w:p>
        </w:tc>
        <w:tc>
          <w:tcPr>
            <w:tcW w:w="1890" w:type="dxa"/>
            <w:tcBorders>
              <w:top w:val="nil"/>
              <w:left w:val="nil"/>
              <w:bottom w:val="single" w:sz="4" w:space="0" w:color="auto"/>
              <w:right w:val="single" w:sz="4" w:space="0" w:color="auto"/>
            </w:tcBorders>
          </w:tcPr>
          <w:p w:rsidR="00511955" w:rsidRPr="005F5DFA" w:rsidRDefault="00511955" w:rsidP="005F5DFA">
            <w:pPr>
              <w:widowControl/>
              <w:jc w:val="right"/>
              <w:rPr>
                <w:color w:val="000000"/>
              </w:rPr>
            </w:pPr>
            <w:r w:rsidRPr="005F5DFA">
              <w:rPr>
                <w:color w:val="000000"/>
              </w:rPr>
              <w:t>290</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rPr>
                <w:color w:val="000000"/>
              </w:rPr>
            </w:pPr>
            <w:r w:rsidRPr="005F5DFA">
              <w:rPr>
                <w:color w:val="000000"/>
              </w:rPr>
              <w:t> </w:t>
            </w:r>
          </w:p>
        </w:tc>
        <w:tc>
          <w:tcPr>
            <w:tcW w:w="1710" w:type="dxa"/>
            <w:tcBorders>
              <w:top w:val="nil"/>
              <w:left w:val="nil"/>
              <w:bottom w:val="single" w:sz="4" w:space="0" w:color="auto"/>
              <w:right w:val="single" w:sz="4" w:space="0" w:color="auto"/>
            </w:tcBorders>
            <w:noWrap/>
            <w:vAlign w:val="bottom"/>
          </w:tcPr>
          <w:p w:rsidR="00511955" w:rsidRPr="005F5DFA" w:rsidRDefault="00511955" w:rsidP="005F5DFA">
            <w:pPr>
              <w:widowControl/>
              <w:jc w:val="right"/>
              <w:rPr>
                <w:color w:val="000000"/>
              </w:rPr>
            </w:pPr>
            <w:r w:rsidRPr="005F5DFA">
              <w:rPr>
                <w:color w:val="000000"/>
              </w:rPr>
              <w:t xml:space="preserve">$4,807.60 </w:t>
            </w:r>
          </w:p>
        </w:tc>
      </w:tr>
    </w:tbl>
    <w:p w:rsidR="00511955" w:rsidRDefault="00511955" w:rsidP="00853AC0">
      <w:pPr>
        <w:rPr>
          <w:b/>
          <w:sz w:val="24"/>
          <w:szCs w:val="24"/>
          <w:highlight w:val="yellow"/>
        </w:rPr>
      </w:pPr>
    </w:p>
    <w:p w:rsidR="00511955" w:rsidRPr="00131FB9" w:rsidRDefault="00511955" w:rsidP="00853AC0">
      <w:pPr>
        <w:rPr>
          <w:b/>
          <w:sz w:val="24"/>
          <w:szCs w:val="24"/>
          <w:highlight w:val="yellow"/>
        </w:rPr>
      </w:pPr>
    </w:p>
    <w:p w:rsidR="00511955" w:rsidRPr="00131FB9" w:rsidRDefault="00511955" w:rsidP="006108DD">
      <w:pPr>
        <w:pStyle w:val="Heading1"/>
      </w:pPr>
      <w:bookmarkStart w:id="24" w:name="_Toc269296658"/>
      <w:r w:rsidRPr="00131FB9">
        <w:t>A.13. Estimate of Other Total Annual Cost Burden to Respondents or Recordkeepers</w:t>
      </w:r>
      <w:bookmarkEnd w:id="24"/>
    </w:p>
    <w:p w:rsidR="00511955" w:rsidRPr="00853AC0" w:rsidRDefault="00511955" w:rsidP="00853AC0">
      <w:pPr>
        <w:spacing w:line="480" w:lineRule="auto"/>
        <w:rPr>
          <w:sz w:val="24"/>
          <w:szCs w:val="24"/>
        </w:rPr>
      </w:pPr>
      <w:r w:rsidRPr="00853AC0">
        <w:rPr>
          <w:sz w:val="24"/>
          <w:szCs w:val="24"/>
        </w:rPr>
        <w:t xml:space="preserve">There are no Operating or Maintenance Costs to report.  </w:t>
      </w:r>
    </w:p>
    <w:p w:rsidR="00511955" w:rsidRPr="00853AC0" w:rsidRDefault="00511955" w:rsidP="00853AC0">
      <w:pPr>
        <w:spacing w:line="480" w:lineRule="auto"/>
        <w:rPr>
          <w:sz w:val="24"/>
          <w:szCs w:val="24"/>
        </w:rPr>
      </w:pPr>
    </w:p>
    <w:p w:rsidR="00511955" w:rsidRPr="00131FB9" w:rsidRDefault="00511955" w:rsidP="006108DD">
      <w:pPr>
        <w:pStyle w:val="Heading1"/>
      </w:pPr>
      <w:bookmarkStart w:id="25" w:name="_Toc269296659"/>
      <w:r w:rsidRPr="00131FB9">
        <w:t>A.14. Annualized Cost to the Federal Government</w:t>
      </w:r>
      <w:bookmarkEnd w:id="25"/>
      <w:r w:rsidRPr="00131FB9">
        <w:t xml:space="preserve"> </w:t>
      </w:r>
    </w:p>
    <w:p w:rsidR="00511955" w:rsidRDefault="00511955" w:rsidP="00853AC0">
      <w:pPr>
        <w:pStyle w:val="BodyText2"/>
        <w:tabs>
          <w:tab w:val="left" w:pos="9990"/>
        </w:tabs>
        <w:rPr>
          <w:sz w:val="24"/>
          <w:szCs w:val="24"/>
        </w:rPr>
      </w:pPr>
      <w:r>
        <w:rPr>
          <w:sz w:val="24"/>
          <w:szCs w:val="24"/>
        </w:rPr>
        <w:t xml:space="preserve">Total annual cost to the Federal Government for this data collection includes the services of a contractor to collect the data, government staff time to manage and support the contractor, and the cost to respondents described in A.12.  </w:t>
      </w:r>
    </w:p>
    <w:p w:rsidR="00511955" w:rsidRDefault="00511955" w:rsidP="00853AC0">
      <w:pPr>
        <w:pStyle w:val="BodyText2"/>
        <w:tabs>
          <w:tab w:val="left" w:pos="9990"/>
        </w:tabs>
        <w:rPr>
          <w:b/>
          <w:sz w:val="24"/>
          <w:szCs w:val="24"/>
        </w:rPr>
      </w:pPr>
      <w:r w:rsidRPr="00EE4A89">
        <w:rPr>
          <w:sz w:val="24"/>
          <w:szCs w:val="24"/>
        </w:rPr>
        <w:t xml:space="preserve">The annual cost </w:t>
      </w:r>
      <w:r>
        <w:rPr>
          <w:sz w:val="24"/>
          <w:szCs w:val="24"/>
        </w:rPr>
        <w:t>for the contractor</w:t>
      </w:r>
      <w:r w:rsidRPr="00EE4A89">
        <w:rPr>
          <w:sz w:val="24"/>
          <w:szCs w:val="24"/>
        </w:rPr>
        <w:t>, including travel costs and the contractor’s fixed fee</w:t>
      </w:r>
      <w:r>
        <w:rPr>
          <w:sz w:val="24"/>
          <w:szCs w:val="24"/>
        </w:rPr>
        <w:t>,</w:t>
      </w:r>
      <w:r w:rsidRPr="00EE4A89">
        <w:rPr>
          <w:sz w:val="24"/>
          <w:szCs w:val="24"/>
        </w:rPr>
        <w:t xml:space="preserve"> will be </w:t>
      </w:r>
      <w:r w:rsidRPr="00DC406C">
        <w:rPr>
          <w:sz w:val="24"/>
          <w:szCs w:val="24"/>
        </w:rPr>
        <w:t>$25,000.  This does not include analyses of collected data or preparation of reports.</w:t>
      </w:r>
      <w:r w:rsidRPr="00DC406C">
        <w:rPr>
          <w:b/>
          <w:sz w:val="24"/>
          <w:szCs w:val="24"/>
        </w:rPr>
        <w:t xml:space="preserve"> </w:t>
      </w:r>
    </w:p>
    <w:p w:rsidR="00511955" w:rsidRDefault="00511955" w:rsidP="00853AC0">
      <w:pPr>
        <w:pStyle w:val="BodyText2"/>
        <w:tabs>
          <w:tab w:val="left" w:pos="9990"/>
        </w:tabs>
        <w:rPr>
          <w:sz w:val="24"/>
          <w:szCs w:val="24"/>
        </w:rPr>
      </w:pPr>
      <w:r w:rsidRPr="00426B71">
        <w:rPr>
          <w:sz w:val="24"/>
          <w:szCs w:val="24"/>
        </w:rPr>
        <w:t xml:space="preserve">It is estimated that approximately </w:t>
      </w:r>
      <w:r w:rsidRPr="00EE4A89">
        <w:rPr>
          <w:sz w:val="24"/>
          <w:szCs w:val="24"/>
        </w:rPr>
        <w:t xml:space="preserve">six weeks of </w:t>
      </w:r>
      <w:r>
        <w:rPr>
          <w:sz w:val="24"/>
          <w:szCs w:val="24"/>
        </w:rPr>
        <w:t xml:space="preserve">NIH </w:t>
      </w:r>
      <w:r w:rsidRPr="00EE4A89">
        <w:rPr>
          <w:sz w:val="24"/>
          <w:szCs w:val="24"/>
        </w:rPr>
        <w:t xml:space="preserve">staff time will be associated with the conduct of this study. </w:t>
      </w:r>
      <w:r>
        <w:rPr>
          <w:sz w:val="24"/>
          <w:szCs w:val="24"/>
        </w:rPr>
        <w:t>Using</w:t>
      </w:r>
      <w:r w:rsidRPr="00EE4A89">
        <w:rPr>
          <w:sz w:val="24"/>
          <w:szCs w:val="24"/>
        </w:rPr>
        <w:t xml:space="preserve"> an average salary of $80,000</w:t>
      </w:r>
      <w:r>
        <w:rPr>
          <w:sz w:val="24"/>
          <w:szCs w:val="24"/>
        </w:rPr>
        <w:t xml:space="preserve"> for NIH staff</w:t>
      </w:r>
      <w:r w:rsidRPr="00EE4A89">
        <w:rPr>
          <w:sz w:val="24"/>
          <w:szCs w:val="24"/>
        </w:rPr>
        <w:t>, this adds $9230 in</w:t>
      </w:r>
      <w:r w:rsidRPr="00426B71">
        <w:rPr>
          <w:sz w:val="24"/>
          <w:szCs w:val="24"/>
        </w:rPr>
        <w:t xml:space="preserve"> costs.  </w:t>
      </w:r>
    </w:p>
    <w:p w:rsidR="00511955" w:rsidRPr="00DC406C" w:rsidRDefault="00511955" w:rsidP="00853AC0">
      <w:pPr>
        <w:pStyle w:val="BodyText2"/>
        <w:tabs>
          <w:tab w:val="left" w:pos="9990"/>
        </w:tabs>
        <w:rPr>
          <w:b/>
          <w:sz w:val="24"/>
          <w:szCs w:val="24"/>
          <w:u w:val="single"/>
        </w:rPr>
      </w:pPr>
      <w:r w:rsidRPr="00426B71">
        <w:rPr>
          <w:sz w:val="24"/>
          <w:szCs w:val="24"/>
        </w:rPr>
        <w:t xml:space="preserve">Thus, total </w:t>
      </w:r>
      <w:r>
        <w:rPr>
          <w:sz w:val="24"/>
          <w:szCs w:val="24"/>
        </w:rPr>
        <w:t xml:space="preserve">annual </w:t>
      </w:r>
      <w:r w:rsidRPr="00426B71">
        <w:rPr>
          <w:sz w:val="24"/>
          <w:szCs w:val="24"/>
        </w:rPr>
        <w:t xml:space="preserve">cost </w:t>
      </w:r>
      <w:r>
        <w:rPr>
          <w:sz w:val="24"/>
          <w:szCs w:val="24"/>
        </w:rPr>
        <w:t xml:space="preserve">to the Federal Government </w:t>
      </w:r>
      <w:r w:rsidRPr="00426B71">
        <w:rPr>
          <w:sz w:val="24"/>
          <w:szCs w:val="24"/>
        </w:rPr>
        <w:t>is</w:t>
      </w:r>
      <w:r>
        <w:rPr>
          <w:sz w:val="24"/>
          <w:szCs w:val="24"/>
        </w:rPr>
        <w:t xml:space="preserve"> estimated at</w:t>
      </w:r>
      <w:r w:rsidRPr="00426B71">
        <w:rPr>
          <w:sz w:val="24"/>
          <w:szCs w:val="24"/>
        </w:rPr>
        <w:t xml:space="preserve"> </w:t>
      </w:r>
      <w:r w:rsidRPr="00226FC1">
        <w:rPr>
          <w:bCs/>
          <w:sz w:val="24"/>
          <w:szCs w:val="24"/>
        </w:rPr>
        <w:t>$34,037.60</w:t>
      </w:r>
      <w:r w:rsidRPr="00426B71">
        <w:rPr>
          <w:sz w:val="24"/>
          <w:szCs w:val="24"/>
        </w:rPr>
        <w:t xml:space="preserve"> (Table </w:t>
      </w:r>
      <w:r>
        <w:rPr>
          <w:sz w:val="24"/>
          <w:szCs w:val="24"/>
        </w:rPr>
        <w:t>A.14.1</w:t>
      </w:r>
      <w:r w:rsidRPr="00426B71">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710"/>
      </w:tblGrid>
      <w:tr w:rsidR="00511955" w:rsidRPr="00EE4A89">
        <w:trPr>
          <w:cantSplit/>
        </w:trPr>
        <w:tc>
          <w:tcPr>
            <w:tcW w:w="6318" w:type="dxa"/>
            <w:gridSpan w:val="2"/>
            <w:tcBorders>
              <w:top w:val="nil"/>
              <w:left w:val="nil"/>
              <w:right w:val="nil"/>
            </w:tcBorders>
          </w:tcPr>
          <w:p w:rsidR="00511955" w:rsidRPr="00EE4A89" w:rsidRDefault="00511955" w:rsidP="00DC406C">
            <w:pPr>
              <w:pStyle w:val="BodyText2"/>
              <w:tabs>
                <w:tab w:val="left" w:pos="9990"/>
              </w:tabs>
              <w:spacing w:line="240" w:lineRule="auto"/>
              <w:rPr>
                <w:szCs w:val="24"/>
              </w:rPr>
            </w:pPr>
            <w:r w:rsidRPr="00EE4A89">
              <w:rPr>
                <w:b/>
                <w:szCs w:val="24"/>
              </w:rPr>
              <w:t xml:space="preserve">Table </w:t>
            </w:r>
            <w:r>
              <w:rPr>
                <w:b/>
                <w:szCs w:val="24"/>
              </w:rPr>
              <w:t>A.14.1.</w:t>
            </w:r>
            <w:r w:rsidRPr="00EE4A89">
              <w:rPr>
                <w:b/>
                <w:szCs w:val="24"/>
              </w:rPr>
              <w:t xml:space="preserve"> Total Cost Burden of Information Collection</w:t>
            </w:r>
          </w:p>
        </w:tc>
      </w:tr>
      <w:tr w:rsidR="00511955" w:rsidRPr="00EE4A89">
        <w:tc>
          <w:tcPr>
            <w:tcW w:w="4608" w:type="dxa"/>
            <w:vAlign w:val="center"/>
          </w:tcPr>
          <w:p w:rsidR="00511955" w:rsidRPr="00EE4A89" w:rsidRDefault="00511955" w:rsidP="00DC406C">
            <w:pPr>
              <w:pStyle w:val="BodyText2"/>
              <w:tabs>
                <w:tab w:val="left" w:pos="9990"/>
              </w:tabs>
              <w:spacing w:line="240" w:lineRule="auto"/>
            </w:pPr>
            <w:r w:rsidRPr="00EE4A89">
              <w:t>Annualized Cost to Respondents</w:t>
            </w:r>
            <w:r>
              <w:t xml:space="preserve"> (from A.12.2)</w:t>
            </w:r>
          </w:p>
        </w:tc>
        <w:tc>
          <w:tcPr>
            <w:tcW w:w="1710" w:type="dxa"/>
            <w:vAlign w:val="center"/>
          </w:tcPr>
          <w:p w:rsidR="00511955" w:rsidRPr="00EE4A89" w:rsidRDefault="00511955" w:rsidP="00F35801">
            <w:pPr>
              <w:pStyle w:val="BodyText2"/>
              <w:tabs>
                <w:tab w:val="left" w:pos="9990"/>
              </w:tabs>
              <w:spacing w:line="240" w:lineRule="auto"/>
              <w:rPr>
                <w:b/>
                <w:highlight w:val="yellow"/>
              </w:rPr>
            </w:pPr>
            <w:r w:rsidRPr="005F5DFA">
              <w:rPr>
                <w:color w:val="000000"/>
              </w:rPr>
              <w:t>$4,807.60</w:t>
            </w:r>
          </w:p>
        </w:tc>
      </w:tr>
      <w:tr w:rsidR="00511955" w:rsidRPr="00EE4A89">
        <w:tc>
          <w:tcPr>
            <w:tcW w:w="4608" w:type="dxa"/>
            <w:vAlign w:val="center"/>
          </w:tcPr>
          <w:p w:rsidR="00511955" w:rsidRPr="006108DD" w:rsidRDefault="00511955" w:rsidP="00DC406C">
            <w:pPr>
              <w:pStyle w:val="BodyText2"/>
              <w:tabs>
                <w:tab w:val="left" w:pos="9990"/>
              </w:tabs>
              <w:spacing w:line="240" w:lineRule="auto"/>
            </w:pPr>
            <w:r w:rsidRPr="006108DD">
              <w:t>Annual Cost of Contractor’s Services</w:t>
            </w:r>
          </w:p>
        </w:tc>
        <w:tc>
          <w:tcPr>
            <w:tcW w:w="1710" w:type="dxa"/>
            <w:vAlign w:val="center"/>
          </w:tcPr>
          <w:p w:rsidR="00511955" w:rsidRPr="006108DD" w:rsidRDefault="00511955" w:rsidP="006108DD">
            <w:pPr>
              <w:pStyle w:val="BodyText2"/>
              <w:tabs>
                <w:tab w:val="left" w:pos="9990"/>
              </w:tabs>
              <w:spacing w:line="240" w:lineRule="auto"/>
            </w:pPr>
            <w:r w:rsidRPr="006108DD">
              <w:t>$25,000</w:t>
            </w:r>
          </w:p>
        </w:tc>
      </w:tr>
      <w:tr w:rsidR="00511955" w:rsidRPr="00EE4A89">
        <w:tc>
          <w:tcPr>
            <w:tcW w:w="4608" w:type="dxa"/>
            <w:vAlign w:val="center"/>
          </w:tcPr>
          <w:p w:rsidR="00511955" w:rsidRPr="00EE4A89" w:rsidRDefault="00511955" w:rsidP="00426B71">
            <w:pPr>
              <w:pStyle w:val="BodyText2"/>
              <w:tabs>
                <w:tab w:val="left" w:pos="9990"/>
              </w:tabs>
              <w:spacing w:line="240" w:lineRule="auto"/>
            </w:pPr>
            <w:r w:rsidRPr="00EE4A89">
              <w:t>NIH Staff Time</w:t>
            </w:r>
          </w:p>
        </w:tc>
        <w:tc>
          <w:tcPr>
            <w:tcW w:w="1710" w:type="dxa"/>
            <w:vAlign w:val="center"/>
          </w:tcPr>
          <w:p w:rsidR="00511955" w:rsidRPr="00EE4A89" w:rsidRDefault="00511955" w:rsidP="00F35801">
            <w:pPr>
              <w:pStyle w:val="BodyText2"/>
              <w:tabs>
                <w:tab w:val="left" w:pos="9990"/>
              </w:tabs>
              <w:spacing w:line="240" w:lineRule="auto"/>
              <w:rPr>
                <w:highlight w:val="yellow"/>
              </w:rPr>
            </w:pPr>
            <w:r w:rsidRPr="00EE4A89">
              <w:t>$9230</w:t>
            </w:r>
          </w:p>
        </w:tc>
      </w:tr>
      <w:tr w:rsidR="00511955" w:rsidRPr="00EE4A89">
        <w:tc>
          <w:tcPr>
            <w:tcW w:w="4608" w:type="dxa"/>
            <w:vAlign w:val="center"/>
          </w:tcPr>
          <w:p w:rsidR="00511955" w:rsidRPr="00EE4A89" w:rsidRDefault="00511955" w:rsidP="00F35801">
            <w:pPr>
              <w:pStyle w:val="BodyText2"/>
              <w:tabs>
                <w:tab w:val="left" w:pos="9990"/>
              </w:tabs>
              <w:spacing w:line="240" w:lineRule="auto"/>
              <w:rPr>
                <w:b/>
                <w:bCs/>
              </w:rPr>
            </w:pPr>
            <w:r w:rsidRPr="00EE4A89">
              <w:rPr>
                <w:b/>
                <w:bCs/>
              </w:rPr>
              <w:t>Total</w:t>
            </w:r>
          </w:p>
        </w:tc>
        <w:tc>
          <w:tcPr>
            <w:tcW w:w="1710" w:type="dxa"/>
            <w:vAlign w:val="center"/>
          </w:tcPr>
          <w:p w:rsidR="00511955" w:rsidRPr="00EE4A89" w:rsidRDefault="00511955" w:rsidP="006108DD">
            <w:pPr>
              <w:pStyle w:val="BodyText2"/>
              <w:tabs>
                <w:tab w:val="left" w:pos="9990"/>
              </w:tabs>
              <w:spacing w:line="240" w:lineRule="auto"/>
              <w:rPr>
                <w:b/>
                <w:bCs/>
              </w:rPr>
            </w:pPr>
            <w:r>
              <w:rPr>
                <w:b/>
                <w:bCs/>
              </w:rPr>
              <w:t>$39,037.60</w:t>
            </w:r>
          </w:p>
        </w:tc>
      </w:tr>
    </w:tbl>
    <w:p w:rsidR="00511955" w:rsidRPr="00853AC0" w:rsidRDefault="00511955" w:rsidP="00853AC0">
      <w:pPr>
        <w:spacing w:line="480" w:lineRule="auto"/>
        <w:rPr>
          <w:sz w:val="24"/>
          <w:szCs w:val="24"/>
        </w:rPr>
      </w:pPr>
    </w:p>
    <w:p w:rsidR="00511955" w:rsidRPr="00131FB9" w:rsidRDefault="00511955" w:rsidP="006108DD">
      <w:pPr>
        <w:pStyle w:val="Heading1"/>
      </w:pPr>
      <w:bookmarkStart w:id="26" w:name="_Toc269296660"/>
      <w:r w:rsidRPr="00131FB9">
        <w:t>A.15. Explanation for Program Changes or Adjustments</w:t>
      </w:r>
      <w:bookmarkEnd w:id="26"/>
      <w:r w:rsidRPr="00131FB9">
        <w:t xml:space="preserve"> </w:t>
      </w:r>
    </w:p>
    <w:p w:rsidR="00511955" w:rsidRPr="00853AC0" w:rsidRDefault="00511955" w:rsidP="00853AC0">
      <w:pPr>
        <w:spacing w:line="480" w:lineRule="auto"/>
        <w:rPr>
          <w:sz w:val="24"/>
          <w:szCs w:val="24"/>
        </w:rPr>
      </w:pPr>
      <w:r w:rsidRPr="00853AC0">
        <w:rPr>
          <w:sz w:val="24"/>
          <w:szCs w:val="24"/>
        </w:rPr>
        <w:t>This is a new collection of information.</w:t>
      </w:r>
    </w:p>
    <w:p w:rsidR="00511955" w:rsidRPr="00853AC0" w:rsidRDefault="00511955" w:rsidP="00853AC0">
      <w:pPr>
        <w:spacing w:line="480" w:lineRule="auto"/>
        <w:rPr>
          <w:b/>
          <w:sz w:val="24"/>
          <w:szCs w:val="24"/>
        </w:rPr>
      </w:pPr>
    </w:p>
    <w:p w:rsidR="00511955" w:rsidRPr="00131FB9" w:rsidRDefault="00511955" w:rsidP="006108DD">
      <w:pPr>
        <w:pStyle w:val="Heading1"/>
      </w:pPr>
      <w:bookmarkStart w:id="27" w:name="_Toc269296661"/>
      <w:r w:rsidRPr="00131FB9">
        <w:t>A.16. Plans for Tabulation and Publication and Project Time Schedule</w:t>
      </w:r>
      <w:bookmarkEnd w:id="27"/>
      <w:r w:rsidRPr="00131FB9">
        <w:t xml:space="preserve"> </w:t>
      </w:r>
    </w:p>
    <w:p w:rsidR="00511955" w:rsidRDefault="00511955" w:rsidP="00853AC0">
      <w:pPr>
        <w:spacing w:line="480" w:lineRule="auto"/>
        <w:rPr>
          <w:sz w:val="24"/>
          <w:szCs w:val="24"/>
        </w:rPr>
      </w:pPr>
      <w:r w:rsidRPr="003D447E">
        <w:rPr>
          <w:sz w:val="24"/>
          <w:szCs w:val="24"/>
        </w:rPr>
        <w:t xml:space="preserve">Planning for this study began in September 2009. Data collection for the first case is expected to begin </w:t>
      </w:r>
      <w:r>
        <w:rPr>
          <w:sz w:val="24"/>
          <w:szCs w:val="24"/>
        </w:rPr>
        <w:t>immediately</w:t>
      </w:r>
      <w:r w:rsidRPr="003D447E">
        <w:rPr>
          <w:sz w:val="24"/>
          <w:szCs w:val="24"/>
        </w:rPr>
        <w:t xml:space="preserve"> after OMB approval (</w:t>
      </w:r>
      <w:r>
        <w:rPr>
          <w:sz w:val="24"/>
          <w:szCs w:val="24"/>
        </w:rPr>
        <w:t xml:space="preserve">expected </w:t>
      </w:r>
      <w:r w:rsidRPr="009A09C9">
        <w:rPr>
          <w:sz w:val="24"/>
          <w:szCs w:val="24"/>
        </w:rPr>
        <w:t>in November</w:t>
      </w:r>
      <w:r w:rsidRPr="003D447E">
        <w:rPr>
          <w:sz w:val="24"/>
          <w:szCs w:val="24"/>
        </w:rPr>
        <w:t xml:space="preserve"> 2010</w:t>
      </w:r>
      <w:r>
        <w:rPr>
          <w:sz w:val="24"/>
          <w:szCs w:val="24"/>
        </w:rPr>
        <w:t>, Table 4</w:t>
      </w:r>
      <w:r w:rsidRPr="003D447E">
        <w:rPr>
          <w:sz w:val="24"/>
          <w:szCs w:val="24"/>
        </w:rPr>
        <w:t xml:space="preserve">). It is expected that approximately six months will be required to complete data collection and </w:t>
      </w:r>
      <w:r>
        <w:rPr>
          <w:sz w:val="24"/>
          <w:szCs w:val="24"/>
        </w:rPr>
        <w:t xml:space="preserve">qualitative </w:t>
      </w:r>
      <w:r w:rsidRPr="003D447E">
        <w:rPr>
          <w:sz w:val="24"/>
          <w:szCs w:val="24"/>
        </w:rPr>
        <w:t>analysis for each case, so the second case will begin approximately six months after OMB approval (</w:t>
      </w:r>
      <w:r>
        <w:rPr>
          <w:sz w:val="24"/>
          <w:szCs w:val="24"/>
        </w:rPr>
        <w:t>May</w:t>
      </w:r>
      <w:r w:rsidRPr="003D447E">
        <w:rPr>
          <w:sz w:val="24"/>
          <w:szCs w:val="24"/>
        </w:rPr>
        <w:t xml:space="preserve"> 2011). A report detailing results from the first two case studies</w:t>
      </w:r>
      <w:r>
        <w:rPr>
          <w:sz w:val="24"/>
          <w:szCs w:val="24"/>
        </w:rPr>
        <w:t xml:space="preserve"> will be due one year after the start of data collection (</w:t>
      </w:r>
      <w:r w:rsidRPr="009A09C9">
        <w:rPr>
          <w:sz w:val="24"/>
          <w:szCs w:val="24"/>
        </w:rPr>
        <w:t>November</w:t>
      </w:r>
      <w:r>
        <w:rPr>
          <w:sz w:val="24"/>
          <w:szCs w:val="24"/>
        </w:rPr>
        <w:t xml:space="preserve"> 2011). This report will be disseminated to stakeholders within FIC and to the public via the Center’s website. It is also hoped that the report will be suitable for publication in a peer-reviewed journal. Two additional case studies will be completed per year for the next four years, with an annual report submitted at the end of each year. The final report, expected in October 2015, will summarize cumulative results.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5400"/>
      </w:tblGrid>
      <w:tr w:rsidR="00511955" w:rsidRPr="00994FE6">
        <w:trPr>
          <w:cantSplit/>
        </w:trPr>
        <w:tc>
          <w:tcPr>
            <w:tcW w:w="8568" w:type="dxa"/>
            <w:gridSpan w:val="2"/>
            <w:tcBorders>
              <w:top w:val="nil"/>
              <w:left w:val="nil"/>
              <w:right w:val="nil"/>
            </w:tcBorders>
          </w:tcPr>
          <w:p w:rsidR="00511955" w:rsidRPr="00994FE6" w:rsidRDefault="00511955" w:rsidP="00994FE6">
            <w:pPr>
              <w:pStyle w:val="BodyText2"/>
              <w:tabs>
                <w:tab w:val="left" w:pos="9990"/>
              </w:tabs>
              <w:spacing w:line="240" w:lineRule="auto"/>
              <w:rPr>
                <w:b/>
              </w:rPr>
            </w:pPr>
            <w:r w:rsidRPr="00994FE6">
              <w:rPr>
                <w:b/>
              </w:rPr>
              <w:t>Table 4: Estimated Project Schedule</w:t>
            </w:r>
          </w:p>
        </w:tc>
      </w:tr>
      <w:tr w:rsidR="00511955" w:rsidRPr="00994FE6">
        <w:tc>
          <w:tcPr>
            <w:tcW w:w="3168" w:type="dxa"/>
            <w:vAlign w:val="center"/>
          </w:tcPr>
          <w:p w:rsidR="00511955" w:rsidRPr="00994FE6" w:rsidRDefault="00511955" w:rsidP="00F84374">
            <w:pPr>
              <w:pStyle w:val="BodyText2"/>
              <w:tabs>
                <w:tab w:val="left" w:pos="9990"/>
              </w:tabs>
              <w:spacing w:line="240" w:lineRule="auto"/>
              <w:rPr>
                <w:b/>
                <w:bCs/>
              </w:rPr>
            </w:pPr>
            <w:r w:rsidRPr="00994FE6">
              <w:rPr>
                <w:b/>
                <w:bCs/>
              </w:rPr>
              <w:t>Activity</w:t>
            </w:r>
          </w:p>
        </w:tc>
        <w:tc>
          <w:tcPr>
            <w:tcW w:w="5400" w:type="dxa"/>
            <w:vAlign w:val="center"/>
          </w:tcPr>
          <w:p w:rsidR="00511955" w:rsidRPr="00994FE6" w:rsidRDefault="00511955" w:rsidP="00F84374">
            <w:pPr>
              <w:pStyle w:val="BodyText2"/>
              <w:tabs>
                <w:tab w:val="left" w:pos="9990"/>
              </w:tabs>
              <w:spacing w:line="240" w:lineRule="auto"/>
              <w:rPr>
                <w:b/>
                <w:bCs/>
              </w:rPr>
            </w:pPr>
            <w:r w:rsidRPr="00994FE6">
              <w:rPr>
                <w:b/>
                <w:bCs/>
              </w:rPr>
              <w:t>Time Schedule</w:t>
            </w:r>
          </w:p>
        </w:tc>
      </w:tr>
      <w:tr w:rsidR="00511955" w:rsidRPr="00994FE6">
        <w:tc>
          <w:tcPr>
            <w:tcW w:w="3168" w:type="dxa"/>
            <w:vAlign w:val="center"/>
          </w:tcPr>
          <w:p w:rsidR="00511955" w:rsidRPr="00994FE6" w:rsidRDefault="00511955" w:rsidP="00EE4A89">
            <w:pPr>
              <w:pStyle w:val="BodyText2"/>
              <w:tabs>
                <w:tab w:val="left" w:pos="9990"/>
              </w:tabs>
              <w:spacing w:line="240" w:lineRule="auto"/>
            </w:pPr>
            <w:r w:rsidRPr="00994FE6">
              <w:t>Begin first case study</w:t>
            </w:r>
          </w:p>
        </w:tc>
        <w:tc>
          <w:tcPr>
            <w:tcW w:w="5400" w:type="dxa"/>
            <w:vAlign w:val="center"/>
          </w:tcPr>
          <w:p w:rsidR="00511955" w:rsidRPr="00994FE6" w:rsidRDefault="00511955" w:rsidP="009A09C9">
            <w:pPr>
              <w:pStyle w:val="BodyText2"/>
              <w:tabs>
                <w:tab w:val="left" w:pos="9990"/>
              </w:tabs>
              <w:spacing w:line="240" w:lineRule="auto"/>
            </w:pPr>
            <w:r w:rsidRPr="00994FE6">
              <w:t>Immediately after OMB approval (</w:t>
            </w:r>
            <w:r>
              <w:t>November</w:t>
            </w:r>
            <w:r w:rsidRPr="00994FE6">
              <w:t xml:space="preserve"> 2010)</w:t>
            </w:r>
          </w:p>
        </w:tc>
      </w:tr>
      <w:tr w:rsidR="00511955" w:rsidRPr="00994FE6">
        <w:tc>
          <w:tcPr>
            <w:tcW w:w="3168" w:type="dxa"/>
            <w:vAlign w:val="center"/>
          </w:tcPr>
          <w:p w:rsidR="00511955" w:rsidRPr="00994FE6" w:rsidRDefault="00511955" w:rsidP="00EE4A89">
            <w:pPr>
              <w:pStyle w:val="BodyText2"/>
              <w:tabs>
                <w:tab w:val="left" w:pos="9990"/>
              </w:tabs>
              <w:spacing w:line="240" w:lineRule="auto"/>
            </w:pPr>
            <w:r w:rsidRPr="00994FE6">
              <w:t>Begin second case study</w:t>
            </w:r>
          </w:p>
        </w:tc>
        <w:tc>
          <w:tcPr>
            <w:tcW w:w="5400" w:type="dxa"/>
            <w:vAlign w:val="center"/>
          </w:tcPr>
          <w:p w:rsidR="00511955" w:rsidRPr="00994FE6" w:rsidRDefault="00511955" w:rsidP="009A09C9">
            <w:pPr>
              <w:pStyle w:val="BodyText2"/>
              <w:tabs>
                <w:tab w:val="left" w:pos="9990"/>
              </w:tabs>
              <w:spacing w:line="240" w:lineRule="auto"/>
            </w:pPr>
            <w:r w:rsidRPr="00994FE6">
              <w:t>Six months after OMB approval (</w:t>
            </w:r>
            <w:r>
              <w:t>May</w:t>
            </w:r>
            <w:r w:rsidRPr="00994FE6">
              <w:t xml:space="preserve"> 2011)</w:t>
            </w:r>
          </w:p>
        </w:tc>
      </w:tr>
      <w:tr w:rsidR="00511955" w:rsidRPr="00994FE6">
        <w:tc>
          <w:tcPr>
            <w:tcW w:w="3168" w:type="dxa"/>
            <w:vAlign w:val="center"/>
          </w:tcPr>
          <w:p w:rsidR="00511955" w:rsidRPr="00994FE6" w:rsidRDefault="00511955" w:rsidP="003D447E">
            <w:pPr>
              <w:pStyle w:val="BodyText2"/>
              <w:tabs>
                <w:tab w:val="left" w:pos="9990"/>
              </w:tabs>
              <w:spacing w:line="240" w:lineRule="auto"/>
            </w:pPr>
            <w:r w:rsidRPr="00994FE6">
              <w:t>Reporting on first year’s cases</w:t>
            </w:r>
          </w:p>
        </w:tc>
        <w:tc>
          <w:tcPr>
            <w:tcW w:w="5400" w:type="dxa"/>
            <w:vAlign w:val="center"/>
          </w:tcPr>
          <w:p w:rsidR="00511955" w:rsidRPr="00994FE6" w:rsidRDefault="00511955" w:rsidP="009A09C9">
            <w:pPr>
              <w:pStyle w:val="BodyText2"/>
              <w:tabs>
                <w:tab w:val="left" w:pos="9990"/>
              </w:tabs>
              <w:spacing w:line="240" w:lineRule="auto"/>
              <w:ind w:left="288" w:hanging="288"/>
            </w:pPr>
            <w:r w:rsidRPr="00994FE6">
              <w:t>12 months after OMB approval (</w:t>
            </w:r>
            <w:r>
              <w:t>October</w:t>
            </w:r>
            <w:r w:rsidRPr="00994FE6">
              <w:t xml:space="preserve"> 2011)</w:t>
            </w:r>
          </w:p>
        </w:tc>
      </w:tr>
      <w:tr w:rsidR="00511955" w:rsidRPr="00994FE6">
        <w:tc>
          <w:tcPr>
            <w:tcW w:w="3168" w:type="dxa"/>
            <w:vAlign w:val="center"/>
          </w:tcPr>
          <w:p w:rsidR="00511955" w:rsidRPr="00994FE6" w:rsidRDefault="00511955" w:rsidP="003D447E">
            <w:pPr>
              <w:pStyle w:val="BodyText2"/>
              <w:tabs>
                <w:tab w:val="left" w:pos="9990"/>
              </w:tabs>
              <w:spacing w:line="240" w:lineRule="auto"/>
            </w:pPr>
            <w:r w:rsidRPr="00994FE6">
              <w:t>Case studies 3 and 4</w:t>
            </w:r>
          </w:p>
        </w:tc>
        <w:tc>
          <w:tcPr>
            <w:tcW w:w="5400" w:type="dxa"/>
            <w:vAlign w:val="center"/>
          </w:tcPr>
          <w:p w:rsidR="00511955" w:rsidRPr="00994FE6" w:rsidRDefault="00511955" w:rsidP="009A09C9">
            <w:pPr>
              <w:pStyle w:val="BodyText2"/>
              <w:tabs>
                <w:tab w:val="left" w:pos="9990"/>
              </w:tabs>
              <w:spacing w:line="240" w:lineRule="auto"/>
              <w:ind w:left="288" w:hanging="288"/>
            </w:pPr>
            <w:r w:rsidRPr="00994FE6">
              <w:t>13-24 months after OMB approval (</w:t>
            </w:r>
            <w:r>
              <w:t>November</w:t>
            </w:r>
            <w:r w:rsidRPr="00994FE6">
              <w:t xml:space="preserve"> 2011-</w:t>
            </w:r>
            <w:r>
              <w:t xml:space="preserve"> October</w:t>
            </w:r>
            <w:r w:rsidRPr="00994FE6">
              <w:t xml:space="preserve"> 2012)</w:t>
            </w:r>
          </w:p>
        </w:tc>
      </w:tr>
      <w:tr w:rsidR="00511955" w:rsidRPr="00994FE6">
        <w:tc>
          <w:tcPr>
            <w:tcW w:w="3168" w:type="dxa"/>
            <w:vAlign w:val="center"/>
          </w:tcPr>
          <w:p w:rsidR="00511955" w:rsidRPr="00994FE6" w:rsidRDefault="00511955" w:rsidP="00994FE6">
            <w:pPr>
              <w:pStyle w:val="BodyText2"/>
              <w:tabs>
                <w:tab w:val="left" w:pos="9990"/>
              </w:tabs>
              <w:spacing w:line="240" w:lineRule="auto"/>
            </w:pPr>
            <w:r w:rsidRPr="00994FE6">
              <w:t>Reporting on second year’s cases</w:t>
            </w:r>
          </w:p>
        </w:tc>
        <w:tc>
          <w:tcPr>
            <w:tcW w:w="5400" w:type="dxa"/>
            <w:vAlign w:val="center"/>
          </w:tcPr>
          <w:p w:rsidR="00511955" w:rsidRPr="00994FE6" w:rsidRDefault="00511955" w:rsidP="00F84374">
            <w:pPr>
              <w:pStyle w:val="BodyText2"/>
              <w:tabs>
                <w:tab w:val="left" w:pos="9990"/>
              </w:tabs>
              <w:spacing w:line="240" w:lineRule="auto"/>
              <w:ind w:left="288" w:hanging="288"/>
            </w:pPr>
            <w:r w:rsidRPr="00994FE6">
              <w:t>24 months after OMB approval (</w:t>
            </w:r>
            <w:r>
              <w:t>October</w:t>
            </w:r>
            <w:r w:rsidRPr="00994FE6">
              <w:t xml:space="preserve"> 2012)</w:t>
            </w:r>
          </w:p>
        </w:tc>
      </w:tr>
      <w:tr w:rsidR="00511955" w:rsidRPr="00994FE6">
        <w:tc>
          <w:tcPr>
            <w:tcW w:w="3168" w:type="dxa"/>
            <w:vAlign w:val="center"/>
          </w:tcPr>
          <w:p w:rsidR="00511955" w:rsidRPr="00994FE6" w:rsidRDefault="00511955" w:rsidP="003D447E">
            <w:pPr>
              <w:pStyle w:val="BodyText2"/>
              <w:tabs>
                <w:tab w:val="left" w:pos="9990"/>
              </w:tabs>
              <w:spacing w:line="240" w:lineRule="auto"/>
            </w:pPr>
            <w:r w:rsidRPr="00994FE6">
              <w:t>Case studies 5 and 6</w:t>
            </w:r>
          </w:p>
        </w:tc>
        <w:tc>
          <w:tcPr>
            <w:tcW w:w="5400" w:type="dxa"/>
            <w:vAlign w:val="center"/>
          </w:tcPr>
          <w:p w:rsidR="00511955" w:rsidRPr="00994FE6" w:rsidRDefault="00511955" w:rsidP="00994FE6">
            <w:pPr>
              <w:pStyle w:val="BodyText2"/>
              <w:tabs>
                <w:tab w:val="left" w:pos="9990"/>
              </w:tabs>
              <w:spacing w:line="240" w:lineRule="auto"/>
              <w:ind w:left="288" w:hanging="288"/>
            </w:pPr>
            <w:r w:rsidRPr="00994FE6">
              <w:t>25-36  months after OMB approval (</w:t>
            </w:r>
            <w:r>
              <w:t>November</w:t>
            </w:r>
            <w:r w:rsidRPr="00994FE6">
              <w:t xml:space="preserve"> 2012-</w:t>
            </w:r>
            <w:r>
              <w:t xml:space="preserve"> October</w:t>
            </w:r>
            <w:r w:rsidRPr="00994FE6">
              <w:t xml:space="preserve"> 2013)</w:t>
            </w:r>
          </w:p>
        </w:tc>
      </w:tr>
      <w:tr w:rsidR="00511955" w:rsidRPr="00994FE6">
        <w:tc>
          <w:tcPr>
            <w:tcW w:w="3168" w:type="dxa"/>
            <w:vAlign w:val="center"/>
          </w:tcPr>
          <w:p w:rsidR="00511955" w:rsidRPr="00994FE6" w:rsidRDefault="00511955" w:rsidP="00994FE6">
            <w:pPr>
              <w:pStyle w:val="BodyText2"/>
              <w:tabs>
                <w:tab w:val="left" w:pos="9990"/>
              </w:tabs>
              <w:spacing w:line="240" w:lineRule="auto"/>
            </w:pPr>
            <w:r w:rsidRPr="00994FE6">
              <w:t>Reporting on third year’s cases</w:t>
            </w:r>
          </w:p>
        </w:tc>
        <w:tc>
          <w:tcPr>
            <w:tcW w:w="5400" w:type="dxa"/>
            <w:vAlign w:val="center"/>
          </w:tcPr>
          <w:p w:rsidR="00511955" w:rsidRPr="00994FE6" w:rsidRDefault="00511955" w:rsidP="00994FE6">
            <w:pPr>
              <w:pStyle w:val="BodyText2"/>
              <w:tabs>
                <w:tab w:val="left" w:pos="9990"/>
              </w:tabs>
              <w:spacing w:line="240" w:lineRule="auto"/>
              <w:ind w:left="288" w:hanging="288"/>
            </w:pPr>
            <w:r w:rsidRPr="00994FE6">
              <w:t>36 months after OMB approval (</w:t>
            </w:r>
            <w:r>
              <w:t>October</w:t>
            </w:r>
            <w:r w:rsidRPr="00994FE6">
              <w:t xml:space="preserve"> 2013)</w:t>
            </w:r>
          </w:p>
        </w:tc>
      </w:tr>
      <w:tr w:rsidR="00511955" w:rsidRPr="00994FE6">
        <w:tc>
          <w:tcPr>
            <w:tcW w:w="3168" w:type="dxa"/>
            <w:vAlign w:val="center"/>
          </w:tcPr>
          <w:p w:rsidR="00511955" w:rsidRPr="00994FE6" w:rsidRDefault="00511955" w:rsidP="003D447E">
            <w:pPr>
              <w:pStyle w:val="BodyText2"/>
              <w:tabs>
                <w:tab w:val="left" w:pos="9990"/>
              </w:tabs>
              <w:spacing w:line="240" w:lineRule="auto"/>
            </w:pPr>
            <w:r w:rsidRPr="00994FE6">
              <w:t>Case studies 7 and 8</w:t>
            </w:r>
          </w:p>
        </w:tc>
        <w:tc>
          <w:tcPr>
            <w:tcW w:w="5400" w:type="dxa"/>
            <w:vAlign w:val="center"/>
          </w:tcPr>
          <w:p w:rsidR="00511955" w:rsidRPr="00994FE6" w:rsidRDefault="00511955" w:rsidP="00994FE6">
            <w:pPr>
              <w:pStyle w:val="BodyText2"/>
              <w:tabs>
                <w:tab w:val="left" w:pos="9990"/>
              </w:tabs>
              <w:spacing w:line="240" w:lineRule="auto"/>
              <w:ind w:left="288" w:hanging="288"/>
            </w:pPr>
            <w:r w:rsidRPr="00994FE6">
              <w:t>37-48 months after OMB approval (</w:t>
            </w:r>
            <w:r>
              <w:t>November</w:t>
            </w:r>
            <w:r w:rsidRPr="00994FE6">
              <w:t xml:space="preserve"> 2013-</w:t>
            </w:r>
            <w:r>
              <w:t xml:space="preserve"> October</w:t>
            </w:r>
            <w:r w:rsidRPr="00994FE6">
              <w:t xml:space="preserve"> 2014)</w:t>
            </w:r>
          </w:p>
        </w:tc>
      </w:tr>
      <w:tr w:rsidR="00511955" w:rsidRPr="00994FE6">
        <w:tc>
          <w:tcPr>
            <w:tcW w:w="3168" w:type="dxa"/>
            <w:vAlign w:val="center"/>
          </w:tcPr>
          <w:p w:rsidR="00511955" w:rsidRPr="00994FE6" w:rsidRDefault="00511955" w:rsidP="00994FE6">
            <w:pPr>
              <w:pStyle w:val="BodyText2"/>
              <w:tabs>
                <w:tab w:val="left" w:pos="9990"/>
              </w:tabs>
              <w:spacing w:line="240" w:lineRule="auto"/>
            </w:pPr>
            <w:r w:rsidRPr="00994FE6">
              <w:t>Reporting on fourth year’s cases</w:t>
            </w:r>
          </w:p>
        </w:tc>
        <w:tc>
          <w:tcPr>
            <w:tcW w:w="5400" w:type="dxa"/>
            <w:vAlign w:val="center"/>
          </w:tcPr>
          <w:p w:rsidR="00511955" w:rsidRPr="00994FE6" w:rsidRDefault="00511955" w:rsidP="00994FE6">
            <w:pPr>
              <w:pStyle w:val="BodyText2"/>
              <w:tabs>
                <w:tab w:val="left" w:pos="9990"/>
              </w:tabs>
              <w:spacing w:line="240" w:lineRule="auto"/>
              <w:ind w:left="288" w:hanging="288"/>
            </w:pPr>
            <w:r w:rsidRPr="00994FE6">
              <w:t>48 months after OMB approval (</w:t>
            </w:r>
            <w:r>
              <w:t>October</w:t>
            </w:r>
            <w:r w:rsidRPr="00994FE6">
              <w:t xml:space="preserve"> 2014)</w:t>
            </w:r>
          </w:p>
        </w:tc>
      </w:tr>
      <w:tr w:rsidR="00511955" w:rsidRPr="00994FE6">
        <w:tc>
          <w:tcPr>
            <w:tcW w:w="3168" w:type="dxa"/>
            <w:vAlign w:val="center"/>
          </w:tcPr>
          <w:p w:rsidR="00511955" w:rsidRPr="00994FE6" w:rsidRDefault="00511955" w:rsidP="003D447E">
            <w:pPr>
              <w:pStyle w:val="BodyText2"/>
              <w:tabs>
                <w:tab w:val="left" w:pos="9990"/>
              </w:tabs>
              <w:spacing w:line="240" w:lineRule="auto"/>
            </w:pPr>
            <w:r w:rsidRPr="00994FE6">
              <w:t>Case studies 9 and 10</w:t>
            </w:r>
          </w:p>
        </w:tc>
        <w:tc>
          <w:tcPr>
            <w:tcW w:w="5400" w:type="dxa"/>
            <w:vAlign w:val="center"/>
          </w:tcPr>
          <w:p w:rsidR="00511955" w:rsidRPr="00994FE6" w:rsidRDefault="00511955" w:rsidP="00994FE6">
            <w:pPr>
              <w:pStyle w:val="BodyText2"/>
              <w:tabs>
                <w:tab w:val="left" w:pos="9990"/>
              </w:tabs>
              <w:spacing w:line="240" w:lineRule="auto"/>
              <w:ind w:left="288" w:hanging="288"/>
            </w:pPr>
            <w:r w:rsidRPr="00994FE6">
              <w:t>49-60 months after OMB approval (</w:t>
            </w:r>
            <w:r>
              <w:t>November</w:t>
            </w:r>
            <w:r w:rsidRPr="00994FE6">
              <w:t xml:space="preserve"> 2014-</w:t>
            </w:r>
            <w:r>
              <w:t xml:space="preserve"> October</w:t>
            </w:r>
            <w:r w:rsidRPr="00994FE6">
              <w:t xml:space="preserve"> 2015)</w:t>
            </w:r>
          </w:p>
        </w:tc>
      </w:tr>
      <w:tr w:rsidR="00511955" w:rsidRPr="00994FE6">
        <w:tc>
          <w:tcPr>
            <w:tcW w:w="3168" w:type="dxa"/>
            <w:vAlign w:val="center"/>
          </w:tcPr>
          <w:p w:rsidR="00511955" w:rsidRPr="00994FE6" w:rsidRDefault="00511955" w:rsidP="00994FE6">
            <w:pPr>
              <w:pStyle w:val="BodyText2"/>
              <w:tabs>
                <w:tab w:val="left" w:pos="9990"/>
              </w:tabs>
              <w:spacing w:line="240" w:lineRule="auto"/>
            </w:pPr>
            <w:r w:rsidRPr="00994FE6">
              <w:t>Reporting on fifth year’s cases and final summary reporting</w:t>
            </w:r>
          </w:p>
        </w:tc>
        <w:tc>
          <w:tcPr>
            <w:tcW w:w="5400" w:type="dxa"/>
            <w:vAlign w:val="center"/>
          </w:tcPr>
          <w:p w:rsidR="00511955" w:rsidRPr="00994FE6" w:rsidRDefault="00511955" w:rsidP="00F84374">
            <w:pPr>
              <w:pStyle w:val="BodyText2"/>
              <w:tabs>
                <w:tab w:val="left" w:pos="9990"/>
              </w:tabs>
              <w:spacing w:line="240" w:lineRule="auto"/>
              <w:ind w:left="288" w:hanging="288"/>
            </w:pPr>
            <w:r w:rsidRPr="00994FE6">
              <w:t>60 months after OMB approval (</w:t>
            </w:r>
            <w:r>
              <w:t>October</w:t>
            </w:r>
            <w:r w:rsidRPr="00994FE6">
              <w:t xml:space="preserve"> 2015)</w:t>
            </w:r>
          </w:p>
        </w:tc>
      </w:tr>
    </w:tbl>
    <w:p w:rsidR="00511955" w:rsidRPr="00853AC0" w:rsidRDefault="00511955" w:rsidP="00853AC0">
      <w:pPr>
        <w:spacing w:line="480" w:lineRule="auto"/>
        <w:rPr>
          <w:b/>
          <w:sz w:val="24"/>
          <w:szCs w:val="24"/>
        </w:rPr>
      </w:pPr>
    </w:p>
    <w:p w:rsidR="00511955" w:rsidRPr="00131FB9" w:rsidRDefault="00511955" w:rsidP="006108DD">
      <w:pPr>
        <w:pStyle w:val="Heading1"/>
      </w:pPr>
      <w:bookmarkStart w:id="28" w:name="_Toc269296662"/>
      <w:r w:rsidRPr="00131FB9">
        <w:t>A.17. Reason(s) Display of OMB Expiration Date is Inappropriate</w:t>
      </w:r>
      <w:bookmarkEnd w:id="28"/>
    </w:p>
    <w:p w:rsidR="00511955" w:rsidRPr="00853AC0" w:rsidRDefault="00511955" w:rsidP="00853AC0">
      <w:pPr>
        <w:pStyle w:val="BodyText2"/>
        <w:tabs>
          <w:tab w:val="left" w:pos="9990"/>
        </w:tabs>
        <w:rPr>
          <w:sz w:val="24"/>
          <w:szCs w:val="24"/>
        </w:rPr>
      </w:pPr>
      <w:r w:rsidRPr="00853AC0">
        <w:rPr>
          <w:sz w:val="24"/>
          <w:szCs w:val="24"/>
        </w:rPr>
        <w:t xml:space="preserve">No exceptions are sought; the OMB Expiration Date will be displayed on the survey instruments. </w:t>
      </w:r>
    </w:p>
    <w:p w:rsidR="00511955" w:rsidRDefault="00511955" w:rsidP="00853AC0">
      <w:pPr>
        <w:spacing w:line="480" w:lineRule="auto"/>
        <w:rPr>
          <w:b/>
          <w:sz w:val="24"/>
          <w:szCs w:val="24"/>
          <w:u w:val="single"/>
        </w:rPr>
      </w:pPr>
    </w:p>
    <w:p w:rsidR="00511955" w:rsidRPr="00A81373" w:rsidRDefault="00511955" w:rsidP="006108DD">
      <w:pPr>
        <w:pStyle w:val="Heading1"/>
      </w:pPr>
      <w:bookmarkStart w:id="29" w:name="_Toc269296663"/>
      <w:r w:rsidRPr="00A81373">
        <w:t>A.18. Exceptions to Certification for Paperwork Reduction Act Submissions</w:t>
      </w:r>
      <w:bookmarkEnd w:id="29"/>
    </w:p>
    <w:p w:rsidR="00511955" w:rsidRPr="00A81373" w:rsidRDefault="00511955" w:rsidP="00A81373">
      <w:pPr>
        <w:pStyle w:val="BodyText2"/>
        <w:tabs>
          <w:tab w:val="left" w:pos="9990"/>
        </w:tabs>
        <w:rPr>
          <w:sz w:val="24"/>
          <w:szCs w:val="24"/>
        </w:rPr>
      </w:pPr>
      <w:r w:rsidRPr="00853AC0">
        <w:rPr>
          <w:sz w:val="24"/>
          <w:szCs w:val="24"/>
        </w:rPr>
        <w:t>No exceptions are sought from the Paperwork Reduction Act or from form 83-I.</w:t>
      </w:r>
    </w:p>
    <w:sectPr w:rsidR="00511955" w:rsidRPr="00A81373" w:rsidSect="00F84374">
      <w:footnotePr>
        <w:numRestart w:val="eachSect"/>
      </w:footnotePr>
      <w:endnotePr>
        <w:numFmt w:val="decimal"/>
      </w:endnotePr>
      <w:pgSz w:w="12240" w:h="15840"/>
      <w:pgMar w:top="1260" w:right="1152" w:bottom="1440" w:left="1152"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955" w:rsidRDefault="00511955">
      <w:r>
        <w:separator/>
      </w:r>
    </w:p>
  </w:endnote>
  <w:endnote w:type="continuationSeparator" w:id="0">
    <w:p w:rsidR="00511955" w:rsidRDefault="00511955">
      <w:r>
        <w:continuationSeparator/>
      </w:r>
    </w:p>
  </w:endnote>
</w:endnotes>
</file>

<file path=word/fontTable.xml><?xml version="1.0" encoding="utf-8"?>
<w:fonts xmlns:r="http://schemas.openxmlformats.org/officeDocument/2006/relationships" xmlns:w="http://schemas.openxmlformats.org/wordprocessingml/2006/main">
  <w:font w:name="WP MathA">
    <w:altName w:val="Symbol"/>
    <w:panose1 w:val="05010101010101010101"/>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 Helvetica"/>
    <w:panose1 w:val="020B0604020202020204"/>
    <w:charset w:val="00"/>
    <w:family w:val="swiss"/>
    <w:pitch w:val="variable"/>
    <w:sig w:usb0="20002A87" w:usb1="80000000" w:usb2="00000008" w:usb3="00000000" w:csb0="000001FF" w:csb1="00000000"/>
  </w:font>
  <w:font w:name="Cambria">
    <w:altName w:val="Times New Roman"/>
    <w:panose1 w:val="02040503050406030204"/>
    <w:charset w:val="00"/>
    <w:family w:val="roman"/>
    <w:pitch w:val="variable"/>
    <w:sig w:usb0="A00002EF" w:usb1="4000004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955" w:rsidRDefault="00511955">
    <w:pPr>
      <w:pStyle w:val="Footer"/>
      <w:framePr w:w="576" w:wrap="around"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511955" w:rsidRDefault="00511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955" w:rsidRDefault="00511955">
    <w:pPr>
      <w:pStyle w:val="Footer"/>
      <w:framePr w:w="576" w:wrap="around"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1955" w:rsidRDefault="00511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955" w:rsidRDefault="00511955">
      <w:r>
        <w:separator/>
      </w:r>
    </w:p>
  </w:footnote>
  <w:footnote w:type="continuationSeparator" w:id="0">
    <w:p w:rsidR="00511955" w:rsidRDefault="00511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
    <w:nsid w:val="65BC189D"/>
    <w:multiLevelType w:val="multilevel"/>
    <w:tmpl w:val="63F8823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36C7"/>
    <w:rsid w:val="00003BB2"/>
    <w:rsid w:val="00005C6F"/>
    <w:rsid w:val="000065FB"/>
    <w:rsid w:val="00027B66"/>
    <w:rsid w:val="000371CC"/>
    <w:rsid w:val="00042DC7"/>
    <w:rsid w:val="00055E93"/>
    <w:rsid w:val="00067870"/>
    <w:rsid w:val="000B3AD1"/>
    <w:rsid w:val="000B6EB5"/>
    <w:rsid w:val="000D682C"/>
    <w:rsid w:val="000F5B86"/>
    <w:rsid w:val="00103B3E"/>
    <w:rsid w:val="00131FB9"/>
    <w:rsid w:val="001809AB"/>
    <w:rsid w:val="00184C67"/>
    <w:rsid w:val="001B0FFC"/>
    <w:rsid w:val="001B72A7"/>
    <w:rsid w:val="00200A60"/>
    <w:rsid w:val="0021028E"/>
    <w:rsid w:val="00226FC1"/>
    <w:rsid w:val="002305B7"/>
    <w:rsid w:val="002469D3"/>
    <w:rsid w:val="00293C59"/>
    <w:rsid w:val="002A62AB"/>
    <w:rsid w:val="002A78D7"/>
    <w:rsid w:val="002B39B3"/>
    <w:rsid w:val="002D233F"/>
    <w:rsid w:val="002D65FF"/>
    <w:rsid w:val="002E0CD8"/>
    <w:rsid w:val="002F6F4B"/>
    <w:rsid w:val="003013F5"/>
    <w:rsid w:val="00332BF5"/>
    <w:rsid w:val="00357A91"/>
    <w:rsid w:val="00383424"/>
    <w:rsid w:val="003840E0"/>
    <w:rsid w:val="003D447E"/>
    <w:rsid w:val="00417311"/>
    <w:rsid w:val="00426B71"/>
    <w:rsid w:val="00442CC7"/>
    <w:rsid w:val="00471BC3"/>
    <w:rsid w:val="00483E2B"/>
    <w:rsid w:val="004B20C8"/>
    <w:rsid w:val="004C1386"/>
    <w:rsid w:val="004C5A74"/>
    <w:rsid w:val="004D5D10"/>
    <w:rsid w:val="004F3C3C"/>
    <w:rsid w:val="00511955"/>
    <w:rsid w:val="00531F23"/>
    <w:rsid w:val="005879AE"/>
    <w:rsid w:val="005E4EB3"/>
    <w:rsid w:val="005E584A"/>
    <w:rsid w:val="005F5DFA"/>
    <w:rsid w:val="00600EF1"/>
    <w:rsid w:val="006108DD"/>
    <w:rsid w:val="00651131"/>
    <w:rsid w:val="006533D4"/>
    <w:rsid w:val="00666B51"/>
    <w:rsid w:val="00672859"/>
    <w:rsid w:val="00680E77"/>
    <w:rsid w:val="006C3615"/>
    <w:rsid w:val="006C59F2"/>
    <w:rsid w:val="006D0C89"/>
    <w:rsid w:val="006D439C"/>
    <w:rsid w:val="00723ED1"/>
    <w:rsid w:val="007400AC"/>
    <w:rsid w:val="00757DF1"/>
    <w:rsid w:val="00777C4E"/>
    <w:rsid w:val="00781E46"/>
    <w:rsid w:val="007C36F7"/>
    <w:rsid w:val="007D1F38"/>
    <w:rsid w:val="007D5C95"/>
    <w:rsid w:val="007E0277"/>
    <w:rsid w:val="0080308E"/>
    <w:rsid w:val="00835E75"/>
    <w:rsid w:val="00840B19"/>
    <w:rsid w:val="0084133B"/>
    <w:rsid w:val="00845BB7"/>
    <w:rsid w:val="00853AC0"/>
    <w:rsid w:val="008B0088"/>
    <w:rsid w:val="008B7581"/>
    <w:rsid w:val="008F082E"/>
    <w:rsid w:val="009138F3"/>
    <w:rsid w:val="00926C43"/>
    <w:rsid w:val="00927C8E"/>
    <w:rsid w:val="00934ECE"/>
    <w:rsid w:val="00940C02"/>
    <w:rsid w:val="00943D9D"/>
    <w:rsid w:val="00967AAE"/>
    <w:rsid w:val="009714EE"/>
    <w:rsid w:val="00972045"/>
    <w:rsid w:val="00977E8D"/>
    <w:rsid w:val="0098794F"/>
    <w:rsid w:val="00990735"/>
    <w:rsid w:val="00994FE6"/>
    <w:rsid w:val="009A09C9"/>
    <w:rsid w:val="009B04FE"/>
    <w:rsid w:val="009C060F"/>
    <w:rsid w:val="009D2146"/>
    <w:rsid w:val="009F0A9B"/>
    <w:rsid w:val="00A02DBC"/>
    <w:rsid w:val="00A44C41"/>
    <w:rsid w:val="00A536C7"/>
    <w:rsid w:val="00A71523"/>
    <w:rsid w:val="00A81373"/>
    <w:rsid w:val="00AE3F6F"/>
    <w:rsid w:val="00AF1DA2"/>
    <w:rsid w:val="00B442AF"/>
    <w:rsid w:val="00B92A68"/>
    <w:rsid w:val="00BA7A40"/>
    <w:rsid w:val="00BB14E1"/>
    <w:rsid w:val="00BC7D9D"/>
    <w:rsid w:val="00C415C8"/>
    <w:rsid w:val="00C43BC1"/>
    <w:rsid w:val="00C456E5"/>
    <w:rsid w:val="00CA02BF"/>
    <w:rsid w:val="00CA7A44"/>
    <w:rsid w:val="00CE480F"/>
    <w:rsid w:val="00D11ECD"/>
    <w:rsid w:val="00D177B5"/>
    <w:rsid w:val="00D32303"/>
    <w:rsid w:val="00D32AD4"/>
    <w:rsid w:val="00D37944"/>
    <w:rsid w:val="00D60DB5"/>
    <w:rsid w:val="00D618AF"/>
    <w:rsid w:val="00D703B5"/>
    <w:rsid w:val="00DA180A"/>
    <w:rsid w:val="00DB4738"/>
    <w:rsid w:val="00DC406C"/>
    <w:rsid w:val="00DE26D8"/>
    <w:rsid w:val="00DE56CD"/>
    <w:rsid w:val="00DE66D7"/>
    <w:rsid w:val="00E044DA"/>
    <w:rsid w:val="00E05C62"/>
    <w:rsid w:val="00E32C3A"/>
    <w:rsid w:val="00E3691D"/>
    <w:rsid w:val="00E52B71"/>
    <w:rsid w:val="00E6199B"/>
    <w:rsid w:val="00E671BD"/>
    <w:rsid w:val="00EC4F43"/>
    <w:rsid w:val="00ED0D67"/>
    <w:rsid w:val="00EE0DAA"/>
    <w:rsid w:val="00EE4A89"/>
    <w:rsid w:val="00EF7AF2"/>
    <w:rsid w:val="00F01621"/>
    <w:rsid w:val="00F0420B"/>
    <w:rsid w:val="00F06745"/>
    <w:rsid w:val="00F313EE"/>
    <w:rsid w:val="00F31ED8"/>
    <w:rsid w:val="00F350EF"/>
    <w:rsid w:val="00F35801"/>
    <w:rsid w:val="00F7745B"/>
    <w:rsid w:val="00F84374"/>
    <w:rsid w:val="00FB0D33"/>
    <w:rsid w:val="00FB1A77"/>
    <w:rsid w:val="00FC53D9"/>
    <w:rsid w:val="00FE73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C1386"/>
    <w:pPr>
      <w:widowControl w:val="0"/>
    </w:pPr>
    <w:rPr>
      <w:sz w:val="20"/>
      <w:szCs w:val="20"/>
    </w:rPr>
  </w:style>
  <w:style w:type="paragraph" w:styleId="Heading1">
    <w:name w:val="heading 1"/>
    <w:basedOn w:val="Normal"/>
    <w:next w:val="Normal"/>
    <w:link w:val="Heading1Char"/>
    <w:uiPriority w:val="99"/>
    <w:qFormat/>
    <w:rsid w:val="004C1386"/>
    <w:pPr>
      <w:keepNext/>
      <w:outlineLvl w:val="0"/>
    </w:pPr>
    <w:rPr>
      <w:b/>
      <w:sz w:val="28"/>
      <w:u w:val="single"/>
    </w:rPr>
  </w:style>
  <w:style w:type="paragraph" w:styleId="Heading2">
    <w:name w:val="heading 2"/>
    <w:basedOn w:val="Normal"/>
    <w:next w:val="Normal"/>
    <w:link w:val="Heading2Char"/>
    <w:uiPriority w:val="99"/>
    <w:qFormat/>
    <w:rsid w:val="004C1386"/>
    <w:pPr>
      <w:keepNext/>
      <w:outlineLvl w:val="1"/>
    </w:pPr>
    <w:rPr>
      <w:b/>
    </w:rPr>
  </w:style>
  <w:style w:type="paragraph" w:styleId="Heading3">
    <w:name w:val="heading 3"/>
    <w:basedOn w:val="Normal"/>
    <w:next w:val="Normal"/>
    <w:link w:val="Heading3Char"/>
    <w:uiPriority w:val="99"/>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B7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6B7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06B72"/>
    <w:rPr>
      <w:rFonts w:asciiTheme="majorHAnsi" w:eastAsiaTheme="majorEastAsia" w:hAnsiTheme="majorHAnsi" w:cstheme="majorBidi"/>
      <w:b/>
      <w:bCs/>
      <w:sz w:val="26"/>
      <w:szCs w:val="26"/>
    </w:rPr>
  </w:style>
  <w:style w:type="paragraph" w:customStyle="1" w:styleId="a">
    <w:name w:val="_"/>
    <w:uiPriority w:val="99"/>
    <w:rsid w:val="004C1386"/>
    <w:pPr>
      <w:widowControl w:val="0"/>
      <w:ind w:left="720"/>
    </w:pPr>
    <w:rPr>
      <w:sz w:val="24"/>
      <w:szCs w:val="20"/>
    </w:rPr>
  </w:style>
  <w:style w:type="paragraph" w:styleId="Footer">
    <w:name w:val="footer"/>
    <w:basedOn w:val="Normal"/>
    <w:link w:val="FooterChar"/>
    <w:uiPriority w:val="99"/>
    <w:rsid w:val="004C1386"/>
    <w:pPr>
      <w:tabs>
        <w:tab w:val="center" w:pos="4320"/>
        <w:tab w:val="right" w:pos="8640"/>
      </w:tabs>
    </w:pPr>
  </w:style>
  <w:style w:type="character" w:customStyle="1" w:styleId="FooterChar">
    <w:name w:val="Footer Char"/>
    <w:basedOn w:val="DefaultParagraphFont"/>
    <w:link w:val="Footer"/>
    <w:uiPriority w:val="99"/>
    <w:semiHidden/>
    <w:rsid w:val="00506B72"/>
    <w:rPr>
      <w:sz w:val="20"/>
      <w:szCs w:val="20"/>
    </w:rPr>
  </w:style>
  <w:style w:type="character" w:styleId="PageNumber">
    <w:name w:val="page number"/>
    <w:basedOn w:val="DefaultParagraphFont"/>
    <w:uiPriority w:val="99"/>
    <w:rsid w:val="004C1386"/>
    <w:rPr>
      <w:rFonts w:cs="Times New Roman"/>
    </w:rPr>
  </w:style>
  <w:style w:type="paragraph" w:styleId="BodyText">
    <w:name w:val="Body Text"/>
    <w:basedOn w:val="Normal"/>
    <w:link w:val="BodyTextChar"/>
    <w:uiPriority w:val="99"/>
    <w:rsid w:val="00977E8D"/>
    <w:pPr>
      <w:widowControl/>
      <w:tabs>
        <w:tab w:val="left" w:pos="720"/>
        <w:tab w:val="left" w:pos="1080"/>
        <w:tab w:val="left" w:pos="1440"/>
        <w:tab w:val="left" w:pos="1800"/>
      </w:tabs>
      <w:autoSpaceDE w:val="0"/>
      <w:autoSpaceDN w:val="0"/>
      <w:adjustRightInd w:val="0"/>
      <w:spacing w:line="480" w:lineRule="auto"/>
    </w:pPr>
    <w:rPr>
      <w:color w:val="000000"/>
      <w:sz w:val="24"/>
      <w:szCs w:val="22"/>
    </w:rPr>
  </w:style>
  <w:style w:type="character" w:customStyle="1" w:styleId="BodyTextChar">
    <w:name w:val="Body Text Char"/>
    <w:basedOn w:val="DefaultParagraphFont"/>
    <w:link w:val="BodyText"/>
    <w:uiPriority w:val="99"/>
    <w:semiHidden/>
    <w:rsid w:val="00506B72"/>
    <w:rPr>
      <w:sz w:val="20"/>
      <w:szCs w:val="20"/>
    </w:rPr>
  </w:style>
  <w:style w:type="paragraph" w:styleId="Title">
    <w:name w:val="Title"/>
    <w:basedOn w:val="Normal"/>
    <w:link w:val="TitleChar"/>
    <w:uiPriority w:val="99"/>
    <w:qFormat/>
    <w:rsid w:val="00977E8D"/>
    <w:pPr>
      <w:widowControl/>
      <w:tabs>
        <w:tab w:val="left" w:pos="720"/>
        <w:tab w:val="left" w:pos="1080"/>
        <w:tab w:val="left" w:pos="1440"/>
        <w:tab w:val="left" w:pos="1800"/>
      </w:tabs>
      <w:autoSpaceDE w:val="0"/>
      <w:autoSpaceDN w:val="0"/>
      <w:adjustRightInd w:val="0"/>
      <w:spacing w:line="480" w:lineRule="auto"/>
      <w:jc w:val="center"/>
    </w:pPr>
    <w:rPr>
      <w:b/>
      <w:bCs/>
      <w:color w:val="000000"/>
      <w:sz w:val="24"/>
      <w:szCs w:val="22"/>
    </w:rPr>
  </w:style>
  <w:style w:type="character" w:customStyle="1" w:styleId="TitleChar">
    <w:name w:val="Title Char"/>
    <w:basedOn w:val="DefaultParagraphFont"/>
    <w:link w:val="Title"/>
    <w:uiPriority w:val="10"/>
    <w:rsid w:val="00506B72"/>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977E8D"/>
    <w:pPr>
      <w:widowControl/>
      <w:tabs>
        <w:tab w:val="left" w:pos="720"/>
        <w:tab w:val="left" w:pos="1080"/>
        <w:tab w:val="left" w:pos="1440"/>
        <w:tab w:val="left" w:pos="1800"/>
      </w:tabs>
      <w:autoSpaceDE w:val="0"/>
      <w:autoSpaceDN w:val="0"/>
      <w:adjustRightInd w:val="0"/>
      <w:spacing w:line="480" w:lineRule="auto"/>
    </w:pPr>
    <w:rPr>
      <w:b/>
      <w:bCs/>
      <w:color w:val="000000"/>
      <w:sz w:val="24"/>
      <w:szCs w:val="22"/>
    </w:rPr>
  </w:style>
  <w:style w:type="character" w:customStyle="1" w:styleId="SubtitleChar">
    <w:name w:val="Subtitle Char"/>
    <w:basedOn w:val="DefaultParagraphFont"/>
    <w:link w:val="Subtitle"/>
    <w:uiPriority w:val="11"/>
    <w:rsid w:val="00506B72"/>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rsid w:val="00E52B71"/>
    <w:rPr>
      <w:rFonts w:ascii="Tahoma" w:hAnsi="Tahoma" w:cs="Tahoma"/>
      <w:sz w:val="16"/>
      <w:szCs w:val="16"/>
    </w:rPr>
  </w:style>
  <w:style w:type="character" w:customStyle="1" w:styleId="BalloonTextChar">
    <w:name w:val="Balloon Text Char"/>
    <w:basedOn w:val="DefaultParagraphFont"/>
    <w:link w:val="BalloonText"/>
    <w:uiPriority w:val="99"/>
    <w:semiHidden/>
    <w:rsid w:val="00506B72"/>
    <w:rPr>
      <w:sz w:val="0"/>
      <w:szCs w:val="0"/>
    </w:rPr>
  </w:style>
  <w:style w:type="paragraph" w:styleId="PlainText">
    <w:name w:val="Plain Text"/>
    <w:basedOn w:val="Normal"/>
    <w:link w:val="PlainTextChar"/>
    <w:uiPriority w:val="99"/>
    <w:rsid w:val="00067870"/>
    <w:pPr>
      <w:widowControl/>
    </w:pPr>
    <w:rPr>
      <w:rFonts w:ascii="Courier New" w:hAnsi="Courier New"/>
    </w:rPr>
  </w:style>
  <w:style w:type="character" w:customStyle="1" w:styleId="PlainTextChar">
    <w:name w:val="Plain Text Char"/>
    <w:basedOn w:val="DefaultParagraphFont"/>
    <w:link w:val="PlainText"/>
    <w:uiPriority w:val="99"/>
    <w:semiHidden/>
    <w:rsid w:val="00506B72"/>
    <w:rPr>
      <w:rFonts w:ascii="Courier New" w:hAnsi="Courier New" w:cs="Courier New"/>
      <w:sz w:val="20"/>
      <w:szCs w:val="20"/>
    </w:rPr>
  </w:style>
  <w:style w:type="table" w:styleId="TableGrid">
    <w:name w:val="Table Grid"/>
    <w:basedOn w:val="TableNormal"/>
    <w:uiPriority w:val="99"/>
    <w:rsid w:val="00E619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7D1F38"/>
    <w:pPr>
      <w:spacing w:after="120" w:line="480" w:lineRule="auto"/>
    </w:pPr>
  </w:style>
  <w:style w:type="character" w:customStyle="1" w:styleId="BodyText2Char">
    <w:name w:val="Body Text 2 Char"/>
    <w:basedOn w:val="DefaultParagraphFont"/>
    <w:link w:val="BodyText2"/>
    <w:uiPriority w:val="99"/>
    <w:semiHidden/>
    <w:rsid w:val="00506B72"/>
    <w:rPr>
      <w:sz w:val="20"/>
      <w:szCs w:val="20"/>
    </w:rPr>
  </w:style>
  <w:style w:type="character" w:styleId="CommentReference">
    <w:name w:val="annotation reference"/>
    <w:basedOn w:val="DefaultParagraphFont"/>
    <w:uiPriority w:val="99"/>
    <w:semiHidden/>
    <w:rsid w:val="002E0CD8"/>
    <w:rPr>
      <w:rFonts w:cs="Times New Roman"/>
      <w:sz w:val="16"/>
      <w:szCs w:val="16"/>
    </w:rPr>
  </w:style>
  <w:style w:type="paragraph" w:styleId="CommentText">
    <w:name w:val="annotation text"/>
    <w:basedOn w:val="Normal"/>
    <w:link w:val="CommentTextChar"/>
    <w:uiPriority w:val="99"/>
    <w:semiHidden/>
    <w:rsid w:val="002E0CD8"/>
  </w:style>
  <w:style w:type="character" w:customStyle="1" w:styleId="CommentTextChar">
    <w:name w:val="Comment Text Char"/>
    <w:basedOn w:val="DefaultParagraphFont"/>
    <w:link w:val="CommentText"/>
    <w:uiPriority w:val="99"/>
    <w:semiHidden/>
    <w:rsid w:val="00506B72"/>
    <w:rPr>
      <w:sz w:val="20"/>
      <w:szCs w:val="20"/>
    </w:rPr>
  </w:style>
  <w:style w:type="paragraph" w:styleId="CommentSubject">
    <w:name w:val="annotation subject"/>
    <w:basedOn w:val="CommentText"/>
    <w:next w:val="CommentText"/>
    <w:link w:val="CommentSubjectChar"/>
    <w:uiPriority w:val="99"/>
    <w:semiHidden/>
    <w:rsid w:val="002E0CD8"/>
    <w:rPr>
      <w:b/>
      <w:bCs/>
    </w:rPr>
  </w:style>
  <w:style w:type="character" w:customStyle="1" w:styleId="CommentSubjectChar">
    <w:name w:val="Comment Subject Char"/>
    <w:basedOn w:val="CommentTextChar"/>
    <w:link w:val="CommentSubject"/>
    <w:uiPriority w:val="99"/>
    <w:semiHidden/>
    <w:rsid w:val="00506B72"/>
    <w:rPr>
      <w:b/>
      <w:bCs/>
    </w:rPr>
  </w:style>
  <w:style w:type="paragraph" w:styleId="NormalWeb">
    <w:name w:val="Normal (Web)"/>
    <w:basedOn w:val="Normal"/>
    <w:uiPriority w:val="99"/>
    <w:rsid w:val="00E671BD"/>
    <w:pPr>
      <w:widowControl/>
      <w:spacing w:before="100" w:beforeAutospacing="1" w:after="100" w:afterAutospacing="1"/>
    </w:pPr>
    <w:rPr>
      <w:sz w:val="24"/>
      <w:szCs w:val="24"/>
    </w:rPr>
  </w:style>
  <w:style w:type="paragraph" w:styleId="FootnoteText">
    <w:name w:val="footnote text"/>
    <w:basedOn w:val="Normal"/>
    <w:link w:val="FootnoteTextChar"/>
    <w:uiPriority w:val="99"/>
    <w:semiHidden/>
    <w:rsid w:val="00E671BD"/>
    <w:pPr>
      <w:widowControl/>
    </w:pPr>
  </w:style>
  <w:style w:type="character" w:customStyle="1" w:styleId="FootnoteTextChar">
    <w:name w:val="Footnote Text Char"/>
    <w:basedOn w:val="DefaultParagraphFont"/>
    <w:link w:val="FootnoteText"/>
    <w:uiPriority w:val="99"/>
    <w:semiHidden/>
    <w:locked/>
    <w:rsid w:val="00E671BD"/>
    <w:rPr>
      <w:rFonts w:cs="Times New Roman"/>
    </w:rPr>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z w:val="22"/>
      <w:szCs w:val="22"/>
    </w:rPr>
  </w:style>
  <w:style w:type="paragraph" w:styleId="TOC1">
    <w:name w:val="toc 1"/>
    <w:basedOn w:val="Normal"/>
    <w:autoRedefine/>
    <w:uiPriority w:val="99"/>
    <w:rsid w:val="00F0420B"/>
    <w:pPr>
      <w:widowControl/>
      <w:tabs>
        <w:tab w:val="left" w:pos="0"/>
        <w:tab w:val="left" w:pos="720"/>
        <w:tab w:val="right" w:leader="dot" w:pos="9494"/>
      </w:tabs>
      <w:spacing w:before="120" w:after="120" w:line="480" w:lineRule="auto"/>
      <w:jc w:val="both"/>
    </w:pPr>
    <w:rPr>
      <w:b/>
      <w:caps/>
      <w:noProof/>
      <w:sz w:val="24"/>
      <w:szCs w:val="24"/>
    </w:rPr>
  </w:style>
  <w:style w:type="paragraph" w:styleId="TOC2">
    <w:name w:val="toc 2"/>
    <w:basedOn w:val="Normal"/>
    <w:autoRedefine/>
    <w:uiPriority w:val="99"/>
    <w:semiHidden/>
    <w:rsid w:val="00F0420B"/>
    <w:pPr>
      <w:widowControl/>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99"/>
    <w:qFormat/>
    <w:rsid w:val="00D37944"/>
    <w:pPr>
      <w:keepLines/>
      <w:widowControl/>
      <w:spacing w:before="480" w:line="276" w:lineRule="auto"/>
      <w:outlineLvl w:val="9"/>
    </w:pPr>
    <w:rPr>
      <w:rFonts w:ascii="Cambria" w:hAnsi="Cambria"/>
      <w:bCs/>
      <w:color w:val="365F91"/>
      <w:szCs w:val="28"/>
      <w:u w:val="none"/>
    </w:rPr>
  </w:style>
  <w:style w:type="character" w:styleId="Hyperlink">
    <w:name w:val="Hyperlink"/>
    <w:basedOn w:val="DefaultParagraphFont"/>
    <w:uiPriority w:val="99"/>
    <w:rsid w:val="00D3794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24952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55</Pages>
  <Words>2703</Words>
  <Characters>15408</Characters>
  <Application>Microsoft Office Outlook</Application>
  <DocSecurity>0</DocSecurity>
  <Lines>0</Lines>
  <Paragraphs>0</Paragraphs>
  <ScaleCrop>false</ScaleCrop>
  <Company>OIT/NIH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 Request For OMB Review</dc:title>
  <dc:subject>How To Prepare a Request For OMB Review</dc:subject>
  <dc:creator>BrierlyE</dc:creator>
  <cp:keywords>How To Prepare a Request For OMB Review</cp:keywords>
  <dc:description/>
  <cp:lastModifiedBy>curriem</cp:lastModifiedBy>
  <cp:revision>2</cp:revision>
  <cp:lastPrinted>2007-11-15T16:02:00Z</cp:lastPrinted>
  <dcterms:created xsi:type="dcterms:W3CDTF">2010-09-03T17:29:00Z</dcterms:created>
  <dcterms:modified xsi:type="dcterms:W3CDTF">2010-09-03T17:29:00Z</dcterms:modified>
</cp:coreProperties>
</file>