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FA4" w:rsidRDefault="00A06FA4" w:rsidP="00A06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A06FA4" w:rsidRDefault="00A06FA4" w:rsidP="00A06FA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06FA4" w:rsidRDefault="00A06FA4" w:rsidP="00A06FA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A06FA4" w:rsidRDefault="00A06FA4" w:rsidP="00A06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A06FA4" w:rsidRDefault="00A06FA4" w:rsidP="00A06FA4">
      <w:pPr>
        <w:keepLines/>
        <w:numPr>
          <w:ilvl w:val="0"/>
          <w:numId w:val="1"/>
        </w:numPr>
        <w:tabs>
          <w:tab w:val="left" w:pos="360"/>
        </w:tabs>
        <w:spacing w:after="80"/>
        <w:rPr>
          <w:color w:val="000000"/>
          <w:sz w:val="22"/>
        </w:rPr>
      </w:pPr>
      <w:r>
        <w:rPr>
          <w:color w:val="000000"/>
          <w:sz w:val="18"/>
        </w:rPr>
        <w:t>Why is this information necessary?  Identify any legal or administrative requirements that necessitate the collection.  Attach a copy of the appropriate section of each statute and regulation mandating/authorizing the collection of information.</w:t>
      </w:r>
      <w:r>
        <w:rPr>
          <w:color w:val="000000"/>
          <w:sz w:val="22"/>
        </w:rPr>
        <w:t xml:space="preserve">  </w:t>
      </w:r>
    </w:p>
    <w:p w:rsidR="00A06FA4" w:rsidRDefault="00A06FA4" w:rsidP="00A06FA4">
      <w:pPr>
        <w:keepLines/>
        <w:tabs>
          <w:tab w:val="left" w:pos="360"/>
        </w:tabs>
        <w:spacing w:after="80"/>
        <w:ind w:left="360" w:hanging="360"/>
        <w:rPr>
          <w:color w:val="000000"/>
          <w:sz w:val="22"/>
        </w:rPr>
      </w:pPr>
    </w:p>
    <w:p w:rsidR="00A06FA4" w:rsidRDefault="00A06FA4" w:rsidP="00A06FA4">
      <w:pPr>
        <w:keepLines/>
        <w:tabs>
          <w:tab w:val="left" w:pos="360"/>
        </w:tabs>
        <w:spacing w:after="80"/>
        <w:ind w:left="360" w:hanging="360"/>
        <w:rPr>
          <w:color w:val="000000"/>
          <w:sz w:val="22"/>
        </w:rPr>
      </w:pPr>
      <w:r>
        <w:rPr>
          <w:color w:val="000000"/>
          <w:sz w:val="22"/>
        </w:rPr>
        <w:tab/>
        <w:t xml:space="preserve">The Line of Credit Control System (LOCCS) is HUD’s computerized cash management and disbursement system developed to assist the Chief Financial Officer (CFO) in planning, accounting, and evaluating HUD disbursements within specific grant funded programs, including Public and Indian housing programs.  LOCCS is HUD’s primary vehicle for achieving cash management savings through the use of electronic wire-transfer of payments to grant recipients of HUD program funds.  This ensures that payments are made in a timely manner, but not in excess of the grant recipient’s cash needs.  By responding quickly to a grantee’s payment needs, grantees will not request funds in excess, or advance, of their required program outlays.  </w:t>
      </w:r>
    </w:p>
    <w:p w:rsidR="00A06FA4" w:rsidRDefault="00A06FA4" w:rsidP="00A06FA4">
      <w:pPr>
        <w:keepLines/>
        <w:tabs>
          <w:tab w:val="left" w:pos="360"/>
        </w:tabs>
        <w:spacing w:after="80"/>
        <w:ind w:left="360" w:hanging="360"/>
        <w:rPr>
          <w:color w:val="000000"/>
          <w:sz w:val="22"/>
        </w:rPr>
      </w:pPr>
    </w:p>
    <w:p w:rsidR="00A06FA4" w:rsidRDefault="00A06FA4" w:rsidP="00A06FA4">
      <w:pPr>
        <w:pStyle w:val="BodyTextIndent3"/>
      </w:pPr>
      <w:r>
        <w:tab/>
        <w:t xml:space="preserve">The Voice Response System (VRS) allows the grant recipient to requisition grant funds via a touch-tone telephone.  The VRS uses a text-to-speech synthesizer to prompt the grantee for data such as User ID, Password, Voucher Number, Grant Number, Budget Line Item Code(s), and Amount Requested.  Requisitions made through VRS are automatically entered into LOCCS, thereby eliminating the requirement for voucher submission and data entry by Program/Field Office personnel in order to release funds to the grant recipient.  At the end of the phone request, the recipient knows whether LOCCS will automatically pay the request, deny the request, or require HUD Program/Field Office staff to approve/reject the payment request.  </w:t>
      </w:r>
    </w:p>
    <w:p w:rsidR="00A06FA4" w:rsidRDefault="00A06FA4" w:rsidP="00A06FA4">
      <w:pPr>
        <w:pStyle w:val="BodyTextIndent3"/>
      </w:pPr>
    </w:p>
    <w:p w:rsidR="00A06FA4" w:rsidRDefault="00A06FA4" w:rsidP="00A06FA4">
      <w:pPr>
        <w:keepLines/>
        <w:tabs>
          <w:tab w:val="left" w:pos="360"/>
          <w:tab w:val="left" w:pos="720"/>
        </w:tabs>
        <w:spacing w:after="80"/>
        <w:ind w:left="360" w:hanging="360"/>
        <w:rPr>
          <w:color w:val="000000"/>
          <w:sz w:val="22"/>
        </w:rPr>
      </w:pPr>
      <w:r>
        <w:rPr>
          <w:color w:val="000000"/>
          <w:sz w:val="22"/>
        </w:rPr>
        <w:tab/>
        <w:t>The applicable Form HUD-50080 will be prepared by the grantee before calling LOCCS/VRS with the drawdown request, and will be used as a prompt for entering the information through the touch-tone pad and for confirming information that is spoken back by the VRS simulated voice.</w:t>
      </w:r>
    </w:p>
    <w:p w:rsidR="00A06FA4" w:rsidRDefault="00A06FA4" w:rsidP="00A06FA4">
      <w:pPr>
        <w:tabs>
          <w:tab w:val="left" w:pos="360"/>
        </w:tabs>
        <w:rPr>
          <w:color w:val="000000"/>
          <w:sz w:val="18"/>
        </w:rPr>
      </w:pPr>
    </w:p>
    <w:p w:rsidR="00A06FA4" w:rsidRDefault="00A06FA4" w:rsidP="00A06FA4">
      <w:pPr>
        <w:keepLines/>
        <w:tabs>
          <w:tab w:val="left" w:pos="360"/>
        </w:tabs>
        <w:spacing w:after="80"/>
        <w:ind w:left="360" w:hanging="360"/>
        <w:rPr>
          <w:color w:val="000000"/>
          <w:sz w:val="22"/>
        </w:rPr>
      </w:pPr>
      <w:r>
        <w:rPr>
          <w:color w:val="000000"/>
          <w:sz w:val="18"/>
        </w:rPr>
        <w:t>2.</w:t>
      </w:r>
      <w:r>
        <w:rPr>
          <w:color w:val="000000"/>
          <w:sz w:val="18"/>
        </w:rPr>
        <w:tab/>
        <w:t>How is this information to be used?</w:t>
      </w:r>
      <w:r>
        <w:rPr>
          <w:color w:val="000000"/>
          <w:sz w:val="22"/>
        </w:rPr>
        <w:t xml:space="preserve"> </w:t>
      </w:r>
    </w:p>
    <w:p w:rsidR="00A06FA4" w:rsidRDefault="00A06FA4" w:rsidP="00A06FA4">
      <w:pPr>
        <w:keepLines/>
        <w:tabs>
          <w:tab w:val="left" w:pos="360"/>
        </w:tabs>
        <w:spacing w:after="80"/>
        <w:ind w:left="360" w:hanging="360"/>
        <w:rPr>
          <w:color w:val="000000"/>
          <w:sz w:val="18"/>
        </w:rPr>
      </w:pPr>
      <w:r>
        <w:rPr>
          <w:color w:val="000000"/>
          <w:sz w:val="22"/>
        </w:rPr>
        <w:tab/>
        <w:t>The grant recipients fill in the voucher form with the information needed to request a drawdown of grant funds.  Each PIH program area makes available a voucher request form pre-printed with the standard program-specific information needed to make a drawdown of funds for that program.  Although the primary function of the voucher request form is to facilitate the VRS grant drawdown process, the forms also serve as an internal control feature – providing the grantee with a hardcopy record of the HUD advances made to a particular program, and serving as a historical record of the specific budget line item for which the grantee has requested funds.</w:t>
      </w:r>
    </w:p>
    <w:p w:rsidR="00A06FA4" w:rsidRDefault="00A06FA4" w:rsidP="00A06FA4">
      <w:pPr>
        <w:tabs>
          <w:tab w:val="left" w:pos="360"/>
        </w:tabs>
        <w:rPr>
          <w:color w:val="000000"/>
          <w:sz w:val="18"/>
        </w:rPr>
      </w:pPr>
    </w:p>
    <w:p w:rsidR="00A06FA4" w:rsidRDefault="00A06FA4" w:rsidP="00A06FA4">
      <w:pPr>
        <w:numPr>
          <w:ilvl w:val="0"/>
          <w:numId w:val="2"/>
        </w:numPr>
        <w:spacing w:after="80"/>
        <w:rPr>
          <w:color w:val="000000"/>
          <w:sz w:val="22"/>
        </w:rPr>
      </w:pPr>
      <w:r>
        <w:rPr>
          <w:color w:val="000000"/>
          <w:sz w:val="18"/>
        </w:rPr>
        <w:t>Describe whether, and to what extent, the collection of information is automated (item 13b1 of OMB form 83-i).  Also describe any consideration of using information technology to reduce burden.</w:t>
      </w:r>
      <w:r>
        <w:rPr>
          <w:color w:val="000000"/>
          <w:sz w:val="22"/>
        </w:rPr>
        <w:t xml:space="preserve">  </w:t>
      </w:r>
    </w:p>
    <w:p w:rsidR="00A06FA4" w:rsidRDefault="00A06FA4" w:rsidP="00A06FA4">
      <w:pPr>
        <w:ind w:left="360"/>
        <w:rPr>
          <w:color w:val="000000"/>
          <w:sz w:val="22"/>
        </w:rPr>
      </w:pPr>
      <w:r>
        <w:rPr>
          <w:sz w:val="24"/>
        </w:rPr>
        <w:t>The LOCCS/VRS is an automated system, which includes the latest technology and provides the grantee with a fast, reliable method to request/obtain grant funds.</w:t>
      </w:r>
      <w:r>
        <w:rPr>
          <w:color w:val="000000"/>
          <w:sz w:val="22"/>
        </w:rPr>
        <w:t xml:space="preserve"> </w:t>
      </w:r>
    </w:p>
    <w:p w:rsidR="00A06FA4" w:rsidRDefault="00A06FA4" w:rsidP="00A06FA4">
      <w:pPr>
        <w:tabs>
          <w:tab w:val="left" w:pos="360"/>
        </w:tabs>
        <w:ind w:left="360" w:hanging="360"/>
        <w:rPr>
          <w:color w:val="000000"/>
          <w:sz w:val="18"/>
        </w:rPr>
      </w:pPr>
    </w:p>
    <w:p w:rsidR="00A06FA4" w:rsidRDefault="00A06FA4" w:rsidP="00A06FA4">
      <w:pPr>
        <w:numPr>
          <w:ilvl w:val="0"/>
          <w:numId w:val="3"/>
        </w:numPr>
        <w:spacing w:after="80"/>
        <w:rPr>
          <w:color w:val="000000"/>
          <w:sz w:val="22"/>
        </w:rPr>
      </w:pPr>
      <w:r>
        <w:rPr>
          <w:color w:val="000000"/>
          <w:sz w:val="18"/>
        </w:rPr>
        <w:t xml:space="preserve">Is this information collected elsewhere?  If so, why </w:t>
      </w:r>
      <w:proofErr w:type="gramStart"/>
      <w:r>
        <w:rPr>
          <w:color w:val="000000"/>
          <w:sz w:val="18"/>
        </w:rPr>
        <w:t>cannot any similar information already available</w:t>
      </w:r>
      <w:proofErr w:type="gramEnd"/>
      <w:r>
        <w:rPr>
          <w:color w:val="000000"/>
          <w:sz w:val="18"/>
        </w:rPr>
        <w:t xml:space="preserve"> be used or modified.</w:t>
      </w:r>
      <w:r>
        <w:rPr>
          <w:color w:val="000000"/>
          <w:sz w:val="22"/>
        </w:rPr>
        <w:t xml:space="preserve">  </w:t>
      </w:r>
    </w:p>
    <w:p w:rsidR="00A06FA4" w:rsidRDefault="00A06FA4" w:rsidP="00A06FA4">
      <w:pPr>
        <w:ind w:left="360"/>
        <w:rPr>
          <w:color w:val="000000"/>
          <w:sz w:val="22"/>
        </w:rPr>
      </w:pPr>
      <w:r>
        <w:rPr>
          <w:sz w:val="24"/>
        </w:rPr>
        <w:t>There will be no duplication of information.  There is no similar information already available, which could be used or modified for this purpose.</w:t>
      </w:r>
    </w:p>
    <w:p w:rsidR="00A06FA4" w:rsidRDefault="00A06FA4" w:rsidP="00A06FA4">
      <w:pPr>
        <w:tabs>
          <w:tab w:val="left" w:pos="360"/>
        </w:tabs>
        <w:ind w:left="360" w:hanging="360"/>
        <w:rPr>
          <w:color w:val="000000"/>
          <w:sz w:val="18"/>
        </w:rPr>
      </w:pPr>
    </w:p>
    <w:p w:rsidR="00A06FA4" w:rsidRDefault="00A06FA4" w:rsidP="00A06FA4">
      <w:pPr>
        <w:keepLines/>
        <w:tabs>
          <w:tab w:val="left" w:pos="360"/>
        </w:tabs>
        <w:spacing w:after="80"/>
        <w:ind w:left="360" w:hanging="360"/>
        <w:rPr>
          <w:color w:val="000000"/>
          <w:sz w:val="22"/>
        </w:rPr>
      </w:pPr>
      <w:r>
        <w:rPr>
          <w:color w:val="000000"/>
          <w:sz w:val="18"/>
        </w:rPr>
        <w:t>5.</w:t>
      </w:r>
      <w:r>
        <w:rPr>
          <w:color w:val="000000"/>
          <w:sz w:val="18"/>
        </w:rPr>
        <w:tab/>
        <w:t>Does the collection of information impact small businesses or other small entities (item 5 of OMB form 83-i)?  Describe any methods used to minimize burden.</w:t>
      </w:r>
      <w:r>
        <w:rPr>
          <w:color w:val="000000"/>
          <w:sz w:val="22"/>
        </w:rPr>
        <w:t xml:space="preserve">   </w:t>
      </w:r>
    </w:p>
    <w:p w:rsidR="00A06FA4" w:rsidRDefault="00A06FA4" w:rsidP="00A06FA4">
      <w:pPr>
        <w:keepLines/>
        <w:tabs>
          <w:tab w:val="left" w:pos="360"/>
        </w:tabs>
        <w:spacing w:after="80"/>
        <w:ind w:left="360" w:hanging="360"/>
        <w:rPr>
          <w:color w:val="000000"/>
          <w:sz w:val="22"/>
        </w:rPr>
      </w:pPr>
      <w:r>
        <w:rPr>
          <w:color w:val="000000"/>
          <w:sz w:val="22"/>
        </w:rPr>
        <w:tab/>
      </w:r>
      <w:r>
        <w:rPr>
          <w:sz w:val="24"/>
        </w:rPr>
        <w:t>We have minimized the burden on small public and Indian housing agencies by automating the voucher request form.</w:t>
      </w:r>
    </w:p>
    <w:p w:rsidR="00A06FA4" w:rsidRDefault="00A06FA4" w:rsidP="00A06FA4">
      <w:pPr>
        <w:tabs>
          <w:tab w:val="left" w:pos="360"/>
        </w:tabs>
        <w:ind w:left="360" w:hanging="360"/>
        <w:rPr>
          <w:color w:val="000000"/>
          <w:sz w:val="18"/>
        </w:rPr>
      </w:pPr>
    </w:p>
    <w:p w:rsidR="00A06FA4" w:rsidRDefault="00A06FA4" w:rsidP="00A06FA4">
      <w:pPr>
        <w:numPr>
          <w:ilvl w:val="0"/>
          <w:numId w:val="4"/>
        </w:numPr>
        <w:rPr>
          <w:color w:val="000000"/>
          <w:sz w:val="22"/>
        </w:rPr>
      </w:pPr>
      <w:r>
        <w:rPr>
          <w:color w:val="000000"/>
          <w:sz w:val="18"/>
        </w:rPr>
        <w:t>Describe the consequence to Federal program or policy activities if the collection is not conducted or is conducted less frequently, as well as any technical or legal obstacles to reducing burden.</w:t>
      </w:r>
      <w:r>
        <w:rPr>
          <w:color w:val="000000"/>
          <w:sz w:val="22"/>
        </w:rPr>
        <w:t xml:space="preserve">  </w:t>
      </w:r>
    </w:p>
    <w:p w:rsidR="00A06FA4" w:rsidRDefault="00A06FA4" w:rsidP="00A06FA4">
      <w:pPr>
        <w:spacing w:before="80"/>
        <w:ind w:left="360"/>
        <w:rPr>
          <w:color w:val="000000"/>
          <w:sz w:val="22"/>
        </w:rPr>
      </w:pPr>
      <w:r>
        <w:rPr>
          <w:sz w:val="24"/>
        </w:rPr>
        <w:lastRenderedPageBreak/>
        <w:t>The information is provided by the grantees prior to drawdown of grant funds.  If this information were not provided, grantees could not access the VRS and obtain grant funds to implement various programs for which Congress has appropriated Federal dollars.</w:t>
      </w:r>
    </w:p>
    <w:p w:rsidR="00A06FA4" w:rsidRDefault="00A06FA4" w:rsidP="00A06FA4">
      <w:pPr>
        <w:tabs>
          <w:tab w:val="left" w:pos="360"/>
        </w:tabs>
        <w:ind w:left="360" w:hanging="360"/>
        <w:rPr>
          <w:color w:val="000000"/>
          <w:sz w:val="18"/>
        </w:rPr>
      </w:pPr>
    </w:p>
    <w:p w:rsidR="00A06FA4" w:rsidRDefault="00A06FA4" w:rsidP="00A06FA4">
      <w:pPr>
        <w:tabs>
          <w:tab w:val="left" w:pos="360"/>
        </w:tabs>
        <w:rPr>
          <w:color w:val="000000"/>
          <w:sz w:val="18"/>
        </w:rPr>
      </w:pPr>
      <w:r>
        <w:rPr>
          <w:color w:val="000000"/>
          <w:sz w:val="18"/>
        </w:rPr>
        <w:t>7.</w:t>
      </w:r>
      <w:r>
        <w:rPr>
          <w:b/>
          <w:bCs/>
          <w:color w:val="000000"/>
          <w:sz w:val="22"/>
        </w:rPr>
        <w:tab/>
      </w:r>
      <w:r>
        <w:rPr>
          <w:color w:val="000000"/>
          <w:sz w:val="18"/>
        </w:rPr>
        <w:t xml:space="preserve">Explain any special circumstances requiring: </w:t>
      </w:r>
    </w:p>
    <w:p w:rsidR="00A06FA4" w:rsidRDefault="00A06FA4" w:rsidP="00A06FA4">
      <w:pPr>
        <w:numPr>
          <w:ilvl w:val="0"/>
          <w:numId w:val="5"/>
        </w:numPr>
        <w:tabs>
          <w:tab w:val="left" w:pos="600"/>
        </w:tabs>
        <w:rPr>
          <w:color w:val="000000"/>
          <w:sz w:val="18"/>
        </w:rPr>
      </w:pPr>
      <w:r>
        <w:rPr>
          <w:color w:val="000000"/>
          <w:sz w:val="18"/>
        </w:rPr>
        <w:t xml:space="preserve">respondents to report information more than quarterly; </w:t>
      </w:r>
    </w:p>
    <w:p w:rsidR="00A06FA4" w:rsidRDefault="00A06FA4" w:rsidP="00A06FA4">
      <w:pPr>
        <w:numPr>
          <w:ilvl w:val="0"/>
          <w:numId w:val="5"/>
        </w:numPr>
        <w:tabs>
          <w:tab w:val="left" w:pos="600"/>
        </w:tabs>
        <w:rPr>
          <w:color w:val="000000"/>
          <w:sz w:val="18"/>
        </w:rPr>
      </w:pPr>
      <w:r>
        <w:rPr>
          <w:color w:val="000000"/>
          <w:sz w:val="18"/>
        </w:rPr>
        <w:t xml:space="preserve">a written response in fewer than 30; </w:t>
      </w:r>
    </w:p>
    <w:p w:rsidR="00A06FA4" w:rsidRDefault="00A06FA4" w:rsidP="00A06FA4">
      <w:pPr>
        <w:numPr>
          <w:ilvl w:val="0"/>
          <w:numId w:val="5"/>
        </w:numPr>
        <w:tabs>
          <w:tab w:val="left" w:pos="600"/>
        </w:tabs>
        <w:rPr>
          <w:color w:val="000000"/>
          <w:sz w:val="18"/>
        </w:rPr>
      </w:pPr>
      <w:r>
        <w:rPr>
          <w:color w:val="000000"/>
          <w:sz w:val="18"/>
        </w:rPr>
        <w:t xml:space="preserve">more than an original and two copies of any document; </w:t>
      </w:r>
    </w:p>
    <w:p w:rsidR="00A06FA4" w:rsidRDefault="00A06FA4" w:rsidP="00A06FA4">
      <w:pPr>
        <w:numPr>
          <w:ilvl w:val="0"/>
          <w:numId w:val="5"/>
        </w:numPr>
        <w:tabs>
          <w:tab w:val="left" w:pos="600"/>
        </w:tabs>
        <w:rPr>
          <w:color w:val="000000"/>
          <w:sz w:val="18"/>
        </w:rPr>
      </w:pPr>
      <w:r>
        <w:rPr>
          <w:color w:val="000000"/>
          <w:sz w:val="18"/>
        </w:rPr>
        <w:t xml:space="preserve">respondents to retain records other than health, medical, government contract, grant-in-aid, or tax records for more than three years; </w:t>
      </w:r>
    </w:p>
    <w:p w:rsidR="00A06FA4" w:rsidRDefault="00A06FA4" w:rsidP="00A06FA4">
      <w:pPr>
        <w:numPr>
          <w:ilvl w:val="0"/>
          <w:numId w:val="5"/>
        </w:numPr>
        <w:tabs>
          <w:tab w:val="left" w:pos="600"/>
        </w:tabs>
        <w:rPr>
          <w:color w:val="000000"/>
          <w:sz w:val="18"/>
        </w:rPr>
      </w:pPr>
      <w:r>
        <w:rPr>
          <w:color w:val="000000"/>
          <w:sz w:val="18"/>
        </w:rPr>
        <w:t xml:space="preserve">a statistical survey not designed to produce results than can be generalized to the universe of study; </w:t>
      </w:r>
    </w:p>
    <w:p w:rsidR="00A06FA4" w:rsidRDefault="00A06FA4" w:rsidP="00A06FA4">
      <w:pPr>
        <w:numPr>
          <w:ilvl w:val="0"/>
          <w:numId w:val="5"/>
        </w:numPr>
        <w:tabs>
          <w:tab w:val="left" w:pos="600"/>
        </w:tabs>
        <w:rPr>
          <w:color w:val="000000"/>
          <w:sz w:val="18"/>
        </w:rPr>
      </w:pPr>
      <w:r>
        <w:rPr>
          <w:color w:val="000000"/>
          <w:sz w:val="18"/>
        </w:rPr>
        <w:t xml:space="preserve">the use of a statistical data classification that has not been reviewed and approved by OMB; </w:t>
      </w:r>
    </w:p>
    <w:p w:rsidR="00A06FA4" w:rsidRDefault="00A06FA4" w:rsidP="00A06FA4">
      <w:pPr>
        <w:numPr>
          <w:ilvl w:val="0"/>
          <w:numId w:val="5"/>
        </w:numPr>
        <w:tabs>
          <w:tab w:val="left" w:pos="600"/>
        </w:tabs>
        <w:rPr>
          <w:color w:val="000000"/>
          <w:sz w:val="18"/>
        </w:rPr>
      </w:pPr>
      <w:r>
        <w:rPr>
          <w:color w:val="000000"/>
          <w:sz w:val="18"/>
        </w:rPr>
        <w:t xml:space="preserve">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06FA4" w:rsidRDefault="00A06FA4" w:rsidP="00A06FA4">
      <w:pPr>
        <w:numPr>
          <w:ilvl w:val="0"/>
          <w:numId w:val="5"/>
        </w:numPr>
        <w:tabs>
          <w:tab w:val="left" w:pos="600"/>
        </w:tabs>
        <w:rPr>
          <w:sz w:val="18"/>
        </w:rPr>
      </w:pPr>
      <w:proofErr w:type="gramStart"/>
      <w:r>
        <w:rPr>
          <w:color w:val="000000"/>
          <w:sz w:val="18"/>
        </w:rPr>
        <w:t>respondents</w:t>
      </w:r>
      <w:proofErr w:type="gramEnd"/>
      <w:r>
        <w:rPr>
          <w:color w:val="000000"/>
          <w:sz w:val="18"/>
        </w:rPr>
        <w:t xml:space="preserve"> to submit proprietary trade secret, or other confidential information.  </w:t>
      </w:r>
      <w:r>
        <w:rPr>
          <w:sz w:val="18"/>
        </w:rPr>
        <w:t xml:space="preserve">Special circumstances that  require the collection of information in a manner inconsistent with the guidelines in 5 CFR 1320.6 are:  </w:t>
      </w:r>
    </w:p>
    <w:p w:rsidR="00A06FA4" w:rsidRDefault="00A06FA4" w:rsidP="00A06FA4">
      <w:pPr>
        <w:tabs>
          <w:tab w:val="left" w:pos="600"/>
        </w:tabs>
        <w:spacing w:before="80"/>
        <w:ind w:left="360"/>
        <w:rPr>
          <w:sz w:val="22"/>
        </w:rPr>
      </w:pPr>
      <w:r>
        <w:rPr>
          <w:sz w:val="22"/>
        </w:rPr>
        <w:t>The frequency of the requests is at the option of the grantee.  The VRS will accept a request for funds from a grantee on a daily basis.  A recipient using good cash management practices will request funds close to the payment date for their bills.  Therefore, the frequency of request will depend upon the type of program being administered.</w:t>
      </w:r>
    </w:p>
    <w:p w:rsidR="00A06FA4" w:rsidRDefault="00A06FA4" w:rsidP="00A06FA4">
      <w:pPr>
        <w:tabs>
          <w:tab w:val="left" w:pos="360"/>
        </w:tabs>
        <w:ind w:left="360" w:hanging="360"/>
        <w:rPr>
          <w:color w:val="000000"/>
          <w:sz w:val="22"/>
        </w:rPr>
      </w:pPr>
    </w:p>
    <w:p w:rsidR="00A06FA4" w:rsidRDefault="00A06FA4" w:rsidP="00A06FA4">
      <w:pPr>
        <w:numPr>
          <w:ilvl w:val="0"/>
          <w:numId w:val="6"/>
        </w:numPr>
        <w:rPr>
          <w:color w:val="000000"/>
          <w:sz w:val="22"/>
        </w:rPr>
      </w:pPr>
      <w:r>
        <w:rPr>
          <w:color w:val="000000"/>
          <w:sz w:val="18"/>
        </w:rPr>
        <w:t xml:space="preserve">Identify the date and page number of the </w:t>
      </w:r>
      <w:r>
        <w:rPr>
          <w:i/>
          <w:iCs/>
          <w:color w:val="000000"/>
          <w:sz w:val="18"/>
        </w:rPr>
        <w:t>Federal Register</w:t>
      </w:r>
      <w:r>
        <w:rPr>
          <w:color w:val="000000"/>
          <w:sz w:val="18"/>
        </w:rPr>
        <w:t xml:space="preserve"> notice (and provide a copy) soliciting comments on the information.  Summarize public comments and describe actions taken by the agency in response to these comments.  Describe all efforts to consult with persons outside the agency to obtain their views.</w:t>
      </w:r>
      <w:r>
        <w:rPr>
          <w:color w:val="000000"/>
          <w:sz w:val="22"/>
        </w:rPr>
        <w:t xml:space="preserve"> </w:t>
      </w:r>
    </w:p>
    <w:p w:rsidR="00A06FA4" w:rsidRDefault="00A06FA4" w:rsidP="00A06FA4">
      <w:pPr>
        <w:spacing w:before="80"/>
        <w:ind w:left="360"/>
        <w:rPr>
          <w:sz w:val="22"/>
        </w:rPr>
      </w:pPr>
      <w:r>
        <w:rPr>
          <w:sz w:val="22"/>
        </w:rPr>
        <w:t xml:space="preserve">HUD published a Federal Register Notice, Volume 75, </w:t>
      </w:r>
      <w:proofErr w:type="gramStart"/>
      <w:r>
        <w:rPr>
          <w:sz w:val="22"/>
        </w:rPr>
        <w:t>Page</w:t>
      </w:r>
      <w:proofErr w:type="gramEnd"/>
      <w:r>
        <w:rPr>
          <w:sz w:val="22"/>
        </w:rPr>
        <w:t xml:space="preserve"> 41509, on July 16, 2010, which allowed the public a 60-day comment period on this information collection.  The comment period ended September 17, 2010.  No public comments were received.</w:t>
      </w:r>
    </w:p>
    <w:p w:rsidR="00A06FA4" w:rsidRDefault="00A06FA4" w:rsidP="00A06FA4">
      <w:pPr>
        <w:tabs>
          <w:tab w:val="left" w:pos="360"/>
        </w:tabs>
        <w:ind w:left="360" w:hanging="360"/>
        <w:rPr>
          <w:color w:val="000000"/>
          <w:sz w:val="18"/>
        </w:rPr>
      </w:pPr>
    </w:p>
    <w:p w:rsidR="00A06FA4" w:rsidRDefault="00A06FA4" w:rsidP="00A06FA4">
      <w:pPr>
        <w:numPr>
          <w:ilvl w:val="0"/>
          <w:numId w:val="7"/>
        </w:numPr>
        <w:rPr>
          <w:color w:val="000000"/>
          <w:sz w:val="18"/>
        </w:rPr>
      </w:pPr>
      <w:r>
        <w:rPr>
          <w:color w:val="000000"/>
          <w:sz w:val="18"/>
        </w:rPr>
        <w:t xml:space="preserve">Explain any payments or gifts to respondents, other than remuneration of contractors or grantees.  </w:t>
      </w:r>
    </w:p>
    <w:p w:rsidR="00A06FA4" w:rsidRDefault="00A06FA4" w:rsidP="00A06FA4">
      <w:pPr>
        <w:spacing w:before="80"/>
        <w:ind w:left="360"/>
        <w:rPr>
          <w:color w:val="000000"/>
          <w:sz w:val="18"/>
        </w:rPr>
      </w:pPr>
      <w:r>
        <w:rPr>
          <w:sz w:val="24"/>
        </w:rPr>
        <w:t>No decisions were made to provide any payment or gifts to respondents.</w:t>
      </w:r>
    </w:p>
    <w:p w:rsidR="00A06FA4" w:rsidRDefault="00A06FA4" w:rsidP="00A06FA4">
      <w:pPr>
        <w:tabs>
          <w:tab w:val="left" w:pos="360"/>
        </w:tabs>
        <w:ind w:left="360" w:hanging="360"/>
        <w:rPr>
          <w:color w:val="000000"/>
          <w:sz w:val="18"/>
        </w:rPr>
      </w:pPr>
    </w:p>
    <w:p w:rsidR="00A06FA4" w:rsidRDefault="00A06FA4" w:rsidP="00A06FA4">
      <w:pPr>
        <w:keepLines/>
        <w:tabs>
          <w:tab w:val="left" w:pos="360"/>
        </w:tabs>
        <w:spacing w:after="80"/>
        <w:ind w:left="360" w:hanging="360"/>
        <w:rPr>
          <w:color w:val="000000"/>
          <w:sz w:val="22"/>
        </w:rPr>
      </w:pPr>
      <w:r>
        <w:rPr>
          <w:color w:val="000000"/>
          <w:sz w:val="18"/>
        </w:rPr>
        <w:t>10.</w:t>
      </w:r>
      <w:r>
        <w:rPr>
          <w:color w:val="000000"/>
          <w:sz w:val="18"/>
        </w:rPr>
        <w:tab/>
        <w:t>Describe any assurance of confidentiality provided to respondents and the basis for assurance in statute, regulation or agency policy.</w:t>
      </w:r>
      <w:r>
        <w:rPr>
          <w:color w:val="000000"/>
          <w:sz w:val="22"/>
        </w:rPr>
        <w:t xml:space="preserve">    </w:t>
      </w:r>
    </w:p>
    <w:p w:rsidR="00A06FA4" w:rsidRDefault="00A06FA4" w:rsidP="00A06FA4">
      <w:pPr>
        <w:keepLines/>
        <w:tabs>
          <w:tab w:val="left" w:pos="360"/>
        </w:tabs>
        <w:spacing w:after="80"/>
        <w:ind w:left="360"/>
        <w:rPr>
          <w:sz w:val="24"/>
        </w:rPr>
      </w:pPr>
      <w:r>
        <w:rPr>
          <w:sz w:val="24"/>
        </w:rPr>
        <w:t>No assurances of confidentiality are provided.</w:t>
      </w:r>
    </w:p>
    <w:p w:rsidR="00A06FA4" w:rsidRDefault="00A06FA4" w:rsidP="00A06FA4">
      <w:pPr>
        <w:tabs>
          <w:tab w:val="left" w:pos="360"/>
        </w:tabs>
        <w:ind w:left="360" w:hanging="360"/>
        <w:rPr>
          <w:color w:val="000000"/>
          <w:sz w:val="18"/>
        </w:rPr>
      </w:pPr>
    </w:p>
    <w:p w:rsidR="00A06FA4" w:rsidRDefault="00A06FA4" w:rsidP="00A06FA4">
      <w:pPr>
        <w:numPr>
          <w:ilvl w:val="0"/>
          <w:numId w:val="8"/>
        </w:numPr>
        <w:rPr>
          <w:color w:val="000000"/>
          <w:sz w:val="22"/>
        </w:rPr>
      </w:pPr>
      <w:r>
        <w:rPr>
          <w:color w:val="000000"/>
          <w:sz w:val="18"/>
        </w:rPr>
        <w:t>Justify any questions of a sensitive nature, such as sexual, religious beliefs, and other matters that are commonly considered private.</w:t>
      </w:r>
      <w:r>
        <w:rPr>
          <w:color w:val="000000"/>
          <w:sz w:val="22"/>
        </w:rPr>
        <w:t xml:space="preserve">  </w:t>
      </w:r>
    </w:p>
    <w:p w:rsidR="00A06FA4" w:rsidRDefault="00A06FA4" w:rsidP="00A06FA4">
      <w:pPr>
        <w:spacing w:before="80"/>
        <w:ind w:left="360"/>
        <w:rPr>
          <w:color w:val="000000"/>
          <w:sz w:val="22"/>
        </w:rPr>
      </w:pPr>
      <w:r>
        <w:rPr>
          <w:sz w:val="24"/>
        </w:rPr>
        <w:t xml:space="preserve">No sensitive questions are asked.  </w:t>
      </w:r>
    </w:p>
    <w:p w:rsidR="00A06FA4" w:rsidRDefault="00A06FA4" w:rsidP="00A06FA4">
      <w:pPr>
        <w:keepLines/>
        <w:tabs>
          <w:tab w:val="left" w:pos="360"/>
        </w:tabs>
        <w:ind w:left="360" w:hanging="360"/>
        <w:rPr>
          <w:color w:val="000000"/>
          <w:sz w:val="22"/>
        </w:rPr>
      </w:pPr>
    </w:p>
    <w:p w:rsidR="00A06FA4" w:rsidRDefault="00A06FA4" w:rsidP="00A06FA4">
      <w:pPr>
        <w:keepLines/>
        <w:tabs>
          <w:tab w:val="left" w:pos="360"/>
          <w:tab w:val="left" w:pos="720"/>
        </w:tabs>
        <w:ind w:left="360" w:hanging="360"/>
        <w:rPr>
          <w:color w:val="000000"/>
          <w:sz w:val="18"/>
        </w:rPr>
      </w:pPr>
      <w:r>
        <w:rPr>
          <w:color w:val="000000"/>
          <w:sz w:val="18"/>
        </w:rPr>
        <w:t>12.</w:t>
      </w:r>
      <w:r>
        <w:rPr>
          <w:color w:val="000000"/>
          <w:sz w:val="18"/>
        </w:rPr>
        <w:tab/>
        <w:t xml:space="preserve">Estimate public burden: number of respondents, frequency of response, annual hour burden.  Read the complete instructions on the form 83i.  Explain how the burden was estimated.  Generally estimates should not include burden hours for customary and usual business practices; </w:t>
      </w:r>
    </w:p>
    <w:p w:rsidR="00A06FA4" w:rsidRDefault="00A06FA4" w:rsidP="00A06FA4">
      <w:pPr>
        <w:numPr>
          <w:ilvl w:val="0"/>
          <w:numId w:val="5"/>
        </w:numPr>
        <w:tabs>
          <w:tab w:val="left" w:pos="480"/>
        </w:tabs>
        <w:ind w:left="480"/>
        <w:rPr>
          <w:color w:val="000000"/>
          <w:sz w:val="18"/>
        </w:rPr>
      </w:pPr>
      <w:r>
        <w:rPr>
          <w:color w:val="000000"/>
          <w:sz w:val="18"/>
        </w:rPr>
        <w:t xml:space="preserve">if this collection uses more than one form, provide separate estimates for each form and aggregate the hour burdens in item 13 of OMB Form 83i; and </w:t>
      </w:r>
    </w:p>
    <w:p w:rsidR="00A06FA4" w:rsidRDefault="00A06FA4" w:rsidP="00A06FA4">
      <w:pPr>
        <w:keepLines/>
        <w:numPr>
          <w:ilvl w:val="0"/>
          <w:numId w:val="5"/>
        </w:numPr>
        <w:tabs>
          <w:tab w:val="left" w:pos="480"/>
        </w:tabs>
        <w:spacing w:after="80"/>
        <w:ind w:left="480"/>
        <w:rPr>
          <w:color w:val="000000"/>
          <w:sz w:val="22"/>
        </w:rPr>
      </w:pPr>
      <w:proofErr w:type="gramStart"/>
      <w:r>
        <w:rPr>
          <w:color w:val="000000"/>
          <w:sz w:val="18"/>
        </w:rPr>
        <w:t>provide</w:t>
      </w:r>
      <w:proofErr w:type="gramEnd"/>
      <w:r>
        <w:rPr>
          <w:color w:val="000000"/>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Pr>
          <w:color w:val="000000"/>
          <w:sz w:val="22"/>
        </w:rPr>
        <w:t xml:space="preserve">  </w:t>
      </w:r>
    </w:p>
    <w:p w:rsidR="00A06FA4" w:rsidRDefault="00A06FA4" w:rsidP="00A06FA4">
      <w:pPr>
        <w:spacing w:after="80"/>
        <w:ind w:left="360"/>
        <w:rPr>
          <w:sz w:val="24"/>
        </w:rPr>
      </w:pPr>
      <w:r>
        <w:rPr>
          <w:sz w:val="24"/>
        </w:rPr>
        <w:t xml:space="preserve">Estimated reporting burdens:  </w:t>
      </w:r>
    </w:p>
    <w:p w:rsidR="00A06FA4" w:rsidRDefault="00A06FA4" w:rsidP="00A06FA4">
      <w:pPr>
        <w:overflowPunct/>
        <w:spacing w:line="240" w:lineRule="atLeast"/>
        <w:rPr>
          <w:rFonts w:ascii="Tms Rmn" w:hAnsi="Tms Rmn"/>
          <w:sz w:val="24"/>
          <w:szCs w:val="24"/>
        </w:rPr>
      </w:pPr>
    </w:p>
    <w:tbl>
      <w:tblPr>
        <w:tblW w:w="10950" w:type="dxa"/>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4A0"/>
      </w:tblPr>
      <w:tblGrid>
        <w:gridCol w:w="3280"/>
        <w:gridCol w:w="2363"/>
        <w:gridCol w:w="1241"/>
        <w:gridCol w:w="1804"/>
        <w:gridCol w:w="1171"/>
        <w:gridCol w:w="1091"/>
      </w:tblGrid>
      <w:tr w:rsidR="00A06FA4" w:rsidTr="00A06FA4">
        <w:tc>
          <w:tcPr>
            <w:tcW w:w="3279" w:type="dxa"/>
            <w:tcBorders>
              <w:top w:val="single" w:sz="4" w:space="0" w:color="auto"/>
              <w:left w:val="single" w:sz="4" w:space="0" w:color="auto"/>
              <w:bottom w:val="single" w:sz="6" w:space="0" w:color="auto"/>
              <w:right w:val="single" w:sz="6" w:space="0" w:color="auto"/>
            </w:tcBorders>
            <w:hideMark/>
          </w:tcPr>
          <w:p w:rsidR="00A06FA4" w:rsidRDefault="00A06FA4">
            <w:pPr>
              <w:overflowPunct/>
              <w:spacing w:line="240" w:lineRule="atLeast"/>
              <w:ind w:left="108" w:right="108"/>
              <w:rPr>
                <w:rFonts w:ascii="Helvetica" w:hAnsi="Helvetica" w:cs="Helvetica"/>
                <w:color w:val="000000"/>
                <w:sz w:val="18"/>
                <w:szCs w:val="18"/>
              </w:rPr>
            </w:pPr>
            <w:r>
              <w:rPr>
                <w:rFonts w:ascii="Helvetica" w:hAnsi="Helvetica" w:cs="Helvetica"/>
                <w:color w:val="000000"/>
                <w:sz w:val="18"/>
                <w:szCs w:val="18"/>
              </w:rPr>
              <w:t>Grant Program</w:t>
            </w:r>
          </w:p>
        </w:tc>
        <w:tc>
          <w:tcPr>
            <w:tcW w:w="2363" w:type="dxa"/>
            <w:tcBorders>
              <w:top w:val="single" w:sz="4" w:space="0" w:color="auto"/>
              <w:left w:val="single" w:sz="6" w:space="0" w:color="auto"/>
              <w:bottom w:val="single" w:sz="6" w:space="0" w:color="auto"/>
              <w:right w:val="single" w:sz="6" w:space="0" w:color="auto"/>
            </w:tcBorders>
            <w:hideMark/>
          </w:tcPr>
          <w:p w:rsidR="00A06FA4" w:rsidRDefault="00A06FA4">
            <w:pPr>
              <w:overflowPunct/>
              <w:spacing w:line="240" w:lineRule="atLeast"/>
              <w:ind w:left="108" w:right="108"/>
              <w:rPr>
                <w:rFonts w:ascii="Helvetica" w:hAnsi="Helvetica" w:cs="Helvetica"/>
                <w:color w:val="000000"/>
                <w:sz w:val="18"/>
                <w:szCs w:val="18"/>
              </w:rPr>
            </w:pPr>
            <w:r>
              <w:rPr>
                <w:rFonts w:ascii="Helvetica" w:hAnsi="Helvetica" w:cs="Helvetica"/>
                <w:color w:val="000000"/>
                <w:sz w:val="18"/>
                <w:szCs w:val="18"/>
              </w:rPr>
              <w:t xml:space="preserve">Form </w:t>
            </w:r>
          </w:p>
          <w:p w:rsidR="00A06FA4" w:rsidRDefault="00A06FA4">
            <w:pPr>
              <w:overflowPunct/>
              <w:spacing w:line="240" w:lineRule="atLeast"/>
              <w:ind w:left="11" w:right="108"/>
              <w:rPr>
                <w:rFonts w:ascii="Helvetica" w:hAnsi="Helvetica" w:cs="Helvetica"/>
                <w:color w:val="000000"/>
                <w:sz w:val="18"/>
                <w:szCs w:val="18"/>
              </w:rPr>
            </w:pPr>
            <w:r>
              <w:rPr>
                <w:rFonts w:ascii="Helvetica" w:hAnsi="Helvetica" w:cs="Helvetica"/>
                <w:color w:val="000000"/>
                <w:sz w:val="18"/>
                <w:szCs w:val="18"/>
              </w:rPr>
              <w:t>50080-XXXX</w:t>
            </w:r>
          </w:p>
        </w:tc>
        <w:tc>
          <w:tcPr>
            <w:tcW w:w="1241" w:type="dxa"/>
            <w:tcBorders>
              <w:top w:val="single" w:sz="4"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1"/>
              <w:jc w:val="center"/>
              <w:rPr>
                <w:rFonts w:ascii="Helvetica" w:hAnsi="Helvetica" w:cs="Helvetica"/>
                <w:color w:val="000000"/>
                <w:sz w:val="18"/>
                <w:szCs w:val="18"/>
              </w:rPr>
            </w:pPr>
            <w:r>
              <w:rPr>
                <w:rFonts w:ascii="Helvetica" w:hAnsi="Helvetica" w:cs="Helvetica"/>
                <w:color w:val="000000"/>
                <w:sz w:val="18"/>
                <w:szCs w:val="18"/>
              </w:rPr>
              <w:t>Number of Respondents*</w:t>
            </w:r>
          </w:p>
        </w:tc>
        <w:tc>
          <w:tcPr>
            <w:tcW w:w="1804" w:type="dxa"/>
            <w:tcBorders>
              <w:top w:val="single" w:sz="4"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5"/>
              <w:jc w:val="center"/>
              <w:rPr>
                <w:rFonts w:ascii="Helvetica" w:hAnsi="Helvetica" w:cs="Helvetica"/>
                <w:color w:val="000000"/>
                <w:sz w:val="18"/>
                <w:szCs w:val="18"/>
              </w:rPr>
            </w:pPr>
            <w:r>
              <w:rPr>
                <w:rFonts w:ascii="Helvetica" w:hAnsi="Helvetica" w:cs="Helvetica"/>
                <w:color w:val="000000"/>
                <w:sz w:val="18"/>
                <w:szCs w:val="18"/>
              </w:rPr>
              <w:t>Frequency of Responses (</w:t>
            </w:r>
            <w:proofErr w:type="spellStart"/>
            <w:r>
              <w:rPr>
                <w:rFonts w:ascii="Helvetica" w:hAnsi="Helvetica" w:cs="Helvetica"/>
                <w:color w:val="000000"/>
                <w:sz w:val="18"/>
                <w:szCs w:val="18"/>
              </w:rPr>
              <w:t>drawdowns</w:t>
            </w:r>
            <w:proofErr w:type="spellEnd"/>
            <w:r>
              <w:rPr>
                <w:rFonts w:ascii="Helvetica" w:hAnsi="Helvetica" w:cs="Helvetica"/>
                <w:color w:val="000000"/>
                <w:sz w:val="18"/>
                <w:szCs w:val="18"/>
              </w:rPr>
              <w:t xml:space="preserve"> annually per program)</w:t>
            </w:r>
          </w:p>
        </w:tc>
        <w:tc>
          <w:tcPr>
            <w:tcW w:w="1171" w:type="dxa"/>
            <w:tcBorders>
              <w:top w:val="single" w:sz="4" w:space="0" w:color="auto"/>
              <w:left w:val="single" w:sz="6" w:space="0" w:color="auto"/>
              <w:bottom w:val="single" w:sz="6" w:space="0" w:color="auto"/>
              <w:right w:val="single" w:sz="6" w:space="0" w:color="auto"/>
            </w:tcBorders>
            <w:hideMark/>
          </w:tcPr>
          <w:p w:rsidR="00A06FA4" w:rsidRDefault="00A06FA4">
            <w:pPr>
              <w:overflowPunct/>
              <w:spacing w:line="240" w:lineRule="atLeast"/>
              <w:ind w:left="108" w:right="108"/>
              <w:jc w:val="center"/>
              <w:rPr>
                <w:rFonts w:ascii="Helvetica" w:hAnsi="Helvetica" w:cs="Helvetica"/>
                <w:color w:val="000000"/>
                <w:sz w:val="18"/>
                <w:szCs w:val="18"/>
              </w:rPr>
            </w:pPr>
            <w:r>
              <w:rPr>
                <w:rFonts w:ascii="Helvetica" w:hAnsi="Helvetica" w:cs="Helvetica"/>
                <w:color w:val="000000"/>
                <w:sz w:val="18"/>
                <w:szCs w:val="18"/>
              </w:rPr>
              <w:t>Hours Per Response</w:t>
            </w:r>
          </w:p>
        </w:tc>
        <w:tc>
          <w:tcPr>
            <w:tcW w:w="1091" w:type="dxa"/>
            <w:tcBorders>
              <w:top w:val="single" w:sz="4" w:space="0" w:color="auto"/>
              <w:left w:val="single" w:sz="6" w:space="0" w:color="auto"/>
              <w:bottom w:val="single" w:sz="6" w:space="0" w:color="auto"/>
              <w:right w:val="single" w:sz="4" w:space="0" w:color="auto"/>
            </w:tcBorders>
            <w:hideMark/>
          </w:tcPr>
          <w:p w:rsidR="00A06FA4" w:rsidRDefault="00A06FA4">
            <w:pPr>
              <w:overflowPunct/>
              <w:spacing w:line="240" w:lineRule="atLeast"/>
              <w:ind w:left="108" w:right="108"/>
              <w:jc w:val="center"/>
              <w:rPr>
                <w:rFonts w:ascii="Helvetica" w:hAnsi="Helvetica" w:cs="Helvetica"/>
                <w:color w:val="000000"/>
                <w:sz w:val="18"/>
                <w:szCs w:val="18"/>
              </w:rPr>
            </w:pPr>
            <w:r>
              <w:rPr>
                <w:rFonts w:ascii="Helvetica" w:hAnsi="Helvetica" w:cs="Helvetica"/>
                <w:color w:val="000000"/>
                <w:sz w:val="18"/>
                <w:szCs w:val="18"/>
              </w:rPr>
              <w:t>Burden Hours</w:t>
            </w:r>
          </w:p>
        </w:tc>
      </w:tr>
      <w:tr w:rsidR="00A06FA4" w:rsidTr="00A06FA4">
        <w:tc>
          <w:tcPr>
            <w:tcW w:w="3279" w:type="dxa"/>
            <w:tcBorders>
              <w:top w:val="single" w:sz="6" w:space="0" w:color="auto"/>
              <w:left w:val="single" w:sz="4" w:space="0" w:color="auto"/>
              <w:bottom w:val="single" w:sz="6" w:space="0" w:color="auto"/>
              <w:right w:val="single" w:sz="6" w:space="0" w:color="auto"/>
            </w:tcBorders>
            <w:hideMark/>
          </w:tcPr>
          <w:p w:rsidR="00A06FA4" w:rsidRDefault="00A06FA4">
            <w:pPr>
              <w:overflowPunct/>
              <w:spacing w:before="120" w:after="120" w:line="240" w:lineRule="atLeast"/>
              <w:ind w:left="108" w:right="108"/>
              <w:rPr>
                <w:rFonts w:ascii="Helvetica" w:hAnsi="Helvetica" w:cs="Helvetica"/>
                <w:color w:val="000000"/>
                <w:sz w:val="18"/>
                <w:szCs w:val="18"/>
              </w:rPr>
            </w:pPr>
            <w:r>
              <w:rPr>
                <w:rFonts w:ascii="Helvetica" w:hAnsi="Helvetica" w:cs="Helvetica"/>
                <w:color w:val="000000"/>
                <w:sz w:val="18"/>
                <w:szCs w:val="18"/>
              </w:rPr>
              <w:t>Capital Fund</w:t>
            </w:r>
          </w:p>
        </w:tc>
        <w:tc>
          <w:tcPr>
            <w:tcW w:w="2363"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08" w:right="108" w:hanging="97"/>
              <w:rPr>
                <w:rFonts w:ascii="Helvetica" w:hAnsi="Helvetica" w:cs="Helvetica"/>
                <w:color w:val="000000"/>
                <w:sz w:val="18"/>
                <w:szCs w:val="18"/>
              </w:rPr>
            </w:pPr>
            <w:r>
              <w:rPr>
                <w:rFonts w:ascii="Helvetica" w:hAnsi="Helvetica" w:cs="Helvetica"/>
                <w:color w:val="000000"/>
                <w:sz w:val="18"/>
                <w:szCs w:val="18"/>
              </w:rPr>
              <w:t>50080-CFP</w:t>
            </w:r>
          </w:p>
        </w:tc>
        <w:tc>
          <w:tcPr>
            <w:tcW w:w="1241" w:type="dxa"/>
            <w:tcBorders>
              <w:top w:val="single" w:sz="6" w:space="0" w:color="auto"/>
              <w:left w:val="single" w:sz="6" w:space="0" w:color="auto"/>
              <w:bottom w:val="single" w:sz="6" w:space="0" w:color="auto"/>
              <w:right w:val="single" w:sz="6" w:space="0" w:color="auto"/>
            </w:tcBorders>
          </w:tcPr>
          <w:p w:rsidR="00A06FA4" w:rsidRDefault="00A06FA4">
            <w:pPr>
              <w:overflowPunct/>
              <w:spacing w:line="240" w:lineRule="atLeast"/>
              <w:ind w:left="108" w:right="108"/>
              <w:jc w:val="right"/>
              <w:rPr>
                <w:rFonts w:ascii="Helvetica" w:hAnsi="Helvetica" w:cs="Helvetica"/>
                <w:color w:val="000000"/>
                <w:sz w:val="18"/>
                <w:szCs w:val="18"/>
              </w:rPr>
            </w:pPr>
          </w:p>
        </w:tc>
        <w:tc>
          <w:tcPr>
            <w:tcW w:w="1804"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08" w:right="97"/>
              <w:jc w:val="right"/>
              <w:rPr>
                <w:rFonts w:ascii="Helvetica" w:hAnsi="Helvetica" w:cs="Helvetica"/>
                <w:color w:val="000000"/>
                <w:sz w:val="18"/>
                <w:szCs w:val="18"/>
              </w:rPr>
            </w:pPr>
            <w:r>
              <w:rPr>
                <w:rFonts w:ascii="Helvetica" w:hAnsi="Helvetica" w:cs="Helvetica"/>
                <w:color w:val="000000"/>
                <w:sz w:val="18"/>
                <w:szCs w:val="18"/>
              </w:rPr>
              <w:t>56,876</w:t>
            </w:r>
          </w:p>
        </w:tc>
        <w:tc>
          <w:tcPr>
            <w:tcW w:w="1171"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87" w:right="108" w:hanging="90"/>
              <w:jc w:val="center"/>
              <w:rPr>
                <w:rFonts w:ascii="Helvetica" w:hAnsi="Helvetica" w:cs="Helvetica"/>
                <w:color w:val="000000"/>
                <w:sz w:val="18"/>
                <w:szCs w:val="18"/>
              </w:rPr>
            </w:pPr>
            <w:r>
              <w:rPr>
                <w:rFonts w:ascii="Helvetica" w:hAnsi="Helvetica" w:cs="Helvetica"/>
                <w:color w:val="000000"/>
                <w:sz w:val="18"/>
                <w:szCs w:val="18"/>
              </w:rPr>
              <w:t>.15</w:t>
            </w:r>
          </w:p>
        </w:tc>
        <w:tc>
          <w:tcPr>
            <w:tcW w:w="1091" w:type="dxa"/>
            <w:tcBorders>
              <w:top w:val="single" w:sz="6" w:space="0" w:color="auto"/>
              <w:left w:val="single" w:sz="6" w:space="0" w:color="auto"/>
              <w:bottom w:val="single" w:sz="6" w:space="0" w:color="auto"/>
              <w:right w:val="single" w:sz="4" w:space="0" w:color="auto"/>
            </w:tcBorders>
            <w:hideMark/>
          </w:tcPr>
          <w:p w:rsidR="00A06FA4" w:rsidRDefault="00A06FA4">
            <w:pPr>
              <w:overflowPunct/>
              <w:spacing w:line="240" w:lineRule="atLeast"/>
              <w:ind w:left="26" w:right="229"/>
              <w:jc w:val="right"/>
              <w:rPr>
                <w:rFonts w:ascii="Helvetica" w:hAnsi="Helvetica" w:cs="Helvetica"/>
                <w:color w:val="000000"/>
                <w:sz w:val="18"/>
                <w:szCs w:val="18"/>
              </w:rPr>
            </w:pPr>
            <w:r>
              <w:rPr>
                <w:rFonts w:ascii="Helvetica" w:hAnsi="Helvetica" w:cs="Helvetica"/>
                <w:color w:val="000000"/>
                <w:sz w:val="18"/>
                <w:szCs w:val="18"/>
              </w:rPr>
              <w:t>8,531.4</w:t>
            </w:r>
          </w:p>
        </w:tc>
      </w:tr>
      <w:tr w:rsidR="00A06FA4" w:rsidTr="00A06FA4">
        <w:tc>
          <w:tcPr>
            <w:tcW w:w="3279" w:type="dxa"/>
            <w:tcBorders>
              <w:top w:val="single" w:sz="6" w:space="0" w:color="auto"/>
              <w:left w:val="single" w:sz="4" w:space="0" w:color="auto"/>
              <w:bottom w:val="single" w:sz="6" w:space="0" w:color="auto"/>
              <w:right w:val="single" w:sz="6" w:space="0" w:color="auto"/>
            </w:tcBorders>
            <w:hideMark/>
          </w:tcPr>
          <w:p w:rsidR="00A06FA4" w:rsidRDefault="00A06FA4">
            <w:pPr>
              <w:overflowPunct/>
              <w:spacing w:before="120" w:after="120" w:line="240" w:lineRule="atLeast"/>
              <w:ind w:left="15"/>
              <w:rPr>
                <w:rFonts w:ascii="Helvetica" w:hAnsi="Helvetica" w:cs="Helvetica"/>
                <w:color w:val="000000"/>
                <w:sz w:val="18"/>
                <w:szCs w:val="18"/>
              </w:rPr>
            </w:pPr>
            <w:r>
              <w:rPr>
                <w:rFonts w:ascii="Helvetica" w:hAnsi="Helvetica" w:cs="Helvetica"/>
                <w:color w:val="000000"/>
                <w:sz w:val="18"/>
                <w:szCs w:val="18"/>
              </w:rPr>
              <w:t>Resident Opportunities and Supportive Services (ROSS)</w:t>
            </w:r>
          </w:p>
        </w:tc>
        <w:tc>
          <w:tcPr>
            <w:tcW w:w="2363"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Pr>
                <w:rFonts w:ascii="Helvetica" w:hAnsi="Helvetica" w:cs="Helvetica"/>
                <w:color w:val="000000"/>
                <w:sz w:val="18"/>
                <w:szCs w:val="18"/>
              </w:rPr>
            </w:pPr>
            <w:r>
              <w:rPr>
                <w:rFonts w:ascii="Helvetica" w:hAnsi="Helvetica" w:cs="Helvetica"/>
                <w:color w:val="000000"/>
                <w:sz w:val="18"/>
                <w:szCs w:val="18"/>
              </w:rPr>
              <w:t>50080- NN, RSDE, RSDF, SC</w:t>
            </w:r>
          </w:p>
        </w:tc>
        <w:tc>
          <w:tcPr>
            <w:tcW w:w="1241" w:type="dxa"/>
            <w:tcBorders>
              <w:top w:val="single" w:sz="6" w:space="0" w:color="auto"/>
              <w:left w:val="single" w:sz="6" w:space="0" w:color="auto"/>
              <w:bottom w:val="single" w:sz="6" w:space="0" w:color="auto"/>
              <w:right w:val="single" w:sz="6" w:space="0" w:color="auto"/>
            </w:tcBorders>
          </w:tcPr>
          <w:p w:rsidR="00A06FA4" w:rsidRDefault="00A06FA4">
            <w:pPr>
              <w:overflowPunct/>
              <w:spacing w:line="240" w:lineRule="atLeast"/>
              <w:ind w:left="15"/>
              <w:jc w:val="right"/>
              <w:rPr>
                <w:rFonts w:ascii="Helvetica" w:hAnsi="Helvetica" w:cs="Helvetica"/>
                <w:sz w:val="18"/>
                <w:szCs w:val="18"/>
              </w:rPr>
            </w:pPr>
          </w:p>
        </w:tc>
        <w:tc>
          <w:tcPr>
            <w:tcW w:w="1804"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142"/>
              <w:jc w:val="right"/>
              <w:rPr>
                <w:rFonts w:ascii="Helvetica" w:hAnsi="Helvetica" w:cs="Helvetica"/>
                <w:sz w:val="18"/>
                <w:szCs w:val="18"/>
              </w:rPr>
            </w:pPr>
            <w:r>
              <w:rPr>
                <w:rFonts w:ascii="Helvetica" w:hAnsi="Helvetica" w:cs="Helvetica"/>
                <w:sz w:val="18"/>
                <w:szCs w:val="18"/>
              </w:rPr>
              <w:t>8,400</w:t>
            </w:r>
          </w:p>
        </w:tc>
        <w:tc>
          <w:tcPr>
            <w:tcW w:w="1171"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458"/>
              <w:jc w:val="center"/>
              <w:rPr>
                <w:rFonts w:ascii="Helvetica" w:hAnsi="Helvetica" w:cs="Helvetica"/>
                <w:color w:val="000000"/>
                <w:sz w:val="18"/>
                <w:szCs w:val="18"/>
              </w:rPr>
            </w:pPr>
            <w:r>
              <w:rPr>
                <w:rFonts w:ascii="Helvetica" w:hAnsi="Helvetica" w:cs="Helvetica"/>
                <w:color w:val="000000"/>
                <w:sz w:val="18"/>
                <w:szCs w:val="18"/>
              </w:rPr>
              <w:t>.15</w:t>
            </w:r>
          </w:p>
        </w:tc>
        <w:tc>
          <w:tcPr>
            <w:tcW w:w="1091" w:type="dxa"/>
            <w:tcBorders>
              <w:top w:val="single" w:sz="6" w:space="0" w:color="auto"/>
              <w:left w:val="single" w:sz="6" w:space="0" w:color="auto"/>
              <w:bottom w:val="single" w:sz="6" w:space="0" w:color="auto"/>
              <w:right w:val="single" w:sz="4" w:space="0" w:color="auto"/>
            </w:tcBorders>
            <w:hideMark/>
          </w:tcPr>
          <w:p w:rsidR="00A06FA4" w:rsidRDefault="00A06FA4">
            <w:pPr>
              <w:overflowPunct/>
              <w:spacing w:line="240" w:lineRule="atLeast"/>
              <w:ind w:left="15" w:right="108"/>
              <w:jc w:val="right"/>
              <w:rPr>
                <w:rFonts w:ascii="Helvetica" w:hAnsi="Helvetica" w:cs="Helvetica"/>
                <w:sz w:val="18"/>
                <w:szCs w:val="18"/>
              </w:rPr>
            </w:pPr>
            <w:r>
              <w:rPr>
                <w:rFonts w:ascii="Helvetica" w:hAnsi="Helvetica" w:cs="Helvetica"/>
                <w:sz w:val="18"/>
                <w:szCs w:val="18"/>
              </w:rPr>
              <w:t>1,260</w:t>
            </w:r>
          </w:p>
        </w:tc>
      </w:tr>
      <w:tr w:rsidR="00A06FA4" w:rsidTr="00A06FA4">
        <w:tc>
          <w:tcPr>
            <w:tcW w:w="3279" w:type="dxa"/>
            <w:tcBorders>
              <w:top w:val="single" w:sz="6" w:space="0" w:color="auto"/>
              <w:left w:val="single" w:sz="4" w:space="0" w:color="auto"/>
              <w:bottom w:val="single" w:sz="6" w:space="0" w:color="auto"/>
              <w:right w:val="single" w:sz="6" w:space="0" w:color="auto"/>
            </w:tcBorders>
            <w:hideMark/>
          </w:tcPr>
          <w:p w:rsidR="00A06FA4" w:rsidRDefault="00A06FA4">
            <w:pPr>
              <w:overflowPunct/>
              <w:spacing w:before="120" w:after="120" w:line="240" w:lineRule="atLeast"/>
              <w:ind w:left="15"/>
              <w:rPr>
                <w:rFonts w:ascii="Helvetica" w:hAnsi="Helvetica" w:cs="Helvetica"/>
                <w:color w:val="000000"/>
                <w:sz w:val="18"/>
                <w:szCs w:val="18"/>
              </w:rPr>
            </w:pPr>
            <w:r>
              <w:rPr>
                <w:rFonts w:ascii="Helvetica" w:hAnsi="Helvetica" w:cs="Helvetica"/>
                <w:color w:val="000000"/>
                <w:sz w:val="18"/>
                <w:szCs w:val="18"/>
              </w:rPr>
              <w:lastRenderedPageBreak/>
              <w:t>Public Housing Technical Assistance</w:t>
            </w:r>
          </w:p>
        </w:tc>
        <w:tc>
          <w:tcPr>
            <w:tcW w:w="2363"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Pr>
                <w:rFonts w:ascii="Helvetica" w:hAnsi="Helvetica" w:cs="Helvetica"/>
                <w:color w:val="000000"/>
                <w:sz w:val="18"/>
                <w:szCs w:val="18"/>
              </w:rPr>
            </w:pPr>
            <w:r>
              <w:rPr>
                <w:rFonts w:ascii="Helvetica" w:hAnsi="Helvetica" w:cs="Helvetica"/>
                <w:color w:val="000000"/>
                <w:sz w:val="18"/>
                <w:szCs w:val="18"/>
              </w:rPr>
              <w:t>50080-PHTA</w:t>
            </w:r>
          </w:p>
        </w:tc>
        <w:tc>
          <w:tcPr>
            <w:tcW w:w="1241" w:type="dxa"/>
            <w:tcBorders>
              <w:top w:val="single" w:sz="6" w:space="0" w:color="auto"/>
              <w:left w:val="single" w:sz="6" w:space="0" w:color="auto"/>
              <w:bottom w:val="single" w:sz="6" w:space="0" w:color="auto"/>
              <w:right w:val="single" w:sz="6" w:space="0" w:color="auto"/>
            </w:tcBorders>
          </w:tcPr>
          <w:p w:rsidR="00A06FA4" w:rsidRDefault="00A06FA4">
            <w:pPr>
              <w:overflowPunct/>
              <w:spacing w:line="240" w:lineRule="atLeast"/>
              <w:ind w:left="15"/>
              <w:jc w:val="right"/>
              <w:rPr>
                <w:rFonts w:ascii="Helvetica" w:hAnsi="Helvetica" w:cs="Helvetica"/>
                <w:color w:val="000000"/>
                <w:sz w:val="18"/>
                <w:szCs w:val="18"/>
              </w:rPr>
            </w:pPr>
          </w:p>
        </w:tc>
        <w:tc>
          <w:tcPr>
            <w:tcW w:w="1804"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142"/>
              <w:jc w:val="right"/>
              <w:rPr>
                <w:rFonts w:ascii="Helvetica" w:hAnsi="Helvetica" w:cs="Helvetica"/>
                <w:color w:val="000000"/>
                <w:sz w:val="18"/>
                <w:szCs w:val="18"/>
              </w:rPr>
            </w:pPr>
            <w:r>
              <w:rPr>
                <w:rFonts w:ascii="Helvetica" w:hAnsi="Helvetica" w:cs="Helvetica"/>
                <w:color w:val="000000"/>
                <w:sz w:val="18"/>
                <w:szCs w:val="18"/>
              </w:rPr>
              <w:t>134</w:t>
            </w:r>
          </w:p>
        </w:tc>
        <w:tc>
          <w:tcPr>
            <w:tcW w:w="1171"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458"/>
              <w:jc w:val="center"/>
              <w:rPr>
                <w:rFonts w:ascii="Helvetica" w:hAnsi="Helvetica" w:cs="Helvetica"/>
                <w:color w:val="000000"/>
                <w:sz w:val="18"/>
                <w:szCs w:val="18"/>
              </w:rPr>
            </w:pPr>
            <w:r>
              <w:rPr>
                <w:rFonts w:ascii="Helvetica" w:hAnsi="Helvetica" w:cs="Helvetica"/>
                <w:color w:val="000000"/>
                <w:sz w:val="18"/>
                <w:szCs w:val="18"/>
              </w:rPr>
              <w:t>.15</w:t>
            </w:r>
          </w:p>
        </w:tc>
        <w:tc>
          <w:tcPr>
            <w:tcW w:w="1091" w:type="dxa"/>
            <w:tcBorders>
              <w:top w:val="single" w:sz="6" w:space="0" w:color="auto"/>
              <w:left w:val="single" w:sz="6" w:space="0" w:color="auto"/>
              <w:bottom w:val="single" w:sz="6" w:space="0" w:color="auto"/>
              <w:right w:val="single" w:sz="4" w:space="0" w:color="auto"/>
            </w:tcBorders>
            <w:hideMark/>
          </w:tcPr>
          <w:p w:rsidR="00A06FA4" w:rsidRDefault="00A06FA4">
            <w:pPr>
              <w:overflowPunct/>
              <w:spacing w:line="240" w:lineRule="atLeast"/>
              <w:ind w:left="15" w:right="108"/>
              <w:jc w:val="right"/>
              <w:rPr>
                <w:rFonts w:ascii="Helvetica" w:hAnsi="Helvetica" w:cs="Helvetica"/>
                <w:color w:val="000000"/>
                <w:sz w:val="18"/>
                <w:szCs w:val="18"/>
              </w:rPr>
            </w:pPr>
            <w:r>
              <w:rPr>
                <w:rFonts w:ascii="Helvetica" w:hAnsi="Helvetica" w:cs="Helvetica"/>
                <w:color w:val="000000"/>
                <w:sz w:val="18"/>
                <w:szCs w:val="18"/>
              </w:rPr>
              <w:t>20.1</w:t>
            </w:r>
          </w:p>
        </w:tc>
      </w:tr>
      <w:tr w:rsidR="00A06FA4" w:rsidTr="00A06FA4">
        <w:tc>
          <w:tcPr>
            <w:tcW w:w="3279" w:type="dxa"/>
            <w:tcBorders>
              <w:top w:val="single" w:sz="6" w:space="0" w:color="auto"/>
              <w:left w:val="single" w:sz="4" w:space="0" w:color="auto"/>
              <w:bottom w:val="single" w:sz="6" w:space="0" w:color="auto"/>
              <w:right w:val="single" w:sz="6" w:space="0" w:color="auto"/>
            </w:tcBorders>
            <w:hideMark/>
          </w:tcPr>
          <w:p w:rsidR="00A06FA4" w:rsidRDefault="00A06FA4">
            <w:pPr>
              <w:overflowPunct/>
              <w:spacing w:before="120" w:after="120" w:line="240" w:lineRule="atLeast"/>
              <w:ind w:left="15"/>
              <w:rPr>
                <w:rFonts w:ascii="Helvetica" w:hAnsi="Helvetica" w:cs="Helvetica"/>
                <w:color w:val="000000"/>
                <w:sz w:val="18"/>
                <w:szCs w:val="18"/>
              </w:rPr>
            </w:pPr>
            <w:r>
              <w:rPr>
                <w:rFonts w:ascii="Helvetica" w:hAnsi="Helvetica" w:cs="Helvetica"/>
                <w:color w:val="000000"/>
                <w:sz w:val="18"/>
                <w:szCs w:val="18"/>
              </w:rPr>
              <w:t>Hope VI</w:t>
            </w:r>
          </w:p>
        </w:tc>
        <w:tc>
          <w:tcPr>
            <w:tcW w:w="2363"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Pr>
                <w:rFonts w:ascii="Helvetica" w:hAnsi="Helvetica" w:cs="Helvetica"/>
                <w:color w:val="000000"/>
                <w:sz w:val="18"/>
                <w:szCs w:val="18"/>
              </w:rPr>
            </w:pPr>
            <w:r>
              <w:rPr>
                <w:rFonts w:ascii="Helvetica" w:hAnsi="Helvetica" w:cs="Helvetica"/>
                <w:color w:val="000000"/>
                <w:sz w:val="18"/>
                <w:szCs w:val="18"/>
              </w:rPr>
              <w:t>50080-URP</w:t>
            </w:r>
          </w:p>
        </w:tc>
        <w:tc>
          <w:tcPr>
            <w:tcW w:w="1241" w:type="dxa"/>
            <w:tcBorders>
              <w:top w:val="single" w:sz="6" w:space="0" w:color="auto"/>
              <w:left w:val="single" w:sz="6" w:space="0" w:color="auto"/>
              <w:bottom w:val="single" w:sz="6" w:space="0" w:color="auto"/>
              <w:right w:val="single" w:sz="6" w:space="0" w:color="auto"/>
            </w:tcBorders>
          </w:tcPr>
          <w:p w:rsidR="00A06FA4" w:rsidRDefault="00A06FA4">
            <w:pPr>
              <w:overflowPunct/>
              <w:spacing w:line="240" w:lineRule="atLeast"/>
              <w:ind w:left="15"/>
              <w:jc w:val="right"/>
              <w:rPr>
                <w:rFonts w:ascii="Helvetica" w:hAnsi="Helvetica" w:cs="Helvetica"/>
                <w:sz w:val="18"/>
                <w:szCs w:val="18"/>
              </w:rPr>
            </w:pPr>
          </w:p>
        </w:tc>
        <w:tc>
          <w:tcPr>
            <w:tcW w:w="1804"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142"/>
              <w:jc w:val="right"/>
              <w:rPr>
                <w:rFonts w:ascii="Helvetica" w:hAnsi="Helvetica" w:cs="Helvetica"/>
                <w:sz w:val="18"/>
                <w:szCs w:val="18"/>
              </w:rPr>
            </w:pPr>
            <w:r>
              <w:rPr>
                <w:rFonts w:ascii="Helvetica" w:hAnsi="Helvetica" w:cs="Helvetica"/>
                <w:sz w:val="18"/>
                <w:szCs w:val="18"/>
              </w:rPr>
              <w:t>46</w:t>
            </w:r>
          </w:p>
        </w:tc>
        <w:tc>
          <w:tcPr>
            <w:tcW w:w="1171"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458"/>
              <w:jc w:val="center"/>
              <w:rPr>
                <w:rFonts w:ascii="Helvetica" w:hAnsi="Helvetica" w:cs="Helvetica"/>
                <w:color w:val="000000"/>
                <w:sz w:val="18"/>
                <w:szCs w:val="18"/>
              </w:rPr>
            </w:pPr>
            <w:r>
              <w:rPr>
                <w:rFonts w:ascii="Helvetica" w:hAnsi="Helvetica" w:cs="Helvetica"/>
                <w:color w:val="000000"/>
                <w:sz w:val="18"/>
                <w:szCs w:val="18"/>
              </w:rPr>
              <w:t>.15</w:t>
            </w:r>
          </w:p>
        </w:tc>
        <w:tc>
          <w:tcPr>
            <w:tcW w:w="1091" w:type="dxa"/>
            <w:tcBorders>
              <w:top w:val="single" w:sz="6" w:space="0" w:color="auto"/>
              <w:left w:val="single" w:sz="6" w:space="0" w:color="auto"/>
              <w:bottom w:val="single" w:sz="6" w:space="0" w:color="auto"/>
              <w:right w:val="single" w:sz="4" w:space="0" w:color="auto"/>
            </w:tcBorders>
            <w:hideMark/>
          </w:tcPr>
          <w:p w:rsidR="00A06FA4" w:rsidRDefault="00A06FA4">
            <w:pPr>
              <w:overflowPunct/>
              <w:spacing w:line="240" w:lineRule="atLeast"/>
              <w:ind w:left="15" w:right="108"/>
              <w:jc w:val="right"/>
              <w:rPr>
                <w:rFonts w:ascii="Helvetica" w:hAnsi="Helvetica" w:cs="Helvetica"/>
                <w:sz w:val="18"/>
                <w:szCs w:val="18"/>
              </w:rPr>
            </w:pPr>
            <w:r>
              <w:rPr>
                <w:rFonts w:ascii="Helvetica" w:hAnsi="Helvetica" w:cs="Helvetica"/>
                <w:sz w:val="18"/>
                <w:szCs w:val="18"/>
              </w:rPr>
              <w:t>6.9</w:t>
            </w:r>
          </w:p>
        </w:tc>
      </w:tr>
      <w:tr w:rsidR="00A06FA4" w:rsidTr="00A06FA4">
        <w:tc>
          <w:tcPr>
            <w:tcW w:w="3279" w:type="dxa"/>
            <w:tcBorders>
              <w:top w:val="single" w:sz="6" w:space="0" w:color="auto"/>
              <w:left w:val="single" w:sz="4" w:space="0" w:color="auto"/>
              <w:bottom w:val="single" w:sz="6" w:space="0" w:color="auto"/>
              <w:right w:val="single" w:sz="6" w:space="0" w:color="auto"/>
            </w:tcBorders>
            <w:hideMark/>
          </w:tcPr>
          <w:p w:rsidR="00A06FA4" w:rsidRDefault="00A06FA4">
            <w:pPr>
              <w:overflowPunct/>
              <w:spacing w:before="120" w:after="120" w:line="240" w:lineRule="atLeast"/>
              <w:ind w:left="15"/>
              <w:rPr>
                <w:rFonts w:ascii="Helvetica" w:hAnsi="Helvetica" w:cs="Helvetica"/>
                <w:color w:val="000000"/>
                <w:sz w:val="18"/>
                <w:szCs w:val="18"/>
              </w:rPr>
            </w:pPr>
            <w:r>
              <w:rPr>
                <w:rFonts w:ascii="Helvetica" w:hAnsi="Helvetica" w:cs="Helvetica"/>
                <w:color w:val="000000"/>
                <w:sz w:val="18"/>
                <w:szCs w:val="18"/>
              </w:rPr>
              <w:t>Family Self-Sufficiency</w:t>
            </w:r>
          </w:p>
        </w:tc>
        <w:tc>
          <w:tcPr>
            <w:tcW w:w="2363"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Pr>
                <w:rFonts w:ascii="Helvetica" w:hAnsi="Helvetica" w:cs="Helvetica"/>
                <w:color w:val="000000"/>
                <w:sz w:val="18"/>
                <w:szCs w:val="18"/>
              </w:rPr>
            </w:pPr>
            <w:r>
              <w:rPr>
                <w:rFonts w:ascii="Helvetica" w:hAnsi="Helvetica" w:cs="Helvetica"/>
                <w:color w:val="000000"/>
                <w:sz w:val="18"/>
                <w:szCs w:val="18"/>
              </w:rPr>
              <w:t>50080-FSS</w:t>
            </w:r>
          </w:p>
        </w:tc>
        <w:tc>
          <w:tcPr>
            <w:tcW w:w="1241" w:type="dxa"/>
            <w:tcBorders>
              <w:top w:val="single" w:sz="6" w:space="0" w:color="auto"/>
              <w:left w:val="single" w:sz="6" w:space="0" w:color="auto"/>
              <w:bottom w:val="single" w:sz="6" w:space="0" w:color="auto"/>
              <w:right w:val="single" w:sz="6" w:space="0" w:color="auto"/>
            </w:tcBorders>
          </w:tcPr>
          <w:p w:rsidR="00A06FA4" w:rsidRDefault="00A06FA4">
            <w:pPr>
              <w:overflowPunct/>
              <w:spacing w:line="240" w:lineRule="atLeast"/>
              <w:ind w:left="15"/>
              <w:jc w:val="right"/>
              <w:rPr>
                <w:rFonts w:ascii="Helvetica" w:hAnsi="Helvetica" w:cs="Helvetica"/>
                <w:color w:val="000000"/>
                <w:sz w:val="18"/>
                <w:szCs w:val="18"/>
              </w:rPr>
            </w:pPr>
          </w:p>
        </w:tc>
        <w:tc>
          <w:tcPr>
            <w:tcW w:w="1804"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142"/>
              <w:jc w:val="right"/>
              <w:rPr>
                <w:rFonts w:ascii="Helvetica" w:hAnsi="Helvetica" w:cs="Helvetica"/>
                <w:color w:val="000000"/>
                <w:sz w:val="18"/>
                <w:szCs w:val="18"/>
              </w:rPr>
            </w:pPr>
            <w:r>
              <w:rPr>
                <w:rFonts w:ascii="Helvetica" w:hAnsi="Helvetica" w:cs="Helvetica"/>
                <w:color w:val="000000"/>
                <w:sz w:val="18"/>
                <w:szCs w:val="18"/>
              </w:rPr>
              <w:t>0</w:t>
            </w:r>
          </w:p>
        </w:tc>
        <w:tc>
          <w:tcPr>
            <w:tcW w:w="1171"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458"/>
              <w:jc w:val="center"/>
              <w:rPr>
                <w:rFonts w:ascii="Helvetica" w:hAnsi="Helvetica" w:cs="Helvetica"/>
                <w:color w:val="000000"/>
                <w:sz w:val="18"/>
                <w:szCs w:val="18"/>
              </w:rPr>
            </w:pPr>
            <w:r>
              <w:rPr>
                <w:rFonts w:ascii="Helvetica" w:hAnsi="Helvetica" w:cs="Helvetica"/>
                <w:color w:val="000000"/>
                <w:sz w:val="18"/>
                <w:szCs w:val="18"/>
              </w:rPr>
              <w:t>.15</w:t>
            </w:r>
          </w:p>
        </w:tc>
        <w:tc>
          <w:tcPr>
            <w:tcW w:w="1091" w:type="dxa"/>
            <w:tcBorders>
              <w:top w:val="single" w:sz="6" w:space="0" w:color="auto"/>
              <w:left w:val="single" w:sz="6" w:space="0" w:color="auto"/>
              <w:bottom w:val="single" w:sz="6" w:space="0" w:color="auto"/>
              <w:right w:val="single" w:sz="4" w:space="0" w:color="auto"/>
            </w:tcBorders>
            <w:hideMark/>
          </w:tcPr>
          <w:p w:rsidR="00A06FA4" w:rsidRDefault="00A06FA4">
            <w:pPr>
              <w:overflowPunct/>
              <w:spacing w:line="240" w:lineRule="atLeast"/>
              <w:ind w:left="15" w:right="108"/>
              <w:jc w:val="right"/>
              <w:rPr>
                <w:rFonts w:ascii="Helvetica" w:hAnsi="Helvetica" w:cs="Helvetica"/>
                <w:color w:val="000000"/>
                <w:sz w:val="18"/>
                <w:szCs w:val="18"/>
              </w:rPr>
            </w:pPr>
            <w:r>
              <w:rPr>
                <w:rFonts w:ascii="Helvetica" w:hAnsi="Helvetica" w:cs="Helvetica"/>
                <w:color w:val="000000"/>
                <w:sz w:val="18"/>
                <w:szCs w:val="18"/>
              </w:rPr>
              <w:t>0</w:t>
            </w:r>
          </w:p>
        </w:tc>
      </w:tr>
      <w:tr w:rsidR="00A06FA4" w:rsidTr="00A06FA4">
        <w:tc>
          <w:tcPr>
            <w:tcW w:w="3279" w:type="dxa"/>
            <w:tcBorders>
              <w:top w:val="single" w:sz="6" w:space="0" w:color="auto"/>
              <w:left w:val="single" w:sz="4" w:space="0" w:color="auto"/>
              <w:bottom w:val="single" w:sz="6" w:space="0" w:color="auto"/>
              <w:right w:val="single" w:sz="6" w:space="0" w:color="auto"/>
            </w:tcBorders>
            <w:hideMark/>
          </w:tcPr>
          <w:p w:rsidR="00A06FA4" w:rsidRDefault="00A06FA4">
            <w:pPr>
              <w:overflowPunct/>
              <w:spacing w:before="120" w:after="120" w:line="240" w:lineRule="atLeast"/>
              <w:ind w:left="15"/>
              <w:rPr>
                <w:rFonts w:ascii="Helvetica" w:hAnsi="Helvetica" w:cs="Helvetica"/>
                <w:color w:val="000000"/>
                <w:sz w:val="18"/>
                <w:szCs w:val="18"/>
              </w:rPr>
            </w:pPr>
            <w:r>
              <w:rPr>
                <w:rFonts w:ascii="Helvetica" w:hAnsi="Helvetica" w:cs="Helvetica"/>
                <w:color w:val="000000"/>
                <w:sz w:val="18"/>
                <w:szCs w:val="18"/>
              </w:rPr>
              <w:t>Indian Housing Block Grant</w:t>
            </w:r>
          </w:p>
        </w:tc>
        <w:tc>
          <w:tcPr>
            <w:tcW w:w="2363"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Pr>
                <w:rFonts w:ascii="Helvetica" w:hAnsi="Helvetica" w:cs="Helvetica"/>
                <w:color w:val="000000"/>
                <w:sz w:val="18"/>
                <w:szCs w:val="18"/>
              </w:rPr>
            </w:pPr>
            <w:r>
              <w:rPr>
                <w:rFonts w:ascii="Helvetica" w:hAnsi="Helvetica" w:cs="Helvetica"/>
                <w:color w:val="000000"/>
                <w:sz w:val="18"/>
                <w:szCs w:val="18"/>
              </w:rPr>
              <w:t>50080-IHBG</w:t>
            </w:r>
          </w:p>
        </w:tc>
        <w:tc>
          <w:tcPr>
            <w:tcW w:w="1241" w:type="dxa"/>
            <w:tcBorders>
              <w:top w:val="single" w:sz="6" w:space="0" w:color="auto"/>
              <w:left w:val="single" w:sz="6" w:space="0" w:color="auto"/>
              <w:bottom w:val="single" w:sz="6" w:space="0" w:color="auto"/>
              <w:right w:val="single" w:sz="6" w:space="0" w:color="auto"/>
            </w:tcBorders>
          </w:tcPr>
          <w:p w:rsidR="00A06FA4" w:rsidRDefault="00A06FA4">
            <w:pPr>
              <w:overflowPunct/>
              <w:spacing w:line="240" w:lineRule="atLeast"/>
              <w:ind w:left="15"/>
              <w:jc w:val="right"/>
              <w:rPr>
                <w:rFonts w:ascii="Helvetica" w:hAnsi="Helvetica" w:cs="Helvetica"/>
                <w:color w:val="000000"/>
                <w:sz w:val="18"/>
                <w:szCs w:val="18"/>
              </w:rPr>
            </w:pPr>
          </w:p>
        </w:tc>
        <w:tc>
          <w:tcPr>
            <w:tcW w:w="1804"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142"/>
              <w:jc w:val="right"/>
              <w:rPr>
                <w:rFonts w:ascii="Helvetica" w:hAnsi="Helvetica" w:cs="Helvetica"/>
                <w:color w:val="000000"/>
                <w:sz w:val="18"/>
                <w:szCs w:val="18"/>
              </w:rPr>
            </w:pPr>
            <w:r>
              <w:rPr>
                <w:rFonts w:ascii="Helvetica" w:hAnsi="Helvetica" w:cs="Helvetica"/>
                <w:color w:val="000000"/>
                <w:sz w:val="18"/>
                <w:szCs w:val="18"/>
              </w:rPr>
              <w:t>7,290</w:t>
            </w:r>
          </w:p>
        </w:tc>
        <w:tc>
          <w:tcPr>
            <w:tcW w:w="1171"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458"/>
              <w:jc w:val="center"/>
              <w:rPr>
                <w:rFonts w:ascii="Helvetica" w:hAnsi="Helvetica" w:cs="Helvetica"/>
                <w:color w:val="000000"/>
                <w:sz w:val="18"/>
                <w:szCs w:val="18"/>
              </w:rPr>
            </w:pPr>
            <w:r>
              <w:rPr>
                <w:rFonts w:ascii="Helvetica" w:hAnsi="Helvetica" w:cs="Helvetica"/>
                <w:color w:val="000000"/>
                <w:sz w:val="18"/>
                <w:szCs w:val="18"/>
              </w:rPr>
              <w:t>.15</w:t>
            </w:r>
          </w:p>
        </w:tc>
        <w:tc>
          <w:tcPr>
            <w:tcW w:w="1091" w:type="dxa"/>
            <w:tcBorders>
              <w:top w:val="single" w:sz="6" w:space="0" w:color="auto"/>
              <w:left w:val="single" w:sz="6" w:space="0" w:color="auto"/>
              <w:bottom w:val="single" w:sz="6" w:space="0" w:color="auto"/>
              <w:right w:val="single" w:sz="4" w:space="0" w:color="auto"/>
            </w:tcBorders>
            <w:hideMark/>
          </w:tcPr>
          <w:p w:rsidR="00A06FA4" w:rsidRDefault="00A06FA4">
            <w:pPr>
              <w:overflowPunct/>
              <w:spacing w:line="240" w:lineRule="atLeast"/>
              <w:ind w:left="15" w:right="108"/>
              <w:jc w:val="right"/>
              <w:rPr>
                <w:rFonts w:ascii="Helvetica" w:hAnsi="Helvetica" w:cs="Helvetica"/>
                <w:color w:val="000000"/>
                <w:sz w:val="18"/>
                <w:szCs w:val="18"/>
              </w:rPr>
            </w:pPr>
            <w:r>
              <w:rPr>
                <w:rFonts w:ascii="Helvetica" w:hAnsi="Helvetica" w:cs="Helvetica"/>
                <w:color w:val="000000"/>
                <w:sz w:val="18"/>
                <w:szCs w:val="18"/>
              </w:rPr>
              <w:t>1,093.5</w:t>
            </w:r>
          </w:p>
        </w:tc>
      </w:tr>
      <w:tr w:rsidR="00A06FA4" w:rsidTr="00A06FA4">
        <w:tc>
          <w:tcPr>
            <w:tcW w:w="3279" w:type="dxa"/>
            <w:tcBorders>
              <w:top w:val="single" w:sz="6" w:space="0" w:color="auto"/>
              <w:left w:val="single" w:sz="4" w:space="0" w:color="auto"/>
              <w:bottom w:val="single" w:sz="6" w:space="0" w:color="auto"/>
              <w:right w:val="single" w:sz="6" w:space="0" w:color="auto"/>
            </w:tcBorders>
            <w:hideMark/>
          </w:tcPr>
          <w:p w:rsidR="00A06FA4" w:rsidRDefault="00A06FA4">
            <w:pPr>
              <w:overflowPunct/>
              <w:spacing w:before="120" w:after="120" w:line="240" w:lineRule="atLeast"/>
              <w:ind w:left="15"/>
              <w:rPr>
                <w:rFonts w:ascii="Helvetica" w:hAnsi="Helvetica" w:cs="Helvetica"/>
                <w:color w:val="000000"/>
                <w:sz w:val="18"/>
                <w:szCs w:val="18"/>
              </w:rPr>
            </w:pPr>
            <w:r>
              <w:rPr>
                <w:rFonts w:ascii="Helvetica" w:hAnsi="Helvetica" w:cs="Helvetica"/>
                <w:color w:val="000000"/>
                <w:sz w:val="18"/>
                <w:szCs w:val="18"/>
              </w:rPr>
              <w:t>Indian HOME</w:t>
            </w:r>
          </w:p>
        </w:tc>
        <w:tc>
          <w:tcPr>
            <w:tcW w:w="2363"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Pr>
                <w:rFonts w:ascii="Helvetica" w:hAnsi="Helvetica" w:cs="Helvetica"/>
                <w:color w:val="000000"/>
                <w:sz w:val="18"/>
                <w:szCs w:val="18"/>
              </w:rPr>
            </w:pPr>
            <w:r>
              <w:rPr>
                <w:rFonts w:ascii="Helvetica" w:hAnsi="Helvetica" w:cs="Helvetica"/>
                <w:color w:val="000000"/>
                <w:sz w:val="18"/>
                <w:szCs w:val="18"/>
              </w:rPr>
              <w:t>50080-HOMI</w:t>
            </w:r>
          </w:p>
        </w:tc>
        <w:tc>
          <w:tcPr>
            <w:tcW w:w="1241" w:type="dxa"/>
            <w:tcBorders>
              <w:top w:val="single" w:sz="6" w:space="0" w:color="auto"/>
              <w:left w:val="single" w:sz="6" w:space="0" w:color="auto"/>
              <w:bottom w:val="single" w:sz="6" w:space="0" w:color="auto"/>
              <w:right w:val="single" w:sz="6" w:space="0" w:color="auto"/>
            </w:tcBorders>
          </w:tcPr>
          <w:p w:rsidR="00A06FA4" w:rsidRDefault="00A06FA4">
            <w:pPr>
              <w:overflowPunct/>
              <w:spacing w:line="240" w:lineRule="atLeast"/>
              <w:ind w:left="15"/>
              <w:jc w:val="right"/>
              <w:rPr>
                <w:rFonts w:ascii="Helvetica" w:hAnsi="Helvetica" w:cs="Helvetica"/>
                <w:color w:val="000000"/>
                <w:sz w:val="18"/>
                <w:szCs w:val="18"/>
              </w:rPr>
            </w:pPr>
          </w:p>
        </w:tc>
        <w:tc>
          <w:tcPr>
            <w:tcW w:w="1804"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142"/>
              <w:jc w:val="right"/>
              <w:rPr>
                <w:rFonts w:ascii="Helvetica" w:hAnsi="Helvetica" w:cs="Helvetica"/>
                <w:color w:val="000000"/>
                <w:sz w:val="18"/>
                <w:szCs w:val="18"/>
              </w:rPr>
            </w:pPr>
            <w:r>
              <w:rPr>
                <w:rFonts w:ascii="Helvetica" w:hAnsi="Helvetica" w:cs="Helvetica"/>
                <w:color w:val="000000"/>
                <w:sz w:val="18"/>
                <w:szCs w:val="18"/>
              </w:rPr>
              <w:t>10</w:t>
            </w:r>
          </w:p>
        </w:tc>
        <w:tc>
          <w:tcPr>
            <w:tcW w:w="1171"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458"/>
              <w:jc w:val="center"/>
              <w:rPr>
                <w:rFonts w:ascii="Helvetica" w:hAnsi="Helvetica" w:cs="Helvetica"/>
                <w:color w:val="000000"/>
                <w:sz w:val="18"/>
                <w:szCs w:val="18"/>
              </w:rPr>
            </w:pPr>
            <w:r>
              <w:rPr>
                <w:rFonts w:ascii="Helvetica" w:hAnsi="Helvetica" w:cs="Helvetica"/>
                <w:color w:val="000000"/>
                <w:sz w:val="18"/>
                <w:szCs w:val="18"/>
              </w:rPr>
              <w:t>.15</w:t>
            </w:r>
          </w:p>
        </w:tc>
        <w:tc>
          <w:tcPr>
            <w:tcW w:w="1091" w:type="dxa"/>
            <w:tcBorders>
              <w:top w:val="single" w:sz="6" w:space="0" w:color="auto"/>
              <w:left w:val="single" w:sz="6" w:space="0" w:color="auto"/>
              <w:bottom w:val="single" w:sz="6" w:space="0" w:color="auto"/>
              <w:right w:val="single" w:sz="4" w:space="0" w:color="auto"/>
            </w:tcBorders>
            <w:hideMark/>
          </w:tcPr>
          <w:p w:rsidR="00A06FA4" w:rsidRDefault="00A06FA4">
            <w:pPr>
              <w:overflowPunct/>
              <w:spacing w:line="240" w:lineRule="atLeast"/>
              <w:ind w:left="15" w:right="108"/>
              <w:jc w:val="right"/>
              <w:rPr>
                <w:rFonts w:ascii="Helvetica" w:hAnsi="Helvetica" w:cs="Helvetica"/>
                <w:color w:val="000000"/>
                <w:sz w:val="18"/>
                <w:szCs w:val="18"/>
              </w:rPr>
            </w:pPr>
            <w:r>
              <w:rPr>
                <w:rFonts w:ascii="Helvetica" w:hAnsi="Helvetica" w:cs="Helvetica"/>
                <w:color w:val="000000"/>
                <w:sz w:val="18"/>
                <w:szCs w:val="18"/>
              </w:rPr>
              <w:t>1.5</w:t>
            </w:r>
          </w:p>
        </w:tc>
      </w:tr>
      <w:tr w:rsidR="00A06FA4" w:rsidTr="00A06FA4">
        <w:tc>
          <w:tcPr>
            <w:tcW w:w="3279" w:type="dxa"/>
            <w:tcBorders>
              <w:top w:val="single" w:sz="6" w:space="0" w:color="auto"/>
              <w:left w:val="single" w:sz="4" w:space="0" w:color="auto"/>
              <w:bottom w:val="single" w:sz="6" w:space="0" w:color="auto"/>
              <w:right w:val="single" w:sz="6" w:space="0" w:color="auto"/>
            </w:tcBorders>
            <w:hideMark/>
          </w:tcPr>
          <w:p w:rsidR="00A06FA4" w:rsidRDefault="00A06FA4">
            <w:pPr>
              <w:overflowPunct/>
              <w:spacing w:before="120" w:after="120" w:line="240" w:lineRule="atLeast"/>
              <w:ind w:left="15"/>
              <w:rPr>
                <w:rFonts w:ascii="Helvetica" w:hAnsi="Helvetica" w:cs="Helvetica"/>
                <w:color w:val="000000"/>
                <w:sz w:val="18"/>
                <w:szCs w:val="18"/>
              </w:rPr>
            </w:pPr>
            <w:r>
              <w:rPr>
                <w:rFonts w:ascii="Helvetica" w:hAnsi="Helvetica" w:cs="Helvetica"/>
                <w:color w:val="000000"/>
                <w:sz w:val="18"/>
                <w:szCs w:val="18"/>
              </w:rPr>
              <w:t>Traditional Indian Housing Development</w:t>
            </w:r>
          </w:p>
        </w:tc>
        <w:tc>
          <w:tcPr>
            <w:tcW w:w="2363"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Pr>
                <w:rFonts w:ascii="Helvetica" w:hAnsi="Helvetica" w:cs="Helvetica"/>
                <w:color w:val="000000"/>
                <w:sz w:val="18"/>
                <w:szCs w:val="18"/>
              </w:rPr>
            </w:pPr>
            <w:r>
              <w:rPr>
                <w:rFonts w:ascii="Helvetica" w:hAnsi="Helvetica" w:cs="Helvetica"/>
                <w:color w:val="000000"/>
                <w:sz w:val="18"/>
                <w:szCs w:val="18"/>
              </w:rPr>
              <w:t>50080-TIHD</w:t>
            </w:r>
          </w:p>
        </w:tc>
        <w:tc>
          <w:tcPr>
            <w:tcW w:w="1241" w:type="dxa"/>
            <w:tcBorders>
              <w:top w:val="single" w:sz="6" w:space="0" w:color="auto"/>
              <w:left w:val="single" w:sz="6" w:space="0" w:color="auto"/>
              <w:bottom w:val="single" w:sz="6" w:space="0" w:color="auto"/>
              <w:right w:val="single" w:sz="6" w:space="0" w:color="auto"/>
            </w:tcBorders>
          </w:tcPr>
          <w:p w:rsidR="00A06FA4" w:rsidRDefault="00A06FA4">
            <w:pPr>
              <w:overflowPunct/>
              <w:spacing w:line="240" w:lineRule="atLeast"/>
              <w:ind w:left="15"/>
              <w:jc w:val="right"/>
              <w:rPr>
                <w:rFonts w:ascii="Helvetica" w:hAnsi="Helvetica" w:cs="Helvetica"/>
                <w:color w:val="000000"/>
                <w:sz w:val="18"/>
                <w:szCs w:val="18"/>
              </w:rPr>
            </w:pPr>
          </w:p>
        </w:tc>
        <w:tc>
          <w:tcPr>
            <w:tcW w:w="1804"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142"/>
              <w:jc w:val="right"/>
              <w:rPr>
                <w:rFonts w:ascii="Helvetica" w:hAnsi="Helvetica" w:cs="Helvetica"/>
                <w:color w:val="000000"/>
                <w:sz w:val="18"/>
                <w:szCs w:val="18"/>
              </w:rPr>
            </w:pPr>
            <w:r>
              <w:rPr>
                <w:rFonts w:ascii="Helvetica" w:hAnsi="Helvetica" w:cs="Helvetica"/>
                <w:color w:val="000000"/>
                <w:sz w:val="18"/>
                <w:szCs w:val="18"/>
              </w:rPr>
              <w:t>510</w:t>
            </w:r>
          </w:p>
        </w:tc>
        <w:tc>
          <w:tcPr>
            <w:tcW w:w="1171" w:type="dxa"/>
            <w:tcBorders>
              <w:top w:val="single" w:sz="6" w:space="0" w:color="auto"/>
              <w:left w:val="single" w:sz="6" w:space="0" w:color="auto"/>
              <w:bottom w:val="single" w:sz="6" w:space="0" w:color="auto"/>
              <w:right w:val="single" w:sz="6" w:space="0" w:color="auto"/>
            </w:tcBorders>
            <w:hideMark/>
          </w:tcPr>
          <w:p w:rsidR="00A06FA4" w:rsidRDefault="00A06FA4">
            <w:pPr>
              <w:overflowPunct/>
              <w:spacing w:line="240" w:lineRule="atLeast"/>
              <w:ind w:left="15" w:right="458"/>
              <w:jc w:val="center"/>
              <w:rPr>
                <w:rFonts w:ascii="Helvetica" w:hAnsi="Helvetica" w:cs="Helvetica"/>
                <w:color w:val="000000"/>
                <w:sz w:val="18"/>
                <w:szCs w:val="18"/>
              </w:rPr>
            </w:pPr>
            <w:r>
              <w:rPr>
                <w:rFonts w:ascii="Helvetica" w:hAnsi="Helvetica" w:cs="Helvetica"/>
                <w:color w:val="000000"/>
                <w:sz w:val="18"/>
                <w:szCs w:val="18"/>
              </w:rPr>
              <w:t>.15</w:t>
            </w:r>
          </w:p>
        </w:tc>
        <w:tc>
          <w:tcPr>
            <w:tcW w:w="1091" w:type="dxa"/>
            <w:tcBorders>
              <w:top w:val="single" w:sz="6" w:space="0" w:color="auto"/>
              <w:left w:val="single" w:sz="6" w:space="0" w:color="auto"/>
              <w:bottom w:val="single" w:sz="6" w:space="0" w:color="auto"/>
              <w:right w:val="single" w:sz="4" w:space="0" w:color="auto"/>
            </w:tcBorders>
            <w:hideMark/>
          </w:tcPr>
          <w:p w:rsidR="00A06FA4" w:rsidRDefault="00A06FA4">
            <w:pPr>
              <w:overflowPunct/>
              <w:spacing w:line="240" w:lineRule="atLeast"/>
              <w:ind w:left="15" w:right="108"/>
              <w:jc w:val="right"/>
              <w:rPr>
                <w:rFonts w:ascii="Helvetica" w:hAnsi="Helvetica" w:cs="Helvetica"/>
                <w:color w:val="000000"/>
                <w:sz w:val="18"/>
                <w:szCs w:val="18"/>
              </w:rPr>
            </w:pPr>
            <w:r>
              <w:rPr>
                <w:rFonts w:ascii="Helvetica" w:hAnsi="Helvetica" w:cs="Helvetica"/>
                <w:color w:val="000000"/>
                <w:sz w:val="18"/>
                <w:szCs w:val="18"/>
              </w:rPr>
              <w:t>76.5</w:t>
            </w:r>
          </w:p>
        </w:tc>
      </w:tr>
      <w:tr w:rsidR="00A06FA4" w:rsidTr="00A06FA4">
        <w:tc>
          <w:tcPr>
            <w:tcW w:w="3279" w:type="dxa"/>
            <w:tcBorders>
              <w:top w:val="single" w:sz="6" w:space="0" w:color="auto"/>
              <w:left w:val="single" w:sz="4" w:space="0" w:color="auto"/>
              <w:bottom w:val="single" w:sz="4" w:space="0" w:color="auto"/>
              <w:right w:val="single" w:sz="6" w:space="0" w:color="auto"/>
            </w:tcBorders>
          </w:tcPr>
          <w:p w:rsidR="00A06FA4" w:rsidRDefault="00A06FA4">
            <w:pPr>
              <w:overflowPunct/>
              <w:spacing w:before="120" w:after="120" w:line="240" w:lineRule="atLeast"/>
              <w:ind w:left="108" w:right="108"/>
              <w:rPr>
                <w:rFonts w:ascii="Helvetica" w:hAnsi="Helvetica" w:cs="Helvetica"/>
                <w:color w:val="000000"/>
                <w:sz w:val="18"/>
                <w:szCs w:val="18"/>
              </w:rPr>
            </w:pPr>
          </w:p>
        </w:tc>
        <w:tc>
          <w:tcPr>
            <w:tcW w:w="2363" w:type="dxa"/>
            <w:tcBorders>
              <w:top w:val="single" w:sz="6" w:space="0" w:color="auto"/>
              <w:left w:val="single" w:sz="6" w:space="0" w:color="auto"/>
              <w:bottom w:val="single" w:sz="4" w:space="0" w:color="auto"/>
              <w:right w:val="single" w:sz="6" w:space="0" w:color="auto"/>
            </w:tcBorders>
          </w:tcPr>
          <w:p w:rsidR="00A06FA4" w:rsidRDefault="00A06FA4">
            <w:pPr>
              <w:overflowPunct/>
              <w:spacing w:line="240" w:lineRule="atLeast"/>
              <w:ind w:left="108" w:right="108"/>
              <w:rPr>
                <w:rFonts w:ascii="Helvetica" w:hAnsi="Helvetica" w:cs="Helvetica"/>
                <w:color w:val="000000"/>
                <w:sz w:val="18"/>
                <w:szCs w:val="18"/>
              </w:rPr>
            </w:pPr>
          </w:p>
        </w:tc>
        <w:tc>
          <w:tcPr>
            <w:tcW w:w="1241" w:type="dxa"/>
            <w:tcBorders>
              <w:top w:val="single" w:sz="6" w:space="0" w:color="auto"/>
              <w:left w:val="single" w:sz="6" w:space="0" w:color="auto"/>
              <w:bottom w:val="single" w:sz="4" w:space="0" w:color="auto"/>
              <w:right w:val="single" w:sz="6" w:space="0" w:color="auto"/>
            </w:tcBorders>
            <w:hideMark/>
          </w:tcPr>
          <w:p w:rsidR="00A06FA4" w:rsidRDefault="00A06FA4">
            <w:pPr>
              <w:overflowPunct/>
              <w:spacing w:line="240" w:lineRule="atLeast"/>
              <w:ind w:left="108" w:right="241"/>
              <w:jc w:val="right"/>
              <w:rPr>
                <w:rFonts w:ascii="Helvetica" w:hAnsi="Helvetica" w:cs="Helvetica"/>
                <w:b/>
                <w:bCs/>
                <w:color w:val="000000"/>
                <w:sz w:val="18"/>
                <w:szCs w:val="18"/>
              </w:rPr>
            </w:pPr>
            <w:r>
              <w:rPr>
                <w:rFonts w:ascii="Helvetica" w:hAnsi="Helvetica" w:cs="Helvetica"/>
                <w:b/>
                <w:bCs/>
                <w:color w:val="000000"/>
                <w:sz w:val="18"/>
                <w:szCs w:val="18"/>
              </w:rPr>
              <w:t>4,746</w:t>
            </w:r>
          </w:p>
        </w:tc>
        <w:tc>
          <w:tcPr>
            <w:tcW w:w="1804" w:type="dxa"/>
            <w:tcBorders>
              <w:top w:val="single" w:sz="6" w:space="0" w:color="auto"/>
              <w:left w:val="single" w:sz="6" w:space="0" w:color="auto"/>
              <w:bottom w:val="single" w:sz="4" w:space="0" w:color="auto"/>
              <w:right w:val="single" w:sz="6" w:space="0" w:color="auto"/>
            </w:tcBorders>
            <w:hideMark/>
          </w:tcPr>
          <w:p w:rsidR="00A06FA4" w:rsidRDefault="00A06FA4">
            <w:pPr>
              <w:tabs>
                <w:tab w:val="left" w:pos="1627"/>
              </w:tabs>
              <w:overflowPunct/>
              <w:spacing w:line="240" w:lineRule="atLeast"/>
              <w:ind w:left="108" w:right="97"/>
              <w:jc w:val="right"/>
              <w:rPr>
                <w:rFonts w:ascii="Helvetica" w:hAnsi="Helvetica" w:cs="Helvetica"/>
                <w:b/>
                <w:bCs/>
                <w:color w:val="000000"/>
                <w:sz w:val="18"/>
                <w:szCs w:val="18"/>
              </w:rPr>
            </w:pPr>
            <w:r>
              <w:rPr>
                <w:rFonts w:ascii="Helvetica" w:hAnsi="Helvetica" w:cs="Helvetica"/>
                <w:b/>
                <w:bCs/>
                <w:color w:val="000000"/>
                <w:sz w:val="18"/>
                <w:szCs w:val="18"/>
              </w:rPr>
              <w:t>73,266</w:t>
            </w:r>
          </w:p>
        </w:tc>
        <w:tc>
          <w:tcPr>
            <w:tcW w:w="1171" w:type="dxa"/>
            <w:tcBorders>
              <w:top w:val="single" w:sz="6" w:space="0" w:color="auto"/>
              <w:left w:val="single" w:sz="6" w:space="0" w:color="auto"/>
              <w:bottom w:val="single" w:sz="4" w:space="0" w:color="auto"/>
              <w:right w:val="single" w:sz="6" w:space="0" w:color="auto"/>
            </w:tcBorders>
          </w:tcPr>
          <w:p w:rsidR="00A06FA4" w:rsidRDefault="00A06FA4">
            <w:pPr>
              <w:overflowPunct/>
              <w:spacing w:line="240" w:lineRule="atLeast"/>
              <w:ind w:left="108" w:right="108"/>
              <w:rPr>
                <w:rFonts w:ascii="Helvetica" w:hAnsi="Helvetica" w:cs="Helvetica"/>
                <w:b/>
                <w:bCs/>
                <w:color w:val="000000"/>
                <w:sz w:val="18"/>
                <w:szCs w:val="18"/>
              </w:rPr>
            </w:pPr>
          </w:p>
        </w:tc>
        <w:tc>
          <w:tcPr>
            <w:tcW w:w="1091" w:type="dxa"/>
            <w:tcBorders>
              <w:top w:val="single" w:sz="6" w:space="0" w:color="auto"/>
              <w:left w:val="single" w:sz="6" w:space="0" w:color="auto"/>
              <w:bottom w:val="single" w:sz="4" w:space="0" w:color="auto"/>
              <w:right w:val="single" w:sz="4" w:space="0" w:color="auto"/>
            </w:tcBorders>
            <w:hideMark/>
          </w:tcPr>
          <w:p w:rsidR="00A06FA4" w:rsidRDefault="00A06FA4">
            <w:pPr>
              <w:overflowPunct/>
              <w:spacing w:line="240" w:lineRule="atLeast"/>
              <w:ind w:left="26" w:right="229"/>
              <w:jc w:val="right"/>
              <w:rPr>
                <w:rFonts w:ascii="Helvetica" w:hAnsi="Helvetica" w:cs="Helvetica"/>
                <w:b/>
                <w:bCs/>
                <w:color w:val="000000"/>
                <w:sz w:val="18"/>
                <w:szCs w:val="18"/>
              </w:rPr>
            </w:pPr>
            <w:r>
              <w:rPr>
                <w:rFonts w:ascii="Helvetica" w:hAnsi="Helvetica" w:cs="Helvetica"/>
                <w:b/>
                <w:bCs/>
                <w:color w:val="000000"/>
                <w:sz w:val="18"/>
                <w:szCs w:val="18"/>
              </w:rPr>
              <w:t>10,990</w:t>
            </w:r>
          </w:p>
        </w:tc>
      </w:tr>
    </w:tbl>
    <w:p w:rsidR="00A06FA4" w:rsidRDefault="00A06FA4" w:rsidP="00A06FA4">
      <w:pPr>
        <w:overflowPunct/>
        <w:rPr>
          <w:rFonts w:ascii="Helvetica" w:hAnsi="Helvetica" w:cs="Helvetica"/>
          <w:b/>
          <w:bCs/>
          <w:color w:val="000000"/>
          <w:sz w:val="18"/>
          <w:szCs w:val="18"/>
        </w:rPr>
      </w:pPr>
    </w:p>
    <w:p w:rsidR="00A06FA4" w:rsidRDefault="00A06FA4" w:rsidP="00A06FA4">
      <w:pPr>
        <w:spacing w:after="80"/>
        <w:ind w:left="360"/>
        <w:rPr>
          <w:sz w:val="24"/>
        </w:rPr>
      </w:pPr>
    </w:p>
    <w:p w:rsidR="00A06FA4" w:rsidRDefault="00A06FA4" w:rsidP="00A06FA4">
      <w:pPr>
        <w:pStyle w:val="BodyTextIndent2"/>
        <w:spacing w:before="80"/>
      </w:pPr>
      <w:r>
        <w:t>*</w:t>
      </w:r>
      <w:r>
        <w:tab/>
        <w:t>The total number of respondents for all forms included in this collection is 4,746.  This represents the number of PHAs, tribes, TDHEs (tribally designated housing entities), non-profit organizations and other non-PHA entities receiving funds under Office of Public and Indian Housing programs and accounts for PHA consolidations. Many of these respondents are represented in multiple program categories and have multiple grants within each program area.</w:t>
      </w:r>
    </w:p>
    <w:p w:rsidR="00A06FA4" w:rsidRDefault="00A06FA4" w:rsidP="00A06FA4">
      <w:pPr>
        <w:pStyle w:val="BodyTextIndent2"/>
        <w:tabs>
          <w:tab w:val="left" w:pos="360"/>
        </w:tabs>
        <w:spacing w:before="80"/>
        <w:ind w:left="360" w:firstLine="0"/>
        <w:rPr>
          <w:color w:val="000000"/>
        </w:rPr>
      </w:pPr>
      <w:r>
        <w:t>Estimated annual cost to respondents is $370,241, based on financial or administrative staff spending nine minutes for each payment voucher for all programs at an administrative, fully loaded hourly rate of $21.63 for the total of 17,117 burden hours associated with this collection.</w:t>
      </w:r>
    </w:p>
    <w:p w:rsidR="00A06FA4" w:rsidRDefault="00A06FA4" w:rsidP="00A06FA4">
      <w:pPr>
        <w:tabs>
          <w:tab w:val="left" w:pos="360"/>
        </w:tabs>
        <w:ind w:left="360" w:hanging="360"/>
        <w:rPr>
          <w:color w:val="000000"/>
          <w:sz w:val="18"/>
        </w:rPr>
      </w:pPr>
    </w:p>
    <w:p w:rsidR="00A06FA4" w:rsidRDefault="00A06FA4" w:rsidP="00A06FA4">
      <w:pPr>
        <w:pStyle w:val="BodyTextIndent"/>
      </w:pPr>
      <w:r>
        <w:t>13.</w:t>
      </w:r>
      <w:r>
        <w:tab/>
        <w:t xml:space="preserve">Estimate of the annual cost to respondents or </w:t>
      </w:r>
      <w:proofErr w:type="spellStart"/>
      <w:r>
        <w:t>recordkeepers</w:t>
      </w:r>
      <w:proofErr w:type="spellEnd"/>
      <w:r>
        <w:t xml:space="preserve"> (do not include the cost of </w:t>
      </w:r>
      <w:proofErr w:type="spellStart"/>
      <w:r>
        <w:t>hour</w:t>
      </w:r>
      <w:proofErr w:type="spellEnd"/>
      <w:r>
        <w:t xml:space="preserve"> burden shown in Items 12 and 14).  Read the complete instructions on the form 83i.  </w:t>
      </w:r>
    </w:p>
    <w:p w:rsidR="00A06FA4" w:rsidRDefault="00A06FA4" w:rsidP="00A06FA4">
      <w:pPr>
        <w:pStyle w:val="BodyTextIndent"/>
        <w:spacing w:before="80"/>
        <w:ind w:firstLine="0"/>
        <w:rPr>
          <w:sz w:val="22"/>
        </w:rPr>
      </w:pPr>
      <w:r>
        <w:rPr>
          <w:sz w:val="22"/>
        </w:rPr>
        <w:t>No additional costs for respondents.</w:t>
      </w:r>
    </w:p>
    <w:p w:rsidR="00A06FA4" w:rsidRDefault="00A06FA4" w:rsidP="00A06FA4">
      <w:pPr>
        <w:tabs>
          <w:tab w:val="left" w:pos="360"/>
        </w:tabs>
        <w:ind w:left="360" w:hanging="360"/>
        <w:rPr>
          <w:color w:val="000000"/>
          <w:sz w:val="18"/>
        </w:rPr>
      </w:pPr>
    </w:p>
    <w:p w:rsidR="00A06FA4" w:rsidRDefault="00A06FA4" w:rsidP="00A06FA4">
      <w:pPr>
        <w:keepLines/>
        <w:tabs>
          <w:tab w:val="left" w:pos="360"/>
        </w:tabs>
        <w:spacing w:after="80"/>
        <w:ind w:left="360" w:hanging="360"/>
        <w:rPr>
          <w:color w:val="000000"/>
          <w:sz w:val="18"/>
        </w:rPr>
      </w:pPr>
      <w:r>
        <w:rPr>
          <w:color w:val="000000"/>
          <w:sz w:val="18"/>
        </w:rPr>
        <w:t>14.</w:t>
      </w:r>
      <w:r>
        <w:rPr>
          <w:color w:val="000000"/>
          <w:sz w:val="18"/>
        </w:rPr>
        <w:tab/>
      </w:r>
      <w:r>
        <w:rPr>
          <w:color w:val="000000"/>
          <w:sz w:val="22"/>
          <w:szCs w:val="22"/>
        </w:rPr>
        <w:t>Estimate annualized costs to the Federal government.</w:t>
      </w:r>
      <w:r>
        <w:rPr>
          <w:color w:val="000000"/>
          <w:sz w:val="18"/>
        </w:rPr>
        <w:t xml:space="preserve">  </w:t>
      </w:r>
    </w:p>
    <w:p w:rsidR="00A06FA4" w:rsidRDefault="00A06FA4" w:rsidP="00A06FA4">
      <w:pPr>
        <w:keepLines/>
        <w:tabs>
          <w:tab w:val="left" w:pos="360"/>
        </w:tabs>
        <w:spacing w:after="80"/>
        <w:ind w:left="360" w:hanging="360"/>
        <w:rPr>
          <w:color w:val="000000"/>
          <w:sz w:val="22"/>
        </w:rPr>
      </w:pPr>
      <w:r>
        <w:rPr>
          <w:color w:val="000000"/>
          <w:sz w:val="18"/>
        </w:rPr>
        <w:tab/>
      </w:r>
      <w:r>
        <w:rPr>
          <w:color w:val="000000"/>
          <w:sz w:val="22"/>
        </w:rPr>
        <w:t>There are no estimated annualized costs provided for the Federal government.  Collection of this information is part of normal operations associated with disbursement, management, and accounting of federal funds.</w:t>
      </w:r>
    </w:p>
    <w:p w:rsidR="00A06FA4" w:rsidRDefault="00A06FA4" w:rsidP="00A06FA4">
      <w:pPr>
        <w:tabs>
          <w:tab w:val="left" w:pos="360"/>
        </w:tabs>
        <w:ind w:left="360" w:hanging="360"/>
        <w:rPr>
          <w:color w:val="000000"/>
          <w:sz w:val="18"/>
        </w:rPr>
      </w:pPr>
    </w:p>
    <w:p w:rsidR="00A06FA4" w:rsidRDefault="00A06FA4" w:rsidP="00A06FA4">
      <w:pPr>
        <w:tabs>
          <w:tab w:val="left" w:pos="720"/>
        </w:tabs>
        <w:overflowPunct/>
        <w:ind w:left="277" w:right="18" w:hanging="277"/>
        <w:rPr>
          <w:color w:val="000000"/>
          <w:sz w:val="18"/>
        </w:rPr>
      </w:pPr>
      <w:proofErr w:type="gramStart"/>
      <w:r>
        <w:rPr>
          <w:color w:val="000000"/>
          <w:sz w:val="18"/>
        </w:rPr>
        <w:t>15 .</w:t>
      </w:r>
      <w:proofErr w:type="gramEnd"/>
      <w:r>
        <w:rPr>
          <w:color w:val="000000"/>
          <w:sz w:val="18"/>
        </w:rPr>
        <w:t xml:space="preserve">  Explain </w:t>
      </w:r>
      <w:r>
        <w:rPr>
          <w:color w:val="000000"/>
          <w:sz w:val="22"/>
          <w:szCs w:val="22"/>
        </w:rPr>
        <w:t>any program changes or adjustments reported in items 13 and 14 of the OMB Form 83i.</w:t>
      </w:r>
      <w:r>
        <w:rPr>
          <w:color w:val="000000"/>
          <w:sz w:val="18"/>
        </w:rPr>
        <w:t xml:space="preserve">  </w:t>
      </w:r>
    </w:p>
    <w:p w:rsidR="00A06FA4" w:rsidRDefault="00A06FA4" w:rsidP="00A06FA4">
      <w:pPr>
        <w:tabs>
          <w:tab w:val="left" w:pos="720"/>
        </w:tabs>
        <w:overflowPunct/>
        <w:ind w:left="277" w:right="18"/>
        <w:rPr>
          <w:b/>
          <w:color w:val="FF0000"/>
          <w:sz w:val="22"/>
          <w:szCs w:val="22"/>
        </w:rPr>
      </w:pPr>
      <w:r>
        <w:rPr>
          <w:color w:val="000000"/>
          <w:sz w:val="22"/>
          <w:szCs w:val="22"/>
        </w:rPr>
        <w:t xml:space="preserve">This information collection was revised to remove several obsolete forms that are no longer required.  Forms 50080-MTW, AP, C, CB-CR, CBG, HSS, RMBD, RSDM, YAP, and UYC are obsolete and does </w:t>
      </w:r>
      <w:proofErr w:type="spellStart"/>
      <w:r>
        <w:rPr>
          <w:color w:val="000000"/>
          <w:sz w:val="22"/>
          <w:szCs w:val="22"/>
        </w:rPr>
        <w:t>note</w:t>
      </w:r>
      <w:proofErr w:type="spellEnd"/>
      <w:r>
        <w:rPr>
          <w:color w:val="000000"/>
          <w:sz w:val="22"/>
          <w:szCs w:val="22"/>
        </w:rPr>
        <w:t xml:space="preserve"> need to be continued.  These forms are no longer necessary.  </w:t>
      </w:r>
    </w:p>
    <w:p w:rsidR="00A06FA4" w:rsidRDefault="00A06FA4" w:rsidP="00A06FA4">
      <w:pPr>
        <w:keepLines/>
        <w:tabs>
          <w:tab w:val="left" w:pos="360"/>
        </w:tabs>
        <w:spacing w:after="80"/>
        <w:ind w:left="360" w:hanging="360"/>
        <w:rPr>
          <w:color w:val="000000"/>
          <w:sz w:val="18"/>
        </w:rPr>
      </w:pPr>
    </w:p>
    <w:p w:rsidR="00A06FA4" w:rsidRDefault="00A06FA4" w:rsidP="00A06FA4">
      <w:pPr>
        <w:keepLines/>
        <w:tabs>
          <w:tab w:val="left" w:pos="360"/>
        </w:tabs>
        <w:spacing w:after="80"/>
        <w:ind w:left="360" w:hanging="360"/>
        <w:rPr>
          <w:color w:val="000000"/>
          <w:sz w:val="22"/>
        </w:rPr>
      </w:pPr>
      <w:r>
        <w:rPr>
          <w:color w:val="000000"/>
          <w:sz w:val="18"/>
        </w:rPr>
        <w:tab/>
      </w:r>
      <w:r>
        <w:rPr>
          <w:color w:val="000000"/>
          <w:sz w:val="22"/>
        </w:rPr>
        <w:t xml:space="preserve">The adjustments are reflected in the accurate assessment of current program activity.  </w:t>
      </w:r>
    </w:p>
    <w:p w:rsidR="00A06FA4" w:rsidRDefault="00A06FA4" w:rsidP="00A06FA4">
      <w:pPr>
        <w:tabs>
          <w:tab w:val="left" w:pos="360"/>
        </w:tabs>
        <w:ind w:left="360" w:hanging="360"/>
        <w:rPr>
          <w:color w:val="000000"/>
          <w:sz w:val="18"/>
        </w:rPr>
      </w:pPr>
    </w:p>
    <w:p w:rsidR="00A06FA4" w:rsidRDefault="00A06FA4" w:rsidP="00A06FA4">
      <w:pPr>
        <w:keepLines/>
        <w:tabs>
          <w:tab w:val="left" w:pos="360"/>
          <w:tab w:val="left" w:pos="720"/>
        </w:tabs>
        <w:ind w:left="360" w:hanging="360"/>
        <w:rPr>
          <w:color w:val="000000"/>
          <w:sz w:val="18"/>
        </w:rPr>
      </w:pPr>
      <w:r>
        <w:rPr>
          <w:color w:val="000000"/>
          <w:sz w:val="18"/>
        </w:rPr>
        <w:t>16.</w:t>
      </w:r>
      <w:r>
        <w:rPr>
          <w:color w:val="000000"/>
          <w:sz w:val="18"/>
        </w:rPr>
        <w:tab/>
        <w:t xml:space="preserve">If the information will be published, outline plans for tabulation and publication.  </w:t>
      </w:r>
    </w:p>
    <w:p w:rsidR="00A06FA4" w:rsidRDefault="00A06FA4" w:rsidP="00A06FA4">
      <w:pPr>
        <w:keepLines/>
        <w:tabs>
          <w:tab w:val="left" w:pos="360"/>
          <w:tab w:val="left" w:pos="720"/>
        </w:tabs>
        <w:spacing w:before="80"/>
        <w:ind w:left="360"/>
        <w:rPr>
          <w:color w:val="000000"/>
          <w:sz w:val="24"/>
        </w:rPr>
      </w:pPr>
      <w:r>
        <w:rPr>
          <w:color w:val="000000"/>
          <w:sz w:val="24"/>
        </w:rPr>
        <w:t>This information will not be published.</w:t>
      </w:r>
    </w:p>
    <w:p w:rsidR="00A06FA4" w:rsidRDefault="00A06FA4" w:rsidP="00A06FA4">
      <w:pPr>
        <w:tabs>
          <w:tab w:val="left" w:pos="360"/>
        </w:tabs>
        <w:ind w:left="360" w:hanging="360"/>
        <w:rPr>
          <w:color w:val="000000"/>
          <w:sz w:val="18"/>
        </w:rPr>
      </w:pPr>
    </w:p>
    <w:p w:rsidR="00A06FA4" w:rsidRDefault="00A06FA4" w:rsidP="00A06FA4">
      <w:pPr>
        <w:keepLines/>
        <w:tabs>
          <w:tab w:val="left" w:pos="360"/>
          <w:tab w:val="left" w:pos="720"/>
        </w:tabs>
        <w:ind w:left="360" w:hanging="360"/>
        <w:rPr>
          <w:color w:val="000000"/>
          <w:sz w:val="18"/>
        </w:rPr>
      </w:pPr>
      <w:r>
        <w:rPr>
          <w:color w:val="000000"/>
          <w:sz w:val="18"/>
        </w:rPr>
        <w:t>17.</w:t>
      </w:r>
      <w:r>
        <w:rPr>
          <w:color w:val="000000"/>
          <w:sz w:val="18"/>
        </w:rPr>
        <w:tab/>
        <w:t xml:space="preserve">Explain any request to not display the expiration date. </w:t>
      </w:r>
    </w:p>
    <w:p w:rsidR="00A06FA4" w:rsidRDefault="00A06FA4" w:rsidP="00A06FA4">
      <w:pPr>
        <w:keepLines/>
        <w:tabs>
          <w:tab w:val="left" w:pos="360"/>
          <w:tab w:val="left" w:pos="720"/>
        </w:tabs>
        <w:spacing w:before="80"/>
        <w:ind w:left="360"/>
        <w:rPr>
          <w:color w:val="000000"/>
          <w:sz w:val="24"/>
        </w:rPr>
      </w:pPr>
      <w:r>
        <w:rPr>
          <w:color w:val="000000"/>
          <w:sz w:val="24"/>
        </w:rPr>
        <w:t>No request is made not to display the expiration date.</w:t>
      </w:r>
    </w:p>
    <w:p w:rsidR="00A06FA4" w:rsidRDefault="00A06FA4" w:rsidP="00A06FA4">
      <w:pPr>
        <w:tabs>
          <w:tab w:val="left" w:pos="360"/>
        </w:tabs>
        <w:ind w:left="360" w:hanging="360"/>
        <w:rPr>
          <w:color w:val="000000"/>
          <w:sz w:val="18"/>
        </w:rPr>
      </w:pPr>
    </w:p>
    <w:p w:rsidR="00A06FA4" w:rsidRDefault="00A06FA4" w:rsidP="00A06FA4">
      <w:pPr>
        <w:keepLines/>
        <w:tabs>
          <w:tab w:val="left" w:pos="360"/>
        </w:tabs>
        <w:spacing w:after="80"/>
        <w:ind w:left="360" w:hanging="360"/>
        <w:rPr>
          <w:color w:val="000000"/>
          <w:sz w:val="18"/>
        </w:rPr>
      </w:pPr>
      <w:r>
        <w:rPr>
          <w:color w:val="000000"/>
          <w:sz w:val="18"/>
        </w:rPr>
        <w:t>18.</w:t>
      </w:r>
      <w:r>
        <w:rPr>
          <w:color w:val="000000"/>
          <w:sz w:val="18"/>
        </w:rPr>
        <w:tab/>
        <w:t xml:space="preserve">Explain each exception to the certification statement identified in item 19.  </w:t>
      </w:r>
    </w:p>
    <w:p w:rsidR="00A06FA4" w:rsidRDefault="00A06FA4" w:rsidP="00A06FA4">
      <w:pPr>
        <w:keepLines/>
        <w:tabs>
          <w:tab w:val="left" w:pos="360"/>
        </w:tabs>
        <w:spacing w:after="80"/>
        <w:ind w:left="360"/>
        <w:rPr>
          <w:color w:val="000000"/>
          <w:sz w:val="24"/>
        </w:rPr>
      </w:pPr>
      <w:r>
        <w:rPr>
          <w:color w:val="000000"/>
          <w:sz w:val="24"/>
        </w:rPr>
        <w:t>There are no exceptions to the certification statement in item 19.</w:t>
      </w:r>
    </w:p>
    <w:p w:rsidR="00A06FA4" w:rsidRDefault="00A06FA4" w:rsidP="00A06FA4">
      <w:pPr>
        <w:tabs>
          <w:tab w:val="left" w:pos="360"/>
          <w:tab w:val="left" w:pos="720"/>
        </w:tabs>
        <w:rPr>
          <w:color w:val="000000"/>
        </w:rPr>
      </w:pPr>
    </w:p>
    <w:p w:rsidR="00A06FA4" w:rsidRDefault="00A06FA4" w:rsidP="00A06FA4">
      <w:pPr>
        <w:pStyle w:val="Heading1"/>
        <w:rPr>
          <w:rFonts w:ascii="Courier" w:hAnsi="Courier"/>
        </w:rPr>
      </w:pPr>
      <w:r>
        <w:lastRenderedPageBreak/>
        <w:t xml:space="preserve">B. </w:t>
      </w:r>
      <w:r>
        <w:tab/>
        <w:t>Collections of Information Employing Statistical Methods</w:t>
      </w:r>
    </w:p>
    <w:p w:rsidR="00A06FA4" w:rsidRDefault="00A06FA4" w:rsidP="00A06FA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A06FA4" w:rsidRDefault="00C17F03" w:rsidP="00A06FA4">
      <w:pPr>
        <w:keepLines/>
        <w:tabs>
          <w:tab w:val="left" w:pos="360"/>
          <w:tab w:val="left" w:pos="720"/>
        </w:tabs>
        <w:ind w:left="360"/>
        <w:rPr>
          <w:color w:val="000000"/>
          <w:sz w:val="18"/>
        </w:rPr>
      </w:pPr>
      <w:r>
        <w:rPr>
          <w:color w:val="000000"/>
          <w:sz w:val="22"/>
        </w:rPr>
        <w:fldChar w:fldCharType="begin">
          <w:ffData>
            <w:name w:val="Text22"/>
            <w:enabled/>
            <w:calcOnExit w:val="0"/>
            <w:textInput/>
          </w:ffData>
        </w:fldChar>
      </w:r>
      <w:r w:rsidR="00A06FA4">
        <w:rPr>
          <w:color w:val="000000"/>
          <w:sz w:val="22"/>
        </w:rPr>
        <w:instrText xml:space="preserve"> FORMTEXT </w:instrText>
      </w:r>
      <w:r>
        <w:rPr>
          <w:color w:val="000000"/>
          <w:sz w:val="22"/>
        </w:rPr>
      </w:r>
      <w:r>
        <w:rPr>
          <w:color w:val="000000"/>
          <w:sz w:val="22"/>
        </w:rPr>
        <w:fldChar w:fldCharType="separate"/>
      </w:r>
      <w:r w:rsidR="00A06FA4">
        <w:rPr>
          <w:noProof/>
          <w:color w:val="000000"/>
          <w:sz w:val="22"/>
        </w:rPr>
        <w:t> </w:t>
      </w:r>
      <w:r w:rsidR="00A06FA4">
        <w:rPr>
          <w:noProof/>
          <w:color w:val="000000"/>
          <w:sz w:val="22"/>
        </w:rPr>
        <w:t> </w:t>
      </w:r>
      <w:r w:rsidR="00A06FA4">
        <w:rPr>
          <w:noProof/>
          <w:color w:val="000000"/>
          <w:sz w:val="22"/>
        </w:rPr>
        <w:t> </w:t>
      </w:r>
      <w:r w:rsidR="00A06FA4">
        <w:rPr>
          <w:noProof/>
          <w:color w:val="000000"/>
          <w:sz w:val="22"/>
        </w:rPr>
        <w:t> </w:t>
      </w:r>
      <w:r w:rsidR="00A06FA4">
        <w:rPr>
          <w:noProof/>
          <w:color w:val="000000"/>
          <w:sz w:val="22"/>
        </w:rPr>
        <w:t> </w:t>
      </w:r>
      <w:r>
        <w:rPr>
          <w:color w:val="000000"/>
          <w:sz w:val="22"/>
        </w:rPr>
        <w:fldChar w:fldCharType="end"/>
      </w:r>
    </w:p>
    <w:p w:rsidR="000103A3" w:rsidRDefault="000103A3"/>
    <w:sectPr w:rsidR="000103A3" w:rsidSect="00E240B7">
      <w:pgSz w:w="12240" w:h="15840"/>
      <w:pgMar w:top="1440" w:right="360" w:bottom="14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pPr>
        <w:ind w:left="0" w:firstLine="0"/>
      </w:pPr>
    </w:lvl>
  </w:abstractNum>
  <w:abstractNum w:abstractNumId="1">
    <w:nsid w:val="12EA567B"/>
    <w:multiLevelType w:val="singleLevel"/>
    <w:tmpl w:val="B05C3F28"/>
    <w:lvl w:ilvl="0">
      <w:start w:val="11"/>
      <w:numFmt w:val="decimal"/>
      <w:lvlText w:val="%1. "/>
      <w:lvlJc w:val="left"/>
      <w:pPr>
        <w:tabs>
          <w:tab w:val="num" w:pos="360"/>
        </w:tabs>
        <w:ind w:left="360" w:hanging="360"/>
      </w:pPr>
      <w:rPr>
        <w:b w:val="0"/>
        <w:i w:val="0"/>
        <w:sz w:val="18"/>
      </w:rPr>
    </w:lvl>
  </w:abstractNum>
  <w:abstractNum w:abstractNumId="2">
    <w:nsid w:val="141646B6"/>
    <w:multiLevelType w:val="singleLevel"/>
    <w:tmpl w:val="1140418A"/>
    <w:lvl w:ilvl="0">
      <w:start w:val="6"/>
      <w:numFmt w:val="decimal"/>
      <w:lvlText w:val="%1. "/>
      <w:legacy w:legacy="1" w:legacySpace="0" w:legacyIndent="360"/>
      <w:lvlJc w:val="left"/>
      <w:pPr>
        <w:ind w:left="360" w:hanging="360"/>
      </w:pPr>
      <w:rPr>
        <w:rFonts w:ascii="Courier" w:hAnsi="Courier" w:hint="default"/>
        <w:b w:val="0"/>
        <w:i w:val="0"/>
        <w:strike w:val="0"/>
        <w:dstrike w:val="0"/>
        <w:sz w:val="20"/>
        <w:u w:val="none"/>
        <w:effect w:val="none"/>
      </w:rPr>
    </w:lvl>
  </w:abstractNum>
  <w:abstractNum w:abstractNumId="3">
    <w:nsid w:val="446C1FA8"/>
    <w:multiLevelType w:val="singleLevel"/>
    <w:tmpl w:val="5920779A"/>
    <w:lvl w:ilvl="0">
      <w:start w:val="3"/>
      <w:numFmt w:val="decimal"/>
      <w:lvlText w:val="%1. "/>
      <w:legacy w:legacy="1" w:legacySpace="0" w:legacyIndent="360"/>
      <w:lvlJc w:val="left"/>
      <w:pPr>
        <w:ind w:left="360" w:hanging="360"/>
      </w:pPr>
      <w:rPr>
        <w:rFonts w:ascii="Courier" w:hAnsi="Courier" w:hint="default"/>
        <w:b w:val="0"/>
        <w:i w:val="0"/>
        <w:strike w:val="0"/>
        <w:dstrike w:val="0"/>
        <w:sz w:val="20"/>
        <w:u w:val="none"/>
        <w:effect w:val="none"/>
      </w:rPr>
    </w:lvl>
  </w:abstractNum>
  <w:abstractNum w:abstractNumId="4">
    <w:nsid w:val="46C23126"/>
    <w:multiLevelType w:val="singleLevel"/>
    <w:tmpl w:val="5EE83EE2"/>
    <w:lvl w:ilvl="0">
      <w:start w:val="8"/>
      <w:numFmt w:val="decimal"/>
      <w:lvlText w:val="%1. "/>
      <w:legacy w:legacy="1" w:legacySpace="0" w:legacyIndent="360"/>
      <w:lvlJc w:val="left"/>
      <w:pPr>
        <w:ind w:left="360" w:hanging="360"/>
      </w:pPr>
      <w:rPr>
        <w:rFonts w:ascii="Courier" w:hAnsi="Courier" w:hint="default"/>
        <w:b w:val="0"/>
        <w:i w:val="0"/>
        <w:sz w:val="20"/>
      </w:rPr>
    </w:lvl>
  </w:abstractNum>
  <w:abstractNum w:abstractNumId="5">
    <w:nsid w:val="55695F80"/>
    <w:multiLevelType w:val="singleLevel"/>
    <w:tmpl w:val="0EA2DFF8"/>
    <w:lvl w:ilvl="0">
      <w:start w:val="4"/>
      <w:numFmt w:val="decimal"/>
      <w:lvlText w:val="%1. "/>
      <w:legacy w:legacy="1" w:legacySpace="0" w:legacyIndent="360"/>
      <w:lvlJc w:val="left"/>
      <w:pPr>
        <w:ind w:left="360" w:hanging="360"/>
      </w:pPr>
      <w:rPr>
        <w:rFonts w:ascii="Courier" w:hAnsi="Courier" w:hint="default"/>
        <w:b w:val="0"/>
        <w:i w:val="0"/>
        <w:strike w:val="0"/>
        <w:dstrike w:val="0"/>
        <w:sz w:val="20"/>
        <w:u w:val="none"/>
        <w:effect w:val="none"/>
      </w:rPr>
    </w:lvl>
  </w:abstractNum>
  <w:abstractNum w:abstractNumId="6">
    <w:nsid w:val="5B8E1D85"/>
    <w:multiLevelType w:val="hybridMultilevel"/>
    <w:tmpl w:val="574A4B9A"/>
    <w:lvl w:ilvl="0" w:tplc="B7D8541E">
      <w:start w:val="1"/>
      <w:numFmt w:val="decimal"/>
      <w:lvlText w:val="%1."/>
      <w:lvlJc w:val="left"/>
      <w:pPr>
        <w:ind w:left="720" w:hanging="360"/>
      </w:pPr>
      <w:rPr>
        <w:sz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7341BC"/>
    <w:multiLevelType w:val="singleLevel"/>
    <w:tmpl w:val="0FB04156"/>
    <w:lvl w:ilvl="0">
      <w:start w:val="9"/>
      <w:numFmt w:val="decimal"/>
      <w:lvlText w:val="%1. "/>
      <w:legacy w:legacy="1" w:legacySpace="0" w:legacyIndent="360"/>
      <w:lvlJc w:val="left"/>
      <w:pPr>
        <w:ind w:left="360" w:hanging="360"/>
      </w:pPr>
      <w:rPr>
        <w:rFonts w:ascii="Courier" w:hAnsi="Courier" w:hint="default"/>
        <w:b w:val="0"/>
        <w:i w:val="0"/>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num>
  <w:num w:numId="3">
    <w:abstractNumId w:val="5"/>
    <w:lvlOverride w:ilvl="0">
      <w:startOverride w:val="4"/>
    </w:lvlOverride>
  </w:num>
  <w:num w:numId="4">
    <w:abstractNumId w:val="2"/>
    <w:lvlOverride w:ilvl="0">
      <w:startOverride w:val="6"/>
    </w:lvlOverride>
  </w:num>
  <w:num w:numId="5">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6">
    <w:abstractNumId w:val="4"/>
    <w:lvlOverride w:ilvl="0">
      <w:startOverride w:val="8"/>
    </w:lvlOverride>
  </w:num>
  <w:num w:numId="7">
    <w:abstractNumId w:val="7"/>
    <w:lvlOverride w:ilvl="0">
      <w:startOverride w:val="9"/>
    </w:lvlOverride>
  </w:num>
  <w:num w:numId="8">
    <w:abstractNumId w:val="1"/>
    <w:lvlOverride w:ilvl="0">
      <w:startOverride w:val="1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drawingGridHorizontalSpacing w:val="100"/>
  <w:displayHorizontalDrawingGridEvery w:val="2"/>
  <w:characterSpacingControl w:val="doNotCompress"/>
  <w:compat/>
  <w:rsids>
    <w:rsidRoot w:val="00A06FA4"/>
    <w:rsid w:val="000103A3"/>
    <w:rsid w:val="00A06FA4"/>
    <w:rsid w:val="00C17F03"/>
    <w:rsid w:val="00E24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FA4"/>
    <w:pPr>
      <w:overflowPunct w:val="0"/>
      <w:autoSpaceDE w:val="0"/>
      <w:autoSpaceDN w:val="0"/>
      <w:adjustRightInd w:val="0"/>
    </w:pPr>
  </w:style>
  <w:style w:type="paragraph" w:styleId="Heading1">
    <w:name w:val="heading 1"/>
    <w:basedOn w:val="Normal"/>
    <w:next w:val="Normal"/>
    <w:link w:val="Heading1Char"/>
    <w:qFormat/>
    <w:rsid w:val="00A06FA4"/>
    <w:pPr>
      <w:keepNext/>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6FA4"/>
    <w:rPr>
      <w:rFonts w:ascii="Helvetica" w:hAnsi="Helvetica"/>
      <w:b/>
      <w:color w:val="000000"/>
      <w:sz w:val="18"/>
    </w:rPr>
  </w:style>
  <w:style w:type="paragraph" w:styleId="BodyTextIndent">
    <w:name w:val="Body Text Indent"/>
    <w:basedOn w:val="Normal"/>
    <w:link w:val="BodyTextIndentChar"/>
    <w:unhideWhenUsed/>
    <w:rsid w:val="00A06FA4"/>
    <w:pPr>
      <w:tabs>
        <w:tab w:val="left" w:pos="360"/>
      </w:tabs>
      <w:ind w:left="360" w:hanging="360"/>
    </w:pPr>
    <w:rPr>
      <w:color w:val="000000"/>
      <w:sz w:val="18"/>
    </w:rPr>
  </w:style>
  <w:style w:type="character" w:customStyle="1" w:styleId="BodyTextIndentChar">
    <w:name w:val="Body Text Indent Char"/>
    <w:basedOn w:val="DefaultParagraphFont"/>
    <w:link w:val="BodyTextIndent"/>
    <w:rsid w:val="00A06FA4"/>
    <w:rPr>
      <w:color w:val="000000"/>
      <w:sz w:val="18"/>
    </w:rPr>
  </w:style>
  <w:style w:type="paragraph" w:styleId="BodyTextIndent2">
    <w:name w:val="Body Text Indent 2"/>
    <w:basedOn w:val="Normal"/>
    <w:link w:val="BodyTextIndent2Char"/>
    <w:unhideWhenUsed/>
    <w:rsid w:val="00A06FA4"/>
    <w:pPr>
      <w:tabs>
        <w:tab w:val="left" w:pos="600"/>
      </w:tabs>
      <w:ind w:left="600" w:hanging="240"/>
    </w:pPr>
    <w:rPr>
      <w:sz w:val="22"/>
    </w:rPr>
  </w:style>
  <w:style w:type="character" w:customStyle="1" w:styleId="BodyTextIndent2Char">
    <w:name w:val="Body Text Indent 2 Char"/>
    <w:basedOn w:val="DefaultParagraphFont"/>
    <w:link w:val="BodyTextIndent2"/>
    <w:rsid w:val="00A06FA4"/>
    <w:rPr>
      <w:sz w:val="22"/>
    </w:rPr>
  </w:style>
  <w:style w:type="paragraph" w:styleId="BodyTextIndent3">
    <w:name w:val="Body Text Indent 3"/>
    <w:basedOn w:val="Normal"/>
    <w:link w:val="BodyTextIndent3Char"/>
    <w:unhideWhenUsed/>
    <w:rsid w:val="00A06FA4"/>
    <w:pPr>
      <w:keepLines/>
      <w:tabs>
        <w:tab w:val="left" w:pos="360"/>
        <w:tab w:val="left" w:pos="720"/>
      </w:tabs>
      <w:spacing w:after="80"/>
      <w:ind w:left="360" w:hanging="360"/>
    </w:pPr>
    <w:rPr>
      <w:color w:val="000000"/>
      <w:sz w:val="22"/>
    </w:rPr>
  </w:style>
  <w:style w:type="character" w:customStyle="1" w:styleId="BodyTextIndent3Char">
    <w:name w:val="Body Text Indent 3 Char"/>
    <w:basedOn w:val="DefaultParagraphFont"/>
    <w:link w:val="BodyTextIndent3"/>
    <w:rsid w:val="00A06FA4"/>
    <w:rPr>
      <w:color w:val="000000"/>
      <w:sz w:val="22"/>
    </w:rPr>
  </w:style>
</w:styles>
</file>

<file path=word/webSettings.xml><?xml version="1.0" encoding="utf-8"?>
<w:webSettings xmlns:r="http://schemas.openxmlformats.org/officeDocument/2006/relationships" xmlns:w="http://schemas.openxmlformats.org/wordprocessingml/2006/main">
  <w:divs>
    <w:div w:id="16839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1552</Words>
  <Characters>8641</Characters>
  <Application>Microsoft Office Word</Application>
  <DocSecurity>0</DocSecurity>
  <Lines>72</Lines>
  <Paragraphs>20</Paragraphs>
  <ScaleCrop>false</ScaleCrop>
  <Company>Housing and Urban Development</Company>
  <LinksUpToDate>false</LinksUpToDate>
  <CharactersWithSpaces>10173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H45351</cp:lastModifiedBy>
  <cp:revision>2</cp:revision>
  <dcterms:created xsi:type="dcterms:W3CDTF">2010-09-27T11:15:00Z</dcterms:created>
  <dcterms:modified xsi:type="dcterms:W3CDTF">2010-09-27T11:29:00Z</dcterms:modified>
</cp:coreProperties>
</file>