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88" w:rsidRPr="00E92E88" w:rsidRDefault="00E92E88" w:rsidP="00E92E88">
      <w:pPr>
        <w:jc w:val="center"/>
        <w:rPr>
          <w:b/>
          <w:color w:val="000000"/>
          <w:szCs w:val="24"/>
        </w:rPr>
      </w:pPr>
      <w:r w:rsidRPr="00E92E88">
        <w:rPr>
          <w:b/>
        </w:rPr>
        <w:t>Supporting Statement for the</w:t>
      </w:r>
      <w:r w:rsidRPr="00E92E88">
        <w:rPr>
          <w:b/>
          <w:color w:val="000000"/>
          <w:szCs w:val="24"/>
        </w:rPr>
        <w:t xml:space="preserve"> </w:t>
      </w:r>
    </w:p>
    <w:p w:rsidR="00E92E88" w:rsidRPr="00E92E88" w:rsidRDefault="001D0D1B" w:rsidP="00E92E88">
      <w:pPr>
        <w:jc w:val="center"/>
        <w:rPr>
          <w:b/>
          <w:color w:val="000000"/>
          <w:szCs w:val="24"/>
        </w:rPr>
      </w:pPr>
      <w:r w:rsidRPr="00E92E88">
        <w:rPr>
          <w:b/>
          <w:color w:val="000000"/>
          <w:szCs w:val="24"/>
        </w:rPr>
        <w:t xml:space="preserve">Interchange Transaction Fees Surveys </w:t>
      </w:r>
    </w:p>
    <w:p w:rsidR="001D0D1B" w:rsidRPr="00E92E88" w:rsidRDefault="001D0D1B" w:rsidP="00E92E88">
      <w:pPr>
        <w:jc w:val="center"/>
        <w:rPr>
          <w:b/>
        </w:rPr>
      </w:pPr>
      <w:r w:rsidRPr="00E92E88">
        <w:rPr>
          <w:b/>
          <w:color w:val="000000"/>
          <w:szCs w:val="24"/>
        </w:rPr>
        <w:t>(FR 3062</w:t>
      </w:r>
      <w:r w:rsidR="00E92E88" w:rsidRPr="00E92E88">
        <w:rPr>
          <w:b/>
          <w:color w:val="000000"/>
          <w:szCs w:val="24"/>
        </w:rPr>
        <w:t>; OMB No. 7100-new)</w:t>
      </w:r>
    </w:p>
    <w:p w:rsidR="00AF57EE" w:rsidRPr="00AF57EE" w:rsidRDefault="001D0D1B" w:rsidP="00AF57EE">
      <w:pPr>
        <w:tabs>
          <w:tab w:val="left" w:pos="0"/>
          <w:tab w:val="left" w:pos="720"/>
        </w:tabs>
        <w:rPr>
          <w:color w:val="000000"/>
          <w:szCs w:val="24"/>
        </w:rPr>
      </w:pPr>
      <w:r>
        <w:rPr>
          <w:color w:val="000000"/>
          <w:szCs w:val="24"/>
        </w:rPr>
        <w:t xml:space="preserve"> </w:t>
      </w:r>
    </w:p>
    <w:p w:rsidR="00907318" w:rsidRPr="00BE6BE7" w:rsidRDefault="008C5F0E" w:rsidP="000B36F8">
      <w:pPr>
        <w:tabs>
          <w:tab w:val="left" w:pos="0"/>
          <w:tab w:val="left" w:pos="2220"/>
        </w:tabs>
        <w:rPr>
          <w:b/>
          <w:color w:val="000000"/>
          <w:szCs w:val="24"/>
        </w:rPr>
      </w:pPr>
      <w:r w:rsidRPr="00BE6BE7">
        <w:rPr>
          <w:b/>
          <w:color w:val="000000"/>
          <w:szCs w:val="24"/>
        </w:rPr>
        <w:t>Summary</w:t>
      </w:r>
    </w:p>
    <w:p w:rsidR="000B36F8" w:rsidRPr="00BE6BE7" w:rsidRDefault="008A3D0D" w:rsidP="000B36F8">
      <w:pPr>
        <w:tabs>
          <w:tab w:val="left" w:pos="0"/>
          <w:tab w:val="left" w:pos="720"/>
        </w:tabs>
        <w:rPr>
          <w:color w:val="000000"/>
          <w:szCs w:val="24"/>
        </w:rPr>
      </w:pPr>
      <w:r w:rsidRPr="00BE6BE7">
        <w:rPr>
          <w:color w:val="000000"/>
          <w:szCs w:val="24"/>
        </w:rPr>
        <w:tab/>
      </w:r>
    </w:p>
    <w:p w:rsidR="00356908" w:rsidRPr="00BE6BE7" w:rsidRDefault="000B36F8" w:rsidP="000B36F8">
      <w:pPr>
        <w:tabs>
          <w:tab w:val="left" w:pos="0"/>
          <w:tab w:val="left" w:pos="720"/>
        </w:tabs>
        <w:rPr>
          <w:color w:val="000000"/>
          <w:szCs w:val="24"/>
        </w:rPr>
      </w:pPr>
      <w:r w:rsidRPr="00BE6BE7">
        <w:rPr>
          <w:color w:val="000000"/>
          <w:szCs w:val="24"/>
        </w:rPr>
        <w:tab/>
      </w:r>
      <w:r w:rsidR="00E92E88" w:rsidRPr="008C413F">
        <w:t>The Board of Governors of the Federal Reserve System</w:t>
      </w:r>
      <w:r w:rsidR="00E92E88">
        <w:t xml:space="preserve"> (</w:t>
      </w:r>
      <w:r w:rsidR="006C7A22">
        <w:t xml:space="preserve">the </w:t>
      </w:r>
      <w:r w:rsidR="00E92E88">
        <w:t xml:space="preserve">Board), </w:t>
      </w:r>
      <w:r w:rsidR="00E92E88" w:rsidRPr="00E30374">
        <w:t>requests approval from the Office of Management and Budget (OMB) to</w:t>
      </w:r>
      <w:r w:rsidR="00E92E88">
        <w:rPr>
          <w:color w:val="000000"/>
          <w:szCs w:val="24"/>
        </w:rPr>
        <w:t xml:space="preserve"> </w:t>
      </w:r>
      <w:r w:rsidR="00C002F8" w:rsidRPr="00BE6BE7">
        <w:rPr>
          <w:color w:val="000000"/>
          <w:szCs w:val="24"/>
        </w:rPr>
        <w:t>conduct</w:t>
      </w:r>
      <w:r w:rsidR="000073A7" w:rsidRPr="00BE6BE7">
        <w:rPr>
          <w:color w:val="000000"/>
          <w:szCs w:val="24"/>
        </w:rPr>
        <w:t xml:space="preserve"> </w:t>
      </w:r>
      <w:r w:rsidR="003A1559" w:rsidRPr="00BE6BE7">
        <w:rPr>
          <w:color w:val="000000"/>
          <w:szCs w:val="24"/>
        </w:rPr>
        <w:t xml:space="preserve">the new </w:t>
      </w:r>
      <w:r w:rsidR="000073A7" w:rsidRPr="00BE6BE7">
        <w:rPr>
          <w:color w:val="000000"/>
          <w:szCs w:val="24"/>
        </w:rPr>
        <w:t xml:space="preserve">Interchange Transaction Fees </w:t>
      </w:r>
      <w:r w:rsidR="0021785A" w:rsidRPr="00BE6BE7">
        <w:rPr>
          <w:color w:val="000000"/>
          <w:szCs w:val="24"/>
        </w:rPr>
        <w:t xml:space="preserve">Surveys </w:t>
      </w:r>
      <w:r w:rsidR="000073A7" w:rsidRPr="00BE6BE7">
        <w:rPr>
          <w:color w:val="000000"/>
          <w:szCs w:val="24"/>
        </w:rPr>
        <w:t>(FR 3062; OMB No. 7100-</w:t>
      </w:r>
      <w:r w:rsidR="0022224B">
        <w:rPr>
          <w:color w:val="000000"/>
          <w:szCs w:val="24"/>
        </w:rPr>
        <w:t>new</w:t>
      </w:r>
      <w:r w:rsidR="000073A7" w:rsidRPr="00BE6BE7">
        <w:rPr>
          <w:color w:val="000000"/>
          <w:szCs w:val="24"/>
        </w:rPr>
        <w:t>)</w:t>
      </w:r>
      <w:r w:rsidR="0022224B">
        <w:rPr>
          <w:color w:val="000000"/>
          <w:szCs w:val="24"/>
        </w:rPr>
        <w:t xml:space="preserve"> </w:t>
      </w:r>
      <w:r w:rsidR="00D64690">
        <w:t>under the emergency clearance provisions of O</w:t>
      </w:r>
      <w:r w:rsidR="00557AEB">
        <w:t xml:space="preserve">ffice of </w:t>
      </w:r>
      <w:r w:rsidR="00D64690">
        <w:t>M</w:t>
      </w:r>
      <w:r w:rsidR="00557AEB">
        <w:t xml:space="preserve">anagement and </w:t>
      </w:r>
      <w:r w:rsidR="00D64690">
        <w:t>B</w:t>
      </w:r>
      <w:r w:rsidR="00557AEB">
        <w:t>udget</w:t>
      </w:r>
      <w:r w:rsidR="00D64690">
        <w:t>’s</w:t>
      </w:r>
      <w:r w:rsidR="00557AEB">
        <w:t xml:space="preserve"> (OMB’s)</w:t>
      </w:r>
      <w:r w:rsidR="00D64690">
        <w:t xml:space="preserve"> regulations.  This survey is </w:t>
      </w:r>
      <w:r w:rsidR="008A3D0D" w:rsidRPr="00BE6BE7">
        <w:rPr>
          <w:color w:val="000000"/>
          <w:szCs w:val="24"/>
        </w:rPr>
        <w:t xml:space="preserve">necessary </w:t>
      </w:r>
      <w:r w:rsidR="003A1559" w:rsidRPr="00BE6BE7">
        <w:rPr>
          <w:color w:val="000000"/>
          <w:szCs w:val="24"/>
        </w:rPr>
        <w:t xml:space="preserve">in order </w:t>
      </w:r>
      <w:r w:rsidR="008A3D0D" w:rsidRPr="00BE6BE7">
        <w:rPr>
          <w:color w:val="000000"/>
          <w:szCs w:val="24"/>
        </w:rPr>
        <w:t>to implement Section 920 of the Electronic Fund Transfer Act (EFT</w:t>
      </w:r>
      <w:r w:rsidR="0098105A" w:rsidRPr="00BE6BE7">
        <w:rPr>
          <w:color w:val="000000"/>
          <w:szCs w:val="24"/>
        </w:rPr>
        <w:t>A</w:t>
      </w:r>
      <w:r w:rsidR="008A3D0D" w:rsidRPr="00BE6BE7">
        <w:rPr>
          <w:color w:val="000000"/>
          <w:szCs w:val="24"/>
        </w:rPr>
        <w:t>)</w:t>
      </w:r>
      <w:r w:rsidR="00E01682" w:rsidRPr="00BE6BE7">
        <w:rPr>
          <w:color w:val="000000"/>
          <w:szCs w:val="24"/>
        </w:rPr>
        <w:t>, as added by Section 1075 of the Dodd-Frank Wall Street Reform and Consumer Protection Act (</w:t>
      </w:r>
      <w:r w:rsidR="00777FC0" w:rsidRPr="00BE6BE7">
        <w:rPr>
          <w:color w:val="000000"/>
          <w:szCs w:val="24"/>
        </w:rPr>
        <w:t>Dodd-Frank</w:t>
      </w:r>
      <w:r w:rsidR="00E01682" w:rsidRPr="00BE6BE7">
        <w:rPr>
          <w:color w:val="000000"/>
          <w:szCs w:val="24"/>
        </w:rPr>
        <w:t xml:space="preserve"> Act)</w:t>
      </w:r>
      <w:r w:rsidR="008A3D0D" w:rsidRPr="00BE6BE7">
        <w:rPr>
          <w:color w:val="000000"/>
          <w:szCs w:val="24"/>
        </w:rPr>
        <w:t>.</w:t>
      </w:r>
      <w:r w:rsidR="008A3D0D" w:rsidRPr="00BE6BE7">
        <w:rPr>
          <w:rStyle w:val="FootnoteReference"/>
          <w:color w:val="000000"/>
          <w:szCs w:val="24"/>
        </w:rPr>
        <w:footnoteReference w:id="1"/>
      </w:r>
      <w:r w:rsidR="00791DAD" w:rsidRPr="00BE6BE7" w:rsidDel="00791DAD">
        <w:rPr>
          <w:color w:val="000000"/>
          <w:szCs w:val="24"/>
        </w:rPr>
        <w:t xml:space="preserve"> </w:t>
      </w:r>
    </w:p>
    <w:p w:rsidR="008446D3" w:rsidRDefault="00356908" w:rsidP="000B36F8">
      <w:pPr>
        <w:tabs>
          <w:tab w:val="left" w:pos="0"/>
          <w:tab w:val="left" w:pos="720"/>
        </w:tabs>
        <w:rPr>
          <w:color w:val="000000"/>
          <w:szCs w:val="24"/>
        </w:rPr>
      </w:pPr>
      <w:r w:rsidRPr="00BE6BE7">
        <w:rPr>
          <w:color w:val="000000"/>
          <w:szCs w:val="24"/>
        </w:rPr>
        <w:tab/>
      </w:r>
      <w:r w:rsidR="008446D3" w:rsidRPr="008446D3">
        <w:rPr>
          <w:color w:val="000000"/>
          <w:szCs w:val="24"/>
        </w:rPr>
        <w:t xml:space="preserve"> </w:t>
      </w:r>
    </w:p>
    <w:p w:rsidR="00356908" w:rsidRDefault="008446D3" w:rsidP="000B36F8">
      <w:pPr>
        <w:tabs>
          <w:tab w:val="left" w:pos="0"/>
          <w:tab w:val="left" w:pos="720"/>
        </w:tabs>
        <w:rPr>
          <w:color w:val="000000"/>
          <w:szCs w:val="24"/>
        </w:rPr>
      </w:pPr>
      <w:r>
        <w:rPr>
          <w:color w:val="000000"/>
          <w:szCs w:val="24"/>
        </w:rPr>
        <w:tab/>
      </w:r>
      <w:r w:rsidRPr="00BE6BE7">
        <w:rPr>
          <w:color w:val="000000"/>
          <w:szCs w:val="24"/>
        </w:rPr>
        <w:t xml:space="preserve">The </w:t>
      </w:r>
      <w:r>
        <w:rPr>
          <w:color w:val="000000"/>
          <w:szCs w:val="24"/>
        </w:rPr>
        <w:t xml:space="preserve">Paperwork Reduction Act (PRA) </w:t>
      </w:r>
      <w:r w:rsidRPr="00BE6BE7">
        <w:rPr>
          <w:color w:val="000000"/>
          <w:szCs w:val="24"/>
        </w:rPr>
        <w:t xml:space="preserve">generally requires the </w:t>
      </w:r>
      <w:r>
        <w:rPr>
          <w:color w:val="000000"/>
          <w:szCs w:val="24"/>
        </w:rPr>
        <w:t>Board</w:t>
      </w:r>
      <w:r w:rsidRPr="00BE6BE7">
        <w:rPr>
          <w:color w:val="000000"/>
          <w:szCs w:val="24"/>
        </w:rPr>
        <w:t xml:space="preserve"> to seek public comment on proposed information collections prior to approval.</w:t>
      </w:r>
      <w:r w:rsidRPr="00BE6BE7">
        <w:rPr>
          <w:rStyle w:val="FootnoteReference"/>
          <w:color w:val="000000"/>
          <w:szCs w:val="24"/>
        </w:rPr>
        <w:footnoteReference w:id="2"/>
      </w:r>
      <w:r w:rsidRPr="00BE6BE7">
        <w:rPr>
          <w:color w:val="000000"/>
          <w:szCs w:val="24"/>
        </w:rPr>
        <w:t xml:space="preserve">  The PRA, however, permits O</w:t>
      </w:r>
      <w:r>
        <w:rPr>
          <w:color w:val="000000"/>
          <w:szCs w:val="24"/>
        </w:rPr>
        <w:t>MB</w:t>
      </w:r>
      <w:r w:rsidRPr="00BE6BE7">
        <w:rPr>
          <w:color w:val="000000"/>
          <w:szCs w:val="24"/>
        </w:rPr>
        <w:t xml:space="preserve"> to temporarily approve information collections without seeking comment if providing an opportunity for public comment would substantially interfere with the </w:t>
      </w:r>
      <w:r>
        <w:rPr>
          <w:color w:val="000000"/>
          <w:szCs w:val="24"/>
        </w:rPr>
        <w:t>Board</w:t>
      </w:r>
      <w:r w:rsidRPr="00BE6BE7">
        <w:rPr>
          <w:color w:val="000000"/>
          <w:szCs w:val="24"/>
        </w:rPr>
        <w:t>’s ability to perform its statutory obligation.  This emergency clearance would be valid for up to 6 months.</w:t>
      </w:r>
      <w:r w:rsidRPr="00BE6BE7">
        <w:rPr>
          <w:rStyle w:val="FootnoteReference"/>
          <w:color w:val="000000"/>
          <w:szCs w:val="24"/>
        </w:rPr>
        <w:footnoteReference w:id="3"/>
      </w:r>
      <w:r w:rsidRPr="00BE6BE7">
        <w:rPr>
          <w:color w:val="000000"/>
          <w:szCs w:val="24"/>
        </w:rPr>
        <w:t xml:space="preserve">  </w:t>
      </w:r>
      <w:r>
        <w:rPr>
          <w:color w:val="000000"/>
          <w:szCs w:val="24"/>
        </w:rPr>
        <w:t>The Dodd-Frank Act requires the Board to publish final rules by April 21, 2011.  Therefore, complying with the normal information collection approval procedures would substantially interfere with the Board’s ability to issue final rules within the statutory timeframe.</w:t>
      </w:r>
      <w:r w:rsidRPr="00BE6BE7">
        <w:rPr>
          <w:color w:val="000000"/>
          <w:szCs w:val="24"/>
        </w:rPr>
        <w:t xml:space="preserve">  </w:t>
      </w:r>
    </w:p>
    <w:p w:rsidR="00762ACE" w:rsidRDefault="00762ACE" w:rsidP="000B36F8">
      <w:pPr>
        <w:tabs>
          <w:tab w:val="left" w:pos="0"/>
          <w:tab w:val="left" w:pos="720"/>
        </w:tabs>
        <w:rPr>
          <w:color w:val="000000"/>
          <w:szCs w:val="24"/>
        </w:rPr>
      </w:pPr>
    </w:p>
    <w:p w:rsidR="008446D3" w:rsidRDefault="00762ACE" w:rsidP="000B36F8">
      <w:pPr>
        <w:tabs>
          <w:tab w:val="left" w:pos="0"/>
          <w:tab w:val="left" w:pos="720"/>
        </w:tabs>
        <w:rPr>
          <w:szCs w:val="24"/>
        </w:rPr>
      </w:pPr>
      <w:r>
        <w:rPr>
          <w:color w:val="000000"/>
          <w:szCs w:val="24"/>
        </w:rPr>
        <w:tab/>
      </w:r>
      <w:r w:rsidRPr="000F6872">
        <w:rPr>
          <w:color w:val="000000"/>
          <w:szCs w:val="24"/>
        </w:rPr>
        <w:t xml:space="preserve">In publishing the final rules related to interchange fees, the Board must disclose “aggregate or summary information concerning the costs incurred, and interchange transaction fees charged or received” by issuers and </w:t>
      </w:r>
      <w:r w:rsidRPr="00BE6BE7">
        <w:rPr>
          <w:color w:val="000000"/>
          <w:szCs w:val="24"/>
        </w:rPr>
        <w:t xml:space="preserve">payment card networks </w:t>
      </w:r>
      <w:r>
        <w:rPr>
          <w:color w:val="000000"/>
          <w:szCs w:val="24"/>
        </w:rPr>
        <w:t>(P</w:t>
      </w:r>
      <w:r w:rsidRPr="00BE6BE7">
        <w:rPr>
          <w:color w:val="000000"/>
          <w:szCs w:val="24"/>
        </w:rPr>
        <w:t>C</w:t>
      </w:r>
      <w:r>
        <w:rPr>
          <w:color w:val="000000"/>
          <w:szCs w:val="24"/>
        </w:rPr>
        <w:t>N</w:t>
      </w:r>
      <w:r w:rsidRPr="00BE6BE7">
        <w:rPr>
          <w:color w:val="000000"/>
          <w:szCs w:val="24"/>
        </w:rPr>
        <w:t>s)</w:t>
      </w:r>
      <w:r w:rsidRPr="000F6872">
        <w:rPr>
          <w:color w:val="000000"/>
          <w:szCs w:val="24"/>
        </w:rPr>
        <w:t xml:space="preserve">, if the Board determines that disclosing such information is appropriate and in the public interest.  </w:t>
      </w:r>
      <w:r w:rsidRPr="000F6872">
        <w:rPr>
          <w:szCs w:val="24"/>
        </w:rPr>
        <w:t>The Board must disclose such aggregate or summary information every other year going forward.  Future information collections that are necessary to comply with the Board’s obligation to disclose summary and aggregate data every two years will be reviewed in accordance with the usual clearance procedures at a later date.</w:t>
      </w:r>
    </w:p>
    <w:p w:rsidR="00762ACE" w:rsidRPr="00BE6BE7" w:rsidRDefault="00762ACE" w:rsidP="000B36F8">
      <w:pPr>
        <w:tabs>
          <w:tab w:val="left" w:pos="0"/>
          <w:tab w:val="left" w:pos="720"/>
        </w:tabs>
        <w:rPr>
          <w:color w:val="000000"/>
          <w:szCs w:val="24"/>
        </w:rPr>
      </w:pPr>
    </w:p>
    <w:p w:rsidR="00762ACE" w:rsidRDefault="00356908" w:rsidP="00762ACE">
      <w:pPr>
        <w:tabs>
          <w:tab w:val="left" w:pos="0"/>
          <w:tab w:val="left" w:pos="720"/>
        </w:tabs>
        <w:rPr>
          <w:b/>
          <w:color w:val="000000"/>
          <w:szCs w:val="24"/>
        </w:rPr>
      </w:pPr>
      <w:r w:rsidRPr="00BE6BE7">
        <w:rPr>
          <w:color w:val="000000"/>
          <w:szCs w:val="24"/>
        </w:rPr>
        <w:tab/>
      </w:r>
      <w:r w:rsidR="00791DAD" w:rsidRPr="00BE6BE7">
        <w:rPr>
          <w:color w:val="000000"/>
          <w:szCs w:val="24"/>
        </w:rPr>
        <w:t>T</w:t>
      </w:r>
      <w:r w:rsidR="00E62011" w:rsidRPr="00BE6BE7">
        <w:rPr>
          <w:color w:val="000000"/>
          <w:szCs w:val="24"/>
        </w:rPr>
        <w:t xml:space="preserve">he </w:t>
      </w:r>
      <w:r w:rsidR="00791DAD" w:rsidRPr="00BE6BE7">
        <w:rPr>
          <w:color w:val="000000"/>
          <w:szCs w:val="24"/>
        </w:rPr>
        <w:t>FR 3062 w</w:t>
      </w:r>
      <w:r w:rsidR="003A1559" w:rsidRPr="00BE6BE7">
        <w:rPr>
          <w:color w:val="000000"/>
          <w:szCs w:val="24"/>
        </w:rPr>
        <w:t>ould</w:t>
      </w:r>
      <w:r w:rsidR="00E62011" w:rsidRPr="00BE6BE7">
        <w:rPr>
          <w:color w:val="000000"/>
          <w:szCs w:val="24"/>
        </w:rPr>
        <w:t xml:space="preserve"> comprise two surveys: (1)</w:t>
      </w:r>
      <w:r w:rsidR="003B4C75" w:rsidRPr="00BE6BE7">
        <w:rPr>
          <w:color w:val="000000"/>
          <w:szCs w:val="24"/>
        </w:rPr>
        <w:t xml:space="preserve"> th</w:t>
      </w:r>
      <w:r w:rsidR="00A76F3B" w:rsidRPr="00BE6BE7">
        <w:rPr>
          <w:color w:val="000000"/>
          <w:szCs w:val="24"/>
        </w:rPr>
        <w:t>e</w:t>
      </w:r>
      <w:r w:rsidR="003B4C75" w:rsidRPr="00BE6BE7">
        <w:rPr>
          <w:color w:val="000000"/>
          <w:szCs w:val="24"/>
        </w:rPr>
        <w:t xml:space="preserve"> issuer survey </w:t>
      </w:r>
      <w:r w:rsidR="003A1559" w:rsidRPr="00BE6BE7">
        <w:rPr>
          <w:color w:val="000000"/>
          <w:szCs w:val="24"/>
        </w:rPr>
        <w:t xml:space="preserve">that </w:t>
      </w:r>
      <w:r w:rsidR="003B4C75" w:rsidRPr="00BE6BE7">
        <w:rPr>
          <w:color w:val="000000"/>
          <w:szCs w:val="24"/>
        </w:rPr>
        <w:t>w</w:t>
      </w:r>
      <w:r w:rsidR="003A1559" w:rsidRPr="00BE6BE7">
        <w:rPr>
          <w:color w:val="000000"/>
          <w:szCs w:val="24"/>
        </w:rPr>
        <w:t>ould</w:t>
      </w:r>
      <w:r w:rsidR="003B4C75" w:rsidRPr="00BE6BE7">
        <w:rPr>
          <w:color w:val="000000"/>
          <w:szCs w:val="24"/>
        </w:rPr>
        <w:t xml:space="preserve"> collect</w:t>
      </w:r>
      <w:r w:rsidR="00791DAD" w:rsidRPr="00BE6BE7">
        <w:rPr>
          <w:color w:val="000000"/>
          <w:szCs w:val="24"/>
        </w:rPr>
        <w:t xml:space="preserve"> data on interchange fees and cost</w:t>
      </w:r>
      <w:r w:rsidR="008A466C" w:rsidRPr="00BE6BE7">
        <w:rPr>
          <w:color w:val="000000"/>
          <w:szCs w:val="24"/>
        </w:rPr>
        <w:t>s</w:t>
      </w:r>
      <w:r w:rsidR="00791DAD" w:rsidRPr="00BE6BE7">
        <w:rPr>
          <w:color w:val="000000"/>
          <w:szCs w:val="24"/>
        </w:rPr>
        <w:t xml:space="preserve"> </w:t>
      </w:r>
      <w:r w:rsidR="00C34488" w:rsidRPr="00BE6BE7">
        <w:rPr>
          <w:color w:val="000000"/>
          <w:szCs w:val="24"/>
        </w:rPr>
        <w:t>from</w:t>
      </w:r>
      <w:r w:rsidR="00791DAD" w:rsidRPr="00BE6BE7">
        <w:rPr>
          <w:color w:val="000000"/>
          <w:szCs w:val="24"/>
        </w:rPr>
        <w:t xml:space="preserve"> </w:t>
      </w:r>
      <w:r w:rsidR="00364CEA">
        <w:rPr>
          <w:color w:val="000000"/>
          <w:szCs w:val="24"/>
        </w:rPr>
        <w:t xml:space="preserve">issuers of debit or prepaid cards that, together with affiliates, have </w:t>
      </w:r>
      <w:r w:rsidR="00791DAD" w:rsidRPr="00BE6BE7">
        <w:rPr>
          <w:color w:val="000000"/>
          <w:szCs w:val="24"/>
        </w:rPr>
        <w:t>assets of $10 billion or more</w:t>
      </w:r>
      <w:r w:rsidR="00844426">
        <w:rPr>
          <w:color w:val="000000"/>
          <w:szCs w:val="24"/>
        </w:rPr>
        <w:t xml:space="preserve"> and </w:t>
      </w:r>
      <w:r w:rsidR="003B4C75" w:rsidRPr="00BE6BE7">
        <w:rPr>
          <w:color w:val="000000"/>
          <w:szCs w:val="24"/>
        </w:rPr>
        <w:t xml:space="preserve">(2) the network survey </w:t>
      </w:r>
      <w:r w:rsidR="00844426">
        <w:rPr>
          <w:color w:val="000000"/>
          <w:szCs w:val="24"/>
        </w:rPr>
        <w:t xml:space="preserve">that </w:t>
      </w:r>
      <w:r w:rsidR="003B4C75" w:rsidRPr="00BE6BE7">
        <w:rPr>
          <w:color w:val="000000"/>
          <w:szCs w:val="24"/>
        </w:rPr>
        <w:t>w</w:t>
      </w:r>
      <w:r w:rsidR="003A1559" w:rsidRPr="00BE6BE7">
        <w:rPr>
          <w:color w:val="000000"/>
          <w:szCs w:val="24"/>
        </w:rPr>
        <w:t>ould</w:t>
      </w:r>
      <w:r w:rsidR="003B4C75" w:rsidRPr="00BE6BE7">
        <w:rPr>
          <w:color w:val="000000"/>
          <w:szCs w:val="24"/>
        </w:rPr>
        <w:t xml:space="preserve"> collect data</w:t>
      </w:r>
      <w:r w:rsidR="00791DAD" w:rsidRPr="00BE6BE7">
        <w:rPr>
          <w:color w:val="000000"/>
          <w:szCs w:val="24"/>
        </w:rPr>
        <w:t xml:space="preserve"> </w:t>
      </w:r>
      <w:r w:rsidR="00762ACE">
        <w:rPr>
          <w:color w:val="000000"/>
          <w:szCs w:val="24"/>
        </w:rPr>
        <w:t xml:space="preserve">from </w:t>
      </w:r>
      <w:r w:rsidR="00844426">
        <w:rPr>
          <w:color w:val="000000"/>
          <w:szCs w:val="24"/>
        </w:rPr>
        <w:t>P</w:t>
      </w:r>
      <w:r w:rsidR="00844426" w:rsidRPr="00BE6BE7">
        <w:rPr>
          <w:color w:val="000000"/>
          <w:szCs w:val="24"/>
        </w:rPr>
        <w:t>C</w:t>
      </w:r>
      <w:r w:rsidR="00844426">
        <w:rPr>
          <w:color w:val="000000"/>
          <w:szCs w:val="24"/>
        </w:rPr>
        <w:t>N</w:t>
      </w:r>
      <w:r w:rsidR="00844426" w:rsidRPr="00BE6BE7">
        <w:rPr>
          <w:color w:val="000000"/>
          <w:szCs w:val="24"/>
        </w:rPr>
        <w:t>s</w:t>
      </w:r>
      <w:r w:rsidR="00844426">
        <w:rPr>
          <w:color w:val="000000"/>
          <w:szCs w:val="24"/>
        </w:rPr>
        <w:t xml:space="preserve"> </w:t>
      </w:r>
      <w:r w:rsidR="00791DAD" w:rsidRPr="00BE6BE7">
        <w:rPr>
          <w:color w:val="000000"/>
          <w:szCs w:val="24"/>
        </w:rPr>
        <w:t>on interchange fees and network restrictions.</w:t>
      </w:r>
      <w:r w:rsidR="003B4C75" w:rsidRPr="00BE6BE7">
        <w:rPr>
          <w:color w:val="000000"/>
          <w:szCs w:val="24"/>
        </w:rPr>
        <w:t xml:space="preserve">  </w:t>
      </w:r>
      <w:r w:rsidR="000A36D1" w:rsidRPr="00BE6BE7">
        <w:rPr>
          <w:szCs w:val="24"/>
        </w:rPr>
        <w:t>D</w:t>
      </w:r>
      <w:r w:rsidR="00C34488" w:rsidRPr="00BE6BE7">
        <w:rPr>
          <w:szCs w:val="24"/>
        </w:rPr>
        <w:t>ata from the</w:t>
      </w:r>
      <w:r w:rsidR="000A36D1" w:rsidRPr="00BE6BE7">
        <w:rPr>
          <w:szCs w:val="24"/>
        </w:rPr>
        <w:t>se</w:t>
      </w:r>
      <w:r w:rsidR="00C34488" w:rsidRPr="00BE6BE7">
        <w:rPr>
          <w:szCs w:val="24"/>
        </w:rPr>
        <w:t xml:space="preserve"> </w:t>
      </w:r>
      <w:r w:rsidR="003A1559" w:rsidRPr="00BE6BE7">
        <w:rPr>
          <w:szCs w:val="24"/>
        </w:rPr>
        <w:t>surveys would</w:t>
      </w:r>
      <w:r w:rsidR="00777FC0" w:rsidRPr="00BE6BE7">
        <w:rPr>
          <w:szCs w:val="24"/>
        </w:rPr>
        <w:t xml:space="preserve"> be used</w:t>
      </w:r>
      <w:r w:rsidR="00777FC0" w:rsidRPr="00BE6BE7">
        <w:rPr>
          <w:color w:val="000000"/>
          <w:szCs w:val="24"/>
        </w:rPr>
        <w:t xml:space="preserve"> to prescribe </w:t>
      </w:r>
      <w:r w:rsidR="003B584C" w:rsidRPr="00BE6BE7">
        <w:rPr>
          <w:szCs w:val="24"/>
        </w:rPr>
        <w:t>regulations</w:t>
      </w:r>
      <w:r w:rsidR="003B584C" w:rsidRPr="00BE6BE7" w:rsidDel="003B584C">
        <w:rPr>
          <w:color w:val="000000"/>
          <w:szCs w:val="24"/>
        </w:rPr>
        <w:t xml:space="preserve"> </w:t>
      </w:r>
      <w:r w:rsidR="00777FC0" w:rsidRPr="00BE6BE7">
        <w:rPr>
          <w:color w:val="000000"/>
          <w:szCs w:val="24"/>
        </w:rPr>
        <w:t xml:space="preserve">that implement provisions </w:t>
      </w:r>
      <w:r w:rsidR="00CD4554" w:rsidRPr="00BE6BE7">
        <w:rPr>
          <w:color w:val="000000"/>
          <w:szCs w:val="24"/>
        </w:rPr>
        <w:t xml:space="preserve">of the </w:t>
      </w:r>
      <w:r w:rsidR="0022219A" w:rsidRPr="00BE6BE7">
        <w:rPr>
          <w:color w:val="000000"/>
          <w:szCs w:val="24"/>
        </w:rPr>
        <w:t>Dodd</w:t>
      </w:r>
      <w:r w:rsidR="0022219A">
        <w:rPr>
          <w:color w:val="000000"/>
          <w:szCs w:val="24"/>
        </w:rPr>
        <w:t>-</w:t>
      </w:r>
      <w:r w:rsidR="0022219A" w:rsidRPr="00BE6BE7">
        <w:rPr>
          <w:color w:val="000000"/>
          <w:szCs w:val="24"/>
        </w:rPr>
        <w:t>Frank</w:t>
      </w:r>
      <w:r w:rsidR="00CD4554" w:rsidRPr="00BE6BE7">
        <w:rPr>
          <w:color w:val="000000"/>
          <w:szCs w:val="24"/>
        </w:rPr>
        <w:t xml:space="preserve"> Act</w:t>
      </w:r>
      <w:r w:rsidR="008128AD">
        <w:rPr>
          <w:color w:val="000000"/>
          <w:szCs w:val="24"/>
        </w:rPr>
        <w:t xml:space="preserve"> with respect to interchange fees and network restrictions</w:t>
      </w:r>
      <w:r w:rsidR="009478A0">
        <w:rPr>
          <w:color w:val="000000"/>
          <w:szCs w:val="24"/>
        </w:rPr>
        <w:t>.</w:t>
      </w:r>
      <w:r w:rsidR="00C34488" w:rsidRPr="00BE6BE7">
        <w:rPr>
          <w:szCs w:val="24"/>
        </w:rPr>
        <w:t xml:space="preserve">  </w:t>
      </w:r>
      <w:r w:rsidR="0022224B">
        <w:rPr>
          <w:color w:val="000000"/>
          <w:szCs w:val="24"/>
        </w:rPr>
        <w:t>The total burden for the FR 3062 is estimated to be 34,</w:t>
      </w:r>
      <w:r w:rsidR="00F94144">
        <w:rPr>
          <w:color w:val="000000"/>
          <w:szCs w:val="24"/>
        </w:rPr>
        <w:t>25</w:t>
      </w:r>
      <w:r w:rsidR="0022224B">
        <w:rPr>
          <w:color w:val="000000"/>
          <w:szCs w:val="24"/>
        </w:rPr>
        <w:t>0 hours.</w:t>
      </w:r>
      <w:r w:rsidR="00AC2E67">
        <w:rPr>
          <w:color w:val="000000"/>
          <w:szCs w:val="24"/>
        </w:rPr>
        <w:t xml:space="preserve"> </w:t>
      </w:r>
    </w:p>
    <w:p w:rsidR="00762ACE" w:rsidRDefault="00762ACE">
      <w:pPr>
        <w:spacing w:after="200" w:line="276" w:lineRule="auto"/>
        <w:rPr>
          <w:b/>
          <w:color w:val="000000"/>
          <w:szCs w:val="24"/>
        </w:rPr>
      </w:pPr>
      <w:r>
        <w:rPr>
          <w:b/>
          <w:color w:val="000000"/>
          <w:szCs w:val="24"/>
        </w:rPr>
        <w:br w:type="page"/>
      </w:r>
    </w:p>
    <w:p w:rsidR="000F2F93" w:rsidRPr="00BE6BE7" w:rsidRDefault="008C5F0E" w:rsidP="001356B0">
      <w:pPr>
        <w:tabs>
          <w:tab w:val="left" w:pos="0"/>
          <w:tab w:val="left" w:pos="2220"/>
        </w:tabs>
        <w:rPr>
          <w:color w:val="000000"/>
          <w:szCs w:val="24"/>
        </w:rPr>
      </w:pPr>
      <w:r w:rsidRPr="00BE6BE7">
        <w:rPr>
          <w:b/>
          <w:color w:val="000000"/>
          <w:szCs w:val="24"/>
        </w:rPr>
        <w:lastRenderedPageBreak/>
        <w:t>Background and Justification</w:t>
      </w:r>
      <w:r w:rsidRPr="00BE6BE7">
        <w:rPr>
          <w:color w:val="000000"/>
          <w:szCs w:val="24"/>
        </w:rPr>
        <w:t xml:space="preserve"> </w:t>
      </w:r>
    </w:p>
    <w:p w:rsidR="000B36F8" w:rsidRPr="00BE6BE7" w:rsidRDefault="000B36F8" w:rsidP="001356B0">
      <w:pPr>
        <w:tabs>
          <w:tab w:val="left" w:pos="0"/>
          <w:tab w:val="left" w:pos="720"/>
        </w:tabs>
        <w:rPr>
          <w:color w:val="000000"/>
          <w:szCs w:val="24"/>
        </w:rPr>
      </w:pPr>
    </w:p>
    <w:p w:rsidR="00907318" w:rsidRPr="00BE6BE7" w:rsidRDefault="000F2F93" w:rsidP="001356B0">
      <w:pPr>
        <w:tabs>
          <w:tab w:val="left" w:pos="0"/>
          <w:tab w:val="left" w:pos="720"/>
        </w:tabs>
        <w:rPr>
          <w:color w:val="000000"/>
          <w:szCs w:val="24"/>
        </w:rPr>
      </w:pPr>
      <w:r w:rsidRPr="00BE6BE7">
        <w:rPr>
          <w:color w:val="000000"/>
          <w:szCs w:val="24"/>
        </w:rPr>
        <w:tab/>
      </w:r>
      <w:r w:rsidR="00EE5C1B" w:rsidRPr="00BE6BE7">
        <w:rPr>
          <w:color w:val="000000"/>
          <w:szCs w:val="24"/>
        </w:rPr>
        <w:t>Section 1075 of t</w:t>
      </w:r>
      <w:r w:rsidR="00430D66" w:rsidRPr="00BE6BE7">
        <w:rPr>
          <w:color w:val="000000"/>
          <w:szCs w:val="24"/>
        </w:rPr>
        <w:t xml:space="preserve">he </w:t>
      </w:r>
      <w:r w:rsidR="00DC562A">
        <w:rPr>
          <w:color w:val="000000"/>
          <w:szCs w:val="24"/>
        </w:rPr>
        <w:t xml:space="preserve">Dodd-Frank </w:t>
      </w:r>
      <w:r w:rsidR="00430D66" w:rsidRPr="00BE6BE7">
        <w:rPr>
          <w:color w:val="000000"/>
          <w:szCs w:val="24"/>
        </w:rPr>
        <w:t>Act</w:t>
      </w:r>
      <w:r w:rsidR="00EE5C1B" w:rsidRPr="00BE6BE7">
        <w:rPr>
          <w:color w:val="000000"/>
          <w:szCs w:val="24"/>
        </w:rPr>
        <w:t xml:space="preserve"> </w:t>
      </w:r>
      <w:r w:rsidR="00430D66" w:rsidRPr="00BE6BE7">
        <w:rPr>
          <w:color w:val="000000"/>
          <w:szCs w:val="24"/>
        </w:rPr>
        <w:t>provides that</w:t>
      </w:r>
      <w:r w:rsidR="00EE5C1B" w:rsidRPr="00BE6BE7">
        <w:rPr>
          <w:color w:val="000000"/>
          <w:szCs w:val="24"/>
        </w:rPr>
        <w:t>,</w:t>
      </w:r>
      <w:r w:rsidR="00430D66" w:rsidRPr="00BE6BE7">
        <w:rPr>
          <w:color w:val="000000"/>
          <w:szCs w:val="24"/>
        </w:rPr>
        <w:t xml:space="preserve"> e</w:t>
      </w:r>
      <w:r w:rsidRPr="00BE6BE7">
        <w:rPr>
          <w:color w:val="000000"/>
          <w:szCs w:val="24"/>
        </w:rPr>
        <w:t xml:space="preserve">ffective </w:t>
      </w:r>
      <w:r w:rsidR="00E01682" w:rsidRPr="00BE6BE7">
        <w:rPr>
          <w:color w:val="000000"/>
          <w:szCs w:val="24"/>
        </w:rPr>
        <w:t>July 21</w:t>
      </w:r>
      <w:r w:rsidRPr="00BE6BE7">
        <w:rPr>
          <w:color w:val="000000"/>
          <w:szCs w:val="24"/>
        </w:rPr>
        <w:t>, 2011, the amount of any interchange fee an issuer</w:t>
      </w:r>
      <w:r w:rsidRPr="00BE6BE7">
        <w:rPr>
          <w:rStyle w:val="FootnoteReference"/>
          <w:color w:val="000000"/>
          <w:szCs w:val="24"/>
        </w:rPr>
        <w:footnoteReference w:id="4"/>
      </w:r>
      <w:r w:rsidRPr="00BE6BE7">
        <w:rPr>
          <w:color w:val="000000"/>
          <w:szCs w:val="24"/>
        </w:rPr>
        <w:t xml:space="preserve"> may receive or charge with respect to a particular electronic debit transaction </w:t>
      </w:r>
      <w:r w:rsidR="007E078F" w:rsidRPr="00BE6BE7">
        <w:rPr>
          <w:color w:val="000000"/>
          <w:szCs w:val="24"/>
        </w:rPr>
        <w:t>would</w:t>
      </w:r>
      <w:r w:rsidR="00E01682" w:rsidRPr="00BE6BE7">
        <w:rPr>
          <w:color w:val="000000"/>
          <w:szCs w:val="24"/>
        </w:rPr>
        <w:t xml:space="preserve"> be limited </w:t>
      </w:r>
      <w:r w:rsidRPr="00BE6BE7">
        <w:rPr>
          <w:color w:val="000000"/>
          <w:szCs w:val="24"/>
        </w:rPr>
        <w:t xml:space="preserve">to an amount that is </w:t>
      </w:r>
      <w:r w:rsidR="00DC562A">
        <w:rPr>
          <w:color w:val="000000"/>
          <w:szCs w:val="24"/>
        </w:rPr>
        <w:t>“</w:t>
      </w:r>
      <w:r w:rsidRPr="00BE6BE7">
        <w:rPr>
          <w:color w:val="000000"/>
          <w:szCs w:val="24"/>
        </w:rPr>
        <w:t>reasonable and proportional</w:t>
      </w:r>
      <w:r w:rsidR="00DC562A">
        <w:rPr>
          <w:color w:val="000000"/>
          <w:szCs w:val="24"/>
        </w:rPr>
        <w:t>”</w:t>
      </w:r>
      <w:r w:rsidRPr="00BE6BE7">
        <w:rPr>
          <w:color w:val="000000"/>
          <w:szCs w:val="24"/>
        </w:rPr>
        <w:t xml:space="preserve"> to the cost incurred by the issuer with respect to the transaction</w:t>
      </w:r>
      <w:r w:rsidR="00430D66" w:rsidRPr="00BE6BE7">
        <w:rPr>
          <w:color w:val="000000"/>
          <w:szCs w:val="24"/>
        </w:rPr>
        <w:t>.</w:t>
      </w:r>
      <w:r w:rsidRPr="00BE6BE7">
        <w:rPr>
          <w:rStyle w:val="FootnoteReference"/>
          <w:color w:val="000000"/>
          <w:szCs w:val="24"/>
        </w:rPr>
        <w:footnoteReference w:id="5"/>
      </w:r>
      <w:r w:rsidRPr="00BE6BE7">
        <w:rPr>
          <w:color w:val="000000"/>
          <w:szCs w:val="24"/>
        </w:rPr>
        <w:t xml:space="preserve">  </w:t>
      </w:r>
      <w:r w:rsidR="00EE5C1B" w:rsidRPr="00BE6BE7">
        <w:rPr>
          <w:color w:val="000000"/>
          <w:szCs w:val="24"/>
        </w:rPr>
        <w:t xml:space="preserve">Additionally, </w:t>
      </w:r>
      <w:r w:rsidRPr="00BE6BE7">
        <w:rPr>
          <w:color w:val="000000"/>
          <w:szCs w:val="24"/>
        </w:rPr>
        <w:t xml:space="preserve">issuers and </w:t>
      </w:r>
      <w:r w:rsidR="00BF3EBA" w:rsidRPr="00BE6BE7">
        <w:rPr>
          <w:color w:val="000000"/>
          <w:szCs w:val="24"/>
        </w:rPr>
        <w:t>PCNs</w:t>
      </w:r>
      <w:r w:rsidR="00E01682" w:rsidRPr="00BE6BE7">
        <w:rPr>
          <w:color w:val="000000"/>
          <w:szCs w:val="24"/>
        </w:rPr>
        <w:t xml:space="preserve"> </w:t>
      </w:r>
      <w:r w:rsidR="007E078F" w:rsidRPr="00BE6BE7">
        <w:rPr>
          <w:color w:val="000000"/>
          <w:szCs w:val="24"/>
        </w:rPr>
        <w:t>would</w:t>
      </w:r>
      <w:r w:rsidR="00E01682" w:rsidRPr="00BE6BE7">
        <w:rPr>
          <w:color w:val="000000"/>
          <w:szCs w:val="24"/>
        </w:rPr>
        <w:t xml:space="preserve"> be prohibited from (1) </w:t>
      </w:r>
      <w:r w:rsidRPr="00BE6BE7">
        <w:rPr>
          <w:color w:val="000000"/>
          <w:szCs w:val="24"/>
        </w:rPr>
        <w:t xml:space="preserve">restricting the number of </w:t>
      </w:r>
      <w:r w:rsidR="00BF3EBA" w:rsidRPr="00BE6BE7">
        <w:rPr>
          <w:color w:val="000000"/>
          <w:szCs w:val="24"/>
        </w:rPr>
        <w:t>PCNs</w:t>
      </w:r>
      <w:r w:rsidRPr="00BE6BE7">
        <w:rPr>
          <w:color w:val="000000"/>
          <w:szCs w:val="24"/>
        </w:rPr>
        <w:t xml:space="preserve"> on which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Pr="00BE6BE7">
        <w:rPr>
          <w:color w:val="000000"/>
          <w:szCs w:val="24"/>
        </w:rPr>
        <w:t xml:space="preserve"> may be processed to one such network (or two or more networks with common ownership) and (2) inhibiting the ability of any person accepting debit cards to direct the routing of </w:t>
      </w:r>
      <w:r w:rsidR="008128AD">
        <w:rPr>
          <w:color w:val="000000"/>
          <w:szCs w:val="24"/>
        </w:rPr>
        <w:t xml:space="preserve">electronic </w:t>
      </w:r>
      <w:r w:rsidR="00A77BEE" w:rsidRPr="00BE6BE7">
        <w:rPr>
          <w:color w:val="000000"/>
          <w:szCs w:val="24"/>
        </w:rPr>
        <w:t>debit transactions</w:t>
      </w:r>
      <w:r w:rsidRPr="00BE6BE7">
        <w:rPr>
          <w:color w:val="000000"/>
          <w:szCs w:val="24"/>
        </w:rPr>
        <w:t xml:space="preserve"> for processing.</w:t>
      </w:r>
      <w:r w:rsidRPr="00BE6BE7">
        <w:rPr>
          <w:rStyle w:val="FootnoteReference"/>
          <w:color w:val="000000"/>
          <w:szCs w:val="24"/>
        </w:rPr>
        <w:footnoteReference w:id="6"/>
      </w:r>
      <w:r w:rsidR="00A54CCE" w:rsidRPr="00BE6BE7">
        <w:rPr>
          <w:color w:val="000000"/>
          <w:szCs w:val="24"/>
        </w:rPr>
        <w:t xml:space="preserve">  The </w:t>
      </w:r>
      <w:r w:rsidR="00DC562A">
        <w:rPr>
          <w:color w:val="000000"/>
          <w:szCs w:val="24"/>
        </w:rPr>
        <w:t xml:space="preserve">Dodd-Frank </w:t>
      </w:r>
      <w:r w:rsidR="00A54CCE" w:rsidRPr="00BE6BE7">
        <w:rPr>
          <w:color w:val="000000"/>
          <w:szCs w:val="24"/>
        </w:rPr>
        <w:t xml:space="preserve">Act requires the </w:t>
      </w:r>
      <w:r w:rsidR="00DC562A">
        <w:rPr>
          <w:color w:val="000000"/>
          <w:szCs w:val="24"/>
        </w:rPr>
        <w:t>Board</w:t>
      </w:r>
      <w:r w:rsidR="00A54CCE" w:rsidRPr="00BE6BE7">
        <w:rPr>
          <w:color w:val="000000"/>
          <w:szCs w:val="24"/>
        </w:rPr>
        <w:t xml:space="preserve"> to prescribe </w:t>
      </w:r>
      <w:r w:rsidR="003B584C" w:rsidRPr="00BE6BE7">
        <w:rPr>
          <w:szCs w:val="24"/>
        </w:rPr>
        <w:t>regulations</w:t>
      </w:r>
      <w:r w:rsidR="003B584C" w:rsidRPr="00BE6BE7" w:rsidDel="003B584C">
        <w:rPr>
          <w:color w:val="000000"/>
          <w:szCs w:val="24"/>
        </w:rPr>
        <w:t xml:space="preserve"> </w:t>
      </w:r>
      <w:r w:rsidR="00A54CCE" w:rsidRPr="00BE6BE7">
        <w:rPr>
          <w:color w:val="000000"/>
          <w:szCs w:val="24"/>
        </w:rPr>
        <w:t xml:space="preserve">that implement </w:t>
      </w:r>
      <w:r w:rsidR="00430D66" w:rsidRPr="00BE6BE7">
        <w:rPr>
          <w:color w:val="000000"/>
          <w:szCs w:val="24"/>
        </w:rPr>
        <w:t>the</w:t>
      </w:r>
      <w:r w:rsidR="00A54CCE" w:rsidRPr="00BE6BE7">
        <w:rPr>
          <w:color w:val="000000"/>
          <w:szCs w:val="24"/>
        </w:rPr>
        <w:t xml:space="preserve"> provisions</w:t>
      </w:r>
      <w:r w:rsidR="001711FD" w:rsidRPr="00BE6BE7">
        <w:rPr>
          <w:color w:val="000000"/>
          <w:szCs w:val="24"/>
        </w:rPr>
        <w:t xml:space="preserve"> </w:t>
      </w:r>
      <w:r w:rsidR="008128AD">
        <w:rPr>
          <w:color w:val="000000"/>
          <w:szCs w:val="24"/>
        </w:rPr>
        <w:t>on interchange fees and network restrictions</w:t>
      </w:r>
      <w:r w:rsidR="00771F4A">
        <w:rPr>
          <w:color w:val="000000"/>
          <w:szCs w:val="24"/>
        </w:rPr>
        <w:t xml:space="preserve"> </w:t>
      </w:r>
      <w:r w:rsidR="001711FD" w:rsidRPr="00BE6BE7">
        <w:rPr>
          <w:color w:val="000000"/>
          <w:szCs w:val="24"/>
        </w:rPr>
        <w:t>by April</w:t>
      </w:r>
      <w:r w:rsidR="00DC562A">
        <w:rPr>
          <w:color w:val="000000"/>
          <w:szCs w:val="24"/>
        </w:rPr>
        <w:t> </w:t>
      </w:r>
      <w:r w:rsidR="001711FD" w:rsidRPr="00BE6BE7">
        <w:rPr>
          <w:color w:val="000000"/>
          <w:szCs w:val="24"/>
        </w:rPr>
        <w:t>21, 2011</w:t>
      </w:r>
      <w:r w:rsidR="000E26BA" w:rsidRPr="00BE6BE7">
        <w:rPr>
          <w:color w:val="000000"/>
          <w:szCs w:val="24"/>
        </w:rPr>
        <w:t xml:space="preserve"> and July 21, 2011, respectively.  The </w:t>
      </w:r>
      <w:r w:rsidR="00DC562A">
        <w:rPr>
          <w:color w:val="000000"/>
          <w:szCs w:val="24"/>
        </w:rPr>
        <w:t xml:space="preserve">Dodd-Frank </w:t>
      </w:r>
      <w:r w:rsidR="000E26BA" w:rsidRPr="00BE6BE7">
        <w:rPr>
          <w:color w:val="000000"/>
          <w:szCs w:val="24"/>
        </w:rPr>
        <w:t>Act also</w:t>
      </w:r>
      <w:r w:rsidR="001711FD" w:rsidRPr="00BE6BE7">
        <w:rPr>
          <w:color w:val="000000"/>
          <w:szCs w:val="24"/>
        </w:rPr>
        <w:t xml:space="preserve"> requires the </w:t>
      </w:r>
      <w:r w:rsidR="00DC562A">
        <w:rPr>
          <w:color w:val="000000"/>
          <w:szCs w:val="24"/>
        </w:rPr>
        <w:t>Board</w:t>
      </w:r>
      <w:r w:rsidR="00A54CCE" w:rsidRPr="00BE6BE7">
        <w:rPr>
          <w:color w:val="000000"/>
          <w:szCs w:val="24"/>
        </w:rPr>
        <w:t xml:space="preserve"> to report to</w:t>
      </w:r>
      <w:r w:rsidR="00DD2161" w:rsidRPr="00BE6BE7">
        <w:rPr>
          <w:color w:val="000000"/>
          <w:szCs w:val="24"/>
        </w:rPr>
        <w:t xml:space="preserve"> the</w:t>
      </w:r>
      <w:r w:rsidR="00A54CCE" w:rsidRPr="00BE6BE7">
        <w:rPr>
          <w:color w:val="000000"/>
          <w:szCs w:val="24"/>
        </w:rPr>
        <w:t xml:space="preserve"> Congress about general</w:t>
      </w:r>
      <w:r w:rsidR="00246227">
        <w:rPr>
          <w:color w:val="000000"/>
          <w:szCs w:val="24"/>
        </w:rPr>
        <w:t>-</w:t>
      </w:r>
      <w:r w:rsidR="00A54CCE" w:rsidRPr="00BE6BE7">
        <w:rPr>
          <w:color w:val="000000"/>
          <w:szCs w:val="24"/>
        </w:rPr>
        <w:t>use prepaid cards issued pursuant to government</w:t>
      </w:r>
      <w:r w:rsidR="00246227">
        <w:rPr>
          <w:color w:val="000000"/>
          <w:szCs w:val="24"/>
        </w:rPr>
        <w:t>-</w:t>
      </w:r>
      <w:r w:rsidR="00A54CCE" w:rsidRPr="00BE6BE7">
        <w:rPr>
          <w:color w:val="000000"/>
          <w:szCs w:val="24"/>
        </w:rPr>
        <w:t>administered payment programs</w:t>
      </w:r>
      <w:r w:rsidR="00A50A12" w:rsidRPr="00BE6BE7">
        <w:rPr>
          <w:rStyle w:val="FootnoteReference"/>
          <w:color w:val="000000"/>
          <w:szCs w:val="24"/>
        </w:rPr>
        <w:footnoteReference w:id="7"/>
      </w:r>
      <w:r w:rsidR="001711FD" w:rsidRPr="00BE6BE7">
        <w:rPr>
          <w:color w:val="000000"/>
          <w:szCs w:val="24"/>
        </w:rPr>
        <w:t xml:space="preserve"> beginning </w:t>
      </w:r>
      <w:r w:rsidR="006046F7" w:rsidRPr="00BE6BE7">
        <w:rPr>
          <w:color w:val="000000"/>
          <w:szCs w:val="24"/>
        </w:rPr>
        <w:t>i</w:t>
      </w:r>
      <w:r w:rsidR="001711FD" w:rsidRPr="00BE6BE7">
        <w:rPr>
          <w:color w:val="000000"/>
          <w:szCs w:val="24"/>
        </w:rPr>
        <w:t>n July</w:t>
      </w:r>
      <w:r w:rsidR="006046F7" w:rsidRPr="00BE6BE7">
        <w:rPr>
          <w:color w:val="000000"/>
          <w:szCs w:val="24"/>
        </w:rPr>
        <w:t> </w:t>
      </w:r>
      <w:r w:rsidR="00A17510">
        <w:rPr>
          <w:color w:val="000000"/>
          <w:szCs w:val="24"/>
        </w:rPr>
        <w:t xml:space="preserve">2011 </w:t>
      </w:r>
      <w:r w:rsidR="00DA11B4" w:rsidRPr="00BE6BE7">
        <w:rPr>
          <w:color w:val="000000"/>
          <w:szCs w:val="24"/>
        </w:rPr>
        <w:t>and annually thereafter</w:t>
      </w:r>
      <w:r w:rsidR="00A54CCE" w:rsidRPr="00BE6BE7">
        <w:rPr>
          <w:color w:val="000000"/>
          <w:szCs w:val="24"/>
        </w:rPr>
        <w:t>.</w:t>
      </w:r>
      <w:r w:rsidRPr="00BE6BE7">
        <w:rPr>
          <w:color w:val="000000"/>
          <w:szCs w:val="24"/>
        </w:rPr>
        <w:t xml:space="preserve"> </w:t>
      </w:r>
    </w:p>
    <w:p w:rsidR="00246227" w:rsidRDefault="00246227" w:rsidP="001356B0">
      <w:pPr>
        <w:tabs>
          <w:tab w:val="left" w:pos="0"/>
          <w:tab w:val="left" w:pos="720"/>
        </w:tabs>
        <w:ind w:left="720"/>
        <w:rPr>
          <w:b/>
          <w:color w:val="000000"/>
          <w:szCs w:val="24"/>
        </w:rPr>
      </w:pPr>
    </w:p>
    <w:p w:rsidR="008C5F0E" w:rsidRPr="00BE6BE7" w:rsidRDefault="008A67C8" w:rsidP="001356B0">
      <w:pPr>
        <w:tabs>
          <w:tab w:val="left" w:pos="0"/>
          <w:tab w:val="left" w:pos="720"/>
        </w:tabs>
        <w:ind w:left="720"/>
        <w:rPr>
          <w:b/>
          <w:color w:val="000000"/>
          <w:szCs w:val="24"/>
        </w:rPr>
      </w:pPr>
      <w:r w:rsidRPr="00BE6BE7">
        <w:rPr>
          <w:b/>
          <w:color w:val="000000"/>
          <w:szCs w:val="24"/>
        </w:rPr>
        <w:t xml:space="preserve">Subsection (a) - </w:t>
      </w:r>
      <w:r w:rsidR="00365086" w:rsidRPr="00BE6BE7">
        <w:rPr>
          <w:b/>
          <w:color w:val="000000"/>
          <w:szCs w:val="24"/>
        </w:rPr>
        <w:t>Interchange fee rulemaking</w:t>
      </w:r>
    </w:p>
    <w:p w:rsidR="00A50A12" w:rsidRPr="00BE6BE7" w:rsidRDefault="000E57AA" w:rsidP="001356B0">
      <w:pPr>
        <w:tabs>
          <w:tab w:val="left" w:pos="0"/>
          <w:tab w:val="left" w:pos="720"/>
        </w:tabs>
        <w:rPr>
          <w:color w:val="000000"/>
          <w:szCs w:val="24"/>
        </w:rPr>
      </w:pPr>
      <w:r w:rsidRPr="00BE6BE7">
        <w:rPr>
          <w:color w:val="000000"/>
          <w:szCs w:val="24"/>
        </w:rPr>
        <w:tab/>
      </w:r>
    </w:p>
    <w:p w:rsidR="00492A62" w:rsidRPr="00BE6BE7" w:rsidRDefault="00A50A12" w:rsidP="00492A62">
      <w:pPr>
        <w:tabs>
          <w:tab w:val="left" w:pos="0"/>
          <w:tab w:val="left" w:pos="720"/>
        </w:tabs>
        <w:rPr>
          <w:color w:val="000000"/>
          <w:szCs w:val="24"/>
        </w:rPr>
      </w:pPr>
      <w:r w:rsidRPr="00BE6BE7">
        <w:rPr>
          <w:color w:val="000000"/>
          <w:szCs w:val="24"/>
        </w:rPr>
        <w:tab/>
      </w:r>
      <w:r w:rsidR="00E62F32" w:rsidRPr="00BE6BE7">
        <w:rPr>
          <w:color w:val="000000"/>
          <w:szCs w:val="24"/>
        </w:rPr>
        <w:t xml:space="preserve">The </w:t>
      </w:r>
      <w:r w:rsidR="003C6D07">
        <w:rPr>
          <w:color w:val="000000"/>
          <w:szCs w:val="24"/>
        </w:rPr>
        <w:t xml:space="preserve">Dodd-Frank </w:t>
      </w:r>
      <w:r w:rsidR="00E62F32" w:rsidRPr="00BE6BE7">
        <w:rPr>
          <w:color w:val="000000"/>
          <w:szCs w:val="24"/>
        </w:rPr>
        <w:t xml:space="preserve">Act </w:t>
      </w:r>
      <w:r w:rsidR="00A505D3" w:rsidRPr="00BE6BE7">
        <w:rPr>
          <w:color w:val="000000"/>
          <w:szCs w:val="24"/>
        </w:rPr>
        <w:t xml:space="preserve">requires the </w:t>
      </w:r>
      <w:r w:rsidR="0075077C">
        <w:rPr>
          <w:color w:val="000000"/>
          <w:szCs w:val="24"/>
        </w:rPr>
        <w:t>Board</w:t>
      </w:r>
      <w:r w:rsidR="00A505D3" w:rsidRPr="00BE6BE7">
        <w:rPr>
          <w:color w:val="000000"/>
          <w:szCs w:val="24"/>
        </w:rPr>
        <w:t xml:space="preserve"> to issue rules</w:t>
      </w:r>
      <w:r w:rsidR="0075077C">
        <w:rPr>
          <w:color w:val="000000"/>
          <w:szCs w:val="24"/>
        </w:rPr>
        <w:t xml:space="preserve"> in three areas</w:t>
      </w:r>
      <w:r w:rsidR="00E62F32" w:rsidRPr="00BE6BE7">
        <w:rPr>
          <w:color w:val="000000"/>
          <w:szCs w:val="24"/>
        </w:rPr>
        <w:t xml:space="preserve"> </w:t>
      </w:r>
      <w:r w:rsidR="00771F4A">
        <w:rPr>
          <w:color w:val="000000"/>
          <w:szCs w:val="24"/>
        </w:rPr>
        <w:t>related to interchange fees</w:t>
      </w:r>
      <w:r w:rsidR="00E62F32" w:rsidRPr="00BE6BE7">
        <w:rPr>
          <w:color w:val="000000"/>
          <w:szCs w:val="24"/>
        </w:rPr>
        <w:t xml:space="preserve">.  </w:t>
      </w:r>
      <w:r w:rsidR="00492A62">
        <w:rPr>
          <w:color w:val="000000"/>
          <w:szCs w:val="24"/>
        </w:rPr>
        <w:t>First</w:t>
      </w:r>
      <w:r w:rsidR="00365086" w:rsidRPr="00BE6BE7">
        <w:rPr>
          <w:color w:val="000000"/>
          <w:szCs w:val="24"/>
        </w:rPr>
        <w:t xml:space="preserve">, </w:t>
      </w:r>
      <w:r w:rsidR="00305F75" w:rsidRPr="00BE6BE7">
        <w:rPr>
          <w:color w:val="000000"/>
          <w:szCs w:val="24"/>
        </w:rPr>
        <w:t xml:space="preserve">the </w:t>
      </w:r>
      <w:r w:rsidR="0075077C">
        <w:rPr>
          <w:color w:val="000000"/>
          <w:szCs w:val="24"/>
        </w:rPr>
        <w:t>Board</w:t>
      </w:r>
      <w:r w:rsidR="00305F75" w:rsidRPr="00BE6BE7">
        <w:rPr>
          <w:color w:val="000000"/>
          <w:szCs w:val="24"/>
        </w:rPr>
        <w:t xml:space="preserve"> </w:t>
      </w:r>
      <w:r w:rsidR="00365086" w:rsidRPr="00BE6BE7">
        <w:rPr>
          <w:color w:val="000000"/>
          <w:szCs w:val="24"/>
        </w:rPr>
        <w:t xml:space="preserve">must </w:t>
      </w:r>
      <w:r w:rsidR="00305F75" w:rsidRPr="00BE6BE7">
        <w:rPr>
          <w:color w:val="000000"/>
          <w:szCs w:val="24"/>
        </w:rPr>
        <w:t xml:space="preserve">prescribe </w:t>
      </w:r>
      <w:r w:rsidR="003B584C" w:rsidRPr="00BE6BE7">
        <w:rPr>
          <w:szCs w:val="24"/>
        </w:rPr>
        <w:t>regulations</w:t>
      </w:r>
      <w:r w:rsidR="003B584C" w:rsidRPr="00BE6BE7" w:rsidDel="003B584C">
        <w:rPr>
          <w:color w:val="000000"/>
          <w:szCs w:val="24"/>
        </w:rPr>
        <w:t xml:space="preserve"> </w:t>
      </w:r>
      <w:r w:rsidR="00365086" w:rsidRPr="00BE6BE7">
        <w:rPr>
          <w:color w:val="000000"/>
          <w:szCs w:val="24"/>
        </w:rPr>
        <w:t>establishing</w:t>
      </w:r>
      <w:r w:rsidR="00305F75" w:rsidRPr="00BE6BE7">
        <w:rPr>
          <w:color w:val="000000"/>
          <w:szCs w:val="24"/>
        </w:rPr>
        <w:t xml:space="preserve"> standards for assessing whether the amount of an interchange fee is reasonable and proportional to the cost incurred by the issuer.</w:t>
      </w:r>
      <w:r w:rsidR="00305F75" w:rsidRPr="00BE6BE7">
        <w:rPr>
          <w:rStyle w:val="FootnoteReference"/>
          <w:color w:val="000000"/>
          <w:szCs w:val="24"/>
        </w:rPr>
        <w:footnoteReference w:id="8"/>
      </w:r>
      <w:r w:rsidR="00305F75" w:rsidRPr="00BE6BE7">
        <w:rPr>
          <w:color w:val="000000"/>
          <w:szCs w:val="24"/>
        </w:rPr>
        <w:t xml:space="preserve">  </w:t>
      </w:r>
      <w:r w:rsidR="00365086" w:rsidRPr="00BE6BE7">
        <w:rPr>
          <w:color w:val="000000"/>
          <w:szCs w:val="24"/>
        </w:rPr>
        <w:t xml:space="preserve">In establishing such standards, the </w:t>
      </w:r>
      <w:r w:rsidR="0075077C">
        <w:rPr>
          <w:color w:val="000000"/>
          <w:szCs w:val="24"/>
        </w:rPr>
        <w:t>Board</w:t>
      </w:r>
      <w:r w:rsidR="00365086" w:rsidRPr="00BE6BE7">
        <w:rPr>
          <w:color w:val="000000"/>
          <w:szCs w:val="24"/>
        </w:rPr>
        <w:t xml:space="preserve"> must distinguish between the incremental cost incurred by the issuer for authorizing, clearing, and settling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365086" w:rsidRPr="00BE6BE7">
        <w:rPr>
          <w:color w:val="000000"/>
          <w:szCs w:val="24"/>
        </w:rPr>
        <w:t xml:space="preserve"> and other costs incurred by an issuer that are not specific to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365086" w:rsidRPr="00BE6BE7">
        <w:rPr>
          <w:color w:val="000000"/>
          <w:szCs w:val="24"/>
        </w:rPr>
        <w:t>.</w:t>
      </w:r>
      <w:r w:rsidR="00365086" w:rsidRPr="00BE6BE7">
        <w:rPr>
          <w:rStyle w:val="FootnoteReference"/>
          <w:color w:val="000000"/>
          <w:szCs w:val="24"/>
        </w:rPr>
        <w:footnoteReference w:id="9"/>
      </w:r>
      <w:r w:rsidR="00687E7E" w:rsidRPr="00BE6BE7">
        <w:rPr>
          <w:color w:val="000000"/>
          <w:szCs w:val="24"/>
        </w:rPr>
        <w:t xml:space="preserve"> </w:t>
      </w:r>
      <w:r w:rsidR="00365086" w:rsidRPr="00BE6BE7">
        <w:rPr>
          <w:color w:val="000000"/>
          <w:szCs w:val="24"/>
        </w:rPr>
        <w:t xml:space="preserve"> </w:t>
      </w:r>
      <w:r w:rsidR="00492A62">
        <w:rPr>
          <w:color w:val="000000"/>
          <w:szCs w:val="24"/>
        </w:rPr>
        <w:t>Thus, i</w:t>
      </w:r>
      <w:r w:rsidR="00010438" w:rsidRPr="00BE6BE7">
        <w:rPr>
          <w:color w:val="000000"/>
          <w:szCs w:val="24"/>
        </w:rPr>
        <w:t xml:space="preserve">n order to set standards for determining whether the amount of an interchange free is reasonable and proportional to the cost incurred by an issuer with respect to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010438" w:rsidRPr="00BE6BE7">
        <w:rPr>
          <w:color w:val="000000"/>
          <w:szCs w:val="24"/>
        </w:rPr>
        <w:t xml:space="preserve">, information is needed on the costs that an issuer incurs for authorizing, clearing, and settling a particular </w:t>
      </w:r>
      <w:r w:rsidR="00364CEA">
        <w:rPr>
          <w:color w:val="000000"/>
          <w:szCs w:val="24"/>
        </w:rPr>
        <w:t xml:space="preserve">electronic </w:t>
      </w:r>
      <w:r w:rsidR="00A77BEE" w:rsidRPr="00BE6BE7">
        <w:rPr>
          <w:color w:val="000000"/>
          <w:szCs w:val="24"/>
        </w:rPr>
        <w:t>debit transaction</w:t>
      </w:r>
      <w:r w:rsidR="00010438" w:rsidRPr="00BE6BE7">
        <w:rPr>
          <w:color w:val="000000"/>
          <w:szCs w:val="24"/>
        </w:rPr>
        <w:t>.</w:t>
      </w:r>
      <w:r w:rsidR="00B6234E">
        <w:rPr>
          <w:color w:val="000000"/>
          <w:szCs w:val="24"/>
        </w:rPr>
        <w:t xml:space="preserve">  </w:t>
      </w:r>
      <w:r w:rsidR="00797EC6">
        <w:rPr>
          <w:color w:val="000000"/>
          <w:szCs w:val="24"/>
        </w:rPr>
        <w:t xml:space="preserve"> </w:t>
      </w:r>
      <w:r w:rsidR="00492A62" w:rsidRPr="00BE6BE7">
        <w:rPr>
          <w:color w:val="000000"/>
          <w:szCs w:val="24"/>
        </w:rPr>
        <w:t xml:space="preserve">Collecting information about interchange fees also is necessary because, in issuing final rules, the </w:t>
      </w:r>
      <w:r w:rsidR="00492A62">
        <w:rPr>
          <w:color w:val="000000"/>
          <w:szCs w:val="24"/>
        </w:rPr>
        <w:t>Board</w:t>
      </w:r>
      <w:r w:rsidR="00492A62" w:rsidRPr="00BE6BE7">
        <w:rPr>
          <w:color w:val="000000"/>
          <w:szCs w:val="24"/>
        </w:rPr>
        <w:t xml:space="preserve"> must publish summary information about interchange fees</w:t>
      </w:r>
      <w:r w:rsidR="00492A62">
        <w:rPr>
          <w:color w:val="000000"/>
          <w:szCs w:val="24"/>
        </w:rPr>
        <w:t>, if appropriate and in the public interest to do so</w:t>
      </w:r>
      <w:r w:rsidR="00492A62" w:rsidRPr="00BE6BE7">
        <w:rPr>
          <w:color w:val="000000"/>
          <w:szCs w:val="24"/>
        </w:rPr>
        <w:t>.</w:t>
      </w:r>
      <w:r w:rsidR="00492A62">
        <w:rPr>
          <w:color w:val="000000"/>
          <w:szCs w:val="24"/>
        </w:rPr>
        <w:t xml:space="preserve">  In addition to collecting information about current interchange fees, collect</w:t>
      </w:r>
      <w:r w:rsidR="004E2098">
        <w:rPr>
          <w:color w:val="000000"/>
          <w:szCs w:val="24"/>
        </w:rPr>
        <w:t>ing</w:t>
      </w:r>
      <w:r w:rsidR="00492A62">
        <w:rPr>
          <w:color w:val="000000"/>
          <w:szCs w:val="24"/>
        </w:rPr>
        <w:t xml:space="preserve"> information from PCNs about historical interchange fees </w:t>
      </w:r>
      <w:r w:rsidR="00246227">
        <w:rPr>
          <w:color w:val="000000"/>
          <w:szCs w:val="24"/>
        </w:rPr>
        <w:t>provides the Board with</w:t>
      </w:r>
      <w:r w:rsidR="00D126C7">
        <w:rPr>
          <w:color w:val="000000"/>
          <w:szCs w:val="24"/>
        </w:rPr>
        <w:t xml:space="preserve"> valuable</w:t>
      </w:r>
      <w:r w:rsidR="00246227">
        <w:rPr>
          <w:color w:val="000000"/>
          <w:szCs w:val="24"/>
        </w:rPr>
        <w:t xml:space="preserve"> information regarding </w:t>
      </w:r>
      <w:r w:rsidR="009E65A5">
        <w:rPr>
          <w:color w:val="000000"/>
          <w:szCs w:val="24"/>
        </w:rPr>
        <w:t>the evolution of</w:t>
      </w:r>
      <w:r w:rsidR="00246227">
        <w:rPr>
          <w:color w:val="000000"/>
          <w:szCs w:val="24"/>
        </w:rPr>
        <w:t xml:space="preserve"> </w:t>
      </w:r>
      <w:proofErr w:type="spellStart"/>
      <w:r w:rsidR="00246227">
        <w:rPr>
          <w:color w:val="000000"/>
          <w:szCs w:val="24"/>
        </w:rPr>
        <w:t>market</w:t>
      </w:r>
      <w:r w:rsidR="004314C4">
        <w:rPr>
          <w:color w:val="000000"/>
          <w:szCs w:val="24"/>
        </w:rPr>
        <w:noBreakHyphen/>
      </w:r>
      <w:r w:rsidR="00246227">
        <w:rPr>
          <w:color w:val="000000"/>
          <w:szCs w:val="24"/>
        </w:rPr>
        <w:t>determined</w:t>
      </w:r>
      <w:proofErr w:type="spellEnd"/>
      <w:r w:rsidR="00246227">
        <w:rPr>
          <w:color w:val="000000"/>
          <w:szCs w:val="24"/>
        </w:rPr>
        <w:t xml:space="preserve"> interchange fees</w:t>
      </w:r>
      <w:r w:rsidR="00492A62">
        <w:rPr>
          <w:color w:val="000000"/>
          <w:szCs w:val="24"/>
        </w:rPr>
        <w:t xml:space="preserve">.  </w:t>
      </w:r>
    </w:p>
    <w:p w:rsidR="00A50A12" w:rsidRPr="00BE6BE7" w:rsidRDefault="00365086" w:rsidP="000B36F8">
      <w:pPr>
        <w:tabs>
          <w:tab w:val="left" w:pos="0"/>
          <w:tab w:val="left" w:pos="720"/>
        </w:tabs>
        <w:rPr>
          <w:color w:val="000000"/>
          <w:szCs w:val="24"/>
        </w:rPr>
      </w:pPr>
      <w:r w:rsidRPr="00BE6BE7">
        <w:rPr>
          <w:color w:val="000000"/>
          <w:szCs w:val="24"/>
        </w:rPr>
        <w:tab/>
      </w:r>
    </w:p>
    <w:p w:rsidR="00E62F32" w:rsidRPr="00BE6BE7" w:rsidRDefault="00A50A12" w:rsidP="000B36F8">
      <w:pPr>
        <w:tabs>
          <w:tab w:val="left" w:pos="0"/>
          <w:tab w:val="left" w:pos="720"/>
        </w:tabs>
        <w:rPr>
          <w:color w:val="000000"/>
          <w:szCs w:val="24"/>
        </w:rPr>
      </w:pPr>
      <w:r w:rsidRPr="00BE6BE7">
        <w:rPr>
          <w:color w:val="000000"/>
          <w:szCs w:val="24"/>
        </w:rPr>
        <w:tab/>
      </w:r>
      <w:r w:rsidR="00492A62">
        <w:rPr>
          <w:color w:val="000000"/>
          <w:szCs w:val="24"/>
        </w:rPr>
        <w:t>Second, t</w:t>
      </w:r>
      <w:r w:rsidR="00365086" w:rsidRPr="00BE6BE7">
        <w:rPr>
          <w:color w:val="000000"/>
          <w:szCs w:val="24"/>
        </w:rPr>
        <w:t xml:space="preserve">he </w:t>
      </w:r>
      <w:r w:rsidR="0075077C">
        <w:rPr>
          <w:color w:val="000000"/>
          <w:szCs w:val="24"/>
        </w:rPr>
        <w:t>Board</w:t>
      </w:r>
      <w:r w:rsidR="00365086" w:rsidRPr="00BE6BE7">
        <w:rPr>
          <w:color w:val="000000"/>
          <w:szCs w:val="24"/>
        </w:rPr>
        <w:t xml:space="preserve"> may permit an adjustment to the amount of a reasonable and proportional interchange fee to account for the issuer’s costs of preventing fraud related to its </w:t>
      </w:r>
      <w:r w:rsidR="00364CEA">
        <w:rPr>
          <w:color w:val="000000"/>
          <w:szCs w:val="24"/>
        </w:rPr>
        <w:lastRenderedPageBreak/>
        <w:t xml:space="preserve">electronic </w:t>
      </w:r>
      <w:r w:rsidR="00A77BEE" w:rsidRPr="00BE6BE7">
        <w:rPr>
          <w:color w:val="000000"/>
          <w:szCs w:val="24"/>
        </w:rPr>
        <w:t>debit transactions</w:t>
      </w:r>
      <w:r w:rsidR="004E27CC" w:rsidRPr="00BE6BE7">
        <w:rPr>
          <w:color w:val="000000"/>
          <w:szCs w:val="24"/>
        </w:rPr>
        <w:t xml:space="preserve">.  </w:t>
      </w:r>
      <w:r w:rsidR="00492A62">
        <w:rPr>
          <w:color w:val="000000"/>
          <w:szCs w:val="24"/>
        </w:rPr>
        <w:t xml:space="preserve">In order to do so, the Board must set forth standards for the </w:t>
      </w:r>
      <w:proofErr w:type="spellStart"/>
      <w:r w:rsidR="00492A62">
        <w:rPr>
          <w:color w:val="000000"/>
          <w:szCs w:val="24"/>
        </w:rPr>
        <w:t>fraud</w:t>
      </w:r>
      <w:r w:rsidR="00492A62">
        <w:rPr>
          <w:color w:val="000000"/>
          <w:szCs w:val="24"/>
        </w:rPr>
        <w:noBreakHyphen/>
        <w:t>related</w:t>
      </w:r>
      <w:proofErr w:type="spellEnd"/>
      <w:r w:rsidR="00492A62">
        <w:rPr>
          <w:color w:val="000000"/>
          <w:szCs w:val="24"/>
        </w:rPr>
        <w:t xml:space="preserve"> adjustment.  </w:t>
      </w:r>
      <w:r w:rsidR="00E62F32" w:rsidRPr="00BE6BE7">
        <w:rPr>
          <w:color w:val="000000"/>
          <w:szCs w:val="24"/>
        </w:rPr>
        <w:t xml:space="preserve">In addition to the </w:t>
      </w:r>
      <w:proofErr w:type="spellStart"/>
      <w:r w:rsidR="00E62F32" w:rsidRPr="00BE6BE7">
        <w:rPr>
          <w:color w:val="000000"/>
          <w:szCs w:val="24"/>
        </w:rPr>
        <w:t>issuer</w:t>
      </w:r>
      <w:r w:rsidR="00B6234E">
        <w:rPr>
          <w:color w:val="000000"/>
          <w:szCs w:val="24"/>
        </w:rPr>
        <w:noBreakHyphen/>
      </w:r>
      <w:r w:rsidR="00E62F32" w:rsidRPr="00BE6BE7">
        <w:rPr>
          <w:color w:val="000000"/>
          <w:szCs w:val="24"/>
        </w:rPr>
        <w:t>specific</w:t>
      </w:r>
      <w:proofErr w:type="spellEnd"/>
      <w:r w:rsidR="00E62F32" w:rsidRPr="00BE6BE7">
        <w:rPr>
          <w:color w:val="000000"/>
          <w:szCs w:val="24"/>
        </w:rPr>
        <w:t xml:space="preserve"> fraud prevention costs, the fraud-related standards must take into account </w:t>
      </w:r>
      <w:proofErr w:type="spellStart"/>
      <w:r w:rsidR="00E62F32" w:rsidRPr="00BE6BE7">
        <w:rPr>
          <w:color w:val="000000"/>
          <w:szCs w:val="24"/>
        </w:rPr>
        <w:t>fraud</w:t>
      </w:r>
      <w:r w:rsidR="00B6234E">
        <w:rPr>
          <w:color w:val="000000"/>
          <w:szCs w:val="24"/>
        </w:rPr>
        <w:noBreakHyphen/>
      </w:r>
      <w:r w:rsidR="00E62F32" w:rsidRPr="00BE6BE7">
        <w:rPr>
          <w:color w:val="000000"/>
          <w:szCs w:val="24"/>
        </w:rPr>
        <w:t>related</w:t>
      </w:r>
      <w:proofErr w:type="spellEnd"/>
      <w:r w:rsidR="00E62F32" w:rsidRPr="00BE6BE7">
        <w:rPr>
          <w:color w:val="000000"/>
          <w:szCs w:val="24"/>
        </w:rPr>
        <w:t xml:space="preserve"> reimbursements received by the issuer from consumers, merchants, or </w:t>
      </w:r>
      <w:r w:rsidR="00BF3EBA" w:rsidRPr="00BE6BE7">
        <w:rPr>
          <w:color w:val="000000"/>
          <w:szCs w:val="24"/>
        </w:rPr>
        <w:t>PCNs</w:t>
      </w:r>
      <w:r w:rsidR="00E62F32" w:rsidRPr="00BE6BE7">
        <w:rPr>
          <w:color w:val="000000"/>
          <w:szCs w:val="24"/>
        </w:rPr>
        <w:t>, as well as certain other factors.</w:t>
      </w:r>
      <w:r w:rsidR="00E62F32" w:rsidRPr="00BE6BE7">
        <w:rPr>
          <w:rStyle w:val="FootnoteReference"/>
          <w:color w:val="000000"/>
          <w:szCs w:val="24"/>
        </w:rPr>
        <w:footnoteReference w:id="10"/>
      </w:r>
      <w:r w:rsidR="00E62F32" w:rsidRPr="00BE6BE7">
        <w:rPr>
          <w:color w:val="000000"/>
          <w:szCs w:val="24"/>
        </w:rPr>
        <w:t xml:space="preserve">  The fraud-related standards must require issuers to take effective steps to reduce both the occurrence and costs from fraud in relation to </w:t>
      </w:r>
      <w:r w:rsidR="00364CEA">
        <w:rPr>
          <w:color w:val="000000"/>
          <w:szCs w:val="24"/>
        </w:rPr>
        <w:t xml:space="preserve">electronic </w:t>
      </w:r>
      <w:r w:rsidR="00A77BEE" w:rsidRPr="00BE6BE7">
        <w:rPr>
          <w:color w:val="000000"/>
          <w:szCs w:val="24"/>
        </w:rPr>
        <w:t>debit transactions</w:t>
      </w:r>
      <w:r w:rsidR="00E62F32" w:rsidRPr="00BE6BE7">
        <w:rPr>
          <w:color w:val="000000"/>
          <w:szCs w:val="24"/>
        </w:rPr>
        <w:t xml:space="preserve">. </w:t>
      </w:r>
      <w:r w:rsidR="00010438" w:rsidRPr="00BE6BE7">
        <w:rPr>
          <w:color w:val="000000"/>
          <w:szCs w:val="24"/>
        </w:rPr>
        <w:t xml:space="preserve"> Therefore, collecting information about the ultimate allocation of fraud losses among the parties, as well as the costs associated with fraud prevention</w:t>
      </w:r>
      <w:r w:rsidR="00A17510">
        <w:rPr>
          <w:color w:val="000000"/>
          <w:szCs w:val="24"/>
        </w:rPr>
        <w:t>,</w:t>
      </w:r>
      <w:r w:rsidR="00010438" w:rsidRPr="00BE6BE7">
        <w:rPr>
          <w:color w:val="000000"/>
          <w:szCs w:val="24"/>
        </w:rPr>
        <w:t xml:space="preserve"> is necessary to implement standards for the fraud</w:t>
      </w:r>
      <w:r w:rsidR="0075077C">
        <w:rPr>
          <w:color w:val="000000"/>
          <w:szCs w:val="24"/>
        </w:rPr>
        <w:t>-</w:t>
      </w:r>
      <w:r w:rsidR="00010438" w:rsidRPr="00BE6BE7">
        <w:rPr>
          <w:color w:val="000000"/>
          <w:szCs w:val="24"/>
        </w:rPr>
        <w:t xml:space="preserve">related adjustment. </w:t>
      </w:r>
      <w:r w:rsidR="00E62F32" w:rsidRPr="00BE6BE7">
        <w:rPr>
          <w:color w:val="000000"/>
          <w:szCs w:val="24"/>
        </w:rPr>
        <w:t xml:space="preserve"> </w:t>
      </w:r>
    </w:p>
    <w:p w:rsidR="00A50A12" w:rsidRPr="00BE6BE7" w:rsidRDefault="00D95EDE" w:rsidP="000B36F8">
      <w:pPr>
        <w:tabs>
          <w:tab w:val="left" w:pos="0"/>
          <w:tab w:val="left" w:pos="720"/>
        </w:tabs>
        <w:rPr>
          <w:color w:val="000000"/>
          <w:szCs w:val="24"/>
        </w:rPr>
      </w:pPr>
      <w:r w:rsidRPr="00BE6BE7">
        <w:rPr>
          <w:color w:val="000000"/>
          <w:szCs w:val="24"/>
        </w:rPr>
        <w:tab/>
      </w:r>
    </w:p>
    <w:p w:rsidR="00D95EDE" w:rsidRPr="00BE6BE7" w:rsidRDefault="00A50A12" w:rsidP="000B36F8">
      <w:pPr>
        <w:tabs>
          <w:tab w:val="left" w:pos="0"/>
          <w:tab w:val="left" w:pos="720"/>
        </w:tabs>
        <w:rPr>
          <w:color w:val="000000"/>
          <w:szCs w:val="24"/>
        </w:rPr>
      </w:pPr>
      <w:r w:rsidRPr="00BE6BE7">
        <w:rPr>
          <w:color w:val="000000"/>
          <w:szCs w:val="24"/>
        </w:rPr>
        <w:tab/>
      </w:r>
      <w:r w:rsidR="00492A62">
        <w:rPr>
          <w:color w:val="000000"/>
          <w:szCs w:val="24"/>
        </w:rPr>
        <w:t>Finally</w:t>
      </w:r>
      <w:r w:rsidR="00D95EDE" w:rsidRPr="00BE6BE7">
        <w:rPr>
          <w:color w:val="000000"/>
          <w:szCs w:val="24"/>
        </w:rPr>
        <w:t xml:space="preserve">, the </w:t>
      </w:r>
      <w:r w:rsidR="0075077C">
        <w:rPr>
          <w:color w:val="000000"/>
          <w:szCs w:val="24"/>
        </w:rPr>
        <w:t>Board</w:t>
      </w:r>
      <w:r w:rsidR="00D95EDE" w:rsidRPr="00BE6BE7">
        <w:rPr>
          <w:color w:val="000000"/>
          <w:szCs w:val="24"/>
        </w:rPr>
        <w:t xml:space="preserve"> must prescribe </w:t>
      </w:r>
      <w:r w:rsidR="003B584C" w:rsidRPr="00BE6BE7">
        <w:rPr>
          <w:szCs w:val="24"/>
        </w:rPr>
        <w:t>regulations</w:t>
      </w:r>
      <w:r w:rsidR="003B584C" w:rsidRPr="00BE6BE7" w:rsidDel="003B584C">
        <w:rPr>
          <w:color w:val="000000"/>
          <w:szCs w:val="24"/>
        </w:rPr>
        <w:t xml:space="preserve"> </w:t>
      </w:r>
      <w:r w:rsidR="00D95EDE" w:rsidRPr="00BE6BE7">
        <w:rPr>
          <w:color w:val="000000"/>
          <w:szCs w:val="24"/>
        </w:rPr>
        <w:t xml:space="preserve">to ensure that network fees other than interchange fees are not used to indirectly compensate an issuer with respect to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D95EDE" w:rsidRPr="00BE6BE7">
        <w:rPr>
          <w:color w:val="000000"/>
          <w:szCs w:val="24"/>
        </w:rPr>
        <w:t>, or to otherwise evade the restrictions on interchange fees.</w:t>
      </w:r>
      <w:r w:rsidR="00D95EDE" w:rsidRPr="00BE6BE7">
        <w:rPr>
          <w:rStyle w:val="FootnoteReference"/>
          <w:color w:val="000000"/>
          <w:szCs w:val="24"/>
        </w:rPr>
        <w:footnoteReference w:id="11"/>
      </w:r>
      <w:r w:rsidR="00D95EDE" w:rsidRPr="00BE6BE7">
        <w:rPr>
          <w:color w:val="000000"/>
          <w:szCs w:val="24"/>
        </w:rPr>
        <w:t xml:space="preserve"> Information about current fee structure</w:t>
      </w:r>
      <w:r w:rsidR="00492A62">
        <w:rPr>
          <w:color w:val="000000"/>
          <w:szCs w:val="24"/>
        </w:rPr>
        <w:t>s</w:t>
      </w:r>
      <w:r w:rsidR="00D95EDE" w:rsidRPr="00BE6BE7">
        <w:rPr>
          <w:color w:val="000000"/>
          <w:szCs w:val="24"/>
        </w:rPr>
        <w:t xml:space="preserve"> is necessary to determine which current variables are or are not related to the cost of a particular </w:t>
      </w:r>
      <w:r w:rsidR="00364CEA">
        <w:rPr>
          <w:color w:val="000000"/>
          <w:szCs w:val="24"/>
        </w:rPr>
        <w:t xml:space="preserve">electronic </w:t>
      </w:r>
      <w:r w:rsidR="00A77BEE" w:rsidRPr="00BE6BE7">
        <w:rPr>
          <w:color w:val="000000"/>
          <w:szCs w:val="24"/>
        </w:rPr>
        <w:t>debit transaction</w:t>
      </w:r>
      <w:r w:rsidR="00D95EDE" w:rsidRPr="00BE6BE7">
        <w:rPr>
          <w:color w:val="000000"/>
          <w:szCs w:val="24"/>
        </w:rPr>
        <w:t xml:space="preserve">.  Collecting information regarding the fees that currently are transferred between participants in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D95EDE" w:rsidRPr="00BE6BE7">
        <w:rPr>
          <w:color w:val="000000"/>
          <w:szCs w:val="24"/>
        </w:rPr>
        <w:t xml:space="preserve">, and for what purposes, is necessary to develop a framework for rules that </w:t>
      </w:r>
      <w:r w:rsidR="007E078F" w:rsidRPr="00BE6BE7">
        <w:rPr>
          <w:color w:val="000000"/>
          <w:szCs w:val="24"/>
        </w:rPr>
        <w:t>would</w:t>
      </w:r>
      <w:r w:rsidR="00D95EDE" w:rsidRPr="00BE6BE7">
        <w:rPr>
          <w:color w:val="000000"/>
          <w:szCs w:val="24"/>
        </w:rPr>
        <w:t xml:space="preserve"> prevent evasion of the new interchange transaction fee restrictions.  </w:t>
      </w:r>
    </w:p>
    <w:p w:rsidR="00A50A12" w:rsidRPr="00BE6BE7" w:rsidRDefault="00E76746" w:rsidP="000B36F8">
      <w:pPr>
        <w:tabs>
          <w:tab w:val="left" w:pos="0"/>
          <w:tab w:val="left" w:pos="720"/>
        </w:tabs>
        <w:rPr>
          <w:color w:val="000000"/>
          <w:szCs w:val="24"/>
        </w:rPr>
      </w:pPr>
      <w:r w:rsidRPr="00BE6BE7">
        <w:rPr>
          <w:color w:val="000000"/>
          <w:szCs w:val="24"/>
        </w:rPr>
        <w:tab/>
      </w:r>
    </w:p>
    <w:p w:rsidR="00DE674E" w:rsidRPr="00BE6BE7" w:rsidRDefault="00A50A12" w:rsidP="000B36F8">
      <w:pPr>
        <w:tabs>
          <w:tab w:val="left" w:pos="0"/>
          <w:tab w:val="left" w:pos="720"/>
        </w:tabs>
        <w:rPr>
          <w:color w:val="000000"/>
          <w:szCs w:val="24"/>
        </w:rPr>
      </w:pPr>
      <w:r w:rsidRPr="00BE6BE7">
        <w:rPr>
          <w:color w:val="000000"/>
          <w:szCs w:val="24"/>
        </w:rPr>
        <w:tab/>
      </w:r>
      <w:r w:rsidR="00AD66C0" w:rsidRPr="00BE6BE7">
        <w:rPr>
          <w:color w:val="000000"/>
          <w:szCs w:val="24"/>
        </w:rPr>
        <w:t xml:space="preserve">The </w:t>
      </w:r>
      <w:r w:rsidR="003C6D07">
        <w:rPr>
          <w:color w:val="000000"/>
          <w:szCs w:val="24"/>
        </w:rPr>
        <w:t xml:space="preserve">Dodd-Frank </w:t>
      </w:r>
      <w:r w:rsidR="00AD66C0" w:rsidRPr="00BE6BE7">
        <w:rPr>
          <w:color w:val="000000"/>
          <w:szCs w:val="24"/>
        </w:rPr>
        <w:t xml:space="preserve">Act exempts from the restriction on the amount of an interchange fee any issuer that, together with its affiliates, has assets of less than $10 billion.  </w:t>
      </w:r>
      <w:r w:rsidR="00B6234E" w:rsidRPr="00BE6BE7">
        <w:rPr>
          <w:color w:val="000000"/>
          <w:szCs w:val="24"/>
        </w:rPr>
        <w:t xml:space="preserve">Accordingly, this information collection would target those </w:t>
      </w:r>
      <w:r w:rsidR="00B6234E">
        <w:rPr>
          <w:color w:val="000000"/>
          <w:szCs w:val="24"/>
        </w:rPr>
        <w:t>issuers</w:t>
      </w:r>
      <w:r w:rsidR="00B6234E" w:rsidRPr="00BE6BE7">
        <w:rPr>
          <w:color w:val="000000"/>
          <w:szCs w:val="24"/>
        </w:rPr>
        <w:t xml:space="preserve"> that</w:t>
      </w:r>
      <w:r w:rsidR="00B6234E">
        <w:rPr>
          <w:color w:val="000000"/>
          <w:szCs w:val="24"/>
        </w:rPr>
        <w:t>, together with affiliates, have assets of $10</w:t>
      </w:r>
      <w:r w:rsidR="004E2098">
        <w:rPr>
          <w:color w:val="000000"/>
          <w:szCs w:val="24"/>
        </w:rPr>
        <w:t> </w:t>
      </w:r>
      <w:r w:rsidR="00B6234E">
        <w:rPr>
          <w:color w:val="000000"/>
          <w:szCs w:val="24"/>
        </w:rPr>
        <w:t>billion or more</w:t>
      </w:r>
      <w:r w:rsidR="00B6234E" w:rsidRPr="00BE6BE7">
        <w:rPr>
          <w:color w:val="000000"/>
          <w:szCs w:val="24"/>
        </w:rPr>
        <w:t>.</w:t>
      </w:r>
      <w:r w:rsidR="00B6234E">
        <w:rPr>
          <w:color w:val="000000"/>
          <w:szCs w:val="24"/>
        </w:rPr>
        <w:t xml:space="preserve">  </w:t>
      </w:r>
      <w:r w:rsidR="00AD66C0" w:rsidRPr="00BE6BE7">
        <w:rPr>
          <w:color w:val="000000"/>
          <w:szCs w:val="24"/>
        </w:rPr>
        <w:t xml:space="preserve">The </w:t>
      </w:r>
      <w:r w:rsidR="003C6D07">
        <w:rPr>
          <w:color w:val="000000"/>
          <w:szCs w:val="24"/>
        </w:rPr>
        <w:t xml:space="preserve">Dodd-Frank </w:t>
      </w:r>
      <w:r w:rsidR="00AD66C0" w:rsidRPr="00BE6BE7">
        <w:rPr>
          <w:color w:val="000000"/>
          <w:szCs w:val="24"/>
        </w:rPr>
        <w:t xml:space="preserve">Act also exempts </w:t>
      </w:r>
      <w:r w:rsidR="00364CEA">
        <w:rPr>
          <w:color w:val="000000"/>
          <w:szCs w:val="24"/>
        </w:rPr>
        <w:t xml:space="preserve">electronic </w:t>
      </w:r>
      <w:r w:rsidR="00A77BEE" w:rsidRPr="00BE6BE7">
        <w:rPr>
          <w:color w:val="000000"/>
          <w:szCs w:val="24"/>
        </w:rPr>
        <w:t>debit transaction</w:t>
      </w:r>
      <w:r w:rsidR="00AD66C0" w:rsidRPr="00BE6BE7">
        <w:rPr>
          <w:color w:val="000000"/>
          <w:szCs w:val="24"/>
        </w:rPr>
        <w:t xml:space="preserve">s where </w:t>
      </w:r>
      <w:r w:rsidR="00CA22CD" w:rsidRPr="00BE6BE7">
        <w:rPr>
          <w:color w:val="000000"/>
          <w:szCs w:val="24"/>
        </w:rPr>
        <w:t xml:space="preserve">a </w:t>
      </w:r>
      <w:r w:rsidR="00AD66C0" w:rsidRPr="00BE6BE7">
        <w:rPr>
          <w:color w:val="000000"/>
          <w:szCs w:val="24"/>
        </w:rPr>
        <w:t>person use</w:t>
      </w:r>
      <w:r w:rsidR="00CA22CD" w:rsidRPr="00BE6BE7">
        <w:rPr>
          <w:color w:val="000000"/>
          <w:szCs w:val="24"/>
        </w:rPr>
        <w:t>s</w:t>
      </w:r>
      <w:r w:rsidR="00AD66C0" w:rsidRPr="00BE6BE7">
        <w:rPr>
          <w:color w:val="000000"/>
          <w:szCs w:val="24"/>
        </w:rPr>
        <w:t xml:space="preserve"> a reloadable, general-use prepaid card, or a debit card or a general-use prepaid card issued pursuant to a government</w:t>
      </w:r>
      <w:r w:rsidR="00E569D9" w:rsidRPr="00BE6BE7">
        <w:rPr>
          <w:color w:val="000000"/>
          <w:szCs w:val="24"/>
        </w:rPr>
        <w:t xml:space="preserve"> </w:t>
      </w:r>
      <w:r w:rsidR="00AD66C0" w:rsidRPr="00BE6BE7">
        <w:rPr>
          <w:color w:val="000000"/>
          <w:szCs w:val="24"/>
        </w:rPr>
        <w:t xml:space="preserve">administered payment program.  </w:t>
      </w:r>
      <w:r w:rsidR="002E548C" w:rsidRPr="00BE6BE7">
        <w:rPr>
          <w:color w:val="000000"/>
          <w:szCs w:val="24"/>
        </w:rPr>
        <w:t xml:space="preserve">  </w:t>
      </w:r>
    </w:p>
    <w:p w:rsidR="00A50A12" w:rsidRPr="00BE6BE7" w:rsidRDefault="00A50A12" w:rsidP="000B36F8">
      <w:pPr>
        <w:tabs>
          <w:tab w:val="left" w:pos="0"/>
          <w:tab w:val="left" w:pos="720"/>
        </w:tabs>
        <w:rPr>
          <w:color w:val="000000"/>
          <w:szCs w:val="24"/>
        </w:rPr>
      </w:pPr>
    </w:p>
    <w:p w:rsidR="008C5F0E" w:rsidRPr="00BE6BE7" w:rsidRDefault="008C5F0E" w:rsidP="008C5F0E">
      <w:pPr>
        <w:tabs>
          <w:tab w:val="left" w:pos="0"/>
          <w:tab w:val="left" w:pos="720"/>
        </w:tabs>
        <w:ind w:left="720"/>
        <w:rPr>
          <w:b/>
          <w:color w:val="000000"/>
          <w:szCs w:val="24"/>
        </w:rPr>
      </w:pPr>
      <w:r w:rsidRPr="00BE6BE7">
        <w:rPr>
          <w:b/>
          <w:color w:val="000000"/>
          <w:szCs w:val="24"/>
        </w:rPr>
        <w:t>Subsection (</w:t>
      </w:r>
      <w:r w:rsidR="008A67C8" w:rsidRPr="00BE6BE7">
        <w:rPr>
          <w:b/>
          <w:color w:val="000000"/>
          <w:szCs w:val="24"/>
        </w:rPr>
        <w:t>b</w:t>
      </w:r>
      <w:r w:rsidRPr="00BE6BE7">
        <w:rPr>
          <w:b/>
          <w:color w:val="000000"/>
          <w:szCs w:val="24"/>
        </w:rPr>
        <w:t>) - Network restrictions rulemaking</w:t>
      </w:r>
    </w:p>
    <w:p w:rsidR="00A50A12" w:rsidRPr="00BE6BE7" w:rsidRDefault="00A50A12" w:rsidP="000B36F8">
      <w:pPr>
        <w:tabs>
          <w:tab w:val="left" w:pos="0"/>
          <w:tab w:val="left" w:pos="720"/>
        </w:tabs>
        <w:rPr>
          <w:color w:val="000000"/>
          <w:szCs w:val="24"/>
        </w:rPr>
      </w:pPr>
    </w:p>
    <w:p w:rsidR="000E57AA" w:rsidRPr="00BE6BE7" w:rsidRDefault="000E57AA" w:rsidP="000B36F8">
      <w:pPr>
        <w:tabs>
          <w:tab w:val="left" w:pos="0"/>
          <w:tab w:val="left" w:pos="720"/>
        </w:tabs>
        <w:rPr>
          <w:color w:val="000000"/>
          <w:szCs w:val="24"/>
        </w:rPr>
      </w:pPr>
      <w:r w:rsidRPr="00BE6BE7">
        <w:rPr>
          <w:color w:val="000000"/>
          <w:szCs w:val="24"/>
        </w:rPr>
        <w:tab/>
      </w:r>
      <w:r w:rsidR="007B5864" w:rsidRPr="00BE6BE7">
        <w:rPr>
          <w:color w:val="000000"/>
          <w:szCs w:val="24"/>
        </w:rPr>
        <w:t xml:space="preserve">In addition to prescribing </w:t>
      </w:r>
      <w:r w:rsidR="003B584C" w:rsidRPr="00BE6BE7">
        <w:rPr>
          <w:szCs w:val="24"/>
        </w:rPr>
        <w:t>regulations</w:t>
      </w:r>
      <w:r w:rsidR="003B584C" w:rsidRPr="00BE6BE7" w:rsidDel="003B584C">
        <w:rPr>
          <w:color w:val="000000"/>
          <w:szCs w:val="24"/>
        </w:rPr>
        <w:t xml:space="preserve"> </w:t>
      </w:r>
      <w:r w:rsidR="007B5864" w:rsidRPr="00BE6BE7">
        <w:rPr>
          <w:color w:val="000000"/>
          <w:szCs w:val="24"/>
        </w:rPr>
        <w:t xml:space="preserve">related to the amount of interchange fees, the </w:t>
      </w:r>
      <w:r w:rsidR="003C6D07">
        <w:rPr>
          <w:color w:val="000000"/>
          <w:szCs w:val="24"/>
        </w:rPr>
        <w:t>Board</w:t>
      </w:r>
      <w:r w:rsidR="007B5864" w:rsidRPr="00BE6BE7">
        <w:rPr>
          <w:color w:val="000000"/>
          <w:szCs w:val="24"/>
        </w:rPr>
        <w:t xml:space="preserve"> must also prescribe </w:t>
      </w:r>
      <w:r w:rsidR="003B584C" w:rsidRPr="00BE6BE7">
        <w:rPr>
          <w:szCs w:val="24"/>
        </w:rPr>
        <w:t>regulations</w:t>
      </w:r>
      <w:r w:rsidR="003B584C" w:rsidRPr="00BE6BE7" w:rsidDel="003B584C">
        <w:rPr>
          <w:color w:val="000000"/>
          <w:szCs w:val="24"/>
        </w:rPr>
        <w:t xml:space="preserve"> </w:t>
      </w:r>
      <w:r w:rsidR="00A505D3" w:rsidRPr="00BE6BE7">
        <w:rPr>
          <w:color w:val="000000"/>
          <w:szCs w:val="24"/>
        </w:rPr>
        <w:t xml:space="preserve">that </w:t>
      </w:r>
      <w:r w:rsidR="007B5864" w:rsidRPr="00BE6BE7">
        <w:rPr>
          <w:color w:val="000000"/>
          <w:szCs w:val="24"/>
        </w:rPr>
        <w:t>prohibit</w:t>
      </w:r>
      <w:r w:rsidR="00A505D3" w:rsidRPr="00BE6BE7">
        <w:rPr>
          <w:color w:val="000000"/>
          <w:szCs w:val="24"/>
        </w:rPr>
        <w:t xml:space="preserve"> both</w:t>
      </w:r>
      <w:r w:rsidR="007B5864" w:rsidRPr="00BE6BE7">
        <w:rPr>
          <w:color w:val="000000"/>
          <w:szCs w:val="24"/>
        </w:rPr>
        <w:t xml:space="preserve"> network exclusivity—the practice of restricting the number of </w:t>
      </w:r>
      <w:r w:rsidR="00BF3EBA" w:rsidRPr="00BE6BE7">
        <w:rPr>
          <w:color w:val="000000"/>
          <w:szCs w:val="24"/>
        </w:rPr>
        <w:t>PCNs</w:t>
      </w:r>
      <w:r w:rsidR="007B5864" w:rsidRPr="00BE6BE7">
        <w:rPr>
          <w:color w:val="000000"/>
          <w:szCs w:val="24"/>
        </w:rPr>
        <w:t xml:space="preserve"> on which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7B5864" w:rsidRPr="00BE6BE7">
        <w:rPr>
          <w:color w:val="000000"/>
          <w:szCs w:val="24"/>
        </w:rPr>
        <w:t xml:space="preserve"> may be processed—and restrictions on the routing of </w:t>
      </w:r>
      <w:r w:rsidR="00364CEA">
        <w:rPr>
          <w:color w:val="000000"/>
          <w:szCs w:val="24"/>
        </w:rPr>
        <w:t xml:space="preserve">electronic </w:t>
      </w:r>
      <w:r w:rsidR="00A77BEE" w:rsidRPr="00BE6BE7">
        <w:rPr>
          <w:color w:val="000000"/>
          <w:szCs w:val="24"/>
        </w:rPr>
        <w:t>debit transactions</w:t>
      </w:r>
      <w:r w:rsidR="007B5864" w:rsidRPr="00BE6BE7">
        <w:rPr>
          <w:color w:val="000000"/>
          <w:szCs w:val="24"/>
        </w:rPr>
        <w:t>.</w:t>
      </w:r>
      <w:r w:rsidR="007B5864" w:rsidRPr="00BE6BE7">
        <w:rPr>
          <w:rStyle w:val="FootnoteReference"/>
          <w:color w:val="000000"/>
          <w:szCs w:val="24"/>
        </w:rPr>
        <w:footnoteReference w:id="12"/>
      </w:r>
      <w:r w:rsidR="007B5864" w:rsidRPr="00BE6BE7">
        <w:rPr>
          <w:color w:val="000000"/>
          <w:szCs w:val="24"/>
        </w:rPr>
        <w:t xml:space="preserve"> </w:t>
      </w:r>
      <w:r w:rsidR="00002146" w:rsidRPr="00BE6BE7">
        <w:rPr>
          <w:color w:val="000000"/>
          <w:szCs w:val="24"/>
        </w:rPr>
        <w:t xml:space="preserve"> Therefore, information is necessary to determine the methods by which issuers and </w:t>
      </w:r>
      <w:r w:rsidR="00BF3EBA" w:rsidRPr="00BE6BE7">
        <w:rPr>
          <w:color w:val="000000"/>
          <w:szCs w:val="24"/>
        </w:rPr>
        <w:t>PCNs</w:t>
      </w:r>
      <w:r w:rsidR="00002146" w:rsidRPr="00BE6BE7">
        <w:rPr>
          <w:color w:val="000000"/>
          <w:szCs w:val="24"/>
        </w:rPr>
        <w:t xml:space="preserve"> restrict the number of </w:t>
      </w:r>
      <w:r w:rsidR="00BF3EBA" w:rsidRPr="00BE6BE7">
        <w:rPr>
          <w:color w:val="000000"/>
          <w:szCs w:val="24"/>
        </w:rPr>
        <w:t>PCNs</w:t>
      </w:r>
      <w:r w:rsidR="00002146" w:rsidRPr="00BE6BE7">
        <w:rPr>
          <w:color w:val="000000"/>
          <w:szCs w:val="24"/>
        </w:rPr>
        <w:t xml:space="preserve"> on which </w:t>
      </w:r>
      <w:r w:rsidR="00A77BEE" w:rsidRPr="00BE6BE7">
        <w:rPr>
          <w:color w:val="000000"/>
          <w:szCs w:val="24"/>
        </w:rPr>
        <w:t>a</w:t>
      </w:r>
      <w:r w:rsidR="00364CEA">
        <w:rPr>
          <w:color w:val="000000"/>
          <w:szCs w:val="24"/>
        </w:rPr>
        <w:t>n electronic</w:t>
      </w:r>
      <w:r w:rsidR="00A77BEE" w:rsidRPr="00BE6BE7">
        <w:rPr>
          <w:color w:val="000000"/>
          <w:szCs w:val="24"/>
        </w:rPr>
        <w:t xml:space="preserve"> debit transaction</w:t>
      </w:r>
      <w:r w:rsidR="00002146" w:rsidRPr="00BE6BE7">
        <w:rPr>
          <w:color w:val="000000"/>
          <w:szCs w:val="24"/>
        </w:rPr>
        <w:t xml:space="preserve"> may be processed and </w:t>
      </w:r>
      <w:r w:rsidR="00CA22CD" w:rsidRPr="00BE6BE7">
        <w:rPr>
          <w:color w:val="000000"/>
          <w:szCs w:val="24"/>
        </w:rPr>
        <w:t xml:space="preserve">the methods by which issuers and </w:t>
      </w:r>
      <w:r w:rsidR="00BF3EBA" w:rsidRPr="00BE6BE7">
        <w:rPr>
          <w:color w:val="000000"/>
          <w:szCs w:val="24"/>
        </w:rPr>
        <w:t>PCNs</w:t>
      </w:r>
      <w:r w:rsidR="00CA22CD" w:rsidRPr="00BE6BE7">
        <w:rPr>
          <w:color w:val="000000"/>
          <w:szCs w:val="24"/>
        </w:rPr>
        <w:t xml:space="preserve"> </w:t>
      </w:r>
      <w:r w:rsidR="00002146" w:rsidRPr="00BE6BE7">
        <w:rPr>
          <w:color w:val="000000"/>
          <w:szCs w:val="24"/>
        </w:rPr>
        <w:t>restrict the ability of a person accepting debit cards to rout</w:t>
      </w:r>
      <w:r w:rsidR="00F26F9D" w:rsidRPr="00BE6BE7">
        <w:rPr>
          <w:color w:val="000000"/>
          <w:szCs w:val="24"/>
        </w:rPr>
        <w:t>e</w:t>
      </w:r>
      <w:r w:rsidR="00002146" w:rsidRPr="00BE6BE7">
        <w:rPr>
          <w:color w:val="000000"/>
          <w:szCs w:val="24"/>
        </w:rPr>
        <w:t xml:space="preserve"> the </w:t>
      </w:r>
      <w:r w:rsidR="003B0927" w:rsidRPr="00BE6BE7">
        <w:rPr>
          <w:color w:val="000000"/>
          <w:szCs w:val="24"/>
        </w:rPr>
        <w:t xml:space="preserve">electronic </w:t>
      </w:r>
      <w:r w:rsidR="00492A62">
        <w:rPr>
          <w:color w:val="000000"/>
          <w:szCs w:val="24"/>
        </w:rPr>
        <w:t>debit transaction</w:t>
      </w:r>
      <w:r w:rsidR="003B0927" w:rsidRPr="00BE6BE7">
        <w:rPr>
          <w:color w:val="000000"/>
          <w:szCs w:val="24"/>
        </w:rPr>
        <w:t xml:space="preserve"> </w:t>
      </w:r>
      <w:r w:rsidR="00002146" w:rsidRPr="00BE6BE7">
        <w:rPr>
          <w:color w:val="000000"/>
          <w:szCs w:val="24"/>
        </w:rPr>
        <w:t xml:space="preserve">for processing over any payment card network that may process such transactions.  </w:t>
      </w:r>
      <w:r w:rsidR="00492A62">
        <w:rPr>
          <w:color w:val="000000"/>
          <w:szCs w:val="24"/>
        </w:rPr>
        <w:t>Because</w:t>
      </w:r>
      <w:r w:rsidR="009478A0">
        <w:rPr>
          <w:color w:val="000000"/>
          <w:szCs w:val="24"/>
        </w:rPr>
        <w:t xml:space="preserve"> the debit card industry has undergone substantial changes in the </w:t>
      </w:r>
      <w:r w:rsidR="00246227">
        <w:rPr>
          <w:color w:val="000000"/>
          <w:szCs w:val="24"/>
        </w:rPr>
        <w:t>p</w:t>
      </w:r>
      <w:r w:rsidR="009478A0">
        <w:rPr>
          <w:color w:val="000000"/>
          <w:szCs w:val="24"/>
        </w:rPr>
        <w:t xml:space="preserve">ast 10 years, historical information </w:t>
      </w:r>
      <w:r w:rsidR="009478A0">
        <w:rPr>
          <w:color w:val="000000"/>
          <w:szCs w:val="24"/>
        </w:rPr>
        <w:lastRenderedPageBreak/>
        <w:t xml:space="preserve">is necessary to </w:t>
      </w:r>
      <w:r w:rsidR="003C6D07">
        <w:rPr>
          <w:color w:val="000000"/>
          <w:szCs w:val="24"/>
        </w:rPr>
        <w:t xml:space="preserve">assist the Board in determining what methods have been employed previously to inhibit issuers from issuing cards capable of processing transactions on multiple networks </w:t>
      </w:r>
      <w:r w:rsidR="00492A62">
        <w:rPr>
          <w:color w:val="000000"/>
          <w:szCs w:val="24"/>
        </w:rPr>
        <w:t>or</w:t>
      </w:r>
      <w:r w:rsidR="003C6D07">
        <w:rPr>
          <w:color w:val="000000"/>
          <w:szCs w:val="24"/>
        </w:rPr>
        <w:t xml:space="preserve"> to inhibit merchants’ routing choice. </w:t>
      </w:r>
      <w:r w:rsidR="009478A0">
        <w:rPr>
          <w:color w:val="000000"/>
          <w:szCs w:val="24"/>
        </w:rPr>
        <w:t xml:space="preserve">   </w:t>
      </w:r>
      <w:r w:rsidR="007B5864" w:rsidRPr="00BE6BE7">
        <w:rPr>
          <w:color w:val="000000"/>
          <w:szCs w:val="24"/>
        </w:rPr>
        <w:tab/>
      </w:r>
    </w:p>
    <w:p w:rsidR="006025C9" w:rsidRPr="000F6872" w:rsidRDefault="0045084B" w:rsidP="007E43DE">
      <w:pPr>
        <w:tabs>
          <w:tab w:val="left" w:pos="0"/>
        </w:tabs>
        <w:rPr>
          <w:b/>
          <w:color w:val="000000"/>
          <w:szCs w:val="24"/>
        </w:rPr>
      </w:pPr>
      <w:r w:rsidRPr="00BE6BE7">
        <w:rPr>
          <w:color w:val="000000"/>
          <w:szCs w:val="24"/>
        </w:rPr>
        <w:tab/>
      </w:r>
      <w:r w:rsidR="001A6F0E" w:rsidRPr="000F6872">
        <w:rPr>
          <w:color w:val="000000"/>
          <w:szCs w:val="24"/>
        </w:rPr>
        <w:t xml:space="preserve"> </w:t>
      </w:r>
    </w:p>
    <w:p w:rsidR="00907318" w:rsidRPr="000F6872" w:rsidRDefault="008C5F0E" w:rsidP="000B36F8">
      <w:pPr>
        <w:tabs>
          <w:tab w:val="left" w:pos="0"/>
          <w:tab w:val="left" w:pos="2220"/>
        </w:tabs>
        <w:rPr>
          <w:b/>
          <w:color w:val="000000"/>
          <w:szCs w:val="24"/>
        </w:rPr>
      </w:pPr>
      <w:r w:rsidRPr="000F6872">
        <w:rPr>
          <w:b/>
          <w:color w:val="000000"/>
          <w:szCs w:val="24"/>
        </w:rPr>
        <w:t>Description of Information Collection</w:t>
      </w:r>
    </w:p>
    <w:p w:rsidR="008D4164" w:rsidRPr="000F6872" w:rsidRDefault="008D4164" w:rsidP="000B36F8">
      <w:pPr>
        <w:tabs>
          <w:tab w:val="left" w:pos="0"/>
          <w:tab w:val="left" w:pos="2220"/>
        </w:tabs>
        <w:rPr>
          <w:b/>
          <w:color w:val="000000"/>
          <w:szCs w:val="24"/>
        </w:rPr>
      </w:pPr>
    </w:p>
    <w:p w:rsidR="007E43DE" w:rsidRDefault="008D4164" w:rsidP="006C7A22">
      <w:pPr>
        <w:ind w:firstLine="720"/>
        <w:rPr>
          <w:b/>
          <w:color w:val="000000"/>
          <w:szCs w:val="24"/>
        </w:rPr>
      </w:pPr>
      <w:r w:rsidRPr="000F6872">
        <w:rPr>
          <w:color w:val="000000"/>
          <w:szCs w:val="24"/>
        </w:rPr>
        <w:t>The FR 3062 comprises two surveys: (1) Issuer survey and (2) Network survey.  A general description of these surveys is provided below.</w:t>
      </w:r>
      <w:r w:rsidR="00BC324A" w:rsidRPr="000F6872">
        <w:rPr>
          <w:color w:val="000000"/>
          <w:szCs w:val="24"/>
        </w:rPr>
        <w:t xml:space="preserve"> </w:t>
      </w:r>
      <w:r w:rsidR="005D5A7C" w:rsidRPr="000F6872">
        <w:rPr>
          <w:b/>
          <w:color w:val="000000"/>
          <w:szCs w:val="24"/>
        </w:rPr>
        <w:tab/>
      </w:r>
    </w:p>
    <w:p w:rsidR="006C7A22" w:rsidRDefault="006C7A22" w:rsidP="006C7A22">
      <w:pPr>
        <w:rPr>
          <w:b/>
          <w:color w:val="000000"/>
          <w:szCs w:val="24"/>
        </w:rPr>
      </w:pPr>
    </w:p>
    <w:p w:rsidR="008C5F0E" w:rsidRPr="000F6872" w:rsidRDefault="00A77BEE" w:rsidP="006C7A22">
      <w:pPr>
        <w:rPr>
          <w:b/>
          <w:color w:val="000000"/>
          <w:szCs w:val="24"/>
        </w:rPr>
      </w:pPr>
      <w:r w:rsidRPr="000F6872">
        <w:rPr>
          <w:b/>
          <w:color w:val="000000"/>
          <w:szCs w:val="24"/>
        </w:rPr>
        <w:t>Issuer survey</w:t>
      </w:r>
    </w:p>
    <w:p w:rsidR="00622E5B" w:rsidRPr="000F6872" w:rsidRDefault="00622E5B" w:rsidP="006C7A22">
      <w:pPr>
        <w:ind w:firstLine="720"/>
        <w:rPr>
          <w:color w:val="000000"/>
          <w:szCs w:val="24"/>
        </w:rPr>
      </w:pPr>
    </w:p>
    <w:p w:rsidR="006D11E1" w:rsidRPr="000F6872" w:rsidRDefault="005D5A7C" w:rsidP="00160FD0">
      <w:pPr>
        <w:ind w:firstLine="720"/>
        <w:rPr>
          <w:color w:val="000000"/>
          <w:szCs w:val="24"/>
        </w:rPr>
      </w:pPr>
      <w:r w:rsidRPr="000F6872">
        <w:rPr>
          <w:color w:val="000000"/>
          <w:szCs w:val="24"/>
        </w:rPr>
        <w:t>The i</w:t>
      </w:r>
      <w:r w:rsidR="005A4394" w:rsidRPr="000F6872">
        <w:rPr>
          <w:color w:val="000000"/>
          <w:szCs w:val="24"/>
        </w:rPr>
        <w:t>ssuer</w:t>
      </w:r>
      <w:r w:rsidRPr="000F6872">
        <w:rPr>
          <w:color w:val="000000"/>
          <w:szCs w:val="24"/>
        </w:rPr>
        <w:t xml:space="preserve"> survey </w:t>
      </w:r>
      <w:r w:rsidR="00112CFB" w:rsidRPr="000F6872">
        <w:rPr>
          <w:color w:val="000000"/>
          <w:szCs w:val="24"/>
        </w:rPr>
        <w:t xml:space="preserve">would </w:t>
      </w:r>
      <w:r w:rsidRPr="000F6872">
        <w:rPr>
          <w:color w:val="000000"/>
          <w:szCs w:val="24"/>
        </w:rPr>
        <w:t xml:space="preserve">be sent to </w:t>
      </w:r>
      <w:r w:rsidR="00B2126A" w:rsidRPr="000F6872">
        <w:rPr>
          <w:color w:val="000000"/>
          <w:szCs w:val="24"/>
        </w:rPr>
        <w:t xml:space="preserve">organizations </w:t>
      </w:r>
      <w:r w:rsidRPr="000F6872">
        <w:rPr>
          <w:color w:val="000000"/>
          <w:szCs w:val="24"/>
        </w:rPr>
        <w:t xml:space="preserve">with assets of $10 billion or more and </w:t>
      </w:r>
      <w:r w:rsidR="009478A0" w:rsidRPr="000F6872">
        <w:rPr>
          <w:color w:val="000000"/>
          <w:szCs w:val="24"/>
        </w:rPr>
        <w:t xml:space="preserve">that </w:t>
      </w:r>
      <w:r w:rsidR="00B2126A" w:rsidRPr="000F6872">
        <w:rPr>
          <w:color w:val="000000"/>
          <w:szCs w:val="24"/>
        </w:rPr>
        <w:t>issue</w:t>
      </w:r>
      <w:r w:rsidR="00491B33" w:rsidRPr="000F6872">
        <w:rPr>
          <w:color w:val="000000"/>
          <w:szCs w:val="24"/>
        </w:rPr>
        <w:t>,</w:t>
      </w:r>
      <w:r w:rsidR="00B2126A" w:rsidRPr="000F6872">
        <w:rPr>
          <w:color w:val="000000"/>
          <w:szCs w:val="24"/>
        </w:rPr>
        <w:t xml:space="preserve"> or </w:t>
      </w:r>
      <w:r w:rsidRPr="000F6872">
        <w:rPr>
          <w:color w:val="000000"/>
          <w:szCs w:val="24"/>
        </w:rPr>
        <w:t xml:space="preserve">have </w:t>
      </w:r>
      <w:r w:rsidR="000B6D44" w:rsidRPr="000F6872">
        <w:rPr>
          <w:color w:val="000000"/>
          <w:szCs w:val="24"/>
        </w:rPr>
        <w:t>affiliates</w:t>
      </w:r>
      <w:r w:rsidRPr="000F6872">
        <w:rPr>
          <w:color w:val="000000"/>
          <w:szCs w:val="24"/>
        </w:rPr>
        <w:t xml:space="preserve"> that issue</w:t>
      </w:r>
      <w:r w:rsidR="00491B33" w:rsidRPr="000F6872">
        <w:rPr>
          <w:color w:val="000000"/>
          <w:szCs w:val="24"/>
        </w:rPr>
        <w:t>,</w:t>
      </w:r>
      <w:r w:rsidRPr="000F6872">
        <w:rPr>
          <w:color w:val="000000"/>
          <w:szCs w:val="24"/>
        </w:rPr>
        <w:t xml:space="preserve"> debit</w:t>
      </w:r>
      <w:r w:rsidR="00F20558" w:rsidRPr="000F6872">
        <w:rPr>
          <w:color w:val="000000"/>
          <w:szCs w:val="24"/>
        </w:rPr>
        <w:t xml:space="preserve"> or prepaid</w:t>
      </w:r>
      <w:r w:rsidRPr="000F6872">
        <w:rPr>
          <w:color w:val="000000"/>
          <w:szCs w:val="24"/>
        </w:rPr>
        <w:t xml:space="preserve"> cards.</w:t>
      </w:r>
      <w:r w:rsidR="005A4394" w:rsidRPr="000F6872">
        <w:rPr>
          <w:color w:val="000000"/>
          <w:szCs w:val="24"/>
        </w:rPr>
        <w:t xml:space="preserve"> </w:t>
      </w:r>
      <w:r w:rsidR="00B2126A" w:rsidRPr="000F6872">
        <w:rPr>
          <w:color w:val="000000"/>
          <w:szCs w:val="24"/>
        </w:rPr>
        <w:t xml:space="preserve"> </w:t>
      </w:r>
      <w:r w:rsidR="000B6D44" w:rsidRPr="000F6872">
        <w:rPr>
          <w:color w:val="000000"/>
          <w:szCs w:val="24"/>
        </w:rPr>
        <w:t xml:space="preserve">If sent to an organization with affiliates that issue cards, that organization </w:t>
      </w:r>
      <w:r w:rsidR="00112CFB" w:rsidRPr="000F6872">
        <w:rPr>
          <w:color w:val="000000"/>
          <w:szCs w:val="24"/>
        </w:rPr>
        <w:t xml:space="preserve">would </w:t>
      </w:r>
      <w:r w:rsidRPr="000F6872">
        <w:rPr>
          <w:color w:val="000000"/>
          <w:szCs w:val="24"/>
        </w:rPr>
        <w:t xml:space="preserve">be asked to </w:t>
      </w:r>
      <w:r w:rsidR="000B6D44" w:rsidRPr="000F6872">
        <w:rPr>
          <w:color w:val="000000"/>
          <w:szCs w:val="24"/>
        </w:rPr>
        <w:t>submit one response form that consolidates the information of all its affiliated issuers</w:t>
      </w:r>
      <w:r w:rsidR="00F42C00" w:rsidRPr="000F6872">
        <w:rPr>
          <w:color w:val="000000"/>
          <w:szCs w:val="24"/>
        </w:rPr>
        <w:t>;</w:t>
      </w:r>
      <w:r w:rsidR="00E5014D" w:rsidRPr="000F6872">
        <w:rPr>
          <w:color w:val="000000"/>
          <w:szCs w:val="24"/>
        </w:rPr>
        <w:t xml:space="preserve"> </w:t>
      </w:r>
      <w:r w:rsidRPr="000F6872">
        <w:rPr>
          <w:color w:val="000000"/>
          <w:szCs w:val="24"/>
        </w:rPr>
        <w:t xml:space="preserve">the </w:t>
      </w:r>
      <w:r w:rsidR="00823548" w:rsidRPr="000F6872">
        <w:rPr>
          <w:color w:val="000000"/>
          <w:szCs w:val="24"/>
        </w:rPr>
        <w:t>Board</w:t>
      </w:r>
      <w:r w:rsidRPr="000F6872">
        <w:rPr>
          <w:color w:val="000000"/>
          <w:szCs w:val="24"/>
        </w:rPr>
        <w:t xml:space="preserve"> </w:t>
      </w:r>
      <w:r w:rsidR="00112CFB" w:rsidRPr="000F6872">
        <w:rPr>
          <w:color w:val="000000"/>
          <w:szCs w:val="24"/>
        </w:rPr>
        <w:t xml:space="preserve">would </w:t>
      </w:r>
      <w:r w:rsidRPr="000F6872">
        <w:rPr>
          <w:color w:val="000000"/>
          <w:szCs w:val="24"/>
        </w:rPr>
        <w:t xml:space="preserve">provide </w:t>
      </w:r>
      <w:r w:rsidR="00F42C00" w:rsidRPr="000F6872">
        <w:rPr>
          <w:color w:val="000000"/>
          <w:szCs w:val="24"/>
        </w:rPr>
        <w:t xml:space="preserve">the </w:t>
      </w:r>
      <w:r w:rsidR="000B6D44" w:rsidRPr="000F6872">
        <w:rPr>
          <w:color w:val="000000"/>
          <w:szCs w:val="24"/>
        </w:rPr>
        <w:t>organization</w:t>
      </w:r>
      <w:r w:rsidR="00F42FEE" w:rsidRPr="000F6872">
        <w:rPr>
          <w:color w:val="000000"/>
          <w:szCs w:val="24"/>
        </w:rPr>
        <w:t xml:space="preserve"> with </w:t>
      </w:r>
      <w:r w:rsidR="000B6D44" w:rsidRPr="000F6872">
        <w:rPr>
          <w:color w:val="000000"/>
          <w:szCs w:val="24"/>
        </w:rPr>
        <w:t>a list of affiliated issuers</w:t>
      </w:r>
      <w:r w:rsidRPr="000F6872">
        <w:rPr>
          <w:color w:val="000000"/>
          <w:szCs w:val="24"/>
        </w:rPr>
        <w:t>.</w:t>
      </w:r>
      <w:r w:rsidR="00C36C05" w:rsidRPr="000F6872">
        <w:rPr>
          <w:color w:val="000000"/>
          <w:szCs w:val="24"/>
        </w:rPr>
        <w:t xml:space="preserve">  </w:t>
      </w:r>
      <w:r w:rsidR="00E5014D" w:rsidRPr="000F6872">
        <w:rPr>
          <w:color w:val="000000"/>
          <w:szCs w:val="24"/>
        </w:rPr>
        <w:t>The</w:t>
      </w:r>
      <w:r w:rsidR="00BC1514" w:rsidRPr="000F6872">
        <w:rPr>
          <w:color w:val="000000"/>
          <w:szCs w:val="24"/>
        </w:rPr>
        <w:t xml:space="preserve"> issuers would</w:t>
      </w:r>
      <w:r w:rsidR="00F42FEE" w:rsidRPr="000F6872">
        <w:rPr>
          <w:color w:val="000000"/>
          <w:szCs w:val="24"/>
        </w:rPr>
        <w:t xml:space="preserve"> be asked to</w:t>
      </w:r>
      <w:r w:rsidR="00BC1514" w:rsidRPr="000F6872">
        <w:rPr>
          <w:color w:val="000000"/>
          <w:szCs w:val="24"/>
        </w:rPr>
        <w:t xml:space="preserve"> provide the</w:t>
      </w:r>
      <w:r w:rsidR="00E5014D" w:rsidRPr="000F6872">
        <w:rPr>
          <w:color w:val="000000"/>
          <w:szCs w:val="24"/>
        </w:rPr>
        <w:t xml:space="preserve"> </w:t>
      </w:r>
      <w:r w:rsidR="00066770" w:rsidRPr="000F6872">
        <w:rPr>
          <w:color w:val="000000"/>
          <w:szCs w:val="24"/>
        </w:rPr>
        <w:t xml:space="preserve">information </w:t>
      </w:r>
      <w:r w:rsidR="00BC1514" w:rsidRPr="000F6872">
        <w:rPr>
          <w:color w:val="000000"/>
          <w:szCs w:val="24"/>
        </w:rPr>
        <w:t>o</w:t>
      </w:r>
      <w:r w:rsidR="00066770" w:rsidRPr="000F6872">
        <w:rPr>
          <w:color w:val="000000"/>
          <w:szCs w:val="24"/>
        </w:rPr>
        <w:t xml:space="preserve">n </w:t>
      </w:r>
      <w:r w:rsidR="00C36C05" w:rsidRPr="000F6872">
        <w:rPr>
          <w:color w:val="000000"/>
          <w:szCs w:val="24"/>
        </w:rPr>
        <w:t>accounts</w:t>
      </w:r>
      <w:r w:rsidR="00A8057E" w:rsidRPr="000F6872">
        <w:rPr>
          <w:szCs w:val="24"/>
        </w:rPr>
        <w:t xml:space="preserve"> and cards associated with </w:t>
      </w:r>
      <w:r w:rsidR="000B6D44" w:rsidRPr="000F6872">
        <w:rPr>
          <w:szCs w:val="24"/>
        </w:rPr>
        <w:t>accounts domiciled in the United States or U.S. territories</w:t>
      </w:r>
      <w:r w:rsidR="00A8057E" w:rsidRPr="000F6872">
        <w:rPr>
          <w:color w:val="000000"/>
          <w:szCs w:val="24"/>
        </w:rPr>
        <w:t>.</w:t>
      </w:r>
      <w:r w:rsidR="00F20558" w:rsidRPr="000F6872">
        <w:rPr>
          <w:color w:val="000000"/>
          <w:szCs w:val="24"/>
        </w:rPr>
        <w:t xml:space="preserve">  </w:t>
      </w:r>
    </w:p>
    <w:p w:rsidR="006D11E1" w:rsidRPr="000F6872" w:rsidRDefault="006D11E1" w:rsidP="00160FD0">
      <w:pPr>
        <w:ind w:firstLine="720"/>
        <w:rPr>
          <w:color w:val="000000"/>
          <w:szCs w:val="24"/>
        </w:rPr>
      </w:pPr>
    </w:p>
    <w:p w:rsidR="00522292" w:rsidRPr="000F6872" w:rsidRDefault="001A2C6D" w:rsidP="00522292">
      <w:pPr>
        <w:ind w:firstLine="720"/>
        <w:rPr>
          <w:color w:val="000000"/>
          <w:szCs w:val="24"/>
        </w:rPr>
      </w:pPr>
      <w:r w:rsidRPr="000F6872">
        <w:rPr>
          <w:color w:val="000000"/>
          <w:szCs w:val="24"/>
        </w:rPr>
        <w:t>T</w:t>
      </w:r>
      <w:r w:rsidR="00F20558" w:rsidRPr="000F6872">
        <w:rPr>
          <w:color w:val="000000"/>
          <w:szCs w:val="24"/>
        </w:rPr>
        <w:t xml:space="preserve">he </w:t>
      </w:r>
      <w:r w:rsidR="00955344" w:rsidRPr="000F6872">
        <w:rPr>
          <w:color w:val="000000"/>
          <w:szCs w:val="24"/>
        </w:rPr>
        <w:t xml:space="preserve">issuer </w:t>
      </w:r>
      <w:r w:rsidR="00F20558" w:rsidRPr="000F6872">
        <w:rPr>
          <w:color w:val="000000"/>
          <w:szCs w:val="24"/>
        </w:rPr>
        <w:t>survey would comprise s</w:t>
      </w:r>
      <w:r w:rsidR="00492A62" w:rsidRPr="000F6872">
        <w:rPr>
          <w:color w:val="000000"/>
          <w:szCs w:val="24"/>
        </w:rPr>
        <w:t>even</w:t>
      </w:r>
      <w:r w:rsidR="00F20558" w:rsidRPr="000F6872">
        <w:rPr>
          <w:color w:val="000000"/>
          <w:szCs w:val="24"/>
        </w:rPr>
        <w:t xml:space="preserve"> sections</w:t>
      </w:r>
      <w:r w:rsidR="006D0F78" w:rsidRPr="000F6872">
        <w:rPr>
          <w:color w:val="000000"/>
          <w:szCs w:val="24"/>
        </w:rPr>
        <w:t xml:space="preserve">.  In general, the survey would collect information on three card programs: signature debit, Personal Identification Number (PIN) debit, and prepaid.  </w:t>
      </w:r>
      <w:r w:rsidR="00986046" w:rsidRPr="000F6872">
        <w:rPr>
          <w:color w:val="000000"/>
          <w:szCs w:val="24"/>
        </w:rPr>
        <w:t>Signature debit transactions typically</w:t>
      </w:r>
      <w:r w:rsidR="001A6F0E" w:rsidRPr="000F6872">
        <w:rPr>
          <w:color w:val="000000"/>
          <w:szCs w:val="24"/>
        </w:rPr>
        <w:t xml:space="preserve"> are</w:t>
      </w:r>
      <w:r w:rsidR="00986046" w:rsidRPr="000F6872">
        <w:rPr>
          <w:color w:val="000000"/>
          <w:szCs w:val="24"/>
        </w:rPr>
        <w:t xml:space="preserve"> </w:t>
      </w:r>
      <w:r w:rsidR="001A6F0E" w:rsidRPr="000F6872">
        <w:rPr>
          <w:color w:val="000000"/>
          <w:szCs w:val="24"/>
        </w:rPr>
        <w:t>authorized based on a signature</w:t>
      </w:r>
      <w:r w:rsidR="00986046" w:rsidRPr="000F6872">
        <w:rPr>
          <w:color w:val="000000"/>
          <w:szCs w:val="24"/>
        </w:rPr>
        <w:t xml:space="preserve">.  PIN debit transactions typically </w:t>
      </w:r>
      <w:r w:rsidR="001A6F0E" w:rsidRPr="000F6872">
        <w:rPr>
          <w:color w:val="000000"/>
          <w:szCs w:val="24"/>
        </w:rPr>
        <w:t>are authorized based on a PIN</w:t>
      </w:r>
      <w:r w:rsidR="00986046" w:rsidRPr="000F6872">
        <w:rPr>
          <w:color w:val="000000"/>
          <w:szCs w:val="24"/>
        </w:rPr>
        <w:t xml:space="preserve">.  Prepaid card transactions use either </w:t>
      </w:r>
      <w:r w:rsidR="001A6F0E" w:rsidRPr="000F6872">
        <w:rPr>
          <w:color w:val="000000"/>
          <w:szCs w:val="24"/>
        </w:rPr>
        <w:t xml:space="preserve">authorization method (although signature is more common) and </w:t>
      </w:r>
      <w:r w:rsidR="00492A62" w:rsidRPr="000F6872">
        <w:rPr>
          <w:color w:val="000000"/>
          <w:szCs w:val="24"/>
        </w:rPr>
        <w:t xml:space="preserve">prepaid cards </w:t>
      </w:r>
      <w:r w:rsidR="001A6F0E" w:rsidRPr="000F6872">
        <w:rPr>
          <w:color w:val="000000"/>
          <w:szCs w:val="24"/>
        </w:rPr>
        <w:t xml:space="preserve">can be </w:t>
      </w:r>
      <w:r w:rsidR="00986046" w:rsidRPr="000F6872">
        <w:rPr>
          <w:color w:val="000000"/>
          <w:szCs w:val="24"/>
        </w:rPr>
        <w:t xml:space="preserve">reloadable or </w:t>
      </w:r>
      <w:proofErr w:type="spellStart"/>
      <w:r w:rsidR="00986046" w:rsidRPr="000F6872">
        <w:rPr>
          <w:color w:val="000000"/>
          <w:szCs w:val="24"/>
        </w:rPr>
        <w:t>non</w:t>
      </w:r>
      <w:r w:rsidR="001A6F0E" w:rsidRPr="000F6872">
        <w:rPr>
          <w:color w:val="000000"/>
          <w:szCs w:val="24"/>
        </w:rPr>
        <w:noBreakHyphen/>
      </w:r>
      <w:r w:rsidR="00986046" w:rsidRPr="000F6872">
        <w:rPr>
          <w:color w:val="000000"/>
          <w:szCs w:val="24"/>
        </w:rPr>
        <w:t>reloadable</w:t>
      </w:r>
      <w:proofErr w:type="spellEnd"/>
      <w:r w:rsidR="00986046" w:rsidRPr="000F6872">
        <w:rPr>
          <w:color w:val="000000"/>
          <w:szCs w:val="24"/>
        </w:rPr>
        <w:t xml:space="preserve">.  </w:t>
      </w:r>
      <w:r w:rsidR="00522292" w:rsidRPr="000F6872">
        <w:rPr>
          <w:color w:val="000000"/>
          <w:szCs w:val="24"/>
        </w:rPr>
        <w:t xml:space="preserve">The reporting period is calendar year 2009, unless otherwise noted.  If certain costs for a card program are shared with other card programs, respondents are asked to allocate costs to a particular card program based on transaction volume.  </w:t>
      </w:r>
    </w:p>
    <w:p w:rsidR="00A8057E" w:rsidRPr="000F6872" w:rsidRDefault="00986046" w:rsidP="00160FD0">
      <w:pPr>
        <w:ind w:firstLine="720"/>
        <w:rPr>
          <w:color w:val="000000"/>
          <w:szCs w:val="24"/>
        </w:rPr>
      </w:pPr>
      <w:r w:rsidRPr="000F6872">
        <w:rPr>
          <w:color w:val="000000"/>
          <w:szCs w:val="24"/>
        </w:rPr>
        <w:t xml:space="preserve">  </w:t>
      </w:r>
    </w:p>
    <w:p w:rsidR="00A8057E" w:rsidRPr="000F6872" w:rsidRDefault="00F20558" w:rsidP="00E2436A">
      <w:pPr>
        <w:pStyle w:val="ListParagraph"/>
        <w:numPr>
          <w:ilvl w:val="0"/>
          <w:numId w:val="1"/>
        </w:numPr>
        <w:rPr>
          <w:b/>
          <w:szCs w:val="24"/>
        </w:rPr>
      </w:pPr>
      <w:r w:rsidRPr="000F6872">
        <w:rPr>
          <w:b/>
          <w:szCs w:val="24"/>
        </w:rPr>
        <w:t>Card program information</w:t>
      </w:r>
      <w:r w:rsidR="00A8057E" w:rsidRPr="000F6872">
        <w:rPr>
          <w:b/>
          <w:szCs w:val="24"/>
        </w:rPr>
        <w:t xml:space="preserve">: </w:t>
      </w:r>
      <w:r w:rsidR="00CA4CB1" w:rsidRPr="000F6872">
        <w:rPr>
          <w:szCs w:val="24"/>
        </w:rPr>
        <w:t xml:space="preserve">Respondents </w:t>
      </w:r>
      <w:r w:rsidR="001A6F0E" w:rsidRPr="000F6872">
        <w:rPr>
          <w:szCs w:val="24"/>
        </w:rPr>
        <w:t>are asked to</w:t>
      </w:r>
      <w:r w:rsidR="00CA4CB1" w:rsidRPr="000F6872">
        <w:rPr>
          <w:szCs w:val="24"/>
        </w:rPr>
        <w:t xml:space="preserve"> report s</w:t>
      </w:r>
      <w:r w:rsidR="00C042E0" w:rsidRPr="000F6872">
        <w:rPr>
          <w:szCs w:val="24"/>
        </w:rPr>
        <w:t>ummary information of the</w:t>
      </w:r>
      <w:r w:rsidR="00492A62" w:rsidRPr="000F6872">
        <w:rPr>
          <w:szCs w:val="24"/>
        </w:rPr>
        <w:t>ir debit and prepaid card programs.</w:t>
      </w:r>
      <w:r w:rsidR="001356B0" w:rsidRPr="000F6872">
        <w:rPr>
          <w:szCs w:val="24"/>
        </w:rPr>
        <w:t xml:space="preserve">  </w:t>
      </w:r>
    </w:p>
    <w:p w:rsidR="00F20558" w:rsidRPr="008128AD" w:rsidRDefault="00C36C05" w:rsidP="00E2436A">
      <w:pPr>
        <w:pStyle w:val="ListParagraph"/>
        <w:numPr>
          <w:ilvl w:val="0"/>
          <w:numId w:val="1"/>
        </w:numPr>
        <w:rPr>
          <w:b/>
          <w:szCs w:val="24"/>
        </w:rPr>
      </w:pPr>
      <w:r w:rsidRPr="000F6872">
        <w:rPr>
          <w:b/>
          <w:szCs w:val="24"/>
        </w:rPr>
        <w:t xml:space="preserve">Card </w:t>
      </w:r>
      <w:r w:rsidR="00A8057E" w:rsidRPr="000F6872">
        <w:rPr>
          <w:b/>
          <w:szCs w:val="24"/>
        </w:rPr>
        <w:t>program activity</w:t>
      </w:r>
      <w:r w:rsidRPr="000F6872">
        <w:rPr>
          <w:b/>
          <w:szCs w:val="24"/>
        </w:rPr>
        <w:t>:</w:t>
      </w:r>
      <w:r w:rsidR="001356B0" w:rsidRPr="000F6872">
        <w:rPr>
          <w:b/>
          <w:szCs w:val="24"/>
        </w:rPr>
        <w:t xml:space="preserve"> </w:t>
      </w:r>
      <w:r w:rsidR="00986046" w:rsidRPr="000F6872">
        <w:rPr>
          <w:szCs w:val="24"/>
        </w:rPr>
        <w:t xml:space="preserve">For each card program, </w:t>
      </w:r>
      <w:r w:rsidR="00CA4CB1" w:rsidRPr="000F6872">
        <w:rPr>
          <w:szCs w:val="24"/>
        </w:rPr>
        <w:t xml:space="preserve">respondents </w:t>
      </w:r>
      <w:r w:rsidR="001A6F0E" w:rsidRPr="000F6872">
        <w:rPr>
          <w:szCs w:val="24"/>
        </w:rPr>
        <w:t>are asked to</w:t>
      </w:r>
      <w:r w:rsidR="00CA4CB1" w:rsidRPr="000F6872">
        <w:rPr>
          <w:szCs w:val="24"/>
        </w:rPr>
        <w:t xml:space="preserve"> report </w:t>
      </w:r>
      <w:r w:rsidR="00986046" w:rsidRPr="000F6872">
        <w:rPr>
          <w:szCs w:val="24"/>
        </w:rPr>
        <w:t>i</w:t>
      </w:r>
      <w:r w:rsidR="000E2FC2" w:rsidRPr="000F6872">
        <w:rPr>
          <w:szCs w:val="24"/>
        </w:rPr>
        <w:t xml:space="preserve">nformation about the </w:t>
      </w:r>
      <w:r w:rsidR="00C7087C" w:rsidRPr="000F6872">
        <w:rPr>
          <w:szCs w:val="24"/>
        </w:rPr>
        <w:t>number and value of transactions and revenue associate</w:t>
      </w:r>
      <w:r w:rsidR="00CE4684" w:rsidRPr="000F6872">
        <w:rPr>
          <w:szCs w:val="24"/>
        </w:rPr>
        <w:t>d</w:t>
      </w:r>
      <w:r w:rsidR="00C7087C" w:rsidRPr="000F6872">
        <w:rPr>
          <w:szCs w:val="24"/>
        </w:rPr>
        <w:t xml:space="preserve"> with </w:t>
      </w:r>
      <w:r w:rsidR="00986046" w:rsidRPr="000F6872">
        <w:rPr>
          <w:szCs w:val="24"/>
        </w:rPr>
        <w:t>electronic debit transactions</w:t>
      </w:r>
      <w:r w:rsidRPr="000F6872">
        <w:rPr>
          <w:szCs w:val="24"/>
        </w:rPr>
        <w:t xml:space="preserve">.  </w:t>
      </w:r>
      <w:r w:rsidR="000E2FC2" w:rsidRPr="000F6872">
        <w:rPr>
          <w:color w:val="000000"/>
          <w:szCs w:val="24"/>
        </w:rPr>
        <w:t>Within each card program, activity information is</w:t>
      </w:r>
      <w:r w:rsidR="000E2FC2">
        <w:rPr>
          <w:color w:val="000000"/>
          <w:szCs w:val="24"/>
        </w:rPr>
        <w:t xml:space="preserve"> segregated based on certain characteristics of the transaction (e.g., domestic/international or purchase or return). </w:t>
      </w:r>
    </w:p>
    <w:p w:rsidR="0050373E" w:rsidRPr="00BE6BE7" w:rsidRDefault="000E2FC2" w:rsidP="00E2436A">
      <w:pPr>
        <w:pStyle w:val="ListParagraph"/>
        <w:numPr>
          <w:ilvl w:val="0"/>
          <w:numId w:val="1"/>
        </w:numPr>
        <w:rPr>
          <w:b/>
          <w:szCs w:val="24"/>
        </w:rPr>
      </w:pPr>
      <w:r>
        <w:rPr>
          <w:b/>
          <w:szCs w:val="24"/>
        </w:rPr>
        <w:t>Processing costs</w:t>
      </w:r>
      <w:r w:rsidR="00CE4684">
        <w:rPr>
          <w:b/>
          <w:szCs w:val="24"/>
        </w:rPr>
        <w:t xml:space="preserve">: </w:t>
      </w:r>
      <w:r w:rsidR="00986046">
        <w:rPr>
          <w:szCs w:val="24"/>
        </w:rPr>
        <w:t xml:space="preserve">For each card program, </w:t>
      </w:r>
      <w:r w:rsidR="00CA4CB1">
        <w:rPr>
          <w:szCs w:val="24"/>
        </w:rPr>
        <w:t xml:space="preserve">respondents </w:t>
      </w:r>
      <w:r w:rsidR="001A6F0E">
        <w:rPr>
          <w:szCs w:val="24"/>
        </w:rPr>
        <w:t>are asked to</w:t>
      </w:r>
      <w:r w:rsidR="00CA4CB1">
        <w:rPr>
          <w:szCs w:val="24"/>
        </w:rPr>
        <w:t xml:space="preserve"> report </w:t>
      </w:r>
      <w:r w:rsidR="00986046">
        <w:rPr>
          <w:szCs w:val="24"/>
        </w:rPr>
        <w:t xml:space="preserve">costs </w:t>
      </w:r>
      <w:r w:rsidR="00CE4684">
        <w:rPr>
          <w:szCs w:val="24"/>
        </w:rPr>
        <w:t xml:space="preserve">of </w:t>
      </w:r>
      <w:r w:rsidR="006D0F78">
        <w:rPr>
          <w:szCs w:val="24"/>
        </w:rPr>
        <w:t>processing electronic debit transactions</w:t>
      </w:r>
      <w:r w:rsidR="00CE4684">
        <w:rPr>
          <w:szCs w:val="24"/>
        </w:rPr>
        <w:t xml:space="preserve">, including </w:t>
      </w:r>
      <w:r w:rsidR="006D0F78">
        <w:rPr>
          <w:szCs w:val="24"/>
        </w:rPr>
        <w:t>routin</w:t>
      </w:r>
      <w:r w:rsidR="000B6D44">
        <w:rPr>
          <w:szCs w:val="24"/>
        </w:rPr>
        <w:t>e</w:t>
      </w:r>
      <w:r w:rsidR="006D0F78">
        <w:rPr>
          <w:szCs w:val="24"/>
        </w:rPr>
        <w:t xml:space="preserve"> transaction </w:t>
      </w:r>
      <w:r w:rsidR="00CE4684">
        <w:rPr>
          <w:szCs w:val="24"/>
        </w:rPr>
        <w:t>processing</w:t>
      </w:r>
      <w:r w:rsidR="006D0F78">
        <w:rPr>
          <w:szCs w:val="24"/>
        </w:rPr>
        <w:t xml:space="preserve"> costs for authorization, clearing, and settlement (</w:t>
      </w:r>
      <w:r w:rsidR="00492A62">
        <w:rPr>
          <w:szCs w:val="24"/>
        </w:rPr>
        <w:t>such as</w:t>
      </w:r>
      <w:r w:rsidR="006D0F78">
        <w:rPr>
          <w:szCs w:val="24"/>
        </w:rPr>
        <w:t xml:space="preserve"> posting to a customer’s account) and chargeback processing costs.</w:t>
      </w:r>
      <w:r w:rsidR="00CE4684">
        <w:rPr>
          <w:szCs w:val="24"/>
        </w:rPr>
        <w:t xml:space="preserve">  Information requested includes (1) fixed and variabl</w:t>
      </w:r>
      <w:r w:rsidR="00CE4684" w:rsidRPr="00CE4684">
        <w:rPr>
          <w:color w:val="000000"/>
          <w:szCs w:val="24"/>
        </w:rPr>
        <w:t>e</w:t>
      </w:r>
      <w:r w:rsidR="00CE4684" w:rsidRPr="009478A0">
        <w:rPr>
          <w:szCs w:val="24"/>
        </w:rPr>
        <w:t xml:space="preserve"> </w:t>
      </w:r>
      <w:r w:rsidR="0069499A">
        <w:rPr>
          <w:szCs w:val="24"/>
        </w:rPr>
        <w:t>components of the costs</w:t>
      </w:r>
      <w:r w:rsidR="006D0F78">
        <w:rPr>
          <w:szCs w:val="24"/>
        </w:rPr>
        <w:t xml:space="preserve"> and (2) whether the cost is from </w:t>
      </w:r>
      <w:r w:rsidR="00986046">
        <w:rPr>
          <w:szCs w:val="24"/>
        </w:rPr>
        <w:t xml:space="preserve">an </w:t>
      </w:r>
      <w:r w:rsidR="006D0F78">
        <w:rPr>
          <w:szCs w:val="24"/>
        </w:rPr>
        <w:t xml:space="preserve">in-house activity or </w:t>
      </w:r>
      <w:r w:rsidR="00986046">
        <w:rPr>
          <w:szCs w:val="24"/>
        </w:rPr>
        <w:t xml:space="preserve">a </w:t>
      </w:r>
      <w:r w:rsidR="000C2DBE">
        <w:rPr>
          <w:szCs w:val="24"/>
        </w:rPr>
        <w:t xml:space="preserve">fee charged to this issuer for </w:t>
      </w:r>
      <w:r w:rsidR="006D0F78">
        <w:rPr>
          <w:szCs w:val="24"/>
        </w:rPr>
        <w:t xml:space="preserve">third-party </w:t>
      </w:r>
      <w:r w:rsidR="000C2DBE">
        <w:rPr>
          <w:szCs w:val="24"/>
        </w:rPr>
        <w:t>services</w:t>
      </w:r>
      <w:r w:rsidR="0069499A">
        <w:rPr>
          <w:szCs w:val="24"/>
        </w:rPr>
        <w:t>.</w:t>
      </w:r>
      <w:r w:rsidR="006D0F78">
        <w:rPr>
          <w:szCs w:val="24"/>
        </w:rPr>
        <w:t xml:space="preserve">  </w:t>
      </w:r>
    </w:p>
    <w:p w:rsidR="006D0F78" w:rsidRPr="006D0F78" w:rsidRDefault="006D0F78" w:rsidP="00E2436A">
      <w:pPr>
        <w:pStyle w:val="ListParagraph"/>
        <w:numPr>
          <w:ilvl w:val="0"/>
          <w:numId w:val="1"/>
        </w:numPr>
        <w:rPr>
          <w:b/>
          <w:color w:val="000000"/>
          <w:szCs w:val="24"/>
        </w:rPr>
      </w:pPr>
      <w:r>
        <w:rPr>
          <w:b/>
          <w:color w:val="000000"/>
          <w:szCs w:val="24"/>
        </w:rPr>
        <w:t xml:space="preserve">Card program costs:  </w:t>
      </w:r>
      <w:r w:rsidR="00986046">
        <w:rPr>
          <w:color w:val="000000"/>
          <w:szCs w:val="24"/>
        </w:rPr>
        <w:t xml:space="preserve">For each card program, </w:t>
      </w:r>
      <w:r w:rsidR="00CA4CB1">
        <w:rPr>
          <w:color w:val="000000"/>
          <w:szCs w:val="24"/>
        </w:rPr>
        <w:t xml:space="preserve">respondents </w:t>
      </w:r>
      <w:r w:rsidR="001A6F0E">
        <w:rPr>
          <w:color w:val="000000"/>
          <w:szCs w:val="24"/>
        </w:rPr>
        <w:t>are asked to</w:t>
      </w:r>
      <w:r w:rsidR="00CA4CB1">
        <w:rPr>
          <w:color w:val="000000"/>
          <w:szCs w:val="24"/>
        </w:rPr>
        <w:t xml:space="preserve"> report </w:t>
      </w:r>
      <w:r w:rsidR="00986046">
        <w:rPr>
          <w:color w:val="000000"/>
          <w:szCs w:val="24"/>
        </w:rPr>
        <w:t>c</w:t>
      </w:r>
      <w:r>
        <w:rPr>
          <w:color w:val="000000"/>
          <w:szCs w:val="24"/>
        </w:rPr>
        <w:t xml:space="preserve">osts associated with card programs that are not </w:t>
      </w:r>
      <w:proofErr w:type="spellStart"/>
      <w:r>
        <w:rPr>
          <w:color w:val="000000"/>
          <w:szCs w:val="24"/>
        </w:rPr>
        <w:t>transaction</w:t>
      </w:r>
      <w:r>
        <w:rPr>
          <w:color w:val="000000"/>
          <w:szCs w:val="24"/>
        </w:rPr>
        <w:noBreakHyphen/>
        <w:t>processing</w:t>
      </w:r>
      <w:proofErr w:type="spellEnd"/>
      <w:r>
        <w:rPr>
          <w:color w:val="000000"/>
          <w:szCs w:val="24"/>
        </w:rPr>
        <w:t xml:space="preserve"> costs.</w:t>
      </w:r>
      <w:r w:rsidR="00986046">
        <w:rPr>
          <w:color w:val="000000"/>
          <w:szCs w:val="24"/>
        </w:rPr>
        <w:t xml:space="preserve">  Such costs include card production, cardholder inquiries, rewards and other incentives, and </w:t>
      </w:r>
      <w:r w:rsidR="00986046">
        <w:rPr>
          <w:color w:val="000000"/>
          <w:szCs w:val="24"/>
        </w:rPr>
        <w:lastRenderedPageBreak/>
        <w:t>network fees.  Information requested includes whether the cost is from an in-house activity or a</w:t>
      </w:r>
      <w:r w:rsidR="000C2DBE">
        <w:rPr>
          <w:color w:val="000000"/>
          <w:szCs w:val="24"/>
        </w:rPr>
        <w:t xml:space="preserve"> fee charged to the issuer for</w:t>
      </w:r>
      <w:r w:rsidR="00986046">
        <w:rPr>
          <w:color w:val="000000"/>
          <w:szCs w:val="24"/>
        </w:rPr>
        <w:t xml:space="preserve"> third-party </w:t>
      </w:r>
      <w:r w:rsidR="000C2DBE">
        <w:rPr>
          <w:color w:val="000000"/>
          <w:szCs w:val="24"/>
        </w:rPr>
        <w:t>services</w:t>
      </w:r>
      <w:r w:rsidR="00986046">
        <w:rPr>
          <w:color w:val="000000"/>
          <w:szCs w:val="24"/>
        </w:rPr>
        <w:t xml:space="preserve">. </w:t>
      </w:r>
      <w:r>
        <w:rPr>
          <w:color w:val="000000"/>
          <w:szCs w:val="24"/>
        </w:rPr>
        <w:t xml:space="preserve"> </w:t>
      </w:r>
    </w:p>
    <w:p w:rsidR="00F20558" w:rsidRPr="00BE6BE7" w:rsidRDefault="002E27F6" w:rsidP="00E2436A">
      <w:pPr>
        <w:pStyle w:val="ListParagraph"/>
        <w:numPr>
          <w:ilvl w:val="0"/>
          <w:numId w:val="1"/>
        </w:numPr>
        <w:rPr>
          <w:b/>
          <w:color w:val="000000"/>
          <w:szCs w:val="24"/>
        </w:rPr>
      </w:pPr>
      <w:r w:rsidRPr="00BE6BE7">
        <w:rPr>
          <w:b/>
          <w:szCs w:val="24"/>
        </w:rPr>
        <w:t xml:space="preserve">Fraud prevention </w:t>
      </w:r>
      <w:r w:rsidR="00986046" w:rsidRPr="00BE6BE7">
        <w:rPr>
          <w:b/>
          <w:szCs w:val="24"/>
        </w:rPr>
        <w:t>activit</w:t>
      </w:r>
      <w:r w:rsidR="00986046">
        <w:rPr>
          <w:b/>
          <w:szCs w:val="24"/>
        </w:rPr>
        <w:t>y</w:t>
      </w:r>
      <w:r w:rsidR="00986046" w:rsidRPr="00BE6BE7">
        <w:rPr>
          <w:b/>
          <w:szCs w:val="24"/>
        </w:rPr>
        <w:t xml:space="preserve"> </w:t>
      </w:r>
      <w:r w:rsidR="002A60EE">
        <w:rPr>
          <w:b/>
          <w:szCs w:val="24"/>
        </w:rPr>
        <w:t xml:space="preserve">costs </w:t>
      </w:r>
      <w:r w:rsidRPr="00BE6BE7">
        <w:rPr>
          <w:b/>
          <w:szCs w:val="24"/>
        </w:rPr>
        <w:t xml:space="preserve">and </w:t>
      </w:r>
      <w:r w:rsidR="00986046">
        <w:rPr>
          <w:b/>
          <w:szCs w:val="24"/>
        </w:rPr>
        <w:t xml:space="preserve">data security </w:t>
      </w:r>
      <w:r w:rsidRPr="00BE6BE7">
        <w:rPr>
          <w:b/>
          <w:szCs w:val="24"/>
        </w:rPr>
        <w:t>costs</w:t>
      </w:r>
      <w:r w:rsidR="00C042E0">
        <w:rPr>
          <w:b/>
          <w:szCs w:val="24"/>
        </w:rPr>
        <w:t>:</w:t>
      </w:r>
      <w:r w:rsidR="00A13A5E" w:rsidRPr="00BE6BE7">
        <w:rPr>
          <w:b/>
          <w:szCs w:val="24"/>
        </w:rPr>
        <w:t xml:space="preserve"> </w:t>
      </w:r>
      <w:r w:rsidR="00986046">
        <w:rPr>
          <w:szCs w:val="24"/>
        </w:rPr>
        <w:t>For each card program,</w:t>
      </w:r>
      <w:r w:rsidR="00CA4CB1">
        <w:rPr>
          <w:szCs w:val="24"/>
        </w:rPr>
        <w:t xml:space="preserve"> respondents </w:t>
      </w:r>
      <w:r w:rsidR="001A6F0E">
        <w:rPr>
          <w:szCs w:val="24"/>
        </w:rPr>
        <w:t>are asked to</w:t>
      </w:r>
      <w:r w:rsidR="00CA4CB1">
        <w:rPr>
          <w:szCs w:val="24"/>
        </w:rPr>
        <w:t xml:space="preserve"> report</w:t>
      </w:r>
      <w:r w:rsidR="00986046">
        <w:rPr>
          <w:szCs w:val="24"/>
        </w:rPr>
        <w:t xml:space="preserve"> c</w:t>
      </w:r>
      <w:r w:rsidR="00986046" w:rsidRPr="00BE6BE7">
        <w:rPr>
          <w:szCs w:val="24"/>
        </w:rPr>
        <w:t xml:space="preserve">osts </w:t>
      </w:r>
      <w:r w:rsidR="00A13A5E" w:rsidRPr="00BE6BE7">
        <w:rPr>
          <w:szCs w:val="24"/>
        </w:rPr>
        <w:t xml:space="preserve">incurred by </w:t>
      </w:r>
      <w:r w:rsidR="00237C5D" w:rsidRPr="00BE6BE7">
        <w:rPr>
          <w:szCs w:val="24"/>
        </w:rPr>
        <w:t>the organization</w:t>
      </w:r>
      <w:r w:rsidR="00A13A5E" w:rsidRPr="00BE6BE7">
        <w:rPr>
          <w:szCs w:val="24"/>
        </w:rPr>
        <w:t xml:space="preserve"> in its role as issuer for fraud prevention</w:t>
      </w:r>
      <w:r w:rsidR="00522292">
        <w:rPr>
          <w:szCs w:val="24"/>
        </w:rPr>
        <w:t xml:space="preserve"> and data security</w:t>
      </w:r>
      <w:r w:rsidR="00823548">
        <w:rPr>
          <w:szCs w:val="24"/>
        </w:rPr>
        <w:t xml:space="preserve"> and asked to</w:t>
      </w:r>
      <w:r w:rsidR="00986046">
        <w:rPr>
          <w:szCs w:val="24"/>
        </w:rPr>
        <w:t xml:space="preserve"> provide a brief description of </w:t>
      </w:r>
      <w:r w:rsidR="00522292">
        <w:rPr>
          <w:szCs w:val="24"/>
        </w:rPr>
        <w:t>each</w:t>
      </w:r>
      <w:r w:rsidR="00986046">
        <w:rPr>
          <w:szCs w:val="24"/>
        </w:rPr>
        <w:t xml:space="preserve"> activity</w:t>
      </w:r>
      <w:r w:rsidR="00522292">
        <w:rPr>
          <w:szCs w:val="24"/>
        </w:rPr>
        <w:t>.</w:t>
      </w:r>
    </w:p>
    <w:p w:rsidR="00EF7428" w:rsidRPr="00C042E0" w:rsidRDefault="00237C5D" w:rsidP="00E2436A">
      <w:pPr>
        <w:pStyle w:val="ListParagraph"/>
        <w:numPr>
          <w:ilvl w:val="0"/>
          <w:numId w:val="1"/>
        </w:numPr>
        <w:rPr>
          <w:b/>
          <w:color w:val="000000"/>
          <w:szCs w:val="24"/>
        </w:rPr>
      </w:pPr>
      <w:r w:rsidRPr="00C042E0">
        <w:rPr>
          <w:b/>
          <w:szCs w:val="24"/>
        </w:rPr>
        <w:t>Fraud activity and losses:</w:t>
      </w:r>
      <w:r w:rsidR="00B952C2" w:rsidRPr="00C042E0">
        <w:rPr>
          <w:b/>
          <w:szCs w:val="24"/>
        </w:rPr>
        <w:t xml:space="preserve"> </w:t>
      </w:r>
      <w:r w:rsidR="00522292">
        <w:rPr>
          <w:szCs w:val="24"/>
        </w:rPr>
        <w:t xml:space="preserve">For each card program, </w:t>
      </w:r>
      <w:r w:rsidR="00CA4CB1">
        <w:rPr>
          <w:szCs w:val="24"/>
        </w:rPr>
        <w:t xml:space="preserve">respondents </w:t>
      </w:r>
      <w:r w:rsidR="001A6F0E">
        <w:rPr>
          <w:szCs w:val="24"/>
        </w:rPr>
        <w:t>are asked to</w:t>
      </w:r>
      <w:r w:rsidR="00CA4CB1">
        <w:rPr>
          <w:szCs w:val="24"/>
        </w:rPr>
        <w:t xml:space="preserve"> report </w:t>
      </w:r>
      <w:r w:rsidR="00522292">
        <w:rPr>
          <w:szCs w:val="24"/>
        </w:rPr>
        <w:t>information about the activity and loss associated</w:t>
      </w:r>
      <w:r w:rsidR="000C2DBE">
        <w:rPr>
          <w:szCs w:val="24"/>
        </w:rPr>
        <w:t xml:space="preserve"> with</w:t>
      </w:r>
      <w:r w:rsidR="00522292">
        <w:rPr>
          <w:szCs w:val="24"/>
        </w:rPr>
        <w:t xml:space="preserve"> that card program.  Within each card program, f</w:t>
      </w:r>
      <w:r w:rsidR="00C042E0" w:rsidRPr="00C042E0">
        <w:rPr>
          <w:szCs w:val="24"/>
        </w:rPr>
        <w:t xml:space="preserve">or each type of fraud, </w:t>
      </w:r>
      <w:r w:rsidR="00522292">
        <w:rPr>
          <w:szCs w:val="24"/>
        </w:rPr>
        <w:t xml:space="preserve">respondents are asked to submit information regarding </w:t>
      </w:r>
      <w:r w:rsidR="00C042E0" w:rsidRPr="00C042E0">
        <w:rPr>
          <w:szCs w:val="24"/>
        </w:rPr>
        <w:t xml:space="preserve">the </w:t>
      </w:r>
      <w:r w:rsidR="00B952C2" w:rsidRPr="00C042E0">
        <w:rPr>
          <w:szCs w:val="24"/>
        </w:rPr>
        <w:t>n</w:t>
      </w:r>
      <w:r w:rsidR="005D0813" w:rsidRPr="00C042E0">
        <w:rPr>
          <w:szCs w:val="24"/>
        </w:rPr>
        <w:t>umber</w:t>
      </w:r>
      <w:r w:rsidR="004B21D0" w:rsidRPr="00C042E0">
        <w:rPr>
          <w:szCs w:val="24"/>
        </w:rPr>
        <w:t xml:space="preserve"> of fraudulent transactions</w:t>
      </w:r>
      <w:r w:rsidR="00B952C2" w:rsidRPr="00C042E0">
        <w:rPr>
          <w:szCs w:val="24"/>
        </w:rPr>
        <w:t xml:space="preserve">, </w:t>
      </w:r>
      <w:r w:rsidR="00492A62">
        <w:rPr>
          <w:szCs w:val="24"/>
        </w:rPr>
        <w:t xml:space="preserve">the </w:t>
      </w:r>
      <w:r w:rsidR="00B952C2" w:rsidRPr="00C042E0">
        <w:rPr>
          <w:szCs w:val="24"/>
        </w:rPr>
        <w:t>v</w:t>
      </w:r>
      <w:r w:rsidR="005D0813" w:rsidRPr="00C042E0">
        <w:rPr>
          <w:szCs w:val="24"/>
        </w:rPr>
        <w:t>alue</w:t>
      </w:r>
      <w:r w:rsidR="00B952C2" w:rsidRPr="00C042E0">
        <w:rPr>
          <w:szCs w:val="24"/>
        </w:rPr>
        <w:t xml:space="preserve"> of fraudulent transactions, </w:t>
      </w:r>
      <w:r w:rsidR="00C042E0" w:rsidRPr="00C042E0">
        <w:rPr>
          <w:szCs w:val="24"/>
        </w:rPr>
        <w:t xml:space="preserve">and the </w:t>
      </w:r>
      <w:r w:rsidR="00B952C2" w:rsidRPr="00C042E0">
        <w:rPr>
          <w:szCs w:val="24"/>
        </w:rPr>
        <w:t>p</w:t>
      </w:r>
      <w:r w:rsidR="005D0813" w:rsidRPr="00C042E0">
        <w:rPr>
          <w:szCs w:val="24"/>
        </w:rPr>
        <w:t>ercentage</w:t>
      </w:r>
      <w:r w:rsidRPr="00C042E0">
        <w:rPr>
          <w:szCs w:val="24"/>
        </w:rPr>
        <w:t xml:space="preserve"> of fraud value</w:t>
      </w:r>
      <w:r w:rsidR="00C042E0">
        <w:rPr>
          <w:szCs w:val="24"/>
        </w:rPr>
        <w:t xml:space="preserve"> borne by </w:t>
      </w:r>
      <w:r w:rsidR="00522292">
        <w:rPr>
          <w:szCs w:val="24"/>
        </w:rPr>
        <w:t>the issuer and the cardholder</w:t>
      </w:r>
      <w:r w:rsidR="004B21D0" w:rsidRPr="00C042E0">
        <w:rPr>
          <w:szCs w:val="24"/>
        </w:rPr>
        <w:t>.</w:t>
      </w:r>
      <w:r w:rsidR="00C042E0" w:rsidRPr="00C042E0">
        <w:rPr>
          <w:szCs w:val="24"/>
        </w:rPr>
        <w:t xml:space="preserve"> </w:t>
      </w:r>
      <w:r w:rsidR="002A60EE">
        <w:rPr>
          <w:szCs w:val="24"/>
        </w:rPr>
        <w:t xml:space="preserve"> </w:t>
      </w:r>
      <w:r w:rsidR="00522292">
        <w:rPr>
          <w:szCs w:val="24"/>
        </w:rPr>
        <w:t>Information</w:t>
      </w:r>
      <w:r w:rsidR="001A6F0E">
        <w:rPr>
          <w:szCs w:val="24"/>
        </w:rPr>
        <w:t xml:space="preserve"> reported</w:t>
      </w:r>
      <w:r w:rsidR="00522292">
        <w:rPr>
          <w:szCs w:val="24"/>
        </w:rPr>
        <w:t xml:space="preserve"> </w:t>
      </w:r>
      <w:r w:rsidR="00823548">
        <w:rPr>
          <w:szCs w:val="24"/>
        </w:rPr>
        <w:t>is</w:t>
      </w:r>
      <w:r w:rsidR="00522292">
        <w:rPr>
          <w:szCs w:val="24"/>
        </w:rPr>
        <w:t xml:space="preserve"> segregated based on the gross volume/value, volume/value charged back, and the volume/value for which the issuer had recoveries. </w:t>
      </w:r>
    </w:p>
    <w:p w:rsidR="004F535D" w:rsidRPr="00BE6BE7" w:rsidRDefault="00B65CA3" w:rsidP="00E2436A">
      <w:pPr>
        <w:pStyle w:val="ListParagraph"/>
        <w:numPr>
          <w:ilvl w:val="0"/>
          <w:numId w:val="1"/>
        </w:numPr>
        <w:rPr>
          <w:b/>
          <w:color w:val="000000"/>
          <w:szCs w:val="24"/>
        </w:rPr>
      </w:pPr>
      <w:r w:rsidRPr="00C042E0">
        <w:rPr>
          <w:b/>
          <w:szCs w:val="24"/>
        </w:rPr>
        <w:t>Exclusivi</w:t>
      </w:r>
      <w:r w:rsidRPr="00BE6BE7">
        <w:rPr>
          <w:b/>
          <w:szCs w:val="24"/>
        </w:rPr>
        <w:t>t</w:t>
      </w:r>
      <w:r w:rsidRPr="00C042E0">
        <w:rPr>
          <w:b/>
          <w:color w:val="000000"/>
          <w:szCs w:val="24"/>
        </w:rPr>
        <w:t>y</w:t>
      </w:r>
      <w:r w:rsidRPr="00BE6BE7">
        <w:rPr>
          <w:b/>
          <w:szCs w:val="24"/>
        </w:rPr>
        <w:t xml:space="preserve"> arrangements and routing procedures</w:t>
      </w:r>
      <w:r w:rsidR="00C042E0">
        <w:rPr>
          <w:b/>
          <w:szCs w:val="24"/>
        </w:rPr>
        <w:t xml:space="preserve">: </w:t>
      </w:r>
      <w:r w:rsidR="00CA4CB1">
        <w:rPr>
          <w:szCs w:val="24"/>
        </w:rPr>
        <w:t xml:space="preserve">Respondents </w:t>
      </w:r>
      <w:r w:rsidR="001A6F0E">
        <w:rPr>
          <w:szCs w:val="24"/>
        </w:rPr>
        <w:t>are asked to</w:t>
      </w:r>
      <w:r w:rsidR="00CA4CB1">
        <w:rPr>
          <w:szCs w:val="24"/>
        </w:rPr>
        <w:t xml:space="preserve"> report i</w:t>
      </w:r>
      <w:r w:rsidR="00622E5B">
        <w:rPr>
          <w:szCs w:val="24"/>
        </w:rPr>
        <w:t>nformation regarding n</w:t>
      </w:r>
      <w:r w:rsidR="00C042E0">
        <w:rPr>
          <w:szCs w:val="24"/>
        </w:rPr>
        <w:t xml:space="preserve">etwork rules, guidelines, policies, interpretations, or other agreements </w:t>
      </w:r>
      <w:r w:rsidR="001A6F0E">
        <w:rPr>
          <w:szCs w:val="24"/>
        </w:rPr>
        <w:t xml:space="preserve">or incentives </w:t>
      </w:r>
      <w:r w:rsidR="00C042E0">
        <w:rPr>
          <w:szCs w:val="24"/>
        </w:rPr>
        <w:t xml:space="preserve">that restrict the issuer’s ability to participate in, or issue debit or prepaid cards that can operate on, multiple, unaffiliated PCNs.  Information also includes network rules, guidelines, policies, interpretations, or other agreements </w:t>
      </w:r>
      <w:r w:rsidR="001A6F0E">
        <w:rPr>
          <w:szCs w:val="24"/>
        </w:rPr>
        <w:t xml:space="preserve">or incentives </w:t>
      </w:r>
      <w:r w:rsidR="00C042E0">
        <w:rPr>
          <w:szCs w:val="24"/>
        </w:rPr>
        <w:t xml:space="preserve">whereby </w:t>
      </w:r>
      <w:r w:rsidR="00492A62">
        <w:rPr>
          <w:szCs w:val="24"/>
        </w:rPr>
        <w:t xml:space="preserve">transactions involving </w:t>
      </w:r>
      <w:r w:rsidR="00C042E0">
        <w:rPr>
          <w:szCs w:val="24"/>
        </w:rPr>
        <w:t xml:space="preserve">cards issued on one network </w:t>
      </w:r>
      <w:r w:rsidR="00492A62">
        <w:rPr>
          <w:szCs w:val="24"/>
        </w:rPr>
        <w:t xml:space="preserve">may be </w:t>
      </w:r>
      <w:r w:rsidR="00C042E0">
        <w:rPr>
          <w:szCs w:val="24"/>
        </w:rPr>
        <w:t>process</w:t>
      </w:r>
      <w:r w:rsidR="00492A62">
        <w:rPr>
          <w:szCs w:val="24"/>
        </w:rPr>
        <w:t>ed</w:t>
      </w:r>
      <w:r w:rsidR="00C042E0">
        <w:rPr>
          <w:szCs w:val="24"/>
        </w:rPr>
        <w:t xml:space="preserve"> exclusively on that network.</w:t>
      </w:r>
      <w:r w:rsidR="00622E5B">
        <w:rPr>
          <w:szCs w:val="24"/>
        </w:rPr>
        <w:t xml:space="preserve">  Respondents </w:t>
      </w:r>
      <w:r w:rsidR="00823548">
        <w:rPr>
          <w:szCs w:val="24"/>
        </w:rPr>
        <w:t>are asked to</w:t>
      </w:r>
      <w:r w:rsidR="00622E5B">
        <w:rPr>
          <w:szCs w:val="24"/>
        </w:rPr>
        <w:t xml:space="preserve"> </w:t>
      </w:r>
      <w:r w:rsidR="000B6D44">
        <w:rPr>
          <w:szCs w:val="24"/>
        </w:rPr>
        <w:t xml:space="preserve">describe </w:t>
      </w:r>
      <w:r w:rsidR="00622E5B">
        <w:rPr>
          <w:szCs w:val="24"/>
        </w:rPr>
        <w:t xml:space="preserve">any </w:t>
      </w:r>
      <w:r w:rsidR="000B6D44">
        <w:rPr>
          <w:szCs w:val="24"/>
        </w:rPr>
        <w:t xml:space="preserve">material changes to </w:t>
      </w:r>
      <w:r w:rsidR="00622E5B">
        <w:rPr>
          <w:szCs w:val="24"/>
        </w:rPr>
        <w:t xml:space="preserve">such agreements or procedures over the last 10 years.  </w:t>
      </w:r>
    </w:p>
    <w:p w:rsidR="007C5521" w:rsidRDefault="007C5521" w:rsidP="00160FD0">
      <w:pPr>
        <w:ind w:left="720"/>
        <w:rPr>
          <w:b/>
          <w:color w:val="000000"/>
          <w:szCs w:val="24"/>
        </w:rPr>
      </w:pPr>
    </w:p>
    <w:p w:rsidR="008C5F0E" w:rsidRPr="000F6872" w:rsidRDefault="00701B50" w:rsidP="00160FD0">
      <w:pPr>
        <w:ind w:left="720"/>
        <w:rPr>
          <w:b/>
          <w:color w:val="000000"/>
          <w:szCs w:val="24"/>
        </w:rPr>
      </w:pPr>
      <w:r w:rsidRPr="000F6872">
        <w:rPr>
          <w:b/>
          <w:color w:val="000000"/>
          <w:szCs w:val="24"/>
        </w:rPr>
        <w:t xml:space="preserve">Network </w:t>
      </w:r>
      <w:r w:rsidR="0058261E" w:rsidRPr="000F6872">
        <w:rPr>
          <w:b/>
          <w:color w:val="000000"/>
          <w:szCs w:val="24"/>
        </w:rPr>
        <w:t>survey</w:t>
      </w:r>
    </w:p>
    <w:p w:rsidR="00622E5B" w:rsidRPr="000F6872" w:rsidRDefault="001437D3" w:rsidP="00160FD0">
      <w:pPr>
        <w:tabs>
          <w:tab w:val="left" w:pos="0"/>
          <w:tab w:val="left" w:pos="720"/>
        </w:tabs>
        <w:rPr>
          <w:color w:val="000000"/>
          <w:szCs w:val="24"/>
        </w:rPr>
      </w:pPr>
      <w:r w:rsidRPr="000F6872">
        <w:rPr>
          <w:color w:val="000000"/>
          <w:szCs w:val="24"/>
        </w:rPr>
        <w:tab/>
      </w:r>
    </w:p>
    <w:p w:rsidR="00CA4CB1" w:rsidRPr="000F6872" w:rsidRDefault="00622E5B" w:rsidP="00160FD0">
      <w:pPr>
        <w:tabs>
          <w:tab w:val="left" w:pos="0"/>
          <w:tab w:val="left" w:pos="720"/>
        </w:tabs>
        <w:rPr>
          <w:color w:val="000000"/>
          <w:szCs w:val="24"/>
        </w:rPr>
      </w:pPr>
      <w:r w:rsidRPr="000F6872">
        <w:rPr>
          <w:color w:val="000000"/>
          <w:szCs w:val="24"/>
        </w:rPr>
        <w:tab/>
      </w:r>
      <w:r w:rsidR="008E5CB6" w:rsidRPr="000F6872">
        <w:rPr>
          <w:color w:val="000000"/>
          <w:szCs w:val="24"/>
        </w:rPr>
        <w:t>The network survey w</w:t>
      </w:r>
      <w:r w:rsidR="0076689B" w:rsidRPr="000F6872">
        <w:rPr>
          <w:color w:val="000000"/>
          <w:szCs w:val="24"/>
        </w:rPr>
        <w:t>ould</w:t>
      </w:r>
      <w:r w:rsidR="008E5CB6" w:rsidRPr="000F6872">
        <w:rPr>
          <w:color w:val="000000"/>
          <w:szCs w:val="24"/>
        </w:rPr>
        <w:t xml:space="preserve"> be sent to PC</w:t>
      </w:r>
      <w:r w:rsidR="00FE1649" w:rsidRPr="000F6872">
        <w:rPr>
          <w:color w:val="000000"/>
          <w:szCs w:val="24"/>
        </w:rPr>
        <w:t>N</w:t>
      </w:r>
      <w:r w:rsidR="008E5CB6" w:rsidRPr="000F6872">
        <w:rPr>
          <w:color w:val="000000"/>
          <w:szCs w:val="24"/>
        </w:rPr>
        <w:t xml:space="preserve">s </w:t>
      </w:r>
      <w:r w:rsidR="006E5AA6" w:rsidRPr="000F6872">
        <w:rPr>
          <w:color w:val="000000"/>
          <w:szCs w:val="24"/>
        </w:rPr>
        <w:t>to collect</w:t>
      </w:r>
      <w:r w:rsidR="00345CB1" w:rsidRPr="000F6872">
        <w:rPr>
          <w:color w:val="000000"/>
          <w:szCs w:val="24"/>
        </w:rPr>
        <w:t xml:space="preserve"> </w:t>
      </w:r>
      <w:r w:rsidR="00345CB1" w:rsidRPr="000F6872">
        <w:rPr>
          <w:szCs w:val="24"/>
        </w:rPr>
        <w:t xml:space="preserve">information about fees charged or set by payment card networks </w:t>
      </w:r>
      <w:r w:rsidR="00345CB1" w:rsidRPr="000F6872">
        <w:rPr>
          <w:color w:val="000000"/>
          <w:szCs w:val="24"/>
        </w:rPr>
        <w:t>(including interchange fees)</w:t>
      </w:r>
      <w:r w:rsidR="00345CB1" w:rsidRPr="000F6872">
        <w:rPr>
          <w:szCs w:val="24"/>
        </w:rPr>
        <w:t>, fraud losses and prevention costs, and network routing and participation restrictions</w:t>
      </w:r>
      <w:r w:rsidR="00F978DB" w:rsidRPr="000F6872">
        <w:rPr>
          <w:szCs w:val="24"/>
        </w:rPr>
        <w:t xml:space="preserve"> for certain debit card and prepaid card transactions</w:t>
      </w:r>
      <w:r w:rsidR="00345CB1" w:rsidRPr="000F6872">
        <w:rPr>
          <w:szCs w:val="24"/>
        </w:rPr>
        <w:t>.</w:t>
      </w:r>
      <w:r w:rsidR="00160FD0" w:rsidRPr="000F6872">
        <w:rPr>
          <w:szCs w:val="24"/>
        </w:rPr>
        <w:t xml:space="preserve">  </w:t>
      </w:r>
      <w:r w:rsidR="0011731D" w:rsidRPr="000F6872">
        <w:rPr>
          <w:color w:val="000000"/>
          <w:szCs w:val="24"/>
        </w:rPr>
        <w:t xml:space="preserve">The network survey would comprise </w:t>
      </w:r>
      <w:r w:rsidR="00492A62" w:rsidRPr="000F6872">
        <w:rPr>
          <w:color w:val="000000"/>
          <w:szCs w:val="24"/>
        </w:rPr>
        <w:t>seven</w:t>
      </w:r>
      <w:r w:rsidR="00CF3E19" w:rsidRPr="000F6872">
        <w:rPr>
          <w:color w:val="000000"/>
          <w:szCs w:val="24"/>
        </w:rPr>
        <w:t xml:space="preserve"> sections.  </w:t>
      </w:r>
      <w:r w:rsidR="00CA4CB1" w:rsidRPr="000F6872">
        <w:rPr>
          <w:color w:val="000000"/>
          <w:szCs w:val="24"/>
        </w:rPr>
        <w:t>Similarly to the issuer survey, the network survey would collect information about signature debit, PIN debit and prepaid card programs.  The reporting period is for calendar year 20</w:t>
      </w:r>
      <w:r w:rsidR="00745A0E" w:rsidRPr="000F6872">
        <w:rPr>
          <w:color w:val="000000"/>
          <w:szCs w:val="24"/>
        </w:rPr>
        <w:t>09</w:t>
      </w:r>
      <w:r w:rsidR="00CA4CB1" w:rsidRPr="000F6872">
        <w:rPr>
          <w:color w:val="000000"/>
          <w:szCs w:val="24"/>
        </w:rPr>
        <w:t xml:space="preserve"> unless otherwise noted.  </w:t>
      </w:r>
      <w:r w:rsidR="00786050" w:rsidRPr="000F6872">
        <w:rPr>
          <w:color w:val="000000"/>
          <w:szCs w:val="24"/>
        </w:rPr>
        <w:t xml:space="preserve"> </w:t>
      </w:r>
    </w:p>
    <w:p w:rsidR="00160FD0" w:rsidRPr="000F6872" w:rsidRDefault="00786050" w:rsidP="00160FD0">
      <w:pPr>
        <w:tabs>
          <w:tab w:val="left" w:pos="0"/>
          <w:tab w:val="left" w:pos="720"/>
        </w:tabs>
        <w:rPr>
          <w:color w:val="000000"/>
          <w:szCs w:val="24"/>
        </w:rPr>
      </w:pPr>
      <w:r w:rsidRPr="000F6872">
        <w:rPr>
          <w:color w:val="000000"/>
          <w:szCs w:val="24"/>
        </w:rPr>
        <w:t xml:space="preserve"> </w:t>
      </w:r>
    </w:p>
    <w:p w:rsidR="00793E87" w:rsidRPr="000F6872" w:rsidRDefault="001A6F0E" w:rsidP="00E2436A">
      <w:pPr>
        <w:pStyle w:val="ListParagraph"/>
        <w:numPr>
          <w:ilvl w:val="0"/>
          <w:numId w:val="2"/>
        </w:numPr>
        <w:tabs>
          <w:tab w:val="left" w:pos="0"/>
          <w:tab w:val="left" w:pos="1080"/>
        </w:tabs>
        <w:ind w:left="1080"/>
        <w:rPr>
          <w:color w:val="000000"/>
          <w:szCs w:val="24"/>
        </w:rPr>
      </w:pPr>
      <w:r w:rsidRPr="000F6872">
        <w:rPr>
          <w:b/>
          <w:color w:val="000000"/>
          <w:szCs w:val="24"/>
        </w:rPr>
        <w:t>Payment card network information</w:t>
      </w:r>
      <w:r w:rsidR="00CA4CB1" w:rsidRPr="000F6872">
        <w:rPr>
          <w:b/>
          <w:color w:val="000000"/>
          <w:szCs w:val="24"/>
        </w:rPr>
        <w:t>:</w:t>
      </w:r>
      <w:r w:rsidR="00CA4CB1" w:rsidRPr="000F6872">
        <w:rPr>
          <w:color w:val="000000"/>
          <w:szCs w:val="24"/>
        </w:rPr>
        <w:t xml:space="preserve"> </w:t>
      </w:r>
      <w:r w:rsidRPr="000F6872">
        <w:rPr>
          <w:color w:val="000000"/>
          <w:szCs w:val="24"/>
        </w:rPr>
        <w:t>R</w:t>
      </w:r>
      <w:r w:rsidR="00CA4CB1" w:rsidRPr="000F6872">
        <w:rPr>
          <w:color w:val="000000"/>
          <w:szCs w:val="24"/>
        </w:rPr>
        <w:t xml:space="preserve">espondents </w:t>
      </w:r>
      <w:r w:rsidRPr="000F6872">
        <w:rPr>
          <w:color w:val="000000"/>
          <w:szCs w:val="24"/>
        </w:rPr>
        <w:t>are asked to</w:t>
      </w:r>
      <w:r w:rsidR="00CA4CB1" w:rsidRPr="000F6872">
        <w:rPr>
          <w:color w:val="000000"/>
          <w:szCs w:val="24"/>
        </w:rPr>
        <w:t xml:space="preserve"> report </w:t>
      </w:r>
      <w:r w:rsidR="00745A0E" w:rsidRPr="000F6872">
        <w:rPr>
          <w:color w:val="000000"/>
          <w:szCs w:val="24"/>
        </w:rPr>
        <w:t>the number of value and transactions associated with each card program</w:t>
      </w:r>
      <w:r w:rsidRPr="000F6872">
        <w:rPr>
          <w:color w:val="000000"/>
          <w:szCs w:val="24"/>
        </w:rPr>
        <w:t>, as well as inform</w:t>
      </w:r>
      <w:r w:rsidR="00745A0E" w:rsidRPr="000F6872">
        <w:rPr>
          <w:color w:val="000000"/>
          <w:szCs w:val="24"/>
        </w:rPr>
        <w:t>ation related to merchant acceptance, cardholders, and geographic coverage.</w:t>
      </w:r>
    </w:p>
    <w:p w:rsidR="00793E87" w:rsidRPr="000F6872" w:rsidRDefault="00745A0E" w:rsidP="00E2436A">
      <w:pPr>
        <w:pStyle w:val="ListParagraph"/>
        <w:numPr>
          <w:ilvl w:val="0"/>
          <w:numId w:val="2"/>
        </w:numPr>
        <w:tabs>
          <w:tab w:val="left" w:pos="0"/>
          <w:tab w:val="left" w:pos="1080"/>
        </w:tabs>
        <w:ind w:left="1080"/>
        <w:rPr>
          <w:b/>
          <w:color w:val="000000"/>
          <w:szCs w:val="24"/>
        </w:rPr>
      </w:pPr>
      <w:r w:rsidRPr="000F6872">
        <w:rPr>
          <w:b/>
          <w:color w:val="000000"/>
          <w:szCs w:val="24"/>
        </w:rPr>
        <w:t>2009 Fees</w:t>
      </w:r>
      <w:r w:rsidR="009F070A" w:rsidRPr="000F6872">
        <w:rPr>
          <w:b/>
          <w:color w:val="000000"/>
          <w:szCs w:val="24"/>
        </w:rPr>
        <w:t>:</w:t>
      </w:r>
      <w:r w:rsidR="009F070A" w:rsidRPr="000F6872">
        <w:rPr>
          <w:color w:val="000000"/>
          <w:szCs w:val="24"/>
        </w:rPr>
        <w:t xml:space="preserve"> </w:t>
      </w:r>
      <w:r w:rsidR="00B47B0B" w:rsidRPr="000F6872">
        <w:rPr>
          <w:color w:val="000000"/>
          <w:szCs w:val="24"/>
        </w:rPr>
        <w:t xml:space="preserve">Respondents </w:t>
      </w:r>
      <w:r w:rsidR="001A6F0E" w:rsidRPr="000F6872">
        <w:rPr>
          <w:color w:val="000000"/>
          <w:szCs w:val="24"/>
        </w:rPr>
        <w:t>are asked to</w:t>
      </w:r>
      <w:r w:rsidR="00B47B0B" w:rsidRPr="000F6872">
        <w:rPr>
          <w:color w:val="000000"/>
          <w:szCs w:val="24"/>
        </w:rPr>
        <w:t xml:space="preserve"> provide information on seven types of fees: (1) interchange fees; (2) other network fees charged to issuers on a per-transaction basis; (3) network fees charged to issuers but not on a per-transaction basis; (4) program fees or discounts paid to issuers; (5) network fees charged to acquirers or merchants on a per-transaction basis; (6) network fees charged to acquirers or merchants but not assessed on a per-transaction basis, and (7) program fees or discounts paid to acquirers or merchants.  In general, f</w:t>
      </w:r>
      <w:r w:rsidR="002A60EE" w:rsidRPr="000F6872">
        <w:rPr>
          <w:color w:val="000000"/>
          <w:szCs w:val="24"/>
        </w:rPr>
        <w:t xml:space="preserve">or each </w:t>
      </w:r>
      <w:r w:rsidR="00B47B0B" w:rsidRPr="000F6872">
        <w:rPr>
          <w:color w:val="000000"/>
          <w:szCs w:val="24"/>
        </w:rPr>
        <w:t xml:space="preserve">type of fee </w:t>
      </w:r>
      <w:r w:rsidR="002A60EE" w:rsidRPr="000F6872">
        <w:rPr>
          <w:color w:val="000000"/>
          <w:szCs w:val="24"/>
        </w:rPr>
        <w:t>r</w:t>
      </w:r>
      <w:r w:rsidR="00CA4CB1" w:rsidRPr="000F6872">
        <w:rPr>
          <w:color w:val="000000"/>
          <w:szCs w:val="24"/>
        </w:rPr>
        <w:t xml:space="preserve">espondents </w:t>
      </w:r>
      <w:r w:rsidR="001A6F0E" w:rsidRPr="000F6872">
        <w:rPr>
          <w:color w:val="000000"/>
          <w:szCs w:val="24"/>
        </w:rPr>
        <w:t>are asked to</w:t>
      </w:r>
      <w:r w:rsidR="00CA4CB1" w:rsidRPr="000F6872">
        <w:rPr>
          <w:color w:val="000000"/>
          <w:szCs w:val="24"/>
        </w:rPr>
        <w:t xml:space="preserve"> provide </w:t>
      </w:r>
      <w:r w:rsidR="002A60EE" w:rsidRPr="000F6872">
        <w:rPr>
          <w:color w:val="000000"/>
          <w:szCs w:val="24"/>
        </w:rPr>
        <w:t xml:space="preserve">the </w:t>
      </w:r>
      <w:r w:rsidR="00793E87" w:rsidRPr="000F6872">
        <w:rPr>
          <w:color w:val="000000"/>
          <w:szCs w:val="24"/>
        </w:rPr>
        <w:t xml:space="preserve">following </w:t>
      </w:r>
      <w:r w:rsidR="00CA4CB1" w:rsidRPr="000F6872">
        <w:rPr>
          <w:color w:val="000000"/>
          <w:szCs w:val="24"/>
        </w:rPr>
        <w:t>information</w:t>
      </w:r>
      <w:r w:rsidR="00793E87" w:rsidRPr="000F6872">
        <w:rPr>
          <w:color w:val="000000"/>
          <w:szCs w:val="24"/>
        </w:rPr>
        <w:t>:</w:t>
      </w:r>
      <w:r w:rsidR="002A60EE" w:rsidRPr="000F6872">
        <w:rPr>
          <w:b/>
          <w:color w:val="000000"/>
          <w:szCs w:val="24"/>
        </w:rPr>
        <w:t xml:space="preserve"> </w:t>
      </w:r>
      <w:r w:rsidR="00793E87" w:rsidRPr="000F6872">
        <w:rPr>
          <w:b/>
          <w:color w:val="000000"/>
          <w:szCs w:val="24"/>
        </w:rPr>
        <w:t xml:space="preserve"> </w:t>
      </w:r>
      <w:r w:rsidR="00793E87" w:rsidRPr="000F6872">
        <w:rPr>
          <w:color w:val="000000"/>
          <w:szCs w:val="24"/>
        </w:rPr>
        <w:t xml:space="preserve">program name, description, use environment, effective dates, </w:t>
      </w:r>
      <w:r w:rsidR="00B47B0B" w:rsidRPr="000F6872">
        <w:rPr>
          <w:color w:val="000000"/>
          <w:szCs w:val="24"/>
        </w:rPr>
        <w:t xml:space="preserve">the methodology for determining the fee </w:t>
      </w:r>
      <w:r w:rsidR="00793E87" w:rsidRPr="000F6872">
        <w:rPr>
          <w:color w:val="000000"/>
          <w:szCs w:val="24"/>
        </w:rPr>
        <w:t xml:space="preserve">(i.e., fixed and variable components and any minimum and maximums), total number, value and </w:t>
      </w:r>
      <w:r w:rsidR="00793E87" w:rsidRPr="000F6872">
        <w:rPr>
          <w:color w:val="000000"/>
          <w:szCs w:val="24"/>
        </w:rPr>
        <w:lastRenderedPageBreak/>
        <w:t xml:space="preserve">volume of transactions under the fee program, and the total dollar amount of fees of that type charged to issuers.  </w:t>
      </w:r>
      <w:r w:rsidR="00793E87" w:rsidRPr="000F6872" w:rsidDel="002A60EE">
        <w:rPr>
          <w:color w:val="000000"/>
          <w:szCs w:val="24"/>
        </w:rPr>
        <w:t xml:space="preserve"> </w:t>
      </w:r>
      <w:r w:rsidR="00793E87" w:rsidRPr="000F6872">
        <w:rPr>
          <w:color w:val="000000"/>
          <w:szCs w:val="24"/>
        </w:rPr>
        <w:t xml:space="preserve">  </w:t>
      </w:r>
    </w:p>
    <w:p w:rsidR="00B47B0B" w:rsidRPr="000F6872" w:rsidRDefault="00B47B0B" w:rsidP="00E2436A">
      <w:pPr>
        <w:pStyle w:val="ListParagraph"/>
        <w:numPr>
          <w:ilvl w:val="0"/>
          <w:numId w:val="2"/>
        </w:numPr>
        <w:tabs>
          <w:tab w:val="left" w:pos="0"/>
          <w:tab w:val="left" w:pos="1080"/>
        </w:tabs>
        <w:ind w:left="1080"/>
        <w:rPr>
          <w:b/>
          <w:color w:val="000000"/>
          <w:szCs w:val="24"/>
        </w:rPr>
      </w:pPr>
      <w:r w:rsidRPr="000F6872">
        <w:rPr>
          <w:b/>
          <w:color w:val="000000"/>
          <w:szCs w:val="24"/>
        </w:rPr>
        <w:t>Historical interchange fees:</w:t>
      </w:r>
      <w:r w:rsidRPr="000F6872">
        <w:rPr>
          <w:color w:val="000000"/>
          <w:szCs w:val="24"/>
        </w:rPr>
        <w:t xml:space="preserve"> For each card program, respondents </w:t>
      </w:r>
      <w:r w:rsidR="001A6F0E" w:rsidRPr="000F6872">
        <w:rPr>
          <w:color w:val="000000"/>
          <w:szCs w:val="24"/>
        </w:rPr>
        <w:t>are asked to</w:t>
      </w:r>
      <w:r w:rsidRPr="000F6872">
        <w:rPr>
          <w:color w:val="000000"/>
          <w:szCs w:val="24"/>
        </w:rPr>
        <w:t xml:space="preserve"> report the following information related to interchange fees: interchange fees reimbursed to issuers, total number of transactions, total value of transactions, and the average interchange fee</w:t>
      </w:r>
      <w:r w:rsidR="00F920D2" w:rsidRPr="000F6872">
        <w:rPr>
          <w:color w:val="000000"/>
          <w:szCs w:val="24"/>
        </w:rPr>
        <w:t xml:space="preserve">.  The years for which respondents </w:t>
      </w:r>
      <w:r w:rsidR="001A6F0E" w:rsidRPr="000F6872">
        <w:rPr>
          <w:color w:val="000000"/>
          <w:szCs w:val="24"/>
        </w:rPr>
        <w:t>should</w:t>
      </w:r>
      <w:r w:rsidR="00F920D2" w:rsidRPr="000F6872">
        <w:rPr>
          <w:color w:val="000000"/>
          <w:szCs w:val="24"/>
        </w:rPr>
        <w:t xml:space="preserve"> report are 1990, 1995, 2000, 2005 and 2009.   </w:t>
      </w:r>
    </w:p>
    <w:p w:rsidR="00E245BE" w:rsidRPr="000F6872" w:rsidRDefault="006C1C69" w:rsidP="00E2436A">
      <w:pPr>
        <w:pStyle w:val="ListParagraph"/>
        <w:numPr>
          <w:ilvl w:val="0"/>
          <w:numId w:val="2"/>
        </w:numPr>
        <w:tabs>
          <w:tab w:val="left" w:pos="0"/>
          <w:tab w:val="left" w:pos="1080"/>
        </w:tabs>
        <w:ind w:left="1080"/>
        <w:rPr>
          <w:b/>
          <w:color w:val="000000"/>
          <w:szCs w:val="24"/>
        </w:rPr>
      </w:pPr>
      <w:r w:rsidRPr="000F6872">
        <w:rPr>
          <w:b/>
          <w:color w:val="000000"/>
          <w:szCs w:val="24"/>
        </w:rPr>
        <w:t>Fraud Prevention and Data Security Costs</w:t>
      </w:r>
      <w:r w:rsidR="008D1248" w:rsidRPr="000F6872">
        <w:rPr>
          <w:b/>
          <w:color w:val="000000"/>
          <w:szCs w:val="24"/>
        </w:rPr>
        <w:t>:</w:t>
      </w:r>
      <w:r w:rsidR="008D1248" w:rsidRPr="000F6872">
        <w:rPr>
          <w:color w:val="000000"/>
          <w:szCs w:val="24"/>
        </w:rPr>
        <w:t xml:space="preserve"> </w:t>
      </w:r>
      <w:r w:rsidR="00F920D2" w:rsidRPr="000F6872">
        <w:rPr>
          <w:color w:val="000000"/>
          <w:szCs w:val="24"/>
        </w:rPr>
        <w:t xml:space="preserve">For each card program, respondents </w:t>
      </w:r>
      <w:r w:rsidR="001A6F0E" w:rsidRPr="000F6872">
        <w:rPr>
          <w:color w:val="000000"/>
          <w:szCs w:val="24"/>
        </w:rPr>
        <w:t>are asked to</w:t>
      </w:r>
      <w:r w:rsidR="00F920D2" w:rsidRPr="000F6872">
        <w:rPr>
          <w:color w:val="000000"/>
          <w:szCs w:val="24"/>
        </w:rPr>
        <w:t xml:space="preserve"> report </w:t>
      </w:r>
      <w:r w:rsidR="008D1248" w:rsidRPr="000F6872">
        <w:rPr>
          <w:color w:val="000000"/>
          <w:szCs w:val="24"/>
        </w:rPr>
        <w:t xml:space="preserve">costs incurred by the organization in its role as network that are </w:t>
      </w:r>
      <w:r w:rsidR="00F920D2" w:rsidRPr="000F6872">
        <w:rPr>
          <w:color w:val="000000"/>
          <w:szCs w:val="24"/>
        </w:rPr>
        <w:t>a</w:t>
      </w:r>
      <w:r w:rsidR="00341BC2" w:rsidRPr="000F6872">
        <w:rPr>
          <w:color w:val="000000"/>
          <w:szCs w:val="24"/>
        </w:rPr>
        <w:t xml:space="preserve">ssociated with fraud prevention </w:t>
      </w:r>
      <w:r w:rsidR="00F920D2" w:rsidRPr="000F6872">
        <w:rPr>
          <w:color w:val="000000"/>
          <w:szCs w:val="24"/>
        </w:rPr>
        <w:t xml:space="preserve">or data security activity </w:t>
      </w:r>
      <w:r w:rsidR="00341BC2" w:rsidRPr="000F6872">
        <w:rPr>
          <w:color w:val="000000"/>
          <w:szCs w:val="24"/>
        </w:rPr>
        <w:t>undertaken by the network.</w:t>
      </w:r>
      <w:r w:rsidR="008D1248" w:rsidRPr="000F6872">
        <w:rPr>
          <w:color w:val="000000"/>
          <w:szCs w:val="24"/>
        </w:rPr>
        <w:t xml:space="preserve">  </w:t>
      </w:r>
      <w:r w:rsidR="00F920D2" w:rsidRPr="000F6872">
        <w:rPr>
          <w:color w:val="000000"/>
          <w:szCs w:val="24"/>
        </w:rPr>
        <w:t>If certain costs for a card program are shared with other card programs, respondents are asked to allocate costs to a particular card program based</w:t>
      </w:r>
      <w:r w:rsidR="00823548" w:rsidRPr="000F6872">
        <w:rPr>
          <w:color w:val="000000"/>
          <w:szCs w:val="24"/>
        </w:rPr>
        <w:t xml:space="preserve"> on the number of transactions</w:t>
      </w:r>
      <w:r w:rsidR="00F920D2" w:rsidRPr="000F6872">
        <w:rPr>
          <w:color w:val="000000"/>
          <w:szCs w:val="24"/>
        </w:rPr>
        <w:t>.</w:t>
      </w:r>
    </w:p>
    <w:p w:rsidR="006C1C69" w:rsidRPr="000F6872" w:rsidRDefault="006C1C69" w:rsidP="00E2436A">
      <w:pPr>
        <w:pStyle w:val="ListParagraph"/>
        <w:numPr>
          <w:ilvl w:val="0"/>
          <w:numId w:val="2"/>
        </w:numPr>
        <w:tabs>
          <w:tab w:val="left" w:pos="0"/>
          <w:tab w:val="left" w:pos="1080"/>
        </w:tabs>
        <w:ind w:left="1080"/>
        <w:rPr>
          <w:color w:val="000000"/>
          <w:szCs w:val="24"/>
        </w:rPr>
      </w:pPr>
      <w:r w:rsidRPr="000F6872">
        <w:rPr>
          <w:b/>
          <w:color w:val="000000"/>
          <w:szCs w:val="24"/>
        </w:rPr>
        <w:t>Fraud Losses</w:t>
      </w:r>
      <w:r w:rsidR="00F3183B" w:rsidRPr="000F6872">
        <w:rPr>
          <w:b/>
          <w:color w:val="000000"/>
          <w:szCs w:val="24"/>
        </w:rPr>
        <w:t xml:space="preserve">: </w:t>
      </w:r>
      <w:r w:rsidR="00D41CBC" w:rsidRPr="000F6872">
        <w:rPr>
          <w:szCs w:val="24"/>
        </w:rPr>
        <w:t xml:space="preserve">For each card program, respondents </w:t>
      </w:r>
      <w:r w:rsidR="001A6F0E" w:rsidRPr="000F6872">
        <w:rPr>
          <w:szCs w:val="24"/>
        </w:rPr>
        <w:t>are asked to</w:t>
      </w:r>
      <w:r w:rsidR="00D41CBC" w:rsidRPr="000F6872">
        <w:rPr>
          <w:szCs w:val="24"/>
        </w:rPr>
        <w:t xml:space="preserve"> report information about the activity and loss associated that card program.  Within each card program, for each type of fraud, respondents are asked to submit information regarding the number of fraudulent transactions, value of fraudulent transactions, and the percentage of fraud value borne by (1) the issuers and cardholders, (2) the network, and (3) the acquirers and merchants.  Information </w:t>
      </w:r>
      <w:r w:rsidR="00823548" w:rsidRPr="000F6872">
        <w:rPr>
          <w:szCs w:val="24"/>
        </w:rPr>
        <w:t>reported is</w:t>
      </w:r>
      <w:r w:rsidR="00D41CBC" w:rsidRPr="000F6872">
        <w:rPr>
          <w:szCs w:val="24"/>
        </w:rPr>
        <w:t xml:space="preserve"> segregated based on the gross volume/value, volume/value charged back, and the volume/value for which the issuer had recoveries.</w:t>
      </w:r>
    </w:p>
    <w:p w:rsidR="00BF5754" w:rsidRPr="000F6872" w:rsidRDefault="00D41CBC" w:rsidP="00E2436A">
      <w:pPr>
        <w:pStyle w:val="ListParagraph"/>
        <w:numPr>
          <w:ilvl w:val="0"/>
          <w:numId w:val="2"/>
        </w:numPr>
        <w:tabs>
          <w:tab w:val="left" w:pos="0"/>
          <w:tab w:val="left" w:pos="1080"/>
        </w:tabs>
        <w:ind w:left="1080"/>
        <w:rPr>
          <w:color w:val="000000"/>
          <w:szCs w:val="24"/>
        </w:rPr>
      </w:pPr>
      <w:r w:rsidRPr="000F6872">
        <w:rPr>
          <w:b/>
          <w:color w:val="000000"/>
          <w:szCs w:val="24"/>
        </w:rPr>
        <w:t>Fraud occurrence and mitigation:</w:t>
      </w:r>
      <w:r w:rsidRPr="000F6872">
        <w:rPr>
          <w:color w:val="000000"/>
          <w:szCs w:val="24"/>
        </w:rPr>
        <w:t xml:space="preserve"> Respondents </w:t>
      </w:r>
      <w:r w:rsidR="00823548" w:rsidRPr="000F6872">
        <w:rPr>
          <w:color w:val="000000"/>
          <w:szCs w:val="24"/>
        </w:rPr>
        <w:t>are asked to</w:t>
      </w:r>
      <w:r w:rsidRPr="000F6872">
        <w:rPr>
          <w:color w:val="000000"/>
          <w:szCs w:val="24"/>
        </w:rPr>
        <w:t xml:space="preserve"> explain the extent to which the level and/or incidence of fraud is influenced by the electronic debit transaction authorization method or environment.  Respondents also </w:t>
      </w:r>
      <w:r w:rsidR="00823548" w:rsidRPr="000F6872">
        <w:rPr>
          <w:color w:val="000000"/>
          <w:szCs w:val="24"/>
        </w:rPr>
        <w:t>are asked to</w:t>
      </w:r>
      <w:r w:rsidRPr="000F6872">
        <w:rPr>
          <w:color w:val="000000"/>
          <w:szCs w:val="24"/>
        </w:rPr>
        <w:t xml:space="preserve"> provide information regarding fraud prevention and the availability of information on the costs of fraud prevention and losses.</w:t>
      </w:r>
    </w:p>
    <w:p w:rsidR="00BF5754" w:rsidRPr="000F6872" w:rsidRDefault="008D1248" w:rsidP="00E2436A">
      <w:pPr>
        <w:pStyle w:val="ListParagraph"/>
        <w:numPr>
          <w:ilvl w:val="0"/>
          <w:numId w:val="2"/>
        </w:numPr>
        <w:tabs>
          <w:tab w:val="left" w:pos="0"/>
          <w:tab w:val="left" w:pos="1080"/>
        </w:tabs>
        <w:ind w:left="1080"/>
        <w:rPr>
          <w:color w:val="000000"/>
          <w:szCs w:val="24"/>
        </w:rPr>
      </w:pPr>
      <w:r w:rsidRPr="000F6872">
        <w:rPr>
          <w:b/>
          <w:szCs w:val="24"/>
        </w:rPr>
        <w:t>Exclusivit</w:t>
      </w:r>
      <w:r w:rsidRPr="000F6872">
        <w:rPr>
          <w:b/>
          <w:color w:val="000000"/>
          <w:szCs w:val="24"/>
        </w:rPr>
        <w:t>y</w:t>
      </w:r>
      <w:r w:rsidRPr="000F6872">
        <w:rPr>
          <w:b/>
          <w:szCs w:val="24"/>
        </w:rPr>
        <w:t xml:space="preserve"> arrangements and routing procedures: </w:t>
      </w:r>
      <w:r w:rsidR="00BF5754" w:rsidRPr="000F6872">
        <w:rPr>
          <w:szCs w:val="24"/>
        </w:rPr>
        <w:t xml:space="preserve">Respondents </w:t>
      </w:r>
      <w:r w:rsidR="007C5521" w:rsidRPr="000F6872">
        <w:rPr>
          <w:szCs w:val="24"/>
        </w:rPr>
        <w:t>are asked to</w:t>
      </w:r>
      <w:r w:rsidR="00BF5754" w:rsidRPr="000F6872">
        <w:rPr>
          <w:szCs w:val="24"/>
        </w:rPr>
        <w:t xml:space="preserve"> report information regarding network rules, guidelines, policies, interpretations, or other agreements </w:t>
      </w:r>
      <w:r w:rsidR="00823548" w:rsidRPr="000F6872">
        <w:rPr>
          <w:szCs w:val="24"/>
        </w:rPr>
        <w:t xml:space="preserve">or incentives </w:t>
      </w:r>
      <w:r w:rsidR="00BF5754" w:rsidRPr="000F6872">
        <w:rPr>
          <w:szCs w:val="24"/>
        </w:rPr>
        <w:t xml:space="preserve">that restrict </w:t>
      </w:r>
      <w:r w:rsidR="00492A62" w:rsidRPr="000F6872">
        <w:rPr>
          <w:szCs w:val="24"/>
        </w:rPr>
        <w:t>an</w:t>
      </w:r>
      <w:r w:rsidR="00BF5754" w:rsidRPr="000F6872">
        <w:rPr>
          <w:szCs w:val="24"/>
        </w:rPr>
        <w:t xml:space="preserve"> issuer’s ability to participate in, or issue debit or prepaid cards that can operate on, multiple, unaffiliated PCNs.  Information also includes network rules, guidelines, policies, interpretations, or other agreements</w:t>
      </w:r>
      <w:r w:rsidR="00823548" w:rsidRPr="000F6872">
        <w:rPr>
          <w:szCs w:val="24"/>
        </w:rPr>
        <w:t xml:space="preserve"> or incentives</w:t>
      </w:r>
      <w:r w:rsidR="00BF5754" w:rsidRPr="000F6872">
        <w:rPr>
          <w:szCs w:val="24"/>
        </w:rPr>
        <w:t xml:space="preserve"> whereby </w:t>
      </w:r>
      <w:r w:rsidR="00492A62" w:rsidRPr="000F6872">
        <w:rPr>
          <w:szCs w:val="24"/>
        </w:rPr>
        <w:t xml:space="preserve">transactions involving </w:t>
      </w:r>
      <w:r w:rsidR="00BF5754" w:rsidRPr="000F6872">
        <w:rPr>
          <w:szCs w:val="24"/>
        </w:rPr>
        <w:t xml:space="preserve">cards issued on one network </w:t>
      </w:r>
      <w:r w:rsidR="00492A62" w:rsidRPr="000F6872">
        <w:rPr>
          <w:szCs w:val="24"/>
        </w:rPr>
        <w:t xml:space="preserve">may be </w:t>
      </w:r>
      <w:r w:rsidR="00BF5754" w:rsidRPr="000F6872">
        <w:rPr>
          <w:szCs w:val="24"/>
        </w:rPr>
        <w:t>process</w:t>
      </w:r>
      <w:r w:rsidR="00492A62" w:rsidRPr="000F6872">
        <w:rPr>
          <w:szCs w:val="24"/>
        </w:rPr>
        <w:t>ed</w:t>
      </w:r>
      <w:r w:rsidR="00BF5754" w:rsidRPr="000F6872">
        <w:rPr>
          <w:szCs w:val="24"/>
        </w:rPr>
        <w:t xml:space="preserve"> exclusively on that network.  Respondents </w:t>
      </w:r>
      <w:r w:rsidR="00823548" w:rsidRPr="000F6872">
        <w:rPr>
          <w:szCs w:val="24"/>
        </w:rPr>
        <w:t>are asked to</w:t>
      </w:r>
      <w:r w:rsidR="00BF5754" w:rsidRPr="000F6872">
        <w:rPr>
          <w:szCs w:val="24"/>
        </w:rPr>
        <w:t xml:space="preserve"> </w:t>
      </w:r>
      <w:r w:rsidR="00977C4F" w:rsidRPr="000F6872">
        <w:rPr>
          <w:szCs w:val="24"/>
        </w:rPr>
        <w:t>describe any material changes to such agreements</w:t>
      </w:r>
      <w:r w:rsidR="00BF5754" w:rsidRPr="000F6872">
        <w:rPr>
          <w:szCs w:val="24"/>
        </w:rPr>
        <w:t xml:space="preserve"> over the </w:t>
      </w:r>
      <w:r w:rsidR="004314C4" w:rsidRPr="000F6872">
        <w:rPr>
          <w:szCs w:val="24"/>
        </w:rPr>
        <w:t>p</w:t>
      </w:r>
      <w:r w:rsidR="00BF5754" w:rsidRPr="000F6872">
        <w:rPr>
          <w:szCs w:val="24"/>
        </w:rPr>
        <w:t xml:space="preserve">ast 10 years.  </w:t>
      </w:r>
    </w:p>
    <w:p w:rsidR="003864EC" w:rsidRPr="000F6872" w:rsidRDefault="003864EC" w:rsidP="00BF5754">
      <w:pPr>
        <w:tabs>
          <w:tab w:val="left" w:pos="0"/>
          <w:tab w:val="left" w:pos="1080"/>
          <w:tab w:val="left" w:pos="2220"/>
        </w:tabs>
        <w:rPr>
          <w:b/>
          <w:color w:val="000000"/>
          <w:szCs w:val="24"/>
          <w:u w:val="single"/>
        </w:rPr>
      </w:pPr>
    </w:p>
    <w:p w:rsidR="008446D3" w:rsidRDefault="00557AEB">
      <w:pPr>
        <w:tabs>
          <w:tab w:val="left" w:pos="720"/>
          <w:tab w:val="left" w:pos="2220"/>
        </w:tabs>
        <w:rPr>
          <w:b/>
          <w:color w:val="000000"/>
          <w:szCs w:val="24"/>
        </w:rPr>
      </w:pPr>
      <w:r>
        <w:rPr>
          <w:b/>
          <w:color w:val="000000"/>
          <w:szCs w:val="24"/>
        </w:rPr>
        <w:tab/>
      </w:r>
      <w:r w:rsidR="008C5F0E" w:rsidRPr="000F6872">
        <w:rPr>
          <w:b/>
          <w:color w:val="000000"/>
          <w:szCs w:val="24"/>
        </w:rPr>
        <w:t xml:space="preserve">Reporting Panel </w:t>
      </w:r>
    </w:p>
    <w:p w:rsidR="003864EC" w:rsidRPr="000F6872" w:rsidRDefault="003864EC" w:rsidP="000B36F8">
      <w:pPr>
        <w:tabs>
          <w:tab w:val="left" w:pos="0"/>
          <w:tab w:val="left" w:pos="2220"/>
        </w:tabs>
        <w:rPr>
          <w:color w:val="000000"/>
          <w:szCs w:val="24"/>
        </w:rPr>
      </w:pPr>
    </w:p>
    <w:p w:rsidR="00891A9D" w:rsidRPr="000F6872" w:rsidRDefault="008E6A9E">
      <w:pPr>
        <w:tabs>
          <w:tab w:val="left" w:pos="0"/>
        </w:tabs>
        <w:rPr>
          <w:color w:val="000000"/>
          <w:szCs w:val="24"/>
        </w:rPr>
      </w:pPr>
      <w:r w:rsidRPr="000F6872">
        <w:rPr>
          <w:color w:val="000000"/>
          <w:szCs w:val="24"/>
        </w:rPr>
        <w:tab/>
      </w:r>
      <w:r w:rsidR="006C7A22">
        <w:rPr>
          <w:color w:val="000000"/>
          <w:szCs w:val="24"/>
        </w:rPr>
        <w:t xml:space="preserve">The </w:t>
      </w:r>
      <w:r w:rsidR="007E078F" w:rsidRPr="000F6872">
        <w:rPr>
          <w:color w:val="000000"/>
          <w:szCs w:val="24"/>
        </w:rPr>
        <w:t xml:space="preserve">Board </w:t>
      </w:r>
      <w:r w:rsidR="00FE2365" w:rsidRPr="000F6872">
        <w:rPr>
          <w:color w:val="000000"/>
          <w:szCs w:val="24"/>
        </w:rPr>
        <w:t xml:space="preserve">estimates that there are </w:t>
      </w:r>
      <w:r w:rsidR="00F744B9" w:rsidRPr="000F6872">
        <w:rPr>
          <w:color w:val="000000"/>
          <w:szCs w:val="24"/>
        </w:rPr>
        <w:t>12</w:t>
      </w:r>
      <w:r w:rsidR="00F94144" w:rsidRPr="000F6872">
        <w:rPr>
          <w:color w:val="000000"/>
          <w:szCs w:val="24"/>
        </w:rPr>
        <w:t>8</w:t>
      </w:r>
      <w:r w:rsidR="00FE2365" w:rsidRPr="000F6872">
        <w:rPr>
          <w:color w:val="000000"/>
          <w:szCs w:val="24"/>
        </w:rPr>
        <w:t xml:space="preserve"> issuer</w:t>
      </w:r>
      <w:r w:rsidR="00F744B9" w:rsidRPr="000F6872">
        <w:rPr>
          <w:color w:val="000000"/>
          <w:szCs w:val="24"/>
        </w:rPr>
        <w:t>-organizations (i.e., those organizations that issue cards or have affiliates that issue cards)</w:t>
      </w:r>
      <w:r w:rsidR="00FE2365" w:rsidRPr="000F6872">
        <w:rPr>
          <w:color w:val="000000"/>
          <w:szCs w:val="24"/>
        </w:rPr>
        <w:t xml:space="preserve"> that, together with affiliates, have assets of $10 billion or more.</w:t>
      </w:r>
      <w:r w:rsidR="00F744B9" w:rsidRPr="000F6872">
        <w:rPr>
          <w:rStyle w:val="FootnoteReference"/>
          <w:color w:val="000000"/>
          <w:szCs w:val="24"/>
        </w:rPr>
        <w:footnoteReference w:id="13"/>
      </w:r>
      <w:r w:rsidR="00FE2365" w:rsidRPr="000F6872">
        <w:rPr>
          <w:color w:val="000000"/>
          <w:szCs w:val="24"/>
        </w:rPr>
        <w:t xml:space="preserve">  </w:t>
      </w:r>
      <w:r w:rsidR="007C5145" w:rsidRPr="000F6872">
        <w:rPr>
          <w:color w:val="000000"/>
          <w:szCs w:val="24"/>
        </w:rPr>
        <w:t xml:space="preserve">An organization with affiliates that issues cards would submit one response </w:t>
      </w:r>
      <w:r w:rsidR="007C5145" w:rsidRPr="000F6872">
        <w:rPr>
          <w:color w:val="000000"/>
          <w:szCs w:val="24"/>
        </w:rPr>
        <w:lastRenderedPageBreak/>
        <w:t>that consolidates the information for each of its affiliated issuers</w:t>
      </w:r>
      <w:r w:rsidR="002C5D99" w:rsidRPr="000F6872">
        <w:rPr>
          <w:color w:val="000000"/>
          <w:szCs w:val="24"/>
        </w:rPr>
        <w:t>.</w:t>
      </w:r>
      <w:r w:rsidR="004152AC" w:rsidRPr="000F6872">
        <w:rPr>
          <w:color w:val="000000"/>
          <w:szCs w:val="24"/>
        </w:rPr>
        <w:t xml:space="preserve">  </w:t>
      </w:r>
      <w:r w:rsidR="0043390F" w:rsidRPr="000F6872">
        <w:rPr>
          <w:color w:val="000000"/>
          <w:szCs w:val="24"/>
        </w:rPr>
        <w:t xml:space="preserve"> Information would also be collected from </w:t>
      </w:r>
      <w:r w:rsidR="00BF3EBA" w:rsidRPr="000F6872">
        <w:rPr>
          <w:color w:val="000000"/>
          <w:szCs w:val="24"/>
        </w:rPr>
        <w:t>PCNs</w:t>
      </w:r>
      <w:r w:rsidR="0043390F" w:rsidRPr="000F6872">
        <w:rPr>
          <w:color w:val="000000"/>
          <w:szCs w:val="24"/>
        </w:rPr>
        <w:t xml:space="preserve"> that process </w:t>
      </w:r>
      <w:r w:rsidR="00364CEA" w:rsidRPr="000F6872">
        <w:rPr>
          <w:color w:val="000000"/>
          <w:szCs w:val="24"/>
        </w:rPr>
        <w:t xml:space="preserve">electronic </w:t>
      </w:r>
      <w:r w:rsidR="0043390F" w:rsidRPr="000F6872">
        <w:rPr>
          <w:color w:val="000000"/>
          <w:szCs w:val="24"/>
        </w:rPr>
        <w:t xml:space="preserve">debit transactions.  </w:t>
      </w:r>
      <w:r w:rsidR="006C7A22">
        <w:rPr>
          <w:color w:val="000000"/>
          <w:szCs w:val="24"/>
        </w:rPr>
        <w:t xml:space="preserve">The </w:t>
      </w:r>
      <w:r w:rsidR="007E078F" w:rsidRPr="000F6872">
        <w:rPr>
          <w:color w:val="000000"/>
          <w:szCs w:val="24"/>
        </w:rPr>
        <w:t xml:space="preserve">Board </w:t>
      </w:r>
      <w:r w:rsidR="0043390F" w:rsidRPr="000F6872">
        <w:rPr>
          <w:color w:val="000000"/>
          <w:szCs w:val="24"/>
        </w:rPr>
        <w:t>estimates that there are 15 such networks.</w:t>
      </w:r>
      <w:r w:rsidR="00EB1515" w:rsidRPr="000F6872">
        <w:rPr>
          <w:rStyle w:val="FootnoteReference"/>
          <w:color w:val="000000"/>
          <w:szCs w:val="24"/>
        </w:rPr>
        <w:footnoteReference w:id="14"/>
      </w:r>
    </w:p>
    <w:p w:rsidR="003864EC" w:rsidRPr="000F6872" w:rsidRDefault="003864EC" w:rsidP="000B36F8">
      <w:pPr>
        <w:tabs>
          <w:tab w:val="left" w:pos="0"/>
        </w:tabs>
        <w:rPr>
          <w:b/>
          <w:color w:val="000000"/>
          <w:szCs w:val="24"/>
          <w:u w:val="single"/>
        </w:rPr>
      </w:pPr>
    </w:p>
    <w:p w:rsidR="007B5864" w:rsidRPr="000F6872" w:rsidRDefault="008C5F0E" w:rsidP="000B36F8">
      <w:pPr>
        <w:tabs>
          <w:tab w:val="left" w:pos="0"/>
        </w:tabs>
        <w:rPr>
          <w:color w:val="000000"/>
          <w:szCs w:val="24"/>
        </w:rPr>
      </w:pPr>
      <w:r w:rsidRPr="000F6872">
        <w:rPr>
          <w:b/>
          <w:color w:val="000000"/>
          <w:szCs w:val="24"/>
        </w:rPr>
        <w:t>Time Schedule for Information Collection and Publication</w:t>
      </w:r>
    </w:p>
    <w:p w:rsidR="003864EC" w:rsidRPr="000F6872" w:rsidRDefault="0045084B" w:rsidP="000B36F8">
      <w:pPr>
        <w:tabs>
          <w:tab w:val="left" w:pos="0"/>
        </w:tabs>
        <w:rPr>
          <w:color w:val="000000"/>
          <w:szCs w:val="24"/>
        </w:rPr>
      </w:pPr>
      <w:r w:rsidRPr="000F6872">
        <w:rPr>
          <w:color w:val="000000"/>
          <w:szCs w:val="24"/>
        </w:rPr>
        <w:tab/>
      </w:r>
    </w:p>
    <w:p w:rsidR="0045084B" w:rsidRPr="000F6872" w:rsidRDefault="003864EC" w:rsidP="000B36F8">
      <w:pPr>
        <w:tabs>
          <w:tab w:val="left" w:pos="0"/>
        </w:tabs>
        <w:rPr>
          <w:color w:val="000000"/>
          <w:szCs w:val="24"/>
        </w:rPr>
      </w:pPr>
      <w:r w:rsidRPr="000F6872">
        <w:rPr>
          <w:color w:val="000000"/>
          <w:szCs w:val="24"/>
        </w:rPr>
        <w:tab/>
      </w:r>
      <w:r w:rsidR="0045084B" w:rsidRPr="000F6872">
        <w:rPr>
          <w:color w:val="000000"/>
          <w:szCs w:val="24"/>
        </w:rPr>
        <w:t xml:space="preserve">The </w:t>
      </w:r>
      <w:r w:rsidR="007C5521" w:rsidRPr="000F6872">
        <w:rPr>
          <w:color w:val="000000"/>
          <w:szCs w:val="24"/>
        </w:rPr>
        <w:t>Board</w:t>
      </w:r>
      <w:r w:rsidR="0045084B" w:rsidRPr="000F6872">
        <w:rPr>
          <w:color w:val="000000"/>
          <w:szCs w:val="24"/>
        </w:rPr>
        <w:t xml:space="preserve"> must publish the final rules </w:t>
      </w:r>
      <w:r w:rsidR="00814F25" w:rsidRPr="000F6872">
        <w:rPr>
          <w:color w:val="000000"/>
          <w:szCs w:val="24"/>
        </w:rPr>
        <w:t xml:space="preserve">related to interchange fees </w:t>
      </w:r>
      <w:r w:rsidR="0045084B" w:rsidRPr="000F6872">
        <w:rPr>
          <w:color w:val="000000"/>
          <w:szCs w:val="24"/>
        </w:rPr>
        <w:t>no later than April</w:t>
      </w:r>
      <w:r w:rsidR="007C5521" w:rsidRPr="000F6872">
        <w:rPr>
          <w:color w:val="000000"/>
          <w:szCs w:val="24"/>
        </w:rPr>
        <w:t> </w:t>
      </w:r>
      <w:r w:rsidR="0045084B" w:rsidRPr="000F6872">
        <w:rPr>
          <w:color w:val="000000"/>
          <w:szCs w:val="24"/>
        </w:rPr>
        <w:t>21,</w:t>
      </w:r>
      <w:r w:rsidR="007C5521" w:rsidRPr="000F6872">
        <w:rPr>
          <w:color w:val="000000"/>
          <w:szCs w:val="24"/>
        </w:rPr>
        <w:t> </w:t>
      </w:r>
      <w:r w:rsidR="0045084B" w:rsidRPr="000F6872">
        <w:rPr>
          <w:color w:val="000000"/>
          <w:szCs w:val="24"/>
        </w:rPr>
        <w:t xml:space="preserve">2011 and must publish the final rules </w:t>
      </w:r>
      <w:r w:rsidR="00814F25" w:rsidRPr="000F6872">
        <w:rPr>
          <w:color w:val="000000"/>
          <w:szCs w:val="24"/>
        </w:rPr>
        <w:t xml:space="preserve">related to exclusivity arrangements and routing restrictions </w:t>
      </w:r>
      <w:r w:rsidR="0045084B" w:rsidRPr="000F6872">
        <w:rPr>
          <w:color w:val="000000"/>
          <w:szCs w:val="24"/>
        </w:rPr>
        <w:t xml:space="preserve">no later than July 21, 2011.  </w:t>
      </w:r>
      <w:r w:rsidR="00711305" w:rsidRPr="000F6872">
        <w:rPr>
          <w:color w:val="000000"/>
          <w:szCs w:val="24"/>
        </w:rPr>
        <w:t>Therefore, i</w:t>
      </w:r>
      <w:r w:rsidR="0045084B" w:rsidRPr="000F6872">
        <w:rPr>
          <w:color w:val="000000"/>
          <w:szCs w:val="24"/>
        </w:rPr>
        <w:t xml:space="preserve">n order to provide time to analyze the information collected, develop proposed rules and provide the public with a meaningful opportunity to comment on the proposed rules, </w:t>
      </w:r>
      <w:r w:rsidR="009742D7" w:rsidRPr="000F6872">
        <w:rPr>
          <w:color w:val="000000"/>
          <w:szCs w:val="24"/>
        </w:rPr>
        <w:t xml:space="preserve">the survey </w:t>
      </w:r>
      <w:r w:rsidR="009B2288" w:rsidRPr="000F6872">
        <w:rPr>
          <w:color w:val="000000"/>
          <w:szCs w:val="24"/>
        </w:rPr>
        <w:t xml:space="preserve">would </w:t>
      </w:r>
      <w:r w:rsidR="009742D7" w:rsidRPr="000F6872">
        <w:rPr>
          <w:color w:val="000000"/>
          <w:szCs w:val="24"/>
        </w:rPr>
        <w:t xml:space="preserve">be distributed </w:t>
      </w:r>
      <w:r w:rsidR="00AC2E67" w:rsidRPr="000F6872">
        <w:rPr>
          <w:color w:val="000000"/>
          <w:szCs w:val="24"/>
        </w:rPr>
        <w:t>in early September 2010</w:t>
      </w:r>
      <w:r w:rsidR="009742D7" w:rsidRPr="000F6872">
        <w:rPr>
          <w:color w:val="000000"/>
          <w:szCs w:val="24"/>
        </w:rPr>
        <w:t xml:space="preserve">.  The </w:t>
      </w:r>
      <w:r w:rsidR="007C5521" w:rsidRPr="000F6872">
        <w:rPr>
          <w:color w:val="000000"/>
          <w:szCs w:val="24"/>
        </w:rPr>
        <w:t>Board</w:t>
      </w:r>
      <w:r w:rsidR="009742D7" w:rsidRPr="000F6872">
        <w:rPr>
          <w:color w:val="000000"/>
          <w:szCs w:val="24"/>
        </w:rPr>
        <w:t xml:space="preserve"> </w:t>
      </w:r>
      <w:r w:rsidR="009B2288" w:rsidRPr="000F6872">
        <w:rPr>
          <w:color w:val="000000"/>
          <w:szCs w:val="24"/>
        </w:rPr>
        <w:t xml:space="preserve">would </w:t>
      </w:r>
      <w:r w:rsidR="008E7049" w:rsidRPr="000F6872">
        <w:rPr>
          <w:color w:val="000000"/>
          <w:szCs w:val="24"/>
        </w:rPr>
        <w:t xml:space="preserve">request that the </w:t>
      </w:r>
      <w:r w:rsidR="0045084B" w:rsidRPr="000F6872">
        <w:rPr>
          <w:color w:val="000000"/>
          <w:szCs w:val="24"/>
        </w:rPr>
        <w:t xml:space="preserve">surveys be completed and returned to the </w:t>
      </w:r>
      <w:r w:rsidR="007C5521" w:rsidRPr="000F6872">
        <w:rPr>
          <w:color w:val="000000"/>
          <w:szCs w:val="24"/>
        </w:rPr>
        <w:t>Board</w:t>
      </w:r>
      <w:r w:rsidR="0045084B" w:rsidRPr="000F6872">
        <w:rPr>
          <w:color w:val="000000"/>
          <w:szCs w:val="24"/>
        </w:rPr>
        <w:t xml:space="preserve"> </w:t>
      </w:r>
      <w:r w:rsidR="00AC2E67" w:rsidRPr="000F6872">
        <w:rPr>
          <w:color w:val="000000"/>
          <w:szCs w:val="24"/>
        </w:rPr>
        <w:t>within 30 days of distribution</w:t>
      </w:r>
      <w:r w:rsidR="0045084B" w:rsidRPr="000F6872">
        <w:rPr>
          <w:color w:val="000000"/>
          <w:szCs w:val="24"/>
        </w:rPr>
        <w:t xml:space="preserve">.   </w:t>
      </w:r>
      <w:r w:rsidRPr="000F6872">
        <w:rPr>
          <w:color w:val="000000"/>
          <w:szCs w:val="24"/>
        </w:rPr>
        <w:t xml:space="preserve">As mentioned above, the </w:t>
      </w:r>
      <w:r w:rsidR="007C5521" w:rsidRPr="000F6872">
        <w:rPr>
          <w:color w:val="000000"/>
          <w:szCs w:val="24"/>
        </w:rPr>
        <w:t xml:space="preserve">Dodd-Frank </w:t>
      </w:r>
      <w:r w:rsidRPr="000F6872">
        <w:rPr>
          <w:color w:val="000000"/>
          <w:szCs w:val="24"/>
        </w:rPr>
        <w:t xml:space="preserve">Act also requires the </w:t>
      </w:r>
      <w:r w:rsidR="007C5521" w:rsidRPr="000F6872">
        <w:rPr>
          <w:color w:val="000000"/>
          <w:szCs w:val="24"/>
        </w:rPr>
        <w:t>Board</w:t>
      </w:r>
      <w:r w:rsidRPr="000F6872">
        <w:rPr>
          <w:color w:val="000000"/>
          <w:szCs w:val="24"/>
        </w:rPr>
        <w:t xml:space="preserve"> to report to </w:t>
      </w:r>
      <w:r w:rsidR="00DD2161" w:rsidRPr="000F6872">
        <w:rPr>
          <w:color w:val="000000"/>
          <w:szCs w:val="24"/>
        </w:rPr>
        <w:t xml:space="preserve">the </w:t>
      </w:r>
      <w:r w:rsidRPr="000F6872">
        <w:rPr>
          <w:color w:val="000000"/>
          <w:szCs w:val="24"/>
        </w:rPr>
        <w:t>Congress about general use prepaid cards issued</w:t>
      </w:r>
      <w:r w:rsidR="00E666FC" w:rsidRPr="000F6872">
        <w:rPr>
          <w:rStyle w:val="FootnoteReference"/>
          <w:color w:val="000000"/>
          <w:szCs w:val="24"/>
        </w:rPr>
        <w:footnoteReference w:id="15"/>
      </w:r>
      <w:r w:rsidRPr="000F6872">
        <w:rPr>
          <w:color w:val="000000"/>
          <w:szCs w:val="24"/>
        </w:rPr>
        <w:t xml:space="preserve"> pursuant to government administered payment programs beginning in July 2011.  </w:t>
      </w:r>
    </w:p>
    <w:p w:rsidR="003864EC" w:rsidRPr="000F6872" w:rsidRDefault="003864EC" w:rsidP="000B36F8">
      <w:pPr>
        <w:tabs>
          <w:tab w:val="left" w:pos="0"/>
          <w:tab w:val="left" w:pos="2220"/>
        </w:tabs>
        <w:rPr>
          <w:b/>
          <w:color w:val="000000"/>
          <w:szCs w:val="24"/>
        </w:rPr>
      </w:pPr>
    </w:p>
    <w:p w:rsidR="00907318" w:rsidRPr="000F6872" w:rsidRDefault="008C5F0E" w:rsidP="000B36F8">
      <w:pPr>
        <w:tabs>
          <w:tab w:val="left" w:pos="0"/>
          <w:tab w:val="left" w:pos="2220"/>
        </w:tabs>
        <w:rPr>
          <w:b/>
          <w:color w:val="000000"/>
          <w:szCs w:val="24"/>
        </w:rPr>
      </w:pPr>
      <w:r w:rsidRPr="000F6872">
        <w:rPr>
          <w:b/>
          <w:color w:val="000000"/>
          <w:szCs w:val="24"/>
        </w:rPr>
        <w:t>Legal Status</w:t>
      </w:r>
    </w:p>
    <w:p w:rsidR="003864EC" w:rsidRPr="000F6872" w:rsidRDefault="003864EC" w:rsidP="000B36F8">
      <w:pPr>
        <w:tabs>
          <w:tab w:val="left" w:pos="0"/>
        </w:tabs>
        <w:rPr>
          <w:color w:val="000000"/>
          <w:szCs w:val="24"/>
        </w:rPr>
      </w:pPr>
    </w:p>
    <w:p w:rsidR="001648B3" w:rsidRPr="000F6872" w:rsidRDefault="0064363E" w:rsidP="000B36F8">
      <w:pPr>
        <w:tabs>
          <w:tab w:val="left" w:pos="0"/>
        </w:tabs>
        <w:rPr>
          <w:color w:val="000000"/>
          <w:szCs w:val="24"/>
        </w:rPr>
      </w:pPr>
      <w:r w:rsidRPr="000F6872">
        <w:rPr>
          <w:color w:val="000000"/>
          <w:szCs w:val="24"/>
        </w:rPr>
        <w:tab/>
      </w:r>
      <w:r w:rsidR="007B5864" w:rsidRPr="000F6872">
        <w:rPr>
          <w:color w:val="000000"/>
          <w:szCs w:val="24"/>
        </w:rPr>
        <w:t xml:space="preserve">The </w:t>
      </w:r>
      <w:r w:rsidR="007C5521" w:rsidRPr="000F6872">
        <w:rPr>
          <w:color w:val="000000"/>
          <w:szCs w:val="24"/>
        </w:rPr>
        <w:t xml:space="preserve">Dodd-Frank </w:t>
      </w:r>
      <w:r w:rsidR="00711305" w:rsidRPr="000F6872">
        <w:rPr>
          <w:color w:val="000000"/>
          <w:szCs w:val="24"/>
        </w:rPr>
        <w:t>Act</w:t>
      </w:r>
      <w:r w:rsidR="007B5864" w:rsidRPr="000F6872">
        <w:rPr>
          <w:color w:val="000000"/>
          <w:szCs w:val="24"/>
        </w:rPr>
        <w:t xml:space="preserve"> </w:t>
      </w:r>
      <w:r w:rsidR="0043390F" w:rsidRPr="000F6872">
        <w:rPr>
          <w:color w:val="000000"/>
          <w:szCs w:val="24"/>
        </w:rPr>
        <w:t xml:space="preserve">requires the </w:t>
      </w:r>
      <w:r w:rsidR="007C5521" w:rsidRPr="000F6872">
        <w:rPr>
          <w:color w:val="000000"/>
          <w:szCs w:val="24"/>
        </w:rPr>
        <w:t>Board</w:t>
      </w:r>
      <w:r w:rsidR="0043390F" w:rsidRPr="000F6872">
        <w:rPr>
          <w:color w:val="000000"/>
          <w:szCs w:val="24"/>
        </w:rPr>
        <w:t xml:space="preserve"> to issue rules </w:t>
      </w:r>
      <w:r w:rsidR="00814F25" w:rsidRPr="000F6872">
        <w:rPr>
          <w:color w:val="000000"/>
          <w:szCs w:val="24"/>
        </w:rPr>
        <w:t>related to</w:t>
      </w:r>
      <w:r w:rsidR="00CF409F" w:rsidRPr="000F6872">
        <w:rPr>
          <w:color w:val="000000"/>
          <w:szCs w:val="24"/>
        </w:rPr>
        <w:t xml:space="preserve"> the limitation on</w:t>
      </w:r>
      <w:r w:rsidR="00814F25" w:rsidRPr="000F6872">
        <w:rPr>
          <w:color w:val="000000"/>
          <w:szCs w:val="24"/>
        </w:rPr>
        <w:t xml:space="preserve"> interchange fees</w:t>
      </w:r>
      <w:r w:rsidR="0043390F" w:rsidRPr="000F6872">
        <w:rPr>
          <w:color w:val="000000"/>
          <w:szCs w:val="24"/>
        </w:rPr>
        <w:t xml:space="preserve"> by April 21, 2011 and</w:t>
      </w:r>
      <w:r w:rsidR="00814F25" w:rsidRPr="000F6872">
        <w:rPr>
          <w:color w:val="000000"/>
          <w:szCs w:val="24"/>
        </w:rPr>
        <w:t xml:space="preserve"> rules related to network exclusivity and routing restrictions by</w:t>
      </w:r>
      <w:r w:rsidR="0043390F" w:rsidRPr="000F6872">
        <w:rPr>
          <w:color w:val="000000"/>
          <w:szCs w:val="24"/>
        </w:rPr>
        <w:t xml:space="preserve"> July 21, 2011</w:t>
      </w:r>
      <w:r w:rsidRPr="000F6872">
        <w:rPr>
          <w:color w:val="000000"/>
          <w:szCs w:val="24"/>
        </w:rPr>
        <w:t>.</w:t>
      </w:r>
      <w:r w:rsidR="006646F5">
        <w:rPr>
          <w:rStyle w:val="FootnoteReference"/>
          <w:color w:val="000000"/>
          <w:szCs w:val="24"/>
        </w:rPr>
        <w:footnoteReference w:id="16"/>
      </w:r>
      <w:r w:rsidR="00814F25" w:rsidRPr="000F6872">
        <w:rPr>
          <w:color w:val="000000"/>
          <w:szCs w:val="24"/>
        </w:rPr>
        <w:t xml:space="preserve"> </w:t>
      </w:r>
      <w:r w:rsidRPr="000F6872">
        <w:rPr>
          <w:color w:val="000000"/>
          <w:szCs w:val="24"/>
        </w:rPr>
        <w:t xml:space="preserve"> </w:t>
      </w:r>
      <w:r w:rsidR="00EB1515" w:rsidRPr="000F6872">
        <w:rPr>
          <w:color w:val="000000"/>
          <w:szCs w:val="24"/>
        </w:rPr>
        <w:t xml:space="preserve">In issuing rules </w:t>
      </w:r>
      <w:r w:rsidR="00814F25" w:rsidRPr="000F6872">
        <w:rPr>
          <w:color w:val="000000"/>
          <w:szCs w:val="24"/>
        </w:rPr>
        <w:t>related to interchange transaction fees</w:t>
      </w:r>
      <w:r w:rsidR="00EB1515" w:rsidRPr="000F6872">
        <w:rPr>
          <w:color w:val="000000"/>
          <w:szCs w:val="24"/>
        </w:rPr>
        <w:t xml:space="preserve">, the Board is authorized to require issuers and networks to respond to information requests.  </w:t>
      </w:r>
      <w:r w:rsidR="008E7049" w:rsidRPr="000F6872">
        <w:rPr>
          <w:color w:val="000000"/>
          <w:szCs w:val="24"/>
        </w:rPr>
        <w:t xml:space="preserve">This information collection is necessary for the </w:t>
      </w:r>
      <w:r w:rsidR="006E7EEB" w:rsidRPr="000F6872">
        <w:rPr>
          <w:color w:val="000000"/>
          <w:szCs w:val="24"/>
        </w:rPr>
        <w:t>Board</w:t>
      </w:r>
      <w:r w:rsidR="008E7049" w:rsidRPr="000F6872">
        <w:rPr>
          <w:color w:val="000000"/>
          <w:szCs w:val="24"/>
        </w:rPr>
        <w:t xml:space="preserve"> to issue rules required by the </w:t>
      </w:r>
      <w:r w:rsidR="006E7EEB" w:rsidRPr="000F6872">
        <w:rPr>
          <w:color w:val="000000"/>
          <w:szCs w:val="24"/>
        </w:rPr>
        <w:t xml:space="preserve">Dodd-Frank </w:t>
      </w:r>
      <w:r w:rsidR="008E7049" w:rsidRPr="000F6872">
        <w:rPr>
          <w:color w:val="000000"/>
          <w:szCs w:val="24"/>
        </w:rPr>
        <w:t xml:space="preserve">Act.  Responding to the </w:t>
      </w:r>
      <w:r w:rsidR="00814F25" w:rsidRPr="000F6872">
        <w:rPr>
          <w:color w:val="000000"/>
          <w:szCs w:val="24"/>
        </w:rPr>
        <w:t xml:space="preserve">survey sections related to (1) the costs associated with electronic debit card transactions, (2) fraud prevention and losses, and (3) interchange fees and other network fees </w:t>
      </w:r>
      <w:r w:rsidR="008E7049" w:rsidRPr="000F6872">
        <w:rPr>
          <w:color w:val="000000"/>
          <w:szCs w:val="24"/>
        </w:rPr>
        <w:t xml:space="preserve">is </w:t>
      </w:r>
      <w:r w:rsidR="00EB1515" w:rsidRPr="000F6872">
        <w:rPr>
          <w:color w:val="000000"/>
          <w:szCs w:val="24"/>
        </w:rPr>
        <w:t>mandatory</w:t>
      </w:r>
      <w:r w:rsidR="008E7049" w:rsidRPr="000F6872">
        <w:rPr>
          <w:color w:val="000000"/>
          <w:szCs w:val="24"/>
        </w:rPr>
        <w:t>.</w:t>
      </w:r>
      <w:r w:rsidR="00814F25" w:rsidRPr="000F6872">
        <w:rPr>
          <w:color w:val="000000"/>
          <w:szCs w:val="24"/>
        </w:rPr>
        <w:t xml:space="preserve">  Responding to the survey sections related to network exclusivity and routing restrictions is voluntary.</w:t>
      </w:r>
      <w:r w:rsidR="006646F5">
        <w:rPr>
          <w:color w:val="000000"/>
          <w:szCs w:val="24"/>
        </w:rPr>
        <w:t xml:space="preserve"> </w:t>
      </w:r>
      <w:r w:rsidRPr="000F6872">
        <w:rPr>
          <w:color w:val="000000"/>
          <w:szCs w:val="24"/>
        </w:rPr>
        <w:tab/>
      </w:r>
      <w:r w:rsidR="001648B3" w:rsidRPr="000F6872">
        <w:rPr>
          <w:color w:val="000000"/>
          <w:szCs w:val="24"/>
        </w:rPr>
        <w:t xml:space="preserve">  </w:t>
      </w:r>
    </w:p>
    <w:p w:rsidR="003864EC" w:rsidRPr="000F6872" w:rsidRDefault="0064363E" w:rsidP="000B36F8">
      <w:pPr>
        <w:tabs>
          <w:tab w:val="left" w:pos="0"/>
        </w:tabs>
        <w:rPr>
          <w:color w:val="000000"/>
          <w:szCs w:val="24"/>
        </w:rPr>
      </w:pPr>
      <w:r w:rsidRPr="000F6872">
        <w:rPr>
          <w:color w:val="000000"/>
          <w:szCs w:val="24"/>
        </w:rPr>
        <w:tab/>
      </w:r>
    </w:p>
    <w:p w:rsidR="005125BC" w:rsidRPr="000F6872" w:rsidRDefault="003864EC" w:rsidP="000B36F8">
      <w:pPr>
        <w:tabs>
          <w:tab w:val="left" w:pos="0"/>
        </w:tabs>
        <w:rPr>
          <w:color w:val="000000"/>
          <w:szCs w:val="24"/>
        </w:rPr>
      </w:pPr>
      <w:r w:rsidRPr="000F6872">
        <w:rPr>
          <w:color w:val="000000"/>
          <w:szCs w:val="24"/>
        </w:rPr>
        <w:tab/>
      </w:r>
      <w:r w:rsidR="00CB0389" w:rsidRPr="000F6872">
        <w:rPr>
          <w:color w:val="000000"/>
          <w:szCs w:val="24"/>
        </w:rPr>
        <w:t xml:space="preserve">The </w:t>
      </w:r>
      <w:r w:rsidR="007C5521" w:rsidRPr="000F6872">
        <w:rPr>
          <w:color w:val="000000"/>
          <w:szCs w:val="24"/>
        </w:rPr>
        <w:t>Board</w:t>
      </w:r>
      <w:r w:rsidR="00CB0389" w:rsidRPr="000F6872">
        <w:rPr>
          <w:color w:val="000000"/>
          <w:szCs w:val="24"/>
        </w:rPr>
        <w:t xml:space="preserve"> </w:t>
      </w:r>
      <w:r w:rsidR="007E078F" w:rsidRPr="000F6872">
        <w:rPr>
          <w:color w:val="000000"/>
          <w:szCs w:val="24"/>
        </w:rPr>
        <w:t>would</w:t>
      </w:r>
      <w:r w:rsidR="00CB0389" w:rsidRPr="000F6872">
        <w:rPr>
          <w:color w:val="000000"/>
          <w:szCs w:val="24"/>
        </w:rPr>
        <w:t xml:space="preserve"> treat the </w:t>
      </w:r>
      <w:r w:rsidR="001F00B4" w:rsidRPr="000F6872">
        <w:rPr>
          <w:color w:val="000000"/>
          <w:szCs w:val="24"/>
        </w:rPr>
        <w:t>institution-level</w:t>
      </w:r>
      <w:r w:rsidR="00CB0389" w:rsidRPr="000F6872">
        <w:rPr>
          <w:color w:val="000000"/>
          <w:szCs w:val="24"/>
        </w:rPr>
        <w:t xml:space="preserve"> </w:t>
      </w:r>
      <w:r w:rsidR="000C2DBE" w:rsidRPr="000F6872">
        <w:rPr>
          <w:color w:val="000000"/>
          <w:szCs w:val="24"/>
        </w:rPr>
        <w:t xml:space="preserve">data </w:t>
      </w:r>
      <w:r w:rsidR="00CB0389" w:rsidRPr="000F6872">
        <w:rPr>
          <w:color w:val="000000"/>
          <w:szCs w:val="24"/>
        </w:rPr>
        <w:t xml:space="preserve">included in each response as confidential.  </w:t>
      </w:r>
      <w:r w:rsidR="001F00B4" w:rsidRPr="000F6872">
        <w:rPr>
          <w:color w:val="000000"/>
          <w:szCs w:val="24"/>
        </w:rPr>
        <w:t>T</w:t>
      </w:r>
      <w:r w:rsidR="008E7049" w:rsidRPr="000F6872">
        <w:rPr>
          <w:color w:val="000000"/>
          <w:szCs w:val="24"/>
        </w:rPr>
        <w:t xml:space="preserve">he responses </w:t>
      </w:r>
      <w:r w:rsidR="007E078F" w:rsidRPr="000F6872">
        <w:rPr>
          <w:color w:val="000000"/>
          <w:szCs w:val="24"/>
        </w:rPr>
        <w:t>would</w:t>
      </w:r>
      <w:r w:rsidR="00CB0389" w:rsidRPr="000F6872">
        <w:rPr>
          <w:color w:val="000000"/>
          <w:szCs w:val="24"/>
        </w:rPr>
        <w:t xml:space="preserve"> be</w:t>
      </w:r>
      <w:r w:rsidR="00800C50" w:rsidRPr="000F6872">
        <w:rPr>
          <w:color w:val="000000"/>
          <w:szCs w:val="24"/>
        </w:rPr>
        <w:t xml:space="preserve"> agency record</w:t>
      </w:r>
      <w:r w:rsidR="00CB0389" w:rsidRPr="000F6872">
        <w:rPr>
          <w:color w:val="000000"/>
          <w:szCs w:val="24"/>
        </w:rPr>
        <w:t>s</w:t>
      </w:r>
      <w:r w:rsidR="00800C50" w:rsidRPr="000F6872">
        <w:rPr>
          <w:color w:val="000000"/>
          <w:szCs w:val="24"/>
        </w:rPr>
        <w:t xml:space="preserve"> </w:t>
      </w:r>
      <w:r w:rsidR="001F00B4" w:rsidRPr="000F6872">
        <w:rPr>
          <w:color w:val="000000"/>
          <w:szCs w:val="24"/>
        </w:rPr>
        <w:t>subject to</w:t>
      </w:r>
      <w:r w:rsidR="00800C50" w:rsidRPr="000F6872">
        <w:rPr>
          <w:color w:val="000000"/>
          <w:szCs w:val="24"/>
        </w:rPr>
        <w:t xml:space="preserve"> the Freedom of Information Act (FOIA).  </w:t>
      </w:r>
      <w:r w:rsidR="008E7049" w:rsidRPr="000F6872">
        <w:rPr>
          <w:color w:val="000000"/>
          <w:szCs w:val="24"/>
        </w:rPr>
        <w:t xml:space="preserve">Because the responses </w:t>
      </w:r>
      <w:r w:rsidR="007E078F" w:rsidRPr="000F6872">
        <w:rPr>
          <w:color w:val="000000"/>
          <w:szCs w:val="24"/>
        </w:rPr>
        <w:t>would</w:t>
      </w:r>
      <w:r w:rsidR="008E7049" w:rsidRPr="000F6872">
        <w:rPr>
          <w:color w:val="000000"/>
          <w:szCs w:val="24"/>
        </w:rPr>
        <w:t xml:space="preserve"> contain information relating to an organization’s cost accounting, revenue structure, and other proprietary and commercial information</w:t>
      </w:r>
      <w:r w:rsidR="00800C50" w:rsidRPr="000F6872">
        <w:rPr>
          <w:color w:val="000000"/>
          <w:szCs w:val="24"/>
        </w:rPr>
        <w:t xml:space="preserve">, </w:t>
      </w:r>
      <w:r w:rsidR="008E7049" w:rsidRPr="000F6872">
        <w:rPr>
          <w:color w:val="000000"/>
          <w:szCs w:val="24"/>
        </w:rPr>
        <w:t>the responses would be exempt from disclosure under</w:t>
      </w:r>
      <w:r w:rsidR="00800C50" w:rsidRPr="000F6872">
        <w:rPr>
          <w:color w:val="000000"/>
          <w:szCs w:val="24"/>
        </w:rPr>
        <w:t xml:space="preserve"> subsection (b)(4) of the FOIA</w:t>
      </w:r>
      <w:r w:rsidR="00EB1515" w:rsidRPr="000F6872">
        <w:rPr>
          <w:color w:val="000000"/>
          <w:szCs w:val="24"/>
        </w:rPr>
        <w:t>, to the extent permissible by law</w:t>
      </w:r>
      <w:r w:rsidR="00800C50" w:rsidRPr="000F6872">
        <w:rPr>
          <w:color w:val="000000"/>
          <w:szCs w:val="24"/>
        </w:rPr>
        <w:t>.</w:t>
      </w:r>
      <w:r w:rsidR="00800C50" w:rsidRPr="000F6872">
        <w:rPr>
          <w:rStyle w:val="FootnoteReference"/>
          <w:color w:val="000000"/>
          <w:szCs w:val="24"/>
        </w:rPr>
        <w:footnoteReference w:id="17"/>
      </w:r>
      <w:r w:rsidR="00800C50" w:rsidRPr="000F6872">
        <w:rPr>
          <w:color w:val="000000"/>
          <w:szCs w:val="24"/>
        </w:rPr>
        <w:t xml:space="preserve">  The </w:t>
      </w:r>
      <w:r w:rsidR="006E7EEB" w:rsidRPr="000F6872">
        <w:rPr>
          <w:color w:val="000000"/>
          <w:szCs w:val="24"/>
        </w:rPr>
        <w:t>Board</w:t>
      </w:r>
      <w:r w:rsidR="00800C50" w:rsidRPr="000F6872">
        <w:rPr>
          <w:color w:val="000000"/>
          <w:szCs w:val="24"/>
        </w:rPr>
        <w:t>, however, is required</w:t>
      </w:r>
      <w:r w:rsidR="00EB1515" w:rsidRPr="000F6872">
        <w:rPr>
          <w:color w:val="000000"/>
          <w:szCs w:val="24"/>
        </w:rPr>
        <w:t>, if appropriate and in the public interest,</w:t>
      </w:r>
      <w:r w:rsidR="00800C50" w:rsidRPr="000F6872">
        <w:rPr>
          <w:color w:val="000000"/>
          <w:szCs w:val="24"/>
        </w:rPr>
        <w:t xml:space="preserve"> to disclose aggregate or </w:t>
      </w:r>
      <w:r w:rsidR="00800C50" w:rsidRPr="000F6872">
        <w:rPr>
          <w:color w:val="000000"/>
          <w:szCs w:val="24"/>
        </w:rPr>
        <w:lastRenderedPageBreak/>
        <w:t xml:space="preserve">summary information related to costs and interchange fees.  Therefore, responses </w:t>
      </w:r>
      <w:r w:rsidR="007E078F" w:rsidRPr="000F6872">
        <w:rPr>
          <w:color w:val="000000"/>
          <w:szCs w:val="24"/>
        </w:rPr>
        <w:t>would</w:t>
      </w:r>
      <w:r w:rsidR="00800C50" w:rsidRPr="000F6872">
        <w:rPr>
          <w:color w:val="000000"/>
          <w:szCs w:val="24"/>
        </w:rPr>
        <w:t xml:space="preserve"> be used in compiling such aggregate or summary information.</w:t>
      </w:r>
      <w:r w:rsidR="001648B3" w:rsidRPr="000F6872">
        <w:rPr>
          <w:color w:val="000000"/>
          <w:szCs w:val="24"/>
        </w:rPr>
        <w:t xml:space="preserve">  </w:t>
      </w:r>
      <w:r w:rsidR="00711305" w:rsidRPr="000F6872">
        <w:rPr>
          <w:color w:val="000000"/>
          <w:szCs w:val="24"/>
        </w:rPr>
        <w:t xml:space="preserve">  </w:t>
      </w:r>
      <w:r w:rsidR="007B5864" w:rsidRPr="000F6872">
        <w:rPr>
          <w:color w:val="000000"/>
          <w:szCs w:val="24"/>
        </w:rPr>
        <w:t xml:space="preserve">  </w:t>
      </w:r>
    </w:p>
    <w:p w:rsidR="0039337C" w:rsidRPr="000F6872" w:rsidRDefault="0039337C" w:rsidP="000B36F8">
      <w:pPr>
        <w:tabs>
          <w:tab w:val="left" w:pos="0"/>
          <w:tab w:val="left" w:pos="2220"/>
        </w:tabs>
        <w:rPr>
          <w:b/>
          <w:color w:val="000000"/>
          <w:szCs w:val="24"/>
        </w:rPr>
      </w:pPr>
    </w:p>
    <w:p w:rsidR="005125BC" w:rsidRPr="000F6872" w:rsidRDefault="008C5F0E" w:rsidP="000B36F8">
      <w:pPr>
        <w:tabs>
          <w:tab w:val="left" w:pos="0"/>
          <w:tab w:val="left" w:pos="2220"/>
        </w:tabs>
        <w:rPr>
          <w:color w:val="000000"/>
          <w:szCs w:val="24"/>
        </w:rPr>
      </w:pPr>
      <w:r w:rsidRPr="000F6872">
        <w:rPr>
          <w:b/>
          <w:color w:val="000000"/>
          <w:szCs w:val="24"/>
        </w:rPr>
        <w:t>Sensitive Questions</w:t>
      </w:r>
      <w:r w:rsidR="009742D7" w:rsidRPr="000F6872">
        <w:rPr>
          <w:color w:val="000000"/>
          <w:szCs w:val="24"/>
        </w:rPr>
        <w:t xml:space="preserve"> </w:t>
      </w:r>
    </w:p>
    <w:p w:rsidR="0039337C" w:rsidRPr="000F6872" w:rsidRDefault="0039337C" w:rsidP="000B36F8">
      <w:pPr>
        <w:tabs>
          <w:tab w:val="left" w:pos="0"/>
          <w:tab w:val="left" w:pos="2220"/>
        </w:tabs>
        <w:rPr>
          <w:color w:val="000000"/>
          <w:szCs w:val="24"/>
        </w:rPr>
      </w:pPr>
    </w:p>
    <w:p w:rsidR="009742D7" w:rsidRPr="000F6872" w:rsidRDefault="0039337C" w:rsidP="0039337C">
      <w:pPr>
        <w:tabs>
          <w:tab w:val="left" w:pos="0"/>
        </w:tabs>
        <w:rPr>
          <w:color w:val="000000"/>
          <w:szCs w:val="24"/>
        </w:rPr>
      </w:pPr>
      <w:r w:rsidRPr="000F6872">
        <w:rPr>
          <w:color w:val="000000"/>
          <w:szCs w:val="24"/>
        </w:rPr>
        <w:tab/>
      </w:r>
      <w:r w:rsidR="00437D2C" w:rsidRPr="000F6872">
        <w:rPr>
          <w:color w:val="000000"/>
          <w:szCs w:val="24"/>
        </w:rPr>
        <w:t>This collection of information contains no questions of a sensitive nature, as defined by OMB guidelines.</w:t>
      </w:r>
    </w:p>
    <w:p w:rsidR="0039337C" w:rsidRPr="000F6872" w:rsidRDefault="0039337C" w:rsidP="000B36F8">
      <w:pPr>
        <w:tabs>
          <w:tab w:val="left" w:pos="0"/>
          <w:tab w:val="left" w:pos="2220"/>
        </w:tabs>
        <w:rPr>
          <w:b/>
          <w:color w:val="000000"/>
          <w:szCs w:val="24"/>
          <w:u w:val="single"/>
        </w:rPr>
      </w:pPr>
    </w:p>
    <w:p w:rsidR="008446D3" w:rsidRDefault="005125BC">
      <w:pPr>
        <w:rPr>
          <w:b/>
          <w:color w:val="000000"/>
          <w:szCs w:val="24"/>
        </w:rPr>
      </w:pPr>
      <w:r w:rsidRPr="000F6872">
        <w:rPr>
          <w:b/>
          <w:color w:val="000000"/>
          <w:szCs w:val="24"/>
        </w:rPr>
        <w:t xml:space="preserve">Consultation </w:t>
      </w:r>
      <w:proofErr w:type="gramStart"/>
      <w:r w:rsidRPr="000F6872">
        <w:rPr>
          <w:b/>
          <w:color w:val="000000"/>
          <w:szCs w:val="24"/>
        </w:rPr>
        <w:t>Outside</w:t>
      </w:r>
      <w:proofErr w:type="gramEnd"/>
      <w:r w:rsidRPr="000F6872">
        <w:rPr>
          <w:b/>
          <w:color w:val="000000"/>
          <w:szCs w:val="24"/>
        </w:rPr>
        <w:t xml:space="preserve"> the Agency</w:t>
      </w:r>
    </w:p>
    <w:p w:rsidR="0039337C" w:rsidRPr="000F6872" w:rsidRDefault="0039337C" w:rsidP="00557AEB">
      <w:pPr>
        <w:tabs>
          <w:tab w:val="left" w:pos="0"/>
          <w:tab w:val="left" w:pos="2220"/>
        </w:tabs>
        <w:rPr>
          <w:b/>
          <w:color w:val="000000"/>
          <w:szCs w:val="24"/>
        </w:rPr>
      </w:pPr>
    </w:p>
    <w:p w:rsidR="00AC2E67" w:rsidRPr="000F6872" w:rsidRDefault="000E26BA" w:rsidP="00557AEB">
      <w:pPr>
        <w:tabs>
          <w:tab w:val="left" w:pos="0"/>
        </w:tabs>
        <w:rPr>
          <w:color w:val="000000"/>
          <w:szCs w:val="24"/>
        </w:rPr>
      </w:pPr>
      <w:r w:rsidRPr="000F6872">
        <w:rPr>
          <w:color w:val="000000"/>
          <w:szCs w:val="24"/>
        </w:rPr>
        <w:tab/>
      </w:r>
      <w:r w:rsidR="00514A3B">
        <w:rPr>
          <w:color w:val="000000"/>
          <w:szCs w:val="24"/>
        </w:rPr>
        <w:t xml:space="preserve">The </w:t>
      </w:r>
      <w:r w:rsidRPr="000F6872">
        <w:rPr>
          <w:color w:val="000000"/>
          <w:szCs w:val="24"/>
        </w:rPr>
        <w:t xml:space="preserve">Board </w:t>
      </w:r>
      <w:r w:rsidR="00CB0389" w:rsidRPr="000F6872">
        <w:rPr>
          <w:color w:val="000000"/>
          <w:szCs w:val="24"/>
        </w:rPr>
        <w:t>distributed draft</w:t>
      </w:r>
      <w:r w:rsidR="008E0B8E" w:rsidRPr="000F6872">
        <w:rPr>
          <w:color w:val="000000"/>
          <w:szCs w:val="24"/>
        </w:rPr>
        <w:t xml:space="preserve"> surveys</w:t>
      </w:r>
      <w:r w:rsidR="00CB0389" w:rsidRPr="000F6872">
        <w:rPr>
          <w:color w:val="000000"/>
          <w:szCs w:val="24"/>
        </w:rPr>
        <w:t xml:space="preserve"> to </w:t>
      </w:r>
      <w:r w:rsidR="00E666FC" w:rsidRPr="000F6872">
        <w:rPr>
          <w:color w:val="000000"/>
          <w:szCs w:val="24"/>
        </w:rPr>
        <w:t>several</w:t>
      </w:r>
      <w:r w:rsidR="00CB0389" w:rsidRPr="000F6872">
        <w:rPr>
          <w:color w:val="000000"/>
          <w:szCs w:val="24"/>
        </w:rPr>
        <w:t xml:space="preserve"> outside parties that included issuers and </w:t>
      </w:r>
      <w:r w:rsidR="00BF3EBA" w:rsidRPr="000F6872">
        <w:rPr>
          <w:color w:val="000000"/>
          <w:szCs w:val="24"/>
        </w:rPr>
        <w:t>PCNs</w:t>
      </w:r>
      <w:r w:rsidR="007C5145" w:rsidRPr="000F6872">
        <w:rPr>
          <w:color w:val="000000"/>
          <w:szCs w:val="24"/>
        </w:rPr>
        <w:t>, merchant acquirers/processors, merchants and their respective trade associations, and consumer organizations</w:t>
      </w:r>
      <w:r w:rsidR="00CB0389" w:rsidRPr="000F6872">
        <w:rPr>
          <w:color w:val="000000"/>
          <w:szCs w:val="24"/>
        </w:rPr>
        <w:t xml:space="preserve">.  In obtaining input from the outside parties, </w:t>
      </w:r>
      <w:r w:rsidR="00514A3B">
        <w:rPr>
          <w:color w:val="000000"/>
          <w:szCs w:val="24"/>
        </w:rPr>
        <w:t xml:space="preserve">the </w:t>
      </w:r>
      <w:r w:rsidR="00CB0389" w:rsidRPr="000F6872">
        <w:rPr>
          <w:color w:val="000000"/>
          <w:szCs w:val="24"/>
        </w:rPr>
        <w:t xml:space="preserve">Board did not ask identical questions to each party.  Rather, </w:t>
      </w:r>
      <w:r w:rsidR="00514A3B">
        <w:rPr>
          <w:color w:val="000000"/>
          <w:szCs w:val="24"/>
        </w:rPr>
        <w:t xml:space="preserve">the </w:t>
      </w:r>
      <w:r w:rsidR="00CB0389" w:rsidRPr="000F6872">
        <w:rPr>
          <w:color w:val="000000"/>
          <w:szCs w:val="24"/>
        </w:rPr>
        <w:t>Board organized drop-in calls through which the parties viewing the survey could provide specific comments</w:t>
      </w:r>
      <w:r w:rsidR="007C5145" w:rsidRPr="000F6872">
        <w:rPr>
          <w:color w:val="000000"/>
          <w:szCs w:val="24"/>
        </w:rPr>
        <w:t xml:space="preserve"> and provided interested parties with the option of submitting written comments.</w:t>
      </w:r>
      <w:r w:rsidR="00CB0389" w:rsidRPr="000F6872">
        <w:rPr>
          <w:color w:val="000000"/>
          <w:szCs w:val="24"/>
        </w:rPr>
        <w:t xml:space="preserve">  </w:t>
      </w:r>
    </w:p>
    <w:p w:rsidR="00AC2E67" w:rsidRPr="000F6872" w:rsidRDefault="00AC2E67" w:rsidP="000B36F8">
      <w:pPr>
        <w:tabs>
          <w:tab w:val="left" w:pos="0"/>
        </w:tabs>
        <w:rPr>
          <w:color w:val="000000"/>
          <w:szCs w:val="24"/>
        </w:rPr>
      </w:pPr>
    </w:p>
    <w:p w:rsidR="006E7EEB" w:rsidRPr="000F6872" w:rsidRDefault="00AC2E67" w:rsidP="000B36F8">
      <w:pPr>
        <w:tabs>
          <w:tab w:val="left" w:pos="0"/>
        </w:tabs>
        <w:rPr>
          <w:color w:val="000000"/>
          <w:szCs w:val="24"/>
        </w:rPr>
      </w:pPr>
      <w:r w:rsidRPr="000F6872">
        <w:rPr>
          <w:color w:val="000000"/>
          <w:szCs w:val="24"/>
        </w:rPr>
        <w:tab/>
      </w:r>
      <w:r w:rsidR="006E7EEB" w:rsidRPr="000F6872">
        <w:rPr>
          <w:color w:val="000000"/>
          <w:szCs w:val="24"/>
        </w:rPr>
        <w:t xml:space="preserve">The commenters provided both substantive and technical comments.  The most significant substantive comment incorporated into the final survey instrument relates to historic information.  Many commenters suggested that the Board request historical information related to interchange fees, network exclusivity and routing restrictions.  </w:t>
      </w:r>
      <w:r w:rsidRPr="000F6872">
        <w:rPr>
          <w:color w:val="000000"/>
          <w:szCs w:val="24"/>
        </w:rPr>
        <w:t xml:space="preserve">Additionally, issuers and networks suggested that the Board request information on more categories of costs than initially proposed.  </w:t>
      </w:r>
      <w:r w:rsidR="006E7EEB" w:rsidRPr="000F6872">
        <w:rPr>
          <w:color w:val="000000"/>
          <w:szCs w:val="24"/>
        </w:rPr>
        <w:t xml:space="preserve">Accordingly, as discussed above, the surveys would ask for information for years prior to 2009.  </w:t>
      </w:r>
      <w:r w:rsidR="00814F25" w:rsidRPr="000F6872">
        <w:rPr>
          <w:color w:val="000000"/>
          <w:szCs w:val="24"/>
        </w:rPr>
        <w:t xml:space="preserve">Summaries of substantive contact between </w:t>
      </w:r>
      <w:r w:rsidR="008F2310">
        <w:rPr>
          <w:color w:val="000000"/>
          <w:szCs w:val="24"/>
        </w:rPr>
        <w:t xml:space="preserve">the </w:t>
      </w:r>
      <w:r w:rsidR="00814F25" w:rsidRPr="000F6872">
        <w:rPr>
          <w:color w:val="000000"/>
          <w:szCs w:val="24"/>
        </w:rPr>
        <w:t xml:space="preserve">Board and the public are in the public file.  </w:t>
      </w:r>
    </w:p>
    <w:p w:rsidR="006E7EEB" w:rsidRPr="000F6872" w:rsidRDefault="006E7EEB" w:rsidP="000B36F8">
      <w:pPr>
        <w:tabs>
          <w:tab w:val="left" w:pos="0"/>
        </w:tabs>
        <w:rPr>
          <w:color w:val="000000"/>
          <w:szCs w:val="24"/>
        </w:rPr>
      </w:pPr>
    </w:p>
    <w:p w:rsidR="000E26BA" w:rsidRPr="000F6872" w:rsidRDefault="006E7EEB" w:rsidP="000B36F8">
      <w:pPr>
        <w:tabs>
          <w:tab w:val="left" w:pos="0"/>
        </w:tabs>
        <w:rPr>
          <w:color w:val="000000"/>
          <w:szCs w:val="24"/>
        </w:rPr>
      </w:pPr>
      <w:r w:rsidRPr="000F6872">
        <w:rPr>
          <w:color w:val="000000"/>
          <w:szCs w:val="24"/>
        </w:rPr>
        <w:tab/>
      </w:r>
      <w:r w:rsidR="008F2310">
        <w:rPr>
          <w:color w:val="000000"/>
          <w:szCs w:val="24"/>
        </w:rPr>
        <w:t xml:space="preserve">The </w:t>
      </w:r>
      <w:r w:rsidR="00CB0389" w:rsidRPr="000F6872">
        <w:rPr>
          <w:color w:val="000000"/>
          <w:szCs w:val="24"/>
        </w:rPr>
        <w:t>Board did not consult with outside agencies in developing the survey.</w:t>
      </w:r>
    </w:p>
    <w:p w:rsidR="007E43DE" w:rsidRDefault="007E43DE" w:rsidP="000B36F8">
      <w:pPr>
        <w:tabs>
          <w:tab w:val="left" w:pos="0"/>
          <w:tab w:val="left" w:pos="2220"/>
        </w:tabs>
        <w:rPr>
          <w:b/>
          <w:color w:val="000000"/>
          <w:szCs w:val="24"/>
        </w:rPr>
      </w:pPr>
    </w:p>
    <w:p w:rsidR="008715D5" w:rsidRPr="000F6872" w:rsidRDefault="005125BC" w:rsidP="000B36F8">
      <w:pPr>
        <w:tabs>
          <w:tab w:val="left" w:pos="0"/>
          <w:tab w:val="left" w:pos="2220"/>
        </w:tabs>
        <w:rPr>
          <w:b/>
          <w:color w:val="000000"/>
          <w:szCs w:val="24"/>
        </w:rPr>
      </w:pPr>
      <w:r w:rsidRPr="000F6872">
        <w:rPr>
          <w:b/>
          <w:color w:val="000000"/>
          <w:szCs w:val="24"/>
        </w:rPr>
        <w:t>Estimate of Respondent Burden</w:t>
      </w:r>
    </w:p>
    <w:p w:rsidR="009F4030" w:rsidRPr="000F6872" w:rsidRDefault="009F4030" w:rsidP="009F4030">
      <w:pPr>
        <w:ind w:firstLine="720"/>
        <w:rPr>
          <w:color w:val="000000"/>
          <w:szCs w:val="24"/>
        </w:rPr>
      </w:pPr>
    </w:p>
    <w:p w:rsidR="009F4030" w:rsidRPr="000F6872" w:rsidRDefault="009F4030" w:rsidP="009F4030">
      <w:pPr>
        <w:ind w:firstLine="720"/>
        <w:rPr>
          <w:szCs w:val="24"/>
        </w:rPr>
      </w:pPr>
      <w:r w:rsidRPr="000F6872">
        <w:rPr>
          <w:color w:val="000000"/>
          <w:szCs w:val="24"/>
        </w:rPr>
        <w:t xml:space="preserve">As shown in the following table, the annual reporting burden </w:t>
      </w:r>
      <w:r w:rsidR="008E0B8E" w:rsidRPr="000F6872">
        <w:rPr>
          <w:color w:val="000000"/>
          <w:szCs w:val="24"/>
        </w:rPr>
        <w:t xml:space="preserve">for </w:t>
      </w:r>
      <w:r w:rsidRPr="000F6872">
        <w:rPr>
          <w:color w:val="000000"/>
          <w:szCs w:val="24"/>
        </w:rPr>
        <w:t xml:space="preserve">the proposed survey is estimated to be </w:t>
      </w:r>
      <w:r w:rsidR="007C5145" w:rsidRPr="000F6872">
        <w:rPr>
          <w:color w:val="000000"/>
          <w:szCs w:val="24"/>
        </w:rPr>
        <w:t>34</w:t>
      </w:r>
      <w:r w:rsidR="00894366" w:rsidRPr="000F6872">
        <w:rPr>
          <w:color w:val="000000"/>
          <w:szCs w:val="24"/>
        </w:rPr>
        <w:t>,</w:t>
      </w:r>
      <w:r w:rsidR="00F94144" w:rsidRPr="000F6872">
        <w:rPr>
          <w:color w:val="000000"/>
          <w:szCs w:val="24"/>
        </w:rPr>
        <w:t>25</w:t>
      </w:r>
      <w:r w:rsidR="00894366" w:rsidRPr="000F6872">
        <w:rPr>
          <w:color w:val="000000"/>
          <w:szCs w:val="24"/>
        </w:rPr>
        <w:t>0</w:t>
      </w:r>
      <w:r w:rsidRPr="000F6872">
        <w:rPr>
          <w:color w:val="000000"/>
          <w:szCs w:val="24"/>
        </w:rPr>
        <w:t xml:space="preserve"> hours.  </w:t>
      </w:r>
      <w:r w:rsidR="008F2310">
        <w:rPr>
          <w:color w:val="000000"/>
          <w:szCs w:val="24"/>
        </w:rPr>
        <w:t xml:space="preserve">The </w:t>
      </w:r>
      <w:r w:rsidRPr="000F6872">
        <w:rPr>
          <w:szCs w:val="24"/>
        </w:rPr>
        <w:t xml:space="preserve">Board estimates that the </w:t>
      </w:r>
      <w:r w:rsidR="00F744B9" w:rsidRPr="000F6872">
        <w:rPr>
          <w:szCs w:val="24"/>
        </w:rPr>
        <w:t>12</w:t>
      </w:r>
      <w:r w:rsidR="00F94144" w:rsidRPr="000F6872">
        <w:rPr>
          <w:szCs w:val="24"/>
        </w:rPr>
        <w:t>8</w:t>
      </w:r>
      <w:r w:rsidRPr="000F6872">
        <w:rPr>
          <w:szCs w:val="24"/>
        </w:rPr>
        <w:t xml:space="preserve"> </w:t>
      </w:r>
      <w:r w:rsidR="00894366" w:rsidRPr="000F6872">
        <w:rPr>
          <w:szCs w:val="24"/>
        </w:rPr>
        <w:t>issuer</w:t>
      </w:r>
      <w:r w:rsidR="007C5145" w:rsidRPr="000F6872">
        <w:rPr>
          <w:szCs w:val="24"/>
        </w:rPr>
        <w:t xml:space="preserve"> organizations</w:t>
      </w:r>
      <w:r w:rsidRPr="000F6872">
        <w:rPr>
          <w:szCs w:val="24"/>
        </w:rPr>
        <w:t xml:space="preserve"> would take on average </w:t>
      </w:r>
      <w:r w:rsidR="00677567" w:rsidRPr="000F6872">
        <w:rPr>
          <w:szCs w:val="24"/>
        </w:rPr>
        <w:t>250</w:t>
      </w:r>
      <w:r w:rsidR="00894366" w:rsidRPr="000F6872">
        <w:rPr>
          <w:szCs w:val="24"/>
        </w:rPr>
        <w:t xml:space="preserve"> </w:t>
      </w:r>
      <w:r w:rsidRPr="000F6872">
        <w:rPr>
          <w:szCs w:val="24"/>
        </w:rPr>
        <w:t xml:space="preserve">hours to complete the proposed issuer </w:t>
      </w:r>
      <w:r w:rsidRPr="000F6872">
        <w:rPr>
          <w:color w:val="000000"/>
          <w:szCs w:val="24"/>
        </w:rPr>
        <w:t xml:space="preserve">survey and </w:t>
      </w:r>
      <w:r w:rsidR="00894366" w:rsidRPr="000F6872">
        <w:rPr>
          <w:szCs w:val="24"/>
        </w:rPr>
        <w:t>15</w:t>
      </w:r>
      <w:r w:rsidRPr="000F6872">
        <w:rPr>
          <w:szCs w:val="24"/>
        </w:rPr>
        <w:t xml:space="preserve"> </w:t>
      </w:r>
      <w:r w:rsidR="00894366" w:rsidRPr="000F6872">
        <w:rPr>
          <w:szCs w:val="24"/>
        </w:rPr>
        <w:t>PCNs</w:t>
      </w:r>
      <w:r w:rsidRPr="000F6872">
        <w:rPr>
          <w:szCs w:val="24"/>
        </w:rPr>
        <w:t xml:space="preserve"> would take on average </w:t>
      </w:r>
      <w:r w:rsidR="00677567" w:rsidRPr="000F6872">
        <w:rPr>
          <w:szCs w:val="24"/>
        </w:rPr>
        <w:t>150</w:t>
      </w:r>
      <w:r w:rsidRPr="000F6872">
        <w:rPr>
          <w:szCs w:val="24"/>
        </w:rPr>
        <w:t xml:space="preserve"> hours to complete the proposed network </w:t>
      </w:r>
      <w:r w:rsidRPr="000F6872">
        <w:rPr>
          <w:color w:val="000000"/>
          <w:szCs w:val="24"/>
        </w:rPr>
        <w:t>survey</w:t>
      </w:r>
      <w:r w:rsidRPr="000F6872">
        <w:rPr>
          <w:szCs w:val="24"/>
        </w:rPr>
        <w:t>.  The proposed surveys represent less than 1 percent of the total Federal Reserve System paperwork burden.</w:t>
      </w:r>
    </w:p>
    <w:p w:rsidR="00762ACE" w:rsidRDefault="00762ACE">
      <w:pPr>
        <w:spacing w:after="200" w:line="276" w:lineRule="auto"/>
        <w:rPr>
          <w:b/>
          <w:color w:val="000000"/>
          <w:szCs w:val="24"/>
          <w:u w:val="single"/>
        </w:rPr>
      </w:pPr>
      <w:r>
        <w:rPr>
          <w:b/>
          <w:color w:val="000000"/>
          <w:szCs w:val="24"/>
          <w:u w:val="single"/>
        </w:rPr>
        <w:br w:type="page"/>
      </w:r>
    </w:p>
    <w:p w:rsidR="0039337C" w:rsidRPr="000F6872" w:rsidRDefault="0039337C" w:rsidP="000B36F8">
      <w:pPr>
        <w:tabs>
          <w:tab w:val="left" w:pos="0"/>
          <w:tab w:val="left" w:pos="2220"/>
        </w:tabs>
        <w:rPr>
          <w:b/>
          <w:color w:val="000000"/>
          <w:szCs w:val="24"/>
          <w:u w:val="single"/>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tblPr>
      <w:tblGrid>
        <w:gridCol w:w="4068"/>
        <w:gridCol w:w="1377"/>
        <w:gridCol w:w="1377"/>
        <w:gridCol w:w="1377"/>
        <w:gridCol w:w="1377"/>
      </w:tblGrid>
      <w:tr w:rsidR="00D803D7" w:rsidRPr="000F6872" w:rsidTr="00950D78">
        <w:tc>
          <w:tcPr>
            <w:tcW w:w="4068" w:type="dxa"/>
            <w:vAlign w:val="center"/>
          </w:tcPr>
          <w:p w:rsidR="00D803D7" w:rsidRPr="000F6872" w:rsidRDefault="00D803D7" w:rsidP="00D803D7">
            <w:pPr>
              <w:tabs>
                <w:tab w:val="left" w:pos="0"/>
                <w:tab w:val="left" w:pos="2220"/>
              </w:tabs>
              <w:jc w:val="center"/>
              <w:rPr>
                <w:i/>
                <w:color w:val="000000"/>
                <w:szCs w:val="24"/>
              </w:rPr>
            </w:pPr>
          </w:p>
        </w:tc>
        <w:tc>
          <w:tcPr>
            <w:tcW w:w="1377" w:type="dxa"/>
            <w:vAlign w:val="center"/>
          </w:tcPr>
          <w:p w:rsidR="00D803D7" w:rsidRPr="000F6872" w:rsidRDefault="00D803D7" w:rsidP="00D803D7">
            <w:pPr>
              <w:tabs>
                <w:tab w:val="left" w:pos="0"/>
                <w:tab w:val="left" w:pos="2220"/>
              </w:tabs>
              <w:jc w:val="center"/>
              <w:rPr>
                <w:i/>
                <w:color w:val="000000"/>
                <w:szCs w:val="24"/>
              </w:rPr>
            </w:pPr>
            <w:r w:rsidRPr="000F6872">
              <w:rPr>
                <w:i/>
                <w:color w:val="000000"/>
                <w:szCs w:val="24"/>
              </w:rPr>
              <w:t>Number</w:t>
            </w:r>
          </w:p>
          <w:p w:rsidR="00D803D7" w:rsidRPr="000F6872" w:rsidRDefault="00D803D7" w:rsidP="00D803D7">
            <w:pPr>
              <w:tabs>
                <w:tab w:val="left" w:pos="0"/>
                <w:tab w:val="left" w:pos="2220"/>
              </w:tabs>
              <w:jc w:val="center"/>
              <w:rPr>
                <w:i/>
                <w:color w:val="000000"/>
                <w:szCs w:val="24"/>
              </w:rPr>
            </w:pPr>
            <w:r w:rsidRPr="000F6872">
              <w:rPr>
                <w:i/>
                <w:color w:val="000000"/>
                <w:szCs w:val="24"/>
              </w:rPr>
              <w:t>of</w:t>
            </w:r>
          </w:p>
          <w:p w:rsidR="00D803D7" w:rsidRPr="000F6872" w:rsidRDefault="00D803D7" w:rsidP="00D803D7">
            <w:pPr>
              <w:tabs>
                <w:tab w:val="left" w:pos="0"/>
                <w:tab w:val="left" w:pos="2220"/>
              </w:tabs>
              <w:jc w:val="center"/>
              <w:rPr>
                <w:i/>
                <w:color w:val="000000"/>
                <w:szCs w:val="24"/>
              </w:rPr>
            </w:pPr>
            <w:r w:rsidRPr="000F6872">
              <w:rPr>
                <w:i/>
                <w:color w:val="000000"/>
                <w:szCs w:val="24"/>
              </w:rPr>
              <w:t>respondents</w:t>
            </w:r>
          </w:p>
        </w:tc>
        <w:tc>
          <w:tcPr>
            <w:tcW w:w="1377" w:type="dxa"/>
            <w:vAlign w:val="center"/>
          </w:tcPr>
          <w:p w:rsidR="00D803D7" w:rsidRPr="000F6872" w:rsidRDefault="00D803D7" w:rsidP="00D803D7">
            <w:pPr>
              <w:tabs>
                <w:tab w:val="left" w:pos="0"/>
                <w:tab w:val="left" w:pos="2220"/>
              </w:tabs>
              <w:jc w:val="center"/>
              <w:rPr>
                <w:i/>
                <w:color w:val="000000"/>
                <w:szCs w:val="24"/>
              </w:rPr>
            </w:pPr>
            <w:r w:rsidRPr="000F6872">
              <w:rPr>
                <w:i/>
                <w:color w:val="000000"/>
                <w:szCs w:val="24"/>
              </w:rPr>
              <w:t>Annual Frequency</w:t>
            </w:r>
          </w:p>
        </w:tc>
        <w:tc>
          <w:tcPr>
            <w:tcW w:w="1377" w:type="dxa"/>
            <w:vAlign w:val="center"/>
          </w:tcPr>
          <w:p w:rsidR="00D803D7" w:rsidRPr="000F6872" w:rsidRDefault="00D803D7" w:rsidP="00D803D7">
            <w:pPr>
              <w:tabs>
                <w:tab w:val="left" w:pos="0"/>
                <w:tab w:val="left" w:pos="2220"/>
              </w:tabs>
              <w:jc w:val="center"/>
              <w:rPr>
                <w:i/>
                <w:color w:val="000000"/>
                <w:szCs w:val="24"/>
              </w:rPr>
            </w:pPr>
            <w:r w:rsidRPr="000F6872">
              <w:rPr>
                <w:i/>
                <w:color w:val="000000"/>
                <w:szCs w:val="24"/>
              </w:rPr>
              <w:t>Estimated average time per response</w:t>
            </w:r>
          </w:p>
        </w:tc>
        <w:tc>
          <w:tcPr>
            <w:tcW w:w="1377" w:type="dxa"/>
            <w:vAlign w:val="center"/>
          </w:tcPr>
          <w:p w:rsidR="00D803D7" w:rsidRPr="000F6872" w:rsidRDefault="00D803D7" w:rsidP="00D803D7">
            <w:pPr>
              <w:tabs>
                <w:tab w:val="left" w:pos="0"/>
                <w:tab w:val="left" w:pos="2220"/>
              </w:tabs>
              <w:jc w:val="center"/>
              <w:rPr>
                <w:i/>
                <w:color w:val="000000"/>
                <w:szCs w:val="24"/>
              </w:rPr>
            </w:pPr>
            <w:r w:rsidRPr="000F6872">
              <w:rPr>
                <w:i/>
                <w:color w:val="000000"/>
                <w:szCs w:val="24"/>
              </w:rPr>
              <w:t>Estimated annual  burden hours</w:t>
            </w:r>
          </w:p>
        </w:tc>
      </w:tr>
      <w:tr w:rsidR="00D803D7" w:rsidRPr="000F6872" w:rsidTr="00950D78">
        <w:trPr>
          <w:trHeight w:val="342"/>
        </w:trPr>
        <w:tc>
          <w:tcPr>
            <w:tcW w:w="4068" w:type="dxa"/>
            <w:vAlign w:val="bottom"/>
          </w:tcPr>
          <w:p w:rsidR="00D803D7" w:rsidRPr="000F6872" w:rsidRDefault="00D803D7" w:rsidP="00DB7BC4">
            <w:pPr>
              <w:tabs>
                <w:tab w:val="left" w:pos="0"/>
                <w:tab w:val="left" w:pos="2220"/>
              </w:tabs>
              <w:rPr>
                <w:b/>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r>
      <w:tr w:rsidR="00D803D7" w:rsidRPr="000F6872" w:rsidTr="00950D78">
        <w:trPr>
          <w:trHeight w:val="342"/>
        </w:trPr>
        <w:tc>
          <w:tcPr>
            <w:tcW w:w="4068" w:type="dxa"/>
            <w:vAlign w:val="bottom"/>
          </w:tcPr>
          <w:p w:rsidR="00D803D7" w:rsidRPr="000F6872" w:rsidRDefault="00920C87" w:rsidP="00920C87">
            <w:pPr>
              <w:tabs>
                <w:tab w:val="left" w:pos="0"/>
                <w:tab w:val="left" w:pos="2220"/>
              </w:tabs>
              <w:rPr>
                <w:color w:val="000000"/>
                <w:szCs w:val="24"/>
              </w:rPr>
            </w:pPr>
            <w:r w:rsidRPr="000F6872">
              <w:rPr>
                <w:b/>
                <w:color w:val="000000"/>
                <w:szCs w:val="24"/>
              </w:rPr>
              <w:t>Issuer survey</w:t>
            </w:r>
          </w:p>
        </w:tc>
        <w:tc>
          <w:tcPr>
            <w:tcW w:w="1377" w:type="dxa"/>
            <w:vAlign w:val="bottom"/>
          </w:tcPr>
          <w:p w:rsidR="00D803D7" w:rsidRPr="000F6872" w:rsidRDefault="00F744B9" w:rsidP="00F94144">
            <w:pPr>
              <w:tabs>
                <w:tab w:val="left" w:pos="0"/>
                <w:tab w:val="left" w:pos="2220"/>
              </w:tabs>
              <w:jc w:val="center"/>
              <w:rPr>
                <w:color w:val="000000"/>
                <w:szCs w:val="24"/>
              </w:rPr>
            </w:pPr>
            <w:r w:rsidRPr="000F6872">
              <w:rPr>
                <w:color w:val="000000"/>
                <w:szCs w:val="24"/>
              </w:rPr>
              <w:t>12</w:t>
            </w:r>
            <w:r w:rsidR="00F94144" w:rsidRPr="000F6872">
              <w:rPr>
                <w:color w:val="000000"/>
                <w:szCs w:val="24"/>
              </w:rPr>
              <w:t>8</w:t>
            </w:r>
          </w:p>
        </w:tc>
        <w:tc>
          <w:tcPr>
            <w:tcW w:w="1377" w:type="dxa"/>
            <w:vAlign w:val="bottom"/>
          </w:tcPr>
          <w:p w:rsidR="00D803D7" w:rsidRPr="000F6872" w:rsidRDefault="007A0F12" w:rsidP="00DB7BC4">
            <w:pPr>
              <w:tabs>
                <w:tab w:val="left" w:pos="0"/>
                <w:tab w:val="left" w:pos="2220"/>
              </w:tabs>
              <w:jc w:val="center"/>
              <w:rPr>
                <w:color w:val="000000"/>
                <w:szCs w:val="24"/>
              </w:rPr>
            </w:pPr>
            <w:r w:rsidRPr="000F6872">
              <w:rPr>
                <w:color w:val="000000"/>
                <w:szCs w:val="24"/>
              </w:rPr>
              <w:t>1</w:t>
            </w:r>
          </w:p>
        </w:tc>
        <w:tc>
          <w:tcPr>
            <w:tcW w:w="1377" w:type="dxa"/>
            <w:vAlign w:val="bottom"/>
          </w:tcPr>
          <w:p w:rsidR="00D803D7" w:rsidRPr="000F6872" w:rsidRDefault="00677567" w:rsidP="00677567">
            <w:pPr>
              <w:tabs>
                <w:tab w:val="left" w:pos="0"/>
                <w:tab w:val="left" w:pos="2220"/>
              </w:tabs>
              <w:rPr>
                <w:color w:val="000000"/>
                <w:szCs w:val="24"/>
              </w:rPr>
            </w:pPr>
            <w:r w:rsidRPr="000F6872">
              <w:rPr>
                <w:color w:val="000000"/>
                <w:szCs w:val="24"/>
              </w:rPr>
              <w:t>250</w:t>
            </w:r>
            <w:r w:rsidR="00814F25" w:rsidRPr="000F6872">
              <w:rPr>
                <w:color w:val="000000"/>
                <w:szCs w:val="24"/>
              </w:rPr>
              <w:t xml:space="preserve"> </w:t>
            </w:r>
            <w:r w:rsidR="00CA2220" w:rsidRPr="000F6872">
              <w:rPr>
                <w:color w:val="000000"/>
                <w:szCs w:val="24"/>
              </w:rPr>
              <w:t>hours</w:t>
            </w:r>
          </w:p>
        </w:tc>
        <w:tc>
          <w:tcPr>
            <w:tcW w:w="1377" w:type="dxa"/>
            <w:vAlign w:val="bottom"/>
          </w:tcPr>
          <w:p w:rsidR="00D803D7" w:rsidRPr="000F6872" w:rsidRDefault="00F94144" w:rsidP="00F94144">
            <w:pPr>
              <w:tabs>
                <w:tab w:val="left" w:pos="0"/>
                <w:tab w:val="left" w:pos="2220"/>
              </w:tabs>
              <w:jc w:val="right"/>
              <w:rPr>
                <w:color w:val="000000"/>
                <w:szCs w:val="24"/>
              </w:rPr>
            </w:pPr>
            <w:r w:rsidRPr="000F6872">
              <w:rPr>
                <w:color w:val="000000"/>
                <w:szCs w:val="24"/>
              </w:rPr>
              <w:t>32</w:t>
            </w:r>
            <w:r w:rsidR="00677567" w:rsidRPr="000F6872">
              <w:rPr>
                <w:color w:val="000000"/>
                <w:szCs w:val="24"/>
              </w:rPr>
              <w:t>,</w:t>
            </w:r>
            <w:r w:rsidRPr="000F6872">
              <w:rPr>
                <w:color w:val="000000"/>
                <w:szCs w:val="24"/>
              </w:rPr>
              <w:t>00</w:t>
            </w:r>
            <w:r w:rsidR="00677567" w:rsidRPr="000F6872">
              <w:rPr>
                <w:color w:val="000000"/>
                <w:szCs w:val="24"/>
              </w:rPr>
              <w:t>0</w:t>
            </w:r>
          </w:p>
        </w:tc>
      </w:tr>
      <w:tr w:rsidR="00D803D7" w:rsidRPr="000F6872" w:rsidTr="00950D78">
        <w:trPr>
          <w:trHeight w:val="342"/>
        </w:trPr>
        <w:tc>
          <w:tcPr>
            <w:tcW w:w="4068" w:type="dxa"/>
            <w:vAlign w:val="bottom"/>
          </w:tcPr>
          <w:p w:rsidR="00D803D7" w:rsidRPr="000F6872" w:rsidRDefault="00D803D7" w:rsidP="00DB7BC4">
            <w:pPr>
              <w:tabs>
                <w:tab w:val="left" w:pos="0"/>
                <w:tab w:val="left" w:pos="2220"/>
              </w:tabs>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CA2220">
            <w:pPr>
              <w:tabs>
                <w:tab w:val="left" w:pos="0"/>
                <w:tab w:val="left" w:pos="2220"/>
              </w:tabs>
              <w:jc w:val="right"/>
              <w:rPr>
                <w:color w:val="000000"/>
                <w:szCs w:val="24"/>
              </w:rPr>
            </w:pPr>
          </w:p>
        </w:tc>
      </w:tr>
      <w:tr w:rsidR="00D803D7" w:rsidRPr="000F6872" w:rsidTr="00950D78">
        <w:trPr>
          <w:trHeight w:val="342"/>
        </w:trPr>
        <w:tc>
          <w:tcPr>
            <w:tcW w:w="4068" w:type="dxa"/>
            <w:vAlign w:val="bottom"/>
          </w:tcPr>
          <w:p w:rsidR="00891A9D" w:rsidRPr="000F6872" w:rsidRDefault="00D803D7">
            <w:pPr>
              <w:tabs>
                <w:tab w:val="left" w:pos="0"/>
                <w:tab w:val="left" w:pos="2220"/>
              </w:tabs>
              <w:rPr>
                <w:b/>
                <w:color w:val="000000"/>
                <w:szCs w:val="24"/>
              </w:rPr>
            </w:pPr>
            <w:r w:rsidRPr="000F6872">
              <w:rPr>
                <w:b/>
                <w:color w:val="000000"/>
                <w:szCs w:val="24"/>
              </w:rPr>
              <w:t>Network survey</w:t>
            </w:r>
            <w:r w:rsidR="007A0F12" w:rsidRPr="000F6872">
              <w:rPr>
                <w:b/>
                <w:color w:val="000000"/>
                <w:szCs w:val="24"/>
              </w:rPr>
              <w:t xml:space="preserve"> to </w:t>
            </w:r>
            <w:r w:rsidRPr="000F6872">
              <w:rPr>
                <w:b/>
                <w:color w:val="000000"/>
                <w:szCs w:val="24"/>
              </w:rPr>
              <w:t>PCNs</w:t>
            </w:r>
          </w:p>
        </w:tc>
        <w:tc>
          <w:tcPr>
            <w:tcW w:w="1377" w:type="dxa"/>
            <w:vAlign w:val="bottom"/>
          </w:tcPr>
          <w:p w:rsidR="00D803D7" w:rsidRPr="000F6872" w:rsidRDefault="00D803D7" w:rsidP="00DB7BC4">
            <w:pPr>
              <w:tabs>
                <w:tab w:val="left" w:pos="0"/>
                <w:tab w:val="left" w:pos="2220"/>
              </w:tabs>
              <w:jc w:val="center"/>
              <w:rPr>
                <w:color w:val="000000"/>
                <w:szCs w:val="24"/>
              </w:rPr>
            </w:pPr>
            <w:r w:rsidRPr="000F6872">
              <w:rPr>
                <w:color w:val="000000"/>
                <w:szCs w:val="24"/>
              </w:rPr>
              <w:t>15</w:t>
            </w:r>
          </w:p>
        </w:tc>
        <w:tc>
          <w:tcPr>
            <w:tcW w:w="1377" w:type="dxa"/>
            <w:vAlign w:val="bottom"/>
          </w:tcPr>
          <w:p w:rsidR="00D803D7" w:rsidRPr="000F6872" w:rsidRDefault="007A0F12" w:rsidP="00DB7BC4">
            <w:pPr>
              <w:tabs>
                <w:tab w:val="left" w:pos="0"/>
                <w:tab w:val="left" w:pos="2220"/>
              </w:tabs>
              <w:jc w:val="center"/>
              <w:rPr>
                <w:color w:val="000000"/>
                <w:szCs w:val="24"/>
              </w:rPr>
            </w:pPr>
            <w:r w:rsidRPr="000F6872">
              <w:rPr>
                <w:color w:val="000000"/>
                <w:szCs w:val="24"/>
              </w:rPr>
              <w:t>1</w:t>
            </w:r>
          </w:p>
        </w:tc>
        <w:tc>
          <w:tcPr>
            <w:tcW w:w="1377" w:type="dxa"/>
            <w:vAlign w:val="bottom"/>
          </w:tcPr>
          <w:p w:rsidR="00D803D7" w:rsidRPr="000F6872" w:rsidRDefault="00677567" w:rsidP="00814F25">
            <w:pPr>
              <w:tabs>
                <w:tab w:val="left" w:pos="0"/>
                <w:tab w:val="left" w:pos="2220"/>
              </w:tabs>
              <w:jc w:val="center"/>
              <w:rPr>
                <w:color w:val="000000"/>
                <w:szCs w:val="24"/>
              </w:rPr>
            </w:pPr>
            <w:r w:rsidRPr="000F6872">
              <w:rPr>
                <w:color w:val="000000"/>
                <w:szCs w:val="24"/>
              </w:rPr>
              <w:t>150</w:t>
            </w:r>
            <w:r w:rsidR="00814F25" w:rsidRPr="000F6872">
              <w:rPr>
                <w:color w:val="000000"/>
                <w:szCs w:val="24"/>
              </w:rPr>
              <w:t xml:space="preserve"> </w:t>
            </w:r>
            <w:r w:rsidR="00CA2220" w:rsidRPr="000F6872">
              <w:rPr>
                <w:color w:val="000000"/>
                <w:szCs w:val="24"/>
              </w:rPr>
              <w:t>hours</w:t>
            </w:r>
          </w:p>
        </w:tc>
        <w:tc>
          <w:tcPr>
            <w:tcW w:w="1377" w:type="dxa"/>
            <w:vAlign w:val="bottom"/>
          </w:tcPr>
          <w:p w:rsidR="00D803D7" w:rsidRPr="00950D78" w:rsidRDefault="00677567" w:rsidP="00CA2220">
            <w:pPr>
              <w:tabs>
                <w:tab w:val="left" w:pos="0"/>
                <w:tab w:val="left" w:pos="2220"/>
              </w:tabs>
              <w:jc w:val="right"/>
              <w:rPr>
                <w:color w:val="000000"/>
                <w:szCs w:val="24"/>
                <w:u w:val="single"/>
              </w:rPr>
            </w:pPr>
            <w:r w:rsidRPr="00950D78">
              <w:rPr>
                <w:color w:val="000000"/>
                <w:szCs w:val="24"/>
                <w:u w:val="single"/>
              </w:rPr>
              <w:t>2,250</w:t>
            </w:r>
          </w:p>
        </w:tc>
      </w:tr>
      <w:tr w:rsidR="00D803D7" w:rsidRPr="000F6872" w:rsidTr="00950D78">
        <w:trPr>
          <w:trHeight w:val="342"/>
        </w:trPr>
        <w:tc>
          <w:tcPr>
            <w:tcW w:w="4068" w:type="dxa"/>
            <w:vAlign w:val="bottom"/>
          </w:tcPr>
          <w:p w:rsidR="00891A9D" w:rsidRPr="000F6872" w:rsidRDefault="008C5F0E">
            <w:pPr>
              <w:tabs>
                <w:tab w:val="left" w:pos="0"/>
                <w:tab w:val="left" w:pos="2220"/>
              </w:tabs>
              <w:jc w:val="right"/>
              <w:rPr>
                <w:i/>
                <w:color w:val="000000"/>
                <w:szCs w:val="24"/>
              </w:rPr>
            </w:pPr>
            <w:r w:rsidRPr="000F6872">
              <w:rPr>
                <w:i/>
                <w:color w:val="000000"/>
                <w:szCs w:val="24"/>
              </w:rPr>
              <w:t>Total</w:t>
            </w: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D803D7" w:rsidP="00DB7BC4">
            <w:pPr>
              <w:tabs>
                <w:tab w:val="left" w:pos="0"/>
                <w:tab w:val="left" w:pos="2220"/>
              </w:tabs>
              <w:jc w:val="center"/>
              <w:rPr>
                <w:color w:val="000000"/>
                <w:szCs w:val="24"/>
              </w:rPr>
            </w:pPr>
          </w:p>
        </w:tc>
        <w:tc>
          <w:tcPr>
            <w:tcW w:w="1377" w:type="dxa"/>
            <w:vAlign w:val="bottom"/>
          </w:tcPr>
          <w:p w:rsidR="00D803D7" w:rsidRPr="000F6872" w:rsidRDefault="007C5145" w:rsidP="00F94144">
            <w:pPr>
              <w:tabs>
                <w:tab w:val="left" w:pos="0"/>
                <w:tab w:val="left" w:pos="2220"/>
              </w:tabs>
              <w:jc w:val="right"/>
              <w:rPr>
                <w:color w:val="000000"/>
                <w:szCs w:val="24"/>
              </w:rPr>
            </w:pPr>
            <w:r w:rsidRPr="000F6872">
              <w:rPr>
                <w:color w:val="000000"/>
                <w:szCs w:val="24"/>
              </w:rPr>
              <w:t>34</w:t>
            </w:r>
            <w:r w:rsidR="00677567" w:rsidRPr="000F6872">
              <w:rPr>
                <w:color w:val="000000"/>
                <w:szCs w:val="24"/>
              </w:rPr>
              <w:t>,</w:t>
            </w:r>
            <w:r w:rsidR="00F94144" w:rsidRPr="000F6872">
              <w:rPr>
                <w:color w:val="000000"/>
                <w:szCs w:val="24"/>
              </w:rPr>
              <w:t>25</w:t>
            </w:r>
            <w:r w:rsidR="00677567" w:rsidRPr="000F6872">
              <w:rPr>
                <w:color w:val="000000"/>
                <w:szCs w:val="24"/>
              </w:rPr>
              <w:t>0</w:t>
            </w:r>
          </w:p>
        </w:tc>
      </w:tr>
    </w:tbl>
    <w:p w:rsidR="007A0F12" w:rsidRPr="000F6872" w:rsidRDefault="007A0F12" w:rsidP="000B36F8">
      <w:pPr>
        <w:tabs>
          <w:tab w:val="left" w:pos="0"/>
          <w:tab w:val="left" w:pos="2220"/>
        </w:tabs>
        <w:rPr>
          <w:b/>
          <w:color w:val="000000"/>
          <w:szCs w:val="24"/>
        </w:rPr>
      </w:pPr>
    </w:p>
    <w:p w:rsidR="008E301B" w:rsidRPr="000F6872" w:rsidRDefault="008E301B" w:rsidP="009E65A5">
      <w:pPr>
        <w:tabs>
          <w:tab w:val="left" w:pos="-1080"/>
          <w:tab w:val="left" w:pos="-90"/>
          <w:tab w:val="left" w:pos="1440"/>
          <w:tab w:val="left" w:pos="1980"/>
          <w:tab w:val="left" w:pos="3960"/>
          <w:tab w:val="left" w:pos="5760"/>
          <w:tab w:val="left" w:pos="7921"/>
        </w:tabs>
        <w:snapToGrid w:val="0"/>
        <w:rPr>
          <w:b/>
          <w:szCs w:val="24"/>
        </w:rPr>
      </w:pPr>
      <w:r w:rsidRPr="000F6872">
        <w:rPr>
          <w:szCs w:val="24"/>
        </w:rPr>
        <w:t xml:space="preserve">The total </w:t>
      </w:r>
      <w:r w:rsidR="009E65A5" w:rsidRPr="000F6872">
        <w:rPr>
          <w:szCs w:val="24"/>
        </w:rPr>
        <w:t>one-time</w:t>
      </w:r>
      <w:r w:rsidRPr="000F6872">
        <w:rPr>
          <w:szCs w:val="24"/>
        </w:rPr>
        <w:t xml:space="preserve"> reporting cost to the </w:t>
      </w:r>
      <w:r w:rsidRPr="000F6872">
        <w:rPr>
          <w:color w:val="000000"/>
          <w:szCs w:val="24"/>
        </w:rPr>
        <w:t xml:space="preserve">public for these </w:t>
      </w:r>
      <w:r w:rsidR="009E65A5" w:rsidRPr="000F6872">
        <w:rPr>
          <w:color w:val="000000"/>
          <w:szCs w:val="24"/>
        </w:rPr>
        <w:t>surveys</w:t>
      </w:r>
      <w:r w:rsidRPr="000F6872">
        <w:rPr>
          <w:color w:val="000000"/>
          <w:szCs w:val="24"/>
        </w:rPr>
        <w:t xml:space="preserve"> is</w:t>
      </w:r>
      <w:r w:rsidR="00514A3B">
        <w:rPr>
          <w:color w:val="000000"/>
          <w:szCs w:val="24"/>
        </w:rPr>
        <w:t xml:space="preserve"> estimated to be</w:t>
      </w:r>
      <w:r w:rsidRPr="000F6872">
        <w:rPr>
          <w:color w:val="000000"/>
          <w:szCs w:val="24"/>
        </w:rPr>
        <w:t xml:space="preserve"> $</w:t>
      </w:r>
      <w:r w:rsidR="00F94144" w:rsidRPr="000F6872">
        <w:rPr>
          <w:color w:val="000000"/>
          <w:szCs w:val="24"/>
        </w:rPr>
        <w:t>1,770,725</w:t>
      </w:r>
      <w:r w:rsidRPr="000F6872">
        <w:rPr>
          <w:color w:val="000000"/>
          <w:szCs w:val="24"/>
        </w:rPr>
        <w:t>.</w:t>
      </w:r>
      <w:r w:rsidRPr="000F6872">
        <w:rPr>
          <w:rStyle w:val="FootnoteReference"/>
          <w:color w:val="000000"/>
          <w:szCs w:val="24"/>
        </w:rPr>
        <w:footnoteReference w:id="18"/>
      </w:r>
    </w:p>
    <w:p w:rsidR="00514A3B" w:rsidRDefault="00514A3B" w:rsidP="008E301B">
      <w:pPr>
        <w:tabs>
          <w:tab w:val="left" w:pos="0"/>
          <w:tab w:val="left" w:pos="2220"/>
        </w:tabs>
        <w:rPr>
          <w:b/>
          <w:bCs/>
          <w:color w:val="000000"/>
          <w:szCs w:val="24"/>
        </w:rPr>
      </w:pPr>
    </w:p>
    <w:p w:rsidR="008E301B" w:rsidRPr="000F6872" w:rsidRDefault="008E301B" w:rsidP="008E301B">
      <w:pPr>
        <w:tabs>
          <w:tab w:val="left" w:pos="0"/>
          <w:tab w:val="left" w:pos="2220"/>
        </w:tabs>
        <w:rPr>
          <w:color w:val="000000"/>
          <w:szCs w:val="24"/>
        </w:rPr>
      </w:pPr>
      <w:r w:rsidRPr="000F6872">
        <w:rPr>
          <w:b/>
          <w:bCs/>
          <w:color w:val="000000"/>
          <w:szCs w:val="24"/>
        </w:rPr>
        <w:t>Estimate of Cost to the Federal Reserve System</w:t>
      </w:r>
    </w:p>
    <w:p w:rsidR="008E301B" w:rsidRPr="000F6872" w:rsidRDefault="008E301B" w:rsidP="008E301B">
      <w:pPr>
        <w:tabs>
          <w:tab w:val="left" w:pos="0"/>
          <w:tab w:val="left" w:pos="2220"/>
        </w:tabs>
        <w:rPr>
          <w:color w:val="000000"/>
          <w:szCs w:val="24"/>
        </w:rPr>
      </w:pPr>
    </w:p>
    <w:p w:rsidR="00BA0005" w:rsidRPr="000F6872" w:rsidRDefault="008E301B">
      <w:pPr>
        <w:tabs>
          <w:tab w:val="left" w:pos="0"/>
        </w:tabs>
        <w:rPr>
          <w:szCs w:val="24"/>
        </w:rPr>
      </w:pPr>
      <w:r w:rsidRPr="000F6872">
        <w:rPr>
          <w:color w:val="000000"/>
          <w:szCs w:val="24"/>
        </w:rPr>
        <w:tab/>
      </w:r>
      <w:r w:rsidRPr="000F6872">
        <w:rPr>
          <w:szCs w:val="24"/>
        </w:rPr>
        <w:t xml:space="preserve">The current cost to the Federal Reserve System for </w:t>
      </w:r>
      <w:r w:rsidRPr="000F6872">
        <w:rPr>
          <w:color w:val="000000"/>
          <w:szCs w:val="24"/>
        </w:rPr>
        <w:t>contacting the respondents and compiling the information</w:t>
      </w:r>
      <w:r w:rsidRPr="000F6872">
        <w:rPr>
          <w:szCs w:val="24"/>
        </w:rPr>
        <w:t xml:space="preserve"> is estimated to be </w:t>
      </w:r>
      <w:r w:rsidR="008C5F0E" w:rsidRPr="000F6872">
        <w:rPr>
          <w:szCs w:val="24"/>
        </w:rPr>
        <w:t>$</w:t>
      </w:r>
      <w:r w:rsidR="00E2436A" w:rsidRPr="000F6872">
        <w:rPr>
          <w:szCs w:val="24"/>
        </w:rPr>
        <w:t>250,000.</w:t>
      </w:r>
    </w:p>
    <w:sectPr w:rsidR="00BA0005" w:rsidRPr="000F6872" w:rsidSect="00DD1918">
      <w:headerReference w:type="default" r:id="rId8"/>
      <w:footerReference w:type="default" r:id="rId9"/>
      <w:head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6D3" w:rsidRDefault="008446D3" w:rsidP="00547587">
      <w:r>
        <w:separator/>
      </w:r>
    </w:p>
  </w:endnote>
  <w:endnote w:type="continuationSeparator" w:id="0">
    <w:p w:rsidR="008446D3" w:rsidRDefault="008446D3" w:rsidP="00547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78503"/>
      <w:docPartObj>
        <w:docPartGallery w:val="Page Numbers (Bottom of Page)"/>
        <w:docPartUnique/>
      </w:docPartObj>
    </w:sdtPr>
    <w:sdtContent>
      <w:p w:rsidR="008446D3" w:rsidRDefault="008446D3">
        <w:pPr>
          <w:pStyle w:val="Footer"/>
          <w:jc w:val="center"/>
        </w:pPr>
        <w:fldSimple w:instr=" PAGE   \* MERGEFORMAT ">
          <w:r w:rsidR="00762ACE">
            <w:rPr>
              <w:noProof/>
            </w:rPr>
            <w:t>7</w:t>
          </w:r>
        </w:fldSimple>
      </w:p>
    </w:sdtContent>
  </w:sdt>
  <w:p w:rsidR="008446D3" w:rsidRDefault="00844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6D3" w:rsidRDefault="008446D3" w:rsidP="00547587">
      <w:r>
        <w:separator/>
      </w:r>
    </w:p>
  </w:footnote>
  <w:footnote w:type="continuationSeparator" w:id="0">
    <w:p w:rsidR="008446D3" w:rsidRDefault="008446D3" w:rsidP="00547587">
      <w:r>
        <w:continuationSeparator/>
      </w:r>
    </w:p>
  </w:footnote>
  <w:footnote w:id="1">
    <w:p w:rsidR="008446D3" w:rsidRPr="000F6872" w:rsidRDefault="008446D3">
      <w:pPr>
        <w:pStyle w:val="FootnoteText"/>
      </w:pPr>
      <w:r w:rsidRPr="000F6872">
        <w:rPr>
          <w:rStyle w:val="FootnoteReference"/>
        </w:rPr>
        <w:footnoteRef/>
      </w:r>
      <w:r w:rsidRPr="000F6872">
        <w:t xml:space="preserve">  </w:t>
      </w:r>
      <w:proofErr w:type="gramStart"/>
      <w:r w:rsidRPr="000F6872">
        <w:t>Pub.</w:t>
      </w:r>
      <w:proofErr w:type="gramEnd"/>
      <w:r w:rsidRPr="000F6872">
        <w:t xml:space="preserve"> L. 111-203, § 1075, 124 Stat. 1376 (2010).</w:t>
      </w:r>
    </w:p>
  </w:footnote>
  <w:footnote w:id="2">
    <w:p w:rsidR="008446D3" w:rsidRPr="000F6872" w:rsidRDefault="008446D3" w:rsidP="008446D3">
      <w:pPr>
        <w:pStyle w:val="FootnoteText"/>
      </w:pPr>
      <w:r w:rsidRPr="000F6872">
        <w:rPr>
          <w:rStyle w:val="FootnoteReference"/>
        </w:rPr>
        <w:footnoteRef/>
      </w:r>
      <w:r w:rsidRPr="000F6872">
        <w:t xml:space="preserve">  </w:t>
      </w:r>
      <w:proofErr w:type="gramStart"/>
      <w:r w:rsidRPr="000F6872">
        <w:t xml:space="preserve">44 U.S.C. § 3501 </w:t>
      </w:r>
      <w:r w:rsidRPr="000F6872">
        <w:rPr>
          <w:u w:val="single"/>
        </w:rPr>
        <w:t>et</w:t>
      </w:r>
      <w:r w:rsidRPr="000F6872">
        <w:t xml:space="preserve"> </w:t>
      </w:r>
      <w:r w:rsidRPr="000F6872">
        <w:rPr>
          <w:u w:val="single"/>
        </w:rPr>
        <w:t>seq.</w:t>
      </w:r>
      <w:proofErr w:type="gramEnd"/>
    </w:p>
  </w:footnote>
  <w:footnote w:id="3">
    <w:p w:rsidR="008446D3" w:rsidRPr="000F6872" w:rsidRDefault="008446D3" w:rsidP="008446D3">
      <w:pPr>
        <w:pStyle w:val="FootnoteText"/>
      </w:pPr>
      <w:r w:rsidRPr="000F6872">
        <w:rPr>
          <w:rStyle w:val="FootnoteReference"/>
        </w:rPr>
        <w:footnoteRef/>
      </w:r>
      <w:r w:rsidRPr="000F6872">
        <w:t xml:space="preserve">  </w:t>
      </w:r>
      <w:proofErr w:type="gramStart"/>
      <w:r w:rsidRPr="000F6872">
        <w:t>44 U.S.C. § 3507(j); 5 C.F.R. § 1320.13 and Appendix A.</w:t>
      </w:r>
      <w:proofErr w:type="gramEnd"/>
      <w:r w:rsidRPr="000F6872">
        <w:t xml:space="preserve">   </w:t>
      </w:r>
    </w:p>
  </w:footnote>
  <w:footnote w:id="4">
    <w:p w:rsidR="008446D3" w:rsidRPr="000F6872" w:rsidRDefault="008446D3" w:rsidP="000F2F93">
      <w:pPr>
        <w:pStyle w:val="FootnoteText"/>
      </w:pPr>
      <w:r w:rsidRPr="000F6872">
        <w:rPr>
          <w:rStyle w:val="FootnoteReference"/>
        </w:rPr>
        <w:footnoteRef/>
      </w:r>
      <w:r w:rsidRPr="000F6872">
        <w:t xml:space="preserve"> An “issuer” is any person that issues a debit card, or the agent of such person. Sec. 920(c</w:t>
      </w:r>
      <w:proofErr w:type="gramStart"/>
      <w:r w:rsidRPr="000F6872">
        <w:t>)(</w:t>
      </w:r>
      <w:proofErr w:type="gramEnd"/>
      <w:r w:rsidRPr="000F6872">
        <w:t xml:space="preserve">9). </w:t>
      </w:r>
    </w:p>
  </w:footnote>
  <w:footnote w:id="5">
    <w:p w:rsidR="008446D3" w:rsidRPr="000F6872" w:rsidRDefault="008446D3" w:rsidP="000F2F93">
      <w:pPr>
        <w:pStyle w:val="FootnoteText"/>
      </w:pPr>
      <w:r w:rsidRPr="000F6872">
        <w:rPr>
          <w:rStyle w:val="FootnoteReference"/>
        </w:rPr>
        <w:footnoteRef/>
      </w:r>
      <w:r w:rsidRPr="000F6872">
        <w:t xml:space="preserve"> </w:t>
      </w:r>
      <w:proofErr w:type="gramStart"/>
      <w:r w:rsidRPr="000F6872">
        <w:t>Pub.</w:t>
      </w:r>
      <w:proofErr w:type="gramEnd"/>
      <w:r w:rsidRPr="000F6872">
        <w:t xml:space="preserve"> L. 111-203, § 1075, 124 Stat. 1376 (2010).  The provisions related to reasonable fees will be set forth in subsection (a) of a new section 920 of the EFTA. This subsection of the Dodd-Frank Act is effective July 21, 2011. </w:t>
      </w:r>
    </w:p>
  </w:footnote>
  <w:footnote w:id="6">
    <w:p w:rsidR="008446D3" w:rsidRPr="000F6872" w:rsidRDefault="008446D3">
      <w:pPr>
        <w:pStyle w:val="FootnoteText"/>
      </w:pPr>
      <w:r w:rsidRPr="000F6872">
        <w:rPr>
          <w:rStyle w:val="FootnoteReference"/>
        </w:rPr>
        <w:footnoteRef/>
      </w:r>
      <w:r w:rsidRPr="000F6872">
        <w:t xml:space="preserve">  </w:t>
      </w:r>
      <w:r w:rsidRPr="000F6872">
        <w:rPr>
          <w:u w:val="single"/>
        </w:rPr>
        <w:t>Id.</w:t>
      </w:r>
      <w:r w:rsidRPr="000F6872">
        <w:t xml:space="preserve"> The provisions related to network exclusivity are set forth in subsection (b) of the new section 920. The </w:t>
      </w:r>
      <w:proofErr w:type="spellStart"/>
      <w:r w:rsidRPr="000F6872">
        <w:t>Dodd</w:t>
      </w:r>
      <w:r w:rsidRPr="000F6872">
        <w:noBreakHyphen/>
        <w:t>Frank</w:t>
      </w:r>
      <w:proofErr w:type="spellEnd"/>
      <w:r w:rsidRPr="000F6872">
        <w:t xml:space="preserve"> Act does not stipulate an effective date for the provisions related to network restrictions. </w:t>
      </w:r>
    </w:p>
  </w:footnote>
  <w:footnote w:id="7">
    <w:p w:rsidR="008446D3" w:rsidRPr="000F6872" w:rsidRDefault="008446D3">
      <w:pPr>
        <w:pStyle w:val="FootnoteText"/>
      </w:pPr>
      <w:r w:rsidRPr="000F6872">
        <w:rPr>
          <w:rStyle w:val="FootnoteReference"/>
        </w:rPr>
        <w:footnoteRef/>
      </w:r>
      <w:r w:rsidRPr="000F6872">
        <w:rPr>
          <w:color w:val="222222"/>
        </w:rPr>
        <w:t xml:space="preserve">  These programs include, but are not limited to, unemployment insurance, temporary assistance for needy families, and child support.</w:t>
      </w:r>
    </w:p>
  </w:footnote>
  <w:footnote w:id="8">
    <w:p w:rsidR="008446D3" w:rsidRPr="000F6872" w:rsidRDefault="008446D3">
      <w:pPr>
        <w:pStyle w:val="FootnoteText"/>
      </w:pPr>
      <w:r w:rsidRPr="000F6872">
        <w:rPr>
          <w:rStyle w:val="FootnoteReference"/>
        </w:rPr>
        <w:footnoteRef/>
      </w:r>
      <w:r w:rsidRPr="000F6872">
        <w:t xml:space="preserve">  Sec. 920(a</w:t>
      </w:r>
      <w:proofErr w:type="gramStart"/>
      <w:r w:rsidRPr="000F6872">
        <w:t>)(</w:t>
      </w:r>
      <w:proofErr w:type="gramEnd"/>
      <w:r w:rsidRPr="000F6872">
        <w:t xml:space="preserve">3). </w:t>
      </w:r>
    </w:p>
  </w:footnote>
  <w:footnote w:id="9">
    <w:p w:rsidR="008446D3" w:rsidRPr="000F6872" w:rsidRDefault="008446D3" w:rsidP="00365086">
      <w:pPr>
        <w:pStyle w:val="FootnoteText"/>
      </w:pPr>
      <w:r w:rsidRPr="000F6872">
        <w:rPr>
          <w:rStyle w:val="FootnoteReference"/>
        </w:rPr>
        <w:footnoteRef/>
      </w:r>
      <w:r w:rsidRPr="000F6872">
        <w:t xml:space="preserve">  Sec. 920(a</w:t>
      </w:r>
      <w:proofErr w:type="gramStart"/>
      <w:r w:rsidRPr="000F6872">
        <w:t>)(</w:t>
      </w:r>
      <w:proofErr w:type="gramEnd"/>
      <w:r w:rsidRPr="000F6872">
        <w:t>4).</w:t>
      </w:r>
    </w:p>
  </w:footnote>
  <w:footnote w:id="10">
    <w:p w:rsidR="008446D3" w:rsidRPr="000F6872" w:rsidRDefault="008446D3" w:rsidP="00E62F32">
      <w:pPr>
        <w:pStyle w:val="FootnoteText"/>
      </w:pPr>
      <w:r w:rsidRPr="000F6872">
        <w:rPr>
          <w:rStyle w:val="FootnoteReference"/>
        </w:rPr>
        <w:footnoteRef/>
      </w:r>
      <w:r w:rsidRPr="000F6872">
        <w:t xml:space="preserve">  </w:t>
      </w:r>
      <w:r w:rsidRPr="000F6872">
        <w:rPr>
          <w:color w:val="000000"/>
        </w:rPr>
        <w:t>The factors the Board must consider include: (1) the nature, type, and occurrence of fraud in electronic debit transactions; (2) the extent to which the fraud depends on the type of authorization; (3) the available and economical means by which fraud may be reduced; (4) fraud prevention and data security costs of each party involved in an electronic debit transaction; (5) the costs of fraudulent transactions absorbed by each party involved in an electronic debit transaction; (6) the extent to which interchange fees reduce or increase incentives to reduce fraud, and (7) any other factors the Board considers appropriate.</w:t>
      </w:r>
      <w:r w:rsidRPr="000F6872">
        <w:t xml:space="preserve"> Sec. 920(a</w:t>
      </w:r>
      <w:proofErr w:type="gramStart"/>
      <w:r w:rsidRPr="000F6872">
        <w:t>)(</w:t>
      </w:r>
      <w:proofErr w:type="gramEnd"/>
      <w:r w:rsidRPr="000F6872">
        <w:t>5).</w:t>
      </w:r>
    </w:p>
  </w:footnote>
  <w:footnote w:id="11">
    <w:p w:rsidR="008446D3" w:rsidRPr="000F6872" w:rsidRDefault="008446D3" w:rsidP="00D95EDE">
      <w:pPr>
        <w:pStyle w:val="FootnoteText"/>
      </w:pPr>
      <w:r w:rsidRPr="000F6872">
        <w:rPr>
          <w:rStyle w:val="FootnoteReference"/>
        </w:rPr>
        <w:footnoteRef/>
      </w:r>
      <w:r w:rsidRPr="000F6872">
        <w:t xml:space="preserve"> Sec. 920(a</w:t>
      </w:r>
      <w:proofErr w:type="gramStart"/>
      <w:r w:rsidRPr="000F6872">
        <w:t>)(</w:t>
      </w:r>
      <w:proofErr w:type="gramEnd"/>
      <w:r w:rsidRPr="000F6872">
        <w:t>8).</w:t>
      </w:r>
    </w:p>
  </w:footnote>
  <w:footnote w:id="12">
    <w:p w:rsidR="008446D3" w:rsidRDefault="008446D3" w:rsidP="007B5864">
      <w:pPr>
        <w:pStyle w:val="FootnoteText"/>
      </w:pPr>
      <w:r>
        <w:rPr>
          <w:rStyle w:val="FootnoteReference"/>
        </w:rPr>
        <w:footnoteRef/>
      </w:r>
      <w:r>
        <w:t xml:space="preserve"> Sec. 920(b</w:t>
      </w:r>
      <w:proofErr w:type="gramStart"/>
      <w:r>
        <w:t>)(</w:t>
      </w:r>
      <w:proofErr w:type="gramEnd"/>
      <w:r>
        <w:t>1).</w:t>
      </w:r>
    </w:p>
  </w:footnote>
  <w:footnote w:id="13">
    <w:p w:rsidR="008446D3" w:rsidRDefault="008446D3" w:rsidP="00F744B9">
      <w:pPr>
        <w:pStyle w:val="FootnoteText"/>
      </w:pPr>
      <w:r>
        <w:rPr>
          <w:rStyle w:val="FootnoteReference"/>
        </w:rPr>
        <w:footnoteRef/>
      </w:r>
      <w:r>
        <w:t xml:space="preserve"> </w:t>
      </w:r>
      <w:r>
        <w:rPr>
          <w:rFonts w:eastAsiaTheme="minorHAnsi"/>
          <w:snapToGrid/>
          <w:color w:val="000000"/>
          <w:szCs w:val="24"/>
        </w:rPr>
        <w:t>This estimate includes bank and thrift holding companies; independent commercial banks, thrifts, and credit unions; and FDIC-insured U.S. branches and agencies of foreign banking organizations not held by a depository institution headquartered in the United States.  The number of issuers was estimated using the FFIEC’s National Information Center structure database, the Consolidated Financial Statements for Bank Holding Companies (FR Y</w:t>
      </w:r>
      <w:r>
        <w:rPr>
          <w:rFonts w:eastAsiaTheme="minorHAnsi"/>
          <w:snapToGrid/>
          <w:color w:val="000000"/>
          <w:szCs w:val="24"/>
        </w:rPr>
        <w:noBreakHyphen/>
        <w:t>9C; OMB No. 7100-0128), the Consolidated Reports of Condition and Income (Call Reports) for independent commercial banks (FFIEC 031 &amp; 041; OMB No. 7100-0036) and for U.S. branches and agencies of foreign banks not held by a U.S.-headquartered depository institution (FFIEC 002; OMB No. 7100-0032), the Thrift Financial Reports (OTS 1313; OMB No. 1550-0023) for Thrift Holding Companies and thrift institutions, and the Credit Union Reports of Condition and Income (NCUA 5300/5300S; OMB No. 3133-0004) for credit unions.</w:t>
      </w:r>
    </w:p>
  </w:footnote>
  <w:footnote w:id="14">
    <w:p w:rsidR="008446D3" w:rsidRDefault="008446D3">
      <w:pPr>
        <w:pStyle w:val="FootnoteText"/>
      </w:pPr>
      <w:r>
        <w:rPr>
          <w:rStyle w:val="FootnoteReference"/>
        </w:rPr>
        <w:footnoteRef/>
      </w:r>
      <w:r>
        <w:t xml:space="preserve"> This estimate is based on payment card networks known to process electronic debit transactions.  </w:t>
      </w:r>
    </w:p>
  </w:footnote>
  <w:footnote w:id="15">
    <w:p w:rsidR="008446D3" w:rsidRDefault="008446D3">
      <w:pPr>
        <w:pStyle w:val="FootnoteText"/>
      </w:pPr>
      <w:r>
        <w:rPr>
          <w:rStyle w:val="FootnoteReference"/>
        </w:rPr>
        <w:footnoteRef/>
      </w:r>
      <w:r>
        <w:t xml:space="preserve"> Some information on </w:t>
      </w:r>
      <w:r w:rsidRPr="00BE6BE7">
        <w:rPr>
          <w:color w:val="000000"/>
          <w:szCs w:val="24"/>
        </w:rPr>
        <w:t>government</w:t>
      </w:r>
      <w:r>
        <w:rPr>
          <w:color w:val="000000"/>
          <w:szCs w:val="24"/>
        </w:rPr>
        <w:t>-</w:t>
      </w:r>
      <w:r w:rsidRPr="00BE6BE7">
        <w:rPr>
          <w:color w:val="000000"/>
          <w:szCs w:val="24"/>
        </w:rPr>
        <w:t>administered payment programs</w:t>
      </w:r>
      <w:r>
        <w:t xml:space="preserve"> would be collected via the issuer survey.</w:t>
      </w:r>
    </w:p>
  </w:footnote>
  <w:footnote w:id="16">
    <w:p w:rsidR="008446D3" w:rsidRDefault="008446D3">
      <w:pPr>
        <w:pStyle w:val="FootnoteText"/>
      </w:pPr>
      <w:r>
        <w:rPr>
          <w:rStyle w:val="FootnoteReference"/>
        </w:rPr>
        <w:footnoteRef/>
      </w:r>
      <w:r>
        <w:t xml:space="preserve"> </w:t>
      </w:r>
      <w:proofErr w:type="gramStart"/>
      <w:r w:rsidRPr="000F6872">
        <w:t>Pub.</w:t>
      </w:r>
      <w:proofErr w:type="gramEnd"/>
      <w:r w:rsidRPr="000F6872">
        <w:t xml:space="preserve"> L. 111-203, § 1075, 124 Stat. 1376 (2010).</w:t>
      </w:r>
    </w:p>
  </w:footnote>
  <w:footnote w:id="17">
    <w:p w:rsidR="008446D3" w:rsidRPr="008E7049" w:rsidRDefault="008446D3">
      <w:pPr>
        <w:pStyle w:val="FootnoteText"/>
      </w:pPr>
      <w:r w:rsidRPr="008E7049">
        <w:rPr>
          <w:rStyle w:val="FootnoteReference"/>
        </w:rPr>
        <w:footnoteRef/>
      </w:r>
      <w:r>
        <w:t xml:space="preserve"> 5 U.S.C</w:t>
      </w:r>
      <w:proofErr w:type="gramStart"/>
      <w:r>
        <w:t>.§</w:t>
      </w:r>
      <w:proofErr w:type="gramEnd"/>
      <w:r>
        <w:t xml:space="preserve"> </w:t>
      </w:r>
      <w:r w:rsidRPr="008E7049">
        <w:t>552(b)(4) (disclosure exemption related to “trade secrets and commercial or financial information obtained from a person and privileged and confidential.”)</w:t>
      </w:r>
    </w:p>
  </w:footnote>
  <w:footnote w:id="18">
    <w:p w:rsidR="008446D3" w:rsidRDefault="008446D3" w:rsidP="008E301B">
      <w:pPr>
        <w:pStyle w:val="FootnoteText"/>
      </w:pPr>
      <w:r w:rsidRPr="00F37AF1">
        <w:rPr>
          <w:rStyle w:val="FootnoteReference"/>
        </w:rPr>
        <w:footnoteRef/>
      </w:r>
      <w:r w:rsidRPr="00F37AF1">
        <w:t xml:space="preserve"> </w:t>
      </w:r>
      <w:r>
        <w:t xml:space="preserve"> </w:t>
      </w:r>
      <w:r w:rsidRPr="00F37AF1">
        <w:t xml:space="preserve">Total cost </w:t>
      </w:r>
      <w:r>
        <w:t xml:space="preserve">to the public </w:t>
      </w:r>
      <w:r w:rsidRPr="00F37AF1">
        <w:t xml:space="preserve">was estimated using the following formula.  Percent of staff time, multiplied by annual burden hours, multiplied by hourly rate: </w:t>
      </w:r>
      <w:r w:rsidRPr="00426E3A">
        <w:t>75% Financial Managers @ $48, 15% Legal Counsel @ $54, and 10% Chief Executives @ $76</w:t>
      </w:r>
      <w:r w:rsidRPr="00F37AF1">
        <w:t>.</w:t>
      </w:r>
      <w:r>
        <w:t xml:space="preserve">  </w:t>
      </w:r>
      <w:r w:rsidRPr="00A93EBF">
        <w:rPr>
          <w:color w:val="000000"/>
        </w:rPr>
        <w:t xml:space="preserve">Hourly rate for each occupational group are </w:t>
      </w:r>
      <w:r>
        <w:rPr>
          <w:color w:val="000000"/>
        </w:rPr>
        <w:t xml:space="preserve">the median hourly wages (rounded </w:t>
      </w:r>
      <w:r w:rsidRPr="006E11AC">
        <w:t xml:space="preserve">up) from the Bureau of Labor and Statistics (BLS), </w:t>
      </w:r>
      <w:r w:rsidRPr="006E11AC">
        <w:rPr>
          <w:i/>
          <w:iCs/>
        </w:rPr>
        <w:t>Occupational Employment and Wages 2008</w:t>
      </w:r>
      <w:r w:rsidRPr="006E11AC">
        <w:t xml:space="preserve">, </w:t>
      </w:r>
      <w:hyperlink r:id="rId1" w:history="1">
        <w:r w:rsidRPr="006E11AC">
          <w:rPr>
            <w:rStyle w:val="Hyperlink"/>
          </w:rPr>
          <w:t>www.bls.gov/news.release/ocwage.nr0.htm</w:t>
        </w:r>
      </w:hyperlink>
      <w:r w:rsidRPr="006E11AC">
        <w:t xml:space="preserve">   Occupations are defined using the BLS Occupational Classification System</w:t>
      </w:r>
      <w:proofErr w:type="gramStart"/>
      <w:r w:rsidRPr="006E11AC">
        <w:t xml:space="preserve">,  </w:t>
      </w:r>
      <w:proofErr w:type="gramEnd"/>
      <w:hyperlink r:id="rId2" w:history="1">
        <w:r w:rsidRPr="006E11AC">
          <w:rPr>
            <w:rStyle w:val="Hyperlink"/>
          </w:rPr>
          <w:t>www.bls.gov/soc/</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D3" w:rsidRPr="008A466C" w:rsidRDefault="008446D3" w:rsidP="008A466C">
    <w:pPr>
      <w:pStyle w:val="Header"/>
      <w:jc w:val="right"/>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D3" w:rsidRPr="008A466C" w:rsidRDefault="008446D3" w:rsidP="008A466C">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134C"/>
    <w:multiLevelType w:val="hybridMultilevel"/>
    <w:tmpl w:val="09264A90"/>
    <w:lvl w:ilvl="0" w:tplc="5ED6C2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E07E5"/>
    <w:multiLevelType w:val="hybridMultilevel"/>
    <w:tmpl w:val="760C271E"/>
    <w:lvl w:ilvl="0" w:tplc="D5E2BDA4">
      <w:start w:val="1"/>
      <w:numFmt w:val="upperRoman"/>
      <w:lvlText w:val="%1."/>
      <w:lvlJc w:val="right"/>
      <w:pPr>
        <w:ind w:left="540" w:hanging="360"/>
      </w:pPr>
      <w:rPr>
        <w:b/>
      </w:rPr>
    </w:lvl>
    <w:lvl w:ilvl="1" w:tplc="2970251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43E60"/>
    <w:multiLevelType w:val="hybridMultilevel"/>
    <w:tmpl w:val="5A02689E"/>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6801"/>
  </w:hdrShapeDefaults>
  <w:footnotePr>
    <w:footnote w:id="-1"/>
    <w:footnote w:id="0"/>
  </w:footnotePr>
  <w:endnotePr>
    <w:endnote w:id="-1"/>
    <w:endnote w:id="0"/>
  </w:endnotePr>
  <w:compat/>
  <w:rsids>
    <w:rsidRoot w:val="00547587"/>
    <w:rsid w:val="00002146"/>
    <w:rsid w:val="000073A7"/>
    <w:rsid w:val="00010412"/>
    <w:rsid w:val="00010438"/>
    <w:rsid w:val="000247C4"/>
    <w:rsid w:val="00032942"/>
    <w:rsid w:val="00040067"/>
    <w:rsid w:val="00044960"/>
    <w:rsid w:val="0005025D"/>
    <w:rsid w:val="00066770"/>
    <w:rsid w:val="00071288"/>
    <w:rsid w:val="00076E0A"/>
    <w:rsid w:val="00082DC4"/>
    <w:rsid w:val="00087652"/>
    <w:rsid w:val="000A36D1"/>
    <w:rsid w:val="000B06F3"/>
    <w:rsid w:val="000B36F8"/>
    <w:rsid w:val="000B39E9"/>
    <w:rsid w:val="000B6D44"/>
    <w:rsid w:val="000C2263"/>
    <w:rsid w:val="000C2DBE"/>
    <w:rsid w:val="000D3564"/>
    <w:rsid w:val="000D55B4"/>
    <w:rsid w:val="000E1858"/>
    <w:rsid w:val="000E26BA"/>
    <w:rsid w:val="000E2FC2"/>
    <w:rsid w:val="000E4C43"/>
    <w:rsid w:val="000E57AA"/>
    <w:rsid w:val="000F2F93"/>
    <w:rsid w:val="000F5BEA"/>
    <w:rsid w:val="000F60B5"/>
    <w:rsid w:val="000F6872"/>
    <w:rsid w:val="00112CFB"/>
    <w:rsid w:val="0011731D"/>
    <w:rsid w:val="00125E12"/>
    <w:rsid w:val="001356B0"/>
    <w:rsid w:val="001437D3"/>
    <w:rsid w:val="00160FD0"/>
    <w:rsid w:val="001648B3"/>
    <w:rsid w:val="00165791"/>
    <w:rsid w:val="001711FD"/>
    <w:rsid w:val="00193A84"/>
    <w:rsid w:val="00195F17"/>
    <w:rsid w:val="001A2C6D"/>
    <w:rsid w:val="001A3125"/>
    <w:rsid w:val="001A6F0E"/>
    <w:rsid w:val="001C4E76"/>
    <w:rsid w:val="001D0D1B"/>
    <w:rsid w:val="001E12AD"/>
    <w:rsid w:val="001F00B4"/>
    <w:rsid w:val="001F0285"/>
    <w:rsid w:val="001F213E"/>
    <w:rsid w:val="002018A2"/>
    <w:rsid w:val="0021547C"/>
    <w:rsid w:val="00216276"/>
    <w:rsid w:val="0021785A"/>
    <w:rsid w:val="0022219A"/>
    <w:rsid w:val="0022224B"/>
    <w:rsid w:val="0022393A"/>
    <w:rsid w:val="00233F64"/>
    <w:rsid w:val="00237C5D"/>
    <w:rsid w:val="00246227"/>
    <w:rsid w:val="0025311B"/>
    <w:rsid w:val="002564EE"/>
    <w:rsid w:val="00257635"/>
    <w:rsid w:val="00257A12"/>
    <w:rsid w:val="00265016"/>
    <w:rsid w:val="00265320"/>
    <w:rsid w:val="00280531"/>
    <w:rsid w:val="00292D51"/>
    <w:rsid w:val="002A60EE"/>
    <w:rsid w:val="002C3EF6"/>
    <w:rsid w:val="002C5D99"/>
    <w:rsid w:val="002E069F"/>
    <w:rsid w:val="002E27F6"/>
    <w:rsid w:val="002E548C"/>
    <w:rsid w:val="00305F75"/>
    <w:rsid w:val="00312A7B"/>
    <w:rsid w:val="00315B4E"/>
    <w:rsid w:val="00322B36"/>
    <w:rsid w:val="0032359D"/>
    <w:rsid w:val="00327F64"/>
    <w:rsid w:val="003331CE"/>
    <w:rsid w:val="00341BC2"/>
    <w:rsid w:val="00345CB1"/>
    <w:rsid w:val="00347A24"/>
    <w:rsid w:val="00356908"/>
    <w:rsid w:val="00364CEA"/>
    <w:rsid w:val="00365086"/>
    <w:rsid w:val="00380F0F"/>
    <w:rsid w:val="003864EC"/>
    <w:rsid w:val="00393069"/>
    <w:rsid w:val="0039337C"/>
    <w:rsid w:val="003A1559"/>
    <w:rsid w:val="003B0927"/>
    <w:rsid w:val="003B3A1C"/>
    <w:rsid w:val="003B4C75"/>
    <w:rsid w:val="003B584C"/>
    <w:rsid w:val="003B62B9"/>
    <w:rsid w:val="003C6D07"/>
    <w:rsid w:val="003D0EF9"/>
    <w:rsid w:val="003D29CD"/>
    <w:rsid w:val="003E0F50"/>
    <w:rsid w:val="003F0A87"/>
    <w:rsid w:val="004152AC"/>
    <w:rsid w:val="00421FA0"/>
    <w:rsid w:val="00426E3A"/>
    <w:rsid w:val="00427AA6"/>
    <w:rsid w:val="00430D66"/>
    <w:rsid w:val="004314C4"/>
    <w:rsid w:val="0043390F"/>
    <w:rsid w:val="00437D2C"/>
    <w:rsid w:val="00446690"/>
    <w:rsid w:val="0045084B"/>
    <w:rsid w:val="004554CE"/>
    <w:rsid w:val="00457AB2"/>
    <w:rsid w:val="00467D36"/>
    <w:rsid w:val="004730CB"/>
    <w:rsid w:val="00491B33"/>
    <w:rsid w:val="00492A62"/>
    <w:rsid w:val="00493E42"/>
    <w:rsid w:val="0049628B"/>
    <w:rsid w:val="0049698E"/>
    <w:rsid w:val="004A1182"/>
    <w:rsid w:val="004B21D0"/>
    <w:rsid w:val="004B6CD3"/>
    <w:rsid w:val="004C15DC"/>
    <w:rsid w:val="004C4DC9"/>
    <w:rsid w:val="004D0FF3"/>
    <w:rsid w:val="004D1E97"/>
    <w:rsid w:val="004D6B3B"/>
    <w:rsid w:val="004E2098"/>
    <w:rsid w:val="004E27CC"/>
    <w:rsid w:val="004E70A9"/>
    <w:rsid w:val="004F0C70"/>
    <w:rsid w:val="004F535D"/>
    <w:rsid w:val="0050373E"/>
    <w:rsid w:val="005125BC"/>
    <w:rsid w:val="005136A1"/>
    <w:rsid w:val="0051443B"/>
    <w:rsid w:val="00514A3B"/>
    <w:rsid w:val="00522292"/>
    <w:rsid w:val="00523912"/>
    <w:rsid w:val="00527AB1"/>
    <w:rsid w:val="00527D3A"/>
    <w:rsid w:val="005309FC"/>
    <w:rsid w:val="00542628"/>
    <w:rsid w:val="00547534"/>
    <w:rsid w:val="00547587"/>
    <w:rsid w:val="00550E00"/>
    <w:rsid w:val="00557AEB"/>
    <w:rsid w:val="0057737B"/>
    <w:rsid w:val="0058261E"/>
    <w:rsid w:val="00584A4A"/>
    <w:rsid w:val="00595489"/>
    <w:rsid w:val="005A0937"/>
    <w:rsid w:val="005A4394"/>
    <w:rsid w:val="005A74F8"/>
    <w:rsid w:val="005C224F"/>
    <w:rsid w:val="005D0813"/>
    <w:rsid w:val="005D0A46"/>
    <w:rsid w:val="005D5A7C"/>
    <w:rsid w:val="005F084E"/>
    <w:rsid w:val="005F3938"/>
    <w:rsid w:val="006025C9"/>
    <w:rsid w:val="00604415"/>
    <w:rsid w:val="006046F7"/>
    <w:rsid w:val="006057DA"/>
    <w:rsid w:val="006112F5"/>
    <w:rsid w:val="00621AF7"/>
    <w:rsid w:val="00622E5B"/>
    <w:rsid w:val="006310C4"/>
    <w:rsid w:val="00633995"/>
    <w:rsid w:val="0064363E"/>
    <w:rsid w:val="00663BB2"/>
    <w:rsid w:val="006646F5"/>
    <w:rsid w:val="00677567"/>
    <w:rsid w:val="0068018C"/>
    <w:rsid w:val="00684C34"/>
    <w:rsid w:val="00687E7E"/>
    <w:rsid w:val="0069499A"/>
    <w:rsid w:val="006B5728"/>
    <w:rsid w:val="006C1C69"/>
    <w:rsid w:val="006C7A22"/>
    <w:rsid w:val="006D0F78"/>
    <w:rsid w:val="006D11E1"/>
    <w:rsid w:val="006D7016"/>
    <w:rsid w:val="006E5AA6"/>
    <w:rsid w:val="006E7EEB"/>
    <w:rsid w:val="00701B50"/>
    <w:rsid w:val="00702E9D"/>
    <w:rsid w:val="0071037C"/>
    <w:rsid w:val="00711305"/>
    <w:rsid w:val="00745A0E"/>
    <w:rsid w:val="0074633A"/>
    <w:rsid w:val="0075077C"/>
    <w:rsid w:val="0075089B"/>
    <w:rsid w:val="00762ACE"/>
    <w:rsid w:val="00765846"/>
    <w:rsid w:val="0076689B"/>
    <w:rsid w:val="0077139E"/>
    <w:rsid w:val="00771F4A"/>
    <w:rsid w:val="00777FC0"/>
    <w:rsid w:val="00785BE8"/>
    <w:rsid w:val="00786050"/>
    <w:rsid w:val="00791DAD"/>
    <w:rsid w:val="00793E87"/>
    <w:rsid w:val="00797EC6"/>
    <w:rsid w:val="007A0F12"/>
    <w:rsid w:val="007A1E8E"/>
    <w:rsid w:val="007B0B0B"/>
    <w:rsid w:val="007B5864"/>
    <w:rsid w:val="007C5145"/>
    <w:rsid w:val="007C5521"/>
    <w:rsid w:val="007D33F7"/>
    <w:rsid w:val="007E078F"/>
    <w:rsid w:val="007E43DE"/>
    <w:rsid w:val="007F2758"/>
    <w:rsid w:val="007F5750"/>
    <w:rsid w:val="007F5C3E"/>
    <w:rsid w:val="00800C50"/>
    <w:rsid w:val="00807458"/>
    <w:rsid w:val="00812191"/>
    <w:rsid w:val="008128AD"/>
    <w:rsid w:val="00814F25"/>
    <w:rsid w:val="0082299B"/>
    <w:rsid w:val="00823548"/>
    <w:rsid w:val="00833414"/>
    <w:rsid w:val="00844426"/>
    <w:rsid w:val="008446D3"/>
    <w:rsid w:val="008520FF"/>
    <w:rsid w:val="0085488D"/>
    <w:rsid w:val="0086100E"/>
    <w:rsid w:val="0086611B"/>
    <w:rsid w:val="008715D5"/>
    <w:rsid w:val="0087669B"/>
    <w:rsid w:val="00891A9D"/>
    <w:rsid w:val="00894366"/>
    <w:rsid w:val="008A3D0D"/>
    <w:rsid w:val="008A466C"/>
    <w:rsid w:val="008A636D"/>
    <w:rsid w:val="008A67C8"/>
    <w:rsid w:val="008C5F0E"/>
    <w:rsid w:val="008D1248"/>
    <w:rsid w:val="008D4164"/>
    <w:rsid w:val="008D48AE"/>
    <w:rsid w:val="008D588A"/>
    <w:rsid w:val="008E0B8E"/>
    <w:rsid w:val="008E301B"/>
    <w:rsid w:val="008E5CB6"/>
    <w:rsid w:val="008E6A9E"/>
    <w:rsid w:val="008E7049"/>
    <w:rsid w:val="008F2310"/>
    <w:rsid w:val="00907318"/>
    <w:rsid w:val="00911B72"/>
    <w:rsid w:val="00920C87"/>
    <w:rsid w:val="009318D8"/>
    <w:rsid w:val="00935393"/>
    <w:rsid w:val="00943838"/>
    <w:rsid w:val="009478A0"/>
    <w:rsid w:val="00950D78"/>
    <w:rsid w:val="00955344"/>
    <w:rsid w:val="00967E4F"/>
    <w:rsid w:val="00967EF9"/>
    <w:rsid w:val="00970543"/>
    <w:rsid w:val="009742D7"/>
    <w:rsid w:val="00977C4F"/>
    <w:rsid w:val="0098105A"/>
    <w:rsid w:val="00986046"/>
    <w:rsid w:val="009A0425"/>
    <w:rsid w:val="009A2F72"/>
    <w:rsid w:val="009B2288"/>
    <w:rsid w:val="009B43A1"/>
    <w:rsid w:val="009C50E4"/>
    <w:rsid w:val="009D2EDE"/>
    <w:rsid w:val="009E00E0"/>
    <w:rsid w:val="009E486F"/>
    <w:rsid w:val="009E65A5"/>
    <w:rsid w:val="009F070A"/>
    <w:rsid w:val="009F4030"/>
    <w:rsid w:val="009F4A03"/>
    <w:rsid w:val="00A01D43"/>
    <w:rsid w:val="00A13A5E"/>
    <w:rsid w:val="00A14179"/>
    <w:rsid w:val="00A17510"/>
    <w:rsid w:val="00A36126"/>
    <w:rsid w:val="00A43F41"/>
    <w:rsid w:val="00A446B0"/>
    <w:rsid w:val="00A505D3"/>
    <w:rsid w:val="00A50A12"/>
    <w:rsid w:val="00A51F09"/>
    <w:rsid w:val="00A54CCE"/>
    <w:rsid w:val="00A67086"/>
    <w:rsid w:val="00A76F3B"/>
    <w:rsid w:val="00A77BEE"/>
    <w:rsid w:val="00A8057E"/>
    <w:rsid w:val="00A83B06"/>
    <w:rsid w:val="00A84AFA"/>
    <w:rsid w:val="00A85B73"/>
    <w:rsid w:val="00A869BA"/>
    <w:rsid w:val="00A8742C"/>
    <w:rsid w:val="00A979C0"/>
    <w:rsid w:val="00AA657C"/>
    <w:rsid w:val="00AB7102"/>
    <w:rsid w:val="00AC2E67"/>
    <w:rsid w:val="00AD1032"/>
    <w:rsid w:val="00AD1AA1"/>
    <w:rsid w:val="00AD66C0"/>
    <w:rsid w:val="00AE17D7"/>
    <w:rsid w:val="00AF2AB7"/>
    <w:rsid w:val="00AF57EE"/>
    <w:rsid w:val="00AF7BEC"/>
    <w:rsid w:val="00B07CF2"/>
    <w:rsid w:val="00B2126A"/>
    <w:rsid w:val="00B3183E"/>
    <w:rsid w:val="00B37BE5"/>
    <w:rsid w:val="00B40E9E"/>
    <w:rsid w:val="00B47B0B"/>
    <w:rsid w:val="00B54CEE"/>
    <w:rsid w:val="00B6234E"/>
    <w:rsid w:val="00B65CA3"/>
    <w:rsid w:val="00B6625D"/>
    <w:rsid w:val="00B952C2"/>
    <w:rsid w:val="00B9769D"/>
    <w:rsid w:val="00BA0005"/>
    <w:rsid w:val="00BA58AF"/>
    <w:rsid w:val="00BA5CB7"/>
    <w:rsid w:val="00BB4F32"/>
    <w:rsid w:val="00BC1514"/>
    <w:rsid w:val="00BC324A"/>
    <w:rsid w:val="00BE6BE7"/>
    <w:rsid w:val="00BF3EBA"/>
    <w:rsid w:val="00BF5754"/>
    <w:rsid w:val="00C002F8"/>
    <w:rsid w:val="00C0238A"/>
    <w:rsid w:val="00C03BC1"/>
    <w:rsid w:val="00C042E0"/>
    <w:rsid w:val="00C111FA"/>
    <w:rsid w:val="00C14CCA"/>
    <w:rsid w:val="00C34488"/>
    <w:rsid w:val="00C36C05"/>
    <w:rsid w:val="00C51817"/>
    <w:rsid w:val="00C7087C"/>
    <w:rsid w:val="00C7097D"/>
    <w:rsid w:val="00C73C27"/>
    <w:rsid w:val="00C844DF"/>
    <w:rsid w:val="00C901AC"/>
    <w:rsid w:val="00C92524"/>
    <w:rsid w:val="00CA2220"/>
    <w:rsid w:val="00CA22CD"/>
    <w:rsid w:val="00CA2376"/>
    <w:rsid w:val="00CA4CB1"/>
    <w:rsid w:val="00CB0389"/>
    <w:rsid w:val="00CB10A5"/>
    <w:rsid w:val="00CC5D51"/>
    <w:rsid w:val="00CD1052"/>
    <w:rsid w:val="00CD4554"/>
    <w:rsid w:val="00CD5F4D"/>
    <w:rsid w:val="00CE4684"/>
    <w:rsid w:val="00CF3E19"/>
    <w:rsid w:val="00CF409F"/>
    <w:rsid w:val="00D126C7"/>
    <w:rsid w:val="00D1285B"/>
    <w:rsid w:val="00D4152E"/>
    <w:rsid w:val="00D41CBC"/>
    <w:rsid w:val="00D42E04"/>
    <w:rsid w:val="00D529F5"/>
    <w:rsid w:val="00D64690"/>
    <w:rsid w:val="00D758FE"/>
    <w:rsid w:val="00D803D7"/>
    <w:rsid w:val="00D84E5E"/>
    <w:rsid w:val="00D90E39"/>
    <w:rsid w:val="00D93B4E"/>
    <w:rsid w:val="00D95EDE"/>
    <w:rsid w:val="00D9670F"/>
    <w:rsid w:val="00D976C0"/>
    <w:rsid w:val="00DA11B4"/>
    <w:rsid w:val="00DB7BC4"/>
    <w:rsid w:val="00DC562A"/>
    <w:rsid w:val="00DC632B"/>
    <w:rsid w:val="00DD1918"/>
    <w:rsid w:val="00DD2161"/>
    <w:rsid w:val="00DE674E"/>
    <w:rsid w:val="00E01682"/>
    <w:rsid w:val="00E2436A"/>
    <w:rsid w:val="00E245BE"/>
    <w:rsid w:val="00E254C5"/>
    <w:rsid w:val="00E259D0"/>
    <w:rsid w:val="00E31F0D"/>
    <w:rsid w:val="00E320CA"/>
    <w:rsid w:val="00E331D4"/>
    <w:rsid w:val="00E44856"/>
    <w:rsid w:val="00E5014D"/>
    <w:rsid w:val="00E569D9"/>
    <w:rsid w:val="00E62011"/>
    <w:rsid w:val="00E62F32"/>
    <w:rsid w:val="00E666FC"/>
    <w:rsid w:val="00E71404"/>
    <w:rsid w:val="00E72D76"/>
    <w:rsid w:val="00E76746"/>
    <w:rsid w:val="00E87F3D"/>
    <w:rsid w:val="00E9087F"/>
    <w:rsid w:val="00E92E88"/>
    <w:rsid w:val="00E933B7"/>
    <w:rsid w:val="00EA4699"/>
    <w:rsid w:val="00EB11FD"/>
    <w:rsid w:val="00EB1515"/>
    <w:rsid w:val="00EB39FF"/>
    <w:rsid w:val="00EB480C"/>
    <w:rsid w:val="00EE22E2"/>
    <w:rsid w:val="00EE279B"/>
    <w:rsid w:val="00EE5C1B"/>
    <w:rsid w:val="00EE77EF"/>
    <w:rsid w:val="00EF5D17"/>
    <w:rsid w:val="00EF7428"/>
    <w:rsid w:val="00F15748"/>
    <w:rsid w:val="00F20558"/>
    <w:rsid w:val="00F26F9D"/>
    <w:rsid w:val="00F3183B"/>
    <w:rsid w:val="00F42C00"/>
    <w:rsid w:val="00F42FEE"/>
    <w:rsid w:val="00F521B5"/>
    <w:rsid w:val="00F6078F"/>
    <w:rsid w:val="00F6190F"/>
    <w:rsid w:val="00F744B9"/>
    <w:rsid w:val="00F75133"/>
    <w:rsid w:val="00F80C98"/>
    <w:rsid w:val="00F920D2"/>
    <w:rsid w:val="00F94144"/>
    <w:rsid w:val="00F978DB"/>
    <w:rsid w:val="00FB2777"/>
    <w:rsid w:val="00FB351C"/>
    <w:rsid w:val="00FB48D8"/>
    <w:rsid w:val="00FD4502"/>
    <w:rsid w:val="00FE1649"/>
    <w:rsid w:val="00FE2365"/>
    <w:rsid w:val="00FE4EFC"/>
    <w:rsid w:val="00FE61C2"/>
    <w:rsid w:val="00FF2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587"/>
    <w:pPr>
      <w:spacing w:after="0" w:line="240" w:lineRule="auto"/>
    </w:pPr>
    <w:rPr>
      <w:rFonts w:eastAsia="Times New Roman" w:cs="Times New Roman"/>
      <w:snapToGrid w:val="0"/>
      <w:szCs w:val="20"/>
    </w:rPr>
  </w:style>
  <w:style w:type="paragraph" w:styleId="Heading1">
    <w:name w:val="heading 1"/>
    <w:basedOn w:val="Normal"/>
    <w:next w:val="Normal"/>
    <w:link w:val="Heading1Char"/>
    <w:uiPriority w:val="9"/>
    <w:qFormat/>
    <w:rsid w:val="00A76F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6F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47587"/>
    <w:rPr>
      <w:vertAlign w:val="superscript"/>
    </w:rPr>
  </w:style>
  <w:style w:type="paragraph" w:styleId="Header">
    <w:name w:val="header"/>
    <w:basedOn w:val="Normal"/>
    <w:link w:val="HeaderChar"/>
    <w:uiPriority w:val="99"/>
    <w:unhideWhenUsed/>
    <w:rsid w:val="00547587"/>
    <w:pPr>
      <w:tabs>
        <w:tab w:val="center" w:pos="4680"/>
        <w:tab w:val="right" w:pos="9360"/>
      </w:tabs>
    </w:pPr>
  </w:style>
  <w:style w:type="character" w:customStyle="1" w:styleId="HeaderChar">
    <w:name w:val="Header Char"/>
    <w:basedOn w:val="DefaultParagraphFont"/>
    <w:link w:val="Header"/>
    <w:uiPriority w:val="99"/>
    <w:rsid w:val="00547587"/>
    <w:rPr>
      <w:rFonts w:eastAsia="Times New Roman" w:cs="Times New Roman"/>
      <w:snapToGrid w:val="0"/>
      <w:szCs w:val="20"/>
    </w:rPr>
  </w:style>
  <w:style w:type="paragraph" w:styleId="Footer">
    <w:name w:val="footer"/>
    <w:basedOn w:val="Normal"/>
    <w:link w:val="FooterChar"/>
    <w:uiPriority w:val="99"/>
    <w:unhideWhenUsed/>
    <w:rsid w:val="00547587"/>
    <w:pPr>
      <w:tabs>
        <w:tab w:val="center" w:pos="4680"/>
        <w:tab w:val="right" w:pos="9360"/>
      </w:tabs>
    </w:pPr>
  </w:style>
  <w:style w:type="character" w:customStyle="1" w:styleId="FooterChar">
    <w:name w:val="Footer Char"/>
    <w:basedOn w:val="DefaultParagraphFont"/>
    <w:link w:val="Footer"/>
    <w:uiPriority w:val="99"/>
    <w:rsid w:val="00547587"/>
    <w:rPr>
      <w:rFonts w:eastAsia="Times New Roman" w:cs="Times New Roman"/>
      <w:snapToGrid w:val="0"/>
      <w:szCs w:val="20"/>
    </w:rPr>
  </w:style>
  <w:style w:type="paragraph" w:styleId="FootnoteText">
    <w:name w:val="footnote text"/>
    <w:basedOn w:val="Normal"/>
    <w:link w:val="FootnoteTextChar"/>
    <w:semiHidden/>
    <w:unhideWhenUsed/>
    <w:rsid w:val="008A3D0D"/>
    <w:rPr>
      <w:sz w:val="20"/>
    </w:rPr>
  </w:style>
  <w:style w:type="character" w:customStyle="1" w:styleId="FootnoteTextChar">
    <w:name w:val="Footnote Text Char"/>
    <w:basedOn w:val="DefaultParagraphFont"/>
    <w:link w:val="FootnoteText"/>
    <w:uiPriority w:val="99"/>
    <w:semiHidden/>
    <w:rsid w:val="008A3D0D"/>
    <w:rPr>
      <w:rFonts w:eastAsia="Times New Roman" w:cs="Times New Roman"/>
      <w:snapToGrid w:val="0"/>
      <w:sz w:val="20"/>
      <w:szCs w:val="20"/>
    </w:rPr>
  </w:style>
  <w:style w:type="character" w:styleId="CommentReference">
    <w:name w:val="annotation reference"/>
    <w:basedOn w:val="DefaultParagraphFont"/>
    <w:uiPriority w:val="99"/>
    <w:semiHidden/>
    <w:unhideWhenUsed/>
    <w:rsid w:val="00A8742C"/>
    <w:rPr>
      <w:sz w:val="16"/>
      <w:szCs w:val="16"/>
    </w:rPr>
  </w:style>
  <w:style w:type="paragraph" w:styleId="CommentText">
    <w:name w:val="annotation text"/>
    <w:basedOn w:val="Normal"/>
    <w:link w:val="CommentTextChar"/>
    <w:uiPriority w:val="99"/>
    <w:semiHidden/>
    <w:unhideWhenUsed/>
    <w:rsid w:val="00A8742C"/>
    <w:rPr>
      <w:sz w:val="20"/>
    </w:rPr>
  </w:style>
  <w:style w:type="character" w:customStyle="1" w:styleId="CommentTextChar">
    <w:name w:val="Comment Text Char"/>
    <w:basedOn w:val="DefaultParagraphFont"/>
    <w:link w:val="CommentText"/>
    <w:uiPriority w:val="99"/>
    <w:semiHidden/>
    <w:rsid w:val="00A8742C"/>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8742C"/>
    <w:rPr>
      <w:b/>
      <w:bCs/>
    </w:rPr>
  </w:style>
  <w:style w:type="character" w:customStyle="1" w:styleId="CommentSubjectChar">
    <w:name w:val="Comment Subject Char"/>
    <w:basedOn w:val="CommentTextChar"/>
    <w:link w:val="CommentSubject"/>
    <w:uiPriority w:val="99"/>
    <w:semiHidden/>
    <w:rsid w:val="00A8742C"/>
    <w:rPr>
      <w:b/>
      <w:bCs/>
    </w:rPr>
  </w:style>
  <w:style w:type="paragraph" w:styleId="BalloonText">
    <w:name w:val="Balloon Text"/>
    <w:basedOn w:val="Normal"/>
    <w:link w:val="BalloonTextChar"/>
    <w:uiPriority w:val="99"/>
    <w:semiHidden/>
    <w:unhideWhenUsed/>
    <w:rsid w:val="00A8742C"/>
    <w:rPr>
      <w:rFonts w:ascii="Tahoma" w:hAnsi="Tahoma" w:cs="Tahoma"/>
      <w:sz w:val="16"/>
      <w:szCs w:val="16"/>
    </w:rPr>
  </w:style>
  <w:style w:type="character" w:customStyle="1" w:styleId="BalloonTextChar">
    <w:name w:val="Balloon Text Char"/>
    <w:basedOn w:val="DefaultParagraphFont"/>
    <w:link w:val="BalloonText"/>
    <w:uiPriority w:val="99"/>
    <w:semiHidden/>
    <w:rsid w:val="00A8742C"/>
    <w:rPr>
      <w:rFonts w:ascii="Tahoma" w:eastAsia="Times New Roman" w:hAnsi="Tahoma" w:cs="Tahoma"/>
      <w:snapToGrid w:val="0"/>
      <w:sz w:val="16"/>
      <w:szCs w:val="16"/>
    </w:rPr>
  </w:style>
  <w:style w:type="paragraph" w:styleId="ListParagraph">
    <w:name w:val="List Paragraph"/>
    <w:basedOn w:val="Normal"/>
    <w:uiPriority w:val="34"/>
    <w:qFormat/>
    <w:rsid w:val="001437D3"/>
    <w:pPr>
      <w:ind w:left="720"/>
      <w:contextualSpacing/>
    </w:pPr>
  </w:style>
  <w:style w:type="table" w:styleId="TableGrid">
    <w:name w:val="Table Grid"/>
    <w:basedOn w:val="TableNormal"/>
    <w:uiPriority w:val="59"/>
    <w:rsid w:val="00A50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37D2C"/>
    <w:pPr>
      <w:autoSpaceDE w:val="0"/>
      <w:autoSpaceDN w:val="0"/>
      <w:adjustRightInd w:val="0"/>
      <w:spacing w:after="0" w:line="240" w:lineRule="auto"/>
    </w:pPr>
    <w:rPr>
      <w:rFonts w:ascii="PMODMN+ArialNarrow" w:hAnsi="PMODMN+ArialNarrow" w:cs="PMODMN+ArialNarrow"/>
      <w:color w:val="000000"/>
    </w:rPr>
  </w:style>
  <w:style w:type="paragraph" w:styleId="Revision">
    <w:name w:val="Revision"/>
    <w:hidden/>
    <w:uiPriority w:val="99"/>
    <w:semiHidden/>
    <w:rsid w:val="00D803D7"/>
    <w:pPr>
      <w:spacing w:after="0" w:line="240" w:lineRule="auto"/>
    </w:pPr>
    <w:rPr>
      <w:rFonts w:eastAsia="Times New Roman" w:cs="Times New Roman"/>
      <w:snapToGrid w:val="0"/>
      <w:szCs w:val="20"/>
    </w:rPr>
  </w:style>
  <w:style w:type="character" w:customStyle="1" w:styleId="Heading2Char">
    <w:name w:val="Heading 2 Char"/>
    <w:basedOn w:val="DefaultParagraphFont"/>
    <w:link w:val="Heading2"/>
    <w:uiPriority w:val="9"/>
    <w:semiHidden/>
    <w:rsid w:val="00A76F3B"/>
    <w:rPr>
      <w:rFonts w:asciiTheme="majorHAnsi" w:eastAsiaTheme="majorEastAsia" w:hAnsiTheme="majorHAnsi" w:cstheme="majorBidi"/>
      <w:b/>
      <w:bCs/>
      <w:snapToGrid w:val="0"/>
      <w:color w:val="4F81BD" w:themeColor="accent1"/>
      <w:sz w:val="26"/>
      <w:szCs w:val="26"/>
    </w:rPr>
  </w:style>
  <w:style w:type="character" w:customStyle="1" w:styleId="Heading1Char">
    <w:name w:val="Heading 1 Char"/>
    <w:basedOn w:val="DefaultParagraphFont"/>
    <w:link w:val="Heading1"/>
    <w:uiPriority w:val="9"/>
    <w:rsid w:val="00A76F3B"/>
    <w:rPr>
      <w:rFonts w:asciiTheme="majorHAnsi" w:eastAsiaTheme="majorEastAsia" w:hAnsiTheme="majorHAnsi" w:cstheme="majorBidi"/>
      <w:b/>
      <w:bCs/>
      <w:snapToGrid w:val="0"/>
      <w:color w:val="365F91" w:themeColor="accent1" w:themeShade="BF"/>
      <w:sz w:val="28"/>
      <w:szCs w:val="28"/>
    </w:rPr>
  </w:style>
  <w:style w:type="character" w:styleId="Hyperlink">
    <w:name w:val="Hyperlink"/>
    <w:basedOn w:val="DefaultParagraphFont"/>
    <w:uiPriority w:val="99"/>
    <w:unhideWhenUsed/>
    <w:rsid w:val="008E30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C492-3CF4-43ED-9837-3D93DF47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M1DLM00</dc:creator>
  <cp:keywords/>
  <dc:description/>
  <cp:lastModifiedBy>m1jas00</cp:lastModifiedBy>
  <cp:revision>3</cp:revision>
  <cp:lastPrinted>2010-09-07T12:24:00Z</cp:lastPrinted>
  <dcterms:created xsi:type="dcterms:W3CDTF">2010-09-07T18:58:00Z</dcterms:created>
  <dcterms:modified xsi:type="dcterms:W3CDTF">2010-09-07T19:17:00Z</dcterms:modified>
</cp:coreProperties>
</file>