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664" w:rsidRDefault="00106664" w:rsidP="00106664">
      <w:pPr>
        <w:jc w:val="center"/>
        <w:rPr>
          <w:b/>
          <w:bCs/>
        </w:rPr>
      </w:pPr>
      <w:r w:rsidRPr="00D14565">
        <w:rPr>
          <w:b/>
          <w:bCs/>
        </w:rPr>
        <w:t>Supporting Statement for the</w:t>
      </w:r>
      <w:r>
        <w:rPr>
          <w:b/>
          <w:bCs/>
        </w:rPr>
        <w:t xml:space="preserve"> </w:t>
      </w:r>
    </w:p>
    <w:p w:rsidR="00106664" w:rsidRDefault="00106664" w:rsidP="00106664">
      <w:pPr>
        <w:jc w:val="center"/>
        <w:rPr>
          <w:b/>
          <w:bCs/>
        </w:rPr>
      </w:pPr>
      <w:r w:rsidRPr="00D14565">
        <w:rPr>
          <w:b/>
          <w:bCs/>
        </w:rPr>
        <w:t>Recordkeeping and Disclosure Requirements Associated with</w:t>
      </w:r>
      <w:r>
        <w:rPr>
          <w:b/>
          <w:bCs/>
        </w:rPr>
        <w:t xml:space="preserve"> </w:t>
      </w:r>
    </w:p>
    <w:p w:rsidR="00106664" w:rsidRDefault="00106664" w:rsidP="00106664">
      <w:pPr>
        <w:jc w:val="center"/>
        <w:rPr>
          <w:b/>
          <w:bCs/>
        </w:rPr>
      </w:pPr>
      <w:r w:rsidRPr="00D14565">
        <w:rPr>
          <w:b/>
          <w:bCs/>
        </w:rPr>
        <w:t xml:space="preserve">Regulation V (Fair Credit Reporting) </w:t>
      </w:r>
    </w:p>
    <w:p w:rsidR="00106664" w:rsidRPr="00D14565" w:rsidRDefault="00106664" w:rsidP="00106664">
      <w:pPr>
        <w:jc w:val="center"/>
        <w:rPr>
          <w:b/>
        </w:rPr>
      </w:pPr>
      <w:r w:rsidRPr="00D14565">
        <w:rPr>
          <w:b/>
        </w:rPr>
        <w:t>(OMB No. 7100</w:t>
      </w:r>
      <w:r w:rsidRPr="00D14565">
        <w:rPr>
          <w:b/>
        </w:rPr>
        <w:noBreakHyphen/>
        <w:t>0308)</w:t>
      </w:r>
    </w:p>
    <w:p w:rsidR="00106664" w:rsidRDefault="00106664" w:rsidP="00106664">
      <w:pPr>
        <w:tabs>
          <w:tab w:val="center" w:pos="4680"/>
        </w:tabs>
        <w:rPr>
          <w:b/>
          <w:bCs/>
        </w:rPr>
      </w:pPr>
    </w:p>
    <w:p w:rsidR="00626ED6" w:rsidRPr="00912F1F" w:rsidRDefault="00626ED6" w:rsidP="00106664">
      <w:pPr>
        <w:tabs>
          <w:tab w:val="center" w:pos="4680"/>
        </w:tabs>
      </w:pPr>
      <w:r w:rsidRPr="00912F1F">
        <w:rPr>
          <w:b/>
          <w:bCs/>
        </w:rPr>
        <w:t>Summary</w:t>
      </w:r>
    </w:p>
    <w:p w:rsidR="00626ED6" w:rsidRPr="00912F1F" w:rsidRDefault="00626ED6">
      <w:pPr>
        <w:widowControl/>
        <w:tabs>
          <w:tab w:val="left" w:pos="360"/>
          <w:tab w:val="left" w:pos="1080"/>
        </w:tabs>
      </w:pPr>
    </w:p>
    <w:p w:rsidR="008E1247" w:rsidRPr="00912F1F" w:rsidRDefault="00106664" w:rsidP="008E59F2">
      <w:pPr>
        <w:ind w:firstLine="720"/>
      </w:pPr>
      <w:r w:rsidRPr="00D14565">
        <w:t>The Board of Governors of the Federal Reserve System, under delegated authority from the Office of Management and Budget (OMB)</w:t>
      </w:r>
      <w:r>
        <w:t xml:space="preserve"> </w:t>
      </w:r>
      <w:r w:rsidR="000A28E6" w:rsidRPr="00912F1F">
        <w:t xml:space="preserve">proposes to extend for three years, without revision, </w:t>
      </w:r>
      <w:r w:rsidR="00EC7A12" w:rsidRPr="00912F1F">
        <w:t>the</w:t>
      </w:r>
      <w:r w:rsidR="00BE5541" w:rsidRPr="00912F1F">
        <w:t xml:space="preserve"> </w:t>
      </w:r>
      <w:r w:rsidR="003B4C85" w:rsidRPr="00912F1F">
        <w:t xml:space="preserve">recordkeeping and </w:t>
      </w:r>
      <w:r w:rsidR="00BE5541" w:rsidRPr="00912F1F">
        <w:t>disclosure requirements associated with</w:t>
      </w:r>
      <w:r w:rsidR="00EB25E8" w:rsidRPr="00912F1F">
        <w:t xml:space="preserve"> Regulation V</w:t>
      </w:r>
      <w:r w:rsidR="00BE5541" w:rsidRPr="00912F1F">
        <w:t>, which</w:t>
      </w:r>
      <w:r w:rsidR="00EB25E8" w:rsidRPr="00912F1F">
        <w:t xml:space="preserve"> implements the Fair Credit Reporting Act (FCRA)</w:t>
      </w:r>
      <w:r w:rsidR="008E59F2">
        <w:t xml:space="preserve">, as amended by the </w:t>
      </w:r>
      <w:r w:rsidR="008E59F2" w:rsidRPr="00323808">
        <w:t>Fair and Accurate Credit Transactions Act of 2003 (FACT Act)</w:t>
      </w:r>
      <w:r w:rsidR="00EC7A12" w:rsidRPr="00912F1F">
        <w:t xml:space="preserve"> (OMB No. 7100</w:t>
      </w:r>
      <w:r w:rsidR="00EC7A12" w:rsidRPr="00912F1F">
        <w:noBreakHyphen/>
        <w:t>0308)</w:t>
      </w:r>
      <w:r w:rsidR="00BE5541" w:rsidRPr="00912F1F">
        <w:t>.</w:t>
      </w:r>
      <w:r w:rsidR="00BE5541" w:rsidRPr="00912F1F">
        <w:rPr>
          <w:rStyle w:val="FootnoteReference"/>
          <w:vertAlign w:val="superscript"/>
        </w:rPr>
        <w:footnoteReference w:id="1"/>
      </w:r>
      <w:r w:rsidR="006205DF" w:rsidRPr="00912F1F">
        <w:t xml:space="preserve"> </w:t>
      </w:r>
      <w:r w:rsidR="00EB25E8" w:rsidRPr="00912F1F">
        <w:t xml:space="preserve"> </w:t>
      </w:r>
      <w:r w:rsidR="00433193" w:rsidRPr="00912F1F">
        <w:t>The Paperwork Reduction Act (PRA) classifies recordkeeping or disclosure requirements of a regulation as an information collection.</w:t>
      </w:r>
      <w:r w:rsidR="00433193" w:rsidRPr="00912F1F">
        <w:rPr>
          <w:rStyle w:val="FootnoteReference"/>
          <w:color w:val="000000"/>
          <w:vertAlign w:val="superscript"/>
        </w:rPr>
        <w:footnoteReference w:id="2"/>
      </w:r>
      <w:r w:rsidR="000B75B7" w:rsidRPr="00912F1F">
        <w:t xml:space="preserve">  </w:t>
      </w:r>
    </w:p>
    <w:p w:rsidR="0030417E" w:rsidRPr="00912F1F" w:rsidRDefault="0030417E" w:rsidP="008E59F2">
      <w:pPr>
        <w:ind w:firstLine="720"/>
      </w:pPr>
    </w:p>
    <w:p w:rsidR="0072274E" w:rsidRPr="00912F1F" w:rsidRDefault="00C61DB5" w:rsidP="008E59F2">
      <w:pPr>
        <w:widowControl/>
      </w:pPr>
      <w:r w:rsidRPr="00912F1F">
        <w:tab/>
      </w:r>
      <w:r w:rsidR="0030417E" w:rsidRPr="00912F1F">
        <w:t xml:space="preserve">Regulation V </w:t>
      </w:r>
      <w:r w:rsidR="0086568F">
        <w:t xml:space="preserve">currently contains several requirements that impose information collection requirements.  Under the negative information notice provisions of the FACT Act, </w:t>
      </w:r>
      <w:r w:rsidR="0030417E" w:rsidRPr="00912F1F">
        <w:t>financial institutions that (1) extend credit and regularly in the ordinary course of business furnish information to a nationwide consumer reporting agency (CRA) and (2) furnish negative information to a CRA regarding credit extended to a customer must provide a clear and conspicuous notice to the customer, in writing, about furnishing this negative information</w:t>
      </w:r>
      <w:r w:rsidR="0086568F">
        <w:t>.</w:t>
      </w:r>
      <w:r w:rsidR="0030417E" w:rsidRPr="00912F1F">
        <w:rPr>
          <w:rStyle w:val="FootnoteReference"/>
          <w:vertAlign w:val="superscript"/>
        </w:rPr>
        <w:footnoteReference w:id="3"/>
      </w:r>
      <w:r w:rsidR="0086568F">
        <w:t xml:space="preserve">  Regulation V contains model forms developed by the Board that financial institutions may use to comply with this notice requirement</w:t>
      </w:r>
      <w:r w:rsidR="0086568F" w:rsidRPr="00912F1F">
        <w:t>.</w:t>
      </w:r>
      <w:r w:rsidR="0030417E" w:rsidRPr="00912F1F">
        <w:t xml:space="preserve">  </w:t>
      </w:r>
      <w:r w:rsidR="00803211" w:rsidRPr="00912F1F">
        <w:t xml:space="preserve">Under the </w:t>
      </w:r>
      <w:r w:rsidR="0030417E" w:rsidRPr="00912F1F">
        <w:t>affiliate marketing provision</w:t>
      </w:r>
      <w:r w:rsidR="0086568F">
        <w:t>s</w:t>
      </w:r>
      <w:r w:rsidR="00936E2C" w:rsidRPr="00912F1F">
        <w:rPr>
          <w:rStyle w:val="FootnoteReference"/>
          <w:vertAlign w:val="superscript"/>
        </w:rPr>
        <w:footnoteReference w:id="4"/>
      </w:r>
      <w:r w:rsidR="0030417E" w:rsidRPr="00912F1F">
        <w:t xml:space="preserve"> of Regulation V</w:t>
      </w:r>
      <w:r w:rsidR="0086568F">
        <w:t>,</w:t>
      </w:r>
      <w:r w:rsidR="0030417E" w:rsidRPr="00912F1F">
        <w:t xml:space="preserve"> financial institutions are prohibited from using certain information received from an affiliate to make a solicitation to a consumer unless the consumer is given notice and a reasonable opportunity to opt out of such solicitations, and the consumer does not opt out.</w:t>
      </w:r>
      <w:r w:rsidR="001F0705" w:rsidRPr="00912F1F">
        <w:t xml:space="preserve">  </w:t>
      </w:r>
      <w:r w:rsidR="00803211" w:rsidRPr="00912F1F">
        <w:t>Under t</w:t>
      </w:r>
      <w:r w:rsidR="001F0705" w:rsidRPr="00912F1F">
        <w:t>he Red Flags provision</w:t>
      </w:r>
      <w:r w:rsidR="0086568F">
        <w:t>s</w:t>
      </w:r>
      <w:r w:rsidRPr="00912F1F">
        <w:rPr>
          <w:rStyle w:val="FootnoteReference"/>
          <w:vertAlign w:val="superscript"/>
        </w:rPr>
        <w:footnoteReference w:id="5"/>
      </w:r>
      <w:r w:rsidR="00E8790E" w:rsidRPr="00912F1F">
        <w:t xml:space="preserve"> </w:t>
      </w:r>
      <w:r w:rsidRPr="00912F1F">
        <w:t>of Regulation V</w:t>
      </w:r>
      <w:r w:rsidR="0086568F">
        <w:t>,</w:t>
      </w:r>
      <w:r w:rsidRPr="00912F1F">
        <w:t xml:space="preserve"> </w:t>
      </w:r>
      <w:r w:rsidR="00D07096" w:rsidRPr="00912F1F">
        <w:t>financial institution</w:t>
      </w:r>
      <w:r w:rsidR="00803211" w:rsidRPr="00912F1F">
        <w:t>s</w:t>
      </w:r>
      <w:r w:rsidR="00D07096" w:rsidRPr="00912F1F">
        <w:t xml:space="preserve"> </w:t>
      </w:r>
      <w:r w:rsidR="00803211" w:rsidRPr="00912F1F">
        <w:t xml:space="preserve">are required </w:t>
      </w:r>
      <w:r w:rsidR="00D07096" w:rsidRPr="00912F1F">
        <w:t>to</w:t>
      </w:r>
      <w:r w:rsidR="00803211" w:rsidRPr="00912F1F">
        <w:t xml:space="preserve"> </w:t>
      </w:r>
      <w:r w:rsidR="00D07096" w:rsidRPr="00912F1F">
        <w:t xml:space="preserve">develop and implement a written </w:t>
      </w:r>
      <w:r w:rsidR="00CB5208" w:rsidRPr="00912F1F">
        <w:t>identity t</w:t>
      </w:r>
      <w:r w:rsidR="00D07096" w:rsidRPr="00912F1F">
        <w:t xml:space="preserve">heft </w:t>
      </w:r>
      <w:r w:rsidR="00CB5208" w:rsidRPr="00912F1F">
        <w:t>p</w:t>
      </w:r>
      <w:r w:rsidR="00D07096" w:rsidRPr="00912F1F">
        <w:t xml:space="preserve">revention </w:t>
      </w:r>
      <w:r w:rsidR="00CB5208" w:rsidRPr="00912F1F">
        <w:t>p</w:t>
      </w:r>
      <w:r w:rsidR="00D07096" w:rsidRPr="00912F1F">
        <w:t>rogram to detect, prevent, and mitigate identity theft in connection with the opening of certain accounts or certain existing account</w:t>
      </w:r>
      <w:r w:rsidR="00FF71A9" w:rsidRPr="00912F1F">
        <w:t>s.  In addition, c</w:t>
      </w:r>
      <w:r w:rsidR="00D07096" w:rsidRPr="00912F1F">
        <w:t>redit and debit card issuers</w:t>
      </w:r>
      <w:r w:rsidR="00936E2C" w:rsidRPr="00912F1F">
        <w:t>, under certain circumstances,</w:t>
      </w:r>
      <w:r w:rsidR="00FF71A9" w:rsidRPr="00912F1F">
        <w:t xml:space="preserve"> are required </w:t>
      </w:r>
      <w:r w:rsidR="00D07096" w:rsidRPr="00912F1F">
        <w:t>to assess the validity of noti</w:t>
      </w:r>
      <w:r w:rsidR="00803211" w:rsidRPr="00912F1F">
        <w:t>fications of changes of address</w:t>
      </w:r>
      <w:r w:rsidR="0072274E" w:rsidRPr="00912F1F">
        <w:t xml:space="preserve">.  </w:t>
      </w:r>
      <w:r w:rsidR="00F61DD9" w:rsidRPr="00912F1F">
        <w:t xml:space="preserve">The current annual paperwork burden for </w:t>
      </w:r>
      <w:r w:rsidR="003A3099" w:rsidRPr="00912F1F">
        <w:t>complying with</w:t>
      </w:r>
      <w:r w:rsidR="00F61DD9" w:rsidRPr="00912F1F">
        <w:t xml:space="preserve"> </w:t>
      </w:r>
      <w:r w:rsidR="003A0F9F" w:rsidRPr="00912F1F">
        <w:t>Regulation V</w:t>
      </w:r>
      <w:r w:rsidR="00F61DD9" w:rsidRPr="00912F1F">
        <w:t xml:space="preserve"> </w:t>
      </w:r>
      <w:r w:rsidR="003A3099" w:rsidRPr="00912F1F">
        <w:t>requirements</w:t>
      </w:r>
      <w:r w:rsidR="00F61DD9" w:rsidRPr="00912F1F">
        <w:t xml:space="preserve"> is estimated to be </w:t>
      </w:r>
      <w:r w:rsidR="0072274E" w:rsidRPr="00912F1F">
        <w:t>2,162,864</w:t>
      </w:r>
      <w:r w:rsidR="00F61DD9" w:rsidRPr="00912F1F">
        <w:t xml:space="preserve"> hours</w:t>
      </w:r>
      <w:r w:rsidR="0072274E" w:rsidRPr="00912F1F">
        <w:t>.</w:t>
      </w:r>
      <w:r w:rsidR="0086568F">
        <w:t xml:space="preserve">  Certain additional information collections under Regulation V </w:t>
      </w:r>
      <w:r w:rsidR="00521D55">
        <w:t xml:space="preserve">relating to the duties of furnishers and risk-based pricing notices </w:t>
      </w:r>
      <w:r w:rsidR="0086568F">
        <w:t>are just taking effect or will take effect within a matter of months, and are described below.</w:t>
      </w:r>
    </w:p>
    <w:p w:rsidR="0072274E" w:rsidRDefault="0072274E" w:rsidP="003D154E">
      <w:pPr>
        <w:widowControl/>
      </w:pPr>
    </w:p>
    <w:p w:rsidR="00626ED6" w:rsidRPr="00912F1F" w:rsidRDefault="00626ED6">
      <w:pPr>
        <w:widowControl/>
        <w:tabs>
          <w:tab w:val="left" w:pos="360"/>
          <w:tab w:val="left" w:pos="1080"/>
        </w:tabs>
        <w:rPr>
          <w:b/>
          <w:bCs/>
        </w:rPr>
      </w:pPr>
      <w:r w:rsidRPr="00912F1F">
        <w:rPr>
          <w:b/>
          <w:bCs/>
        </w:rPr>
        <w:t>Background</w:t>
      </w:r>
      <w:r w:rsidRPr="00912F1F">
        <w:t xml:space="preserve"> </w:t>
      </w:r>
      <w:r w:rsidRPr="00912F1F">
        <w:rPr>
          <w:b/>
          <w:bCs/>
        </w:rPr>
        <w:t>and Justification</w:t>
      </w:r>
    </w:p>
    <w:p w:rsidR="00D94409" w:rsidRPr="00912F1F" w:rsidRDefault="00D94409">
      <w:pPr>
        <w:widowControl/>
        <w:tabs>
          <w:tab w:val="left" w:pos="360"/>
          <w:tab w:val="left" w:pos="1080"/>
        </w:tabs>
        <w:rPr>
          <w:b/>
          <w:bCs/>
        </w:rPr>
      </w:pPr>
    </w:p>
    <w:p w:rsidR="000B75B7" w:rsidRPr="00912F1F" w:rsidRDefault="00221D6B" w:rsidP="000B75B7">
      <w:pPr>
        <w:widowControl/>
        <w:ind w:firstLine="720"/>
      </w:pPr>
      <w:r w:rsidRPr="00912F1F">
        <w:t>On December 4, 2003, the President signed into law the FACT Act</w:t>
      </w:r>
      <w:r w:rsidR="00A17270" w:rsidRPr="00912F1F">
        <w:t>.</w:t>
      </w:r>
      <w:r w:rsidRPr="00912F1F">
        <w:t xml:space="preserve">  In general, the FACT Act </w:t>
      </w:r>
      <w:r w:rsidR="0086568F">
        <w:t xml:space="preserve">was designed to </w:t>
      </w:r>
      <w:r w:rsidR="00D94409" w:rsidRPr="00912F1F">
        <w:t>enhance the ability of consume</w:t>
      </w:r>
      <w:r w:rsidRPr="00912F1F">
        <w:t xml:space="preserve">rs to combat identity theft, </w:t>
      </w:r>
      <w:r w:rsidR="00D94409" w:rsidRPr="00912F1F">
        <w:t xml:space="preserve">increase the accuracy of consumer reports, and allow consumers to exercise greater control regarding the </w:t>
      </w:r>
      <w:r w:rsidR="00D94409" w:rsidRPr="00912F1F">
        <w:lastRenderedPageBreak/>
        <w:t xml:space="preserve">type and amount of marketing solicitations they receive. </w:t>
      </w:r>
      <w:r w:rsidR="00D361ED" w:rsidRPr="00912F1F">
        <w:t xml:space="preserve"> </w:t>
      </w:r>
      <w:r w:rsidR="00D94409" w:rsidRPr="00912F1F">
        <w:t xml:space="preserve">The FACT Act also </w:t>
      </w:r>
      <w:r w:rsidR="00A17270" w:rsidRPr="00912F1F">
        <w:t>restricted</w:t>
      </w:r>
      <w:r w:rsidR="00D94409" w:rsidRPr="00912F1F">
        <w:t xml:space="preserve"> the use and disclosure of se</w:t>
      </w:r>
      <w:r w:rsidRPr="00912F1F">
        <w:t>nsitive medical information.  To bolster efforts to improve financial literacy among consumers, the FACT Act create</w:t>
      </w:r>
      <w:r w:rsidR="00A17270" w:rsidRPr="00912F1F">
        <w:t>d</w:t>
      </w:r>
      <w:r w:rsidRPr="00912F1F">
        <w:t xml:space="preserve"> a new Financial Literacy and Education Commission empowered to take appropriate actions to improve the financial literacy </w:t>
      </w:r>
      <w:r w:rsidR="00E46D2E" w:rsidRPr="00912F1F">
        <w:t xml:space="preserve">programs, </w:t>
      </w:r>
      <w:r w:rsidRPr="00912F1F">
        <w:t>education programs, grants</w:t>
      </w:r>
      <w:r w:rsidR="00804BA8" w:rsidRPr="00912F1F">
        <w:t>, and materials of the Federal G</w:t>
      </w:r>
      <w:r w:rsidRPr="00912F1F">
        <w:t xml:space="preserve">overnment.  </w:t>
      </w:r>
      <w:r w:rsidR="00D94409" w:rsidRPr="00912F1F">
        <w:t>Lastly, to promote increasingly efficient national credit markets, the FACT Act establishe</w:t>
      </w:r>
      <w:r w:rsidR="00A17270" w:rsidRPr="00912F1F">
        <w:t>d</w:t>
      </w:r>
      <w:r w:rsidR="00D94409" w:rsidRPr="00912F1F">
        <w:t xml:space="preserve"> uniform national standards in key areas of regulation.</w:t>
      </w:r>
      <w:r w:rsidR="000B75B7" w:rsidRPr="00912F1F">
        <w:t xml:space="preserve">  </w:t>
      </w:r>
    </w:p>
    <w:p w:rsidR="00D361ED" w:rsidRPr="00912F1F" w:rsidRDefault="00D361ED" w:rsidP="000B75B7">
      <w:pPr>
        <w:widowControl/>
        <w:ind w:firstLine="720"/>
      </w:pPr>
    </w:p>
    <w:p w:rsidR="000F39A3" w:rsidRPr="00912F1F" w:rsidRDefault="00196E7C" w:rsidP="000B75B7">
      <w:pPr>
        <w:widowControl/>
        <w:ind w:firstLine="720"/>
        <w:rPr>
          <w:b/>
          <w:bCs/>
        </w:rPr>
      </w:pPr>
      <w:r w:rsidRPr="00912F1F">
        <w:t xml:space="preserve">On </w:t>
      </w:r>
      <w:r w:rsidR="00D01F37" w:rsidRPr="00912F1F">
        <w:t>June 15, 2004,</w:t>
      </w:r>
      <w:r w:rsidR="00D361ED" w:rsidRPr="00912F1F">
        <w:t xml:space="preserve"> </w:t>
      </w:r>
      <w:r w:rsidRPr="00912F1F">
        <w:t xml:space="preserve">the Federal Reserve published a </w:t>
      </w:r>
      <w:r w:rsidR="00323808" w:rsidRPr="00912F1F">
        <w:t xml:space="preserve">final </w:t>
      </w:r>
      <w:r w:rsidR="00D361ED" w:rsidRPr="00912F1F">
        <w:t>rule (69 FR</w:t>
      </w:r>
      <w:r w:rsidR="00323808" w:rsidRPr="00912F1F">
        <w:t xml:space="preserve"> 33281</w:t>
      </w:r>
      <w:r w:rsidR="00D361ED" w:rsidRPr="00912F1F">
        <w:t xml:space="preserve">) </w:t>
      </w:r>
      <w:r w:rsidR="00323808" w:rsidRPr="00912F1F">
        <w:t>adopt</w:t>
      </w:r>
      <w:r w:rsidRPr="00912F1F">
        <w:t>ing</w:t>
      </w:r>
      <w:r w:rsidR="00323808" w:rsidRPr="00912F1F">
        <w:t xml:space="preserve"> </w:t>
      </w:r>
      <w:r w:rsidR="00D361ED" w:rsidRPr="00912F1F">
        <w:t>model form</w:t>
      </w:r>
      <w:r w:rsidR="00323808" w:rsidRPr="00912F1F">
        <w:t>s</w:t>
      </w:r>
      <w:r w:rsidR="00D361ED" w:rsidRPr="00912F1F">
        <w:t xml:space="preserve"> that all financial institutions may use to comply with the notice requirement under section 217</w:t>
      </w:r>
      <w:r w:rsidR="00C774E7" w:rsidRPr="00912F1F">
        <w:t xml:space="preserve"> of the FACT Act, relating to furnishing negative information</w:t>
      </w:r>
      <w:r w:rsidR="00D361ED" w:rsidRPr="00912F1F">
        <w:t>.</w:t>
      </w:r>
      <w:r w:rsidR="00D361ED" w:rsidRPr="00912F1F">
        <w:rPr>
          <w:rStyle w:val="FootnoteReference"/>
          <w:vertAlign w:val="superscript"/>
        </w:rPr>
        <w:footnoteReference w:id="6"/>
      </w:r>
      <w:r w:rsidR="00D361ED" w:rsidRPr="00912F1F">
        <w:t xml:space="preserve">  Because a financial institution is allowed to send th</w:t>
      </w:r>
      <w:r w:rsidR="00C774E7" w:rsidRPr="00912F1F">
        <w:t>is</w:t>
      </w:r>
      <w:r w:rsidR="00D361ED" w:rsidRPr="00912F1F">
        <w:t xml:space="preserve"> notice prior to, or within </w:t>
      </w:r>
      <w:r w:rsidR="00F51EFD">
        <w:t>30</w:t>
      </w:r>
      <w:r w:rsidR="00F51EFD" w:rsidRPr="00912F1F">
        <w:t xml:space="preserve"> </w:t>
      </w:r>
      <w:r w:rsidR="00D361ED" w:rsidRPr="00912F1F">
        <w:t xml:space="preserve">days after, it furnishes negative information, the model </w:t>
      </w:r>
      <w:r w:rsidR="00323808" w:rsidRPr="00912F1F">
        <w:t xml:space="preserve">forms </w:t>
      </w:r>
      <w:r w:rsidR="00D361ED" w:rsidRPr="00912F1F">
        <w:t>contain alternative language that a financial institution may use, depending on whether the notice is provided prior to, or after, furnishing negative information.</w:t>
      </w:r>
      <w:r w:rsidR="00323808" w:rsidRPr="00912F1F">
        <w:t xml:space="preserve">  </w:t>
      </w:r>
      <w:r w:rsidR="000B75B7" w:rsidRPr="00912F1F">
        <w:t xml:space="preserve">The provisions in section 217 </w:t>
      </w:r>
      <w:r w:rsidR="0064334E" w:rsidRPr="00912F1F">
        <w:t>were</w:t>
      </w:r>
      <w:r w:rsidR="000B75B7" w:rsidRPr="00912F1F">
        <w:t xml:space="preserve"> effective December 1, 2004.</w:t>
      </w:r>
      <w:r w:rsidR="000B75B7" w:rsidRPr="00912F1F">
        <w:rPr>
          <w:rStyle w:val="FootnoteReference"/>
          <w:vertAlign w:val="superscript"/>
        </w:rPr>
        <w:footnoteReference w:id="7"/>
      </w:r>
    </w:p>
    <w:p w:rsidR="00B562E2" w:rsidRPr="00912F1F" w:rsidRDefault="00B562E2" w:rsidP="000F39A3">
      <w:pPr>
        <w:widowControl/>
        <w:ind w:firstLine="720"/>
      </w:pPr>
    </w:p>
    <w:p w:rsidR="000F39A3" w:rsidRPr="00912F1F" w:rsidRDefault="000F39A3" w:rsidP="000F39A3">
      <w:pPr>
        <w:widowControl/>
        <w:ind w:firstLine="720"/>
      </w:pPr>
      <w:r w:rsidRPr="00912F1F">
        <w:t>On November 7, 2007, the Federal Reserve published a joint</w:t>
      </w:r>
      <w:r w:rsidRPr="00912F1F">
        <w:rPr>
          <w:rStyle w:val="FootnoteReference"/>
          <w:vertAlign w:val="superscript"/>
        </w:rPr>
        <w:footnoteReference w:id="8"/>
      </w:r>
      <w:r w:rsidRPr="00912F1F">
        <w:t xml:space="preserve"> notice of final rulemaking (72 FR 62910) to implement the affiliate marketing provisions in section 214 of the FACT Act.  The regulation generally prohibit</w:t>
      </w:r>
      <w:r w:rsidR="00942A07" w:rsidRPr="00912F1F">
        <w:t>s</w:t>
      </w:r>
      <w:r w:rsidRPr="00912F1F">
        <w:t xml:space="preserve"> a person from using information received from an affiliate to make a solicitation for marketing purposes to a consumer, unless the consumer is given notice and an opportunity and simple method to opt out of the making of such solicitations.  Compliance with the provisions in section 214</w:t>
      </w:r>
      <w:r w:rsidR="00235E3C" w:rsidRPr="00912F1F">
        <w:t xml:space="preserve"> </w:t>
      </w:r>
      <w:r w:rsidR="00521D55">
        <w:t xml:space="preserve">became </w:t>
      </w:r>
      <w:r w:rsidR="00235E3C" w:rsidRPr="00912F1F">
        <w:t>mandatory effective October 1, 2008.</w:t>
      </w:r>
    </w:p>
    <w:p w:rsidR="00834DA0" w:rsidRPr="00912F1F" w:rsidRDefault="00834DA0" w:rsidP="00B267F5">
      <w:pPr>
        <w:widowControl/>
        <w:tabs>
          <w:tab w:val="left" w:pos="360"/>
          <w:tab w:val="left" w:pos="1080"/>
        </w:tabs>
        <w:rPr>
          <w:b/>
          <w:bCs/>
        </w:rPr>
      </w:pPr>
    </w:p>
    <w:p w:rsidR="00131329" w:rsidRPr="00912F1F" w:rsidRDefault="00317732" w:rsidP="00131329">
      <w:pPr>
        <w:widowControl/>
      </w:pPr>
      <w:r w:rsidRPr="00912F1F">
        <w:tab/>
      </w:r>
      <w:r w:rsidR="00171515" w:rsidRPr="00912F1F">
        <w:t>On November 9, 2007,</w:t>
      </w:r>
      <w:r w:rsidRPr="00912F1F">
        <w:t xml:space="preserve"> the Federal Reserve published a joint</w:t>
      </w:r>
      <w:r w:rsidRPr="00912F1F">
        <w:rPr>
          <w:rStyle w:val="FootnoteReference"/>
          <w:vertAlign w:val="superscript"/>
        </w:rPr>
        <w:footnoteReference w:id="9"/>
      </w:r>
      <w:r w:rsidRPr="00912F1F">
        <w:t xml:space="preserve"> notice of </w:t>
      </w:r>
      <w:r w:rsidR="00171515" w:rsidRPr="00912F1F">
        <w:t xml:space="preserve">final </w:t>
      </w:r>
      <w:r w:rsidRPr="00912F1F">
        <w:t>rulemaking (7</w:t>
      </w:r>
      <w:r w:rsidR="00171515" w:rsidRPr="00912F1F">
        <w:t>2</w:t>
      </w:r>
      <w:r w:rsidRPr="00912F1F">
        <w:t xml:space="preserve"> FR </w:t>
      </w:r>
      <w:r w:rsidR="00171515" w:rsidRPr="00912F1F">
        <w:t>63718</w:t>
      </w:r>
      <w:r w:rsidRPr="00912F1F">
        <w:t xml:space="preserve">) to implement the provisions in sections 114 and 315 (Red Flags) of the FACT Act.  Section 114 requires each financial institution to develop and implement a written identity theft prevention program to detect, prevent, and mitigate identity theft in connection with the opening of certain accounts or certain existing accounts.  Section 114 also requires credit and debit card issuers, under certain circumstances, to assess the validity of notifications of changes of address.  Section 315 provides guidance regarding reasonable policies and procedures that a user of consumer reports must employ when a </w:t>
      </w:r>
      <w:r w:rsidR="00B84822" w:rsidRPr="00912F1F">
        <w:t>CRA</w:t>
      </w:r>
      <w:r w:rsidRPr="00912F1F">
        <w:t xml:space="preserve"> sends the user a notice of address discrepancy.  </w:t>
      </w:r>
      <w:r w:rsidR="00171515" w:rsidRPr="00912F1F">
        <w:t>C</w:t>
      </w:r>
      <w:r w:rsidRPr="00912F1F">
        <w:t>ompliance</w:t>
      </w:r>
      <w:r w:rsidR="00171515" w:rsidRPr="00912F1F">
        <w:t xml:space="preserve"> with the provisions in sections 114 and 315 </w:t>
      </w:r>
      <w:r w:rsidR="00521D55">
        <w:t xml:space="preserve">became </w:t>
      </w:r>
      <w:r w:rsidR="00171515" w:rsidRPr="00912F1F">
        <w:t>mandatory effective November 1, 2008</w:t>
      </w:r>
      <w:r w:rsidR="003A41B0">
        <w:t xml:space="preserve"> for entities regulated by the federal banking agencies</w:t>
      </w:r>
      <w:r w:rsidR="00171515" w:rsidRPr="00912F1F">
        <w:t>.</w:t>
      </w:r>
    </w:p>
    <w:p w:rsidR="00131329" w:rsidRPr="00912F1F" w:rsidRDefault="00131329" w:rsidP="00131329">
      <w:pPr>
        <w:widowControl/>
      </w:pPr>
    </w:p>
    <w:p w:rsidR="00131329" w:rsidRPr="00912F1F" w:rsidRDefault="00392B05" w:rsidP="00131329">
      <w:pPr>
        <w:widowControl/>
        <w:ind w:firstLine="720"/>
      </w:pPr>
      <w:r w:rsidRPr="00912F1F">
        <w:lastRenderedPageBreak/>
        <w:t xml:space="preserve">On July 1, 2009, </w:t>
      </w:r>
      <w:r w:rsidR="00B865C1" w:rsidRPr="00912F1F">
        <w:t>the Federal Reserve published a joint</w:t>
      </w:r>
      <w:r w:rsidR="00B865C1" w:rsidRPr="00912F1F">
        <w:rPr>
          <w:rStyle w:val="FootnoteReference"/>
          <w:vertAlign w:val="superscript"/>
        </w:rPr>
        <w:footnoteReference w:id="10"/>
      </w:r>
      <w:r w:rsidR="00B865C1" w:rsidRPr="00912F1F">
        <w:t xml:space="preserve"> notice of final rulemaking (74 FR 31484) to implement the provisions in section 312 </w:t>
      </w:r>
      <w:r w:rsidRPr="00912F1F">
        <w:t>of the FACT Act of 2003, which amends the FCRA.</w:t>
      </w:r>
      <w:r w:rsidR="00217FC3" w:rsidRPr="00912F1F">
        <w:t xml:space="preserve">  </w:t>
      </w:r>
      <w:r w:rsidR="00B865C1" w:rsidRPr="00912F1F">
        <w:t>S</w:t>
      </w:r>
      <w:r w:rsidRPr="00912F1F">
        <w:t xml:space="preserve">ection 312 </w:t>
      </w:r>
      <w:r w:rsidR="00B865C1" w:rsidRPr="00912F1F">
        <w:t xml:space="preserve">requires </w:t>
      </w:r>
      <w:r w:rsidRPr="00912F1F">
        <w:t xml:space="preserve">the agencies </w:t>
      </w:r>
      <w:r w:rsidR="00B865C1" w:rsidRPr="00912F1F">
        <w:t xml:space="preserve">to </w:t>
      </w:r>
      <w:r w:rsidR="00217FC3" w:rsidRPr="00912F1F">
        <w:t>issue</w:t>
      </w:r>
      <w:r w:rsidR="00B865C1" w:rsidRPr="00912F1F">
        <w:t xml:space="preserve"> g</w:t>
      </w:r>
      <w:r w:rsidRPr="00912F1F">
        <w:t xml:space="preserve">uidelines for use by entities that furnish information about consumers to a CRA regarding the accuracy and integrity of the information that they furnish.  The agencies also </w:t>
      </w:r>
      <w:r w:rsidR="00217FC3" w:rsidRPr="00912F1F">
        <w:t xml:space="preserve">prescribed regulations requiring furnishers to establish reasonable policies and procedures for implementing the guidelines.  In addition, the agencies issued regulations </w:t>
      </w:r>
      <w:r w:rsidR="00F3178A" w:rsidRPr="00912F1F">
        <w:t>identifying the circumstances under which a furnisher must reinvestigate disputes about the accuracy of information contained in a consumer report based on a direct request from a consumer.</w:t>
      </w:r>
      <w:r w:rsidR="00217FC3" w:rsidRPr="00912F1F">
        <w:t xml:space="preserve">  Compliance with the provisions in section 312 </w:t>
      </w:r>
      <w:r w:rsidR="003A41B0">
        <w:t xml:space="preserve">became </w:t>
      </w:r>
      <w:r w:rsidR="00217FC3" w:rsidRPr="00912F1F">
        <w:t xml:space="preserve">mandatory effective </w:t>
      </w:r>
      <w:r w:rsidR="00F3178A" w:rsidRPr="00912F1F">
        <w:t>July</w:t>
      </w:r>
      <w:r w:rsidR="00217FC3" w:rsidRPr="00912F1F">
        <w:t xml:space="preserve"> </w:t>
      </w:r>
      <w:r w:rsidR="00F3178A" w:rsidRPr="00912F1F">
        <w:t>1, 2010.</w:t>
      </w:r>
    </w:p>
    <w:p w:rsidR="00131329" w:rsidRPr="00912F1F" w:rsidRDefault="00131329" w:rsidP="00131329">
      <w:pPr>
        <w:widowControl/>
        <w:ind w:firstLine="720"/>
      </w:pPr>
    </w:p>
    <w:p w:rsidR="00C82E9A" w:rsidRPr="00912F1F" w:rsidRDefault="00131329" w:rsidP="00131329">
      <w:pPr>
        <w:widowControl/>
        <w:ind w:firstLine="720"/>
        <w:rPr>
          <w:b/>
          <w:bCs/>
        </w:rPr>
      </w:pPr>
      <w:r w:rsidRPr="00912F1F">
        <w:t>On January 15, 2010, the Federal Reserve published a joint</w:t>
      </w:r>
      <w:r w:rsidRPr="00912F1F">
        <w:rPr>
          <w:rStyle w:val="FootnoteReference"/>
          <w:vertAlign w:val="superscript"/>
        </w:rPr>
        <w:footnoteReference w:id="11"/>
      </w:r>
      <w:r w:rsidRPr="00912F1F">
        <w:t xml:space="preserve"> notice of final rulemaking (75 FR 2724)</w:t>
      </w:r>
      <w:r w:rsidR="00C82E9A" w:rsidRPr="00912F1F">
        <w:t xml:space="preserve"> to implement the provisions in section 311 of the Fair and Accurate Credit Transactions Act (FACT Act) of 2003, which amends the FCRA.</w:t>
      </w:r>
      <w:r w:rsidRPr="00912F1F">
        <w:t xml:space="preserve">  </w:t>
      </w:r>
      <w:r w:rsidR="00C82E9A" w:rsidRPr="00912F1F">
        <w:t xml:space="preserve">As required by section 311, </w:t>
      </w:r>
      <w:r w:rsidR="003A41B0">
        <w:t xml:space="preserve">final rules </w:t>
      </w:r>
      <w:r w:rsidR="00C82E9A" w:rsidRPr="00912F1F">
        <w:t>require a creditor to provide a risk-based pricing notice to a consumer when the creditor uses a consumer report to grant or extend credit to the consumer on material terms that are materially less favorable than the most favorable terms</w:t>
      </w:r>
      <w:r w:rsidR="00C82E9A" w:rsidRPr="00912F1F">
        <w:rPr>
          <w:color w:val="0000FF"/>
        </w:rPr>
        <w:t xml:space="preserve"> </w:t>
      </w:r>
      <w:r w:rsidR="00C82E9A" w:rsidRPr="00912F1F">
        <w:t>available to a substantial proportion of consumers from or through that creditor.</w:t>
      </w:r>
      <w:r w:rsidRPr="00912F1F">
        <w:t xml:space="preserve">  </w:t>
      </w:r>
      <w:r w:rsidR="003A41B0">
        <w:t xml:space="preserve">In the alternative, creditors may provide a credit score disclosure and related notice to consumers who apply for credit, whether or not those consumers receive materially less favorable terms.  </w:t>
      </w:r>
      <w:r w:rsidRPr="00912F1F">
        <w:t xml:space="preserve">Compliance with the provisions in section 311 is mandatory effective </w:t>
      </w:r>
      <w:r w:rsidR="00C82E9A" w:rsidRPr="00912F1F">
        <w:t>January 1, 2011</w:t>
      </w:r>
      <w:r w:rsidRPr="00912F1F">
        <w:t>.</w:t>
      </w:r>
      <w:r w:rsidR="00C82E9A" w:rsidRPr="00912F1F">
        <w:t xml:space="preserve"> </w:t>
      </w:r>
    </w:p>
    <w:p w:rsidR="00EA34FB" w:rsidRDefault="00EA34FB">
      <w:pPr>
        <w:widowControl/>
        <w:autoSpaceDE/>
        <w:autoSpaceDN/>
        <w:adjustRightInd/>
        <w:rPr>
          <w:b/>
          <w:bCs/>
        </w:rPr>
      </w:pPr>
    </w:p>
    <w:p w:rsidR="00B267F5" w:rsidRPr="008556C0" w:rsidRDefault="00626ED6" w:rsidP="00B267F5">
      <w:pPr>
        <w:widowControl/>
        <w:tabs>
          <w:tab w:val="left" w:pos="360"/>
          <w:tab w:val="left" w:pos="1080"/>
        </w:tabs>
        <w:rPr>
          <w:b/>
          <w:bCs/>
        </w:rPr>
      </w:pPr>
      <w:r w:rsidRPr="008556C0">
        <w:rPr>
          <w:b/>
          <w:bCs/>
        </w:rPr>
        <w:t>Description of Information Collection</w:t>
      </w:r>
    </w:p>
    <w:p w:rsidR="00B267F5" w:rsidRPr="008556C0" w:rsidRDefault="00B267F5" w:rsidP="00B267F5">
      <w:pPr>
        <w:widowControl/>
        <w:tabs>
          <w:tab w:val="left" w:pos="360"/>
          <w:tab w:val="left" w:pos="1080"/>
        </w:tabs>
        <w:rPr>
          <w:b/>
          <w:bCs/>
        </w:rPr>
      </w:pPr>
    </w:p>
    <w:p w:rsidR="008556C0" w:rsidRPr="008A0FF6" w:rsidRDefault="008556C0" w:rsidP="008556C0">
      <w:pPr>
        <w:widowControl/>
        <w:ind w:firstLine="720"/>
        <w:rPr>
          <w:b/>
          <w:i/>
          <w:iCs/>
        </w:rPr>
      </w:pPr>
      <w:r w:rsidRPr="008A0FF6">
        <w:rPr>
          <w:b/>
        </w:rPr>
        <w:t xml:space="preserve">Red Flags Provision - </w:t>
      </w:r>
      <w:r w:rsidRPr="008A0FF6">
        <w:rPr>
          <w:b/>
          <w:bCs/>
        </w:rPr>
        <w:t>Identity Theft (Section 114)</w:t>
      </w:r>
      <w:r w:rsidRPr="008A0FF6">
        <w:rPr>
          <w:rStyle w:val="FootnoteReference"/>
          <w:b/>
          <w:bCs/>
          <w:vertAlign w:val="superscript"/>
        </w:rPr>
        <w:footnoteReference w:id="12"/>
      </w:r>
      <w:r w:rsidR="002A1C7E">
        <w:rPr>
          <w:b/>
          <w:bCs/>
        </w:rPr>
        <w:t xml:space="preserve">  </w:t>
      </w:r>
    </w:p>
    <w:p w:rsidR="008556C0" w:rsidRPr="00D57C16" w:rsidRDefault="008556C0" w:rsidP="008556C0">
      <w:pPr>
        <w:widowControl/>
        <w:rPr>
          <w:iCs/>
        </w:rPr>
      </w:pPr>
    </w:p>
    <w:p w:rsidR="008556C0" w:rsidRPr="00D57C16" w:rsidRDefault="008556C0" w:rsidP="008556C0">
      <w:pPr>
        <w:widowControl/>
      </w:pPr>
      <w:r w:rsidRPr="00D57C16">
        <w:rPr>
          <w:b/>
          <w:iCs/>
        </w:rPr>
        <w:tab/>
      </w:r>
      <w:r w:rsidR="006F3BB2" w:rsidRPr="006F3BB2">
        <w:rPr>
          <w:iCs/>
        </w:rPr>
        <w:t>The</w:t>
      </w:r>
      <w:r w:rsidR="003A41B0">
        <w:rPr>
          <w:b/>
          <w:iCs/>
        </w:rPr>
        <w:t xml:space="preserve"> </w:t>
      </w:r>
      <w:r w:rsidR="006F3BB2" w:rsidRPr="006F3BB2">
        <w:rPr>
          <w:iCs/>
        </w:rPr>
        <w:t>identity theft red flags rule</w:t>
      </w:r>
      <w:r w:rsidR="003A41B0">
        <w:rPr>
          <w:b/>
          <w:iCs/>
        </w:rPr>
        <w:t xml:space="preserve"> </w:t>
      </w:r>
      <w:r w:rsidRPr="00D57C16">
        <w:t>requires each financial institution to (1) create an Identity Theft Prevention Program (Program); (2) report to the board of directors, a committee thereof or senior management, at least annually, on compliance with the regulation; and (3) train staff to implement the Program.  In addition, the rule requires each credit and debit card issuer (card issuer) to establish policies and procedures to (1) assess the validity of a change of address notification before honoring a request for an additional or replacement card received during at least the first 30 days after it receives the notification and (2) notify the cardholder in writing, electronically, or orally, or use another means of assessing the validity of the change of address.</w:t>
      </w:r>
    </w:p>
    <w:p w:rsidR="00106664" w:rsidRDefault="00106664">
      <w:pPr>
        <w:widowControl/>
        <w:autoSpaceDE/>
        <w:autoSpaceDN/>
        <w:adjustRightInd/>
        <w:rPr>
          <w:b/>
        </w:rPr>
      </w:pPr>
    </w:p>
    <w:p w:rsidR="00873CDB" w:rsidRPr="008556C0" w:rsidRDefault="00AE4432" w:rsidP="00F435AD">
      <w:pPr>
        <w:widowControl/>
        <w:ind w:firstLine="720"/>
        <w:rPr>
          <w:b/>
        </w:rPr>
      </w:pPr>
      <w:r w:rsidRPr="008556C0">
        <w:rPr>
          <w:b/>
        </w:rPr>
        <w:t xml:space="preserve">Affiliate </w:t>
      </w:r>
      <w:r w:rsidR="00D01F37" w:rsidRPr="008556C0">
        <w:rPr>
          <w:b/>
        </w:rPr>
        <w:t>M</w:t>
      </w:r>
      <w:r w:rsidRPr="008556C0">
        <w:rPr>
          <w:b/>
        </w:rPr>
        <w:t xml:space="preserve">arketing </w:t>
      </w:r>
      <w:r w:rsidR="00D01F37" w:rsidRPr="008556C0">
        <w:rPr>
          <w:b/>
        </w:rPr>
        <w:t>O</w:t>
      </w:r>
      <w:r w:rsidRPr="008556C0">
        <w:rPr>
          <w:b/>
        </w:rPr>
        <w:t xml:space="preserve">pt-out </w:t>
      </w:r>
      <w:r w:rsidR="00D01F37" w:rsidRPr="008556C0">
        <w:rPr>
          <w:b/>
        </w:rPr>
        <w:t>N</w:t>
      </w:r>
      <w:r w:rsidRPr="008556C0">
        <w:rPr>
          <w:b/>
        </w:rPr>
        <w:t xml:space="preserve">otice </w:t>
      </w:r>
      <w:r w:rsidR="00D01F37" w:rsidRPr="008556C0">
        <w:rPr>
          <w:b/>
        </w:rPr>
        <w:t>R</w:t>
      </w:r>
      <w:r w:rsidRPr="008556C0">
        <w:rPr>
          <w:b/>
        </w:rPr>
        <w:t>equirements (Section</w:t>
      </w:r>
      <w:r w:rsidR="008A0E63" w:rsidRPr="008556C0">
        <w:rPr>
          <w:b/>
        </w:rPr>
        <w:t xml:space="preserve"> </w:t>
      </w:r>
      <w:r w:rsidRPr="008556C0">
        <w:rPr>
          <w:b/>
        </w:rPr>
        <w:t>2</w:t>
      </w:r>
      <w:r w:rsidR="008A0E63" w:rsidRPr="008556C0">
        <w:rPr>
          <w:b/>
        </w:rPr>
        <w:t>14</w:t>
      </w:r>
      <w:r w:rsidRPr="008556C0">
        <w:rPr>
          <w:b/>
        </w:rPr>
        <w:t>)</w:t>
      </w:r>
      <w:r w:rsidR="008A0E63" w:rsidRPr="008556C0">
        <w:rPr>
          <w:rStyle w:val="FootnoteReference"/>
          <w:b/>
          <w:vertAlign w:val="superscript"/>
        </w:rPr>
        <w:footnoteReference w:id="13"/>
      </w:r>
      <w:r w:rsidR="00873CDB" w:rsidRPr="008556C0">
        <w:rPr>
          <w:b/>
        </w:rPr>
        <w:t xml:space="preserve"> </w:t>
      </w:r>
    </w:p>
    <w:p w:rsidR="00873CDB" w:rsidRPr="008556C0" w:rsidRDefault="00873CDB" w:rsidP="00F435AD">
      <w:pPr>
        <w:widowControl/>
        <w:ind w:firstLine="720"/>
        <w:rPr>
          <w:b/>
        </w:rPr>
      </w:pPr>
    </w:p>
    <w:p w:rsidR="00AE4432" w:rsidRPr="008556C0" w:rsidRDefault="003A41B0" w:rsidP="00F435AD">
      <w:pPr>
        <w:widowControl/>
        <w:ind w:firstLine="720"/>
      </w:pPr>
      <w:r>
        <w:t>The a</w:t>
      </w:r>
      <w:r w:rsidR="00131BE0" w:rsidRPr="008556C0">
        <w:t>ffiliate marketing opt-out notice requirements</w:t>
      </w:r>
      <w:r w:rsidR="00453CA5" w:rsidRPr="008556C0">
        <w:t xml:space="preserve"> provide that when a company communicates certain information about the consumer to an affiliate, the affiliate may not use that information to make solicitations for marketing purposes to the consumer</w:t>
      </w:r>
      <w:r>
        <w:t>,</w:t>
      </w:r>
      <w:r w:rsidR="00453CA5" w:rsidRPr="008556C0">
        <w:t xml:space="preserve"> unless the consumer is given a notice and an opportunity to opt-out of that use of the information and the </w:t>
      </w:r>
      <w:r w:rsidR="00453CA5" w:rsidRPr="008556C0">
        <w:lastRenderedPageBreak/>
        <w:t>consumer does not opt-out.</w:t>
      </w:r>
      <w:r w:rsidR="00AE4432" w:rsidRPr="008556C0">
        <w:t xml:space="preserve">  </w:t>
      </w:r>
      <w:r>
        <w:t xml:space="preserve">The </w:t>
      </w:r>
      <w:r w:rsidR="00AE4432" w:rsidRPr="008556C0">
        <w:t>contents of opt-out notice must be clear, conspicuous, and concise, and must accurately disclose the name of the aff</w:t>
      </w:r>
      <w:r w:rsidR="005B781E" w:rsidRPr="008556C0">
        <w:t>iliate(s) providing the notice.</w:t>
      </w:r>
    </w:p>
    <w:p w:rsidR="005B781E" w:rsidRPr="008556C0" w:rsidRDefault="005B781E" w:rsidP="00AE4432">
      <w:pPr>
        <w:ind w:firstLine="720"/>
      </w:pPr>
    </w:p>
    <w:p w:rsidR="005B781E" w:rsidRPr="008556C0" w:rsidRDefault="005B781E" w:rsidP="005B781E">
      <w:pPr>
        <w:ind w:firstLine="720"/>
      </w:pPr>
      <w:r w:rsidRPr="008556C0">
        <w:t>The notice must be provided by an affiliate that has or has previously had a pre-existing business relationship with the consumer; or as part of a joint notice from two or more members of an affiliated group of companies, provided that at least one of the affiliates on the joint notice has or has previously had a pre-existing business relationship with the consumer.</w:t>
      </w:r>
    </w:p>
    <w:p w:rsidR="00AE4432" w:rsidRPr="008556C0" w:rsidRDefault="00AE4432" w:rsidP="00AE4432">
      <w:pPr>
        <w:ind w:firstLine="720"/>
      </w:pPr>
    </w:p>
    <w:p w:rsidR="00235E3C" w:rsidRPr="00D57C16" w:rsidRDefault="00AE4432" w:rsidP="00AE4432">
      <w:pPr>
        <w:ind w:firstLine="720"/>
      </w:pPr>
      <w:r w:rsidRPr="008556C0">
        <w:t>The election of a consumer to opt out must be effective for a period of at least five years beginning when the consumer’s opt-out election is received and implemented, unless the consumer subsequently revokes the opt-out in writing or, if the consumer agrees, electronically.  An opt-out period of more than five years may be established, including an opt-out period that</w:t>
      </w:r>
      <w:r w:rsidRPr="00D57C16">
        <w:t xml:space="preserve"> does not expire unless revoked by the consumer.  A consumer may opt out at any time.</w:t>
      </w:r>
    </w:p>
    <w:p w:rsidR="008556C0" w:rsidRDefault="008556C0" w:rsidP="008556C0">
      <w:pPr>
        <w:widowControl/>
        <w:tabs>
          <w:tab w:val="left" w:pos="720"/>
          <w:tab w:val="left" w:pos="1080"/>
        </w:tabs>
        <w:rPr>
          <w:b/>
          <w:bCs/>
        </w:rPr>
      </w:pPr>
      <w:r w:rsidRPr="008556C0">
        <w:rPr>
          <w:b/>
          <w:bCs/>
        </w:rPr>
        <w:tab/>
      </w:r>
    </w:p>
    <w:p w:rsidR="008556C0" w:rsidRPr="008556C0" w:rsidRDefault="008556C0" w:rsidP="008556C0">
      <w:pPr>
        <w:widowControl/>
        <w:tabs>
          <w:tab w:val="left" w:pos="720"/>
          <w:tab w:val="left" w:pos="1080"/>
        </w:tabs>
        <w:rPr>
          <w:b/>
          <w:bCs/>
        </w:rPr>
      </w:pPr>
      <w:r>
        <w:rPr>
          <w:b/>
          <w:bCs/>
        </w:rPr>
        <w:tab/>
      </w:r>
      <w:r w:rsidR="003A41B0">
        <w:rPr>
          <w:b/>
          <w:bCs/>
        </w:rPr>
        <w:t xml:space="preserve">Negative Information </w:t>
      </w:r>
      <w:r w:rsidRPr="008556C0">
        <w:rPr>
          <w:b/>
          <w:bCs/>
        </w:rPr>
        <w:t>Notice (Section 217)</w:t>
      </w:r>
      <w:r w:rsidRPr="008556C0">
        <w:rPr>
          <w:rStyle w:val="FootnoteReference"/>
          <w:b/>
          <w:bCs/>
          <w:vertAlign w:val="superscript"/>
        </w:rPr>
        <w:footnoteReference w:id="14"/>
      </w:r>
    </w:p>
    <w:p w:rsidR="008556C0" w:rsidRPr="008556C0" w:rsidRDefault="008556C0" w:rsidP="008556C0">
      <w:pPr>
        <w:widowControl/>
        <w:tabs>
          <w:tab w:val="left" w:pos="360"/>
          <w:tab w:val="left" w:pos="1080"/>
        </w:tabs>
        <w:rPr>
          <w:b/>
          <w:bCs/>
        </w:rPr>
      </w:pPr>
    </w:p>
    <w:p w:rsidR="008556C0" w:rsidRPr="008556C0" w:rsidRDefault="008556C0" w:rsidP="008556C0">
      <w:pPr>
        <w:widowControl/>
        <w:tabs>
          <w:tab w:val="left" w:pos="720"/>
          <w:tab w:val="left" w:pos="1080"/>
        </w:tabs>
        <w:rPr>
          <w:b/>
          <w:bCs/>
        </w:rPr>
      </w:pPr>
      <w:r w:rsidRPr="008556C0">
        <w:rPr>
          <w:b/>
          <w:bCs/>
        </w:rPr>
        <w:tab/>
      </w:r>
      <w:r w:rsidRPr="008556C0">
        <w:t xml:space="preserve">A financial institution generally may provide the notice about furnishing negative information </w:t>
      </w:r>
      <w:r w:rsidR="003A41B0">
        <w:t xml:space="preserve">to a CRA </w:t>
      </w:r>
      <w:r w:rsidRPr="008556C0">
        <w:t>on or with any notice of default, any billing statement, or any other materials provided to the customer, so long as the notice is clear and conspicuous.  After providing such notice, the financial institution may submit additional negative information to a CRA described in section 603(p) of the FACT Act, with respect to the same transaction, extension of credit, account, or customer without providing additional notice to the customer.  Section 217 specifically provides, however, that the notice may not be included in the initial disclosures provided under section 127(a) of the Truth in Lending Act (15 U.S.C. 1637(a)).</w:t>
      </w:r>
      <w:r w:rsidRPr="008556C0">
        <w:rPr>
          <w:rStyle w:val="FootnoteReference"/>
          <w:vertAlign w:val="superscript"/>
        </w:rPr>
        <w:footnoteReference w:id="15"/>
      </w:r>
      <w:r w:rsidRPr="008556C0">
        <w:t xml:space="preserve">   </w:t>
      </w:r>
    </w:p>
    <w:p w:rsidR="008556C0" w:rsidRPr="008556C0" w:rsidRDefault="008556C0" w:rsidP="008556C0"/>
    <w:p w:rsidR="008556C0" w:rsidRPr="008556C0" w:rsidRDefault="008556C0" w:rsidP="008556C0">
      <w:pPr>
        <w:ind w:firstLine="720"/>
      </w:pPr>
      <w:r w:rsidRPr="008556C0">
        <w:t xml:space="preserve">Section 217 also provides certain safe harbors for institutions concerning their efforts to comply with the notice requirement.  A financial institution is deemed to be in compliance with the notice requirement if it uses the Federal Reserve’s model form, or uses the model form and rearranges its format.  In addition, section 217 provides that a financial institution is not liable for failure to perform the duties required by this section if, at the time of the failure, the institution maintained reasonable policies and procedures to comply with the section or the institution reasonably believed that the institution was prohibited by law from contacting the customer.  </w:t>
      </w:r>
    </w:p>
    <w:p w:rsidR="00235E3C" w:rsidRPr="00D57C16" w:rsidRDefault="00235E3C" w:rsidP="00235E3C"/>
    <w:p w:rsidR="00530174" w:rsidRDefault="00530174" w:rsidP="00530174">
      <w:pPr>
        <w:widowControl/>
        <w:tabs>
          <w:tab w:val="left" w:pos="360"/>
          <w:tab w:val="left" w:pos="1080"/>
        </w:tabs>
        <w:ind w:left="720"/>
        <w:rPr>
          <w:b/>
        </w:rPr>
      </w:pPr>
      <w:r w:rsidRPr="00530174">
        <w:rPr>
          <w:b/>
        </w:rPr>
        <w:t>Risk-Based Pricing Notices and Disclosure Exceptions (Section 311)</w:t>
      </w:r>
      <w:r w:rsidRPr="00530174">
        <w:rPr>
          <w:rStyle w:val="FootnoteReference"/>
          <w:b/>
          <w:vertAlign w:val="superscript"/>
        </w:rPr>
        <w:footnoteReference w:id="16"/>
      </w:r>
    </w:p>
    <w:p w:rsidR="00530174" w:rsidRPr="00530174" w:rsidRDefault="00530174" w:rsidP="00530174">
      <w:pPr>
        <w:widowControl/>
        <w:tabs>
          <w:tab w:val="left" w:pos="360"/>
          <w:tab w:val="left" w:pos="1080"/>
        </w:tabs>
        <w:ind w:left="720"/>
        <w:rPr>
          <w:b/>
        </w:rPr>
      </w:pPr>
    </w:p>
    <w:p w:rsidR="00610787" w:rsidRDefault="00E520A0">
      <w:pPr>
        <w:widowControl/>
        <w:ind w:firstLine="720"/>
      </w:pPr>
      <w:r>
        <w:rPr>
          <w:iCs/>
        </w:rPr>
        <w:t xml:space="preserve">The risk-based pricing rule </w:t>
      </w:r>
      <w:r w:rsidR="00530174" w:rsidRPr="00D14565">
        <w:t>general</w:t>
      </w:r>
      <w:r>
        <w:t xml:space="preserve">ly </w:t>
      </w:r>
      <w:r w:rsidR="00530174" w:rsidRPr="00D14565">
        <w:t xml:space="preserve">requires a creditor  to provide a risk-based pricing notice to a consumer if that creditor: (1) uses a consumer report in connection with an application for, or a grant, extension, or other provision of, credit to that consumer that is primarily for personal, family, or household purposes; and (2) based in whole or in part on the consumer report, grants, extends, or otherwise provides credit to that consumer on material terms that are materially less favorable than the most favorable terms available to a substantial proportion of consumers from or through that creditor.  </w:t>
      </w:r>
      <w:r w:rsidR="000A2F68">
        <w:t xml:space="preserve">The rule applies to use of a consumer report in an account review </w:t>
      </w:r>
      <w:proofErr w:type="gramStart"/>
      <w:r w:rsidR="000A2F68">
        <w:t>that results</w:t>
      </w:r>
      <w:proofErr w:type="gramEnd"/>
      <w:r w:rsidR="000A2F68">
        <w:t xml:space="preserve"> in an increase in the annual percentage rate, unless the consumer is </w:t>
      </w:r>
      <w:r w:rsidR="000A2F68">
        <w:lastRenderedPageBreak/>
        <w:t xml:space="preserve">given an adverse action notice.  </w:t>
      </w:r>
      <w:r>
        <w:t>The risk-based pricing rule provides several alternative methods that creditors may use to determine which consumers must be given a notice.  In the a</w:t>
      </w:r>
      <w:r w:rsidR="00530174" w:rsidRPr="00D14565">
        <w:t>lternative</w:t>
      </w:r>
      <w:r>
        <w:t xml:space="preserve">, creditors may provide a credit score disclosure and notice to consumers who apply for credit, whether or not those consumers receive materially less favorable credit terms.  </w:t>
      </w:r>
      <w:r w:rsidR="00530174" w:rsidRPr="00D14565">
        <w:t xml:space="preserve"> </w:t>
      </w:r>
    </w:p>
    <w:p w:rsidR="00530174" w:rsidRPr="00D14565" w:rsidRDefault="00530174" w:rsidP="00530174">
      <w:pPr>
        <w:widowControl/>
      </w:pPr>
    </w:p>
    <w:p w:rsidR="00530174" w:rsidRPr="00D14565" w:rsidRDefault="00530174" w:rsidP="00530174">
      <w:pPr>
        <w:widowControl/>
        <w:rPr>
          <w:b/>
          <w:bCs/>
        </w:rPr>
      </w:pPr>
      <w:r w:rsidRPr="00D14565">
        <w:t>To ease creditors’ burden and cost of complying with the notice and disclosure requirements</w:t>
      </w:r>
      <w:r w:rsidR="00E520A0">
        <w:t>,</w:t>
      </w:r>
      <w:r w:rsidRPr="00D14565">
        <w:t xml:space="preserve"> model forms are available in Appendi</w:t>
      </w:r>
      <w:r w:rsidR="00E520A0">
        <w:t>x</w:t>
      </w:r>
      <w:r w:rsidRPr="00D14565">
        <w:t xml:space="preserve"> B of the regulation.</w:t>
      </w:r>
    </w:p>
    <w:p w:rsidR="008556C0" w:rsidRDefault="008556C0" w:rsidP="008556C0">
      <w:pPr>
        <w:widowControl/>
        <w:ind w:left="720"/>
        <w:rPr>
          <w:b/>
          <w:bCs/>
        </w:rPr>
      </w:pPr>
    </w:p>
    <w:p w:rsidR="008556C0" w:rsidRPr="00E624C5" w:rsidRDefault="008556C0" w:rsidP="008556C0">
      <w:pPr>
        <w:widowControl/>
        <w:ind w:left="720"/>
      </w:pPr>
      <w:r w:rsidRPr="00E624C5">
        <w:rPr>
          <w:b/>
          <w:bCs/>
        </w:rPr>
        <w:t>Procedures to Enhance the Accuracy and Integrity of Information Furnished to</w:t>
      </w:r>
      <w:r>
        <w:rPr>
          <w:b/>
          <w:bCs/>
        </w:rPr>
        <w:t xml:space="preserve"> </w:t>
      </w:r>
      <w:r w:rsidRPr="00E624C5">
        <w:rPr>
          <w:b/>
          <w:bCs/>
        </w:rPr>
        <w:t>Consumer Reporting Agencies</w:t>
      </w:r>
      <w:r w:rsidR="00E520A0">
        <w:rPr>
          <w:b/>
          <w:bCs/>
        </w:rPr>
        <w:t xml:space="preserve"> and Direct Dispute Requirements</w:t>
      </w:r>
      <w:r w:rsidRPr="00E624C5">
        <w:rPr>
          <w:b/>
          <w:bCs/>
        </w:rPr>
        <w:t xml:space="preserve"> (Section 312)</w:t>
      </w:r>
      <w:r w:rsidRPr="00E624C5">
        <w:rPr>
          <w:rStyle w:val="FootnoteReference"/>
          <w:b/>
          <w:bCs/>
          <w:vertAlign w:val="superscript"/>
        </w:rPr>
        <w:footnoteReference w:id="17"/>
      </w:r>
    </w:p>
    <w:p w:rsidR="008556C0" w:rsidRPr="00710A63" w:rsidRDefault="008556C0" w:rsidP="008556C0">
      <w:pPr>
        <w:ind w:firstLine="720"/>
      </w:pPr>
    </w:p>
    <w:p w:rsidR="008556C0" w:rsidRPr="00146FEF" w:rsidRDefault="00E520A0" w:rsidP="008556C0">
      <w:pPr>
        <w:spacing w:after="120"/>
        <w:ind w:firstLine="720"/>
      </w:pPr>
      <w:r>
        <w:rPr>
          <w:i/>
        </w:rPr>
        <w:t xml:space="preserve">Accuracy and integrity:  </w:t>
      </w:r>
      <w:r w:rsidR="008556C0" w:rsidRPr="00E624C5">
        <w:rPr>
          <w:i/>
        </w:rPr>
        <w:t>Policies and procedures</w:t>
      </w:r>
      <w:r w:rsidR="008556C0" w:rsidRPr="00710A63">
        <w:t xml:space="preserve"> – Each furnisher is required to establish and implement reasonable written policies and procedures regarding the accuracy and integrity </w:t>
      </w:r>
      <w:r w:rsidR="008556C0" w:rsidRPr="00146FEF">
        <w:t xml:space="preserve">of the information relating to consumers that it furnishes to a CRA.  The policies and procedures must be appropriate to the nature, size, complexity, and scope of each furnisher’s activities.  </w:t>
      </w:r>
    </w:p>
    <w:p w:rsidR="00146FEF" w:rsidRDefault="00146FEF" w:rsidP="008556C0">
      <w:pPr>
        <w:spacing w:after="120"/>
        <w:ind w:firstLine="720"/>
      </w:pPr>
      <w:r w:rsidRPr="00146FEF">
        <w:rPr>
          <w:i/>
        </w:rPr>
        <w:t xml:space="preserve">Direct disputes:  </w:t>
      </w:r>
      <w:r w:rsidRPr="00146FEF">
        <w:rPr>
          <w:i/>
          <w:iCs/>
        </w:rPr>
        <w:t>Duty of furnisher after receiving a direct dispute notice</w:t>
      </w:r>
      <w:r>
        <w:rPr>
          <w:i/>
          <w:iCs/>
        </w:rPr>
        <w:t xml:space="preserve"> </w:t>
      </w:r>
      <w:r w:rsidRPr="00146FEF">
        <w:rPr>
          <w:iCs/>
        </w:rPr>
        <w:t>–</w:t>
      </w:r>
      <w:r w:rsidRPr="00146FEF">
        <w:rPr>
          <w:i/>
          <w:iCs/>
        </w:rPr>
        <w:t xml:space="preserve"> </w:t>
      </w:r>
      <w:r w:rsidRPr="00146FEF">
        <w:t>After receiving a dispute notice from a consumer the furnisher must:</w:t>
      </w:r>
      <w:r>
        <w:t xml:space="preserve">  </w:t>
      </w:r>
      <w:r w:rsidRPr="00146FEF">
        <w:t>(1) Conduct a reasonable investigation with respect to the disputed information;</w:t>
      </w:r>
      <w:r>
        <w:t xml:space="preserve"> </w:t>
      </w:r>
      <w:r w:rsidRPr="00146FEF">
        <w:t>(2) Review all relevant information provided by the consumer with the dispute notice;</w:t>
      </w:r>
      <w:r>
        <w:t xml:space="preserve"> </w:t>
      </w:r>
      <w:r w:rsidRPr="00146FEF">
        <w:t xml:space="preserve">(3) Complete its investigation of the dispute and report the results of the investigation to the consumer before the expiration of the period within which a </w:t>
      </w:r>
      <w:r w:rsidR="008A2F58" w:rsidRPr="00146FEF">
        <w:t>CRA</w:t>
      </w:r>
      <w:r w:rsidRPr="00146FEF">
        <w:t xml:space="preserve"> would be required to complete its action if the consumer had elected to dispute the information under that section; and</w:t>
      </w:r>
      <w:r>
        <w:t xml:space="preserve"> </w:t>
      </w:r>
      <w:r w:rsidRPr="00146FEF">
        <w:t xml:space="preserve">(4) If the investigation finds that the information reported was inaccurate, promptly notify each </w:t>
      </w:r>
      <w:r w:rsidR="008A2F58" w:rsidRPr="00146FEF">
        <w:t>CRA</w:t>
      </w:r>
      <w:r w:rsidRPr="00146FEF">
        <w:t xml:space="preserve"> to which the furnisher provided inaccurate information of that determination and provide to the </w:t>
      </w:r>
      <w:r w:rsidR="008A2F58" w:rsidRPr="00146FEF">
        <w:t>CRA</w:t>
      </w:r>
      <w:r w:rsidRPr="00146FEF">
        <w:t xml:space="preserve"> any correction to that information that is necessary to make the information provided by the furnisher accurate.</w:t>
      </w:r>
    </w:p>
    <w:p w:rsidR="008556C0" w:rsidRPr="00710A63" w:rsidRDefault="00E520A0" w:rsidP="008556C0">
      <w:pPr>
        <w:spacing w:after="120"/>
        <w:ind w:firstLine="720"/>
      </w:pPr>
      <w:r w:rsidRPr="00146FEF">
        <w:rPr>
          <w:i/>
        </w:rPr>
        <w:t xml:space="preserve">Direct disputes:  </w:t>
      </w:r>
      <w:r w:rsidR="008556C0" w:rsidRPr="00146FEF">
        <w:rPr>
          <w:i/>
        </w:rPr>
        <w:t>Notice of determination</w:t>
      </w:r>
      <w:r w:rsidR="008556C0" w:rsidRPr="00146FEF">
        <w:t xml:space="preserve"> – Upon making a determination that a dispute is</w:t>
      </w:r>
      <w:r w:rsidR="008556C0" w:rsidRPr="00710A63">
        <w:t xml:space="preserve"> frivolous or irrelevant, the furnisher </w:t>
      </w:r>
      <w:r w:rsidR="008556C0" w:rsidRPr="00710A63">
        <w:rPr>
          <w:rStyle w:val="PageNumber"/>
        </w:rPr>
        <w:t>must</w:t>
      </w:r>
      <w:r w:rsidR="008556C0" w:rsidRPr="00710A63">
        <w:t xml:space="preserve"> notify the consumer of the determination not later than </w:t>
      </w:r>
      <w:r w:rsidR="008556C0">
        <w:t xml:space="preserve">five </w:t>
      </w:r>
      <w:r w:rsidR="008556C0" w:rsidRPr="00710A63">
        <w:t>business days after making the determination, by mail or, if authorized by the consumer for that purpose, by any other means available to the furnisher.</w:t>
      </w:r>
    </w:p>
    <w:p w:rsidR="008556C0" w:rsidRPr="00710A63" w:rsidRDefault="008556C0" w:rsidP="008556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10A63">
        <w:tab/>
      </w:r>
      <w:r w:rsidR="00E520A0">
        <w:rPr>
          <w:i/>
        </w:rPr>
        <w:t xml:space="preserve">Direct disputes:  </w:t>
      </w:r>
      <w:r w:rsidRPr="00E624C5">
        <w:rPr>
          <w:i/>
        </w:rPr>
        <w:t>Contents of notice of determination that a dispute is frivolous or irrelevant</w:t>
      </w:r>
      <w:r w:rsidRPr="00710A63">
        <w:t xml:space="preserve"> – A notice of determination that a dispute is frivolous or irrelevant must include the reasons for such determination and identify any information required to investigate the disputed information, which notice may consist of a standardized form describing the general nature of such information.</w:t>
      </w:r>
    </w:p>
    <w:p w:rsidR="00131BE0" w:rsidRDefault="00131BE0" w:rsidP="00131BE0">
      <w:pPr>
        <w:widowControl/>
      </w:pPr>
    </w:p>
    <w:p w:rsidR="00196E7C" w:rsidRDefault="00196E7C" w:rsidP="00131BE0">
      <w:pPr>
        <w:widowControl/>
        <w:rPr>
          <w:iCs/>
        </w:rPr>
      </w:pPr>
      <w:r>
        <w:tab/>
      </w:r>
      <w:r w:rsidRPr="00D57C16">
        <w:rPr>
          <w:b/>
          <w:bCs/>
        </w:rPr>
        <w:t>Address Discrepancies</w:t>
      </w:r>
      <w:r>
        <w:rPr>
          <w:b/>
          <w:iCs/>
        </w:rPr>
        <w:t xml:space="preserve"> </w:t>
      </w:r>
      <w:r w:rsidR="000A2F68">
        <w:rPr>
          <w:b/>
          <w:iCs/>
        </w:rPr>
        <w:t xml:space="preserve">Provision </w:t>
      </w:r>
      <w:r>
        <w:rPr>
          <w:b/>
          <w:iCs/>
        </w:rPr>
        <w:t>(</w:t>
      </w:r>
      <w:r w:rsidR="00131BE0" w:rsidRPr="00D57C16">
        <w:rPr>
          <w:b/>
          <w:iCs/>
        </w:rPr>
        <w:t>Section 315</w:t>
      </w:r>
      <w:r>
        <w:rPr>
          <w:b/>
          <w:iCs/>
        </w:rPr>
        <w:t>)</w:t>
      </w:r>
      <w:r w:rsidR="008A0FF6" w:rsidRPr="008A0FF6">
        <w:rPr>
          <w:rStyle w:val="FootnoteReference"/>
          <w:b/>
          <w:iCs/>
          <w:vertAlign w:val="superscript"/>
        </w:rPr>
        <w:footnoteReference w:id="18"/>
      </w:r>
    </w:p>
    <w:p w:rsidR="00196E7C" w:rsidRDefault="00196E7C" w:rsidP="00196E7C">
      <w:pPr>
        <w:widowControl/>
        <w:ind w:firstLine="720"/>
      </w:pPr>
    </w:p>
    <w:p w:rsidR="00235E3C" w:rsidRPr="00D57C16" w:rsidRDefault="000A2F68" w:rsidP="00196E7C">
      <w:pPr>
        <w:widowControl/>
        <w:ind w:firstLine="720"/>
      </w:pPr>
      <w:r>
        <w:t xml:space="preserve">The address discrepancies provision adopted with the identity theft red flags rule </w:t>
      </w:r>
      <w:r w:rsidR="00131BE0" w:rsidRPr="00D57C16">
        <w:t>require</w:t>
      </w:r>
      <w:r w:rsidR="008A2F40" w:rsidRPr="00D57C16">
        <w:t>s</w:t>
      </w:r>
      <w:r w:rsidR="00131BE0" w:rsidRPr="00D57C16">
        <w:t xml:space="preserve"> each user of consumer reports</w:t>
      </w:r>
      <w:r w:rsidR="00441C2F" w:rsidRPr="00441C2F">
        <w:rPr>
          <w:rStyle w:val="FootnoteReference"/>
          <w:vertAlign w:val="superscript"/>
        </w:rPr>
        <w:footnoteReference w:id="19"/>
      </w:r>
      <w:r w:rsidR="00131BE0" w:rsidRPr="00D57C16">
        <w:t xml:space="preserve"> to (1) develop reasonable policies and procedures it employ</w:t>
      </w:r>
      <w:r w:rsidR="008A2F40" w:rsidRPr="00D57C16">
        <w:t>s</w:t>
      </w:r>
      <w:r w:rsidR="00131BE0" w:rsidRPr="00D57C16">
        <w:t xml:space="preserve"> </w:t>
      </w:r>
      <w:r w:rsidR="00131BE0" w:rsidRPr="00D57C16">
        <w:lastRenderedPageBreak/>
        <w:t>when it receives a notice of address discrepancy from a CRA and (2) to furnish an address the user reasonably confirmed is accurate to the CRA from which it receives a notice of address discrepancy.</w:t>
      </w:r>
    </w:p>
    <w:p w:rsidR="00235E3C" w:rsidRDefault="00235E3C" w:rsidP="00AE4432">
      <w:pPr>
        <w:ind w:firstLine="720"/>
      </w:pPr>
    </w:p>
    <w:p w:rsidR="00626ED6" w:rsidRPr="00D57C16" w:rsidRDefault="00626ED6">
      <w:pPr>
        <w:widowControl/>
        <w:tabs>
          <w:tab w:val="left" w:pos="360"/>
          <w:tab w:val="left" w:pos="1080"/>
        </w:tabs>
        <w:rPr>
          <w:b/>
          <w:bCs/>
        </w:rPr>
      </w:pPr>
      <w:r w:rsidRPr="00D57C16">
        <w:rPr>
          <w:b/>
          <w:bCs/>
        </w:rPr>
        <w:t>Time Schedule for Information Collection</w:t>
      </w:r>
    </w:p>
    <w:p w:rsidR="00221D6B" w:rsidRPr="00D57C16" w:rsidRDefault="00221D6B">
      <w:pPr>
        <w:widowControl/>
        <w:tabs>
          <w:tab w:val="left" w:pos="360"/>
          <w:tab w:val="left" w:pos="1080"/>
        </w:tabs>
        <w:rPr>
          <w:b/>
          <w:bCs/>
        </w:rPr>
      </w:pPr>
    </w:p>
    <w:p w:rsidR="00530174" w:rsidRDefault="00530174" w:rsidP="00530174">
      <w:pPr>
        <w:ind w:firstLine="720"/>
      </w:pPr>
      <w:r>
        <w:t xml:space="preserve">The </w:t>
      </w:r>
      <w:r w:rsidRPr="00D57C16">
        <w:t>notice requirement</w:t>
      </w:r>
      <w:r>
        <w:t xml:space="preserve"> in</w:t>
      </w:r>
      <w:r w:rsidRPr="00D01F37">
        <w:t xml:space="preserve"> </w:t>
      </w:r>
      <w:r w:rsidRPr="00D57C16">
        <w:t>S</w:t>
      </w:r>
      <w:r>
        <w:t>ection 114</w:t>
      </w:r>
      <w:r w:rsidRPr="00D57C16">
        <w:rPr>
          <w:iCs/>
        </w:rPr>
        <w:t xml:space="preserve"> </w:t>
      </w:r>
      <w:r w:rsidRPr="00D57C16">
        <w:t>specifies</w:t>
      </w:r>
      <w:r>
        <w:t xml:space="preserve"> that an institution </w:t>
      </w:r>
      <w:r w:rsidRPr="00D57C16">
        <w:t>assess the validity of a change of address notification before honoring a request for an additional or replacement card received during at least the first 30 days after it receives the notification</w:t>
      </w:r>
      <w:r>
        <w:t xml:space="preserve">.  The </w:t>
      </w:r>
      <w:r w:rsidRPr="00D57C16">
        <w:t>notice requirement</w:t>
      </w:r>
      <w:r>
        <w:t xml:space="preserve"> in</w:t>
      </w:r>
      <w:r w:rsidRPr="00D01F37">
        <w:t xml:space="preserve"> </w:t>
      </w:r>
      <w:r w:rsidRPr="00D57C16">
        <w:t>S</w:t>
      </w:r>
      <w:r>
        <w:t xml:space="preserve">ection 312 </w:t>
      </w:r>
      <w:r w:rsidRPr="00D57C16">
        <w:t>specifies that an institution</w:t>
      </w:r>
      <w:r>
        <w:t>, u</w:t>
      </w:r>
      <w:r w:rsidRPr="00710A63">
        <w:t xml:space="preserve">pon making a determination that a dispute is frivolous or irrelevant, </w:t>
      </w:r>
      <w:r w:rsidRPr="00710A63">
        <w:rPr>
          <w:rStyle w:val="PageNumber"/>
        </w:rPr>
        <w:t>must</w:t>
      </w:r>
      <w:r w:rsidRPr="00710A63">
        <w:t xml:space="preserve"> notify the consumer of the</w:t>
      </w:r>
      <w:r>
        <w:t xml:space="preserve"> determination not later than five </w:t>
      </w:r>
      <w:r w:rsidRPr="00710A63">
        <w:t>business days after making the determination, by mail or, if authorized by the consumer for that purpose, by any other means available to the furnisher.</w:t>
      </w:r>
      <w:r>
        <w:t xml:space="preserve"> </w:t>
      </w:r>
    </w:p>
    <w:p w:rsidR="00530174" w:rsidRDefault="00530174" w:rsidP="00530174">
      <w:pPr>
        <w:ind w:firstLine="720"/>
      </w:pPr>
      <w:r>
        <w:t xml:space="preserve"> </w:t>
      </w:r>
    </w:p>
    <w:p w:rsidR="00530174" w:rsidRDefault="00530174" w:rsidP="00530174">
      <w:pPr>
        <w:ind w:firstLine="720"/>
      </w:pPr>
      <w:r>
        <w:t xml:space="preserve">The </w:t>
      </w:r>
      <w:r w:rsidRPr="00D57C16">
        <w:t>notice requirement</w:t>
      </w:r>
      <w:r>
        <w:t xml:space="preserve"> in</w:t>
      </w:r>
      <w:r w:rsidRPr="00D01F37">
        <w:t xml:space="preserve"> </w:t>
      </w:r>
      <w:r w:rsidRPr="00D57C16">
        <w:t>S</w:t>
      </w:r>
      <w:r>
        <w:t>ection 214</w:t>
      </w:r>
      <w:r w:rsidRPr="00D57C16">
        <w:rPr>
          <w:iCs/>
        </w:rPr>
        <w:t xml:space="preserve"> </w:t>
      </w:r>
      <w:r w:rsidRPr="00D57C16">
        <w:t xml:space="preserve">specifies that an institution must not use eligibility information about a consumer that it receives from an affiliate to make a solicitation to the consumer about the bank’s products or services, unless the consumer is provided a reasonable opportunity to opt out.  The consumer is given </w:t>
      </w:r>
      <w:r>
        <w:t>30</w:t>
      </w:r>
      <w:r w:rsidRPr="00D57C16">
        <w:t xml:space="preserve"> days from the date the notice is sent to elect to opt out by any reasonable means.</w:t>
      </w:r>
      <w:r>
        <w:t xml:space="preserve">  </w:t>
      </w:r>
    </w:p>
    <w:p w:rsidR="00530174" w:rsidRDefault="00530174" w:rsidP="005C4159">
      <w:pPr>
        <w:ind w:firstLine="720"/>
      </w:pPr>
    </w:p>
    <w:p w:rsidR="005C4159" w:rsidRPr="00D57C16" w:rsidRDefault="00D01F37" w:rsidP="005C4159">
      <w:pPr>
        <w:ind w:firstLine="720"/>
      </w:pPr>
      <w:r>
        <w:t xml:space="preserve">The </w:t>
      </w:r>
      <w:r w:rsidR="005C4159" w:rsidRPr="00D57C16">
        <w:t xml:space="preserve">notice requirement </w:t>
      </w:r>
      <w:r>
        <w:t xml:space="preserve">in </w:t>
      </w:r>
      <w:r w:rsidRPr="00D57C16">
        <w:t xml:space="preserve">Section 217 </w:t>
      </w:r>
      <w:r w:rsidR="005C4159" w:rsidRPr="00D57C16">
        <w:t xml:space="preserve">specifies that an institution must provide the required notice to the customer prior to, or no later than </w:t>
      </w:r>
      <w:r w:rsidR="00F51EFD">
        <w:t>30</w:t>
      </w:r>
      <w:r w:rsidR="00F51EFD" w:rsidRPr="00D57C16">
        <w:t xml:space="preserve"> </w:t>
      </w:r>
      <w:r w:rsidR="005D6F99" w:rsidRPr="00D57C16">
        <w:t xml:space="preserve">days after, furnishing </w:t>
      </w:r>
      <w:r w:rsidR="005C4159" w:rsidRPr="00D57C16">
        <w:t xml:space="preserve">the negative information to a nationwide </w:t>
      </w:r>
      <w:r w:rsidR="007E02EA" w:rsidRPr="00D57C16">
        <w:t>CRA</w:t>
      </w:r>
      <w:r w:rsidR="005C4159" w:rsidRPr="00D57C16">
        <w:t xml:space="preserve">.  After providing the notice, the institution may submit additional negative information to a nationwide </w:t>
      </w:r>
      <w:r w:rsidR="00B84822">
        <w:t>CRA</w:t>
      </w:r>
      <w:r w:rsidR="005C4159" w:rsidRPr="00D57C16">
        <w:t xml:space="preserve"> with respect to the same transaction, extension of credit, account, or customer without providing additional notice to the customer.  If a financial institution has provided a customer with a notice prior to the furnishing of negative information, the institution is not required to furnish negative information about the customer to a nationwide </w:t>
      </w:r>
      <w:r w:rsidR="007E02EA" w:rsidRPr="00D57C16">
        <w:t>CRA</w:t>
      </w:r>
      <w:r w:rsidR="005C4159" w:rsidRPr="00D57C16">
        <w:t xml:space="preserve">.  </w:t>
      </w:r>
    </w:p>
    <w:p w:rsidR="00B562E2" w:rsidRDefault="00C771E8" w:rsidP="00530174">
      <w:pPr>
        <w:widowControl/>
      </w:pPr>
      <w:r w:rsidRPr="00D57C16">
        <w:rPr>
          <w:iCs/>
        </w:rPr>
        <w:tab/>
      </w:r>
    </w:p>
    <w:p w:rsidR="00A436C8" w:rsidRPr="00D14565" w:rsidRDefault="00A436C8" w:rsidP="00147B42">
      <w:pPr>
        <w:ind w:firstLine="720"/>
      </w:pPr>
      <w:r w:rsidRPr="00D14565">
        <w:t>The notice requirements in Section 311</w:t>
      </w:r>
      <w:r w:rsidRPr="00D14565">
        <w:rPr>
          <w:iCs/>
        </w:rPr>
        <w:t xml:space="preserve"> </w:t>
      </w:r>
      <w:r w:rsidRPr="00D14565">
        <w:t xml:space="preserve">specifies that providing risk-based pricing notices in connection with extensions of closed-end and open-end credit, as well as credit account reviews.  For closed-end transactions the notice must be provided to the consumer before consummation of the transaction, but not earlier than the time the decision to approve an application for, or a grant, extension, or other provision of, credit is communicated to the consumer by the person required to give the notice.  For open-end credit, the notice must be provided to the consumer before the first transaction is made under the plan, but not earlier than the time the decision to approve an application for, or a grant, extension, or other provision of credit is communicated to the consumer.  </w:t>
      </w:r>
      <w:r w:rsidR="000A2F68">
        <w:t>F</w:t>
      </w:r>
      <w:r w:rsidRPr="00D14565">
        <w:t>or account reviews, the notice must be provided to the consumer at the time the decision to increase the annual percentage rate based on a consumer report is communicated to the consumer by the person required to give the notice, or if no notice of the increase in the annual percentage rate is provided to the consumer prior to the effective date of the change, no later than five days after the effective date of the change in the annual percentage rate.</w:t>
      </w:r>
      <w:r w:rsidR="000A2F68">
        <w:t xml:space="preserve">  Finally, creditors that provide the credit score disclosure and notice must do so as soon as reasonably practicable after obtaining the consumer’s credit score.</w:t>
      </w:r>
    </w:p>
    <w:p w:rsidR="00F54CF6" w:rsidRPr="00D14565" w:rsidRDefault="00F54CF6" w:rsidP="00BC79ED">
      <w:pPr>
        <w:widowControl/>
        <w:tabs>
          <w:tab w:val="left" w:pos="360"/>
          <w:tab w:val="left" w:pos="1080"/>
        </w:tabs>
        <w:rPr>
          <w:b/>
          <w:bCs/>
        </w:rPr>
      </w:pPr>
    </w:p>
    <w:p w:rsidR="00355FAF" w:rsidRDefault="00355FAF">
      <w:pPr>
        <w:widowControl/>
        <w:autoSpaceDE/>
        <w:autoSpaceDN/>
        <w:adjustRightInd/>
        <w:rPr>
          <w:b/>
          <w:bCs/>
        </w:rPr>
      </w:pPr>
      <w:r>
        <w:rPr>
          <w:b/>
          <w:bCs/>
        </w:rPr>
        <w:br w:type="page"/>
      </w:r>
    </w:p>
    <w:p w:rsidR="003B3E99" w:rsidRPr="00D14565" w:rsidRDefault="00BC79ED" w:rsidP="00524576">
      <w:pPr>
        <w:widowControl/>
        <w:autoSpaceDE/>
        <w:autoSpaceDN/>
        <w:adjustRightInd/>
      </w:pPr>
      <w:r w:rsidRPr="00D14565">
        <w:rPr>
          <w:b/>
          <w:bCs/>
        </w:rPr>
        <w:lastRenderedPageBreak/>
        <w:t xml:space="preserve">Consultation </w:t>
      </w:r>
      <w:proofErr w:type="gramStart"/>
      <w:r w:rsidRPr="00D14565">
        <w:rPr>
          <w:b/>
          <w:bCs/>
        </w:rPr>
        <w:t>Outside</w:t>
      </w:r>
      <w:proofErr w:type="gramEnd"/>
      <w:r w:rsidRPr="00D14565">
        <w:rPr>
          <w:b/>
          <w:bCs/>
        </w:rPr>
        <w:t xml:space="preserve"> the Agency</w:t>
      </w:r>
      <w:r w:rsidR="00A21443" w:rsidRPr="00D14565">
        <w:rPr>
          <w:b/>
          <w:bCs/>
        </w:rPr>
        <w:t xml:space="preserve"> </w:t>
      </w:r>
    </w:p>
    <w:p w:rsidR="003B3E99" w:rsidRPr="00D14565" w:rsidRDefault="003B3E99" w:rsidP="00BC79ED">
      <w:pPr>
        <w:widowControl/>
        <w:tabs>
          <w:tab w:val="left" w:pos="360"/>
          <w:tab w:val="left" w:pos="1080"/>
        </w:tabs>
      </w:pPr>
    </w:p>
    <w:p w:rsidR="00ED5B80" w:rsidRDefault="00D919E1" w:rsidP="00D919E1">
      <w:pPr>
        <w:widowControl/>
        <w:tabs>
          <w:tab w:val="left" w:pos="360"/>
          <w:tab w:val="left" w:pos="810"/>
        </w:tabs>
      </w:pPr>
      <w:r>
        <w:tab/>
      </w:r>
      <w:r>
        <w:tab/>
      </w:r>
      <w:r w:rsidR="0045579A" w:rsidRPr="001351EF">
        <w:t xml:space="preserve">All of the Board's rulemaking activities under </w:t>
      </w:r>
      <w:r w:rsidR="0045579A">
        <w:t xml:space="preserve">Reg </w:t>
      </w:r>
      <w:r w:rsidR="001C4B43">
        <w:t>V</w:t>
      </w:r>
      <w:r w:rsidR="0045579A" w:rsidRPr="001351EF">
        <w:t xml:space="preserve"> are subject to the notice and comment requirements of the Administrative Procedure Act.  </w:t>
      </w:r>
      <w:proofErr w:type="gramStart"/>
      <w:r w:rsidR="0045579A" w:rsidRPr="001351EF">
        <w:t xml:space="preserve">5 U.S.C. 551 </w:t>
      </w:r>
      <w:r w:rsidR="0045579A" w:rsidRPr="001351EF">
        <w:rPr>
          <w:u w:val="single"/>
        </w:rPr>
        <w:t>et</w:t>
      </w:r>
      <w:r w:rsidR="0045579A" w:rsidRPr="001351EF">
        <w:t xml:space="preserve"> </w:t>
      </w:r>
      <w:r w:rsidR="0045579A" w:rsidRPr="001351EF">
        <w:rPr>
          <w:u w:val="single"/>
        </w:rPr>
        <w:t>seq</w:t>
      </w:r>
      <w:r w:rsidR="0045579A" w:rsidRPr="001351EF">
        <w:t>.</w:t>
      </w:r>
      <w:proofErr w:type="gramEnd"/>
      <w:r w:rsidR="00FA31C3">
        <w:t xml:space="preserve">  On September 2, 2010</w:t>
      </w:r>
      <w:r w:rsidR="00FA31C3" w:rsidRPr="00EB184E">
        <w:t xml:space="preserve">, the Federal Reserve published a notice in the </w:t>
      </w:r>
      <w:r w:rsidR="00FA31C3" w:rsidRPr="00EB184E">
        <w:rPr>
          <w:i/>
        </w:rPr>
        <w:t>Federal Register</w:t>
      </w:r>
      <w:r w:rsidR="00FA31C3" w:rsidRPr="00EB184E">
        <w:t xml:space="preserve"> (</w:t>
      </w:r>
      <w:r w:rsidR="00FA31C3">
        <w:t>75</w:t>
      </w:r>
      <w:r w:rsidR="00FA31C3" w:rsidRPr="00EB184E">
        <w:t> FR </w:t>
      </w:r>
      <w:r w:rsidR="00FA31C3">
        <w:t>53966</w:t>
      </w:r>
      <w:r w:rsidR="00FA31C3" w:rsidRPr="00EB184E">
        <w:t xml:space="preserve">) requesting public comment for </w:t>
      </w:r>
      <w:r w:rsidR="00FA31C3">
        <w:t xml:space="preserve">60 </w:t>
      </w:r>
      <w:r w:rsidR="00FA31C3" w:rsidRPr="00EB184E">
        <w:t xml:space="preserve">days on the extension, without revision, of </w:t>
      </w:r>
      <w:r w:rsidR="00FA31C3">
        <w:t>this information collection</w:t>
      </w:r>
      <w:r w:rsidR="00FA31C3" w:rsidRPr="00EB184E">
        <w:t>. The comment period for this notice expire</w:t>
      </w:r>
      <w:r w:rsidR="00DD2783">
        <w:t>d</w:t>
      </w:r>
      <w:r w:rsidR="00FA31C3" w:rsidRPr="00EB184E">
        <w:t xml:space="preserve"> on </w:t>
      </w:r>
      <w:r w:rsidR="00FA31C3">
        <w:t xml:space="preserve">November 1, </w:t>
      </w:r>
      <w:r w:rsidR="00FA31C3" w:rsidRPr="00EB184E">
        <w:t>20</w:t>
      </w:r>
      <w:r w:rsidR="00FA31C3">
        <w:t>10</w:t>
      </w:r>
      <w:r w:rsidR="00FA31C3" w:rsidRPr="00EB184E">
        <w:t>.</w:t>
      </w:r>
      <w:r w:rsidR="00DD2783">
        <w:t xml:space="preserve">  The Federal Reserve did not receive any comments.  On November 15, 2010, </w:t>
      </w:r>
      <w:r w:rsidR="00DD2783" w:rsidRPr="00EB184E">
        <w:t xml:space="preserve">the Federal Reserve published a </w:t>
      </w:r>
      <w:r w:rsidR="00DD2783">
        <w:t xml:space="preserve">final </w:t>
      </w:r>
      <w:r w:rsidR="00DD2783" w:rsidRPr="00EB184E">
        <w:t xml:space="preserve">notice in the </w:t>
      </w:r>
      <w:r w:rsidR="00DD2783" w:rsidRPr="00EB184E">
        <w:rPr>
          <w:i/>
        </w:rPr>
        <w:t>Federal Register</w:t>
      </w:r>
      <w:r w:rsidR="00DD2783" w:rsidRPr="00EB184E">
        <w:t xml:space="preserve"> (</w:t>
      </w:r>
      <w:r w:rsidR="00DD2783">
        <w:t>75</w:t>
      </w:r>
      <w:r w:rsidR="00DD2783" w:rsidRPr="00EB184E">
        <w:t> FR </w:t>
      </w:r>
      <w:r w:rsidR="00DD2783">
        <w:t>69665</w:t>
      </w:r>
      <w:r w:rsidR="00DD2783" w:rsidRPr="00EB184E">
        <w:t>)</w:t>
      </w:r>
      <w:r w:rsidR="00ED5B80">
        <w:t>.</w:t>
      </w:r>
    </w:p>
    <w:p w:rsidR="001C4B43" w:rsidRDefault="001C4B43" w:rsidP="00BE1524">
      <w:pPr>
        <w:widowControl/>
        <w:tabs>
          <w:tab w:val="left" w:pos="360"/>
          <w:tab w:val="left" w:pos="1080"/>
        </w:tabs>
        <w:rPr>
          <w:b/>
        </w:rPr>
      </w:pPr>
    </w:p>
    <w:p w:rsidR="00F55DB8" w:rsidRPr="00D14565" w:rsidRDefault="00F55DB8" w:rsidP="00BE1524">
      <w:pPr>
        <w:widowControl/>
        <w:tabs>
          <w:tab w:val="left" w:pos="360"/>
          <w:tab w:val="left" w:pos="1080"/>
        </w:tabs>
        <w:rPr>
          <w:b/>
        </w:rPr>
      </w:pPr>
      <w:r w:rsidRPr="00D14565">
        <w:rPr>
          <w:b/>
        </w:rPr>
        <w:t>Sensitive Questions</w:t>
      </w:r>
    </w:p>
    <w:p w:rsidR="00F55DB8" w:rsidRPr="00D14565" w:rsidRDefault="00F55DB8" w:rsidP="00F55DB8"/>
    <w:p w:rsidR="00F55DB8" w:rsidRPr="00D14565" w:rsidRDefault="00F55DB8" w:rsidP="00F55DB8">
      <w:r w:rsidRPr="00D14565">
        <w:tab/>
        <w:t>This collection of information contains no questions of a sensitive nature, as defined by OMB guidelines.</w:t>
      </w:r>
    </w:p>
    <w:p w:rsidR="005322DD" w:rsidRDefault="005322DD">
      <w:pPr>
        <w:widowControl/>
        <w:tabs>
          <w:tab w:val="left" w:pos="360"/>
          <w:tab w:val="left" w:pos="1080"/>
        </w:tabs>
        <w:rPr>
          <w:b/>
          <w:bCs/>
        </w:rPr>
      </w:pPr>
    </w:p>
    <w:p w:rsidR="00B27519" w:rsidRDefault="00A5471B">
      <w:pPr>
        <w:widowControl/>
        <w:tabs>
          <w:tab w:val="left" w:pos="360"/>
          <w:tab w:val="left" w:pos="1080"/>
        </w:tabs>
        <w:rPr>
          <w:b/>
          <w:bCs/>
        </w:rPr>
      </w:pPr>
      <w:r>
        <w:rPr>
          <w:b/>
          <w:bCs/>
        </w:rPr>
        <w:t>Legal Status</w:t>
      </w:r>
    </w:p>
    <w:p w:rsidR="00A5471B" w:rsidRPr="00D14565" w:rsidRDefault="00A5471B">
      <w:pPr>
        <w:widowControl/>
        <w:tabs>
          <w:tab w:val="left" w:pos="360"/>
          <w:tab w:val="left" w:pos="1080"/>
        </w:tabs>
        <w:rPr>
          <w:b/>
          <w:bCs/>
        </w:rPr>
      </w:pPr>
    </w:p>
    <w:p w:rsidR="004F540A" w:rsidRPr="00D57C16" w:rsidRDefault="00EE7D11" w:rsidP="004F540A">
      <w:pPr>
        <w:widowControl/>
        <w:ind w:firstLine="720"/>
      </w:pPr>
      <w:r w:rsidRPr="00D57C16">
        <w:t>The Board's Legal Division has determined that the FCRA, as amended, authorizes the Federal Reserve to issue regulations to carry out the provisions of the Act (15 U.S.C. §</w:t>
      </w:r>
      <w:r w:rsidR="00BE58F0" w:rsidRPr="00D57C16">
        <w:t>§1681b, 1681c, 1681m, and 1681s</w:t>
      </w:r>
      <w:r w:rsidR="009402F8">
        <w:t xml:space="preserve">-2 and </w:t>
      </w:r>
      <w:r w:rsidR="009402F8" w:rsidRPr="00D57C16">
        <w:t>1681s</w:t>
      </w:r>
      <w:r w:rsidR="009402F8">
        <w:t>-3</w:t>
      </w:r>
      <w:r w:rsidRPr="00D57C16">
        <w:t xml:space="preserve">).  </w:t>
      </w:r>
      <w:r w:rsidR="00B5709D">
        <w:t xml:space="preserve">The obligation to comply with the notice and disclosure requirements of Regulation V is mandatory.  </w:t>
      </w:r>
      <w:r w:rsidR="005F5BF8" w:rsidRPr="00D57C16">
        <w:t xml:space="preserve">Because the records </w:t>
      </w:r>
      <w:r w:rsidR="00801701" w:rsidRPr="00D57C16">
        <w:t xml:space="preserve">are </w:t>
      </w:r>
      <w:r w:rsidR="005F5BF8" w:rsidRPr="00D57C16">
        <w:t>maintained at state member banks and the notices are not provided to the Federal Reserve, no issue of confidentiality arises under the Freedom of Information Act</w:t>
      </w:r>
      <w:r w:rsidR="004F540A" w:rsidRPr="00D57C16">
        <w:t>.</w:t>
      </w:r>
    </w:p>
    <w:p w:rsidR="00815BA3" w:rsidRDefault="00815BA3">
      <w:pPr>
        <w:widowControl/>
        <w:tabs>
          <w:tab w:val="left" w:pos="360"/>
          <w:tab w:val="left" w:pos="1080"/>
        </w:tabs>
        <w:rPr>
          <w:b/>
          <w:bCs/>
        </w:rPr>
      </w:pPr>
    </w:p>
    <w:p w:rsidR="00626ED6" w:rsidRPr="00D57C16" w:rsidRDefault="00626ED6">
      <w:pPr>
        <w:widowControl/>
        <w:tabs>
          <w:tab w:val="left" w:pos="360"/>
          <w:tab w:val="left" w:pos="1080"/>
        </w:tabs>
      </w:pPr>
      <w:r w:rsidRPr="00D57C16">
        <w:rPr>
          <w:b/>
          <w:bCs/>
        </w:rPr>
        <w:t>Estimate of Respondent Burden</w:t>
      </w:r>
    </w:p>
    <w:p w:rsidR="00626ED6" w:rsidRPr="00D57C16" w:rsidRDefault="00626ED6">
      <w:pPr>
        <w:widowControl/>
        <w:tabs>
          <w:tab w:val="left" w:pos="360"/>
          <w:tab w:val="left" w:pos="1080"/>
        </w:tabs>
      </w:pPr>
    </w:p>
    <w:p w:rsidR="00BF7522" w:rsidRDefault="0008113C" w:rsidP="004F540A">
      <w:pPr>
        <w:ind w:firstLine="720"/>
      </w:pPr>
      <w:r w:rsidRPr="00D57C16">
        <w:t xml:space="preserve">Approximately 30,000 financial institutions furnish information to </w:t>
      </w:r>
      <w:r w:rsidR="007E02EA" w:rsidRPr="00D57C16">
        <w:t>CRAs</w:t>
      </w:r>
      <w:r w:rsidRPr="00D57C16">
        <w:t xml:space="preserve">.  </w:t>
      </w:r>
      <w:r w:rsidR="00E37673">
        <w:t>The Federal Reserve believes</w:t>
      </w:r>
      <w:r w:rsidR="004F540A" w:rsidRPr="00D57C16">
        <w:t xml:space="preserve"> that providing </w:t>
      </w:r>
      <w:r w:rsidR="00EE5E8C" w:rsidRPr="00D57C16">
        <w:t>the</w:t>
      </w:r>
      <w:r w:rsidR="004F540A" w:rsidRPr="00D57C16">
        <w:t xml:space="preserve"> notice to consumers </w:t>
      </w:r>
      <w:r w:rsidR="00E37673">
        <w:t xml:space="preserve">(under Section 217) </w:t>
      </w:r>
      <w:r w:rsidR="000A2F68">
        <w:t xml:space="preserve">does </w:t>
      </w:r>
      <w:r w:rsidR="004F540A" w:rsidRPr="00D57C16">
        <w:t xml:space="preserve">not significantly burden </w:t>
      </w:r>
      <w:bookmarkStart w:id="0" w:name="OLE_LINK1"/>
      <w:r w:rsidR="004F540A" w:rsidRPr="00D57C16">
        <w:t xml:space="preserve">financial </w:t>
      </w:r>
      <w:bookmarkEnd w:id="0"/>
      <w:r w:rsidR="004F540A" w:rsidRPr="00D57C16">
        <w:t>institutions</w:t>
      </w:r>
      <w:r w:rsidR="00EE5E8C" w:rsidRPr="00D57C16">
        <w:t xml:space="preserve"> because</w:t>
      </w:r>
      <w:r w:rsidR="004F540A" w:rsidRPr="00D57C16">
        <w:t xml:space="preserve"> </w:t>
      </w:r>
      <w:r w:rsidR="00A60E49" w:rsidRPr="00D57C16">
        <w:t xml:space="preserve">many provide a </w:t>
      </w:r>
      <w:r w:rsidR="004F540A" w:rsidRPr="00D57C16">
        <w:t>standardized notice to consumers</w:t>
      </w:r>
      <w:r w:rsidR="003F4FA7" w:rsidRPr="00D57C16">
        <w:t xml:space="preserve"> </w:t>
      </w:r>
      <w:r w:rsidR="00A60E49" w:rsidRPr="00D57C16">
        <w:t xml:space="preserve">routinely </w:t>
      </w:r>
      <w:r w:rsidR="003F4FA7" w:rsidRPr="00D57C16">
        <w:t xml:space="preserve">in </w:t>
      </w:r>
      <w:r w:rsidR="00A60E49" w:rsidRPr="00D57C16">
        <w:t>connection with account openings</w:t>
      </w:r>
      <w:r w:rsidR="007B3B02" w:rsidRPr="00D57C16">
        <w:t xml:space="preserve"> prior to furnishing negative information</w:t>
      </w:r>
      <w:r w:rsidR="00A60E49" w:rsidRPr="00D57C16">
        <w:t>.</w:t>
      </w:r>
      <w:r w:rsidR="004F540A" w:rsidRPr="00D57C16">
        <w:t xml:space="preserve">  </w:t>
      </w:r>
      <w:r w:rsidR="00E251AE" w:rsidRPr="00D57C16">
        <w:t xml:space="preserve">The Federal Reserve estimates that </w:t>
      </w:r>
      <w:r w:rsidR="00D76DAA" w:rsidRPr="00D57C16">
        <w:t>financial institutions</w:t>
      </w:r>
      <w:r w:rsidR="003F4FA7" w:rsidRPr="00D57C16">
        <w:t xml:space="preserve"> </w:t>
      </w:r>
      <w:r w:rsidR="00E251AE" w:rsidRPr="00D57C16">
        <w:t xml:space="preserve">would take approximately </w:t>
      </w:r>
      <w:r w:rsidR="007D4D12">
        <w:t>15</w:t>
      </w:r>
      <w:r w:rsidR="00E251AE" w:rsidRPr="00D57C16">
        <w:t xml:space="preserve"> minutes</w:t>
      </w:r>
      <w:r w:rsidR="00D76DAA" w:rsidRPr="00D57C16">
        <w:t xml:space="preserve"> annually</w:t>
      </w:r>
      <w:r w:rsidR="00E251AE" w:rsidRPr="00D57C16">
        <w:t xml:space="preserve"> to update </w:t>
      </w:r>
      <w:r w:rsidR="00D76DAA" w:rsidRPr="00D57C16">
        <w:t xml:space="preserve">their </w:t>
      </w:r>
      <w:r w:rsidR="00E251AE" w:rsidRPr="00D57C16">
        <w:t>notices with changes</w:t>
      </w:r>
      <w:r w:rsidR="00D76DAA" w:rsidRPr="00D57C16">
        <w:t xml:space="preserve"> </w:t>
      </w:r>
      <w:r w:rsidR="00E251AE" w:rsidRPr="00D57C16">
        <w:t>such as contact information.</w:t>
      </w:r>
      <w:r w:rsidR="007E697A">
        <w:t xml:space="preserve">  </w:t>
      </w:r>
    </w:p>
    <w:p w:rsidR="00BF7522" w:rsidRDefault="00BF7522" w:rsidP="004F540A">
      <w:pPr>
        <w:ind w:firstLine="720"/>
      </w:pPr>
    </w:p>
    <w:p w:rsidR="008068D9" w:rsidRPr="00D57C16" w:rsidRDefault="007E697A" w:rsidP="004F540A">
      <w:pPr>
        <w:ind w:firstLine="720"/>
      </w:pPr>
      <w:r>
        <w:t>U</w:t>
      </w:r>
      <w:r w:rsidR="00EC6A70" w:rsidRPr="00D57C16">
        <w:t>nder the affiliate marketing provisions</w:t>
      </w:r>
      <w:r w:rsidR="00E37673">
        <w:t xml:space="preserve"> (Section 214)</w:t>
      </w:r>
      <w:r w:rsidR="00EC6A70" w:rsidRPr="00D57C16">
        <w:t>, the Federal Reserve estimates that the average amount of time for a financial institution to prepare</w:t>
      </w:r>
      <w:r>
        <w:t xml:space="preserve"> </w:t>
      </w:r>
      <w:r w:rsidR="00EC6A70" w:rsidRPr="00D57C16">
        <w:t>an</w:t>
      </w:r>
      <w:r>
        <w:t>d distribute an</w:t>
      </w:r>
      <w:r w:rsidR="00EC6A70" w:rsidRPr="00D57C16">
        <w:t xml:space="preserve"> initial notice as required to consumers </w:t>
      </w:r>
      <w:r w:rsidR="000A2F68">
        <w:t xml:space="preserve">is </w:t>
      </w:r>
      <w:r w:rsidR="00EC6A70" w:rsidRPr="00D57C16">
        <w:t xml:space="preserve">approximately </w:t>
      </w:r>
      <w:r w:rsidR="007D4D12">
        <w:t>18</w:t>
      </w:r>
      <w:r w:rsidRPr="00D57C16">
        <w:t xml:space="preserve"> </w:t>
      </w:r>
      <w:r w:rsidR="00EC6A70" w:rsidRPr="00D57C16">
        <w:t>hours.</w:t>
      </w:r>
      <w:r>
        <w:t xml:space="preserve">  </w:t>
      </w:r>
      <w:r w:rsidR="00EC6A70" w:rsidRPr="00D57C16">
        <w:t xml:space="preserve">The Federal Reserve estimates that the average consumer would take approximately </w:t>
      </w:r>
      <w:r w:rsidR="007D4D12">
        <w:t>5</w:t>
      </w:r>
      <w:r w:rsidR="00EC6A70" w:rsidRPr="00D57C16">
        <w:t xml:space="preserve"> minutes to respond to the notice and opt-out.</w:t>
      </w:r>
      <w:r w:rsidR="008A0E63" w:rsidRPr="00D57C16">
        <w:t xml:space="preserve">  </w:t>
      </w:r>
    </w:p>
    <w:p w:rsidR="008068D9" w:rsidRPr="00D57C16" w:rsidRDefault="008068D9" w:rsidP="004F540A">
      <w:pPr>
        <w:ind w:firstLine="720"/>
      </w:pPr>
    </w:p>
    <w:p w:rsidR="007D4D12" w:rsidRDefault="00131BE0" w:rsidP="00131BE0">
      <w:pPr>
        <w:widowControl/>
      </w:pPr>
      <w:r w:rsidRPr="00D57C16">
        <w:tab/>
        <w:t>Under the Red Flags provisions</w:t>
      </w:r>
      <w:r w:rsidR="00E37673">
        <w:t xml:space="preserve"> (Sections 114 and 315)</w:t>
      </w:r>
      <w:r w:rsidRPr="00D57C16">
        <w:t xml:space="preserve">, the Federal Reserve estimates the annual burden per respondent is </w:t>
      </w:r>
      <w:r w:rsidR="007D4D12">
        <w:t>41</w:t>
      </w:r>
      <w:r w:rsidRPr="00D57C16">
        <w:t xml:space="preserve"> hours; </w:t>
      </w:r>
      <w:r w:rsidR="007D4D12">
        <w:t>25</w:t>
      </w:r>
      <w:r w:rsidRPr="00D57C16">
        <w:t xml:space="preserve"> hours to develop a </w:t>
      </w:r>
      <w:r w:rsidR="00F55DB8">
        <w:t>p</w:t>
      </w:r>
      <w:r w:rsidRPr="00D57C16">
        <w:t xml:space="preserve">rogram, </w:t>
      </w:r>
      <w:r w:rsidR="007D4D12">
        <w:t>4</w:t>
      </w:r>
      <w:r w:rsidRPr="00D57C16">
        <w:t xml:space="preserve"> hours to prepare an annual report, </w:t>
      </w:r>
      <w:r w:rsidR="007D4D12">
        <w:t>4</w:t>
      </w:r>
      <w:r w:rsidRPr="00D57C16">
        <w:t xml:space="preserve"> hours for training, </w:t>
      </w:r>
      <w:r w:rsidR="007D4D12">
        <w:t>4</w:t>
      </w:r>
      <w:r w:rsidRPr="00D57C16">
        <w:t xml:space="preserve"> hours for developing policies and procedures to assess the validity of changes of address, and </w:t>
      </w:r>
      <w:r w:rsidR="007D4D12">
        <w:t>4</w:t>
      </w:r>
      <w:r w:rsidRPr="00D57C16">
        <w:t xml:space="preserve"> hours for developing policies and procedures to respond to notices of address discrepancy.  </w:t>
      </w:r>
    </w:p>
    <w:p w:rsidR="00991D3D" w:rsidRDefault="00991D3D" w:rsidP="00131BE0">
      <w:pPr>
        <w:widowControl/>
      </w:pPr>
    </w:p>
    <w:p w:rsidR="002E19C8" w:rsidRDefault="002E19C8" w:rsidP="002E19C8">
      <w:pPr>
        <w:widowControl/>
      </w:pPr>
      <w:r>
        <w:lastRenderedPageBreak/>
        <w:tab/>
      </w:r>
      <w:r w:rsidR="00FB2B2B" w:rsidRPr="00D14565">
        <w:t>The Federal Reserve estimates that there are 18,173 respondents</w:t>
      </w:r>
      <w:r w:rsidR="00FB2B2B" w:rsidRPr="00D14565">
        <w:rPr>
          <w:vertAlign w:val="superscript"/>
        </w:rPr>
        <w:t xml:space="preserve"> </w:t>
      </w:r>
      <w:r w:rsidR="00FB2B2B" w:rsidRPr="00D14565">
        <w:t>regulated by the federal financial regulatory agencies</w:t>
      </w:r>
      <w:r w:rsidR="00FB2B2B" w:rsidRPr="00D14565">
        <w:rPr>
          <w:rStyle w:val="FootnoteReference"/>
          <w:vertAlign w:val="superscript"/>
        </w:rPr>
        <w:footnoteReference w:id="20"/>
      </w:r>
      <w:r w:rsidR="00FB2B2B" w:rsidRPr="00D14565">
        <w:t xml:space="preserve"> potentially affected by the risk-based pricing Section 311</w:t>
      </w:r>
      <w:r w:rsidR="00FB2B2B" w:rsidRPr="00D14565">
        <w:rPr>
          <w:i/>
        </w:rPr>
        <w:t xml:space="preserve"> </w:t>
      </w:r>
      <w:r w:rsidR="00FB2B2B" w:rsidRPr="00D14565">
        <w:t>notice and disclosure requirements.</w:t>
      </w:r>
      <w:r w:rsidR="00FB2B2B">
        <w:t xml:space="preserve">  </w:t>
      </w:r>
      <w:r>
        <w:t xml:space="preserve">Under the Risk-based pricing provisions </w:t>
      </w:r>
      <w:r w:rsidRPr="00D57C16">
        <w:t>the Federal Reserve estimates</w:t>
      </w:r>
      <w:r w:rsidRPr="00991D3D">
        <w:t xml:space="preserve"> </w:t>
      </w:r>
      <w:r w:rsidRPr="00D14565">
        <w:t xml:space="preserve">that the respondents </w:t>
      </w:r>
      <w:r>
        <w:t>will</w:t>
      </w:r>
      <w:r w:rsidRPr="00D14565">
        <w:t xml:space="preserve"> take, on average, 40 hours (1 business week) to reprogram and update systems, provide employee training, and modify model notices with respondent information</w:t>
      </w:r>
      <w:r w:rsidRPr="00D14565">
        <w:rPr>
          <w:rStyle w:val="FootnoteReference"/>
          <w:vertAlign w:val="superscript"/>
        </w:rPr>
        <w:footnoteReference w:id="21"/>
      </w:r>
      <w:r w:rsidRPr="00D14565">
        <w:rPr>
          <w:vertAlign w:val="superscript"/>
        </w:rPr>
        <w:t xml:space="preserve"> </w:t>
      </w:r>
      <w:r w:rsidRPr="00D14565">
        <w:t xml:space="preserve">to comply with the notice and disclosure requirements.  This one-time annual burden is estimated to be 726,920 hours.  In addition, the Federal Reserve estimates that, on a continuing basis, respondents </w:t>
      </w:r>
      <w:r>
        <w:t>will</w:t>
      </w:r>
      <w:r w:rsidRPr="00D14565">
        <w:t xml:space="preserve"> take 5 hours a month to modify and di</w:t>
      </w:r>
      <w:r>
        <w:t>stribute notices to consumers.</w:t>
      </w:r>
    </w:p>
    <w:p w:rsidR="002E19C8" w:rsidRDefault="002E19C8" w:rsidP="00131BE0">
      <w:pPr>
        <w:widowControl/>
      </w:pPr>
    </w:p>
    <w:p w:rsidR="00490C9F" w:rsidRDefault="007D4D12" w:rsidP="00131BE0">
      <w:pPr>
        <w:widowControl/>
      </w:pPr>
      <w:r w:rsidRPr="00710A63">
        <w:tab/>
        <w:t>Under the p</w:t>
      </w:r>
      <w:r w:rsidRPr="00710A63">
        <w:rPr>
          <w:bCs/>
        </w:rPr>
        <w:t>rocedures to enhance the accuracy and integrity of information furnished to consumer reporting agencies (Section 312), the Federal Reserve estimates the</w:t>
      </w:r>
      <w:r w:rsidRPr="00710A63">
        <w:rPr>
          <w:iCs/>
        </w:rPr>
        <w:t xml:space="preserve"> </w:t>
      </w:r>
      <w:r w:rsidR="00C774E7">
        <w:rPr>
          <w:iCs/>
        </w:rPr>
        <w:t xml:space="preserve">annual </w:t>
      </w:r>
      <w:r w:rsidRPr="00710A63">
        <w:rPr>
          <w:iCs/>
        </w:rPr>
        <w:t xml:space="preserve">burden per respondent </w:t>
      </w:r>
      <w:r w:rsidR="00C774E7">
        <w:rPr>
          <w:iCs/>
        </w:rPr>
        <w:t>i</w:t>
      </w:r>
      <w:r w:rsidRPr="00710A63">
        <w:rPr>
          <w:iCs/>
        </w:rPr>
        <w:t>s</w:t>
      </w:r>
      <w:r w:rsidR="00C774E7">
        <w:rPr>
          <w:iCs/>
        </w:rPr>
        <w:t xml:space="preserve"> 40 hours (</w:t>
      </w:r>
      <w:r w:rsidR="00844746">
        <w:t>24</w:t>
      </w:r>
      <w:r w:rsidR="00844746" w:rsidRPr="00710A63">
        <w:t xml:space="preserve"> </w:t>
      </w:r>
      <w:r w:rsidRPr="00710A63">
        <w:t xml:space="preserve">hours to implement written policies and procedures and training associated with the written policies and procedures, </w:t>
      </w:r>
      <w:r w:rsidR="00844746">
        <w:t>8</w:t>
      </w:r>
      <w:r w:rsidR="00844746" w:rsidRPr="00710A63">
        <w:t xml:space="preserve"> </w:t>
      </w:r>
      <w:r w:rsidRPr="00710A63">
        <w:t xml:space="preserve">hours to amend procedures for handling complaints received directly from consumers, </w:t>
      </w:r>
      <w:r w:rsidR="00844746">
        <w:t>8</w:t>
      </w:r>
      <w:r w:rsidR="00844746" w:rsidRPr="00710A63">
        <w:t xml:space="preserve"> </w:t>
      </w:r>
      <w:r w:rsidRPr="00710A63">
        <w:t>hours to implement the new dispute notice requirement</w:t>
      </w:r>
      <w:r w:rsidR="00C774E7">
        <w:t>)</w:t>
      </w:r>
      <w:r w:rsidRPr="00710A63">
        <w:t xml:space="preserve"> </w:t>
      </w:r>
      <w:r w:rsidR="00740AD7">
        <w:t xml:space="preserve">plus </w:t>
      </w:r>
      <w:r w:rsidR="00844746">
        <w:t>14</w:t>
      </w:r>
      <w:r w:rsidR="00844746" w:rsidRPr="00710A63">
        <w:t xml:space="preserve"> </w:t>
      </w:r>
      <w:r w:rsidRPr="00710A63">
        <w:t>minutes per notice for distribution.</w:t>
      </w:r>
      <w:r w:rsidR="00EF4DDF" w:rsidRPr="00EF4DDF">
        <w:rPr>
          <w:rStyle w:val="FootnoteReference"/>
          <w:vertAlign w:val="superscript"/>
        </w:rPr>
        <w:footnoteReference w:id="22"/>
      </w:r>
      <w:r w:rsidRPr="00710A63">
        <w:t xml:space="preserve"> </w:t>
      </w:r>
    </w:p>
    <w:p w:rsidR="00490C9F" w:rsidRPr="00A320EC" w:rsidRDefault="00490C9F" w:rsidP="00131BE0">
      <w:pPr>
        <w:widowControl/>
        <w:rPr>
          <w:color w:val="0000FF"/>
        </w:rPr>
      </w:pPr>
    </w:p>
    <w:p w:rsidR="00EC6A70" w:rsidRPr="00D14565" w:rsidRDefault="00A320EC" w:rsidP="00131BE0">
      <w:pPr>
        <w:widowControl/>
      </w:pPr>
      <w:r w:rsidRPr="00D14565">
        <w:tab/>
      </w:r>
      <w:r w:rsidR="00FB2B2B">
        <w:t xml:space="preserve"> </w:t>
      </w:r>
      <w:r w:rsidR="00CF1619" w:rsidRPr="00D57C16">
        <w:t>The</w:t>
      </w:r>
      <w:r w:rsidR="00CF1619">
        <w:t xml:space="preserve"> </w:t>
      </w:r>
      <w:r w:rsidR="002E19C8">
        <w:t>total</w:t>
      </w:r>
      <w:r w:rsidR="002E19C8" w:rsidRPr="00D57C16">
        <w:t xml:space="preserve"> </w:t>
      </w:r>
      <w:r w:rsidR="00CF1619" w:rsidRPr="00D57C16">
        <w:t xml:space="preserve">annual burden for this information collection is estimated to be </w:t>
      </w:r>
      <w:r w:rsidR="002E19C8" w:rsidRPr="002E19C8">
        <w:t>2,162,864</w:t>
      </w:r>
      <w:r w:rsidR="002E19C8">
        <w:rPr>
          <w:b/>
        </w:rPr>
        <w:t xml:space="preserve"> </w:t>
      </w:r>
      <w:r w:rsidR="00CF1619" w:rsidRPr="00D57C16">
        <w:t>hours</w:t>
      </w:r>
      <w:r w:rsidR="00CF1619">
        <w:t xml:space="preserve">. </w:t>
      </w:r>
      <w:r w:rsidR="00F903A3" w:rsidRPr="00D14565">
        <w:t xml:space="preserve"> </w:t>
      </w:r>
      <w:r w:rsidR="00A95FAB" w:rsidRPr="00A95FAB">
        <w:t xml:space="preserve">These recordkeeping and disclosure requirements represent less than </w:t>
      </w:r>
      <w:r w:rsidR="00A95FAB">
        <w:t>21</w:t>
      </w:r>
      <w:r w:rsidR="00A95FAB" w:rsidRPr="00A95FAB">
        <w:t xml:space="preserve"> percent of total Federal Reserve System paperwork burden.</w:t>
      </w:r>
    </w:p>
    <w:p w:rsidR="00E8644B" w:rsidRPr="00D14565" w:rsidRDefault="00B65CB1">
      <w:pPr>
        <w:widowControl/>
        <w:tabs>
          <w:tab w:val="left" w:pos="360"/>
          <w:tab w:val="left" w:pos="1080"/>
        </w:tabs>
      </w:pPr>
      <w:r>
        <w:br w:type="page"/>
      </w:r>
    </w:p>
    <w:tbl>
      <w:tblPr>
        <w:tblW w:w="0" w:type="auto"/>
        <w:tblInd w:w="108" w:type="dxa"/>
        <w:tblBorders>
          <w:top w:val="single" w:sz="4" w:space="0" w:color="auto"/>
          <w:bottom w:val="single" w:sz="4" w:space="0" w:color="auto"/>
        </w:tblBorders>
        <w:tblLook w:val="01E0"/>
      </w:tblPr>
      <w:tblGrid>
        <w:gridCol w:w="3754"/>
        <w:gridCol w:w="1536"/>
        <w:gridCol w:w="1379"/>
        <w:gridCol w:w="1379"/>
        <w:gridCol w:w="1379"/>
      </w:tblGrid>
      <w:tr w:rsidR="00E8644B" w:rsidRPr="008E59F2" w:rsidTr="00600A5D">
        <w:tc>
          <w:tcPr>
            <w:tcW w:w="3754" w:type="dxa"/>
            <w:vAlign w:val="center"/>
          </w:tcPr>
          <w:p w:rsidR="00E8644B" w:rsidRPr="008E59F2" w:rsidRDefault="00E8644B" w:rsidP="00133F15">
            <w:pPr>
              <w:widowControl/>
              <w:tabs>
                <w:tab w:val="left" w:pos="360"/>
                <w:tab w:val="left" w:pos="1080"/>
              </w:tabs>
            </w:pPr>
          </w:p>
        </w:tc>
        <w:tc>
          <w:tcPr>
            <w:tcW w:w="1379" w:type="dxa"/>
            <w:vAlign w:val="center"/>
          </w:tcPr>
          <w:p w:rsidR="00BC79ED" w:rsidRPr="008E59F2" w:rsidRDefault="003A3099" w:rsidP="00133F15">
            <w:pPr>
              <w:widowControl/>
              <w:tabs>
                <w:tab w:val="left" w:pos="360"/>
                <w:tab w:val="left" w:pos="1080"/>
              </w:tabs>
              <w:jc w:val="center"/>
              <w:rPr>
                <w:i/>
              </w:rPr>
            </w:pPr>
            <w:r w:rsidRPr="008E59F2">
              <w:rPr>
                <w:i/>
              </w:rPr>
              <w:t>Estimated n</w:t>
            </w:r>
            <w:r w:rsidR="0021177F" w:rsidRPr="008E59F2">
              <w:rPr>
                <w:i/>
              </w:rPr>
              <w:t>umber</w:t>
            </w:r>
          </w:p>
          <w:p w:rsidR="00BC79ED" w:rsidRPr="008E59F2" w:rsidRDefault="0021177F" w:rsidP="00133F15">
            <w:pPr>
              <w:widowControl/>
              <w:tabs>
                <w:tab w:val="left" w:pos="360"/>
                <w:tab w:val="left" w:pos="1080"/>
              </w:tabs>
              <w:jc w:val="center"/>
              <w:rPr>
                <w:i/>
              </w:rPr>
            </w:pPr>
            <w:r w:rsidRPr="008E59F2">
              <w:rPr>
                <w:i/>
              </w:rPr>
              <w:t>of</w:t>
            </w:r>
          </w:p>
          <w:p w:rsidR="00E8644B" w:rsidRPr="008E59F2" w:rsidRDefault="0021177F" w:rsidP="00133F15">
            <w:pPr>
              <w:widowControl/>
              <w:tabs>
                <w:tab w:val="left" w:pos="360"/>
                <w:tab w:val="left" w:pos="1080"/>
              </w:tabs>
              <w:jc w:val="center"/>
              <w:rPr>
                <w:i/>
              </w:rPr>
            </w:pPr>
            <w:r w:rsidRPr="008E59F2">
              <w:rPr>
                <w:i/>
              </w:rPr>
              <w:t>respondents</w:t>
            </w:r>
            <w:r w:rsidR="00600A5D" w:rsidRPr="00600A5D">
              <w:rPr>
                <w:rStyle w:val="FootnoteReference"/>
                <w:i/>
                <w:vertAlign w:val="superscript"/>
              </w:rPr>
              <w:footnoteReference w:id="23"/>
            </w:r>
          </w:p>
        </w:tc>
        <w:tc>
          <w:tcPr>
            <w:tcW w:w="1379" w:type="dxa"/>
            <w:vAlign w:val="center"/>
          </w:tcPr>
          <w:p w:rsidR="00BC79ED" w:rsidRPr="008E59F2" w:rsidRDefault="003A3099" w:rsidP="00133F15">
            <w:pPr>
              <w:widowControl/>
              <w:tabs>
                <w:tab w:val="left" w:pos="360"/>
                <w:tab w:val="left" w:pos="1080"/>
              </w:tabs>
              <w:jc w:val="center"/>
              <w:rPr>
                <w:i/>
              </w:rPr>
            </w:pPr>
            <w:r w:rsidRPr="008E59F2">
              <w:rPr>
                <w:i/>
              </w:rPr>
              <w:t>Estimated a</w:t>
            </w:r>
            <w:r w:rsidR="0021177F" w:rsidRPr="008E59F2">
              <w:rPr>
                <w:i/>
              </w:rPr>
              <w:t>verage</w:t>
            </w:r>
          </w:p>
          <w:p w:rsidR="00BC79ED" w:rsidRPr="008E59F2" w:rsidRDefault="00BC79ED" w:rsidP="00133F15">
            <w:pPr>
              <w:widowControl/>
              <w:tabs>
                <w:tab w:val="left" w:pos="360"/>
                <w:tab w:val="left" w:pos="1080"/>
              </w:tabs>
              <w:jc w:val="center"/>
              <w:rPr>
                <w:i/>
              </w:rPr>
            </w:pPr>
            <w:r w:rsidRPr="008E59F2">
              <w:rPr>
                <w:i/>
              </w:rPr>
              <w:t>a</w:t>
            </w:r>
            <w:r w:rsidR="0021177F" w:rsidRPr="008E59F2">
              <w:rPr>
                <w:i/>
              </w:rPr>
              <w:t>nnual</w:t>
            </w:r>
          </w:p>
          <w:p w:rsidR="00E8644B" w:rsidRPr="008E59F2" w:rsidRDefault="0021177F" w:rsidP="00133F15">
            <w:pPr>
              <w:widowControl/>
              <w:tabs>
                <w:tab w:val="left" w:pos="360"/>
                <w:tab w:val="left" w:pos="1080"/>
              </w:tabs>
              <w:jc w:val="center"/>
              <w:rPr>
                <w:i/>
              </w:rPr>
            </w:pPr>
            <w:r w:rsidRPr="008E59F2">
              <w:rPr>
                <w:i/>
              </w:rPr>
              <w:t>frequency</w:t>
            </w:r>
          </w:p>
        </w:tc>
        <w:tc>
          <w:tcPr>
            <w:tcW w:w="1379" w:type="dxa"/>
            <w:vAlign w:val="center"/>
          </w:tcPr>
          <w:p w:rsidR="001F4721" w:rsidRPr="008E59F2" w:rsidRDefault="0021177F" w:rsidP="000E5E2C">
            <w:pPr>
              <w:widowControl/>
              <w:tabs>
                <w:tab w:val="left" w:pos="360"/>
                <w:tab w:val="left" w:pos="1080"/>
              </w:tabs>
              <w:jc w:val="center"/>
              <w:rPr>
                <w:i/>
              </w:rPr>
            </w:pPr>
            <w:r w:rsidRPr="008E59F2">
              <w:rPr>
                <w:i/>
              </w:rPr>
              <w:t xml:space="preserve">Estimated average </w:t>
            </w:r>
            <w:r w:rsidR="001F4721" w:rsidRPr="008E59F2">
              <w:rPr>
                <w:i/>
              </w:rPr>
              <w:t>time</w:t>
            </w:r>
            <w:r w:rsidR="005322DD" w:rsidRPr="008E59F2">
              <w:rPr>
                <w:i/>
              </w:rPr>
              <w:t xml:space="preserve"> per</w:t>
            </w:r>
          </w:p>
          <w:p w:rsidR="0021177F" w:rsidRPr="008E59F2" w:rsidRDefault="0021177F" w:rsidP="005322DD">
            <w:pPr>
              <w:widowControl/>
              <w:tabs>
                <w:tab w:val="left" w:pos="360"/>
                <w:tab w:val="left" w:pos="1080"/>
              </w:tabs>
              <w:jc w:val="center"/>
              <w:rPr>
                <w:i/>
              </w:rPr>
            </w:pPr>
            <w:r w:rsidRPr="008E59F2">
              <w:rPr>
                <w:i/>
              </w:rPr>
              <w:t xml:space="preserve"> response</w:t>
            </w:r>
          </w:p>
        </w:tc>
        <w:tc>
          <w:tcPr>
            <w:tcW w:w="1379" w:type="dxa"/>
            <w:vAlign w:val="center"/>
          </w:tcPr>
          <w:p w:rsidR="00BC79ED" w:rsidRPr="008E59F2" w:rsidRDefault="0021177F" w:rsidP="00133F15">
            <w:pPr>
              <w:widowControl/>
              <w:tabs>
                <w:tab w:val="left" w:pos="360"/>
                <w:tab w:val="left" w:pos="1080"/>
              </w:tabs>
              <w:jc w:val="center"/>
              <w:rPr>
                <w:i/>
              </w:rPr>
            </w:pPr>
            <w:r w:rsidRPr="008E59F2">
              <w:rPr>
                <w:i/>
              </w:rPr>
              <w:t>Estimated annual</w:t>
            </w:r>
          </w:p>
          <w:p w:rsidR="00E8644B" w:rsidRPr="008E59F2" w:rsidRDefault="0021177F" w:rsidP="00133F15">
            <w:pPr>
              <w:widowControl/>
              <w:tabs>
                <w:tab w:val="left" w:pos="360"/>
                <w:tab w:val="left" w:pos="1080"/>
              </w:tabs>
              <w:jc w:val="center"/>
              <w:rPr>
                <w:i/>
              </w:rPr>
            </w:pPr>
            <w:r w:rsidRPr="008E59F2">
              <w:rPr>
                <w:i/>
              </w:rPr>
              <w:t>burden hours</w:t>
            </w:r>
          </w:p>
        </w:tc>
      </w:tr>
      <w:tr w:rsidR="00505796" w:rsidRPr="008E59F2" w:rsidTr="00600A5D">
        <w:trPr>
          <w:trHeight w:val="290"/>
        </w:trPr>
        <w:tc>
          <w:tcPr>
            <w:tcW w:w="3754" w:type="dxa"/>
            <w:vAlign w:val="center"/>
          </w:tcPr>
          <w:p w:rsidR="00505796" w:rsidRPr="008E59F2" w:rsidRDefault="00505796" w:rsidP="00133F15">
            <w:pPr>
              <w:widowControl/>
              <w:tabs>
                <w:tab w:val="left" w:pos="360"/>
                <w:tab w:val="left" w:pos="1080"/>
              </w:tabs>
              <w:rPr>
                <w:i/>
                <w:u w:val="single"/>
              </w:rPr>
            </w:pPr>
          </w:p>
        </w:tc>
        <w:tc>
          <w:tcPr>
            <w:tcW w:w="1379" w:type="dxa"/>
            <w:vAlign w:val="center"/>
          </w:tcPr>
          <w:p w:rsidR="00505796" w:rsidRPr="008E59F2" w:rsidRDefault="00505796" w:rsidP="00133F15">
            <w:pPr>
              <w:widowControl/>
              <w:tabs>
                <w:tab w:val="left" w:pos="360"/>
                <w:tab w:val="left" w:pos="1080"/>
              </w:tabs>
              <w:jc w:val="center"/>
            </w:pPr>
          </w:p>
        </w:tc>
        <w:tc>
          <w:tcPr>
            <w:tcW w:w="1379" w:type="dxa"/>
            <w:vAlign w:val="center"/>
          </w:tcPr>
          <w:p w:rsidR="00505796" w:rsidRPr="008E59F2" w:rsidRDefault="00505796" w:rsidP="00133F15">
            <w:pPr>
              <w:widowControl/>
              <w:tabs>
                <w:tab w:val="left" w:pos="360"/>
                <w:tab w:val="left" w:pos="1080"/>
              </w:tabs>
              <w:jc w:val="center"/>
            </w:pPr>
          </w:p>
        </w:tc>
        <w:tc>
          <w:tcPr>
            <w:tcW w:w="1379" w:type="dxa"/>
            <w:vAlign w:val="bottom"/>
          </w:tcPr>
          <w:p w:rsidR="00505796" w:rsidRPr="008E59F2" w:rsidRDefault="00505796" w:rsidP="006710D0">
            <w:pPr>
              <w:widowControl/>
              <w:tabs>
                <w:tab w:val="left" w:pos="360"/>
                <w:tab w:val="left" w:pos="1080"/>
              </w:tabs>
              <w:jc w:val="center"/>
            </w:pPr>
          </w:p>
        </w:tc>
        <w:tc>
          <w:tcPr>
            <w:tcW w:w="1379" w:type="dxa"/>
            <w:vAlign w:val="center"/>
          </w:tcPr>
          <w:p w:rsidR="00505796" w:rsidRPr="008E59F2" w:rsidRDefault="00505796" w:rsidP="00133F15">
            <w:pPr>
              <w:widowControl/>
              <w:tabs>
                <w:tab w:val="left" w:pos="360"/>
                <w:tab w:val="left" w:pos="1080"/>
              </w:tabs>
              <w:jc w:val="right"/>
            </w:pPr>
          </w:p>
        </w:tc>
      </w:tr>
      <w:tr w:rsidR="00133F15" w:rsidRPr="008E59F2" w:rsidTr="00600A5D">
        <w:trPr>
          <w:trHeight w:val="290"/>
        </w:trPr>
        <w:tc>
          <w:tcPr>
            <w:tcW w:w="3754" w:type="dxa"/>
            <w:vAlign w:val="center"/>
          </w:tcPr>
          <w:p w:rsidR="00133F15" w:rsidRPr="008E59F2" w:rsidRDefault="00550033" w:rsidP="00550033">
            <w:pPr>
              <w:widowControl/>
              <w:tabs>
                <w:tab w:val="left" w:pos="360"/>
                <w:tab w:val="left" w:pos="1080"/>
              </w:tabs>
              <w:rPr>
                <w:b/>
              </w:rPr>
            </w:pPr>
            <w:r>
              <w:rPr>
                <w:b/>
              </w:rPr>
              <w:t>Negative information</w:t>
            </w:r>
            <w:r w:rsidR="00133F15" w:rsidRPr="008E59F2">
              <w:rPr>
                <w:b/>
              </w:rPr>
              <w:t xml:space="preserve"> notice (Section 217)</w:t>
            </w:r>
          </w:p>
        </w:tc>
        <w:tc>
          <w:tcPr>
            <w:tcW w:w="1379" w:type="dxa"/>
            <w:vAlign w:val="center"/>
          </w:tcPr>
          <w:p w:rsidR="00133F15" w:rsidRPr="008E59F2" w:rsidRDefault="00133F15" w:rsidP="00133F15">
            <w:pPr>
              <w:widowControl/>
              <w:tabs>
                <w:tab w:val="left" w:pos="360"/>
                <w:tab w:val="left" w:pos="1080"/>
              </w:tabs>
              <w:jc w:val="right"/>
            </w:pPr>
            <w:r w:rsidRPr="008E59F2">
              <w:t>30,000</w:t>
            </w:r>
          </w:p>
        </w:tc>
        <w:tc>
          <w:tcPr>
            <w:tcW w:w="1379" w:type="dxa"/>
            <w:vAlign w:val="center"/>
          </w:tcPr>
          <w:p w:rsidR="00133F15" w:rsidRPr="008E59F2" w:rsidRDefault="00133F15" w:rsidP="00133F15">
            <w:pPr>
              <w:widowControl/>
              <w:tabs>
                <w:tab w:val="left" w:pos="360"/>
                <w:tab w:val="left" w:pos="1080"/>
              </w:tabs>
              <w:jc w:val="center"/>
            </w:pPr>
            <w:r w:rsidRPr="008E59F2">
              <w:t>1</w:t>
            </w:r>
          </w:p>
        </w:tc>
        <w:tc>
          <w:tcPr>
            <w:tcW w:w="1379" w:type="dxa"/>
            <w:vAlign w:val="center"/>
          </w:tcPr>
          <w:p w:rsidR="00133F15" w:rsidRPr="008E59F2" w:rsidRDefault="00133F15" w:rsidP="00133F15">
            <w:pPr>
              <w:widowControl/>
              <w:tabs>
                <w:tab w:val="left" w:pos="360"/>
                <w:tab w:val="left" w:pos="1080"/>
              </w:tabs>
              <w:jc w:val="right"/>
            </w:pPr>
            <w:r w:rsidRPr="008E59F2">
              <w:t>15 minutes</w:t>
            </w:r>
          </w:p>
        </w:tc>
        <w:tc>
          <w:tcPr>
            <w:tcW w:w="1379" w:type="dxa"/>
            <w:vAlign w:val="center"/>
          </w:tcPr>
          <w:p w:rsidR="00133F15" w:rsidRPr="008E59F2" w:rsidRDefault="00133F15" w:rsidP="00133F15">
            <w:pPr>
              <w:widowControl/>
              <w:tabs>
                <w:tab w:val="left" w:pos="360"/>
                <w:tab w:val="left" w:pos="1080"/>
              </w:tabs>
              <w:jc w:val="right"/>
            </w:pPr>
            <w:r w:rsidRPr="008E59F2">
              <w:t>7,500</w:t>
            </w:r>
          </w:p>
        </w:tc>
      </w:tr>
      <w:tr w:rsidR="008E59F2" w:rsidRPr="008E59F2" w:rsidTr="00600A5D">
        <w:trPr>
          <w:trHeight w:val="291"/>
        </w:trPr>
        <w:tc>
          <w:tcPr>
            <w:tcW w:w="3754" w:type="dxa"/>
            <w:vAlign w:val="center"/>
          </w:tcPr>
          <w:p w:rsidR="008E59F2" w:rsidRPr="008E59F2" w:rsidRDefault="008E59F2" w:rsidP="00133F15">
            <w:pPr>
              <w:widowControl/>
              <w:tabs>
                <w:tab w:val="left" w:pos="360"/>
                <w:tab w:val="left" w:pos="1080"/>
              </w:tabs>
            </w:pPr>
          </w:p>
        </w:tc>
        <w:tc>
          <w:tcPr>
            <w:tcW w:w="1379" w:type="dxa"/>
            <w:vAlign w:val="center"/>
          </w:tcPr>
          <w:p w:rsidR="008E59F2" w:rsidRPr="008E59F2" w:rsidRDefault="008E59F2" w:rsidP="00133F15">
            <w:pPr>
              <w:widowControl/>
              <w:tabs>
                <w:tab w:val="left" w:pos="360"/>
                <w:tab w:val="left" w:pos="1080"/>
              </w:tabs>
              <w:jc w:val="right"/>
            </w:pPr>
          </w:p>
        </w:tc>
        <w:tc>
          <w:tcPr>
            <w:tcW w:w="1379" w:type="dxa"/>
            <w:vAlign w:val="center"/>
          </w:tcPr>
          <w:p w:rsidR="008E59F2" w:rsidRPr="008E59F2" w:rsidRDefault="008E59F2" w:rsidP="00133F15">
            <w:pPr>
              <w:widowControl/>
              <w:tabs>
                <w:tab w:val="left" w:pos="360"/>
                <w:tab w:val="left" w:pos="1080"/>
              </w:tabs>
              <w:jc w:val="center"/>
            </w:pPr>
          </w:p>
        </w:tc>
        <w:tc>
          <w:tcPr>
            <w:tcW w:w="1379" w:type="dxa"/>
            <w:vAlign w:val="center"/>
          </w:tcPr>
          <w:p w:rsidR="008E59F2" w:rsidRPr="008E59F2" w:rsidRDefault="008E59F2" w:rsidP="00133F15">
            <w:pPr>
              <w:widowControl/>
              <w:tabs>
                <w:tab w:val="left" w:pos="360"/>
                <w:tab w:val="left" w:pos="1080"/>
              </w:tabs>
              <w:jc w:val="right"/>
            </w:pPr>
          </w:p>
        </w:tc>
        <w:tc>
          <w:tcPr>
            <w:tcW w:w="1379" w:type="dxa"/>
            <w:vAlign w:val="center"/>
          </w:tcPr>
          <w:p w:rsidR="008E59F2" w:rsidRPr="008E59F2" w:rsidRDefault="008E59F2" w:rsidP="00133F15">
            <w:pPr>
              <w:widowControl/>
              <w:tabs>
                <w:tab w:val="left" w:pos="360"/>
                <w:tab w:val="left" w:pos="1080"/>
              </w:tabs>
              <w:jc w:val="right"/>
            </w:pPr>
          </w:p>
        </w:tc>
      </w:tr>
      <w:tr w:rsidR="00133F15" w:rsidRPr="008E59F2" w:rsidTr="00600A5D">
        <w:trPr>
          <w:trHeight w:val="290"/>
        </w:trPr>
        <w:tc>
          <w:tcPr>
            <w:tcW w:w="3754" w:type="dxa"/>
            <w:vAlign w:val="center"/>
          </w:tcPr>
          <w:p w:rsidR="00133F15" w:rsidRPr="008E59F2" w:rsidRDefault="00133F15" w:rsidP="00550033">
            <w:pPr>
              <w:widowControl/>
              <w:tabs>
                <w:tab w:val="left" w:pos="360"/>
                <w:tab w:val="left" w:pos="1080"/>
              </w:tabs>
              <w:rPr>
                <w:b/>
              </w:rPr>
            </w:pPr>
            <w:r w:rsidRPr="008E59F2">
              <w:rPr>
                <w:b/>
              </w:rPr>
              <w:t>A</w:t>
            </w:r>
            <w:r w:rsidR="00550033">
              <w:rPr>
                <w:b/>
              </w:rPr>
              <w:t>ffiliate marketing</w:t>
            </w:r>
            <w:r w:rsidRPr="008E59F2">
              <w:rPr>
                <w:b/>
              </w:rPr>
              <w:t xml:space="preserve"> opt-out notice (Section 214)</w:t>
            </w:r>
          </w:p>
        </w:tc>
        <w:tc>
          <w:tcPr>
            <w:tcW w:w="1379" w:type="dxa"/>
            <w:vAlign w:val="center"/>
          </w:tcPr>
          <w:p w:rsidR="00133F15" w:rsidRPr="008E59F2" w:rsidRDefault="00133F15" w:rsidP="00133F15">
            <w:pPr>
              <w:widowControl/>
              <w:tabs>
                <w:tab w:val="left" w:pos="360"/>
                <w:tab w:val="left" w:pos="1080"/>
              </w:tabs>
              <w:jc w:val="right"/>
            </w:pPr>
          </w:p>
        </w:tc>
        <w:tc>
          <w:tcPr>
            <w:tcW w:w="1379" w:type="dxa"/>
            <w:vAlign w:val="center"/>
          </w:tcPr>
          <w:p w:rsidR="00133F15" w:rsidRPr="008E59F2" w:rsidRDefault="00133F15" w:rsidP="00133F15">
            <w:pPr>
              <w:widowControl/>
              <w:tabs>
                <w:tab w:val="left" w:pos="360"/>
                <w:tab w:val="left" w:pos="1080"/>
              </w:tabs>
              <w:jc w:val="center"/>
            </w:pPr>
          </w:p>
        </w:tc>
        <w:tc>
          <w:tcPr>
            <w:tcW w:w="1379" w:type="dxa"/>
            <w:vAlign w:val="center"/>
          </w:tcPr>
          <w:p w:rsidR="00133F15" w:rsidRPr="008E59F2" w:rsidRDefault="00133F15" w:rsidP="00133F15">
            <w:pPr>
              <w:widowControl/>
              <w:tabs>
                <w:tab w:val="left" w:pos="360"/>
                <w:tab w:val="left" w:pos="1080"/>
              </w:tabs>
              <w:jc w:val="right"/>
            </w:pPr>
          </w:p>
        </w:tc>
        <w:tc>
          <w:tcPr>
            <w:tcW w:w="1379" w:type="dxa"/>
            <w:vAlign w:val="center"/>
          </w:tcPr>
          <w:p w:rsidR="00133F15" w:rsidRPr="008E59F2" w:rsidRDefault="00133F15" w:rsidP="00133F15">
            <w:pPr>
              <w:widowControl/>
              <w:tabs>
                <w:tab w:val="left" w:pos="360"/>
                <w:tab w:val="left" w:pos="1080"/>
              </w:tabs>
              <w:jc w:val="right"/>
            </w:pPr>
          </w:p>
        </w:tc>
      </w:tr>
      <w:tr w:rsidR="00133F15" w:rsidRPr="008E59F2" w:rsidTr="00600A5D">
        <w:trPr>
          <w:trHeight w:val="290"/>
        </w:trPr>
        <w:tc>
          <w:tcPr>
            <w:tcW w:w="3754" w:type="dxa"/>
            <w:vAlign w:val="center"/>
          </w:tcPr>
          <w:p w:rsidR="00133F15" w:rsidRPr="008E59F2" w:rsidRDefault="00133F15" w:rsidP="00133F15">
            <w:pPr>
              <w:widowControl/>
              <w:tabs>
                <w:tab w:val="left" w:pos="360"/>
                <w:tab w:val="left" w:pos="1080"/>
              </w:tabs>
            </w:pPr>
            <w:r w:rsidRPr="008E59F2">
              <w:t>Financial Institutions</w:t>
            </w:r>
          </w:p>
        </w:tc>
        <w:tc>
          <w:tcPr>
            <w:tcW w:w="1379" w:type="dxa"/>
            <w:vAlign w:val="center"/>
          </w:tcPr>
          <w:p w:rsidR="00133F15" w:rsidRPr="008E59F2" w:rsidRDefault="00133F15" w:rsidP="00133F15">
            <w:pPr>
              <w:widowControl/>
              <w:tabs>
                <w:tab w:val="left" w:pos="360"/>
                <w:tab w:val="left" w:pos="1080"/>
              </w:tabs>
              <w:jc w:val="right"/>
            </w:pPr>
            <w:r w:rsidRPr="008E59F2">
              <w:t>2,619</w:t>
            </w:r>
          </w:p>
        </w:tc>
        <w:tc>
          <w:tcPr>
            <w:tcW w:w="1379" w:type="dxa"/>
            <w:vAlign w:val="center"/>
          </w:tcPr>
          <w:p w:rsidR="00133F15" w:rsidRPr="008E59F2" w:rsidRDefault="00133F15" w:rsidP="00133F15">
            <w:pPr>
              <w:widowControl/>
              <w:tabs>
                <w:tab w:val="left" w:pos="360"/>
                <w:tab w:val="left" w:pos="1080"/>
              </w:tabs>
              <w:jc w:val="center"/>
            </w:pPr>
            <w:r w:rsidRPr="008E59F2">
              <w:t>1</w:t>
            </w:r>
          </w:p>
        </w:tc>
        <w:tc>
          <w:tcPr>
            <w:tcW w:w="1379" w:type="dxa"/>
            <w:vAlign w:val="center"/>
          </w:tcPr>
          <w:p w:rsidR="00133F15" w:rsidRPr="008E59F2" w:rsidRDefault="00133F15" w:rsidP="00133F15">
            <w:pPr>
              <w:widowControl/>
              <w:tabs>
                <w:tab w:val="left" w:pos="360"/>
                <w:tab w:val="left" w:pos="1080"/>
              </w:tabs>
              <w:jc w:val="right"/>
            </w:pPr>
            <w:r w:rsidRPr="008E59F2">
              <w:t>18 hours</w:t>
            </w:r>
          </w:p>
        </w:tc>
        <w:tc>
          <w:tcPr>
            <w:tcW w:w="1379" w:type="dxa"/>
            <w:vAlign w:val="center"/>
          </w:tcPr>
          <w:p w:rsidR="00133F15" w:rsidRPr="008E59F2" w:rsidRDefault="00133F15" w:rsidP="00133F15">
            <w:pPr>
              <w:widowControl/>
              <w:tabs>
                <w:tab w:val="left" w:pos="360"/>
                <w:tab w:val="left" w:pos="1080"/>
              </w:tabs>
              <w:jc w:val="right"/>
            </w:pPr>
            <w:r w:rsidRPr="008E59F2">
              <w:t>47,142</w:t>
            </w:r>
          </w:p>
        </w:tc>
      </w:tr>
      <w:tr w:rsidR="00133F15" w:rsidRPr="008E59F2" w:rsidTr="00600A5D">
        <w:trPr>
          <w:trHeight w:val="291"/>
        </w:trPr>
        <w:tc>
          <w:tcPr>
            <w:tcW w:w="3754" w:type="dxa"/>
            <w:vAlign w:val="center"/>
          </w:tcPr>
          <w:p w:rsidR="00133F15" w:rsidRPr="008E59F2" w:rsidRDefault="00133F15" w:rsidP="00133F15">
            <w:pPr>
              <w:widowControl/>
              <w:tabs>
                <w:tab w:val="left" w:pos="360"/>
                <w:tab w:val="left" w:pos="1080"/>
              </w:tabs>
            </w:pPr>
            <w:r w:rsidRPr="008E59F2">
              <w:t>Consumer Response</w:t>
            </w:r>
          </w:p>
        </w:tc>
        <w:tc>
          <w:tcPr>
            <w:tcW w:w="1379" w:type="dxa"/>
            <w:vAlign w:val="center"/>
          </w:tcPr>
          <w:p w:rsidR="00133F15" w:rsidRPr="008E59F2" w:rsidRDefault="00133F15" w:rsidP="00133F15">
            <w:pPr>
              <w:widowControl/>
              <w:tabs>
                <w:tab w:val="left" w:pos="360"/>
                <w:tab w:val="left" w:pos="1080"/>
              </w:tabs>
              <w:jc w:val="right"/>
            </w:pPr>
            <w:r w:rsidRPr="008E59F2">
              <w:t>638,380</w:t>
            </w:r>
          </w:p>
        </w:tc>
        <w:tc>
          <w:tcPr>
            <w:tcW w:w="1379" w:type="dxa"/>
            <w:vAlign w:val="center"/>
          </w:tcPr>
          <w:p w:rsidR="00133F15" w:rsidRPr="008E59F2" w:rsidRDefault="00133F15" w:rsidP="00133F15">
            <w:pPr>
              <w:widowControl/>
              <w:tabs>
                <w:tab w:val="left" w:pos="360"/>
                <w:tab w:val="left" w:pos="1080"/>
              </w:tabs>
              <w:jc w:val="center"/>
            </w:pPr>
            <w:r w:rsidRPr="008E59F2">
              <w:t>1</w:t>
            </w:r>
          </w:p>
        </w:tc>
        <w:tc>
          <w:tcPr>
            <w:tcW w:w="1379" w:type="dxa"/>
            <w:vAlign w:val="center"/>
          </w:tcPr>
          <w:p w:rsidR="00133F15" w:rsidRPr="008E59F2" w:rsidRDefault="00133F15" w:rsidP="00133F15">
            <w:pPr>
              <w:widowControl/>
              <w:tabs>
                <w:tab w:val="left" w:pos="360"/>
                <w:tab w:val="left" w:pos="1080"/>
              </w:tabs>
              <w:jc w:val="right"/>
            </w:pPr>
            <w:r w:rsidRPr="008E59F2">
              <w:t>5 minutes</w:t>
            </w:r>
          </w:p>
        </w:tc>
        <w:tc>
          <w:tcPr>
            <w:tcW w:w="1379" w:type="dxa"/>
            <w:vAlign w:val="center"/>
          </w:tcPr>
          <w:p w:rsidR="00133F15" w:rsidRPr="008E59F2" w:rsidRDefault="00133F15" w:rsidP="00133F15">
            <w:pPr>
              <w:widowControl/>
              <w:tabs>
                <w:tab w:val="left" w:pos="360"/>
                <w:tab w:val="left" w:pos="1080"/>
              </w:tabs>
              <w:jc w:val="right"/>
            </w:pPr>
            <w:r w:rsidRPr="008E59F2">
              <w:t>53,198</w:t>
            </w:r>
          </w:p>
        </w:tc>
      </w:tr>
      <w:tr w:rsidR="008E59F2" w:rsidRPr="008E59F2" w:rsidTr="00600A5D">
        <w:trPr>
          <w:trHeight w:val="290"/>
        </w:trPr>
        <w:tc>
          <w:tcPr>
            <w:tcW w:w="3754" w:type="dxa"/>
            <w:vAlign w:val="center"/>
          </w:tcPr>
          <w:p w:rsidR="008E59F2" w:rsidRPr="008E59F2" w:rsidRDefault="008E59F2" w:rsidP="00133F15">
            <w:pPr>
              <w:widowControl/>
              <w:tabs>
                <w:tab w:val="left" w:pos="360"/>
                <w:tab w:val="left" w:pos="1080"/>
              </w:tabs>
              <w:rPr>
                <w:bCs/>
              </w:rPr>
            </w:pPr>
          </w:p>
        </w:tc>
        <w:tc>
          <w:tcPr>
            <w:tcW w:w="1379" w:type="dxa"/>
            <w:vAlign w:val="center"/>
          </w:tcPr>
          <w:p w:rsidR="008E59F2" w:rsidRPr="008E59F2" w:rsidRDefault="008E59F2" w:rsidP="00133F15">
            <w:pPr>
              <w:widowControl/>
              <w:tabs>
                <w:tab w:val="left" w:pos="360"/>
                <w:tab w:val="left" w:pos="1080"/>
              </w:tabs>
              <w:jc w:val="right"/>
            </w:pPr>
          </w:p>
        </w:tc>
        <w:tc>
          <w:tcPr>
            <w:tcW w:w="1379" w:type="dxa"/>
            <w:vAlign w:val="center"/>
          </w:tcPr>
          <w:p w:rsidR="008E59F2" w:rsidRPr="008E59F2" w:rsidRDefault="008E59F2" w:rsidP="00133F15">
            <w:pPr>
              <w:widowControl/>
              <w:tabs>
                <w:tab w:val="left" w:pos="360"/>
                <w:tab w:val="left" w:pos="1080"/>
              </w:tabs>
              <w:jc w:val="center"/>
            </w:pPr>
          </w:p>
        </w:tc>
        <w:tc>
          <w:tcPr>
            <w:tcW w:w="1379" w:type="dxa"/>
            <w:vAlign w:val="center"/>
          </w:tcPr>
          <w:p w:rsidR="008E59F2" w:rsidRPr="008E59F2" w:rsidRDefault="008E59F2" w:rsidP="00133F15">
            <w:pPr>
              <w:widowControl/>
              <w:tabs>
                <w:tab w:val="left" w:pos="360"/>
                <w:tab w:val="left" w:pos="1080"/>
              </w:tabs>
              <w:jc w:val="right"/>
            </w:pPr>
          </w:p>
        </w:tc>
        <w:tc>
          <w:tcPr>
            <w:tcW w:w="1379" w:type="dxa"/>
            <w:vAlign w:val="center"/>
          </w:tcPr>
          <w:p w:rsidR="008E59F2" w:rsidRPr="008E59F2" w:rsidRDefault="008E59F2" w:rsidP="00133F15">
            <w:pPr>
              <w:widowControl/>
              <w:tabs>
                <w:tab w:val="left" w:pos="360"/>
                <w:tab w:val="left" w:pos="1080"/>
              </w:tabs>
              <w:jc w:val="right"/>
            </w:pPr>
          </w:p>
        </w:tc>
      </w:tr>
      <w:tr w:rsidR="00133F15" w:rsidRPr="008E59F2" w:rsidTr="00600A5D">
        <w:trPr>
          <w:trHeight w:val="291"/>
        </w:trPr>
        <w:tc>
          <w:tcPr>
            <w:tcW w:w="3754" w:type="dxa"/>
            <w:vAlign w:val="center"/>
          </w:tcPr>
          <w:p w:rsidR="00133F15" w:rsidRPr="008E59F2" w:rsidRDefault="00133F15" w:rsidP="00550033">
            <w:pPr>
              <w:widowControl/>
              <w:tabs>
                <w:tab w:val="left" w:pos="360"/>
                <w:tab w:val="left" w:pos="1080"/>
              </w:tabs>
              <w:rPr>
                <w:b/>
              </w:rPr>
            </w:pPr>
            <w:r w:rsidRPr="008E59F2">
              <w:rPr>
                <w:b/>
                <w:bCs/>
              </w:rPr>
              <w:t xml:space="preserve">Red </w:t>
            </w:r>
            <w:r w:rsidR="00550033">
              <w:rPr>
                <w:b/>
                <w:bCs/>
              </w:rPr>
              <w:t>f</w:t>
            </w:r>
            <w:r w:rsidRPr="008E59F2">
              <w:rPr>
                <w:b/>
                <w:bCs/>
              </w:rPr>
              <w:t>lags (Sections 114 and 315)</w:t>
            </w:r>
            <w:r w:rsidR="00957367" w:rsidRPr="00957367">
              <w:rPr>
                <w:rStyle w:val="FootnoteReference"/>
                <w:bCs/>
                <w:vertAlign w:val="superscript"/>
              </w:rPr>
              <w:footnoteReference w:id="24"/>
            </w:r>
          </w:p>
        </w:tc>
        <w:tc>
          <w:tcPr>
            <w:tcW w:w="1379" w:type="dxa"/>
            <w:vAlign w:val="center"/>
          </w:tcPr>
          <w:p w:rsidR="00133F15" w:rsidRPr="008E59F2" w:rsidRDefault="00133F15" w:rsidP="00133F15">
            <w:pPr>
              <w:widowControl/>
              <w:tabs>
                <w:tab w:val="left" w:pos="360"/>
                <w:tab w:val="left" w:pos="1080"/>
              </w:tabs>
              <w:jc w:val="right"/>
            </w:pPr>
            <w:r w:rsidRPr="008E59F2">
              <w:t>1,172</w:t>
            </w:r>
          </w:p>
        </w:tc>
        <w:tc>
          <w:tcPr>
            <w:tcW w:w="1379" w:type="dxa"/>
            <w:vAlign w:val="center"/>
          </w:tcPr>
          <w:p w:rsidR="00133F15" w:rsidRPr="008E59F2" w:rsidRDefault="00133F15" w:rsidP="00133F15">
            <w:pPr>
              <w:widowControl/>
              <w:tabs>
                <w:tab w:val="left" w:pos="360"/>
                <w:tab w:val="left" w:pos="1080"/>
              </w:tabs>
              <w:jc w:val="center"/>
            </w:pPr>
            <w:r w:rsidRPr="008E59F2">
              <w:t>1</w:t>
            </w:r>
          </w:p>
        </w:tc>
        <w:tc>
          <w:tcPr>
            <w:tcW w:w="1379" w:type="dxa"/>
            <w:vAlign w:val="center"/>
          </w:tcPr>
          <w:p w:rsidR="00133F15" w:rsidRPr="008E59F2" w:rsidRDefault="00133F15" w:rsidP="00133F15">
            <w:pPr>
              <w:widowControl/>
              <w:tabs>
                <w:tab w:val="left" w:pos="360"/>
                <w:tab w:val="left" w:pos="1080"/>
              </w:tabs>
              <w:jc w:val="right"/>
            </w:pPr>
            <w:r w:rsidRPr="008E59F2">
              <w:t>41 hours</w:t>
            </w:r>
          </w:p>
        </w:tc>
        <w:tc>
          <w:tcPr>
            <w:tcW w:w="1379" w:type="dxa"/>
            <w:vAlign w:val="center"/>
          </w:tcPr>
          <w:p w:rsidR="00133F15" w:rsidRPr="008E59F2" w:rsidRDefault="00133F15" w:rsidP="00133F15">
            <w:pPr>
              <w:widowControl/>
              <w:tabs>
                <w:tab w:val="left" w:pos="360"/>
                <w:tab w:val="left" w:pos="1080"/>
              </w:tabs>
              <w:jc w:val="right"/>
            </w:pPr>
            <w:r w:rsidRPr="008E59F2">
              <w:t>48,052</w:t>
            </w:r>
          </w:p>
        </w:tc>
      </w:tr>
      <w:tr w:rsidR="008E59F2" w:rsidRPr="008E59F2" w:rsidTr="00600A5D">
        <w:trPr>
          <w:trHeight w:val="290"/>
        </w:trPr>
        <w:tc>
          <w:tcPr>
            <w:tcW w:w="3754" w:type="dxa"/>
            <w:vAlign w:val="center"/>
          </w:tcPr>
          <w:p w:rsidR="008E59F2" w:rsidRPr="008E59F2" w:rsidRDefault="008E59F2" w:rsidP="0045579A">
            <w:pPr>
              <w:widowControl/>
              <w:tabs>
                <w:tab w:val="left" w:pos="360"/>
                <w:tab w:val="left" w:pos="1080"/>
              </w:tabs>
            </w:pPr>
          </w:p>
        </w:tc>
        <w:tc>
          <w:tcPr>
            <w:tcW w:w="1379" w:type="dxa"/>
            <w:vAlign w:val="center"/>
          </w:tcPr>
          <w:p w:rsidR="008E59F2" w:rsidRPr="008E59F2" w:rsidRDefault="008E59F2" w:rsidP="0045579A">
            <w:pPr>
              <w:widowControl/>
              <w:tabs>
                <w:tab w:val="left" w:pos="360"/>
                <w:tab w:val="left" w:pos="1080"/>
              </w:tabs>
              <w:jc w:val="right"/>
            </w:pPr>
          </w:p>
        </w:tc>
        <w:tc>
          <w:tcPr>
            <w:tcW w:w="1379" w:type="dxa"/>
            <w:vAlign w:val="center"/>
          </w:tcPr>
          <w:p w:rsidR="008E59F2" w:rsidRPr="008E59F2" w:rsidRDefault="008E59F2" w:rsidP="0045579A">
            <w:pPr>
              <w:widowControl/>
              <w:tabs>
                <w:tab w:val="left" w:pos="360"/>
                <w:tab w:val="left" w:pos="1080"/>
              </w:tabs>
              <w:jc w:val="center"/>
            </w:pPr>
          </w:p>
        </w:tc>
        <w:tc>
          <w:tcPr>
            <w:tcW w:w="1379" w:type="dxa"/>
            <w:vAlign w:val="center"/>
          </w:tcPr>
          <w:p w:rsidR="008E59F2" w:rsidRPr="008E59F2" w:rsidRDefault="008E59F2" w:rsidP="0045579A">
            <w:pPr>
              <w:widowControl/>
              <w:tabs>
                <w:tab w:val="left" w:pos="360"/>
                <w:tab w:val="left" w:pos="1080"/>
              </w:tabs>
              <w:jc w:val="right"/>
            </w:pPr>
          </w:p>
        </w:tc>
        <w:tc>
          <w:tcPr>
            <w:tcW w:w="1379" w:type="dxa"/>
            <w:vAlign w:val="center"/>
          </w:tcPr>
          <w:p w:rsidR="008E59F2" w:rsidRPr="008E59F2" w:rsidRDefault="008E59F2" w:rsidP="0045579A">
            <w:pPr>
              <w:widowControl/>
              <w:tabs>
                <w:tab w:val="left" w:pos="360"/>
                <w:tab w:val="left" w:pos="1080"/>
              </w:tabs>
              <w:jc w:val="right"/>
            </w:pPr>
          </w:p>
        </w:tc>
      </w:tr>
      <w:tr w:rsidR="0045579A" w:rsidRPr="008E59F2" w:rsidTr="00600A5D">
        <w:trPr>
          <w:trHeight w:val="290"/>
        </w:trPr>
        <w:tc>
          <w:tcPr>
            <w:tcW w:w="3754" w:type="dxa"/>
            <w:vAlign w:val="center"/>
          </w:tcPr>
          <w:p w:rsidR="0045579A" w:rsidRPr="008E59F2" w:rsidRDefault="0045579A" w:rsidP="0045579A">
            <w:pPr>
              <w:widowControl/>
              <w:tabs>
                <w:tab w:val="left" w:pos="360"/>
                <w:tab w:val="left" w:pos="1080"/>
              </w:tabs>
            </w:pPr>
            <w:r w:rsidRPr="008E59F2">
              <w:rPr>
                <w:b/>
              </w:rPr>
              <w:t>Risk-based pricing (Section 311)</w:t>
            </w:r>
            <w:r w:rsidRPr="008E59F2">
              <w:rPr>
                <w:rStyle w:val="FootnoteReference"/>
                <w:vertAlign w:val="superscript"/>
              </w:rPr>
              <w:t xml:space="preserve"> </w:t>
            </w:r>
            <w:r w:rsidRPr="008E59F2">
              <w:rPr>
                <w:rStyle w:val="FootnoteReference"/>
                <w:vertAlign w:val="superscript"/>
              </w:rPr>
              <w:footnoteReference w:id="25"/>
            </w:r>
            <w:r w:rsidRPr="008E59F2">
              <w:t xml:space="preserve"> </w:t>
            </w:r>
          </w:p>
        </w:tc>
        <w:tc>
          <w:tcPr>
            <w:tcW w:w="1379" w:type="dxa"/>
            <w:vAlign w:val="center"/>
          </w:tcPr>
          <w:p w:rsidR="0045579A" w:rsidRPr="008E59F2" w:rsidRDefault="0045579A" w:rsidP="0045579A">
            <w:pPr>
              <w:widowControl/>
              <w:tabs>
                <w:tab w:val="left" w:pos="360"/>
                <w:tab w:val="left" w:pos="1080"/>
              </w:tabs>
              <w:jc w:val="right"/>
            </w:pPr>
          </w:p>
        </w:tc>
        <w:tc>
          <w:tcPr>
            <w:tcW w:w="1379" w:type="dxa"/>
            <w:vAlign w:val="center"/>
          </w:tcPr>
          <w:p w:rsidR="0045579A" w:rsidRPr="008E59F2" w:rsidRDefault="0045579A" w:rsidP="0045579A">
            <w:pPr>
              <w:widowControl/>
              <w:tabs>
                <w:tab w:val="left" w:pos="360"/>
                <w:tab w:val="left" w:pos="1080"/>
              </w:tabs>
              <w:jc w:val="center"/>
            </w:pPr>
          </w:p>
        </w:tc>
        <w:tc>
          <w:tcPr>
            <w:tcW w:w="1379" w:type="dxa"/>
            <w:vAlign w:val="center"/>
          </w:tcPr>
          <w:p w:rsidR="0045579A" w:rsidRPr="008E59F2" w:rsidRDefault="0045579A" w:rsidP="0045579A">
            <w:pPr>
              <w:widowControl/>
              <w:tabs>
                <w:tab w:val="left" w:pos="360"/>
                <w:tab w:val="left" w:pos="1080"/>
              </w:tabs>
              <w:jc w:val="right"/>
            </w:pPr>
          </w:p>
        </w:tc>
        <w:tc>
          <w:tcPr>
            <w:tcW w:w="1379" w:type="dxa"/>
            <w:vAlign w:val="center"/>
          </w:tcPr>
          <w:p w:rsidR="0045579A" w:rsidRPr="008E59F2" w:rsidRDefault="0045579A" w:rsidP="0045579A">
            <w:pPr>
              <w:widowControl/>
              <w:tabs>
                <w:tab w:val="left" w:pos="360"/>
                <w:tab w:val="left" w:pos="1080"/>
              </w:tabs>
              <w:jc w:val="right"/>
            </w:pPr>
          </w:p>
        </w:tc>
      </w:tr>
      <w:tr w:rsidR="0045579A" w:rsidRPr="008E59F2" w:rsidTr="00600A5D">
        <w:trPr>
          <w:trHeight w:val="291"/>
        </w:trPr>
        <w:tc>
          <w:tcPr>
            <w:tcW w:w="3754" w:type="dxa"/>
            <w:vAlign w:val="center"/>
          </w:tcPr>
          <w:p w:rsidR="0045579A" w:rsidRPr="008E59F2" w:rsidRDefault="0045579A" w:rsidP="0045579A">
            <w:pPr>
              <w:widowControl/>
              <w:tabs>
                <w:tab w:val="left" w:pos="360"/>
                <w:tab w:val="left" w:pos="1080"/>
              </w:tabs>
              <w:rPr>
                <w:i/>
              </w:rPr>
            </w:pPr>
            <w:r w:rsidRPr="008E59F2">
              <w:rPr>
                <w:i/>
              </w:rPr>
              <w:t>One-time update</w:t>
            </w:r>
          </w:p>
        </w:tc>
        <w:tc>
          <w:tcPr>
            <w:tcW w:w="1379" w:type="dxa"/>
            <w:vAlign w:val="center"/>
          </w:tcPr>
          <w:p w:rsidR="0045579A" w:rsidRPr="008E59F2" w:rsidRDefault="0045579A" w:rsidP="0045579A">
            <w:pPr>
              <w:widowControl/>
              <w:tabs>
                <w:tab w:val="left" w:pos="360"/>
                <w:tab w:val="left" w:pos="1080"/>
              </w:tabs>
              <w:jc w:val="right"/>
            </w:pPr>
            <w:r w:rsidRPr="008E59F2">
              <w:t xml:space="preserve">18,173  </w:t>
            </w:r>
          </w:p>
        </w:tc>
        <w:tc>
          <w:tcPr>
            <w:tcW w:w="1379" w:type="dxa"/>
            <w:vAlign w:val="center"/>
          </w:tcPr>
          <w:p w:rsidR="0045579A" w:rsidRPr="008E59F2" w:rsidRDefault="0045579A" w:rsidP="0045579A">
            <w:pPr>
              <w:widowControl/>
              <w:tabs>
                <w:tab w:val="left" w:pos="360"/>
                <w:tab w:val="left" w:pos="1080"/>
              </w:tabs>
              <w:jc w:val="center"/>
            </w:pPr>
            <w:r w:rsidRPr="008E59F2">
              <w:t>1</w:t>
            </w:r>
          </w:p>
        </w:tc>
        <w:tc>
          <w:tcPr>
            <w:tcW w:w="1379" w:type="dxa"/>
            <w:vAlign w:val="center"/>
          </w:tcPr>
          <w:p w:rsidR="0045579A" w:rsidRPr="008E59F2" w:rsidRDefault="0045579A" w:rsidP="0045579A">
            <w:pPr>
              <w:widowControl/>
              <w:tabs>
                <w:tab w:val="left" w:pos="360"/>
                <w:tab w:val="left" w:pos="1080"/>
              </w:tabs>
              <w:jc w:val="right"/>
            </w:pPr>
            <w:r w:rsidRPr="008E59F2">
              <w:t>40 hours</w:t>
            </w:r>
          </w:p>
        </w:tc>
        <w:tc>
          <w:tcPr>
            <w:tcW w:w="1379" w:type="dxa"/>
            <w:vAlign w:val="center"/>
          </w:tcPr>
          <w:p w:rsidR="0045579A" w:rsidRPr="008E59F2" w:rsidRDefault="0045579A" w:rsidP="0045579A">
            <w:pPr>
              <w:widowControl/>
              <w:tabs>
                <w:tab w:val="left" w:pos="360"/>
                <w:tab w:val="left" w:pos="1080"/>
              </w:tabs>
              <w:jc w:val="right"/>
            </w:pPr>
            <w:r w:rsidRPr="008E59F2">
              <w:t>726,920</w:t>
            </w:r>
          </w:p>
        </w:tc>
      </w:tr>
      <w:tr w:rsidR="0045579A" w:rsidRPr="008E59F2" w:rsidTr="00600A5D">
        <w:trPr>
          <w:trHeight w:val="290"/>
        </w:trPr>
        <w:tc>
          <w:tcPr>
            <w:tcW w:w="3754" w:type="dxa"/>
            <w:vAlign w:val="center"/>
          </w:tcPr>
          <w:p w:rsidR="0045579A" w:rsidRPr="008E59F2" w:rsidRDefault="0045579A" w:rsidP="0045579A">
            <w:pPr>
              <w:widowControl/>
              <w:tabs>
                <w:tab w:val="left" w:pos="360"/>
                <w:tab w:val="left" w:pos="1080"/>
              </w:tabs>
            </w:pPr>
            <w:r w:rsidRPr="008E59F2">
              <w:t>Notice to consumers (on-going)</w:t>
            </w:r>
          </w:p>
        </w:tc>
        <w:tc>
          <w:tcPr>
            <w:tcW w:w="1379" w:type="dxa"/>
            <w:vAlign w:val="center"/>
          </w:tcPr>
          <w:p w:rsidR="0045579A" w:rsidRPr="008E59F2" w:rsidRDefault="0045579A" w:rsidP="0045579A">
            <w:pPr>
              <w:widowControl/>
              <w:tabs>
                <w:tab w:val="left" w:pos="360"/>
                <w:tab w:val="left" w:pos="1080"/>
              </w:tabs>
              <w:jc w:val="right"/>
            </w:pPr>
            <w:r w:rsidRPr="008E59F2">
              <w:t>18,173</w:t>
            </w:r>
          </w:p>
        </w:tc>
        <w:tc>
          <w:tcPr>
            <w:tcW w:w="1379" w:type="dxa"/>
            <w:vAlign w:val="center"/>
          </w:tcPr>
          <w:p w:rsidR="0045579A" w:rsidRPr="008E59F2" w:rsidRDefault="0045579A" w:rsidP="0045579A">
            <w:pPr>
              <w:widowControl/>
              <w:tabs>
                <w:tab w:val="left" w:pos="360"/>
                <w:tab w:val="left" w:pos="1080"/>
              </w:tabs>
              <w:jc w:val="center"/>
            </w:pPr>
            <w:r w:rsidRPr="008E59F2">
              <w:t>12</w:t>
            </w:r>
          </w:p>
        </w:tc>
        <w:tc>
          <w:tcPr>
            <w:tcW w:w="1379" w:type="dxa"/>
            <w:vAlign w:val="center"/>
          </w:tcPr>
          <w:p w:rsidR="0045579A" w:rsidRPr="008E59F2" w:rsidRDefault="0045579A" w:rsidP="0045579A">
            <w:pPr>
              <w:widowControl/>
              <w:tabs>
                <w:tab w:val="left" w:pos="360"/>
                <w:tab w:val="left" w:pos="1080"/>
              </w:tabs>
              <w:jc w:val="right"/>
            </w:pPr>
            <w:r w:rsidRPr="008E59F2">
              <w:t>5 hours</w:t>
            </w:r>
          </w:p>
        </w:tc>
        <w:tc>
          <w:tcPr>
            <w:tcW w:w="1379" w:type="dxa"/>
            <w:vAlign w:val="center"/>
          </w:tcPr>
          <w:p w:rsidR="0045579A" w:rsidRPr="00991D3D" w:rsidRDefault="0045579A" w:rsidP="0045579A">
            <w:pPr>
              <w:widowControl/>
              <w:tabs>
                <w:tab w:val="left" w:pos="360"/>
                <w:tab w:val="left" w:pos="1080"/>
              </w:tabs>
              <w:jc w:val="right"/>
            </w:pPr>
            <w:r w:rsidRPr="00991D3D">
              <w:t>1,090,380</w:t>
            </w:r>
          </w:p>
        </w:tc>
      </w:tr>
      <w:tr w:rsidR="008E59F2" w:rsidRPr="008E59F2" w:rsidTr="00600A5D">
        <w:trPr>
          <w:trHeight w:val="291"/>
        </w:trPr>
        <w:tc>
          <w:tcPr>
            <w:tcW w:w="3754" w:type="dxa"/>
            <w:vAlign w:val="center"/>
          </w:tcPr>
          <w:p w:rsidR="008E59F2" w:rsidRPr="008E59F2" w:rsidRDefault="008E59F2" w:rsidP="00133F15">
            <w:pPr>
              <w:widowControl/>
              <w:tabs>
                <w:tab w:val="left" w:pos="360"/>
                <w:tab w:val="left" w:pos="1080"/>
              </w:tabs>
            </w:pPr>
          </w:p>
        </w:tc>
        <w:tc>
          <w:tcPr>
            <w:tcW w:w="1379" w:type="dxa"/>
            <w:vAlign w:val="center"/>
          </w:tcPr>
          <w:p w:rsidR="008E59F2" w:rsidRPr="008E59F2" w:rsidRDefault="008E59F2" w:rsidP="00133F15">
            <w:pPr>
              <w:widowControl/>
              <w:tabs>
                <w:tab w:val="left" w:pos="360"/>
                <w:tab w:val="left" w:pos="1080"/>
              </w:tabs>
              <w:jc w:val="right"/>
            </w:pPr>
          </w:p>
        </w:tc>
        <w:tc>
          <w:tcPr>
            <w:tcW w:w="1379" w:type="dxa"/>
            <w:vAlign w:val="center"/>
          </w:tcPr>
          <w:p w:rsidR="008E59F2" w:rsidRPr="008E59F2" w:rsidRDefault="008E59F2" w:rsidP="00133F15">
            <w:pPr>
              <w:widowControl/>
              <w:tabs>
                <w:tab w:val="left" w:pos="360"/>
                <w:tab w:val="left" w:pos="1080"/>
              </w:tabs>
              <w:jc w:val="center"/>
            </w:pPr>
          </w:p>
        </w:tc>
        <w:tc>
          <w:tcPr>
            <w:tcW w:w="1379" w:type="dxa"/>
            <w:vAlign w:val="center"/>
          </w:tcPr>
          <w:p w:rsidR="008E59F2" w:rsidRPr="008E59F2" w:rsidRDefault="008E59F2" w:rsidP="00133F15">
            <w:pPr>
              <w:widowControl/>
              <w:tabs>
                <w:tab w:val="left" w:pos="360"/>
                <w:tab w:val="left" w:pos="1080"/>
              </w:tabs>
              <w:jc w:val="right"/>
            </w:pPr>
          </w:p>
        </w:tc>
        <w:tc>
          <w:tcPr>
            <w:tcW w:w="1379" w:type="dxa"/>
            <w:vAlign w:val="center"/>
          </w:tcPr>
          <w:p w:rsidR="008E59F2" w:rsidRPr="008E59F2" w:rsidRDefault="008E59F2" w:rsidP="00133F15">
            <w:pPr>
              <w:widowControl/>
              <w:tabs>
                <w:tab w:val="left" w:pos="360"/>
                <w:tab w:val="left" w:pos="1080"/>
              </w:tabs>
              <w:jc w:val="right"/>
            </w:pPr>
          </w:p>
        </w:tc>
      </w:tr>
      <w:tr w:rsidR="00133F15" w:rsidRPr="008E59F2" w:rsidTr="00600A5D">
        <w:trPr>
          <w:trHeight w:val="290"/>
        </w:trPr>
        <w:tc>
          <w:tcPr>
            <w:tcW w:w="3754" w:type="dxa"/>
            <w:vAlign w:val="center"/>
          </w:tcPr>
          <w:p w:rsidR="00133F15" w:rsidRPr="008E59F2" w:rsidRDefault="00550033" w:rsidP="00550033">
            <w:pPr>
              <w:widowControl/>
              <w:tabs>
                <w:tab w:val="left" w:pos="360"/>
                <w:tab w:val="left" w:pos="1080"/>
              </w:tabs>
              <w:rPr>
                <w:b/>
              </w:rPr>
            </w:pPr>
            <w:r>
              <w:rPr>
                <w:b/>
              </w:rPr>
              <w:t>Furnisher duties</w:t>
            </w:r>
            <w:r w:rsidR="00133F15" w:rsidRPr="008E59F2">
              <w:rPr>
                <w:b/>
              </w:rPr>
              <w:t xml:space="preserve"> (Section 312)</w:t>
            </w:r>
          </w:p>
        </w:tc>
        <w:tc>
          <w:tcPr>
            <w:tcW w:w="1379" w:type="dxa"/>
            <w:vAlign w:val="center"/>
          </w:tcPr>
          <w:p w:rsidR="00133F15" w:rsidRPr="008E59F2" w:rsidRDefault="00133F15" w:rsidP="00133F15">
            <w:pPr>
              <w:widowControl/>
              <w:tabs>
                <w:tab w:val="left" w:pos="360"/>
                <w:tab w:val="left" w:pos="1080"/>
              </w:tabs>
              <w:jc w:val="right"/>
            </w:pPr>
          </w:p>
        </w:tc>
        <w:tc>
          <w:tcPr>
            <w:tcW w:w="1379" w:type="dxa"/>
            <w:vAlign w:val="center"/>
          </w:tcPr>
          <w:p w:rsidR="00133F15" w:rsidRPr="008E59F2" w:rsidRDefault="00133F15" w:rsidP="00133F15">
            <w:pPr>
              <w:widowControl/>
              <w:tabs>
                <w:tab w:val="left" w:pos="360"/>
                <w:tab w:val="left" w:pos="1080"/>
              </w:tabs>
              <w:jc w:val="center"/>
            </w:pPr>
          </w:p>
        </w:tc>
        <w:tc>
          <w:tcPr>
            <w:tcW w:w="1379" w:type="dxa"/>
            <w:vAlign w:val="center"/>
          </w:tcPr>
          <w:p w:rsidR="00133F15" w:rsidRPr="008E59F2" w:rsidRDefault="00133F15" w:rsidP="00133F15">
            <w:pPr>
              <w:widowControl/>
              <w:tabs>
                <w:tab w:val="left" w:pos="360"/>
                <w:tab w:val="left" w:pos="1080"/>
              </w:tabs>
              <w:jc w:val="right"/>
            </w:pPr>
          </w:p>
        </w:tc>
        <w:tc>
          <w:tcPr>
            <w:tcW w:w="1379" w:type="dxa"/>
            <w:vAlign w:val="center"/>
          </w:tcPr>
          <w:p w:rsidR="00133F15" w:rsidRPr="008E59F2" w:rsidRDefault="00133F15" w:rsidP="00133F15">
            <w:pPr>
              <w:widowControl/>
              <w:tabs>
                <w:tab w:val="left" w:pos="360"/>
                <w:tab w:val="left" w:pos="1080"/>
              </w:tabs>
              <w:jc w:val="right"/>
            </w:pPr>
          </w:p>
        </w:tc>
      </w:tr>
      <w:tr w:rsidR="00133F15" w:rsidRPr="008E59F2" w:rsidTr="00600A5D">
        <w:trPr>
          <w:trHeight w:val="290"/>
        </w:trPr>
        <w:tc>
          <w:tcPr>
            <w:tcW w:w="3754" w:type="dxa"/>
            <w:vAlign w:val="center"/>
          </w:tcPr>
          <w:p w:rsidR="00133F15" w:rsidRPr="008E59F2" w:rsidRDefault="00133F15" w:rsidP="00133F15">
            <w:pPr>
              <w:widowControl/>
              <w:tabs>
                <w:tab w:val="left" w:pos="360"/>
                <w:tab w:val="left" w:pos="1080"/>
              </w:tabs>
            </w:pPr>
            <w:r w:rsidRPr="008E59F2">
              <w:t>Policy &amp; procedures</w:t>
            </w:r>
          </w:p>
        </w:tc>
        <w:tc>
          <w:tcPr>
            <w:tcW w:w="1379" w:type="dxa"/>
            <w:vAlign w:val="center"/>
          </w:tcPr>
          <w:p w:rsidR="00133F15" w:rsidRPr="008E59F2" w:rsidRDefault="00133F15" w:rsidP="00133F15">
            <w:pPr>
              <w:widowControl/>
              <w:tabs>
                <w:tab w:val="left" w:pos="360"/>
                <w:tab w:val="left" w:pos="1080"/>
              </w:tabs>
              <w:jc w:val="right"/>
            </w:pPr>
            <w:r w:rsidRPr="008E59F2">
              <w:t>1,172</w:t>
            </w:r>
          </w:p>
        </w:tc>
        <w:tc>
          <w:tcPr>
            <w:tcW w:w="1379" w:type="dxa"/>
            <w:vAlign w:val="center"/>
          </w:tcPr>
          <w:p w:rsidR="00133F15" w:rsidRPr="008E59F2" w:rsidRDefault="00133F15" w:rsidP="00133F15">
            <w:pPr>
              <w:widowControl/>
              <w:tabs>
                <w:tab w:val="left" w:pos="360"/>
                <w:tab w:val="left" w:pos="1080"/>
              </w:tabs>
              <w:jc w:val="center"/>
            </w:pPr>
            <w:r w:rsidRPr="008E59F2">
              <w:t>1</w:t>
            </w:r>
          </w:p>
        </w:tc>
        <w:tc>
          <w:tcPr>
            <w:tcW w:w="1379" w:type="dxa"/>
            <w:vAlign w:val="center"/>
          </w:tcPr>
          <w:p w:rsidR="00133F15" w:rsidRPr="008E59F2" w:rsidRDefault="00133F15" w:rsidP="00133F15">
            <w:pPr>
              <w:widowControl/>
              <w:tabs>
                <w:tab w:val="left" w:pos="360"/>
                <w:tab w:val="left" w:pos="1080"/>
              </w:tabs>
              <w:jc w:val="right"/>
            </w:pPr>
            <w:r w:rsidRPr="008E59F2">
              <w:t>40 hours</w:t>
            </w:r>
          </w:p>
        </w:tc>
        <w:tc>
          <w:tcPr>
            <w:tcW w:w="1379" w:type="dxa"/>
            <w:vAlign w:val="center"/>
          </w:tcPr>
          <w:p w:rsidR="00133F15" w:rsidRPr="008E59F2" w:rsidRDefault="00133F15" w:rsidP="00133F15">
            <w:pPr>
              <w:widowControl/>
              <w:tabs>
                <w:tab w:val="left" w:pos="360"/>
                <w:tab w:val="left" w:pos="1080"/>
              </w:tabs>
              <w:jc w:val="right"/>
            </w:pPr>
            <w:r w:rsidRPr="008E59F2">
              <w:t>46,880</w:t>
            </w:r>
          </w:p>
        </w:tc>
      </w:tr>
      <w:tr w:rsidR="00133F15" w:rsidRPr="008E59F2" w:rsidTr="00600A5D">
        <w:trPr>
          <w:trHeight w:val="291"/>
        </w:trPr>
        <w:tc>
          <w:tcPr>
            <w:tcW w:w="3754" w:type="dxa"/>
            <w:vAlign w:val="center"/>
          </w:tcPr>
          <w:p w:rsidR="00133F15" w:rsidRPr="008E59F2" w:rsidRDefault="00133F15" w:rsidP="00133F15">
            <w:pPr>
              <w:widowControl/>
              <w:tabs>
                <w:tab w:val="left" w:pos="360"/>
                <w:tab w:val="left" w:pos="1080"/>
              </w:tabs>
            </w:pPr>
            <w:r w:rsidRPr="008E59F2">
              <w:t>Irrelevant dispute notices</w:t>
            </w:r>
          </w:p>
        </w:tc>
        <w:tc>
          <w:tcPr>
            <w:tcW w:w="1379" w:type="dxa"/>
            <w:vAlign w:val="center"/>
          </w:tcPr>
          <w:p w:rsidR="00133F15" w:rsidRPr="008E59F2" w:rsidRDefault="00133F15" w:rsidP="00A0207D">
            <w:pPr>
              <w:widowControl/>
              <w:tabs>
                <w:tab w:val="left" w:pos="360"/>
                <w:tab w:val="left" w:pos="1080"/>
              </w:tabs>
              <w:jc w:val="right"/>
            </w:pPr>
            <w:r w:rsidRPr="008E59F2">
              <w:t>611,966</w:t>
            </w:r>
          </w:p>
        </w:tc>
        <w:tc>
          <w:tcPr>
            <w:tcW w:w="1379" w:type="dxa"/>
            <w:vAlign w:val="center"/>
          </w:tcPr>
          <w:p w:rsidR="00133F15" w:rsidRPr="008E59F2" w:rsidRDefault="00133F15" w:rsidP="00133F15">
            <w:pPr>
              <w:widowControl/>
              <w:tabs>
                <w:tab w:val="left" w:pos="360"/>
                <w:tab w:val="left" w:pos="1080"/>
              </w:tabs>
              <w:jc w:val="center"/>
            </w:pPr>
            <w:r w:rsidRPr="008E59F2">
              <w:t>1</w:t>
            </w:r>
          </w:p>
        </w:tc>
        <w:tc>
          <w:tcPr>
            <w:tcW w:w="1379" w:type="dxa"/>
            <w:vAlign w:val="center"/>
          </w:tcPr>
          <w:p w:rsidR="00133F15" w:rsidRPr="008E59F2" w:rsidRDefault="00133F15" w:rsidP="00133F15">
            <w:pPr>
              <w:widowControl/>
              <w:tabs>
                <w:tab w:val="left" w:pos="360"/>
                <w:tab w:val="left" w:pos="1080"/>
              </w:tabs>
              <w:jc w:val="right"/>
            </w:pPr>
            <w:r w:rsidRPr="008E59F2">
              <w:t>14 minutes</w:t>
            </w:r>
          </w:p>
        </w:tc>
        <w:tc>
          <w:tcPr>
            <w:tcW w:w="1379" w:type="dxa"/>
            <w:vAlign w:val="center"/>
          </w:tcPr>
          <w:p w:rsidR="00133F15" w:rsidRPr="00991D3D" w:rsidRDefault="00133F15" w:rsidP="00133F15">
            <w:pPr>
              <w:widowControl/>
              <w:tabs>
                <w:tab w:val="left" w:pos="360"/>
                <w:tab w:val="left" w:pos="1080"/>
              </w:tabs>
              <w:jc w:val="right"/>
              <w:rPr>
                <w:u w:val="single"/>
              </w:rPr>
            </w:pPr>
            <w:r w:rsidRPr="00991D3D">
              <w:rPr>
                <w:u w:val="single"/>
              </w:rPr>
              <w:t>142,792</w:t>
            </w:r>
          </w:p>
        </w:tc>
      </w:tr>
      <w:tr w:rsidR="00133F15" w:rsidRPr="008E59F2" w:rsidTr="00600A5D">
        <w:trPr>
          <w:trHeight w:val="290"/>
        </w:trPr>
        <w:tc>
          <w:tcPr>
            <w:tcW w:w="3754" w:type="dxa"/>
            <w:vAlign w:val="center"/>
          </w:tcPr>
          <w:p w:rsidR="00133F15" w:rsidRPr="008E59F2" w:rsidRDefault="00133F15" w:rsidP="00133F15">
            <w:pPr>
              <w:widowControl/>
              <w:tabs>
                <w:tab w:val="left" w:pos="360"/>
                <w:tab w:val="left" w:pos="1080"/>
              </w:tabs>
              <w:rPr>
                <w:i/>
              </w:rPr>
            </w:pPr>
          </w:p>
        </w:tc>
        <w:tc>
          <w:tcPr>
            <w:tcW w:w="1379" w:type="dxa"/>
            <w:vAlign w:val="center"/>
          </w:tcPr>
          <w:p w:rsidR="00133F15" w:rsidRPr="008E59F2" w:rsidRDefault="00133F15" w:rsidP="00A0207D">
            <w:pPr>
              <w:widowControl/>
              <w:tabs>
                <w:tab w:val="left" w:pos="360"/>
                <w:tab w:val="left" w:pos="1080"/>
              </w:tabs>
              <w:jc w:val="right"/>
            </w:pPr>
          </w:p>
        </w:tc>
        <w:tc>
          <w:tcPr>
            <w:tcW w:w="1379" w:type="dxa"/>
            <w:vAlign w:val="center"/>
          </w:tcPr>
          <w:p w:rsidR="00133F15" w:rsidRPr="008E59F2" w:rsidRDefault="00133F15" w:rsidP="00133F15">
            <w:pPr>
              <w:widowControl/>
              <w:tabs>
                <w:tab w:val="left" w:pos="360"/>
                <w:tab w:val="left" w:pos="1080"/>
              </w:tabs>
              <w:jc w:val="center"/>
            </w:pPr>
          </w:p>
        </w:tc>
        <w:tc>
          <w:tcPr>
            <w:tcW w:w="1379" w:type="dxa"/>
            <w:vAlign w:val="center"/>
          </w:tcPr>
          <w:p w:rsidR="00133F15" w:rsidRPr="008E59F2" w:rsidRDefault="00133F15" w:rsidP="00A0207D">
            <w:pPr>
              <w:widowControl/>
              <w:tabs>
                <w:tab w:val="left" w:pos="360"/>
                <w:tab w:val="left" w:pos="1080"/>
              </w:tabs>
              <w:jc w:val="right"/>
            </w:pPr>
          </w:p>
        </w:tc>
        <w:tc>
          <w:tcPr>
            <w:tcW w:w="1379" w:type="dxa"/>
            <w:vAlign w:val="center"/>
          </w:tcPr>
          <w:p w:rsidR="00133F15" w:rsidRPr="008E59F2" w:rsidRDefault="00133F15" w:rsidP="00133F15">
            <w:pPr>
              <w:widowControl/>
              <w:tabs>
                <w:tab w:val="left" w:pos="360"/>
                <w:tab w:val="left" w:pos="1080"/>
              </w:tabs>
              <w:jc w:val="right"/>
              <w:rPr>
                <w:color w:val="000000"/>
              </w:rPr>
            </w:pPr>
          </w:p>
        </w:tc>
      </w:tr>
      <w:tr w:rsidR="00133F15" w:rsidRPr="008E59F2" w:rsidTr="00600A5D">
        <w:trPr>
          <w:trHeight w:val="291"/>
        </w:trPr>
        <w:tc>
          <w:tcPr>
            <w:tcW w:w="3754" w:type="dxa"/>
            <w:vAlign w:val="center"/>
          </w:tcPr>
          <w:p w:rsidR="00133F15" w:rsidRPr="008E59F2" w:rsidRDefault="00133F15" w:rsidP="00133F15">
            <w:pPr>
              <w:widowControl/>
              <w:tabs>
                <w:tab w:val="left" w:pos="360"/>
                <w:tab w:val="left" w:pos="1080"/>
              </w:tabs>
              <w:jc w:val="right"/>
              <w:rPr>
                <w:b/>
                <w:i/>
              </w:rPr>
            </w:pPr>
            <w:r w:rsidRPr="008E59F2">
              <w:rPr>
                <w:b/>
                <w:i/>
              </w:rPr>
              <w:t>Total</w:t>
            </w:r>
          </w:p>
        </w:tc>
        <w:tc>
          <w:tcPr>
            <w:tcW w:w="1379" w:type="dxa"/>
            <w:vAlign w:val="center"/>
          </w:tcPr>
          <w:p w:rsidR="00133F15" w:rsidRPr="008E59F2" w:rsidRDefault="00133F15" w:rsidP="00A0207D">
            <w:pPr>
              <w:widowControl/>
              <w:tabs>
                <w:tab w:val="left" w:pos="360"/>
                <w:tab w:val="left" w:pos="1080"/>
              </w:tabs>
              <w:jc w:val="right"/>
              <w:rPr>
                <w:b/>
              </w:rPr>
            </w:pPr>
          </w:p>
        </w:tc>
        <w:tc>
          <w:tcPr>
            <w:tcW w:w="1379" w:type="dxa"/>
            <w:vAlign w:val="center"/>
          </w:tcPr>
          <w:p w:rsidR="00133F15" w:rsidRPr="008E59F2" w:rsidRDefault="00133F15" w:rsidP="00133F15">
            <w:pPr>
              <w:widowControl/>
              <w:tabs>
                <w:tab w:val="left" w:pos="360"/>
                <w:tab w:val="left" w:pos="1080"/>
              </w:tabs>
              <w:jc w:val="center"/>
              <w:rPr>
                <w:b/>
              </w:rPr>
            </w:pPr>
          </w:p>
        </w:tc>
        <w:tc>
          <w:tcPr>
            <w:tcW w:w="1379" w:type="dxa"/>
            <w:vAlign w:val="center"/>
          </w:tcPr>
          <w:p w:rsidR="00133F15" w:rsidRPr="008E59F2" w:rsidRDefault="00133F15" w:rsidP="00A0207D">
            <w:pPr>
              <w:widowControl/>
              <w:tabs>
                <w:tab w:val="left" w:pos="360"/>
                <w:tab w:val="left" w:pos="1080"/>
              </w:tabs>
              <w:jc w:val="right"/>
              <w:rPr>
                <w:b/>
              </w:rPr>
            </w:pPr>
          </w:p>
        </w:tc>
        <w:tc>
          <w:tcPr>
            <w:tcW w:w="1379" w:type="dxa"/>
            <w:vAlign w:val="center"/>
          </w:tcPr>
          <w:p w:rsidR="00133F15" w:rsidRPr="008E59F2" w:rsidRDefault="00A0207D" w:rsidP="00733153">
            <w:pPr>
              <w:widowControl/>
              <w:tabs>
                <w:tab w:val="left" w:pos="360"/>
                <w:tab w:val="left" w:pos="1080"/>
              </w:tabs>
              <w:jc w:val="right"/>
              <w:rPr>
                <w:b/>
              </w:rPr>
            </w:pPr>
            <w:r w:rsidRPr="008E59F2">
              <w:rPr>
                <w:b/>
              </w:rPr>
              <w:t>2,16</w:t>
            </w:r>
            <w:r w:rsidR="00733153" w:rsidRPr="008E59F2">
              <w:rPr>
                <w:b/>
              </w:rPr>
              <w:t>2</w:t>
            </w:r>
            <w:r w:rsidRPr="008E59F2">
              <w:rPr>
                <w:b/>
              </w:rPr>
              <w:t>,</w:t>
            </w:r>
            <w:r w:rsidR="00733153" w:rsidRPr="008E59F2">
              <w:rPr>
                <w:b/>
              </w:rPr>
              <w:t>86</w:t>
            </w:r>
            <w:r w:rsidRPr="008E59F2">
              <w:rPr>
                <w:b/>
              </w:rPr>
              <w:t>4</w:t>
            </w:r>
          </w:p>
        </w:tc>
      </w:tr>
    </w:tbl>
    <w:p w:rsidR="00A5471B" w:rsidRDefault="00A5471B" w:rsidP="0091660C">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1660C" w:rsidRPr="00D14565" w:rsidRDefault="0091660C" w:rsidP="0091660C">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14565">
        <w:t xml:space="preserve">The </w:t>
      </w:r>
      <w:r w:rsidR="00D52393" w:rsidRPr="00D14565">
        <w:t xml:space="preserve">current </w:t>
      </w:r>
      <w:r w:rsidRPr="00D14565">
        <w:t xml:space="preserve">estimated cost to the public for this information collection is </w:t>
      </w:r>
      <w:r w:rsidR="0045579A" w:rsidRPr="00D14565">
        <w:t>$</w:t>
      </w:r>
      <w:r w:rsidR="00A95FAB">
        <w:t>51</w:t>
      </w:r>
      <w:r w:rsidR="0045579A" w:rsidRPr="00D14565">
        <w:t>,</w:t>
      </w:r>
      <w:r w:rsidR="00A95FAB">
        <w:t>749</w:t>
      </w:r>
      <w:r w:rsidR="0045579A" w:rsidRPr="00D14565">
        <w:t>,</w:t>
      </w:r>
      <w:r w:rsidR="00A95FAB">
        <w:t>142</w:t>
      </w:r>
      <w:r w:rsidR="0045579A" w:rsidRPr="00D14565">
        <w:t>.</w:t>
      </w:r>
      <w:r w:rsidR="00E16D7E" w:rsidRPr="00D14565">
        <w:rPr>
          <w:rStyle w:val="FootnoteReference"/>
          <w:vertAlign w:val="superscript"/>
        </w:rPr>
        <w:footnoteReference w:id="26"/>
      </w:r>
      <w:r w:rsidR="00D52393" w:rsidRPr="00D14565">
        <w:t xml:space="preserve">  </w:t>
      </w:r>
    </w:p>
    <w:p w:rsidR="00420598" w:rsidRDefault="00420598" w:rsidP="00F9494B">
      <w:pPr>
        <w:rPr>
          <w:b/>
        </w:rPr>
      </w:pPr>
    </w:p>
    <w:p w:rsidR="00F9494B" w:rsidRPr="00F9494B" w:rsidRDefault="00626ED6" w:rsidP="00F9494B">
      <w:pPr>
        <w:rPr>
          <w:b/>
        </w:rPr>
      </w:pPr>
      <w:r w:rsidRPr="00F9494B">
        <w:rPr>
          <w:b/>
        </w:rPr>
        <w:t>Estimated Cost to the Federal Reserve System</w:t>
      </w:r>
    </w:p>
    <w:p w:rsidR="00A95FAB" w:rsidRDefault="00F9494B" w:rsidP="00F55DB8">
      <w:r>
        <w:tab/>
      </w:r>
    </w:p>
    <w:p w:rsidR="00B55704" w:rsidRPr="00D57C16" w:rsidRDefault="003A4402" w:rsidP="00A95FAB">
      <w:pPr>
        <w:ind w:firstLine="720"/>
      </w:pPr>
      <w:r w:rsidRPr="008D5586">
        <w:t>Since the Federal Reserve does not collect any information, the cost to the Federal Reserve System is negligible.</w:t>
      </w:r>
      <w:r w:rsidR="00154D09" w:rsidRPr="00D57C16">
        <w:t xml:space="preserve"> </w:t>
      </w:r>
    </w:p>
    <w:sectPr w:rsidR="00B55704" w:rsidRPr="00D57C16" w:rsidSect="00B65CB1">
      <w:footerReference w:type="even" r:id="rId8"/>
      <w:footerReference w:type="default" r:id="rId9"/>
      <w:headerReference w:type="first" r:id="rId10"/>
      <w:endnotePr>
        <w:numFmt w:val="decimal"/>
      </w:endnotePr>
      <w:pgSz w:w="12240" w:h="15840"/>
      <w:pgMar w:top="1440" w:right="1440" w:bottom="1530" w:left="1440" w:header="1080" w:footer="108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919" w:rsidRDefault="00633919">
      <w:r>
        <w:separator/>
      </w:r>
    </w:p>
  </w:endnote>
  <w:endnote w:type="continuationSeparator" w:id="0">
    <w:p w:rsidR="00633919" w:rsidRDefault="006339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270411" w:rsidP="00516A1A">
    <w:pPr>
      <w:pStyle w:val="Footer"/>
      <w:framePr w:wrap="around" w:vAnchor="text" w:hAnchor="margin" w:xAlign="center" w:y="1"/>
      <w:rPr>
        <w:rStyle w:val="PageNumber"/>
      </w:rPr>
    </w:pPr>
    <w:r>
      <w:rPr>
        <w:rStyle w:val="PageNumber"/>
      </w:rPr>
      <w:fldChar w:fldCharType="begin"/>
    </w:r>
    <w:r w:rsidR="00633919">
      <w:rPr>
        <w:rStyle w:val="PageNumber"/>
      </w:rPr>
      <w:instrText xml:space="preserve">PAGE  </w:instrText>
    </w:r>
    <w:r>
      <w:rPr>
        <w:rStyle w:val="PageNumber"/>
      </w:rPr>
      <w:fldChar w:fldCharType="end"/>
    </w:r>
  </w:p>
  <w:p w:rsidR="00633919" w:rsidRDefault="006339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Default="00270411" w:rsidP="00516A1A">
    <w:pPr>
      <w:pStyle w:val="Footer"/>
      <w:framePr w:wrap="around" w:vAnchor="text" w:hAnchor="margin" w:xAlign="center" w:y="1"/>
      <w:rPr>
        <w:rStyle w:val="PageNumber"/>
      </w:rPr>
    </w:pPr>
    <w:r>
      <w:rPr>
        <w:rStyle w:val="PageNumber"/>
      </w:rPr>
      <w:fldChar w:fldCharType="begin"/>
    </w:r>
    <w:r w:rsidR="00633919">
      <w:rPr>
        <w:rStyle w:val="PageNumber"/>
      </w:rPr>
      <w:instrText xml:space="preserve">PAGE  </w:instrText>
    </w:r>
    <w:r>
      <w:rPr>
        <w:rStyle w:val="PageNumber"/>
      </w:rPr>
      <w:fldChar w:fldCharType="separate"/>
    </w:r>
    <w:r w:rsidR="00ED5B80">
      <w:rPr>
        <w:rStyle w:val="PageNumber"/>
        <w:noProof/>
      </w:rPr>
      <w:t>7</w:t>
    </w:r>
    <w:r>
      <w:rPr>
        <w:rStyle w:val="PageNumber"/>
      </w:rPr>
      <w:fldChar w:fldCharType="end"/>
    </w:r>
  </w:p>
  <w:p w:rsidR="00633919" w:rsidRDefault="006339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919" w:rsidRDefault="00633919">
      <w:r>
        <w:separator/>
      </w:r>
    </w:p>
  </w:footnote>
  <w:footnote w:type="continuationSeparator" w:id="0">
    <w:p w:rsidR="00633919" w:rsidRDefault="00633919">
      <w:r>
        <w:continuationSeparator/>
      </w:r>
    </w:p>
  </w:footnote>
  <w:footnote w:id="1">
    <w:p w:rsidR="00633919" w:rsidRPr="00D20697" w:rsidRDefault="00633919" w:rsidP="00644088">
      <w:pPr>
        <w:rPr>
          <w:sz w:val="18"/>
          <w:szCs w:val="18"/>
        </w:rPr>
      </w:pPr>
      <w:r w:rsidRPr="00D20697">
        <w:rPr>
          <w:rStyle w:val="FootnoteReference"/>
          <w:sz w:val="18"/>
          <w:szCs w:val="18"/>
          <w:vertAlign w:val="superscript"/>
        </w:rPr>
        <w:footnoteRef/>
      </w:r>
      <w:r w:rsidRPr="00D20697">
        <w:rPr>
          <w:sz w:val="18"/>
          <w:szCs w:val="18"/>
        </w:rPr>
        <w:t xml:space="preserve">  FCRA</w:t>
      </w:r>
      <w:r w:rsidRPr="00D20697">
        <w:rPr>
          <w:color w:val="000000"/>
          <w:sz w:val="18"/>
          <w:szCs w:val="18"/>
        </w:rPr>
        <w:t xml:space="preserve"> was enacted in 1970 and is codified at 15 U.S.C. § 1681 et seq.  </w:t>
      </w:r>
      <w:r w:rsidRPr="00D20697">
        <w:rPr>
          <w:sz w:val="18"/>
          <w:szCs w:val="18"/>
        </w:rPr>
        <w:t xml:space="preserve">Regulation V is located at </w:t>
      </w:r>
      <w:r w:rsidRPr="00D20697">
        <w:rPr>
          <w:color w:val="000000"/>
          <w:sz w:val="18"/>
          <w:szCs w:val="18"/>
        </w:rPr>
        <w:t>12 C.F.R. Part 222.</w:t>
      </w:r>
    </w:p>
  </w:footnote>
  <w:footnote w:id="2">
    <w:p w:rsidR="00633919" w:rsidRPr="00D20697" w:rsidRDefault="00633919" w:rsidP="00644088">
      <w:pPr>
        <w:rPr>
          <w:sz w:val="18"/>
          <w:szCs w:val="18"/>
        </w:rPr>
      </w:pPr>
      <w:r w:rsidRPr="00D20697">
        <w:rPr>
          <w:rStyle w:val="FootnoteReference"/>
          <w:sz w:val="18"/>
          <w:szCs w:val="18"/>
          <w:vertAlign w:val="superscript"/>
        </w:rPr>
        <w:footnoteRef/>
      </w:r>
      <w:r w:rsidRPr="00D20697">
        <w:rPr>
          <w:sz w:val="18"/>
          <w:szCs w:val="18"/>
          <w:vertAlign w:val="superscript"/>
        </w:rPr>
        <w:t xml:space="preserve">   </w:t>
      </w:r>
      <w:r w:rsidRPr="00D20697">
        <w:rPr>
          <w:sz w:val="18"/>
          <w:szCs w:val="18"/>
        </w:rPr>
        <w:t xml:space="preserve">44 U.S.C. § 3501 </w:t>
      </w:r>
      <w:r w:rsidRPr="00D20697">
        <w:rPr>
          <w:sz w:val="18"/>
          <w:szCs w:val="18"/>
          <w:u w:val="single"/>
        </w:rPr>
        <w:t>et</w:t>
      </w:r>
      <w:r w:rsidRPr="00D20697">
        <w:rPr>
          <w:sz w:val="18"/>
          <w:szCs w:val="18"/>
        </w:rPr>
        <w:t xml:space="preserve"> </w:t>
      </w:r>
      <w:proofErr w:type="spellStart"/>
      <w:r w:rsidRPr="00D20697">
        <w:rPr>
          <w:sz w:val="18"/>
          <w:szCs w:val="18"/>
          <w:u w:val="single"/>
        </w:rPr>
        <w:t>seq</w:t>
      </w:r>
      <w:proofErr w:type="spellEnd"/>
    </w:p>
  </w:footnote>
  <w:footnote w:id="3">
    <w:p w:rsidR="00633919" w:rsidRPr="00D20697" w:rsidRDefault="00633919" w:rsidP="00644088">
      <w:pPr>
        <w:rPr>
          <w:sz w:val="18"/>
          <w:szCs w:val="18"/>
        </w:rPr>
      </w:pPr>
      <w:r w:rsidRPr="00D20697">
        <w:rPr>
          <w:rStyle w:val="FootnoteReference"/>
          <w:sz w:val="18"/>
          <w:szCs w:val="18"/>
          <w:vertAlign w:val="superscript"/>
        </w:rPr>
        <w:footnoteRef/>
      </w:r>
      <w:r w:rsidRPr="00D20697">
        <w:rPr>
          <w:sz w:val="18"/>
          <w:szCs w:val="18"/>
        </w:rPr>
        <w:t xml:space="preserve">  Section 217 of the FACT Act defines the term “negative information” to mean information concerning a customer’s delinquencies, late payments, insolvency, or any form of default.</w:t>
      </w:r>
    </w:p>
  </w:footnote>
  <w:footnote w:id="4">
    <w:p w:rsidR="00633919" w:rsidRPr="00D20697" w:rsidRDefault="00633919" w:rsidP="00644088">
      <w:pPr>
        <w:rPr>
          <w:sz w:val="18"/>
          <w:szCs w:val="18"/>
        </w:rPr>
      </w:pPr>
      <w:r w:rsidRPr="006F3BB2">
        <w:rPr>
          <w:rStyle w:val="FootnoteReference"/>
          <w:sz w:val="18"/>
          <w:szCs w:val="18"/>
          <w:vertAlign w:val="superscript"/>
        </w:rPr>
        <w:footnoteRef/>
      </w:r>
      <w:r w:rsidRPr="006F3BB2">
        <w:rPr>
          <w:sz w:val="18"/>
          <w:szCs w:val="18"/>
          <w:vertAlign w:val="superscript"/>
        </w:rPr>
        <w:t xml:space="preserve">  </w:t>
      </w:r>
      <w:r w:rsidRPr="006F3BB2">
        <w:rPr>
          <w:sz w:val="18"/>
          <w:szCs w:val="18"/>
        </w:rPr>
        <w:t xml:space="preserve">Affiliate Marketing Opt-out Notice Requirements (Section 214) </w:t>
      </w:r>
    </w:p>
  </w:footnote>
  <w:footnote w:id="5">
    <w:p w:rsidR="00633919" w:rsidRPr="00D20697" w:rsidRDefault="00633919" w:rsidP="00644088">
      <w:pPr>
        <w:rPr>
          <w:sz w:val="18"/>
          <w:szCs w:val="18"/>
        </w:rPr>
      </w:pPr>
      <w:r w:rsidRPr="006F3BB2">
        <w:rPr>
          <w:rStyle w:val="FootnoteReference"/>
          <w:sz w:val="18"/>
          <w:szCs w:val="18"/>
          <w:vertAlign w:val="superscript"/>
        </w:rPr>
        <w:footnoteRef/>
      </w:r>
      <w:r w:rsidRPr="006F3BB2">
        <w:rPr>
          <w:sz w:val="18"/>
          <w:szCs w:val="18"/>
        </w:rPr>
        <w:t xml:space="preserve">  Red Flags - Sections 114 and 315 of the FACT Act,</w:t>
      </w:r>
    </w:p>
  </w:footnote>
  <w:footnote w:id="6">
    <w:p w:rsidR="00633919" w:rsidRPr="00536D16" w:rsidRDefault="00633919" w:rsidP="004C2412">
      <w:pPr>
        <w:pStyle w:val="HTMLPreformatted"/>
        <w:rPr>
          <w:rFonts w:ascii="Times New Roman" w:hAnsi="Times New Roman" w:cs="Times New Roman"/>
          <w:sz w:val="18"/>
          <w:szCs w:val="18"/>
        </w:rPr>
      </w:pPr>
      <w:r w:rsidRPr="004A7873">
        <w:rPr>
          <w:rStyle w:val="FootnoteReference"/>
          <w:rFonts w:ascii="Times New Roman" w:hAnsi="Times New Roman" w:cs="Times New Roman"/>
          <w:sz w:val="18"/>
          <w:szCs w:val="18"/>
          <w:vertAlign w:val="superscript"/>
        </w:rPr>
        <w:footnoteRef/>
      </w:r>
      <w:r>
        <w:rPr>
          <w:rFonts w:ascii="Times New Roman" w:hAnsi="Times New Roman" w:cs="Times New Roman"/>
          <w:sz w:val="18"/>
          <w:szCs w:val="18"/>
        </w:rPr>
        <w:t xml:space="preserve">  </w:t>
      </w:r>
      <w:r w:rsidRPr="004A7873">
        <w:rPr>
          <w:rFonts w:ascii="Times New Roman" w:hAnsi="Times New Roman" w:cs="Times New Roman"/>
          <w:sz w:val="18"/>
          <w:szCs w:val="18"/>
        </w:rPr>
        <w:t xml:space="preserve">Under section 217, the term “financial institution” is defined broadly to have the same meaning as in the privacy provisions of the Gramm-Leach-Bliley Act of 1999 (GLB Act), which defines financial institution to mean “any institution the business of which is engaging in financial activities as described in section 4(k) of the Bank Holding Company Act of 1956,” whether or not affiliated with a bank.  </w:t>
      </w:r>
      <w:proofErr w:type="gramStart"/>
      <w:r w:rsidRPr="004A7873">
        <w:rPr>
          <w:rFonts w:ascii="Times New Roman" w:hAnsi="Times New Roman" w:cs="Times New Roman"/>
          <w:sz w:val="18"/>
          <w:szCs w:val="18"/>
        </w:rPr>
        <w:t>15 U.S.C. 6809(3).</w:t>
      </w:r>
      <w:proofErr w:type="gramEnd"/>
      <w:r w:rsidRPr="004A7873">
        <w:rPr>
          <w:rFonts w:ascii="Times New Roman" w:hAnsi="Times New Roman" w:cs="Times New Roman"/>
          <w:sz w:val="18"/>
          <w:szCs w:val="18"/>
        </w:rPr>
        <w:t xml:space="preserve">  Thus, the term “financial institution” includes not only institutions regulated by the Federal Reserve and other federal banking agencies, but also includes other financial entities, such as merchant creditors and debt collectors that extend credit and report negative information.  16 CFR 313.3(k) (65 FR 33</w:t>
      </w:r>
      <w:r>
        <w:rPr>
          <w:rFonts w:ascii="Times New Roman" w:hAnsi="Times New Roman" w:cs="Times New Roman"/>
          <w:sz w:val="18"/>
          <w:szCs w:val="18"/>
        </w:rPr>
        <w:t>646 and 33655, May 24, 2000</w:t>
      </w:r>
      <w:r w:rsidRPr="00536D16">
        <w:rPr>
          <w:rFonts w:ascii="Times New Roman" w:hAnsi="Times New Roman" w:cs="Times New Roman"/>
          <w:sz w:val="18"/>
          <w:szCs w:val="18"/>
        </w:rPr>
        <w:t>). Federal Reserve-covered institutions are defined by Regulation V as: banks that are members of the Federal Reserve System (other than national banks), branches and Agencies of foreign banks (other than Federal branches, Federal Agencies, and insured State branches of foreign banks), commercial lending companies owned or controlled by foreign banks, organizations operating under section 25 or 25A of the Federal Reserve Act (12 U.S.C. 601 et seq., and 611 et seq.), and bank holding companies and affiliates of such holding companies (other than depository institutions and consumer reporting agencies).</w:t>
      </w:r>
    </w:p>
  </w:footnote>
  <w:footnote w:id="7">
    <w:p w:rsidR="00633919" w:rsidRPr="004A7873" w:rsidRDefault="00633919" w:rsidP="000B75B7">
      <w:pPr>
        <w:pStyle w:val="FootnoteText"/>
        <w:rPr>
          <w:sz w:val="18"/>
          <w:szCs w:val="18"/>
        </w:rPr>
      </w:pPr>
      <w:r w:rsidRPr="004A7873">
        <w:rPr>
          <w:rStyle w:val="FootnoteReference"/>
          <w:sz w:val="18"/>
          <w:szCs w:val="18"/>
          <w:vertAlign w:val="superscript"/>
        </w:rPr>
        <w:footnoteRef/>
      </w:r>
      <w:r>
        <w:rPr>
          <w:sz w:val="18"/>
          <w:szCs w:val="18"/>
          <w:vertAlign w:val="superscript"/>
        </w:rPr>
        <w:t xml:space="preserve">  </w:t>
      </w:r>
      <w:r w:rsidRPr="004A7873">
        <w:rPr>
          <w:sz w:val="18"/>
          <w:szCs w:val="18"/>
        </w:rPr>
        <w:t>69 FR 6526 (February 11, 2004).</w:t>
      </w:r>
    </w:p>
  </w:footnote>
  <w:footnote w:id="8">
    <w:p w:rsidR="00633919" w:rsidRPr="00FB4F4D" w:rsidRDefault="00633919" w:rsidP="000F39A3">
      <w:pPr>
        <w:widowControl/>
        <w:rPr>
          <w:sz w:val="18"/>
          <w:szCs w:val="18"/>
        </w:rPr>
      </w:pPr>
      <w:r w:rsidRPr="00FB4F4D">
        <w:rPr>
          <w:rStyle w:val="FootnoteReference"/>
          <w:sz w:val="18"/>
          <w:szCs w:val="18"/>
          <w:vertAlign w:val="superscript"/>
        </w:rPr>
        <w:footnoteRef/>
      </w:r>
      <w:r>
        <w:rPr>
          <w:sz w:val="18"/>
          <w:szCs w:val="18"/>
        </w:rPr>
        <w:t xml:space="preserve">  </w:t>
      </w:r>
      <w:r w:rsidRPr="005C3FBC">
        <w:rPr>
          <w:sz w:val="18"/>
          <w:szCs w:val="18"/>
        </w:rPr>
        <w:t xml:space="preserve">Office of the Comptroller of the Currency (OCC), Treasury; Federal Deposit Insurance Corporation (FDIC); Office of Thrift Supervision (OTS), Treasury; </w:t>
      </w:r>
      <w:r>
        <w:rPr>
          <w:sz w:val="18"/>
          <w:szCs w:val="18"/>
        </w:rPr>
        <w:t xml:space="preserve">and </w:t>
      </w:r>
      <w:r w:rsidRPr="005C3FBC">
        <w:rPr>
          <w:sz w:val="18"/>
          <w:szCs w:val="18"/>
        </w:rPr>
        <w:t>National Cre</w:t>
      </w:r>
      <w:r>
        <w:rPr>
          <w:sz w:val="18"/>
          <w:szCs w:val="18"/>
        </w:rPr>
        <w:t>dit Union Administration (NCUA)</w:t>
      </w:r>
    </w:p>
  </w:footnote>
  <w:footnote w:id="9">
    <w:p w:rsidR="00633919" w:rsidRPr="00912F1F" w:rsidRDefault="00633919" w:rsidP="00317732">
      <w:pPr>
        <w:widowControl/>
        <w:rPr>
          <w:sz w:val="18"/>
          <w:szCs w:val="18"/>
        </w:rPr>
      </w:pPr>
      <w:r w:rsidRPr="00912F1F">
        <w:rPr>
          <w:rStyle w:val="FootnoteReference"/>
          <w:sz w:val="18"/>
          <w:szCs w:val="18"/>
          <w:vertAlign w:val="superscript"/>
        </w:rPr>
        <w:footnoteRef/>
      </w:r>
      <w:r w:rsidRPr="00912F1F">
        <w:rPr>
          <w:sz w:val="18"/>
          <w:szCs w:val="18"/>
        </w:rPr>
        <w:t xml:space="preserve">  OCC, FDIC, OTS, NCUA, and </w:t>
      </w:r>
      <w:r>
        <w:rPr>
          <w:sz w:val="18"/>
          <w:szCs w:val="18"/>
        </w:rPr>
        <w:t>Federal Trade Commission (</w:t>
      </w:r>
      <w:r w:rsidRPr="00912F1F">
        <w:rPr>
          <w:sz w:val="18"/>
          <w:szCs w:val="18"/>
        </w:rPr>
        <w:t>FTC</w:t>
      </w:r>
      <w:r>
        <w:rPr>
          <w:sz w:val="18"/>
          <w:szCs w:val="18"/>
        </w:rPr>
        <w:t>)</w:t>
      </w:r>
    </w:p>
  </w:footnote>
  <w:footnote w:id="10">
    <w:p w:rsidR="00633919" w:rsidRPr="00912F1F" w:rsidRDefault="00633919" w:rsidP="00B865C1">
      <w:pPr>
        <w:widowControl/>
        <w:rPr>
          <w:sz w:val="18"/>
          <w:szCs w:val="18"/>
        </w:rPr>
      </w:pPr>
      <w:r w:rsidRPr="00912F1F">
        <w:rPr>
          <w:rStyle w:val="FootnoteReference"/>
          <w:sz w:val="18"/>
          <w:szCs w:val="18"/>
          <w:vertAlign w:val="superscript"/>
        </w:rPr>
        <w:footnoteRef/>
      </w:r>
      <w:r w:rsidRPr="00912F1F">
        <w:rPr>
          <w:sz w:val="18"/>
          <w:szCs w:val="18"/>
        </w:rPr>
        <w:t xml:space="preserve">  OCC, FDIC, OTS, NCUA, and FTC</w:t>
      </w:r>
    </w:p>
  </w:footnote>
  <w:footnote w:id="11">
    <w:p w:rsidR="00633919" w:rsidRPr="00912F1F" w:rsidRDefault="00633919">
      <w:pPr>
        <w:pStyle w:val="FootnoteText"/>
        <w:rPr>
          <w:sz w:val="18"/>
          <w:szCs w:val="18"/>
        </w:rPr>
      </w:pPr>
      <w:r w:rsidRPr="00912F1F">
        <w:rPr>
          <w:rStyle w:val="FootnoteReference"/>
          <w:sz w:val="18"/>
          <w:szCs w:val="18"/>
          <w:vertAlign w:val="superscript"/>
        </w:rPr>
        <w:footnoteRef/>
      </w:r>
      <w:r w:rsidRPr="00912F1F">
        <w:rPr>
          <w:sz w:val="18"/>
          <w:szCs w:val="18"/>
          <w:vertAlign w:val="superscript"/>
        </w:rPr>
        <w:t xml:space="preserve">  </w:t>
      </w:r>
      <w:r w:rsidRPr="00912F1F">
        <w:rPr>
          <w:sz w:val="18"/>
          <w:szCs w:val="18"/>
        </w:rPr>
        <w:t>FTC</w:t>
      </w:r>
    </w:p>
  </w:footnote>
  <w:footnote w:id="12">
    <w:p w:rsidR="00633919" w:rsidRPr="00912F1F" w:rsidRDefault="00633919" w:rsidP="008556C0">
      <w:pPr>
        <w:pStyle w:val="FootnoteText"/>
        <w:rPr>
          <w:sz w:val="18"/>
          <w:szCs w:val="18"/>
        </w:rPr>
      </w:pPr>
      <w:r w:rsidRPr="00912F1F">
        <w:rPr>
          <w:rStyle w:val="FootnoteReference"/>
          <w:sz w:val="18"/>
          <w:szCs w:val="18"/>
          <w:vertAlign w:val="superscript"/>
        </w:rPr>
        <w:footnoteRef/>
      </w:r>
      <w:r w:rsidRPr="00912F1F">
        <w:rPr>
          <w:sz w:val="18"/>
          <w:szCs w:val="18"/>
        </w:rPr>
        <w:t xml:space="preserve"> (12 CFR, Parts: 222.82 and 222.90)</w:t>
      </w:r>
    </w:p>
  </w:footnote>
  <w:footnote w:id="13">
    <w:p w:rsidR="00633919" w:rsidRPr="00912F1F" w:rsidRDefault="00633919">
      <w:pPr>
        <w:pStyle w:val="FootnoteText"/>
        <w:rPr>
          <w:sz w:val="18"/>
          <w:szCs w:val="18"/>
        </w:rPr>
      </w:pPr>
      <w:r w:rsidRPr="00912F1F">
        <w:rPr>
          <w:rStyle w:val="FootnoteReference"/>
          <w:sz w:val="18"/>
          <w:szCs w:val="18"/>
          <w:vertAlign w:val="superscript"/>
        </w:rPr>
        <w:footnoteRef/>
      </w:r>
      <w:r w:rsidRPr="00912F1F">
        <w:rPr>
          <w:sz w:val="18"/>
          <w:szCs w:val="18"/>
        </w:rPr>
        <w:t xml:space="preserve"> (12 CFR, Parts: 222.21– 222.27)</w:t>
      </w:r>
    </w:p>
  </w:footnote>
  <w:footnote w:id="14">
    <w:p w:rsidR="00633919" w:rsidRPr="00912F1F" w:rsidRDefault="00633919" w:rsidP="008556C0">
      <w:pPr>
        <w:pStyle w:val="FootnoteText"/>
        <w:rPr>
          <w:sz w:val="18"/>
          <w:szCs w:val="18"/>
        </w:rPr>
      </w:pPr>
      <w:r w:rsidRPr="00912F1F">
        <w:rPr>
          <w:rStyle w:val="FootnoteReference"/>
          <w:sz w:val="18"/>
          <w:szCs w:val="18"/>
          <w:vertAlign w:val="superscript"/>
        </w:rPr>
        <w:footnoteRef/>
      </w:r>
      <w:r w:rsidRPr="00912F1F">
        <w:rPr>
          <w:sz w:val="18"/>
          <w:szCs w:val="18"/>
        </w:rPr>
        <w:t xml:space="preserve"> (12 CFR, Part 222, appendix B)</w:t>
      </w:r>
    </w:p>
  </w:footnote>
  <w:footnote w:id="15">
    <w:p w:rsidR="00633919" w:rsidRPr="00912F1F" w:rsidRDefault="00633919" w:rsidP="008556C0">
      <w:pPr>
        <w:pStyle w:val="FootnoteText"/>
        <w:rPr>
          <w:sz w:val="18"/>
          <w:szCs w:val="18"/>
        </w:rPr>
      </w:pPr>
      <w:r w:rsidRPr="00912F1F">
        <w:rPr>
          <w:rStyle w:val="FootnoteReference"/>
          <w:sz w:val="18"/>
          <w:szCs w:val="18"/>
          <w:vertAlign w:val="superscript"/>
        </w:rPr>
        <w:footnoteRef/>
      </w:r>
      <w:r w:rsidRPr="00912F1F">
        <w:rPr>
          <w:sz w:val="18"/>
          <w:szCs w:val="18"/>
          <w:vertAlign w:val="superscript"/>
        </w:rPr>
        <w:t xml:space="preserve">  </w:t>
      </w:r>
      <w:r w:rsidRPr="00912F1F">
        <w:rPr>
          <w:sz w:val="18"/>
          <w:szCs w:val="18"/>
        </w:rPr>
        <w:t>The collection of information under Regulation Z is assigned OMB No. 7100-0199 for purposes of the PRA.</w:t>
      </w:r>
    </w:p>
  </w:footnote>
  <w:footnote w:id="16">
    <w:p w:rsidR="00633919" w:rsidRPr="00912F1F" w:rsidRDefault="00633919" w:rsidP="00530174">
      <w:pPr>
        <w:pStyle w:val="FootnoteText"/>
        <w:rPr>
          <w:sz w:val="18"/>
          <w:szCs w:val="18"/>
        </w:rPr>
      </w:pPr>
      <w:r w:rsidRPr="00912F1F">
        <w:rPr>
          <w:rStyle w:val="FootnoteReference"/>
          <w:sz w:val="18"/>
          <w:szCs w:val="18"/>
          <w:vertAlign w:val="superscript"/>
        </w:rPr>
        <w:footnoteRef/>
      </w:r>
      <w:r w:rsidRPr="00912F1F">
        <w:rPr>
          <w:sz w:val="18"/>
          <w:szCs w:val="18"/>
        </w:rPr>
        <w:t xml:space="preserve"> (12CFR, Parts: 222.72(a) and 222.72(c))</w:t>
      </w:r>
    </w:p>
  </w:footnote>
  <w:footnote w:id="17">
    <w:p w:rsidR="00633919" w:rsidRPr="00912F1F" w:rsidRDefault="00633919" w:rsidP="008556C0">
      <w:pPr>
        <w:pStyle w:val="FootnoteText"/>
        <w:rPr>
          <w:sz w:val="18"/>
          <w:szCs w:val="18"/>
        </w:rPr>
      </w:pPr>
      <w:r w:rsidRPr="00912F1F">
        <w:rPr>
          <w:rStyle w:val="FootnoteReference"/>
          <w:sz w:val="18"/>
          <w:szCs w:val="18"/>
          <w:vertAlign w:val="superscript"/>
        </w:rPr>
        <w:footnoteRef/>
      </w:r>
      <w:r>
        <w:rPr>
          <w:sz w:val="18"/>
          <w:szCs w:val="18"/>
        </w:rPr>
        <w:t xml:space="preserve">  </w:t>
      </w:r>
      <w:r w:rsidRPr="00912F1F">
        <w:rPr>
          <w:sz w:val="18"/>
          <w:szCs w:val="18"/>
        </w:rPr>
        <w:t>(12CFR, Parts: 222.42(a), 222.43(e)(2), and 222. 43(e)(3))</w:t>
      </w:r>
    </w:p>
  </w:footnote>
  <w:footnote w:id="18">
    <w:p w:rsidR="00633919" w:rsidRPr="00441C2F" w:rsidRDefault="00633919">
      <w:pPr>
        <w:pStyle w:val="FootnoteText"/>
        <w:rPr>
          <w:sz w:val="18"/>
          <w:szCs w:val="18"/>
        </w:rPr>
      </w:pPr>
      <w:r w:rsidRPr="00441C2F">
        <w:rPr>
          <w:rStyle w:val="FootnoteReference"/>
          <w:sz w:val="18"/>
          <w:szCs w:val="18"/>
          <w:vertAlign w:val="superscript"/>
        </w:rPr>
        <w:footnoteRef/>
      </w:r>
      <w:r>
        <w:rPr>
          <w:sz w:val="18"/>
          <w:szCs w:val="18"/>
        </w:rPr>
        <w:t xml:space="preserve">  </w:t>
      </w:r>
      <w:r w:rsidRPr="00441C2F">
        <w:rPr>
          <w:sz w:val="18"/>
          <w:szCs w:val="18"/>
        </w:rPr>
        <w:t>(12 CFR, Part 222.91)</w:t>
      </w:r>
    </w:p>
  </w:footnote>
  <w:footnote w:id="19">
    <w:p w:rsidR="00633919" w:rsidRPr="00441C2F" w:rsidRDefault="00633919">
      <w:pPr>
        <w:pStyle w:val="FootnoteText"/>
        <w:rPr>
          <w:sz w:val="18"/>
          <w:szCs w:val="18"/>
        </w:rPr>
      </w:pPr>
      <w:r w:rsidRPr="00441C2F">
        <w:rPr>
          <w:rStyle w:val="FootnoteReference"/>
          <w:sz w:val="18"/>
          <w:szCs w:val="18"/>
          <w:vertAlign w:val="superscript"/>
        </w:rPr>
        <w:footnoteRef/>
      </w:r>
      <w:r>
        <w:rPr>
          <w:sz w:val="18"/>
          <w:szCs w:val="18"/>
          <w:vertAlign w:val="superscript"/>
        </w:rPr>
        <w:t xml:space="preserve">  </w:t>
      </w:r>
      <w:r w:rsidRPr="00441C2F">
        <w:rPr>
          <w:sz w:val="18"/>
          <w:szCs w:val="18"/>
        </w:rPr>
        <w:t xml:space="preserve">A consumer report is provided by a CRA and indicates a pattern of activity that is inconsistent with the history and usual pattern of activity of an applicant or customer, </w:t>
      </w:r>
      <w:r w:rsidRPr="00441C2F">
        <w:rPr>
          <w:i/>
          <w:iCs/>
          <w:sz w:val="18"/>
          <w:szCs w:val="18"/>
        </w:rPr>
        <w:t xml:space="preserve">such as: </w:t>
      </w:r>
      <w:r w:rsidRPr="00441C2F">
        <w:rPr>
          <w:sz w:val="18"/>
          <w:szCs w:val="18"/>
        </w:rPr>
        <w:t xml:space="preserve">a. </w:t>
      </w:r>
      <w:proofErr w:type="gramStart"/>
      <w:r w:rsidRPr="00441C2F">
        <w:rPr>
          <w:sz w:val="18"/>
          <w:szCs w:val="18"/>
        </w:rPr>
        <w:t>A</w:t>
      </w:r>
      <w:proofErr w:type="gramEnd"/>
      <w:r w:rsidRPr="00441C2F">
        <w:rPr>
          <w:sz w:val="18"/>
          <w:szCs w:val="18"/>
        </w:rPr>
        <w:t xml:space="preserve"> recent and significant increase in the volume of inquiries. b. An unusual number of recently established credit relationships. c. A material change in the use of credit, especially with respect to recently established credit relationships. d. An account was closed for cause or identified for abuse of account privileges by a financial institution or creditor.</w:t>
      </w:r>
    </w:p>
  </w:footnote>
  <w:footnote w:id="20">
    <w:p w:rsidR="00633919" w:rsidRPr="00D14565" w:rsidRDefault="00633919" w:rsidP="00FB2B2B">
      <w:pPr>
        <w:widowControl/>
        <w:rPr>
          <w:sz w:val="18"/>
          <w:szCs w:val="18"/>
        </w:rPr>
      </w:pPr>
      <w:r w:rsidRPr="00D14565">
        <w:rPr>
          <w:rStyle w:val="FootnoteReference"/>
          <w:sz w:val="18"/>
          <w:szCs w:val="18"/>
          <w:vertAlign w:val="superscript"/>
        </w:rPr>
        <w:footnoteRef/>
      </w:r>
      <w:r>
        <w:rPr>
          <w:sz w:val="18"/>
          <w:szCs w:val="18"/>
        </w:rPr>
        <w:t xml:space="preserve">  </w:t>
      </w:r>
      <w:r w:rsidRPr="00D14565">
        <w:rPr>
          <w:sz w:val="18"/>
          <w:szCs w:val="18"/>
        </w:rPr>
        <w:t>Federal Reserve, OCC, FDIC, OTS, NCUA, and the U.S. Department of Housing and Urban Development (HUD)</w:t>
      </w:r>
    </w:p>
  </w:footnote>
  <w:footnote w:id="21">
    <w:p w:rsidR="00633919" w:rsidRPr="00D14565" w:rsidRDefault="00633919" w:rsidP="002E19C8">
      <w:pPr>
        <w:widowControl/>
        <w:rPr>
          <w:sz w:val="18"/>
          <w:szCs w:val="18"/>
        </w:rPr>
      </w:pPr>
      <w:r w:rsidRPr="00D14565">
        <w:rPr>
          <w:rStyle w:val="FootnoteReference"/>
          <w:sz w:val="18"/>
          <w:szCs w:val="18"/>
          <w:vertAlign w:val="superscript"/>
        </w:rPr>
        <w:footnoteRef/>
      </w:r>
      <w:r>
        <w:rPr>
          <w:sz w:val="18"/>
          <w:szCs w:val="18"/>
        </w:rPr>
        <w:t xml:space="preserve">  </w:t>
      </w:r>
      <w:r w:rsidRPr="00D14565">
        <w:rPr>
          <w:sz w:val="18"/>
          <w:szCs w:val="18"/>
        </w:rPr>
        <w:t>These modifications may include corrections or updates to telephone numbers, mailing addresses, or Web site addresses that may change over time, the addition of graphics or icons, such as the creditor’s corporate logo, the alteration of the shading or color contained in the model forms, and the use of a different form of graphical presentation to depict the distribution of credit scores.</w:t>
      </w:r>
    </w:p>
  </w:footnote>
  <w:footnote w:id="22">
    <w:p w:rsidR="00633919" w:rsidRPr="00EF4DDF" w:rsidRDefault="00633919">
      <w:pPr>
        <w:pStyle w:val="FootnoteText"/>
        <w:rPr>
          <w:sz w:val="18"/>
          <w:szCs w:val="18"/>
        </w:rPr>
      </w:pPr>
      <w:r w:rsidRPr="00EF4DDF">
        <w:rPr>
          <w:rStyle w:val="FootnoteReference"/>
          <w:sz w:val="18"/>
          <w:szCs w:val="18"/>
          <w:vertAlign w:val="superscript"/>
        </w:rPr>
        <w:footnoteRef/>
      </w:r>
      <w:r>
        <w:rPr>
          <w:sz w:val="18"/>
          <w:szCs w:val="18"/>
        </w:rPr>
        <w:t xml:space="preserve">  </w:t>
      </w:r>
      <w:r w:rsidRPr="00EF4DDF">
        <w:rPr>
          <w:color w:val="000000"/>
          <w:sz w:val="18"/>
          <w:szCs w:val="18"/>
        </w:rPr>
        <w:t>Federal Reserve believes that institutions are already complying with Section 222.43(e) as part of their internal procedures, thus burden is considered negligible.</w:t>
      </w:r>
    </w:p>
  </w:footnote>
  <w:footnote w:id="23">
    <w:p w:rsidR="00633919" w:rsidRPr="00600A5D" w:rsidRDefault="00633919" w:rsidP="00600A5D">
      <w:pPr>
        <w:pStyle w:val="FootnoteText"/>
        <w:jc w:val="both"/>
        <w:rPr>
          <w:sz w:val="18"/>
          <w:szCs w:val="18"/>
        </w:rPr>
      </w:pPr>
      <w:r w:rsidRPr="00600A5D">
        <w:rPr>
          <w:rStyle w:val="FootnoteReference"/>
          <w:sz w:val="18"/>
          <w:szCs w:val="18"/>
          <w:vertAlign w:val="superscript"/>
        </w:rPr>
        <w:footnoteRef/>
      </w:r>
      <w:r>
        <w:rPr>
          <w:sz w:val="18"/>
          <w:szCs w:val="18"/>
        </w:rPr>
        <w:t xml:space="preserve">  Of the 1,172</w:t>
      </w:r>
      <w:r w:rsidRPr="00600A5D">
        <w:rPr>
          <w:sz w:val="18"/>
          <w:szCs w:val="18"/>
        </w:rPr>
        <w:t xml:space="preserve"> respondents, </w:t>
      </w:r>
      <w:r>
        <w:rPr>
          <w:sz w:val="18"/>
          <w:szCs w:val="18"/>
        </w:rPr>
        <w:t>400</w:t>
      </w:r>
      <w:r w:rsidRPr="00600A5D">
        <w:rPr>
          <w:sz w:val="18"/>
          <w:szCs w:val="18"/>
        </w:rPr>
        <w:t xml:space="preserve"> are small entities as defined by the Small Business Administration (i.e., entities with less than $175 million in total assets)</w:t>
      </w:r>
      <w:r>
        <w:rPr>
          <w:sz w:val="18"/>
          <w:szCs w:val="18"/>
        </w:rPr>
        <w:t xml:space="preserve"> </w:t>
      </w:r>
      <w:hyperlink r:id="rId1" w:history="1">
        <w:r w:rsidRPr="00600A5D">
          <w:rPr>
            <w:rStyle w:val="Hyperlink"/>
            <w:sz w:val="18"/>
            <w:szCs w:val="18"/>
          </w:rPr>
          <w:t>www.sba.gov/contractingopportunities/officials/size/table/index.html</w:t>
        </w:r>
      </w:hyperlink>
      <w:r w:rsidRPr="00600A5D">
        <w:rPr>
          <w:sz w:val="18"/>
          <w:szCs w:val="18"/>
        </w:rPr>
        <w:t>.</w:t>
      </w:r>
    </w:p>
  </w:footnote>
  <w:footnote w:id="24">
    <w:p w:rsidR="00633919" w:rsidRPr="00600A5D" w:rsidRDefault="00633919" w:rsidP="00957367">
      <w:pPr>
        <w:rPr>
          <w:color w:val="0000FF"/>
          <w:sz w:val="18"/>
          <w:szCs w:val="18"/>
        </w:rPr>
      </w:pPr>
      <w:r w:rsidRPr="00600A5D">
        <w:rPr>
          <w:rStyle w:val="FootnoteReference"/>
          <w:sz w:val="18"/>
          <w:szCs w:val="18"/>
          <w:vertAlign w:val="superscript"/>
        </w:rPr>
        <w:footnoteRef/>
      </w:r>
      <w:r w:rsidRPr="00600A5D">
        <w:rPr>
          <w:sz w:val="18"/>
          <w:szCs w:val="18"/>
        </w:rPr>
        <w:t xml:space="preserve">  The number of respondents was obtained from numbers published in the Board of Governors of the Federal Reserve System 96</w:t>
      </w:r>
      <w:r w:rsidRPr="00600A5D">
        <w:rPr>
          <w:sz w:val="18"/>
          <w:szCs w:val="18"/>
          <w:vertAlign w:val="superscript"/>
        </w:rPr>
        <w:t>th</w:t>
      </w:r>
      <w:r w:rsidRPr="00600A5D">
        <w:rPr>
          <w:sz w:val="18"/>
          <w:szCs w:val="18"/>
        </w:rPr>
        <w:t xml:space="preserve"> Annual Report 2009:  878 </w:t>
      </w:r>
      <w:r w:rsidRPr="00600A5D">
        <w:rPr>
          <w:iCs/>
          <w:sz w:val="18"/>
          <w:szCs w:val="18"/>
        </w:rPr>
        <w:t xml:space="preserve">State member banks, 225 Branches &amp; agencies of foreign banks, 2 </w:t>
      </w:r>
      <w:r w:rsidRPr="00600A5D">
        <w:rPr>
          <w:sz w:val="18"/>
          <w:szCs w:val="18"/>
        </w:rPr>
        <w:t>Commercial lending companies, and 67 Edge and agreement corporations.</w:t>
      </w:r>
    </w:p>
  </w:footnote>
  <w:footnote w:id="25">
    <w:p w:rsidR="00633919" w:rsidRPr="00600A5D" w:rsidRDefault="00633919" w:rsidP="0045579A">
      <w:pPr>
        <w:pStyle w:val="FootnoteText"/>
        <w:rPr>
          <w:sz w:val="18"/>
          <w:szCs w:val="18"/>
        </w:rPr>
      </w:pPr>
      <w:r w:rsidRPr="00600A5D">
        <w:rPr>
          <w:rStyle w:val="FootnoteReference"/>
          <w:sz w:val="18"/>
          <w:szCs w:val="18"/>
          <w:vertAlign w:val="superscript"/>
        </w:rPr>
        <w:footnoteRef/>
      </w:r>
      <w:r w:rsidRPr="00600A5D">
        <w:rPr>
          <w:sz w:val="18"/>
          <w:szCs w:val="18"/>
        </w:rPr>
        <w:t xml:space="preserve"> The Federal Reserve estimated the burden for entities regulated by the Federal Reserve, OCC, FDIC, OTS, NCUA, and HUD pursuant to the FCRA.  Such entities are identified in section 621(b)(1)–(3) of the FCRA (15 U.S.C. 1681s(b)(1)–(3)) and may include, among others, state member banks, national banks, insured nonmember banks, savings associations, federally-chartered credit unions, and other mortgage lending institutions.</w:t>
      </w:r>
    </w:p>
  </w:footnote>
  <w:footnote w:id="26">
    <w:p w:rsidR="00633919" w:rsidRPr="00600A5D" w:rsidRDefault="00633919" w:rsidP="00A95FAB">
      <w:pPr>
        <w:pStyle w:val="FootnoteText"/>
        <w:rPr>
          <w:sz w:val="18"/>
          <w:szCs w:val="18"/>
        </w:rPr>
      </w:pPr>
      <w:r w:rsidRPr="00600A5D">
        <w:rPr>
          <w:rStyle w:val="FootnoteReference"/>
          <w:sz w:val="18"/>
          <w:szCs w:val="18"/>
          <w:vertAlign w:val="superscript"/>
        </w:rPr>
        <w:footnoteRef/>
      </w:r>
      <w:r w:rsidRPr="00600A5D">
        <w:rPr>
          <w:sz w:val="18"/>
          <w:szCs w:val="18"/>
          <w:vertAlign w:val="superscript"/>
        </w:rPr>
        <w:t xml:space="preserve">  </w:t>
      </w:r>
      <w:r w:rsidRPr="00600A5D">
        <w:rPr>
          <w:sz w:val="18"/>
          <w:szCs w:val="18"/>
        </w:rPr>
        <w:t xml:space="preserve">Total cost to the public was estimated using the following formula: percent of staff time, multiplied by annual burden hours, multiplied by hourly rate (75% Office &amp; Administrative Support @ $16 and 25% Financial Managers @ $48).  Hourly rate for each occupational group are the median hourly wages (rounded up) from the Bureau of Labor and Statistics (BLS), Occupational Employment and Wages 2008, </w:t>
      </w:r>
      <w:hyperlink r:id="rId2" w:history="1">
        <w:r w:rsidRPr="00600A5D">
          <w:rPr>
            <w:rStyle w:val="Hyperlink"/>
            <w:sz w:val="18"/>
            <w:szCs w:val="18"/>
          </w:rPr>
          <w:t>www.bls.gov/news.release/ocwage.nr0.htm</w:t>
        </w:r>
      </w:hyperlink>
      <w:r w:rsidRPr="00600A5D">
        <w:rPr>
          <w:sz w:val="18"/>
          <w:szCs w:val="18"/>
        </w:rPr>
        <w:t xml:space="preserve">  Occupations are defined using the BLS Occupational Classification System,  </w:t>
      </w:r>
      <w:hyperlink r:id="rId3" w:history="1">
        <w:r w:rsidRPr="00600A5D">
          <w:rPr>
            <w:rStyle w:val="Hyperlink"/>
            <w:sz w:val="18"/>
            <w:szCs w:val="18"/>
          </w:rPr>
          <w:t>www.bls.gov/soc/</w:t>
        </w:r>
      </w:hyperlink>
      <w:r w:rsidRPr="00600A5D">
        <w:rPr>
          <w:sz w:val="18"/>
          <w:szCs w:val="18"/>
        </w:rPr>
        <w:t xml:space="preserve">  The average consumer cost of $21 is estimated using data from the BLS Economic News Release (USDL-10-0393)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19" w:rsidRPr="00524576" w:rsidRDefault="00633919">
    <w:pPr>
      <w:pStyle w:val="Header"/>
      <w:rPr>
        <w:color w:val="0000FF"/>
      </w:rPr>
    </w:pPr>
  </w:p>
  <w:p w:rsidR="00633919" w:rsidRDefault="006339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40443"/>
    <w:multiLevelType w:val="hybridMultilevel"/>
    <w:tmpl w:val="7E4E1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23F80"/>
    <w:multiLevelType w:val="hybridMultilevel"/>
    <w:tmpl w:val="9ED85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FC7A4C"/>
    <w:multiLevelType w:val="multilevel"/>
    <w:tmpl w:val="40EE3FD8"/>
    <w:lvl w:ilvl="0">
      <w:start w:val="1"/>
      <w:numFmt w:val="upperRoman"/>
      <w:lvlText w:val="%1."/>
      <w:lvlJc w:val="right"/>
      <w:pPr>
        <w:tabs>
          <w:tab w:val="num" w:pos="540"/>
        </w:tabs>
        <w:ind w:left="540" w:hanging="18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289291B"/>
    <w:multiLevelType w:val="hybridMultilevel"/>
    <w:tmpl w:val="6FC6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8E69CD"/>
    <w:multiLevelType w:val="hybridMultilevel"/>
    <w:tmpl w:val="81E8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A10EB7"/>
    <w:multiLevelType w:val="hybridMultilevel"/>
    <w:tmpl w:val="5DE23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DD756E"/>
    <w:multiLevelType w:val="hybridMultilevel"/>
    <w:tmpl w:val="DD3A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610E77"/>
    <w:multiLevelType w:val="hybridMultilevel"/>
    <w:tmpl w:val="0A96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E30C66"/>
    <w:multiLevelType w:val="hybridMultilevel"/>
    <w:tmpl w:val="D3945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8AA1028"/>
    <w:multiLevelType w:val="multilevel"/>
    <w:tmpl w:val="9ED85D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3FA03C1"/>
    <w:multiLevelType w:val="hybridMultilevel"/>
    <w:tmpl w:val="9DDA2E38"/>
    <w:lvl w:ilvl="0" w:tplc="0409001B">
      <w:start w:val="1"/>
      <w:numFmt w:val="lowerRoman"/>
      <w:lvlText w:val="%1."/>
      <w:lvlJc w:val="right"/>
      <w:pPr>
        <w:tabs>
          <w:tab w:val="num" w:pos="1080"/>
        </w:tabs>
        <w:ind w:left="1080" w:hanging="360"/>
      </w:pPr>
      <w:rPr>
        <w:rFonts w:hint="default"/>
      </w:rPr>
    </w:lvl>
    <w:lvl w:ilvl="1" w:tplc="947241C0">
      <w:start w:val="1"/>
      <w:numFmt w:val="lowerRoman"/>
      <w:lvlText w:val="(%2)"/>
      <w:lvlJc w:val="left"/>
      <w:pPr>
        <w:tabs>
          <w:tab w:val="num" w:pos="2160"/>
        </w:tabs>
        <w:ind w:left="2160" w:hanging="72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DD408D7"/>
    <w:multiLevelType w:val="hybridMultilevel"/>
    <w:tmpl w:val="B0346A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2"/>
  </w:num>
  <w:num w:numId="5">
    <w:abstractNumId w:val="0"/>
  </w:num>
  <w:num w:numId="6">
    <w:abstractNumId w:val="11"/>
  </w:num>
  <w:num w:numId="7">
    <w:abstractNumId w:val="3"/>
  </w:num>
  <w:num w:numId="8">
    <w:abstractNumId w:val="7"/>
  </w:num>
  <w:num w:numId="9">
    <w:abstractNumId w:val="5"/>
  </w:num>
  <w:num w:numId="10">
    <w:abstractNumId w:val="4"/>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E95827"/>
    <w:rsid w:val="000031B3"/>
    <w:rsid w:val="00014B35"/>
    <w:rsid w:val="0002584E"/>
    <w:rsid w:val="00037586"/>
    <w:rsid w:val="00041B34"/>
    <w:rsid w:val="00041F18"/>
    <w:rsid w:val="00044413"/>
    <w:rsid w:val="00051F1E"/>
    <w:rsid w:val="00054AC3"/>
    <w:rsid w:val="00055C3B"/>
    <w:rsid w:val="000576DB"/>
    <w:rsid w:val="00061940"/>
    <w:rsid w:val="00062BE6"/>
    <w:rsid w:val="0006326E"/>
    <w:rsid w:val="0006534C"/>
    <w:rsid w:val="000653DB"/>
    <w:rsid w:val="000702B4"/>
    <w:rsid w:val="00077807"/>
    <w:rsid w:val="0008113C"/>
    <w:rsid w:val="00081480"/>
    <w:rsid w:val="00090256"/>
    <w:rsid w:val="00093FA2"/>
    <w:rsid w:val="000A28E6"/>
    <w:rsid w:val="000A2F68"/>
    <w:rsid w:val="000B2D8B"/>
    <w:rsid w:val="000B3F13"/>
    <w:rsid w:val="000B75B7"/>
    <w:rsid w:val="000C19CF"/>
    <w:rsid w:val="000D20AE"/>
    <w:rsid w:val="000E5BA1"/>
    <w:rsid w:val="000E5E2C"/>
    <w:rsid w:val="000F058D"/>
    <w:rsid w:val="000F2B76"/>
    <w:rsid w:val="000F39A3"/>
    <w:rsid w:val="000F547C"/>
    <w:rsid w:val="000F787C"/>
    <w:rsid w:val="0010521B"/>
    <w:rsid w:val="00106664"/>
    <w:rsid w:val="001110ED"/>
    <w:rsid w:val="0011619A"/>
    <w:rsid w:val="00116D51"/>
    <w:rsid w:val="001176F9"/>
    <w:rsid w:val="0012073B"/>
    <w:rsid w:val="00121A42"/>
    <w:rsid w:val="00123530"/>
    <w:rsid w:val="00123F0B"/>
    <w:rsid w:val="00125EA5"/>
    <w:rsid w:val="00131329"/>
    <w:rsid w:val="00131BE0"/>
    <w:rsid w:val="00133F15"/>
    <w:rsid w:val="00135AE1"/>
    <w:rsid w:val="00136A44"/>
    <w:rsid w:val="00146FEF"/>
    <w:rsid w:val="00147B42"/>
    <w:rsid w:val="00147E4F"/>
    <w:rsid w:val="00150B4E"/>
    <w:rsid w:val="00154D09"/>
    <w:rsid w:val="001565F3"/>
    <w:rsid w:val="00161DDF"/>
    <w:rsid w:val="00162967"/>
    <w:rsid w:val="00165D9F"/>
    <w:rsid w:val="00166CA1"/>
    <w:rsid w:val="00170A9D"/>
    <w:rsid w:val="00170D20"/>
    <w:rsid w:val="00171515"/>
    <w:rsid w:val="00174F01"/>
    <w:rsid w:val="001755CE"/>
    <w:rsid w:val="00175FF3"/>
    <w:rsid w:val="00182327"/>
    <w:rsid w:val="00183093"/>
    <w:rsid w:val="00191A80"/>
    <w:rsid w:val="00196E7C"/>
    <w:rsid w:val="001A3E4C"/>
    <w:rsid w:val="001A5B4A"/>
    <w:rsid w:val="001A5DE9"/>
    <w:rsid w:val="001A7C21"/>
    <w:rsid w:val="001B1EC2"/>
    <w:rsid w:val="001B72A3"/>
    <w:rsid w:val="001C37BA"/>
    <w:rsid w:val="001C44FD"/>
    <w:rsid w:val="001C4B43"/>
    <w:rsid w:val="001C603D"/>
    <w:rsid w:val="001C7D94"/>
    <w:rsid w:val="001D0A9B"/>
    <w:rsid w:val="001D1420"/>
    <w:rsid w:val="001D27ED"/>
    <w:rsid w:val="001D4991"/>
    <w:rsid w:val="001E5D2A"/>
    <w:rsid w:val="001F0705"/>
    <w:rsid w:val="001F10E6"/>
    <w:rsid w:val="001F4721"/>
    <w:rsid w:val="001F47C5"/>
    <w:rsid w:val="001F6974"/>
    <w:rsid w:val="001F7B06"/>
    <w:rsid w:val="002018F4"/>
    <w:rsid w:val="002028A8"/>
    <w:rsid w:val="0021177F"/>
    <w:rsid w:val="002126C8"/>
    <w:rsid w:val="002136B6"/>
    <w:rsid w:val="00217FC3"/>
    <w:rsid w:val="002214BE"/>
    <w:rsid w:val="00221D6B"/>
    <w:rsid w:val="0022234A"/>
    <w:rsid w:val="00224E2E"/>
    <w:rsid w:val="00226F73"/>
    <w:rsid w:val="00230B13"/>
    <w:rsid w:val="002339CF"/>
    <w:rsid w:val="00235E3C"/>
    <w:rsid w:val="0024207D"/>
    <w:rsid w:val="002439E0"/>
    <w:rsid w:val="00245E57"/>
    <w:rsid w:val="0025023F"/>
    <w:rsid w:val="00250F84"/>
    <w:rsid w:val="002527C7"/>
    <w:rsid w:val="00255C2D"/>
    <w:rsid w:val="00265027"/>
    <w:rsid w:val="00270411"/>
    <w:rsid w:val="00274DBB"/>
    <w:rsid w:val="00294243"/>
    <w:rsid w:val="002A1C7E"/>
    <w:rsid w:val="002A7EEB"/>
    <w:rsid w:val="002B3617"/>
    <w:rsid w:val="002C5BD4"/>
    <w:rsid w:val="002C7D1C"/>
    <w:rsid w:val="002E1048"/>
    <w:rsid w:val="002E19C8"/>
    <w:rsid w:val="002E4BB4"/>
    <w:rsid w:val="002F37AF"/>
    <w:rsid w:val="002F3E1E"/>
    <w:rsid w:val="0030417E"/>
    <w:rsid w:val="00307312"/>
    <w:rsid w:val="00307578"/>
    <w:rsid w:val="0030765F"/>
    <w:rsid w:val="0031350C"/>
    <w:rsid w:val="00313A6B"/>
    <w:rsid w:val="003147BE"/>
    <w:rsid w:val="00317732"/>
    <w:rsid w:val="00323808"/>
    <w:rsid w:val="00325A19"/>
    <w:rsid w:val="00326660"/>
    <w:rsid w:val="003340AB"/>
    <w:rsid w:val="00344B57"/>
    <w:rsid w:val="00345659"/>
    <w:rsid w:val="0034738A"/>
    <w:rsid w:val="00355FAF"/>
    <w:rsid w:val="003566DD"/>
    <w:rsid w:val="00356B13"/>
    <w:rsid w:val="00356CE2"/>
    <w:rsid w:val="003611FC"/>
    <w:rsid w:val="00362CC7"/>
    <w:rsid w:val="00362E5A"/>
    <w:rsid w:val="00372753"/>
    <w:rsid w:val="00375248"/>
    <w:rsid w:val="003755D1"/>
    <w:rsid w:val="00385DD5"/>
    <w:rsid w:val="00386978"/>
    <w:rsid w:val="00392B05"/>
    <w:rsid w:val="003A0357"/>
    <w:rsid w:val="003A0F9F"/>
    <w:rsid w:val="003A261E"/>
    <w:rsid w:val="003A3099"/>
    <w:rsid w:val="003A41B0"/>
    <w:rsid w:val="003A4402"/>
    <w:rsid w:val="003A5A48"/>
    <w:rsid w:val="003B3E99"/>
    <w:rsid w:val="003B4C85"/>
    <w:rsid w:val="003C182D"/>
    <w:rsid w:val="003C46EC"/>
    <w:rsid w:val="003C4BA2"/>
    <w:rsid w:val="003D0CB8"/>
    <w:rsid w:val="003D154E"/>
    <w:rsid w:val="003D500D"/>
    <w:rsid w:val="003D5506"/>
    <w:rsid w:val="003E33CE"/>
    <w:rsid w:val="003F34ED"/>
    <w:rsid w:val="003F4FA7"/>
    <w:rsid w:val="003F5509"/>
    <w:rsid w:val="00407390"/>
    <w:rsid w:val="004122B1"/>
    <w:rsid w:val="00420598"/>
    <w:rsid w:val="00427FEA"/>
    <w:rsid w:val="00433193"/>
    <w:rsid w:val="00441C2F"/>
    <w:rsid w:val="004455FF"/>
    <w:rsid w:val="00446895"/>
    <w:rsid w:val="00447B67"/>
    <w:rsid w:val="00453B46"/>
    <w:rsid w:val="00453CA5"/>
    <w:rsid w:val="0045579A"/>
    <w:rsid w:val="00465028"/>
    <w:rsid w:val="00465505"/>
    <w:rsid w:val="004714B5"/>
    <w:rsid w:val="00471597"/>
    <w:rsid w:val="00472E66"/>
    <w:rsid w:val="004735FF"/>
    <w:rsid w:val="00476000"/>
    <w:rsid w:val="0048615E"/>
    <w:rsid w:val="00490C9F"/>
    <w:rsid w:val="004916BA"/>
    <w:rsid w:val="004946AD"/>
    <w:rsid w:val="00495202"/>
    <w:rsid w:val="00497908"/>
    <w:rsid w:val="004A08B8"/>
    <w:rsid w:val="004A145F"/>
    <w:rsid w:val="004A7873"/>
    <w:rsid w:val="004B16F0"/>
    <w:rsid w:val="004B260B"/>
    <w:rsid w:val="004B4B00"/>
    <w:rsid w:val="004B4BD7"/>
    <w:rsid w:val="004C1B49"/>
    <w:rsid w:val="004C2412"/>
    <w:rsid w:val="004C3B19"/>
    <w:rsid w:val="004D08AD"/>
    <w:rsid w:val="004F540A"/>
    <w:rsid w:val="004F60FA"/>
    <w:rsid w:val="0050333E"/>
    <w:rsid w:val="00505796"/>
    <w:rsid w:val="00507050"/>
    <w:rsid w:val="005111E0"/>
    <w:rsid w:val="005114E9"/>
    <w:rsid w:val="00516A1A"/>
    <w:rsid w:val="00521D55"/>
    <w:rsid w:val="00521EBC"/>
    <w:rsid w:val="00524576"/>
    <w:rsid w:val="00530174"/>
    <w:rsid w:val="005322DD"/>
    <w:rsid w:val="00534FD3"/>
    <w:rsid w:val="00536D16"/>
    <w:rsid w:val="00537CFC"/>
    <w:rsid w:val="0054322F"/>
    <w:rsid w:val="00544E9B"/>
    <w:rsid w:val="00545726"/>
    <w:rsid w:val="0054640B"/>
    <w:rsid w:val="005470EB"/>
    <w:rsid w:val="00550033"/>
    <w:rsid w:val="0055064D"/>
    <w:rsid w:val="00561698"/>
    <w:rsid w:val="00564606"/>
    <w:rsid w:val="00572365"/>
    <w:rsid w:val="005855DC"/>
    <w:rsid w:val="00586067"/>
    <w:rsid w:val="005942CD"/>
    <w:rsid w:val="00595160"/>
    <w:rsid w:val="0059734C"/>
    <w:rsid w:val="005A124E"/>
    <w:rsid w:val="005A2AE2"/>
    <w:rsid w:val="005A3A72"/>
    <w:rsid w:val="005A509D"/>
    <w:rsid w:val="005A524F"/>
    <w:rsid w:val="005A7576"/>
    <w:rsid w:val="005B16E4"/>
    <w:rsid w:val="005B4C32"/>
    <w:rsid w:val="005B781E"/>
    <w:rsid w:val="005B79B7"/>
    <w:rsid w:val="005C2DAB"/>
    <w:rsid w:val="005C35E2"/>
    <w:rsid w:val="005C3FBC"/>
    <w:rsid w:val="005C4159"/>
    <w:rsid w:val="005C5E71"/>
    <w:rsid w:val="005C649D"/>
    <w:rsid w:val="005C651F"/>
    <w:rsid w:val="005D5CB5"/>
    <w:rsid w:val="005D6F99"/>
    <w:rsid w:val="005E4C31"/>
    <w:rsid w:val="005E5B43"/>
    <w:rsid w:val="005F1CD3"/>
    <w:rsid w:val="005F227C"/>
    <w:rsid w:val="005F28BA"/>
    <w:rsid w:val="005F5BF8"/>
    <w:rsid w:val="00600486"/>
    <w:rsid w:val="00600A5D"/>
    <w:rsid w:val="0060173A"/>
    <w:rsid w:val="00601BE4"/>
    <w:rsid w:val="00602584"/>
    <w:rsid w:val="00610787"/>
    <w:rsid w:val="006108D7"/>
    <w:rsid w:val="00616AD6"/>
    <w:rsid w:val="006179FC"/>
    <w:rsid w:val="006205DF"/>
    <w:rsid w:val="00626ED6"/>
    <w:rsid w:val="00631E0A"/>
    <w:rsid w:val="00633919"/>
    <w:rsid w:val="0064028F"/>
    <w:rsid w:val="0064233A"/>
    <w:rsid w:val="0064334E"/>
    <w:rsid w:val="00644088"/>
    <w:rsid w:val="006446FF"/>
    <w:rsid w:val="0065045C"/>
    <w:rsid w:val="00652119"/>
    <w:rsid w:val="00654264"/>
    <w:rsid w:val="00660816"/>
    <w:rsid w:val="0066085B"/>
    <w:rsid w:val="00667719"/>
    <w:rsid w:val="006710D0"/>
    <w:rsid w:val="00673FA8"/>
    <w:rsid w:val="00676100"/>
    <w:rsid w:val="00676752"/>
    <w:rsid w:val="0068139D"/>
    <w:rsid w:val="00685A05"/>
    <w:rsid w:val="00691B2D"/>
    <w:rsid w:val="00691C07"/>
    <w:rsid w:val="006956CF"/>
    <w:rsid w:val="006957FF"/>
    <w:rsid w:val="006958E3"/>
    <w:rsid w:val="006A077E"/>
    <w:rsid w:val="006A0F8D"/>
    <w:rsid w:val="006A1BD8"/>
    <w:rsid w:val="006B2F12"/>
    <w:rsid w:val="006D240E"/>
    <w:rsid w:val="006D56FA"/>
    <w:rsid w:val="006D71A7"/>
    <w:rsid w:val="006E4AE2"/>
    <w:rsid w:val="006E5E0A"/>
    <w:rsid w:val="006E73CD"/>
    <w:rsid w:val="006E78D2"/>
    <w:rsid w:val="006E7AFF"/>
    <w:rsid w:val="006F3BB2"/>
    <w:rsid w:val="006F5E0F"/>
    <w:rsid w:val="00706D50"/>
    <w:rsid w:val="00707D56"/>
    <w:rsid w:val="00710A63"/>
    <w:rsid w:val="00712A08"/>
    <w:rsid w:val="00722584"/>
    <w:rsid w:val="0072274E"/>
    <w:rsid w:val="007234B3"/>
    <w:rsid w:val="00724D44"/>
    <w:rsid w:val="00725E9B"/>
    <w:rsid w:val="00732380"/>
    <w:rsid w:val="00733153"/>
    <w:rsid w:val="0073721D"/>
    <w:rsid w:val="00740AD7"/>
    <w:rsid w:val="00741453"/>
    <w:rsid w:val="00743013"/>
    <w:rsid w:val="00751F60"/>
    <w:rsid w:val="00753331"/>
    <w:rsid w:val="00753E73"/>
    <w:rsid w:val="0075760D"/>
    <w:rsid w:val="00760486"/>
    <w:rsid w:val="007617C1"/>
    <w:rsid w:val="007623BB"/>
    <w:rsid w:val="00762B70"/>
    <w:rsid w:val="007641FB"/>
    <w:rsid w:val="007701D0"/>
    <w:rsid w:val="0077221E"/>
    <w:rsid w:val="0077300C"/>
    <w:rsid w:val="007836AB"/>
    <w:rsid w:val="00794303"/>
    <w:rsid w:val="007948EF"/>
    <w:rsid w:val="007A07E0"/>
    <w:rsid w:val="007A25FA"/>
    <w:rsid w:val="007A2D48"/>
    <w:rsid w:val="007B395A"/>
    <w:rsid w:val="007B3B02"/>
    <w:rsid w:val="007C02D4"/>
    <w:rsid w:val="007C44B8"/>
    <w:rsid w:val="007C4631"/>
    <w:rsid w:val="007D4D12"/>
    <w:rsid w:val="007D51E2"/>
    <w:rsid w:val="007E02EA"/>
    <w:rsid w:val="007E15D8"/>
    <w:rsid w:val="007E1696"/>
    <w:rsid w:val="007E697A"/>
    <w:rsid w:val="00801701"/>
    <w:rsid w:val="00803211"/>
    <w:rsid w:val="00803C0C"/>
    <w:rsid w:val="00804BA8"/>
    <w:rsid w:val="008068D9"/>
    <w:rsid w:val="00815BA3"/>
    <w:rsid w:val="0081657B"/>
    <w:rsid w:val="00820242"/>
    <w:rsid w:val="00821618"/>
    <w:rsid w:val="00824CFB"/>
    <w:rsid w:val="008265AF"/>
    <w:rsid w:val="008277FE"/>
    <w:rsid w:val="008322B8"/>
    <w:rsid w:val="00833825"/>
    <w:rsid w:val="00834DA0"/>
    <w:rsid w:val="0084028D"/>
    <w:rsid w:val="00842284"/>
    <w:rsid w:val="00844504"/>
    <w:rsid w:val="00844746"/>
    <w:rsid w:val="00845DE5"/>
    <w:rsid w:val="00847898"/>
    <w:rsid w:val="00852663"/>
    <w:rsid w:val="008556C0"/>
    <w:rsid w:val="0085636A"/>
    <w:rsid w:val="00857DC9"/>
    <w:rsid w:val="0086568F"/>
    <w:rsid w:val="00866AFE"/>
    <w:rsid w:val="00866D57"/>
    <w:rsid w:val="00872CA2"/>
    <w:rsid w:val="00873008"/>
    <w:rsid w:val="00873CDB"/>
    <w:rsid w:val="0088017B"/>
    <w:rsid w:val="008867C3"/>
    <w:rsid w:val="00887DAD"/>
    <w:rsid w:val="00891499"/>
    <w:rsid w:val="0089224D"/>
    <w:rsid w:val="00892D8C"/>
    <w:rsid w:val="008A060A"/>
    <w:rsid w:val="008A0E63"/>
    <w:rsid w:val="008A0FF6"/>
    <w:rsid w:val="008A2F40"/>
    <w:rsid w:val="008A2F58"/>
    <w:rsid w:val="008A438C"/>
    <w:rsid w:val="008B2691"/>
    <w:rsid w:val="008B27DA"/>
    <w:rsid w:val="008B5631"/>
    <w:rsid w:val="008C6A33"/>
    <w:rsid w:val="008D23AA"/>
    <w:rsid w:val="008D56A0"/>
    <w:rsid w:val="008E0490"/>
    <w:rsid w:val="008E1247"/>
    <w:rsid w:val="008E43C5"/>
    <w:rsid w:val="008E59F2"/>
    <w:rsid w:val="008F1374"/>
    <w:rsid w:val="008F675B"/>
    <w:rsid w:val="00902D2D"/>
    <w:rsid w:val="00903C7A"/>
    <w:rsid w:val="00912C97"/>
    <w:rsid w:val="00912F1F"/>
    <w:rsid w:val="00915CD3"/>
    <w:rsid w:val="0091660C"/>
    <w:rsid w:val="00916E53"/>
    <w:rsid w:val="00917F1C"/>
    <w:rsid w:val="00920A41"/>
    <w:rsid w:val="00926EBD"/>
    <w:rsid w:val="0093133A"/>
    <w:rsid w:val="0093482F"/>
    <w:rsid w:val="00936E2C"/>
    <w:rsid w:val="009402F8"/>
    <w:rsid w:val="00940C79"/>
    <w:rsid w:val="00942A07"/>
    <w:rsid w:val="009511AF"/>
    <w:rsid w:val="00954E74"/>
    <w:rsid w:val="00957367"/>
    <w:rsid w:val="00965CBF"/>
    <w:rsid w:val="009671E3"/>
    <w:rsid w:val="00971934"/>
    <w:rsid w:val="00975610"/>
    <w:rsid w:val="00983ABE"/>
    <w:rsid w:val="0098447B"/>
    <w:rsid w:val="00985655"/>
    <w:rsid w:val="00991D3D"/>
    <w:rsid w:val="009940FB"/>
    <w:rsid w:val="00994474"/>
    <w:rsid w:val="00995BB9"/>
    <w:rsid w:val="009A61E6"/>
    <w:rsid w:val="009B1063"/>
    <w:rsid w:val="009B37E2"/>
    <w:rsid w:val="009B37F9"/>
    <w:rsid w:val="009C6509"/>
    <w:rsid w:val="009C77A4"/>
    <w:rsid w:val="009D53C7"/>
    <w:rsid w:val="009E19DC"/>
    <w:rsid w:val="009E2C49"/>
    <w:rsid w:val="009F2557"/>
    <w:rsid w:val="009F4BD1"/>
    <w:rsid w:val="009F5330"/>
    <w:rsid w:val="009F7E91"/>
    <w:rsid w:val="00A004D6"/>
    <w:rsid w:val="00A0207D"/>
    <w:rsid w:val="00A10DD8"/>
    <w:rsid w:val="00A17270"/>
    <w:rsid w:val="00A17C32"/>
    <w:rsid w:val="00A21443"/>
    <w:rsid w:val="00A307C6"/>
    <w:rsid w:val="00A30D70"/>
    <w:rsid w:val="00A320EC"/>
    <w:rsid w:val="00A436C8"/>
    <w:rsid w:val="00A43C43"/>
    <w:rsid w:val="00A510AD"/>
    <w:rsid w:val="00A5471B"/>
    <w:rsid w:val="00A54FED"/>
    <w:rsid w:val="00A55EA7"/>
    <w:rsid w:val="00A560ED"/>
    <w:rsid w:val="00A60523"/>
    <w:rsid w:val="00A60E49"/>
    <w:rsid w:val="00A63BB3"/>
    <w:rsid w:val="00A64091"/>
    <w:rsid w:val="00A71C6D"/>
    <w:rsid w:val="00A810E5"/>
    <w:rsid w:val="00A84FA3"/>
    <w:rsid w:val="00A85EE0"/>
    <w:rsid w:val="00A8608E"/>
    <w:rsid w:val="00A9210A"/>
    <w:rsid w:val="00A93170"/>
    <w:rsid w:val="00A95FAB"/>
    <w:rsid w:val="00AA71F9"/>
    <w:rsid w:val="00AB27B8"/>
    <w:rsid w:val="00AB4A49"/>
    <w:rsid w:val="00AB6491"/>
    <w:rsid w:val="00AC1E60"/>
    <w:rsid w:val="00AD570C"/>
    <w:rsid w:val="00AD5E88"/>
    <w:rsid w:val="00AE4432"/>
    <w:rsid w:val="00AF50C5"/>
    <w:rsid w:val="00B01A58"/>
    <w:rsid w:val="00B02AE9"/>
    <w:rsid w:val="00B058B4"/>
    <w:rsid w:val="00B113E6"/>
    <w:rsid w:val="00B153B0"/>
    <w:rsid w:val="00B15CDF"/>
    <w:rsid w:val="00B21A60"/>
    <w:rsid w:val="00B2411D"/>
    <w:rsid w:val="00B253C3"/>
    <w:rsid w:val="00B267F5"/>
    <w:rsid w:val="00B270F1"/>
    <w:rsid w:val="00B27519"/>
    <w:rsid w:val="00B30728"/>
    <w:rsid w:val="00B33A41"/>
    <w:rsid w:val="00B35E48"/>
    <w:rsid w:val="00B46241"/>
    <w:rsid w:val="00B46D2F"/>
    <w:rsid w:val="00B50446"/>
    <w:rsid w:val="00B5156F"/>
    <w:rsid w:val="00B55704"/>
    <w:rsid w:val="00B562C2"/>
    <w:rsid w:val="00B562E2"/>
    <w:rsid w:val="00B5709D"/>
    <w:rsid w:val="00B64EB5"/>
    <w:rsid w:val="00B652BA"/>
    <w:rsid w:val="00B65CB1"/>
    <w:rsid w:val="00B76781"/>
    <w:rsid w:val="00B77118"/>
    <w:rsid w:val="00B84822"/>
    <w:rsid w:val="00B865C1"/>
    <w:rsid w:val="00B900C8"/>
    <w:rsid w:val="00B960A3"/>
    <w:rsid w:val="00BA45B4"/>
    <w:rsid w:val="00BB6711"/>
    <w:rsid w:val="00BC19C8"/>
    <w:rsid w:val="00BC2332"/>
    <w:rsid w:val="00BC3CB7"/>
    <w:rsid w:val="00BC51B3"/>
    <w:rsid w:val="00BC79ED"/>
    <w:rsid w:val="00BD2B33"/>
    <w:rsid w:val="00BD42E9"/>
    <w:rsid w:val="00BE1524"/>
    <w:rsid w:val="00BE5541"/>
    <w:rsid w:val="00BE58F0"/>
    <w:rsid w:val="00BE67F8"/>
    <w:rsid w:val="00BF4F42"/>
    <w:rsid w:val="00BF6CA2"/>
    <w:rsid w:val="00BF7522"/>
    <w:rsid w:val="00C00507"/>
    <w:rsid w:val="00C065DD"/>
    <w:rsid w:val="00C10B33"/>
    <w:rsid w:val="00C1196E"/>
    <w:rsid w:val="00C13713"/>
    <w:rsid w:val="00C139BC"/>
    <w:rsid w:val="00C20A27"/>
    <w:rsid w:val="00C258E3"/>
    <w:rsid w:val="00C2703E"/>
    <w:rsid w:val="00C30100"/>
    <w:rsid w:val="00C32213"/>
    <w:rsid w:val="00C32611"/>
    <w:rsid w:val="00C33188"/>
    <w:rsid w:val="00C33C86"/>
    <w:rsid w:val="00C36DD2"/>
    <w:rsid w:val="00C37772"/>
    <w:rsid w:val="00C44452"/>
    <w:rsid w:val="00C479A7"/>
    <w:rsid w:val="00C50F97"/>
    <w:rsid w:val="00C53930"/>
    <w:rsid w:val="00C54663"/>
    <w:rsid w:val="00C54FF7"/>
    <w:rsid w:val="00C61DB5"/>
    <w:rsid w:val="00C67B31"/>
    <w:rsid w:val="00C72543"/>
    <w:rsid w:val="00C72864"/>
    <w:rsid w:val="00C76AA1"/>
    <w:rsid w:val="00C771E8"/>
    <w:rsid w:val="00C774E7"/>
    <w:rsid w:val="00C82E9A"/>
    <w:rsid w:val="00C87577"/>
    <w:rsid w:val="00C91665"/>
    <w:rsid w:val="00CB5208"/>
    <w:rsid w:val="00CC0145"/>
    <w:rsid w:val="00CC2638"/>
    <w:rsid w:val="00CC32D5"/>
    <w:rsid w:val="00CC3FCC"/>
    <w:rsid w:val="00CD160B"/>
    <w:rsid w:val="00CD179E"/>
    <w:rsid w:val="00CD484D"/>
    <w:rsid w:val="00CD73A2"/>
    <w:rsid w:val="00CD77E4"/>
    <w:rsid w:val="00CE1B55"/>
    <w:rsid w:val="00CE6B54"/>
    <w:rsid w:val="00CE761D"/>
    <w:rsid w:val="00CF1619"/>
    <w:rsid w:val="00CF4F55"/>
    <w:rsid w:val="00CF6095"/>
    <w:rsid w:val="00D01F37"/>
    <w:rsid w:val="00D031BE"/>
    <w:rsid w:val="00D04E41"/>
    <w:rsid w:val="00D07096"/>
    <w:rsid w:val="00D11414"/>
    <w:rsid w:val="00D13E15"/>
    <w:rsid w:val="00D14565"/>
    <w:rsid w:val="00D17C1F"/>
    <w:rsid w:val="00D20697"/>
    <w:rsid w:val="00D3132A"/>
    <w:rsid w:val="00D318AB"/>
    <w:rsid w:val="00D32FCA"/>
    <w:rsid w:val="00D33B39"/>
    <w:rsid w:val="00D361ED"/>
    <w:rsid w:val="00D40A8F"/>
    <w:rsid w:val="00D42C1A"/>
    <w:rsid w:val="00D50CDA"/>
    <w:rsid w:val="00D52393"/>
    <w:rsid w:val="00D57C16"/>
    <w:rsid w:val="00D63A28"/>
    <w:rsid w:val="00D74704"/>
    <w:rsid w:val="00D75CD3"/>
    <w:rsid w:val="00D76974"/>
    <w:rsid w:val="00D76DAA"/>
    <w:rsid w:val="00D847C9"/>
    <w:rsid w:val="00D919E1"/>
    <w:rsid w:val="00D94409"/>
    <w:rsid w:val="00DD2783"/>
    <w:rsid w:val="00DD3B22"/>
    <w:rsid w:val="00DD426E"/>
    <w:rsid w:val="00DD6ABB"/>
    <w:rsid w:val="00DE1563"/>
    <w:rsid w:val="00DE281B"/>
    <w:rsid w:val="00DE341E"/>
    <w:rsid w:val="00DE7183"/>
    <w:rsid w:val="00DF10C2"/>
    <w:rsid w:val="00DF248F"/>
    <w:rsid w:val="00DF3767"/>
    <w:rsid w:val="00E00A9E"/>
    <w:rsid w:val="00E0380C"/>
    <w:rsid w:val="00E12547"/>
    <w:rsid w:val="00E16090"/>
    <w:rsid w:val="00E16D7E"/>
    <w:rsid w:val="00E17024"/>
    <w:rsid w:val="00E2052F"/>
    <w:rsid w:val="00E20B71"/>
    <w:rsid w:val="00E251AE"/>
    <w:rsid w:val="00E37673"/>
    <w:rsid w:val="00E41B23"/>
    <w:rsid w:val="00E46D2E"/>
    <w:rsid w:val="00E47AC6"/>
    <w:rsid w:val="00E50578"/>
    <w:rsid w:val="00E5203B"/>
    <w:rsid w:val="00E520A0"/>
    <w:rsid w:val="00E611B9"/>
    <w:rsid w:val="00E624C5"/>
    <w:rsid w:val="00E635AD"/>
    <w:rsid w:val="00E6764D"/>
    <w:rsid w:val="00E75F3E"/>
    <w:rsid w:val="00E82654"/>
    <w:rsid w:val="00E8644B"/>
    <w:rsid w:val="00E8790E"/>
    <w:rsid w:val="00E9051B"/>
    <w:rsid w:val="00E9147A"/>
    <w:rsid w:val="00E92914"/>
    <w:rsid w:val="00E93114"/>
    <w:rsid w:val="00E94576"/>
    <w:rsid w:val="00E94EC7"/>
    <w:rsid w:val="00E95827"/>
    <w:rsid w:val="00EA16B0"/>
    <w:rsid w:val="00EA34FB"/>
    <w:rsid w:val="00EA4628"/>
    <w:rsid w:val="00EB25E8"/>
    <w:rsid w:val="00EB6C01"/>
    <w:rsid w:val="00EC1138"/>
    <w:rsid w:val="00EC6A70"/>
    <w:rsid w:val="00EC7A12"/>
    <w:rsid w:val="00ED5B80"/>
    <w:rsid w:val="00EE5E8C"/>
    <w:rsid w:val="00EE7D11"/>
    <w:rsid w:val="00EF44AC"/>
    <w:rsid w:val="00EF4DC5"/>
    <w:rsid w:val="00EF4DDF"/>
    <w:rsid w:val="00EF5852"/>
    <w:rsid w:val="00F037E0"/>
    <w:rsid w:val="00F07FA3"/>
    <w:rsid w:val="00F116A2"/>
    <w:rsid w:val="00F13FEC"/>
    <w:rsid w:val="00F2358B"/>
    <w:rsid w:val="00F3177A"/>
    <w:rsid w:val="00F3178A"/>
    <w:rsid w:val="00F3244B"/>
    <w:rsid w:val="00F325EE"/>
    <w:rsid w:val="00F32617"/>
    <w:rsid w:val="00F35425"/>
    <w:rsid w:val="00F420F8"/>
    <w:rsid w:val="00F435AD"/>
    <w:rsid w:val="00F46235"/>
    <w:rsid w:val="00F51987"/>
    <w:rsid w:val="00F51EFD"/>
    <w:rsid w:val="00F5334D"/>
    <w:rsid w:val="00F54CF6"/>
    <w:rsid w:val="00F55DB8"/>
    <w:rsid w:val="00F5750E"/>
    <w:rsid w:val="00F60A02"/>
    <w:rsid w:val="00F61DD9"/>
    <w:rsid w:val="00F63693"/>
    <w:rsid w:val="00F64869"/>
    <w:rsid w:val="00F903A3"/>
    <w:rsid w:val="00F935CA"/>
    <w:rsid w:val="00F9494B"/>
    <w:rsid w:val="00F97D88"/>
    <w:rsid w:val="00FA0248"/>
    <w:rsid w:val="00FA31C3"/>
    <w:rsid w:val="00FB2578"/>
    <w:rsid w:val="00FB2B2B"/>
    <w:rsid w:val="00FB446F"/>
    <w:rsid w:val="00FB4F4D"/>
    <w:rsid w:val="00FB73C5"/>
    <w:rsid w:val="00FC4094"/>
    <w:rsid w:val="00FC7869"/>
    <w:rsid w:val="00FE3C8D"/>
    <w:rsid w:val="00FE5FF0"/>
    <w:rsid w:val="00FE70B5"/>
    <w:rsid w:val="00FF261B"/>
    <w:rsid w:val="00FF26A6"/>
    <w:rsid w:val="00FF71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8A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D08AD"/>
  </w:style>
  <w:style w:type="paragraph" w:styleId="BalloonText">
    <w:name w:val="Balloon Text"/>
    <w:basedOn w:val="Normal"/>
    <w:semiHidden/>
    <w:rsid w:val="009B1063"/>
    <w:rPr>
      <w:rFonts w:ascii="Tahoma" w:hAnsi="Tahoma" w:cs="Tahoma"/>
      <w:sz w:val="16"/>
      <w:szCs w:val="16"/>
    </w:rPr>
  </w:style>
  <w:style w:type="paragraph" w:styleId="FootnoteText">
    <w:name w:val="footnote text"/>
    <w:aliases w:val="ft"/>
    <w:basedOn w:val="Normal"/>
    <w:link w:val="FootnoteTextChar"/>
    <w:semiHidden/>
    <w:rsid w:val="002028A8"/>
    <w:rPr>
      <w:sz w:val="20"/>
      <w:szCs w:val="20"/>
    </w:rPr>
  </w:style>
  <w:style w:type="paragraph" w:styleId="Header">
    <w:name w:val="header"/>
    <w:basedOn w:val="Normal"/>
    <w:link w:val="HeaderChar"/>
    <w:uiPriority w:val="99"/>
    <w:rsid w:val="00866AFE"/>
    <w:pPr>
      <w:tabs>
        <w:tab w:val="center" w:pos="4320"/>
        <w:tab w:val="right" w:pos="8640"/>
      </w:tabs>
    </w:pPr>
  </w:style>
  <w:style w:type="paragraph" w:styleId="Footer">
    <w:name w:val="footer"/>
    <w:basedOn w:val="Normal"/>
    <w:rsid w:val="00866AFE"/>
    <w:pPr>
      <w:tabs>
        <w:tab w:val="center" w:pos="4320"/>
        <w:tab w:val="right" w:pos="8640"/>
      </w:tabs>
    </w:pPr>
  </w:style>
  <w:style w:type="character" w:styleId="PageNumber">
    <w:name w:val="page number"/>
    <w:basedOn w:val="DefaultParagraphFont"/>
    <w:rsid w:val="00D17C1F"/>
  </w:style>
  <w:style w:type="paragraph" w:styleId="NormalWeb">
    <w:name w:val="Normal (Web)"/>
    <w:basedOn w:val="Normal"/>
    <w:uiPriority w:val="99"/>
    <w:rsid w:val="00D94409"/>
    <w:pPr>
      <w:widowControl/>
      <w:autoSpaceDE/>
      <w:autoSpaceDN/>
      <w:adjustRightInd/>
      <w:spacing w:before="100" w:beforeAutospacing="1" w:after="100" w:afterAutospacing="1"/>
    </w:pPr>
  </w:style>
  <w:style w:type="paragraph" w:customStyle="1" w:styleId="Default">
    <w:name w:val="Default"/>
    <w:rsid w:val="00D94409"/>
    <w:pPr>
      <w:autoSpaceDE w:val="0"/>
      <w:autoSpaceDN w:val="0"/>
      <w:adjustRightInd w:val="0"/>
    </w:pPr>
  </w:style>
  <w:style w:type="paragraph" w:customStyle="1" w:styleId="CM5">
    <w:name w:val="CM5"/>
    <w:basedOn w:val="Default"/>
    <w:next w:val="Default"/>
    <w:rsid w:val="00D94409"/>
    <w:pPr>
      <w:spacing w:line="276" w:lineRule="auto"/>
    </w:pPr>
    <w:rPr>
      <w:sz w:val="24"/>
      <w:szCs w:val="24"/>
    </w:rPr>
  </w:style>
  <w:style w:type="table" w:styleId="TableGrid">
    <w:name w:val="Table Grid"/>
    <w:basedOn w:val="TableNormal"/>
    <w:rsid w:val="00E8644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EC7A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autoSpaceDN/>
      <w:adjustRightInd/>
      <w:ind w:left="1440" w:right="1440" w:hanging="1440"/>
    </w:pPr>
    <w:rPr>
      <w:rFonts w:ascii="CG Times" w:hAnsi="CG Times"/>
      <w:snapToGrid w:val="0"/>
      <w:szCs w:val="20"/>
    </w:rPr>
  </w:style>
  <w:style w:type="paragraph" w:styleId="HTMLPreformatted">
    <w:name w:val="HTML Preformatted"/>
    <w:basedOn w:val="Normal"/>
    <w:rsid w:val="00F935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basedOn w:val="DefaultParagraphFont"/>
    <w:rsid w:val="0091660C"/>
    <w:rPr>
      <w:color w:val="0000FF"/>
      <w:u w:val="single"/>
    </w:rPr>
  </w:style>
  <w:style w:type="character" w:styleId="FollowedHyperlink">
    <w:name w:val="FollowedHyperlink"/>
    <w:basedOn w:val="DefaultParagraphFont"/>
    <w:rsid w:val="00375248"/>
    <w:rPr>
      <w:color w:val="800080"/>
      <w:u w:val="single"/>
    </w:rPr>
  </w:style>
  <w:style w:type="character" w:styleId="CommentReference">
    <w:name w:val="annotation reference"/>
    <w:basedOn w:val="DefaultParagraphFont"/>
    <w:semiHidden/>
    <w:rsid w:val="002C5BD4"/>
    <w:rPr>
      <w:sz w:val="16"/>
      <w:szCs w:val="16"/>
    </w:rPr>
  </w:style>
  <w:style w:type="paragraph" w:styleId="CommentText">
    <w:name w:val="annotation text"/>
    <w:basedOn w:val="Normal"/>
    <w:semiHidden/>
    <w:rsid w:val="002C5BD4"/>
    <w:rPr>
      <w:sz w:val="20"/>
      <w:szCs w:val="20"/>
    </w:rPr>
  </w:style>
  <w:style w:type="paragraph" w:styleId="CommentSubject">
    <w:name w:val="annotation subject"/>
    <w:basedOn w:val="CommentText"/>
    <w:next w:val="CommentText"/>
    <w:semiHidden/>
    <w:rsid w:val="002C5BD4"/>
    <w:rPr>
      <w:b/>
      <w:bCs/>
    </w:rPr>
  </w:style>
  <w:style w:type="character" w:customStyle="1" w:styleId="documentbody1">
    <w:name w:val="documentbody1"/>
    <w:basedOn w:val="DefaultParagraphFont"/>
    <w:rsid w:val="00497908"/>
    <w:rPr>
      <w:rFonts w:ascii="Verdana" w:hAnsi="Verdana" w:hint="default"/>
      <w:sz w:val="19"/>
      <w:szCs w:val="19"/>
    </w:rPr>
  </w:style>
  <w:style w:type="character" w:customStyle="1" w:styleId="HeaderChar">
    <w:name w:val="Header Char"/>
    <w:basedOn w:val="DefaultParagraphFont"/>
    <w:link w:val="Header"/>
    <w:uiPriority w:val="99"/>
    <w:rsid w:val="001F7B06"/>
    <w:rPr>
      <w:sz w:val="24"/>
      <w:szCs w:val="24"/>
    </w:rPr>
  </w:style>
  <w:style w:type="paragraph" w:styleId="BodyTextIndent">
    <w:name w:val="Body Text Indent"/>
    <w:basedOn w:val="Normal"/>
    <w:link w:val="BodyTextIndentChar"/>
    <w:rsid w:val="00DD3B22"/>
    <w:pPr>
      <w:autoSpaceDE/>
      <w:autoSpaceDN/>
      <w:adjustRightInd/>
      <w:spacing w:after="240"/>
      <w:ind w:firstLine="720"/>
    </w:pPr>
    <w:rPr>
      <w:snapToGrid w:val="0"/>
      <w:szCs w:val="20"/>
    </w:rPr>
  </w:style>
  <w:style w:type="character" w:customStyle="1" w:styleId="BodyTextIndentChar">
    <w:name w:val="Body Text Indent Char"/>
    <w:basedOn w:val="DefaultParagraphFont"/>
    <w:link w:val="BodyTextIndent"/>
    <w:rsid w:val="00DD3B22"/>
    <w:rPr>
      <w:snapToGrid w:val="0"/>
      <w:sz w:val="24"/>
    </w:rPr>
  </w:style>
  <w:style w:type="character" w:customStyle="1" w:styleId="FootnoteTextChar">
    <w:name w:val="Footnote Text Char"/>
    <w:aliases w:val="ft Char"/>
    <w:basedOn w:val="DefaultParagraphFont"/>
    <w:link w:val="FootnoteText"/>
    <w:semiHidden/>
    <w:rsid w:val="00600A5D"/>
  </w:style>
</w:styles>
</file>

<file path=word/webSettings.xml><?xml version="1.0" encoding="utf-8"?>
<w:webSettings xmlns:r="http://schemas.openxmlformats.org/officeDocument/2006/relationships" xmlns:w="http://schemas.openxmlformats.org/wordprocessingml/2006/main">
  <w:divs>
    <w:div w:id="8997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soc/" TargetMode="External"/><Relationship Id="rId2" Type="http://schemas.openxmlformats.org/officeDocument/2006/relationships/hyperlink" Target="http://www.bls.gov/news.release/ocwage.nr0.htm" TargetMode="External"/><Relationship Id="rId1" Type="http://schemas.openxmlformats.org/officeDocument/2006/relationships/hyperlink" Target="file:///\\drslx1\fr-misc\fr_documents\proposals\Legal\FR%204025%20(Reg%20R)\www.sba.gov\contractingopportunities\officials\size\tabl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5C90-28E9-4EE4-AB60-0887D96B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9</Pages>
  <Words>3472</Words>
  <Characters>19792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BOARD OF GOVERNORS OF THE FEDERAL RESERVE SYSTEM</vt:lpstr>
    </vt:vector>
  </TitlesOfParts>
  <Company>Division of  Research and Statistics</Company>
  <LinksUpToDate>false</LinksUpToDate>
  <CharactersWithSpaces>23218</CharactersWithSpaces>
  <SharedDoc>false</SharedDoc>
  <HLinks>
    <vt:vector size="12" baseType="variant">
      <vt:variant>
        <vt:i4>3866685</vt:i4>
      </vt:variant>
      <vt:variant>
        <vt:i4>3</vt:i4>
      </vt:variant>
      <vt:variant>
        <vt:i4>0</vt:i4>
      </vt:variant>
      <vt:variant>
        <vt:i4>5</vt:i4>
      </vt:variant>
      <vt:variant>
        <vt:lpwstr>http://www.bls.gov/soc/</vt:lpwstr>
      </vt:variant>
      <vt:variant>
        <vt:lpwstr/>
      </vt:variant>
      <vt:variant>
        <vt:i4>8126503</vt:i4>
      </vt:variant>
      <vt:variant>
        <vt:i4>0</vt:i4>
      </vt:variant>
      <vt:variant>
        <vt:i4>0</vt:i4>
      </vt:variant>
      <vt:variant>
        <vt:i4>5</vt:i4>
      </vt:variant>
      <vt:variant>
        <vt:lpwstr>http://www.bls.gov/news.release/ocwage.nr0.htm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GOVERNORS OF THE FEDERAL RESERVE SYSTEM</dc:title>
  <dc:subject/>
  <dc:creator>Nicole S. Padar</dc:creator>
  <cp:keywords/>
  <dc:description/>
  <cp:lastModifiedBy>m1jas00</cp:lastModifiedBy>
  <cp:revision>22</cp:revision>
  <cp:lastPrinted>2010-09-14T18:43:00Z</cp:lastPrinted>
  <dcterms:created xsi:type="dcterms:W3CDTF">2010-08-27T11:21:00Z</dcterms:created>
  <dcterms:modified xsi:type="dcterms:W3CDTF">2010-11-16T19:03:00Z</dcterms:modified>
</cp:coreProperties>
</file>