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40.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41.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1C" w:rsidRPr="001E4474" w:rsidRDefault="0037481C" w:rsidP="0037481C">
      <w:pPr>
        <w:tabs>
          <w:tab w:val="left" w:pos="-1440"/>
          <w:tab w:val="left" w:pos="-720"/>
          <w:tab w:val="left" w:pos="0"/>
          <w:tab w:val="left" w:pos="1080"/>
        </w:tabs>
        <w:ind w:left="1080" w:hanging="1080"/>
        <w:jc w:val="center"/>
        <w:rPr>
          <w:b/>
          <w:bCs/>
        </w:rPr>
      </w:pPr>
      <w:r w:rsidRPr="001E4474">
        <w:rPr>
          <w:b/>
          <w:bCs/>
          <w:color w:val="000000"/>
          <w:szCs w:val="24"/>
        </w:rPr>
        <w:t xml:space="preserve">Supporting Statement for </w:t>
      </w:r>
      <w:r w:rsidRPr="001E4474">
        <w:rPr>
          <w:b/>
          <w:bCs/>
        </w:rPr>
        <w:t xml:space="preserve">the </w:t>
      </w:r>
    </w:p>
    <w:p w:rsidR="00FF53C4" w:rsidRDefault="00411225">
      <w:pPr>
        <w:tabs>
          <w:tab w:val="center" w:pos="4680"/>
        </w:tabs>
        <w:jc w:val="center"/>
        <w:rPr>
          <w:b/>
        </w:rPr>
      </w:pPr>
      <w:r w:rsidRPr="00D95FDD">
        <w:rPr>
          <w:b/>
          <w:szCs w:val="24"/>
        </w:rPr>
        <w:t>Census of Finance Companies</w:t>
      </w:r>
      <w:r w:rsidR="00C13961" w:rsidRPr="00C13961">
        <w:rPr>
          <w:b/>
        </w:rPr>
        <w:t xml:space="preserve"> and Survey of Finance Companies </w:t>
      </w:r>
    </w:p>
    <w:p w:rsidR="0037481C" w:rsidRPr="001E4474" w:rsidRDefault="0037481C" w:rsidP="0037481C">
      <w:pPr>
        <w:tabs>
          <w:tab w:val="left" w:pos="-1440"/>
          <w:tab w:val="left" w:pos="-720"/>
          <w:tab w:val="left" w:pos="0"/>
          <w:tab w:val="left" w:pos="1080"/>
        </w:tabs>
        <w:ind w:left="1080" w:hanging="1080"/>
        <w:jc w:val="center"/>
        <w:rPr>
          <w:b/>
          <w:szCs w:val="24"/>
        </w:rPr>
      </w:pPr>
      <w:r w:rsidRPr="001E4474">
        <w:rPr>
          <w:b/>
          <w:szCs w:val="24"/>
        </w:rPr>
        <w:t>(FR 3033</w:t>
      </w:r>
      <w:r w:rsidR="00411225">
        <w:rPr>
          <w:b/>
          <w:szCs w:val="24"/>
        </w:rPr>
        <w:t>p/s</w:t>
      </w:r>
      <w:r w:rsidRPr="001E4474">
        <w:rPr>
          <w:b/>
          <w:szCs w:val="24"/>
        </w:rPr>
        <w:t>; OMB No. 7100-0277)</w:t>
      </w:r>
    </w:p>
    <w:p w:rsidR="0037481C" w:rsidRPr="001E4474" w:rsidRDefault="0037481C" w:rsidP="0037481C">
      <w:pPr>
        <w:tabs>
          <w:tab w:val="left" w:pos="-1440"/>
          <w:tab w:val="left" w:pos="1080"/>
        </w:tabs>
        <w:rPr>
          <w:b/>
          <w:szCs w:val="24"/>
        </w:rPr>
      </w:pPr>
    </w:p>
    <w:p w:rsidR="005F5BB2" w:rsidRPr="001E4474" w:rsidRDefault="009C758E" w:rsidP="0037481C">
      <w:pPr>
        <w:tabs>
          <w:tab w:val="left" w:pos="-1440"/>
          <w:tab w:val="left" w:pos="1080"/>
        </w:tabs>
        <w:rPr>
          <w:b/>
          <w:szCs w:val="24"/>
        </w:rPr>
      </w:pPr>
      <w:r w:rsidRPr="001E4474">
        <w:rPr>
          <w:b/>
          <w:szCs w:val="24"/>
        </w:rPr>
        <w:t>Summary</w:t>
      </w:r>
    </w:p>
    <w:p w:rsidR="003941BD" w:rsidRPr="001E4474" w:rsidRDefault="003941BD" w:rsidP="0037481C">
      <w:pPr>
        <w:tabs>
          <w:tab w:val="left" w:pos="-1440"/>
          <w:tab w:val="left" w:pos="1080"/>
        </w:tabs>
        <w:rPr>
          <w:b/>
          <w:szCs w:val="24"/>
        </w:rPr>
      </w:pPr>
    </w:p>
    <w:p w:rsidR="00A10944" w:rsidRPr="00D40E5B" w:rsidRDefault="00446E5B" w:rsidP="00446E5B">
      <w:pPr>
        <w:tabs>
          <w:tab w:val="center" w:pos="4680"/>
        </w:tabs>
        <w:ind w:firstLine="720"/>
        <w:rPr>
          <w:szCs w:val="24"/>
        </w:rPr>
      </w:pPr>
      <w:r>
        <w:rPr>
          <w:color w:val="000000"/>
          <w:szCs w:val="24"/>
        </w:rPr>
        <w:tab/>
      </w:r>
      <w:r w:rsidR="0037481C" w:rsidRPr="001E4474">
        <w:rPr>
          <w:color w:val="000000"/>
          <w:szCs w:val="24"/>
        </w:rPr>
        <w:t>The Board of Governors of the Federal Reserve System, under delegated authority from the</w:t>
      </w:r>
      <w:r>
        <w:rPr>
          <w:color w:val="000000"/>
          <w:szCs w:val="24"/>
        </w:rPr>
        <w:t xml:space="preserve"> </w:t>
      </w:r>
      <w:r w:rsidR="0037481C" w:rsidRPr="001E4474">
        <w:rPr>
          <w:color w:val="000000"/>
          <w:szCs w:val="24"/>
        </w:rPr>
        <w:t>Office of Management and Budget (OMB),</w:t>
      </w:r>
      <w:r w:rsidR="00C13961" w:rsidRPr="00C13961">
        <w:rPr>
          <w:color w:val="000000"/>
        </w:rPr>
        <w:t xml:space="preserve"> </w:t>
      </w:r>
      <w:r w:rsidR="00452473" w:rsidRPr="001E4474">
        <w:rPr>
          <w:szCs w:val="24"/>
        </w:rPr>
        <w:t>proposes to revis</w:t>
      </w:r>
      <w:r w:rsidR="00BD7346">
        <w:rPr>
          <w:szCs w:val="24"/>
        </w:rPr>
        <w:t xml:space="preserve">e, the </w:t>
      </w:r>
      <w:r w:rsidR="008377C5" w:rsidRPr="008377C5">
        <w:rPr>
          <w:szCs w:val="24"/>
        </w:rPr>
        <w:t>Census of Finance Companies</w:t>
      </w:r>
      <w:r>
        <w:rPr>
          <w:szCs w:val="24"/>
        </w:rPr>
        <w:t xml:space="preserve"> </w:t>
      </w:r>
      <w:r w:rsidR="008377C5" w:rsidRPr="008377C5">
        <w:t>and Survey of Finance Companies</w:t>
      </w:r>
      <w:r w:rsidR="00452473" w:rsidRPr="001E4474">
        <w:rPr>
          <w:szCs w:val="24"/>
        </w:rPr>
        <w:t>, continuing the regular five-year sur</w:t>
      </w:r>
      <w:r w:rsidR="00452473" w:rsidRPr="00253A6E">
        <w:rPr>
          <w:szCs w:val="24"/>
        </w:rPr>
        <w:t xml:space="preserve">vey series (the </w:t>
      </w:r>
      <w:r>
        <w:rPr>
          <w:szCs w:val="24"/>
        </w:rPr>
        <w:t xml:space="preserve"> </w:t>
      </w:r>
      <w:r w:rsidR="00452473" w:rsidRPr="00253A6E">
        <w:rPr>
          <w:szCs w:val="24"/>
        </w:rPr>
        <w:t>"quinquennial") (FR 3033; OMB No. 7100-0277).</w:t>
      </w:r>
      <w:r w:rsidR="00410840" w:rsidRPr="00253A6E">
        <w:rPr>
          <w:szCs w:val="24"/>
        </w:rPr>
        <w:t xml:space="preserve">  </w:t>
      </w:r>
      <w:r w:rsidR="00A10944" w:rsidRPr="007624B4">
        <w:rPr>
          <w:szCs w:val="24"/>
        </w:rPr>
        <w:t xml:space="preserve">This information collection includes </w:t>
      </w:r>
      <w:r w:rsidR="00A10944">
        <w:rPr>
          <w:szCs w:val="24"/>
        </w:rPr>
        <w:t xml:space="preserve">both </w:t>
      </w:r>
      <w:r w:rsidR="00A10944" w:rsidRPr="007624B4">
        <w:rPr>
          <w:szCs w:val="24"/>
        </w:rPr>
        <w:t xml:space="preserve">the </w:t>
      </w:r>
      <w:r w:rsidR="008377C5" w:rsidRPr="008377C5">
        <w:rPr>
          <w:szCs w:val="24"/>
        </w:rPr>
        <w:t>Census of Finance Companies</w:t>
      </w:r>
      <w:r w:rsidR="008377C5" w:rsidRPr="00C13961">
        <w:rPr>
          <w:b/>
        </w:rPr>
        <w:t xml:space="preserve"> </w:t>
      </w:r>
      <w:r w:rsidR="00A10944" w:rsidRPr="007624B4">
        <w:rPr>
          <w:szCs w:val="24"/>
        </w:rPr>
        <w:t xml:space="preserve">(FR </w:t>
      </w:r>
      <w:r w:rsidR="008377C5" w:rsidRPr="007624B4">
        <w:rPr>
          <w:szCs w:val="24"/>
        </w:rPr>
        <w:t>3033</w:t>
      </w:r>
      <w:r w:rsidR="008377C5">
        <w:rPr>
          <w:szCs w:val="24"/>
        </w:rPr>
        <w:t>p</w:t>
      </w:r>
      <w:r w:rsidR="00A10944" w:rsidRPr="007624B4">
        <w:rPr>
          <w:szCs w:val="24"/>
        </w:rPr>
        <w:t>)</w:t>
      </w:r>
      <w:r w:rsidR="00A10944">
        <w:rPr>
          <w:szCs w:val="24"/>
        </w:rPr>
        <w:t xml:space="preserve"> and the Survey of Finance Companies (FR 3033s). </w:t>
      </w:r>
      <w:r w:rsidR="00A10944" w:rsidRPr="00D40E5B">
        <w:rPr>
          <w:szCs w:val="24"/>
        </w:rPr>
        <w:t xml:space="preserve">The data collected from this voluntary survey would be used to benchmark the consumer and business finance series collected on the monthly Domestic Finance Company Report of Consolidated Assets and Liabilities (FR 2248; OMB No. 7100-0005).  </w:t>
      </w:r>
    </w:p>
    <w:p w:rsidR="00A10944" w:rsidRPr="00D40E5B" w:rsidRDefault="00A10944" w:rsidP="00A10944">
      <w:pPr>
        <w:rPr>
          <w:szCs w:val="24"/>
        </w:rPr>
      </w:pPr>
    </w:p>
    <w:p w:rsidR="00152817" w:rsidRDefault="00A10944" w:rsidP="0037481C">
      <w:pPr>
        <w:tabs>
          <w:tab w:val="left" w:pos="-1440"/>
          <w:tab w:val="left" w:pos="720"/>
          <w:tab w:val="left" w:pos="1080"/>
        </w:tabs>
        <w:rPr>
          <w:szCs w:val="24"/>
        </w:rPr>
      </w:pPr>
      <w:r>
        <w:rPr>
          <w:szCs w:val="24"/>
        </w:rPr>
        <w:tab/>
      </w:r>
      <w:r w:rsidR="001D6EC8" w:rsidRPr="00253A6E">
        <w:rPr>
          <w:szCs w:val="24"/>
        </w:rPr>
        <w:t>The first stage of the quinquennial, the FR 3033p</w:t>
      </w:r>
      <w:r w:rsidR="008377C5">
        <w:rPr>
          <w:szCs w:val="24"/>
        </w:rPr>
        <w:t xml:space="preserve"> </w:t>
      </w:r>
      <w:r w:rsidR="00A411BB" w:rsidRPr="00253A6E">
        <w:rPr>
          <w:szCs w:val="24"/>
        </w:rPr>
        <w:t xml:space="preserve">was implemented </w:t>
      </w:r>
      <w:r w:rsidR="00410840" w:rsidRPr="00253A6E">
        <w:rPr>
          <w:szCs w:val="24"/>
        </w:rPr>
        <w:t>in April 2010.  The FR 3033p was sent to all companies that met the criteria developed to identify the potential universe of domestic finance companies.</w:t>
      </w:r>
      <w:r w:rsidR="00152817">
        <w:rPr>
          <w:szCs w:val="24"/>
        </w:rPr>
        <w:t xml:space="preserve">  </w:t>
      </w:r>
      <w:r w:rsidR="00152817" w:rsidRPr="007624B4">
        <w:rPr>
          <w:snapToGrid/>
          <w:color w:val="000000"/>
          <w:szCs w:val="24"/>
        </w:rPr>
        <w:t xml:space="preserve">An accurate census </w:t>
      </w:r>
      <w:r w:rsidR="008377C5">
        <w:rPr>
          <w:snapToGrid/>
          <w:color w:val="000000"/>
          <w:szCs w:val="24"/>
        </w:rPr>
        <w:t>was</w:t>
      </w:r>
      <w:r w:rsidR="008377C5" w:rsidRPr="007624B4">
        <w:rPr>
          <w:snapToGrid/>
          <w:color w:val="000000"/>
          <w:szCs w:val="24"/>
        </w:rPr>
        <w:t xml:space="preserve"> </w:t>
      </w:r>
      <w:r w:rsidR="00152817" w:rsidRPr="007624B4">
        <w:rPr>
          <w:snapToGrid/>
          <w:color w:val="000000"/>
          <w:szCs w:val="24"/>
        </w:rPr>
        <w:t>required to form a representative sample of finance companies, to which a more detailed survey would be sent.</w:t>
      </w:r>
      <w:r w:rsidR="00152817" w:rsidRPr="007624B4">
        <w:rPr>
          <w:snapToGrid/>
          <w:color w:val="000000"/>
          <w:sz w:val="20"/>
        </w:rPr>
        <w:t xml:space="preserve">  </w:t>
      </w:r>
      <w:r w:rsidR="00152817" w:rsidRPr="007624B4">
        <w:rPr>
          <w:szCs w:val="24"/>
        </w:rPr>
        <w:t>The census gather</w:t>
      </w:r>
      <w:r w:rsidR="00152817">
        <w:rPr>
          <w:szCs w:val="24"/>
        </w:rPr>
        <w:t>ed</w:t>
      </w:r>
      <w:r w:rsidR="00152817" w:rsidRPr="007624B4">
        <w:rPr>
          <w:szCs w:val="24"/>
        </w:rPr>
        <w:t xml:space="preserve"> limited information including total assets, areas of specialization, and information on the corporate structure of the companies.  The Federal Reserve identified approximately 30,000 firms to which the census </w:t>
      </w:r>
      <w:r w:rsidR="00152817">
        <w:rPr>
          <w:szCs w:val="24"/>
        </w:rPr>
        <w:t>was</w:t>
      </w:r>
      <w:r w:rsidR="00152817" w:rsidRPr="007624B4">
        <w:rPr>
          <w:szCs w:val="24"/>
        </w:rPr>
        <w:t xml:space="preserve"> sent.  </w:t>
      </w:r>
      <w:r w:rsidR="00410840" w:rsidRPr="00253A6E">
        <w:rPr>
          <w:szCs w:val="24"/>
        </w:rPr>
        <w:t xml:space="preserve">  </w:t>
      </w:r>
    </w:p>
    <w:p w:rsidR="00152817" w:rsidRDefault="00152817" w:rsidP="0037481C">
      <w:pPr>
        <w:tabs>
          <w:tab w:val="left" w:pos="-1440"/>
          <w:tab w:val="left" w:pos="720"/>
          <w:tab w:val="left" w:pos="1080"/>
        </w:tabs>
        <w:rPr>
          <w:szCs w:val="24"/>
        </w:rPr>
      </w:pPr>
    </w:p>
    <w:p w:rsidR="005F5BB2" w:rsidRPr="00253A6E" w:rsidRDefault="00152817" w:rsidP="0037481C">
      <w:pPr>
        <w:tabs>
          <w:tab w:val="left" w:pos="-1440"/>
          <w:tab w:val="left" w:pos="720"/>
          <w:tab w:val="left" w:pos="1080"/>
        </w:tabs>
        <w:rPr>
          <w:b/>
          <w:szCs w:val="24"/>
        </w:rPr>
      </w:pPr>
      <w:r>
        <w:rPr>
          <w:szCs w:val="24"/>
        </w:rPr>
        <w:tab/>
      </w:r>
      <w:r w:rsidR="00410840" w:rsidRPr="00253A6E">
        <w:rPr>
          <w:szCs w:val="24"/>
        </w:rPr>
        <w:t>From the universe of finance companies as determined by the FR 3033p, a stratified random sample of 3,000 finance companies would be drawn for the FR 3033s.</w:t>
      </w:r>
      <w:r w:rsidR="00FB0EB4" w:rsidRPr="00253A6E">
        <w:rPr>
          <w:szCs w:val="24"/>
        </w:rPr>
        <w:t xml:space="preserve">  </w:t>
      </w:r>
      <w:r w:rsidR="00452473" w:rsidRPr="00253A6E">
        <w:rPr>
          <w:szCs w:val="24"/>
        </w:rPr>
        <w:t xml:space="preserve">The </w:t>
      </w:r>
      <w:r w:rsidR="001D6EC8" w:rsidRPr="00253A6E">
        <w:rPr>
          <w:szCs w:val="24"/>
        </w:rPr>
        <w:t>survey</w:t>
      </w:r>
      <w:r w:rsidR="00361382" w:rsidRPr="00253A6E">
        <w:rPr>
          <w:szCs w:val="24"/>
        </w:rPr>
        <w:t xml:space="preserve"> </w:t>
      </w:r>
      <w:r w:rsidR="006B6616" w:rsidRPr="00253A6E">
        <w:rPr>
          <w:szCs w:val="24"/>
        </w:rPr>
        <w:t>would</w:t>
      </w:r>
      <w:r w:rsidR="00902A79" w:rsidRPr="00253A6E">
        <w:rPr>
          <w:szCs w:val="24"/>
        </w:rPr>
        <w:t xml:space="preserve"> be sent in </w:t>
      </w:r>
      <w:r w:rsidR="001D6EC8" w:rsidRPr="00253A6E">
        <w:rPr>
          <w:szCs w:val="24"/>
        </w:rPr>
        <w:t xml:space="preserve">February 2011 </w:t>
      </w:r>
      <w:r w:rsidR="00410840" w:rsidRPr="00253A6E">
        <w:rPr>
          <w:szCs w:val="24"/>
        </w:rPr>
        <w:t>and c</w:t>
      </w:r>
      <w:r w:rsidR="001865DF" w:rsidRPr="00253A6E">
        <w:rPr>
          <w:szCs w:val="24"/>
        </w:rPr>
        <w:t xml:space="preserve">ollect detailed information, as of December 31, 2010, from both sides of the respondents' balance sheets, as well as companies’ geographic scope of operations and servicing activities.  </w:t>
      </w:r>
      <w:r w:rsidR="001D6EC8" w:rsidRPr="00253A6E">
        <w:rPr>
          <w:szCs w:val="24"/>
        </w:rPr>
        <w:t xml:space="preserve">The data collected from this voluntary survey would be used for two purposes: to benchmark the consumer and business finance series collected on the monthly Domestic Finance Company Report of Consolidated Assets and Liabilities (FR 2248; OMB No. 7100-0005) and to increase </w:t>
      </w:r>
      <w:r w:rsidR="00462977" w:rsidRPr="00253A6E">
        <w:rPr>
          <w:szCs w:val="24"/>
        </w:rPr>
        <w:t>the Federal Reserve’s</w:t>
      </w:r>
      <w:r w:rsidR="001D6EC8" w:rsidRPr="00253A6E">
        <w:rPr>
          <w:szCs w:val="24"/>
        </w:rPr>
        <w:t xml:space="preserve"> understanding of an important part of the financial system.</w:t>
      </w:r>
      <w:bookmarkStart w:id="0" w:name="OLE_LINK1"/>
    </w:p>
    <w:p w:rsidR="005F5BB2" w:rsidRPr="00253A6E" w:rsidRDefault="005F5BB2" w:rsidP="005F5BB2">
      <w:pPr>
        <w:tabs>
          <w:tab w:val="left" w:pos="-1440"/>
          <w:tab w:val="left" w:pos="1080"/>
        </w:tabs>
        <w:rPr>
          <w:b/>
          <w:szCs w:val="24"/>
        </w:rPr>
      </w:pPr>
    </w:p>
    <w:p w:rsidR="00FF53C4" w:rsidRDefault="008377C5" w:rsidP="008377C5">
      <w:pPr>
        <w:ind w:firstLine="720"/>
        <w:rPr>
          <w:b/>
          <w:szCs w:val="24"/>
        </w:rPr>
      </w:pPr>
      <w:r>
        <w:rPr>
          <w:szCs w:val="24"/>
        </w:rPr>
        <w:t>T</w:t>
      </w:r>
      <w:r w:rsidR="009C758E" w:rsidRPr="00253A6E">
        <w:rPr>
          <w:szCs w:val="24"/>
        </w:rPr>
        <w:t xml:space="preserve">he </w:t>
      </w:r>
      <w:r w:rsidR="00A411BB" w:rsidRPr="00253A6E">
        <w:rPr>
          <w:szCs w:val="24"/>
        </w:rPr>
        <w:t>Federal Reserve</w:t>
      </w:r>
      <w:r w:rsidR="009C758E" w:rsidRPr="00253A6E">
        <w:rPr>
          <w:szCs w:val="24"/>
        </w:rPr>
        <w:t xml:space="preserve"> proposes </w:t>
      </w:r>
      <w:r>
        <w:rPr>
          <w:szCs w:val="24"/>
        </w:rPr>
        <w:t>the following differences between the proposed FR 3033s and the 2005 survey</w:t>
      </w:r>
      <w:r w:rsidR="001B685E" w:rsidRPr="00253A6E">
        <w:rPr>
          <w:szCs w:val="24"/>
        </w:rPr>
        <w:t>:</w:t>
      </w:r>
      <w:r w:rsidR="00C36149" w:rsidRPr="00253A6E">
        <w:rPr>
          <w:szCs w:val="24"/>
        </w:rPr>
        <w:t xml:space="preserve"> </w:t>
      </w:r>
      <w:r w:rsidR="00745655" w:rsidRPr="00253A6E">
        <w:rPr>
          <w:szCs w:val="24"/>
        </w:rPr>
        <w:t>(1)</w:t>
      </w:r>
      <w:r w:rsidR="00BB6334" w:rsidRPr="00253A6E">
        <w:rPr>
          <w:szCs w:val="24"/>
        </w:rPr>
        <w:t xml:space="preserve"> </w:t>
      </w:r>
      <w:r w:rsidR="00820503" w:rsidRPr="00253A6E">
        <w:rPr>
          <w:szCs w:val="24"/>
        </w:rPr>
        <w:t>increasing the respondent panel size from 7</w:t>
      </w:r>
      <w:r w:rsidR="005548F0" w:rsidRPr="00253A6E">
        <w:rPr>
          <w:szCs w:val="24"/>
        </w:rPr>
        <w:t>5</w:t>
      </w:r>
      <w:r w:rsidR="00820503" w:rsidRPr="00253A6E">
        <w:rPr>
          <w:szCs w:val="24"/>
        </w:rPr>
        <w:t>0 to 3,000</w:t>
      </w:r>
      <w:r w:rsidR="00922014" w:rsidRPr="00253A6E">
        <w:rPr>
          <w:szCs w:val="24"/>
        </w:rPr>
        <w:t>,</w:t>
      </w:r>
      <w:r w:rsidR="00DB47FB" w:rsidRPr="00253A6E">
        <w:rPr>
          <w:szCs w:val="24"/>
        </w:rPr>
        <w:t xml:space="preserve"> </w:t>
      </w:r>
      <w:r w:rsidR="00BB6334" w:rsidRPr="00253A6E">
        <w:rPr>
          <w:szCs w:val="24"/>
        </w:rPr>
        <w:t>(2)</w:t>
      </w:r>
      <w:r w:rsidR="00820503" w:rsidRPr="00253A6E">
        <w:rPr>
          <w:szCs w:val="24"/>
        </w:rPr>
        <w:t xml:space="preserve"> </w:t>
      </w:r>
      <w:r w:rsidR="000A089E" w:rsidRPr="00253A6E">
        <w:rPr>
          <w:szCs w:val="24"/>
        </w:rPr>
        <w:t xml:space="preserve">adding a section to </w:t>
      </w:r>
      <w:r w:rsidR="00820503" w:rsidRPr="00253A6E">
        <w:rPr>
          <w:szCs w:val="24"/>
        </w:rPr>
        <w:t>solicit information on servicing activities and geographic distribution of the company’s activities</w:t>
      </w:r>
      <w:r w:rsidR="00922014" w:rsidRPr="00253A6E">
        <w:rPr>
          <w:szCs w:val="24"/>
        </w:rPr>
        <w:t>,</w:t>
      </w:r>
      <w:r w:rsidR="008441FD" w:rsidRPr="00253A6E">
        <w:rPr>
          <w:szCs w:val="24"/>
        </w:rPr>
        <w:t xml:space="preserve"> </w:t>
      </w:r>
      <w:r w:rsidR="00080D55" w:rsidRPr="00253A6E">
        <w:rPr>
          <w:szCs w:val="24"/>
        </w:rPr>
        <w:t>(</w:t>
      </w:r>
      <w:r w:rsidR="002039DF" w:rsidRPr="00253A6E">
        <w:rPr>
          <w:szCs w:val="24"/>
        </w:rPr>
        <w:t>3</w:t>
      </w:r>
      <w:r w:rsidR="00080D55" w:rsidRPr="00253A6E">
        <w:rPr>
          <w:szCs w:val="24"/>
        </w:rPr>
        <w:t xml:space="preserve">) </w:t>
      </w:r>
      <w:r w:rsidR="002067DF" w:rsidRPr="00253A6E">
        <w:rPr>
          <w:szCs w:val="24"/>
        </w:rPr>
        <w:t>changing the survey title</w:t>
      </w:r>
      <w:r w:rsidR="00922014" w:rsidRPr="00253A6E">
        <w:rPr>
          <w:szCs w:val="24"/>
        </w:rPr>
        <w:t>,</w:t>
      </w:r>
      <w:r w:rsidR="008441FD" w:rsidRPr="00253A6E">
        <w:rPr>
          <w:szCs w:val="24"/>
        </w:rPr>
        <w:t xml:space="preserve"> </w:t>
      </w:r>
      <w:r w:rsidR="00782135" w:rsidRPr="00253A6E">
        <w:rPr>
          <w:szCs w:val="24"/>
        </w:rPr>
        <w:t>(4)</w:t>
      </w:r>
      <w:r w:rsidR="002067DF" w:rsidRPr="00253A6E">
        <w:rPr>
          <w:szCs w:val="24"/>
        </w:rPr>
        <w:t xml:space="preserve"> revising the reporting form by reordering the asset and liability data items from most liquid to least liquid and asking for additional detail on assets and liabilities</w:t>
      </w:r>
      <w:r w:rsidR="00922014" w:rsidRPr="00253A6E">
        <w:rPr>
          <w:szCs w:val="24"/>
        </w:rPr>
        <w:t>,</w:t>
      </w:r>
      <w:r w:rsidR="00253703" w:rsidRPr="00253A6E">
        <w:rPr>
          <w:szCs w:val="24"/>
        </w:rPr>
        <w:t xml:space="preserve"> </w:t>
      </w:r>
      <w:r w:rsidR="00A15C2D" w:rsidRPr="00253A6E">
        <w:rPr>
          <w:szCs w:val="24"/>
        </w:rPr>
        <w:t xml:space="preserve">and </w:t>
      </w:r>
      <w:r w:rsidR="00253703" w:rsidRPr="00253A6E">
        <w:rPr>
          <w:szCs w:val="24"/>
        </w:rPr>
        <w:t>(5)</w:t>
      </w:r>
      <w:r w:rsidR="002067DF" w:rsidRPr="00253A6E">
        <w:rPr>
          <w:szCs w:val="24"/>
        </w:rPr>
        <w:t xml:space="preserve"> </w:t>
      </w:r>
      <w:r w:rsidR="002B2A25" w:rsidRPr="00253A6E">
        <w:rPr>
          <w:szCs w:val="24"/>
        </w:rPr>
        <w:t>a</w:t>
      </w:r>
      <w:r w:rsidR="002067DF" w:rsidRPr="00253A6E">
        <w:rPr>
          <w:szCs w:val="24"/>
        </w:rPr>
        <w:t xml:space="preserve">dding </w:t>
      </w:r>
      <w:r w:rsidR="00DB43FE" w:rsidRPr="00253A6E">
        <w:rPr>
          <w:szCs w:val="24"/>
        </w:rPr>
        <w:t>two</w:t>
      </w:r>
      <w:r w:rsidR="002067DF" w:rsidRPr="00253A6E">
        <w:rPr>
          <w:szCs w:val="24"/>
        </w:rPr>
        <w:t xml:space="preserve"> column</w:t>
      </w:r>
      <w:r w:rsidR="00DB43FE" w:rsidRPr="00253A6E">
        <w:rPr>
          <w:szCs w:val="24"/>
        </w:rPr>
        <w:t>s</w:t>
      </w:r>
      <w:r w:rsidR="002067DF" w:rsidRPr="00253A6E">
        <w:rPr>
          <w:szCs w:val="24"/>
        </w:rPr>
        <w:t xml:space="preserve"> to create a clearer distinction </w:t>
      </w:r>
      <w:r w:rsidR="00646DBE" w:rsidRPr="00253A6E">
        <w:rPr>
          <w:szCs w:val="24"/>
        </w:rPr>
        <w:t xml:space="preserve">among </w:t>
      </w:r>
      <w:r w:rsidR="002067DF" w:rsidRPr="00253A6E">
        <w:rPr>
          <w:szCs w:val="24"/>
        </w:rPr>
        <w:t>the broad balance sheet data items</w:t>
      </w:r>
      <w:r w:rsidR="00DB43FE" w:rsidRPr="00253A6E">
        <w:rPr>
          <w:szCs w:val="24"/>
        </w:rPr>
        <w:t>,</w:t>
      </w:r>
      <w:r w:rsidR="002067DF" w:rsidRPr="00253A6E">
        <w:rPr>
          <w:szCs w:val="24"/>
        </w:rPr>
        <w:t xml:space="preserve"> </w:t>
      </w:r>
      <w:r w:rsidR="00DB43FE" w:rsidRPr="00253A6E">
        <w:rPr>
          <w:szCs w:val="24"/>
        </w:rPr>
        <w:t>detailed loan and lease data items, and off-balance-sheet securitization</w:t>
      </w:r>
      <w:r w:rsidR="00646DBE" w:rsidRPr="00253A6E">
        <w:rPr>
          <w:szCs w:val="24"/>
        </w:rPr>
        <w:t xml:space="preserve"> data</w:t>
      </w:r>
      <w:r w:rsidR="00DB43FE" w:rsidRPr="00253A6E">
        <w:rPr>
          <w:szCs w:val="24"/>
        </w:rPr>
        <w:t xml:space="preserve"> items</w:t>
      </w:r>
      <w:bookmarkEnd w:id="0"/>
      <w:r w:rsidR="00F403C3" w:rsidRPr="00253A6E">
        <w:rPr>
          <w:szCs w:val="24"/>
        </w:rPr>
        <w:t xml:space="preserve">.  </w:t>
      </w:r>
      <w:r w:rsidR="006C2865" w:rsidRPr="00253A6E">
        <w:rPr>
          <w:szCs w:val="24"/>
        </w:rPr>
        <w:t xml:space="preserve">Based on an estimated response rate of 60 percent, 1,800 of the 3,000 companies would complete the FR 3033s; the reporting burden </w:t>
      </w:r>
      <w:r w:rsidR="00636E5A">
        <w:rPr>
          <w:szCs w:val="24"/>
        </w:rPr>
        <w:t xml:space="preserve">for the FR 3033s </w:t>
      </w:r>
      <w:r w:rsidR="006C2865" w:rsidRPr="00253A6E">
        <w:rPr>
          <w:szCs w:val="24"/>
        </w:rPr>
        <w:t>is estimated to be</w:t>
      </w:r>
      <w:r w:rsidR="0004728E" w:rsidRPr="00253A6E">
        <w:rPr>
          <w:szCs w:val="24"/>
        </w:rPr>
        <w:t xml:space="preserve"> 2,700 </w:t>
      </w:r>
      <w:r w:rsidR="006C2865" w:rsidRPr="00253A6E">
        <w:rPr>
          <w:szCs w:val="24"/>
        </w:rPr>
        <w:t xml:space="preserve">hours. </w:t>
      </w:r>
      <w:r w:rsidR="00636E5A">
        <w:rPr>
          <w:szCs w:val="24"/>
        </w:rPr>
        <w:t xml:space="preserve">The total annual burden for the FR 3033 information collection is estimated to </w:t>
      </w:r>
      <w:r w:rsidR="00D60A82">
        <w:rPr>
          <w:szCs w:val="24"/>
        </w:rPr>
        <w:t xml:space="preserve">increase from 6,000 to </w:t>
      </w:r>
      <w:r w:rsidR="00636E5A">
        <w:rPr>
          <w:szCs w:val="24"/>
        </w:rPr>
        <w:t>8,700 hours.</w:t>
      </w:r>
    </w:p>
    <w:p w:rsidR="00755410" w:rsidRDefault="00755410" w:rsidP="00452473">
      <w:pPr>
        <w:rPr>
          <w:b/>
          <w:szCs w:val="24"/>
        </w:rPr>
      </w:pPr>
    </w:p>
    <w:p w:rsidR="008377C5" w:rsidRDefault="008377C5" w:rsidP="00452473">
      <w:pPr>
        <w:rPr>
          <w:b/>
          <w:szCs w:val="24"/>
        </w:rPr>
      </w:pPr>
    </w:p>
    <w:p w:rsidR="00452473" w:rsidRPr="00253A6E" w:rsidRDefault="00452473" w:rsidP="00452473">
      <w:pPr>
        <w:rPr>
          <w:b/>
          <w:szCs w:val="24"/>
        </w:rPr>
      </w:pPr>
      <w:r w:rsidRPr="00253A6E">
        <w:rPr>
          <w:b/>
          <w:szCs w:val="24"/>
        </w:rPr>
        <w:t>Background and Justification</w:t>
      </w:r>
    </w:p>
    <w:p w:rsidR="002A1CBA" w:rsidRPr="00253A6E" w:rsidRDefault="002A1CBA" w:rsidP="00452473">
      <w:pPr>
        <w:rPr>
          <w:szCs w:val="24"/>
        </w:rPr>
      </w:pPr>
    </w:p>
    <w:p w:rsidR="002A1CBA" w:rsidRPr="00253A6E" w:rsidRDefault="002A1CBA" w:rsidP="000D78D2">
      <w:pPr>
        <w:ind w:firstLine="720"/>
        <w:rPr>
          <w:szCs w:val="24"/>
        </w:rPr>
      </w:pPr>
      <w:r w:rsidRPr="00253A6E">
        <w:rPr>
          <w:szCs w:val="24"/>
        </w:rPr>
        <w:t xml:space="preserve">Since June 1955, the Federal Reserve System has surveyed the assets and liabilities of finance companies at five-year intervals. </w:t>
      </w:r>
      <w:r w:rsidR="0099152D" w:rsidRPr="00253A6E">
        <w:rPr>
          <w:szCs w:val="24"/>
        </w:rPr>
        <w:t xml:space="preserve"> </w:t>
      </w:r>
      <w:r w:rsidR="00897CD3" w:rsidRPr="00253A6E">
        <w:rPr>
          <w:szCs w:val="24"/>
        </w:rPr>
        <w:t xml:space="preserve">For purposes of this survey, finance companies </w:t>
      </w:r>
      <w:r w:rsidR="006579F3" w:rsidRPr="00253A6E">
        <w:rPr>
          <w:szCs w:val="24"/>
        </w:rPr>
        <w:t xml:space="preserve">are </w:t>
      </w:r>
      <w:r w:rsidR="00897CD3" w:rsidRPr="00253A6E">
        <w:rPr>
          <w:szCs w:val="24"/>
        </w:rPr>
        <w:t xml:space="preserve">defined as companies </w:t>
      </w:r>
      <w:r w:rsidR="00094C9F" w:rsidRPr="00253A6E">
        <w:rPr>
          <w:szCs w:val="24"/>
        </w:rPr>
        <w:t>(</w:t>
      </w:r>
      <w:r w:rsidR="00094C9F" w:rsidRPr="00253A6E">
        <w:rPr>
          <w:color w:val="231F20"/>
          <w:szCs w:val="24"/>
        </w:rPr>
        <w:t>excluding commercial banks, cooperative banks, investment banks, savings banks, savings and loan institutions and industrial loan corporations or their subsidiaries</w:t>
      </w:r>
      <w:r w:rsidR="00D24D9C" w:rsidRPr="00253A6E">
        <w:rPr>
          <w:color w:val="231F20"/>
          <w:szCs w:val="24"/>
        </w:rPr>
        <w:t xml:space="preserve">, but </w:t>
      </w:r>
      <w:r w:rsidR="00D24D9C" w:rsidRPr="00253A6E">
        <w:rPr>
          <w:szCs w:val="24"/>
        </w:rPr>
        <w:t>including subsidiaries of bank holding companies (BHC) or foreign banking organizations (FBO)</w:t>
      </w:r>
      <w:r w:rsidR="00D24D9C" w:rsidRPr="00253A6E">
        <w:rPr>
          <w:rStyle w:val="FootnoteReference"/>
          <w:szCs w:val="24"/>
        </w:rPr>
        <w:footnoteReference w:id="1"/>
      </w:r>
      <w:r w:rsidR="00094C9F" w:rsidRPr="00253A6E">
        <w:rPr>
          <w:szCs w:val="24"/>
        </w:rPr>
        <w:t>)</w:t>
      </w:r>
      <w:r w:rsidR="00936B7A" w:rsidRPr="00253A6E">
        <w:rPr>
          <w:szCs w:val="24"/>
        </w:rPr>
        <w:t xml:space="preserve"> </w:t>
      </w:r>
      <w:r w:rsidR="00897CD3" w:rsidRPr="00253A6E">
        <w:rPr>
          <w:color w:val="231F20"/>
          <w:szCs w:val="24"/>
        </w:rPr>
        <w:t>whose consumer or business loan</w:t>
      </w:r>
      <w:r w:rsidR="00CD1522" w:rsidRPr="00253A6E">
        <w:rPr>
          <w:color w:val="231F20"/>
          <w:szCs w:val="24"/>
        </w:rPr>
        <w:t>s</w:t>
      </w:r>
      <w:r w:rsidR="00897CD3" w:rsidRPr="00253A6E">
        <w:rPr>
          <w:color w:val="231F20"/>
          <w:szCs w:val="24"/>
        </w:rPr>
        <w:t xml:space="preserve"> or leases</w:t>
      </w:r>
      <w:r w:rsidR="00E956AE" w:rsidRPr="00253A6E">
        <w:rPr>
          <w:color w:val="231F20"/>
          <w:szCs w:val="24"/>
        </w:rPr>
        <w:t xml:space="preserve"> made up 50 percent or more of their assets</w:t>
      </w:r>
      <w:r w:rsidR="00897CD3" w:rsidRPr="00253A6E">
        <w:rPr>
          <w:color w:val="231F20"/>
          <w:szCs w:val="24"/>
        </w:rPr>
        <w:t>.</w:t>
      </w:r>
      <w:r w:rsidR="00897CD3" w:rsidRPr="00253A6E">
        <w:rPr>
          <w:szCs w:val="24"/>
        </w:rPr>
        <w:t xml:space="preserve"> </w:t>
      </w:r>
      <w:r w:rsidR="0099152D" w:rsidRPr="00253A6E">
        <w:rPr>
          <w:szCs w:val="24"/>
        </w:rPr>
        <w:t xml:space="preserve"> </w:t>
      </w:r>
      <w:r w:rsidRPr="00253A6E">
        <w:rPr>
          <w:szCs w:val="24"/>
        </w:rPr>
        <w:t xml:space="preserve">Through 1975, the known universe of finance companies was surveyed. </w:t>
      </w:r>
      <w:r w:rsidR="0099152D" w:rsidRPr="00253A6E">
        <w:rPr>
          <w:szCs w:val="24"/>
        </w:rPr>
        <w:t xml:space="preserve"> </w:t>
      </w:r>
      <w:r w:rsidRPr="00253A6E">
        <w:rPr>
          <w:szCs w:val="24"/>
        </w:rPr>
        <w:t xml:space="preserve">To reduce reporting burden, in 1980 the survey was split into an extremely brief </w:t>
      </w:r>
      <w:r w:rsidR="00C10350" w:rsidRPr="00253A6E">
        <w:rPr>
          <w:szCs w:val="24"/>
        </w:rPr>
        <w:t>census</w:t>
      </w:r>
      <w:r w:rsidRPr="00253A6E">
        <w:rPr>
          <w:szCs w:val="24"/>
        </w:rPr>
        <w:t>, which has been sent to the known universe of finance companies, and a longer survey, which has been sent to a stratified random sample of finance companies</w:t>
      </w:r>
      <w:r w:rsidR="00C10350" w:rsidRPr="00253A6E">
        <w:rPr>
          <w:szCs w:val="24"/>
        </w:rPr>
        <w:t xml:space="preserve"> since that time</w:t>
      </w:r>
      <w:r w:rsidRPr="00253A6E">
        <w:rPr>
          <w:szCs w:val="24"/>
        </w:rPr>
        <w:t xml:space="preserve">. </w:t>
      </w:r>
      <w:r w:rsidR="0099152D" w:rsidRPr="00253A6E">
        <w:rPr>
          <w:szCs w:val="24"/>
        </w:rPr>
        <w:t xml:space="preserve"> </w:t>
      </w:r>
      <w:r w:rsidRPr="00253A6E">
        <w:rPr>
          <w:szCs w:val="24"/>
        </w:rPr>
        <w:t>In 2005, the definition</w:t>
      </w:r>
      <w:r w:rsidR="00897CD3" w:rsidRPr="00253A6E">
        <w:rPr>
          <w:szCs w:val="24"/>
        </w:rPr>
        <w:t xml:space="preserve"> of finance company </w:t>
      </w:r>
      <w:r w:rsidRPr="00253A6E">
        <w:rPr>
          <w:szCs w:val="24"/>
        </w:rPr>
        <w:t xml:space="preserve">was revised to include </w:t>
      </w:r>
      <w:r w:rsidR="004B6610" w:rsidRPr="00253A6E">
        <w:rPr>
          <w:szCs w:val="24"/>
        </w:rPr>
        <w:t>companie</w:t>
      </w:r>
      <w:r w:rsidR="00126311" w:rsidRPr="00253A6E">
        <w:rPr>
          <w:szCs w:val="24"/>
        </w:rPr>
        <w:t xml:space="preserve">s </w:t>
      </w:r>
      <w:r w:rsidR="00B165B6" w:rsidRPr="00253A6E">
        <w:rPr>
          <w:szCs w:val="24"/>
        </w:rPr>
        <w:t xml:space="preserve">whose </w:t>
      </w:r>
      <w:r w:rsidR="00126311" w:rsidRPr="00253A6E">
        <w:rPr>
          <w:szCs w:val="24"/>
        </w:rPr>
        <w:t>real estate loans</w:t>
      </w:r>
      <w:r w:rsidR="00B165B6" w:rsidRPr="00253A6E">
        <w:rPr>
          <w:szCs w:val="24"/>
        </w:rPr>
        <w:t xml:space="preserve"> made up 50 percent or more of their assets</w:t>
      </w:r>
      <w:r w:rsidR="00126311" w:rsidRPr="00253A6E">
        <w:rPr>
          <w:szCs w:val="24"/>
        </w:rPr>
        <w:t xml:space="preserve">; this change effectively brought </w:t>
      </w:r>
      <w:r w:rsidRPr="00253A6E">
        <w:rPr>
          <w:szCs w:val="24"/>
        </w:rPr>
        <w:t>mortgage companies</w:t>
      </w:r>
      <w:r w:rsidR="00126311" w:rsidRPr="00253A6E">
        <w:rPr>
          <w:szCs w:val="24"/>
        </w:rPr>
        <w:t xml:space="preserve"> into the panel</w:t>
      </w:r>
      <w:r w:rsidRPr="00253A6E">
        <w:rPr>
          <w:szCs w:val="24"/>
        </w:rPr>
        <w:t>.</w:t>
      </w:r>
      <w:r w:rsidR="00E956AE" w:rsidRPr="00253A6E">
        <w:rPr>
          <w:szCs w:val="24"/>
        </w:rPr>
        <w:t xml:space="preserve">  </w:t>
      </w:r>
      <w:r w:rsidRPr="00253A6E">
        <w:rPr>
          <w:szCs w:val="24"/>
        </w:rPr>
        <w:t>In addition, the survey was revised to instruct finance companies to include the assets and liabilities of their mortgage company subsidiaries.</w:t>
      </w:r>
      <w:r w:rsidR="00433D51" w:rsidRPr="00253A6E">
        <w:rPr>
          <w:szCs w:val="24"/>
        </w:rPr>
        <w:t xml:space="preserve">  </w:t>
      </w:r>
    </w:p>
    <w:p w:rsidR="002A1CBA" w:rsidRPr="00253A6E" w:rsidRDefault="002A1CBA" w:rsidP="002A1CBA">
      <w:pPr>
        <w:ind w:firstLine="720"/>
        <w:rPr>
          <w:szCs w:val="24"/>
        </w:rPr>
      </w:pPr>
    </w:p>
    <w:p w:rsidR="002A1CBA" w:rsidRPr="00253A6E" w:rsidRDefault="002A1CBA" w:rsidP="002A1CBA">
      <w:pPr>
        <w:ind w:firstLine="720"/>
        <w:rPr>
          <w:szCs w:val="24"/>
        </w:rPr>
      </w:pPr>
      <w:r w:rsidRPr="00253A6E">
        <w:rPr>
          <w:szCs w:val="24"/>
        </w:rPr>
        <w:t>The Federal Reserve has used the quinquennial survey</w:t>
      </w:r>
      <w:r w:rsidR="00747461" w:rsidRPr="00253A6E">
        <w:rPr>
          <w:szCs w:val="24"/>
        </w:rPr>
        <w:t xml:space="preserve"> data</w:t>
      </w:r>
      <w:r w:rsidRPr="00253A6E">
        <w:rPr>
          <w:szCs w:val="24"/>
        </w:rPr>
        <w:t xml:space="preserve"> to benchmark monthly data series on major assets and quarterly data series on liabilities of finance companies developed from the FR 2248, which is collected from an even smaller sample of companies.</w:t>
      </w:r>
      <w:r w:rsidR="0099152D" w:rsidRPr="00253A6E">
        <w:rPr>
          <w:szCs w:val="24"/>
        </w:rPr>
        <w:t xml:space="preserve"> </w:t>
      </w:r>
      <w:r w:rsidRPr="00253A6E">
        <w:rPr>
          <w:szCs w:val="24"/>
        </w:rPr>
        <w:t xml:space="preserve"> These data are used in internal analysis and are reported to the public in two monthly statistical releases: </w:t>
      </w:r>
      <w:r w:rsidR="00A82AD3" w:rsidRPr="00253A6E">
        <w:rPr>
          <w:i/>
          <w:szCs w:val="24"/>
        </w:rPr>
        <w:t>Finance Companies</w:t>
      </w:r>
      <w:r w:rsidRPr="00253A6E">
        <w:rPr>
          <w:szCs w:val="24"/>
        </w:rPr>
        <w:t xml:space="preserve"> (G.20) and </w:t>
      </w:r>
      <w:r w:rsidR="00A82AD3" w:rsidRPr="00253A6E">
        <w:rPr>
          <w:i/>
          <w:szCs w:val="24"/>
        </w:rPr>
        <w:t>Consumer Credit</w:t>
      </w:r>
      <w:r w:rsidRPr="00253A6E">
        <w:rPr>
          <w:szCs w:val="24"/>
        </w:rPr>
        <w:t xml:space="preserve"> (G.19), as well as the quarterly </w:t>
      </w:r>
      <w:r w:rsidR="00A82AD3" w:rsidRPr="00253A6E">
        <w:rPr>
          <w:i/>
          <w:szCs w:val="24"/>
        </w:rPr>
        <w:t>Flow of Funds Account of the United States</w:t>
      </w:r>
      <w:r w:rsidRPr="00253A6E">
        <w:rPr>
          <w:szCs w:val="24"/>
        </w:rPr>
        <w:t xml:space="preserve"> (Z.1) release. </w:t>
      </w:r>
      <w:r w:rsidR="0099152D" w:rsidRPr="00253A6E">
        <w:rPr>
          <w:szCs w:val="24"/>
        </w:rPr>
        <w:t xml:space="preserve"> </w:t>
      </w:r>
    </w:p>
    <w:p w:rsidR="00452473" w:rsidRPr="00253A6E" w:rsidRDefault="00452473" w:rsidP="00452473">
      <w:pPr>
        <w:rPr>
          <w:szCs w:val="24"/>
        </w:rPr>
      </w:pPr>
    </w:p>
    <w:p w:rsidR="00CF32C9" w:rsidRPr="00253A6E" w:rsidRDefault="007F0285" w:rsidP="007F0285">
      <w:pPr>
        <w:autoSpaceDE w:val="0"/>
        <w:autoSpaceDN w:val="0"/>
        <w:adjustRightInd w:val="0"/>
        <w:ind w:firstLine="720"/>
        <w:rPr>
          <w:szCs w:val="24"/>
        </w:rPr>
      </w:pPr>
      <w:r w:rsidRPr="00253A6E">
        <w:rPr>
          <w:snapToGrid/>
          <w:szCs w:val="24"/>
        </w:rPr>
        <w:t xml:space="preserve">In addition to benchmarking the Flow of Funds data, </w:t>
      </w:r>
      <w:r w:rsidR="00747461" w:rsidRPr="00253A6E">
        <w:rPr>
          <w:snapToGrid/>
          <w:szCs w:val="24"/>
        </w:rPr>
        <w:t>information</w:t>
      </w:r>
      <w:r w:rsidR="00EE4EDF" w:rsidRPr="00253A6E">
        <w:rPr>
          <w:snapToGrid/>
          <w:szCs w:val="24"/>
        </w:rPr>
        <w:t xml:space="preserve"> from </w:t>
      </w:r>
      <w:r w:rsidRPr="00253A6E">
        <w:rPr>
          <w:snapToGrid/>
          <w:szCs w:val="24"/>
        </w:rPr>
        <w:t>the quinquennial survey also provides</w:t>
      </w:r>
      <w:r w:rsidR="00747461" w:rsidRPr="00253A6E">
        <w:rPr>
          <w:snapToGrid/>
          <w:szCs w:val="24"/>
        </w:rPr>
        <w:t xml:space="preserve"> </w:t>
      </w:r>
      <w:r w:rsidR="006806F8" w:rsidRPr="00253A6E">
        <w:rPr>
          <w:szCs w:val="24"/>
        </w:rPr>
        <w:t xml:space="preserve">the Federal Reserve </w:t>
      </w:r>
      <w:r w:rsidR="00747461" w:rsidRPr="00253A6E">
        <w:rPr>
          <w:snapToGrid/>
          <w:szCs w:val="24"/>
        </w:rPr>
        <w:t>with</w:t>
      </w:r>
      <w:r w:rsidRPr="00253A6E">
        <w:rPr>
          <w:snapToGrid/>
          <w:szCs w:val="24"/>
        </w:rPr>
        <w:t xml:space="preserve"> an opportunity to learn about an important, and understudied, part of the financial system.</w:t>
      </w:r>
      <w:r w:rsidRPr="00253A6E">
        <w:rPr>
          <w:snapToGrid/>
          <w:color w:val="0000FF"/>
          <w:szCs w:val="24"/>
        </w:rPr>
        <w:t xml:space="preserve">  </w:t>
      </w:r>
      <w:r w:rsidR="00452473" w:rsidRPr="00253A6E">
        <w:rPr>
          <w:szCs w:val="24"/>
        </w:rPr>
        <w:t>Finance companies are a major supplier of credit to households and businesses</w:t>
      </w:r>
      <w:r w:rsidR="00467262" w:rsidRPr="00253A6E">
        <w:rPr>
          <w:szCs w:val="24"/>
        </w:rPr>
        <w:t xml:space="preserve">, </w:t>
      </w:r>
      <w:r w:rsidR="00452473" w:rsidRPr="00253A6E">
        <w:rPr>
          <w:szCs w:val="24"/>
        </w:rPr>
        <w:t>hold</w:t>
      </w:r>
      <w:r w:rsidR="00467262" w:rsidRPr="00253A6E">
        <w:rPr>
          <w:szCs w:val="24"/>
        </w:rPr>
        <w:t>ing</w:t>
      </w:r>
      <w:r w:rsidR="00452473" w:rsidRPr="00253A6E">
        <w:rPr>
          <w:szCs w:val="24"/>
        </w:rPr>
        <w:t xml:space="preserve"> or manag</w:t>
      </w:r>
      <w:r w:rsidR="00467262" w:rsidRPr="00253A6E">
        <w:rPr>
          <w:szCs w:val="24"/>
        </w:rPr>
        <w:t>ing</w:t>
      </w:r>
      <w:r w:rsidR="00452473" w:rsidRPr="00253A6E">
        <w:rPr>
          <w:szCs w:val="24"/>
        </w:rPr>
        <w:t xml:space="preserve"> about </w:t>
      </w:r>
      <w:r w:rsidR="00385C49" w:rsidRPr="00253A6E">
        <w:rPr>
          <w:szCs w:val="24"/>
        </w:rPr>
        <w:t>30</w:t>
      </w:r>
      <w:r w:rsidR="00452473" w:rsidRPr="00253A6E">
        <w:rPr>
          <w:szCs w:val="24"/>
        </w:rPr>
        <w:t xml:space="preserve"> percent of total consumer credit outstanding </w:t>
      </w:r>
      <w:r w:rsidR="00747461" w:rsidRPr="00253A6E">
        <w:rPr>
          <w:szCs w:val="24"/>
        </w:rPr>
        <w:t>(</w:t>
      </w:r>
      <w:r w:rsidR="00452473" w:rsidRPr="00253A6E">
        <w:rPr>
          <w:szCs w:val="24"/>
        </w:rPr>
        <w:t>a market share second to that of commercial banks</w:t>
      </w:r>
      <w:r w:rsidR="00747461" w:rsidRPr="00253A6E">
        <w:rPr>
          <w:szCs w:val="24"/>
        </w:rPr>
        <w:t>)</w:t>
      </w:r>
      <w:r w:rsidR="00BB7F6E" w:rsidRPr="00253A6E">
        <w:rPr>
          <w:szCs w:val="24"/>
        </w:rPr>
        <w:t xml:space="preserve"> </w:t>
      </w:r>
      <w:r w:rsidR="00747461" w:rsidRPr="00253A6E">
        <w:rPr>
          <w:szCs w:val="24"/>
        </w:rPr>
        <w:t xml:space="preserve">and </w:t>
      </w:r>
      <w:r w:rsidR="00BB7F6E" w:rsidRPr="00253A6E">
        <w:rPr>
          <w:szCs w:val="24"/>
        </w:rPr>
        <w:t xml:space="preserve">a significant share of </w:t>
      </w:r>
      <w:r w:rsidR="00452473" w:rsidRPr="00253A6E">
        <w:rPr>
          <w:szCs w:val="24"/>
        </w:rPr>
        <w:t>the short- and intermediate-term business finance market</w:t>
      </w:r>
      <w:r w:rsidR="00465483" w:rsidRPr="00253A6E">
        <w:rPr>
          <w:szCs w:val="24"/>
        </w:rPr>
        <w:t>.</w:t>
      </w:r>
    </w:p>
    <w:p w:rsidR="00C15F14" w:rsidRPr="00253A6E" w:rsidRDefault="00C15F14" w:rsidP="007E06D7">
      <w:pPr>
        <w:ind w:firstLine="720"/>
        <w:rPr>
          <w:szCs w:val="24"/>
        </w:rPr>
      </w:pPr>
    </w:p>
    <w:p w:rsidR="002C06CD" w:rsidRPr="00253A6E" w:rsidRDefault="002A09C5" w:rsidP="002C06CD">
      <w:pPr>
        <w:ind w:firstLine="720"/>
        <w:rPr>
          <w:szCs w:val="24"/>
        </w:rPr>
      </w:pPr>
      <w:r w:rsidRPr="00253A6E">
        <w:rPr>
          <w:szCs w:val="24"/>
        </w:rPr>
        <w:t>Finance</w:t>
      </w:r>
      <w:r w:rsidR="00CF32C9" w:rsidRPr="00253A6E">
        <w:rPr>
          <w:szCs w:val="24"/>
        </w:rPr>
        <w:t xml:space="preserve"> </w:t>
      </w:r>
      <w:r w:rsidRPr="00253A6E">
        <w:rPr>
          <w:szCs w:val="24"/>
        </w:rPr>
        <w:t>companies</w:t>
      </w:r>
      <w:r w:rsidR="00CF32C9" w:rsidRPr="00253A6E">
        <w:rPr>
          <w:szCs w:val="24"/>
        </w:rPr>
        <w:t xml:space="preserve"> have played a major role in the current </w:t>
      </w:r>
      <w:r w:rsidRPr="00253A6E">
        <w:rPr>
          <w:szCs w:val="24"/>
        </w:rPr>
        <w:t>financial</w:t>
      </w:r>
      <w:r w:rsidR="00CF32C9" w:rsidRPr="00253A6E">
        <w:rPr>
          <w:szCs w:val="24"/>
        </w:rPr>
        <w:t xml:space="preserve"> </w:t>
      </w:r>
      <w:r w:rsidRPr="00253A6E">
        <w:rPr>
          <w:szCs w:val="24"/>
        </w:rPr>
        <w:t>crisis</w:t>
      </w:r>
      <w:r w:rsidR="0082134A" w:rsidRPr="00253A6E">
        <w:rPr>
          <w:szCs w:val="24"/>
        </w:rPr>
        <w:t>.</w:t>
      </w:r>
      <w:r w:rsidR="00C36149" w:rsidRPr="00253A6E">
        <w:rPr>
          <w:szCs w:val="24"/>
        </w:rPr>
        <w:t xml:space="preserve"> </w:t>
      </w:r>
      <w:r w:rsidR="002A1CBA" w:rsidRPr="00253A6E">
        <w:rPr>
          <w:szCs w:val="24"/>
        </w:rPr>
        <w:t xml:space="preserve"> </w:t>
      </w:r>
      <w:r w:rsidR="0082134A" w:rsidRPr="00253A6E">
        <w:rPr>
          <w:szCs w:val="24"/>
        </w:rPr>
        <w:t>Finance companies</w:t>
      </w:r>
      <w:r w:rsidR="00C0267A" w:rsidRPr="00253A6E">
        <w:rPr>
          <w:szCs w:val="24"/>
        </w:rPr>
        <w:t xml:space="preserve"> </w:t>
      </w:r>
      <w:r w:rsidR="00E140B9" w:rsidRPr="00253A6E">
        <w:rPr>
          <w:szCs w:val="24"/>
        </w:rPr>
        <w:t xml:space="preserve">dominated the subprime </w:t>
      </w:r>
      <w:r w:rsidRPr="00253A6E">
        <w:rPr>
          <w:szCs w:val="24"/>
        </w:rPr>
        <w:t>mortgage</w:t>
      </w:r>
      <w:r w:rsidR="00E140B9" w:rsidRPr="00253A6E">
        <w:rPr>
          <w:szCs w:val="24"/>
        </w:rPr>
        <w:t xml:space="preserve"> market</w:t>
      </w:r>
      <w:r w:rsidR="00C15F14" w:rsidRPr="00253A6E">
        <w:rPr>
          <w:szCs w:val="24"/>
        </w:rPr>
        <w:t xml:space="preserve"> </w:t>
      </w:r>
      <w:r w:rsidR="00E140B9" w:rsidRPr="00253A6E">
        <w:rPr>
          <w:szCs w:val="24"/>
        </w:rPr>
        <w:t>(</w:t>
      </w:r>
      <w:proofErr w:type="spellStart"/>
      <w:r w:rsidR="00C15F14" w:rsidRPr="00253A6E">
        <w:rPr>
          <w:szCs w:val="24"/>
        </w:rPr>
        <w:t>Chomsisengphet</w:t>
      </w:r>
      <w:proofErr w:type="spellEnd"/>
      <w:r w:rsidR="00C15F14" w:rsidRPr="00253A6E">
        <w:rPr>
          <w:szCs w:val="24"/>
        </w:rPr>
        <w:t xml:space="preserve"> and Pennington-Cross</w:t>
      </w:r>
      <w:r w:rsidR="005D61EA" w:rsidRPr="00253A6E">
        <w:rPr>
          <w:szCs w:val="24"/>
        </w:rPr>
        <w:t xml:space="preserve"> (2006))</w:t>
      </w:r>
      <w:r w:rsidR="00CF32C9" w:rsidRPr="00253A6E">
        <w:rPr>
          <w:szCs w:val="24"/>
        </w:rPr>
        <w:t>.</w:t>
      </w:r>
      <w:r w:rsidR="00C36149" w:rsidRPr="00253A6E">
        <w:rPr>
          <w:szCs w:val="24"/>
        </w:rPr>
        <w:t xml:space="preserve"> </w:t>
      </w:r>
      <w:r w:rsidR="002A1CBA" w:rsidRPr="00253A6E">
        <w:rPr>
          <w:szCs w:val="24"/>
        </w:rPr>
        <w:t xml:space="preserve"> </w:t>
      </w:r>
      <w:r w:rsidR="00465483" w:rsidRPr="00253A6E">
        <w:rPr>
          <w:szCs w:val="24"/>
        </w:rPr>
        <w:t>Outside of the subprime sector, finance companies are thought to account for half of all mortgage originations, with a higher share among FHA-guaranteed mortgage originations.</w:t>
      </w:r>
      <w:r w:rsidR="00C36149" w:rsidRPr="00253A6E">
        <w:rPr>
          <w:szCs w:val="24"/>
        </w:rPr>
        <w:t xml:space="preserve"> </w:t>
      </w:r>
      <w:r w:rsidR="002A1CBA" w:rsidRPr="00253A6E">
        <w:rPr>
          <w:szCs w:val="24"/>
        </w:rPr>
        <w:t xml:space="preserve"> </w:t>
      </w:r>
      <w:r w:rsidR="00C15F14" w:rsidRPr="00253A6E">
        <w:rPr>
          <w:szCs w:val="24"/>
        </w:rPr>
        <w:t>In 2007 and 2008, m</w:t>
      </w:r>
      <w:r w:rsidR="001C44A1" w:rsidRPr="00253A6E">
        <w:rPr>
          <w:szCs w:val="24"/>
        </w:rPr>
        <w:t xml:space="preserve">any </w:t>
      </w:r>
      <w:r w:rsidRPr="00253A6E">
        <w:rPr>
          <w:szCs w:val="24"/>
        </w:rPr>
        <w:t>finance</w:t>
      </w:r>
      <w:r w:rsidR="00CF32C9" w:rsidRPr="00253A6E">
        <w:rPr>
          <w:szCs w:val="24"/>
        </w:rPr>
        <w:t xml:space="preserve"> </w:t>
      </w:r>
      <w:r w:rsidRPr="00253A6E">
        <w:rPr>
          <w:szCs w:val="24"/>
        </w:rPr>
        <w:t>companies</w:t>
      </w:r>
      <w:r w:rsidR="00CF32C9" w:rsidRPr="00253A6E">
        <w:rPr>
          <w:szCs w:val="24"/>
        </w:rPr>
        <w:t xml:space="preserve"> </w:t>
      </w:r>
      <w:r w:rsidRPr="00253A6E">
        <w:rPr>
          <w:szCs w:val="24"/>
        </w:rPr>
        <w:t>experienced</w:t>
      </w:r>
      <w:r w:rsidR="001C44A1" w:rsidRPr="00253A6E">
        <w:rPr>
          <w:szCs w:val="24"/>
        </w:rPr>
        <w:t xml:space="preserve"> sever</w:t>
      </w:r>
      <w:r w:rsidR="009142C4" w:rsidRPr="00253A6E">
        <w:rPr>
          <w:szCs w:val="24"/>
        </w:rPr>
        <w:t>e</w:t>
      </w:r>
      <w:r w:rsidR="001C44A1" w:rsidRPr="00253A6E">
        <w:rPr>
          <w:szCs w:val="24"/>
        </w:rPr>
        <w:t xml:space="preserve"> </w:t>
      </w:r>
      <w:r w:rsidRPr="00253A6E">
        <w:rPr>
          <w:szCs w:val="24"/>
        </w:rPr>
        <w:t>liquidity</w:t>
      </w:r>
      <w:r w:rsidR="001C44A1" w:rsidRPr="00253A6E">
        <w:rPr>
          <w:szCs w:val="24"/>
        </w:rPr>
        <w:t xml:space="preserve"> pressure</w:t>
      </w:r>
      <w:r w:rsidR="00F870E6" w:rsidRPr="00253A6E">
        <w:rPr>
          <w:szCs w:val="24"/>
        </w:rPr>
        <w:t>s</w:t>
      </w:r>
      <w:r w:rsidR="001C44A1" w:rsidRPr="00253A6E">
        <w:rPr>
          <w:szCs w:val="24"/>
        </w:rPr>
        <w:t xml:space="preserve"> </w:t>
      </w:r>
      <w:r w:rsidR="00F6370F" w:rsidRPr="00253A6E">
        <w:rPr>
          <w:szCs w:val="24"/>
        </w:rPr>
        <w:t>that resulted</w:t>
      </w:r>
      <w:r w:rsidR="001C44A1" w:rsidRPr="00253A6E">
        <w:rPr>
          <w:szCs w:val="24"/>
        </w:rPr>
        <w:t xml:space="preserve"> in a wave of failures.</w:t>
      </w:r>
      <w:r w:rsidR="00C36149" w:rsidRPr="00253A6E">
        <w:rPr>
          <w:szCs w:val="24"/>
        </w:rPr>
        <w:t xml:space="preserve"> </w:t>
      </w:r>
      <w:r w:rsidR="002A1CBA" w:rsidRPr="00253A6E">
        <w:rPr>
          <w:szCs w:val="24"/>
        </w:rPr>
        <w:t xml:space="preserve"> </w:t>
      </w:r>
      <w:r w:rsidR="00C15F14" w:rsidRPr="00253A6E">
        <w:rPr>
          <w:szCs w:val="24"/>
        </w:rPr>
        <w:t xml:space="preserve">Furthermore, finance </w:t>
      </w:r>
      <w:r w:rsidRPr="00253A6E">
        <w:rPr>
          <w:szCs w:val="24"/>
        </w:rPr>
        <w:t>companies</w:t>
      </w:r>
      <w:r w:rsidR="00C15F14" w:rsidRPr="00253A6E">
        <w:rPr>
          <w:szCs w:val="24"/>
        </w:rPr>
        <w:t xml:space="preserve"> </w:t>
      </w:r>
      <w:r w:rsidR="00745655" w:rsidRPr="00253A6E">
        <w:rPr>
          <w:szCs w:val="24"/>
        </w:rPr>
        <w:t xml:space="preserve">are </w:t>
      </w:r>
      <w:r w:rsidR="00F6370F" w:rsidRPr="00253A6E">
        <w:rPr>
          <w:szCs w:val="24"/>
        </w:rPr>
        <w:t>significant issuers of</w:t>
      </w:r>
      <w:r w:rsidR="00745655" w:rsidRPr="00253A6E">
        <w:rPr>
          <w:szCs w:val="24"/>
        </w:rPr>
        <w:t xml:space="preserve"> </w:t>
      </w:r>
      <w:r w:rsidRPr="00253A6E">
        <w:rPr>
          <w:szCs w:val="24"/>
        </w:rPr>
        <w:t>commercial</w:t>
      </w:r>
      <w:r w:rsidR="00745655" w:rsidRPr="00253A6E">
        <w:rPr>
          <w:szCs w:val="24"/>
        </w:rPr>
        <w:t xml:space="preserve"> paper and </w:t>
      </w:r>
      <w:r w:rsidR="00C15F14" w:rsidRPr="00253A6E">
        <w:rPr>
          <w:szCs w:val="24"/>
        </w:rPr>
        <w:t xml:space="preserve">have been </w:t>
      </w:r>
      <w:r w:rsidR="00F6370F" w:rsidRPr="00253A6E">
        <w:rPr>
          <w:szCs w:val="24"/>
        </w:rPr>
        <w:t xml:space="preserve">major </w:t>
      </w:r>
      <w:r w:rsidR="00C15F14" w:rsidRPr="00253A6E">
        <w:rPr>
          <w:szCs w:val="24"/>
        </w:rPr>
        <w:t>users of the Term Asset-Backed Securities Lending Facility (TALF).</w:t>
      </w:r>
      <w:r w:rsidR="00C36149" w:rsidRPr="00253A6E">
        <w:rPr>
          <w:szCs w:val="24"/>
        </w:rPr>
        <w:t xml:space="preserve"> </w:t>
      </w:r>
      <w:r w:rsidR="0099152D" w:rsidRPr="00253A6E">
        <w:rPr>
          <w:szCs w:val="24"/>
        </w:rPr>
        <w:t xml:space="preserve"> </w:t>
      </w:r>
      <w:r w:rsidR="00C15F14" w:rsidRPr="00253A6E">
        <w:rPr>
          <w:szCs w:val="24"/>
        </w:rPr>
        <w:t xml:space="preserve">More immediately, </w:t>
      </w:r>
      <w:r w:rsidR="00465483" w:rsidRPr="00253A6E">
        <w:rPr>
          <w:szCs w:val="24"/>
        </w:rPr>
        <w:t xml:space="preserve">as </w:t>
      </w:r>
      <w:r w:rsidR="00C15F14" w:rsidRPr="00253A6E">
        <w:rPr>
          <w:szCs w:val="24"/>
        </w:rPr>
        <w:t>the nonbank lending arms of bank holding companies are finance companies</w:t>
      </w:r>
      <w:r w:rsidR="00950F29" w:rsidRPr="00253A6E">
        <w:rPr>
          <w:szCs w:val="24"/>
        </w:rPr>
        <w:t>,</w:t>
      </w:r>
      <w:r w:rsidR="00C15F14" w:rsidRPr="00253A6E">
        <w:rPr>
          <w:szCs w:val="24"/>
        </w:rPr>
        <w:t xml:space="preserve"> understanding </w:t>
      </w:r>
      <w:r w:rsidR="002D6A36" w:rsidRPr="00253A6E">
        <w:rPr>
          <w:szCs w:val="24"/>
        </w:rPr>
        <w:t xml:space="preserve">the nature of </w:t>
      </w:r>
      <w:r w:rsidR="00C15F14" w:rsidRPr="00253A6E">
        <w:rPr>
          <w:szCs w:val="24"/>
        </w:rPr>
        <w:t xml:space="preserve">these </w:t>
      </w:r>
      <w:r w:rsidR="002A1CBA" w:rsidRPr="00253A6E">
        <w:rPr>
          <w:szCs w:val="24"/>
        </w:rPr>
        <w:t xml:space="preserve">companies </w:t>
      </w:r>
      <w:r w:rsidR="00465483" w:rsidRPr="00253A6E">
        <w:rPr>
          <w:szCs w:val="24"/>
        </w:rPr>
        <w:t xml:space="preserve">is a necessary step in developing policies for </w:t>
      </w:r>
      <w:r w:rsidR="00C15F14" w:rsidRPr="00253A6E">
        <w:rPr>
          <w:szCs w:val="24"/>
        </w:rPr>
        <w:t>consolidated bank regulation.</w:t>
      </w:r>
      <w:r w:rsidR="0027641D" w:rsidRPr="00253A6E">
        <w:rPr>
          <w:szCs w:val="24"/>
        </w:rPr>
        <w:t xml:space="preserve">   </w:t>
      </w:r>
    </w:p>
    <w:p w:rsidR="00452473" w:rsidRDefault="00452473" w:rsidP="00452473">
      <w:pPr>
        <w:rPr>
          <w:b/>
        </w:rPr>
      </w:pPr>
      <w:r w:rsidRPr="00253A6E">
        <w:rPr>
          <w:b/>
          <w:szCs w:val="24"/>
        </w:rPr>
        <w:t>Description of Information Collection</w:t>
      </w:r>
    </w:p>
    <w:p w:rsidR="00494612" w:rsidRDefault="00494612" w:rsidP="00452473">
      <w:pPr>
        <w:rPr>
          <w:b/>
        </w:rPr>
      </w:pPr>
    </w:p>
    <w:p w:rsidR="00494612" w:rsidRPr="00FB308C" w:rsidRDefault="00494612" w:rsidP="00452473">
      <w:pPr>
        <w:rPr>
          <w:b/>
          <w:szCs w:val="24"/>
        </w:rPr>
      </w:pPr>
      <w:r>
        <w:rPr>
          <w:b/>
          <w:szCs w:val="24"/>
        </w:rPr>
        <w:tab/>
      </w:r>
      <w:r w:rsidRPr="00FB308C">
        <w:rPr>
          <w:b/>
          <w:szCs w:val="24"/>
        </w:rPr>
        <w:t>FR 3033p</w:t>
      </w:r>
    </w:p>
    <w:p w:rsidR="00494612" w:rsidRPr="00FB308C" w:rsidRDefault="00494612" w:rsidP="00452473">
      <w:pPr>
        <w:rPr>
          <w:b/>
          <w:szCs w:val="24"/>
        </w:rPr>
      </w:pPr>
    </w:p>
    <w:p w:rsidR="008377C5" w:rsidRPr="006033DE" w:rsidRDefault="00494612" w:rsidP="006033DE">
      <w:pPr>
        <w:pStyle w:val="FootnoteText"/>
        <w:ind w:firstLine="720"/>
        <w:rPr>
          <w:sz w:val="24"/>
          <w:szCs w:val="24"/>
        </w:rPr>
      </w:pPr>
      <w:r w:rsidRPr="00DB6070">
        <w:rPr>
          <w:sz w:val="24"/>
          <w:szCs w:val="24"/>
        </w:rPr>
        <w:t>The census asked questions designed to identify the universe of finance companies eligible for potential inclusion in the survey and to enable the stratification of the sample for more statistically efficient estimation.</w:t>
      </w:r>
      <w:r w:rsidR="006033DE">
        <w:rPr>
          <w:sz w:val="24"/>
          <w:szCs w:val="24"/>
        </w:rPr>
        <w:t xml:space="preserve">  </w:t>
      </w:r>
      <w:r w:rsidR="008377C5" w:rsidRPr="006033DE">
        <w:rPr>
          <w:sz w:val="24"/>
          <w:szCs w:val="24"/>
        </w:rPr>
        <w:t>The information collection for the FR 3033p</w:t>
      </w:r>
      <w:r w:rsidR="008377C5" w:rsidRPr="006033DE">
        <w:rPr>
          <w:rStyle w:val="FootnoteReference"/>
          <w:sz w:val="24"/>
          <w:szCs w:val="24"/>
        </w:rPr>
        <w:footnoteReference w:id="2"/>
      </w:r>
      <w:r w:rsidR="008377C5" w:rsidRPr="006033DE">
        <w:rPr>
          <w:sz w:val="24"/>
          <w:szCs w:val="24"/>
        </w:rPr>
        <w:t xml:space="preserve"> was approved in April 2010 and included the following revisions: the title of census survey was revised from </w:t>
      </w:r>
      <w:r w:rsidR="008377C5" w:rsidRPr="006033DE">
        <w:rPr>
          <w:i/>
          <w:sz w:val="24"/>
          <w:szCs w:val="24"/>
        </w:rPr>
        <w:t>Finance Company Questionnaire</w:t>
      </w:r>
      <w:r w:rsidR="008377C5" w:rsidRPr="006033DE">
        <w:rPr>
          <w:sz w:val="24"/>
          <w:szCs w:val="24"/>
        </w:rPr>
        <w:t xml:space="preserve"> to </w:t>
      </w:r>
      <w:r w:rsidR="008377C5" w:rsidRPr="006033DE">
        <w:rPr>
          <w:i/>
          <w:sz w:val="24"/>
          <w:szCs w:val="24"/>
        </w:rPr>
        <w:t xml:space="preserve">Census of Finance Companies, </w:t>
      </w:r>
      <w:r w:rsidR="008377C5" w:rsidRPr="006033DE">
        <w:rPr>
          <w:sz w:val="24"/>
          <w:szCs w:val="24"/>
        </w:rPr>
        <w:t xml:space="preserve">the Purpose of Report and Scope of the Report sections was modified, the respondent panel size was increased, and several census questions were revised to collect information needed to determine whether a company meets the FR 3033 definition of a finance company.   </w:t>
      </w:r>
    </w:p>
    <w:p w:rsidR="00DB6070" w:rsidRPr="00DB6070" w:rsidRDefault="00DB6070" w:rsidP="00DB6070">
      <w:pPr>
        <w:pStyle w:val="FootnoteText"/>
        <w:rPr>
          <w:sz w:val="24"/>
          <w:szCs w:val="24"/>
        </w:rPr>
      </w:pPr>
    </w:p>
    <w:p w:rsidR="00494612" w:rsidRPr="00DB6070" w:rsidRDefault="00494612" w:rsidP="00DB6070">
      <w:pPr>
        <w:pStyle w:val="FootnoteText"/>
        <w:rPr>
          <w:sz w:val="24"/>
          <w:szCs w:val="24"/>
        </w:rPr>
      </w:pPr>
      <w:r w:rsidRPr="00DB6070">
        <w:rPr>
          <w:b/>
          <w:sz w:val="24"/>
          <w:szCs w:val="24"/>
        </w:rPr>
        <w:t>Reporting Panel</w:t>
      </w:r>
    </w:p>
    <w:p w:rsidR="00494612" w:rsidRPr="00DB6070" w:rsidRDefault="00494612" w:rsidP="00494612">
      <w:pPr>
        <w:rPr>
          <w:szCs w:val="24"/>
        </w:rPr>
      </w:pPr>
    </w:p>
    <w:p w:rsidR="00494612" w:rsidRDefault="00494612" w:rsidP="00494612">
      <w:pPr>
        <w:ind w:firstLine="720"/>
        <w:rPr>
          <w:szCs w:val="24"/>
        </w:rPr>
      </w:pPr>
      <w:r>
        <w:rPr>
          <w:szCs w:val="24"/>
        </w:rPr>
        <w:t>The Federal Reserve worked with Dun and Bradstreet (D&amp;B) to study the Standard Industrial Classification (SIC) codes of companies that were either identified as finance companies or companies identified as not being finance companies from the 2005 q</w:t>
      </w:r>
      <w:r w:rsidRPr="00D40E5B">
        <w:rPr>
          <w:szCs w:val="24"/>
        </w:rPr>
        <w:t>uinquennial</w:t>
      </w:r>
      <w:r>
        <w:rPr>
          <w:szCs w:val="24"/>
        </w:rPr>
        <w:t>.  For the nation as a whole, D&amp;B identified approximately 27,000 companies which, based on their SIC code, may meet the FR 3033 definition of a finance company.  In addition, the Federal Reserve used the Home Mortgage Disclosure Act</w:t>
      </w:r>
      <w:r>
        <w:rPr>
          <w:rStyle w:val="FootnoteReference"/>
          <w:szCs w:val="24"/>
        </w:rPr>
        <w:footnoteReference w:id="3"/>
      </w:r>
      <w:r>
        <w:rPr>
          <w:szCs w:val="24"/>
        </w:rPr>
        <w:t xml:space="preserve"> (HMDA) data to identify approximately 3,000 additional mortgage lenders that may meet the FR 3033 definition of a finance company.  As in the past, the Federal Reserve </w:t>
      </w:r>
      <w:r w:rsidR="006033DE">
        <w:rPr>
          <w:szCs w:val="24"/>
        </w:rPr>
        <w:t>c</w:t>
      </w:r>
      <w:r>
        <w:rPr>
          <w:szCs w:val="24"/>
        </w:rPr>
        <w:t>ontact</w:t>
      </w:r>
      <w:r w:rsidR="006033DE">
        <w:rPr>
          <w:szCs w:val="24"/>
        </w:rPr>
        <w:t>ed</w:t>
      </w:r>
      <w:r>
        <w:rPr>
          <w:szCs w:val="24"/>
        </w:rPr>
        <w:t xml:space="preserve"> all companies identified as likely finance companies with the exception of companies that file the </w:t>
      </w:r>
      <w:r w:rsidRPr="0027641D">
        <w:rPr>
          <w:iCs/>
        </w:rPr>
        <w:t>Financial Statements of U.S. Nonbank Subsidiaries of U.S. Bank Holding Companies</w:t>
      </w:r>
      <w:r>
        <w:rPr>
          <w:i/>
          <w:iCs/>
        </w:rPr>
        <w:t xml:space="preserve"> </w:t>
      </w:r>
      <w:r w:rsidRPr="00DD64E7">
        <w:rPr>
          <w:iCs/>
        </w:rPr>
        <w:t>(</w:t>
      </w:r>
      <w:r w:rsidRPr="00FA52FC">
        <w:t>FR Y-11</w:t>
      </w:r>
      <w:r>
        <w:t>, OMB No. 7100-</w:t>
      </w:r>
      <w:r w:rsidRPr="00D0399D">
        <w:rPr>
          <w:szCs w:val="24"/>
        </w:rPr>
        <w:t>0244</w:t>
      </w:r>
      <w:r w:rsidRPr="00FA52FC">
        <w:t>)</w:t>
      </w:r>
      <w:r>
        <w:t>.</w:t>
      </w:r>
      <w:r>
        <w:rPr>
          <w:rStyle w:val="FootnoteReference"/>
        </w:rPr>
        <w:footnoteReference w:id="4"/>
      </w:r>
      <w:r>
        <w:rPr>
          <w:szCs w:val="24"/>
        </w:rPr>
        <w:t xml:space="preserve">  The Federal Reserve mailed census forms to approximately 30,000 companies.  This is a substantial increase over the 2005 q</w:t>
      </w:r>
      <w:r w:rsidRPr="00D40E5B">
        <w:rPr>
          <w:szCs w:val="24"/>
        </w:rPr>
        <w:t>uinquennial</w:t>
      </w:r>
      <w:r>
        <w:rPr>
          <w:szCs w:val="24"/>
        </w:rPr>
        <w:t xml:space="preserve"> in which 3,840 censuses were mailed.  This proposed increase</w:t>
      </w:r>
      <w:r w:rsidR="006033DE">
        <w:rPr>
          <w:szCs w:val="24"/>
        </w:rPr>
        <w:t xml:space="preserve"> wa</w:t>
      </w:r>
      <w:r>
        <w:rPr>
          <w:szCs w:val="24"/>
        </w:rPr>
        <w:t xml:space="preserve">s driven by improvements in the data available to identify potential finance companies, especially web-based data from state authorities that license these companies.  The Federal Reserve </w:t>
      </w:r>
      <w:r w:rsidR="006033DE">
        <w:rPr>
          <w:szCs w:val="24"/>
        </w:rPr>
        <w:t xml:space="preserve">believed </w:t>
      </w:r>
      <w:r>
        <w:rPr>
          <w:szCs w:val="24"/>
        </w:rPr>
        <w:t xml:space="preserve">that the increase in cost and burden from expanding the FR 3033p panel </w:t>
      </w:r>
      <w:r w:rsidR="006033DE">
        <w:rPr>
          <w:szCs w:val="24"/>
        </w:rPr>
        <w:t>wa</w:t>
      </w:r>
      <w:r>
        <w:rPr>
          <w:szCs w:val="24"/>
        </w:rPr>
        <w:t xml:space="preserve">s warranted by the significant improvement in the statistical basis of the survey and the important role that finance companies have played in the financial crisis.  Once </w:t>
      </w:r>
      <w:r w:rsidRPr="00D40E5B">
        <w:rPr>
          <w:szCs w:val="24"/>
        </w:rPr>
        <w:t xml:space="preserve">the </w:t>
      </w:r>
      <w:r>
        <w:rPr>
          <w:szCs w:val="24"/>
        </w:rPr>
        <w:t>companies returned the census</w:t>
      </w:r>
      <w:r w:rsidRPr="00D40E5B">
        <w:rPr>
          <w:szCs w:val="24"/>
        </w:rPr>
        <w:t>, the Federal Reserve determine</w:t>
      </w:r>
      <w:r>
        <w:rPr>
          <w:szCs w:val="24"/>
        </w:rPr>
        <w:t>d</w:t>
      </w:r>
      <w:r w:rsidRPr="00D40E5B">
        <w:rPr>
          <w:szCs w:val="24"/>
        </w:rPr>
        <w:t xml:space="preserve"> </w:t>
      </w:r>
      <w:r>
        <w:rPr>
          <w:szCs w:val="24"/>
        </w:rPr>
        <w:t xml:space="preserve">the panel of </w:t>
      </w:r>
      <w:r w:rsidRPr="00D40E5B">
        <w:rPr>
          <w:szCs w:val="24"/>
        </w:rPr>
        <w:t xml:space="preserve">respondents for </w:t>
      </w:r>
      <w:r>
        <w:rPr>
          <w:szCs w:val="24"/>
        </w:rPr>
        <w:t xml:space="preserve">inclusion in </w:t>
      </w:r>
      <w:r w:rsidRPr="00D40E5B">
        <w:rPr>
          <w:szCs w:val="24"/>
        </w:rPr>
        <w:t xml:space="preserve">the </w:t>
      </w:r>
      <w:r>
        <w:rPr>
          <w:szCs w:val="24"/>
        </w:rPr>
        <w:t>survey</w:t>
      </w:r>
      <w:r w:rsidRPr="00D40E5B">
        <w:rPr>
          <w:szCs w:val="24"/>
        </w:rPr>
        <w:t xml:space="preserve"> </w:t>
      </w:r>
      <w:r>
        <w:rPr>
          <w:szCs w:val="24"/>
        </w:rPr>
        <w:t>sample</w:t>
      </w:r>
      <w:r w:rsidRPr="00D40E5B">
        <w:rPr>
          <w:szCs w:val="24"/>
        </w:rPr>
        <w:t>.</w:t>
      </w:r>
      <w:r>
        <w:rPr>
          <w:szCs w:val="24"/>
        </w:rPr>
        <w:t xml:space="preserve"> </w:t>
      </w:r>
    </w:p>
    <w:p w:rsidR="006033DE" w:rsidRPr="00D40E5B" w:rsidRDefault="00494612" w:rsidP="00494612">
      <w:pPr>
        <w:ind w:firstLine="360"/>
        <w:rPr>
          <w:szCs w:val="24"/>
        </w:rPr>
      </w:pPr>
      <w:r w:rsidRPr="00EB20ED">
        <w:rPr>
          <w:color w:val="000000"/>
        </w:rPr>
        <w:t xml:space="preserve"> </w:t>
      </w:r>
    </w:p>
    <w:p w:rsidR="00494612" w:rsidRPr="00494612" w:rsidRDefault="00494612" w:rsidP="00452473">
      <w:pPr>
        <w:rPr>
          <w:b/>
          <w:szCs w:val="24"/>
        </w:rPr>
      </w:pPr>
      <w:r>
        <w:rPr>
          <w:szCs w:val="24"/>
        </w:rPr>
        <w:tab/>
      </w:r>
      <w:r w:rsidR="0048409F" w:rsidRPr="0048409F">
        <w:rPr>
          <w:b/>
          <w:szCs w:val="24"/>
        </w:rPr>
        <w:t>FR 3033s</w:t>
      </w:r>
    </w:p>
    <w:p w:rsidR="00452473" w:rsidRPr="00253A6E" w:rsidRDefault="00452473" w:rsidP="00452473">
      <w:pPr>
        <w:rPr>
          <w:szCs w:val="24"/>
        </w:rPr>
      </w:pPr>
    </w:p>
    <w:p w:rsidR="00902A79" w:rsidRPr="00253A6E" w:rsidRDefault="00902A79" w:rsidP="005F5BB2">
      <w:pPr>
        <w:ind w:firstLine="720"/>
        <w:rPr>
          <w:szCs w:val="24"/>
        </w:rPr>
      </w:pPr>
      <w:r w:rsidRPr="00253A6E">
        <w:rPr>
          <w:szCs w:val="24"/>
        </w:rPr>
        <w:lastRenderedPageBreak/>
        <w:t xml:space="preserve">The survey </w:t>
      </w:r>
      <w:r w:rsidR="006B6616" w:rsidRPr="00253A6E">
        <w:rPr>
          <w:szCs w:val="24"/>
        </w:rPr>
        <w:t>would</w:t>
      </w:r>
      <w:r w:rsidRPr="00253A6E">
        <w:rPr>
          <w:szCs w:val="24"/>
        </w:rPr>
        <w:t xml:space="preserve"> </w:t>
      </w:r>
      <w:r w:rsidR="003B4762" w:rsidRPr="00253A6E">
        <w:rPr>
          <w:szCs w:val="24"/>
        </w:rPr>
        <w:t xml:space="preserve">collect balance sheet data </w:t>
      </w:r>
      <w:r w:rsidR="00836101" w:rsidRPr="00253A6E">
        <w:rPr>
          <w:szCs w:val="24"/>
        </w:rPr>
        <w:t xml:space="preserve">on </w:t>
      </w:r>
      <w:r w:rsidR="00DC0614" w:rsidRPr="00253A6E">
        <w:rPr>
          <w:szCs w:val="24"/>
        </w:rPr>
        <w:t>major categories of consumer and business credit receivables and major liabilities</w:t>
      </w:r>
      <w:r w:rsidR="003B4762" w:rsidRPr="00253A6E">
        <w:rPr>
          <w:szCs w:val="24"/>
        </w:rPr>
        <w:t xml:space="preserve">. </w:t>
      </w:r>
      <w:r w:rsidR="00F130B1" w:rsidRPr="00253A6E">
        <w:rPr>
          <w:szCs w:val="24"/>
        </w:rPr>
        <w:t xml:space="preserve"> </w:t>
      </w:r>
      <w:r w:rsidR="00A411BB" w:rsidRPr="00253A6E">
        <w:rPr>
          <w:szCs w:val="24"/>
        </w:rPr>
        <w:t>The Federal Reserve</w:t>
      </w:r>
      <w:r w:rsidR="003B4762" w:rsidRPr="00253A6E">
        <w:rPr>
          <w:szCs w:val="24"/>
        </w:rPr>
        <w:t xml:space="preserve"> also</w:t>
      </w:r>
      <w:r w:rsidR="009D3918" w:rsidRPr="00253A6E">
        <w:rPr>
          <w:szCs w:val="24"/>
        </w:rPr>
        <w:t xml:space="preserve"> propose</w:t>
      </w:r>
      <w:r w:rsidR="00F870E6" w:rsidRPr="00253A6E">
        <w:rPr>
          <w:szCs w:val="24"/>
        </w:rPr>
        <w:t>s</w:t>
      </w:r>
      <w:r w:rsidR="00E76F70" w:rsidRPr="00253A6E">
        <w:rPr>
          <w:szCs w:val="24"/>
        </w:rPr>
        <w:t xml:space="preserve"> to </w:t>
      </w:r>
      <w:r w:rsidR="00F130B1" w:rsidRPr="00253A6E">
        <w:rPr>
          <w:szCs w:val="24"/>
        </w:rPr>
        <w:t>gather</w:t>
      </w:r>
      <w:r w:rsidR="00836101" w:rsidRPr="00253A6E">
        <w:rPr>
          <w:szCs w:val="24"/>
        </w:rPr>
        <w:t xml:space="preserve"> information on</w:t>
      </w:r>
      <w:r w:rsidR="00405EDA" w:rsidRPr="00253A6E">
        <w:rPr>
          <w:szCs w:val="24"/>
        </w:rPr>
        <w:t xml:space="preserve"> </w:t>
      </w:r>
      <w:r w:rsidR="003B4762" w:rsidRPr="00253A6E">
        <w:rPr>
          <w:szCs w:val="24"/>
        </w:rPr>
        <w:t>the geographic scope of the company’s operations and loan and lease servicing activities</w:t>
      </w:r>
      <w:r w:rsidR="00E76F70" w:rsidRPr="00253A6E">
        <w:rPr>
          <w:szCs w:val="24"/>
        </w:rPr>
        <w:t xml:space="preserve">. </w:t>
      </w:r>
    </w:p>
    <w:p w:rsidR="00684774" w:rsidRDefault="00684774" w:rsidP="007E06D7">
      <w:pPr>
        <w:ind w:firstLine="360"/>
        <w:rPr>
          <w:szCs w:val="24"/>
        </w:rPr>
      </w:pPr>
    </w:p>
    <w:p w:rsidR="00446E5B" w:rsidRPr="00253A6E" w:rsidRDefault="00446E5B" w:rsidP="007E06D7">
      <w:pPr>
        <w:ind w:firstLine="360"/>
        <w:rPr>
          <w:szCs w:val="24"/>
        </w:rPr>
      </w:pPr>
    </w:p>
    <w:p w:rsidR="005F5BB2" w:rsidRPr="00253A6E" w:rsidRDefault="007D609C" w:rsidP="00A547B3">
      <w:pPr>
        <w:ind w:left="720"/>
        <w:rPr>
          <w:b/>
          <w:szCs w:val="24"/>
        </w:rPr>
      </w:pPr>
      <w:r w:rsidRPr="00253A6E">
        <w:rPr>
          <w:b/>
          <w:szCs w:val="24"/>
        </w:rPr>
        <w:t>Proposed Revisions</w:t>
      </w:r>
    </w:p>
    <w:p w:rsidR="00A547B3" w:rsidRPr="00253A6E" w:rsidRDefault="00A547B3" w:rsidP="00A547B3">
      <w:pPr>
        <w:ind w:left="720"/>
        <w:rPr>
          <w:szCs w:val="24"/>
        </w:rPr>
      </w:pPr>
    </w:p>
    <w:p w:rsidR="00292608" w:rsidRPr="00253A6E" w:rsidRDefault="00A411BB" w:rsidP="00A547B3">
      <w:pPr>
        <w:ind w:firstLine="720"/>
        <w:rPr>
          <w:szCs w:val="24"/>
        </w:rPr>
      </w:pPr>
      <w:r w:rsidRPr="00253A6E">
        <w:rPr>
          <w:szCs w:val="24"/>
        </w:rPr>
        <w:t>The Federal Reserve</w:t>
      </w:r>
      <w:r w:rsidR="007D609C" w:rsidRPr="00253A6E">
        <w:rPr>
          <w:szCs w:val="24"/>
        </w:rPr>
        <w:t xml:space="preserve"> proposes to revise </w:t>
      </w:r>
      <w:r w:rsidR="00FB648C" w:rsidRPr="00253A6E">
        <w:rPr>
          <w:szCs w:val="24"/>
        </w:rPr>
        <w:t xml:space="preserve">the </w:t>
      </w:r>
      <w:r w:rsidR="007D609C" w:rsidRPr="00253A6E">
        <w:rPr>
          <w:szCs w:val="24"/>
        </w:rPr>
        <w:t xml:space="preserve">survey </w:t>
      </w:r>
      <w:r w:rsidR="007B62A7" w:rsidRPr="00253A6E">
        <w:rPr>
          <w:szCs w:val="24"/>
        </w:rPr>
        <w:t>in order to</w:t>
      </w:r>
      <w:r w:rsidR="00D82EC1" w:rsidRPr="00253A6E">
        <w:rPr>
          <w:szCs w:val="24"/>
        </w:rPr>
        <w:t xml:space="preserve"> (1)</w:t>
      </w:r>
      <w:r w:rsidR="007B62A7" w:rsidRPr="00253A6E">
        <w:rPr>
          <w:szCs w:val="24"/>
        </w:rPr>
        <w:t xml:space="preserve"> maximize</w:t>
      </w:r>
      <w:r w:rsidR="00936B7A" w:rsidRPr="00253A6E">
        <w:rPr>
          <w:szCs w:val="24"/>
        </w:rPr>
        <w:t xml:space="preserve"> the</w:t>
      </w:r>
      <w:r w:rsidR="002039DF" w:rsidRPr="00253A6E">
        <w:rPr>
          <w:szCs w:val="24"/>
        </w:rPr>
        <w:t xml:space="preserve"> </w:t>
      </w:r>
      <w:r w:rsidR="007D609C" w:rsidRPr="00253A6E">
        <w:rPr>
          <w:szCs w:val="24"/>
        </w:rPr>
        <w:t>response rate</w:t>
      </w:r>
      <w:r w:rsidR="00FF3526" w:rsidRPr="00253A6E">
        <w:rPr>
          <w:szCs w:val="24"/>
        </w:rPr>
        <w:t xml:space="preserve">, </w:t>
      </w:r>
      <w:r w:rsidR="00D82EC1" w:rsidRPr="00253A6E">
        <w:rPr>
          <w:szCs w:val="24"/>
        </w:rPr>
        <w:t xml:space="preserve">(2) </w:t>
      </w:r>
      <w:r w:rsidR="00D80C1A" w:rsidRPr="00253A6E">
        <w:rPr>
          <w:szCs w:val="24"/>
        </w:rPr>
        <w:t xml:space="preserve">improve the ability of respondents to answer </w:t>
      </w:r>
      <w:r w:rsidR="00727722" w:rsidRPr="00253A6E">
        <w:rPr>
          <w:szCs w:val="24"/>
        </w:rPr>
        <w:t xml:space="preserve">the </w:t>
      </w:r>
      <w:r w:rsidR="00D80C1A" w:rsidRPr="00253A6E">
        <w:rPr>
          <w:szCs w:val="24"/>
        </w:rPr>
        <w:t xml:space="preserve">questions without additional </w:t>
      </w:r>
      <w:r w:rsidR="00FD1C14" w:rsidRPr="00253A6E">
        <w:rPr>
          <w:szCs w:val="24"/>
        </w:rPr>
        <w:t>burden</w:t>
      </w:r>
      <w:r w:rsidR="00FF3526" w:rsidRPr="00253A6E">
        <w:rPr>
          <w:szCs w:val="24"/>
        </w:rPr>
        <w:t>,</w:t>
      </w:r>
      <w:r w:rsidR="00DD7A95" w:rsidRPr="00253A6E">
        <w:rPr>
          <w:szCs w:val="24"/>
        </w:rPr>
        <w:t xml:space="preserve"> and</w:t>
      </w:r>
      <w:r w:rsidR="00D82EC1" w:rsidRPr="00253A6E">
        <w:rPr>
          <w:szCs w:val="24"/>
        </w:rPr>
        <w:t xml:space="preserve"> (3) </w:t>
      </w:r>
      <w:r w:rsidR="007D609C" w:rsidRPr="00253A6E">
        <w:rPr>
          <w:szCs w:val="24"/>
        </w:rPr>
        <w:t>improve the abilit</w:t>
      </w:r>
      <w:r w:rsidR="00037982" w:rsidRPr="00253A6E">
        <w:rPr>
          <w:szCs w:val="24"/>
        </w:rPr>
        <w:t>y</w:t>
      </w:r>
      <w:r w:rsidR="004B6610" w:rsidRPr="00253A6E">
        <w:rPr>
          <w:szCs w:val="24"/>
        </w:rPr>
        <w:t xml:space="preserve"> of </w:t>
      </w:r>
      <w:r w:rsidRPr="00253A6E">
        <w:rPr>
          <w:szCs w:val="24"/>
        </w:rPr>
        <w:t xml:space="preserve">the Federal Reserve </w:t>
      </w:r>
      <w:r w:rsidR="007D609C" w:rsidRPr="00253A6E">
        <w:rPr>
          <w:szCs w:val="24"/>
        </w:rPr>
        <w:t>to analyze consumer credit outstanding held by finance companies in order to make informed policy decisions.</w:t>
      </w:r>
      <w:r w:rsidR="00201AC1" w:rsidRPr="00253A6E">
        <w:rPr>
          <w:szCs w:val="24"/>
        </w:rPr>
        <w:t xml:space="preserve">  </w:t>
      </w:r>
      <w:r w:rsidRPr="00253A6E">
        <w:rPr>
          <w:szCs w:val="24"/>
        </w:rPr>
        <w:t xml:space="preserve">The Federal Reserve </w:t>
      </w:r>
      <w:r w:rsidR="00A52E9A" w:rsidRPr="00253A6E">
        <w:rPr>
          <w:szCs w:val="24"/>
        </w:rPr>
        <w:t xml:space="preserve">proposes the following revisions to the </w:t>
      </w:r>
      <w:r w:rsidR="00F3525D" w:rsidRPr="00253A6E">
        <w:rPr>
          <w:szCs w:val="24"/>
        </w:rPr>
        <w:t xml:space="preserve">cover page, </w:t>
      </w:r>
      <w:r w:rsidR="00FB648C" w:rsidRPr="00253A6E">
        <w:rPr>
          <w:szCs w:val="24"/>
        </w:rPr>
        <w:t>reporting form</w:t>
      </w:r>
      <w:r w:rsidR="00037982" w:rsidRPr="00253A6E">
        <w:rPr>
          <w:szCs w:val="24"/>
        </w:rPr>
        <w:t>,</w:t>
      </w:r>
      <w:r w:rsidR="00A52E9A" w:rsidRPr="00253A6E">
        <w:rPr>
          <w:szCs w:val="24"/>
        </w:rPr>
        <w:t xml:space="preserve"> and instructions:</w:t>
      </w:r>
    </w:p>
    <w:p w:rsidR="00292608" w:rsidRPr="00253A6E" w:rsidRDefault="00F3525D" w:rsidP="00292608">
      <w:pPr>
        <w:rPr>
          <w:szCs w:val="24"/>
        </w:rPr>
      </w:pPr>
      <w:r w:rsidRPr="00253A6E">
        <w:rPr>
          <w:szCs w:val="24"/>
        </w:rPr>
        <w:t xml:space="preserve"> </w:t>
      </w:r>
    </w:p>
    <w:p w:rsidR="00F3525D" w:rsidRPr="00253A6E" w:rsidRDefault="00F3525D" w:rsidP="00292608">
      <w:pPr>
        <w:rPr>
          <w:szCs w:val="24"/>
        </w:rPr>
      </w:pPr>
      <w:r w:rsidRPr="00253A6E">
        <w:rPr>
          <w:i/>
          <w:szCs w:val="24"/>
        </w:rPr>
        <w:t>General changes to the Cover page:</w:t>
      </w:r>
    </w:p>
    <w:p w:rsidR="00D62790" w:rsidRPr="00253A6E" w:rsidRDefault="00742ED1">
      <w:pPr>
        <w:pStyle w:val="ListParagraph"/>
        <w:numPr>
          <w:ilvl w:val="0"/>
          <w:numId w:val="37"/>
        </w:numPr>
        <w:ind w:left="720"/>
        <w:rPr>
          <w:szCs w:val="24"/>
        </w:rPr>
      </w:pPr>
      <w:r w:rsidRPr="00253A6E">
        <w:rPr>
          <w:szCs w:val="24"/>
        </w:rPr>
        <w:t xml:space="preserve">Change the survey title from </w:t>
      </w:r>
      <w:r w:rsidRPr="00253A6E">
        <w:rPr>
          <w:i/>
          <w:szCs w:val="24"/>
        </w:rPr>
        <w:t>Finance Company Survey</w:t>
      </w:r>
      <w:r w:rsidRPr="00253A6E">
        <w:rPr>
          <w:szCs w:val="24"/>
        </w:rPr>
        <w:t xml:space="preserve"> to </w:t>
      </w:r>
      <w:r w:rsidRPr="00253A6E">
        <w:rPr>
          <w:i/>
          <w:szCs w:val="24"/>
        </w:rPr>
        <w:t>Survey of Finance Companies</w:t>
      </w:r>
      <w:r w:rsidRPr="00253A6E">
        <w:rPr>
          <w:szCs w:val="24"/>
        </w:rPr>
        <w:t xml:space="preserve">.  </w:t>
      </w:r>
    </w:p>
    <w:p w:rsidR="00D62790" w:rsidRPr="00253A6E" w:rsidRDefault="002F4B8B">
      <w:pPr>
        <w:pStyle w:val="ListParagraph"/>
        <w:numPr>
          <w:ilvl w:val="0"/>
          <w:numId w:val="34"/>
        </w:numPr>
        <w:ind w:left="720"/>
        <w:rPr>
          <w:szCs w:val="24"/>
        </w:rPr>
      </w:pPr>
      <w:r w:rsidRPr="00253A6E">
        <w:rPr>
          <w:szCs w:val="24"/>
        </w:rPr>
        <w:t xml:space="preserve">Modify </w:t>
      </w:r>
      <w:r w:rsidR="00EC38F3" w:rsidRPr="00253A6E">
        <w:rPr>
          <w:szCs w:val="24"/>
        </w:rPr>
        <w:t xml:space="preserve">the </w:t>
      </w:r>
      <w:r w:rsidRPr="00253A6E">
        <w:rPr>
          <w:szCs w:val="24"/>
        </w:rPr>
        <w:t xml:space="preserve">cover page to include </w:t>
      </w:r>
      <w:r w:rsidR="000A089E" w:rsidRPr="00253A6E">
        <w:rPr>
          <w:szCs w:val="24"/>
        </w:rPr>
        <w:t xml:space="preserve">the </w:t>
      </w:r>
      <w:r w:rsidRPr="00253A6E">
        <w:rPr>
          <w:szCs w:val="24"/>
        </w:rPr>
        <w:t>purpose of the survey</w:t>
      </w:r>
      <w:r w:rsidR="006422BD" w:rsidRPr="00253A6E">
        <w:rPr>
          <w:szCs w:val="24"/>
        </w:rPr>
        <w:t xml:space="preserve"> and </w:t>
      </w:r>
      <w:r w:rsidR="00D82EC1" w:rsidRPr="00253A6E">
        <w:rPr>
          <w:szCs w:val="24"/>
        </w:rPr>
        <w:t xml:space="preserve">add </w:t>
      </w:r>
      <w:r w:rsidR="000A089E" w:rsidRPr="00253A6E">
        <w:rPr>
          <w:szCs w:val="24"/>
        </w:rPr>
        <w:t xml:space="preserve">Federal Reserve </w:t>
      </w:r>
      <w:r w:rsidR="00D82EC1" w:rsidRPr="00253A6E">
        <w:rPr>
          <w:szCs w:val="24"/>
        </w:rPr>
        <w:t xml:space="preserve">contact information to </w:t>
      </w:r>
      <w:r w:rsidR="006422BD" w:rsidRPr="00253A6E">
        <w:rPr>
          <w:szCs w:val="24"/>
        </w:rPr>
        <w:t>assist</w:t>
      </w:r>
      <w:r w:rsidR="00D82EC1" w:rsidRPr="00253A6E">
        <w:rPr>
          <w:szCs w:val="24"/>
        </w:rPr>
        <w:t xml:space="preserve"> respondents with</w:t>
      </w:r>
      <w:r w:rsidR="006422BD" w:rsidRPr="00253A6E">
        <w:rPr>
          <w:szCs w:val="24"/>
        </w:rPr>
        <w:t xml:space="preserve"> completing the survey.</w:t>
      </w:r>
    </w:p>
    <w:p w:rsidR="00D62790" w:rsidRPr="00253A6E" w:rsidRDefault="006422BD">
      <w:pPr>
        <w:pStyle w:val="ListParagraph"/>
        <w:numPr>
          <w:ilvl w:val="0"/>
          <w:numId w:val="34"/>
        </w:numPr>
        <w:ind w:left="720"/>
        <w:rPr>
          <w:szCs w:val="24"/>
        </w:rPr>
      </w:pPr>
      <w:r w:rsidRPr="00253A6E">
        <w:rPr>
          <w:szCs w:val="24"/>
        </w:rPr>
        <w:t>Add</w:t>
      </w:r>
      <w:r w:rsidR="007869FA" w:rsidRPr="00253A6E">
        <w:rPr>
          <w:szCs w:val="24"/>
        </w:rPr>
        <w:t xml:space="preserve"> an</w:t>
      </w:r>
      <w:r w:rsidRPr="00253A6E">
        <w:rPr>
          <w:szCs w:val="24"/>
        </w:rPr>
        <w:t xml:space="preserve"> introductory pa</w:t>
      </w:r>
      <w:r w:rsidR="009C6E47" w:rsidRPr="00253A6E">
        <w:rPr>
          <w:szCs w:val="24"/>
        </w:rPr>
        <w:t>ge</w:t>
      </w:r>
      <w:r w:rsidR="007869FA" w:rsidRPr="00253A6E">
        <w:rPr>
          <w:szCs w:val="24"/>
        </w:rPr>
        <w:t xml:space="preserve"> to include</w:t>
      </w:r>
      <w:r w:rsidR="00E172DA" w:rsidRPr="00253A6E">
        <w:rPr>
          <w:szCs w:val="24"/>
        </w:rPr>
        <w:t xml:space="preserve">: </w:t>
      </w:r>
      <w:r w:rsidR="003D479A" w:rsidRPr="00253A6E">
        <w:rPr>
          <w:szCs w:val="24"/>
        </w:rPr>
        <w:t xml:space="preserve">(1) </w:t>
      </w:r>
      <w:r w:rsidR="00E172DA" w:rsidRPr="00253A6E">
        <w:rPr>
          <w:szCs w:val="24"/>
        </w:rPr>
        <w:t>definition</w:t>
      </w:r>
      <w:r w:rsidR="006F497E" w:rsidRPr="00253A6E">
        <w:rPr>
          <w:szCs w:val="24"/>
        </w:rPr>
        <w:t xml:space="preserve"> of </w:t>
      </w:r>
      <w:r w:rsidR="00292608" w:rsidRPr="00253A6E">
        <w:rPr>
          <w:szCs w:val="24"/>
        </w:rPr>
        <w:t xml:space="preserve">a </w:t>
      </w:r>
      <w:r w:rsidR="006F497E" w:rsidRPr="00253A6E">
        <w:rPr>
          <w:szCs w:val="24"/>
        </w:rPr>
        <w:t>finance company</w:t>
      </w:r>
      <w:r w:rsidR="00E172DA" w:rsidRPr="00253A6E">
        <w:rPr>
          <w:szCs w:val="24"/>
        </w:rPr>
        <w:t xml:space="preserve">, </w:t>
      </w:r>
      <w:r w:rsidR="003D479A" w:rsidRPr="00253A6E">
        <w:rPr>
          <w:szCs w:val="24"/>
        </w:rPr>
        <w:t xml:space="preserve">(2) </w:t>
      </w:r>
      <w:r w:rsidR="00E172DA" w:rsidRPr="00253A6E">
        <w:rPr>
          <w:szCs w:val="24"/>
        </w:rPr>
        <w:t xml:space="preserve">respondent contact information, and </w:t>
      </w:r>
      <w:r w:rsidR="003D479A" w:rsidRPr="00253A6E">
        <w:rPr>
          <w:szCs w:val="24"/>
        </w:rPr>
        <w:t>(</w:t>
      </w:r>
      <w:r w:rsidR="00B10CEE" w:rsidRPr="00253A6E">
        <w:rPr>
          <w:szCs w:val="24"/>
        </w:rPr>
        <w:t>3</w:t>
      </w:r>
      <w:r w:rsidR="003D479A" w:rsidRPr="00253A6E">
        <w:rPr>
          <w:szCs w:val="24"/>
        </w:rPr>
        <w:t xml:space="preserve">) </w:t>
      </w:r>
      <w:r w:rsidR="006F497E" w:rsidRPr="00253A6E">
        <w:rPr>
          <w:szCs w:val="24"/>
        </w:rPr>
        <w:t>introductory questions</w:t>
      </w:r>
      <w:r w:rsidR="009C6E47" w:rsidRPr="00253A6E">
        <w:rPr>
          <w:szCs w:val="24"/>
        </w:rPr>
        <w:t xml:space="preserve"> regarding consolidation rules</w:t>
      </w:r>
      <w:r w:rsidR="007869FA" w:rsidRPr="00253A6E">
        <w:rPr>
          <w:szCs w:val="24"/>
        </w:rPr>
        <w:t>.</w:t>
      </w:r>
    </w:p>
    <w:p w:rsidR="005E4F20" w:rsidRPr="00253A6E" w:rsidRDefault="005E4F20" w:rsidP="005E4F20">
      <w:pPr>
        <w:pStyle w:val="ListParagraph"/>
        <w:ind w:left="360"/>
        <w:rPr>
          <w:szCs w:val="24"/>
        </w:rPr>
      </w:pPr>
    </w:p>
    <w:p w:rsidR="005E4F20" w:rsidRPr="00253A6E" w:rsidRDefault="005E4F20" w:rsidP="005E4F20">
      <w:pPr>
        <w:rPr>
          <w:i/>
          <w:szCs w:val="24"/>
        </w:rPr>
      </w:pPr>
      <w:r w:rsidRPr="00253A6E">
        <w:rPr>
          <w:i/>
          <w:szCs w:val="24"/>
        </w:rPr>
        <w:t>General changes to the Balance Sheet and Off</w:t>
      </w:r>
      <w:r w:rsidR="00037982" w:rsidRPr="00253A6E">
        <w:rPr>
          <w:i/>
          <w:szCs w:val="24"/>
        </w:rPr>
        <w:t>-</w:t>
      </w:r>
      <w:r w:rsidRPr="00253A6E">
        <w:rPr>
          <w:i/>
          <w:szCs w:val="24"/>
        </w:rPr>
        <w:t>Balance</w:t>
      </w:r>
      <w:r w:rsidR="00037982" w:rsidRPr="00253A6E">
        <w:rPr>
          <w:i/>
          <w:szCs w:val="24"/>
        </w:rPr>
        <w:t>-</w:t>
      </w:r>
      <w:r w:rsidRPr="00253A6E">
        <w:rPr>
          <w:i/>
          <w:szCs w:val="24"/>
        </w:rPr>
        <w:t>Sheet Securitizations:</w:t>
      </w:r>
    </w:p>
    <w:p w:rsidR="00D62790" w:rsidRPr="00253A6E" w:rsidRDefault="005B0527">
      <w:pPr>
        <w:pStyle w:val="ListParagraph"/>
        <w:numPr>
          <w:ilvl w:val="0"/>
          <w:numId w:val="22"/>
        </w:numPr>
        <w:rPr>
          <w:szCs w:val="24"/>
        </w:rPr>
      </w:pPr>
      <w:r w:rsidRPr="00253A6E">
        <w:rPr>
          <w:szCs w:val="24"/>
        </w:rPr>
        <w:t xml:space="preserve">Reorder asset and liability data items from most liquid to least liquid to make the survey consistent with the </w:t>
      </w:r>
      <w:r w:rsidR="004308B8" w:rsidRPr="00253A6E">
        <w:rPr>
          <w:szCs w:val="24"/>
        </w:rPr>
        <w:t xml:space="preserve">order </w:t>
      </w:r>
      <w:r w:rsidR="00DA3B5B" w:rsidRPr="00253A6E">
        <w:rPr>
          <w:szCs w:val="24"/>
        </w:rPr>
        <w:t>of typical</w:t>
      </w:r>
      <w:r w:rsidR="001349A8" w:rsidRPr="00253A6E">
        <w:rPr>
          <w:szCs w:val="24"/>
        </w:rPr>
        <w:t xml:space="preserve"> balance sheet presentation</w:t>
      </w:r>
      <w:r w:rsidR="00DA3B5B" w:rsidRPr="00253A6E">
        <w:rPr>
          <w:szCs w:val="24"/>
        </w:rPr>
        <w:t>s</w:t>
      </w:r>
      <w:r w:rsidR="00B54960" w:rsidRPr="00253A6E">
        <w:rPr>
          <w:szCs w:val="24"/>
        </w:rPr>
        <w:t>.</w:t>
      </w:r>
      <w:r w:rsidR="00D47BED" w:rsidRPr="00253A6E">
        <w:rPr>
          <w:szCs w:val="24"/>
        </w:rPr>
        <w:t xml:space="preserve"> </w:t>
      </w:r>
    </w:p>
    <w:p w:rsidR="00A17388" w:rsidRPr="00253A6E" w:rsidRDefault="00A402D5" w:rsidP="00A17388">
      <w:pPr>
        <w:pStyle w:val="ListParagraph"/>
        <w:numPr>
          <w:ilvl w:val="0"/>
          <w:numId w:val="22"/>
        </w:numPr>
        <w:rPr>
          <w:szCs w:val="24"/>
        </w:rPr>
      </w:pPr>
      <w:r w:rsidRPr="00253A6E">
        <w:rPr>
          <w:szCs w:val="24"/>
        </w:rPr>
        <w:t>A</w:t>
      </w:r>
      <w:r w:rsidR="00E72810" w:rsidRPr="00253A6E">
        <w:rPr>
          <w:szCs w:val="24"/>
        </w:rPr>
        <w:t>lign the supplemental</w:t>
      </w:r>
      <w:r w:rsidR="00D41111" w:rsidRPr="00253A6E">
        <w:rPr>
          <w:szCs w:val="24"/>
        </w:rPr>
        <w:t xml:space="preserve"> data</w:t>
      </w:r>
      <w:r w:rsidR="00E72810" w:rsidRPr="00253A6E">
        <w:rPr>
          <w:szCs w:val="24"/>
        </w:rPr>
        <w:t xml:space="preserve"> items (off-balance</w:t>
      </w:r>
      <w:r w:rsidR="00037982" w:rsidRPr="00253A6E">
        <w:rPr>
          <w:szCs w:val="24"/>
        </w:rPr>
        <w:t>-</w:t>
      </w:r>
      <w:r w:rsidR="00E72810" w:rsidRPr="00253A6E">
        <w:rPr>
          <w:szCs w:val="24"/>
        </w:rPr>
        <w:t xml:space="preserve">sheet securitizations) to parallel the column for balance sheet data items.  The definitions for </w:t>
      </w:r>
      <w:r w:rsidRPr="00253A6E">
        <w:rPr>
          <w:szCs w:val="24"/>
        </w:rPr>
        <w:t xml:space="preserve">the </w:t>
      </w:r>
      <w:r w:rsidR="00E72810" w:rsidRPr="00253A6E">
        <w:rPr>
          <w:szCs w:val="24"/>
        </w:rPr>
        <w:t>data items in both columns are essentially the same.</w:t>
      </w:r>
    </w:p>
    <w:p w:rsidR="00D47BED" w:rsidRPr="006033DE" w:rsidRDefault="008801B3" w:rsidP="00EE238F">
      <w:pPr>
        <w:pStyle w:val="ListParagraph"/>
        <w:numPr>
          <w:ilvl w:val="0"/>
          <w:numId w:val="22"/>
        </w:numPr>
        <w:rPr>
          <w:szCs w:val="24"/>
        </w:rPr>
      </w:pPr>
      <w:proofErr w:type="spellStart"/>
      <w:r w:rsidRPr="006033DE">
        <w:rPr>
          <w:color w:val="000000"/>
          <w:szCs w:val="24"/>
        </w:rPr>
        <w:t>Retitle</w:t>
      </w:r>
      <w:proofErr w:type="spellEnd"/>
      <w:r w:rsidRPr="006033DE">
        <w:rPr>
          <w:color w:val="000000"/>
          <w:szCs w:val="24"/>
        </w:rPr>
        <w:t xml:space="preserve"> column Amount Outstanding End of Month as Loan and Lease Activity and </w:t>
      </w:r>
      <w:r w:rsidR="00DD520E" w:rsidRPr="006033DE">
        <w:rPr>
          <w:snapToGrid/>
          <w:color w:val="000000"/>
          <w:szCs w:val="24"/>
        </w:rPr>
        <w:t xml:space="preserve">add a </w:t>
      </w:r>
      <w:r w:rsidRPr="006033DE">
        <w:rPr>
          <w:color w:val="000000"/>
          <w:szCs w:val="24"/>
        </w:rPr>
        <w:t xml:space="preserve">column </w:t>
      </w:r>
      <w:r w:rsidR="00DD520E" w:rsidRPr="006033DE">
        <w:rPr>
          <w:snapToGrid/>
          <w:color w:val="000000"/>
          <w:szCs w:val="24"/>
        </w:rPr>
        <w:t>for</w:t>
      </w:r>
      <w:r w:rsidRPr="006033DE">
        <w:rPr>
          <w:color w:val="000000"/>
          <w:szCs w:val="24"/>
        </w:rPr>
        <w:t xml:space="preserve"> </w:t>
      </w:r>
      <w:r w:rsidR="00E956AE" w:rsidRPr="006033DE">
        <w:rPr>
          <w:color w:val="000000"/>
          <w:szCs w:val="24"/>
        </w:rPr>
        <w:t>broad b</w:t>
      </w:r>
      <w:r w:rsidRPr="006033DE">
        <w:rPr>
          <w:color w:val="000000"/>
          <w:szCs w:val="24"/>
        </w:rPr>
        <w:t xml:space="preserve">alance </w:t>
      </w:r>
      <w:r w:rsidR="00E956AE" w:rsidRPr="006033DE">
        <w:rPr>
          <w:color w:val="000000"/>
          <w:szCs w:val="24"/>
        </w:rPr>
        <w:t>s</w:t>
      </w:r>
      <w:r w:rsidRPr="006033DE">
        <w:rPr>
          <w:color w:val="000000"/>
          <w:szCs w:val="24"/>
        </w:rPr>
        <w:t xml:space="preserve">heet </w:t>
      </w:r>
      <w:r w:rsidR="00D41111" w:rsidRPr="006033DE">
        <w:rPr>
          <w:color w:val="000000"/>
          <w:szCs w:val="24"/>
        </w:rPr>
        <w:t xml:space="preserve">data </w:t>
      </w:r>
      <w:r w:rsidR="00E956AE" w:rsidRPr="006033DE">
        <w:rPr>
          <w:color w:val="000000"/>
          <w:szCs w:val="24"/>
        </w:rPr>
        <w:t>i</w:t>
      </w:r>
      <w:r w:rsidRPr="006033DE">
        <w:rPr>
          <w:color w:val="000000"/>
          <w:szCs w:val="24"/>
        </w:rPr>
        <w:t>tems.</w:t>
      </w:r>
      <w:r w:rsidR="005E59F5" w:rsidRPr="006033DE">
        <w:rPr>
          <w:snapToGrid/>
          <w:color w:val="000000"/>
          <w:szCs w:val="24"/>
        </w:rPr>
        <w:t xml:space="preserve"> </w:t>
      </w:r>
      <w:r w:rsidRPr="006033DE">
        <w:rPr>
          <w:color w:val="000000"/>
          <w:szCs w:val="24"/>
        </w:rPr>
        <w:t xml:space="preserve"> </w:t>
      </w:r>
      <w:r w:rsidR="00544377" w:rsidRPr="006033DE">
        <w:rPr>
          <w:color w:val="000000"/>
          <w:szCs w:val="24"/>
        </w:rPr>
        <w:t>T</w:t>
      </w:r>
      <w:r w:rsidR="006806F8" w:rsidRPr="006033DE">
        <w:rPr>
          <w:szCs w:val="24"/>
        </w:rPr>
        <w:t>he Federal Reserve</w:t>
      </w:r>
      <w:r w:rsidR="00C13961" w:rsidRPr="006033DE">
        <w:rPr>
          <w:szCs w:val="24"/>
        </w:rPr>
        <w:t xml:space="preserve"> </w:t>
      </w:r>
      <w:r w:rsidR="005E59F5" w:rsidRPr="006033DE">
        <w:rPr>
          <w:color w:val="000000"/>
          <w:szCs w:val="24"/>
        </w:rPr>
        <w:t>propo</w:t>
      </w:r>
      <w:r w:rsidR="00404DC8" w:rsidRPr="006033DE">
        <w:rPr>
          <w:color w:val="000000"/>
          <w:szCs w:val="24"/>
        </w:rPr>
        <w:t>s</w:t>
      </w:r>
      <w:r w:rsidR="00602F46" w:rsidRPr="006033DE">
        <w:rPr>
          <w:color w:val="000000"/>
          <w:szCs w:val="24"/>
        </w:rPr>
        <w:t>es</w:t>
      </w:r>
      <w:r w:rsidR="00EE238F" w:rsidRPr="006033DE">
        <w:rPr>
          <w:color w:val="000000"/>
          <w:szCs w:val="24"/>
        </w:rPr>
        <w:t xml:space="preserve"> </w:t>
      </w:r>
      <w:r w:rsidR="00EE238F" w:rsidRPr="006033DE">
        <w:rPr>
          <w:snapToGrid/>
          <w:color w:val="000000"/>
          <w:szCs w:val="24"/>
        </w:rPr>
        <w:t>adding a column for the off-balance-sheet securitization data items.</w:t>
      </w:r>
    </w:p>
    <w:p w:rsidR="00D62790" w:rsidRPr="00253A6E" w:rsidRDefault="004B4ABE">
      <w:pPr>
        <w:pStyle w:val="ListParagraph"/>
        <w:numPr>
          <w:ilvl w:val="0"/>
          <w:numId w:val="22"/>
        </w:numPr>
        <w:rPr>
          <w:szCs w:val="24"/>
        </w:rPr>
      </w:pPr>
      <w:r w:rsidRPr="00253A6E">
        <w:rPr>
          <w:szCs w:val="24"/>
        </w:rPr>
        <w:t xml:space="preserve">Clarify various data items with brief </w:t>
      </w:r>
      <w:r w:rsidR="00FF55E6" w:rsidRPr="00253A6E">
        <w:rPr>
          <w:szCs w:val="24"/>
        </w:rPr>
        <w:t>descriptive</w:t>
      </w:r>
      <w:r w:rsidRPr="00253A6E">
        <w:rPr>
          <w:szCs w:val="24"/>
        </w:rPr>
        <w:t xml:space="preserve"> </w:t>
      </w:r>
      <w:r w:rsidR="00FF55E6" w:rsidRPr="00253A6E">
        <w:rPr>
          <w:szCs w:val="24"/>
        </w:rPr>
        <w:t>captions</w:t>
      </w:r>
      <w:r w:rsidR="008214F5" w:rsidRPr="00253A6E">
        <w:rPr>
          <w:szCs w:val="24"/>
        </w:rPr>
        <w:t>.</w:t>
      </w:r>
      <w:r w:rsidR="008208B8">
        <w:rPr>
          <w:szCs w:val="24"/>
        </w:rPr>
        <w:t xml:space="preserve">  </w:t>
      </w:r>
    </w:p>
    <w:p w:rsidR="00AA460B" w:rsidRPr="00253A6E" w:rsidRDefault="009E199A" w:rsidP="00C43AA0">
      <w:pPr>
        <w:pStyle w:val="ListParagraph"/>
        <w:numPr>
          <w:ilvl w:val="0"/>
          <w:numId w:val="22"/>
        </w:numPr>
        <w:rPr>
          <w:szCs w:val="24"/>
        </w:rPr>
      </w:pPr>
      <w:r w:rsidRPr="00253A6E">
        <w:rPr>
          <w:szCs w:val="24"/>
        </w:rPr>
        <w:t xml:space="preserve">Add </w:t>
      </w:r>
      <w:r w:rsidR="00A17388" w:rsidRPr="00253A6E">
        <w:rPr>
          <w:szCs w:val="24"/>
        </w:rPr>
        <w:t>section headers</w:t>
      </w:r>
      <w:r w:rsidRPr="00253A6E">
        <w:rPr>
          <w:szCs w:val="24"/>
        </w:rPr>
        <w:t xml:space="preserve"> that direct respondents to skip sections </w:t>
      </w:r>
      <w:r w:rsidR="00A17388" w:rsidRPr="00253A6E">
        <w:rPr>
          <w:szCs w:val="24"/>
        </w:rPr>
        <w:t xml:space="preserve">that are </w:t>
      </w:r>
      <w:r w:rsidRPr="00253A6E">
        <w:rPr>
          <w:szCs w:val="24"/>
        </w:rPr>
        <w:t>not applicable</w:t>
      </w:r>
      <w:r w:rsidR="007B62A7" w:rsidRPr="00253A6E">
        <w:rPr>
          <w:szCs w:val="24"/>
        </w:rPr>
        <w:t xml:space="preserve"> to their company</w:t>
      </w:r>
      <w:r w:rsidRPr="00253A6E">
        <w:rPr>
          <w:szCs w:val="24"/>
        </w:rPr>
        <w:t>.</w:t>
      </w:r>
      <w:r w:rsidR="005B0527" w:rsidRPr="00253A6E">
        <w:rPr>
          <w:szCs w:val="24"/>
        </w:rPr>
        <w:t xml:space="preserve"> </w:t>
      </w:r>
    </w:p>
    <w:p w:rsidR="008801B3" w:rsidRPr="00253A6E" w:rsidRDefault="008801B3" w:rsidP="008801B3">
      <w:pPr>
        <w:ind w:firstLine="360"/>
        <w:rPr>
          <w:i/>
          <w:szCs w:val="24"/>
        </w:rPr>
      </w:pPr>
    </w:p>
    <w:p w:rsidR="008801B3" w:rsidRPr="00253A6E" w:rsidRDefault="005E4F20" w:rsidP="008801B3">
      <w:pPr>
        <w:rPr>
          <w:i/>
          <w:szCs w:val="24"/>
        </w:rPr>
      </w:pPr>
      <w:r w:rsidRPr="00253A6E">
        <w:rPr>
          <w:i/>
          <w:szCs w:val="24"/>
        </w:rPr>
        <w:t>Specific changes to the Balance Sheet</w:t>
      </w:r>
    </w:p>
    <w:p w:rsidR="005E4F20" w:rsidRPr="00253A6E" w:rsidRDefault="005E4F20" w:rsidP="005E4F20">
      <w:pPr>
        <w:ind w:left="360"/>
        <w:rPr>
          <w:i/>
          <w:szCs w:val="24"/>
        </w:rPr>
      </w:pPr>
      <w:r w:rsidRPr="00253A6E">
        <w:rPr>
          <w:i/>
          <w:szCs w:val="24"/>
        </w:rPr>
        <w:t>Assets</w:t>
      </w:r>
    </w:p>
    <w:p w:rsidR="00D62790" w:rsidRPr="00253A6E" w:rsidRDefault="00D40CDE" w:rsidP="00D40CDE">
      <w:pPr>
        <w:pStyle w:val="ListParagraph"/>
        <w:numPr>
          <w:ilvl w:val="0"/>
          <w:numId w:val="22"/>
        </w:numPr>
        <w:rPr>
          <w:szCs w:val="24"/>
        </w:rPr>
      </w:pPr>
      <w:r w:rsidRPr="00253A6E">
        <w:rPr>
          <w:szCs w:val="24"/>
        </w:rPr>
        <w:t>Provide a separate breakout for data items: 1. Cash and cash equivalents and 2. Securities currently included in data item 6. Other assets and accounts and notes receivable</w:t>
      </w:r>
      <w:r w:rsidR="00DA3B5B" w:rsidRPr="00253A6E">
        <w:rPr>
          <w:szCs w:val="24"/>
        </w:rPr>
        <w:t xml:space="preserve">.  </w:t>
      </w:r>
      <w:r w:rsidRPr="00253A6E">
        <w:rPr>
          <w:szCs w:val="24"/>
        </w:rPr>
        <w:t xml:space="preserve">The proposed change would be consistent with the order of typical balance sheet presentations.  </w:t>
      </w:r>
      <w:r w:rsidR="005B0527" w:rsidRPr="00253A6E">
        <w:rPr>
          <w:szCs w:val="24"/>
        </w:rPr>
        <w:t xml:space="preserve"> </w:t>
      </w:r>
    </w:p>
    <w:p w:rsidR="00C822E8" w:rsidRPr="00253A6E" w:rsidRDefault="00C822E8" w:rsidP="00C822E8">
      <w:pPr>
        <w:pStyle w:val="ListParagraph"/>
        <w:numPr>
          <w:ilvl w:val="0"/>
          <w:numId w:val="22"/>
        </w:numPr>
        <w:rPr>
          <w:szCs w:val="24"/>
        </w:rPr>
      </w:pPr>
      <w:r w:rsidRPr="00253A6E">
        <w:rPr>
          <w:szCs w:val="24"/>
        </w:rPr>
        <w:t>Report all capital leases for consumers and businesses separately</w:t>
      </w:r>
      <w:r w:rsidR="00DA3B5B" w:rsidRPr="00253A6E">
        <w:rPr>
          <w:szCs w:val="24"/>
        </w:rPr>
        <w:t>.  A</w:t>
      </w:r>
      <w:r w:rsidRPr="00253A6E">
        <w:rPr>
          <w:szCs w:val="24"/>
        </w:rPr>
        <w:t>lso, report all operating leases for consumers and businesses separately.  Capital and operating leases differ both in their risk and return to the finance company as well as their accounting treatment.</w:t>
      </w:r>
    </w:p>
    <w:p w:rsidR="00161A2D" w:rsidRPr="00253A6E" w:rsidRDefault="000A089E" w:rsidP="00B12205">
      <w:pPr>
        <w:pStyle w:val="ListParagraph"/>
        <w:numPr>
          <w:ilvl w:val="0"/>
          <w:numId w:val="22"/>
        </w:numPr>
        <w:rPr>
          <w:szCs w:val="24"/>
        </w:rPr>
      </w:pPr>
      <w:r w:rsidRPr="00253A6E">
        <w:rPr>
          <w:szCs w:val="24"/>
        </w:rPr>
        <w:t xml:space="preserve">Renumber and </w:t>
      </w:r>
      <w:proofErr w:type="spellStart"/>
      <w:r w:rsidRPr="00253A6E">
        <w:rPr>
          <w:szCs w:val="24"/>
        </w:rPr>
        <w:t>r</w:t>
      </w:r>
      <w:r w:rsidR="00727722" w:rsidRPr="00253A6E">
        <w:rPr>
          <w:szCs w:val="24"/>
        </w:rPr>
        <w:t>etitle</w:t>
      </w:r>
      <w:proofErr w:type="spellEnd"/>
      <w:r w:rsidR="00727722" w:rsidRPr="00253A6E">
        <w:rPr>
          <w:szCs w:val="24"/>
        </w:rPr>
        <w:t xml:space="preserve"> </w:t>
      </w:r>
      <w:r w:rsidR="0004728E" w:rsidRPr="00253A6E">
        <w:rPr>
          <w:szCs w:val="24"/>
        </w:rPr>
        <w:t xml:space="preserve">line </w:t>
      </w:r>
      <w:r w:rsidR="00161A2D" w:rsidRPr="00253A6E">
        <w:rPr>
          <w:szCs w:val="24"/>
        </w:rPr>
        <w:t>2</w:t>
      </w:r>
      <w:r w:rsidR="00451040" w:rsidRPr="00253A6E">
        <w:rPr>
          <w:szCs w:val="24"/>
        </w:rPr>
        <w:t>.</w:t>
      </w:r>
      <w:r w:rsidR="00727722" w:rsidRPr="00253A6E">
        <w:rPr>
          <w:szCs w:val="24"/>
        </w:rPr>
        <w:t xml:space="preserve"> Loans secured by real estate </w:t>
      </w:r>
      <w:r w:rsidRPr="00253A6E">
        <w:rPr>
          <w:szCs w:val="24"/>
        </w:rPr>
        <w:t xml:space="preserve">as </w:t>
      </w:r>
      <w:r w:rsidR="001577EE" w:rsidRPr="00253A6E">
        <w:rPr>
          <w:szCs w:val="24"/>
        </w:rPr>
        <w:t>line 3.A</w:t>
      </w:r>
      <w:r w:rsidRPr="00253A6E">
        <w:rPr>
          <w:szCs w:val="24"/>
        </w:rPr>
        <w:t xml:space="preserve">. </w:t>
      </w:r>
      <w:r w:rsidR="00727722" w:rsidRPr="00253A6E">
        <w:rPr>
          <w:szCs w:val="24"/>
        </w:rPr>
        <w:t xml:space="preserve">Real </w:t>
      </w:r>
      <w:r w:rsidR="0004728E" w:rsidRPr="00253A6E">
        <w:rPr>
          <w:szCs w:val="24"/>
        </w:rPr>
        <w:t>e</w:t>
      </w:r>
      <w:r w:rsidR="00727722" w:rsidRPr="00253A6E">
        <w:rPr>
          <w:szCs w:val="24"/>
        </w:rPr>
        <w:t xml:space="preserve">state </w:t>
      </w:r>
      <w:r w:rsidR="0004728E" w:rsidRPr="00253A6E">
        <w:rPr>
          <w:szCs w:val="24"/>
        </w:rPr>
        <w:t>l</w:t>
      </w:r>
      <w:r w:rsidR="00727722" w:rsidRPr="00253A6E">
        <w:rPr>
          <w:szCs w:val="24"/>
        </w:rPr>
        <w:t>oans</w:t>
      </w:r>
      <w:r w:rsidR="00161A2D" w:rsidRPr="00253A6E">
        <w:rPr>
          <w:szCs w:val="24"/>
        </w:rPr>
        <w:t>.</w:t>
      </w:r>
    </w:p>
    <w:p w:rsidR="00C822E8" w:rsidRPr="00253A6E" w:rsidRDefault="00C822E8" w:rsidP="00161A2D">
      <w:pPr>
        <w:pStyle w:val="ListParagraph"/>
        <w:numPr>
          <w:ilvl w:val="0"/>
          <w:numId w:val="22"/>
        </w:numPr>
        <w:rPr>
          <w:szCs w:val="24"/>
        </w:rPr>
      </w:pPr>
      <w:r w:rsidRPr="00253A6E">
        <w:rPr>
          <w:szCs w:val="24"/>
        </w:rPr>
        <w:t xml:space="preserve">Renumber, </w:t>
      </w:r>
      <w:proofErr w:type="spellStart"/>
      <w:r w:rsidRPr="00253A6E">
        <w:rPr>
          <w:szCs w:val="24"/>
        </w:rPr>
        <w:t>retitle</w:t>
      </w:r>
      <w:proofErr w:type="spellEnd"/>
      <w:r w:rsidRPr="00253A6E">
        <w:rPr>
          <w:szCs w:val="24"/>
        </w:rPr>
        <w:t xml:space="preserve">, and redefine data item 3.C. Other business receivables as </w:t>
      </w:r>
      <w:proofErr w:type="gramStart"/>
      <w:r w:rsidRPr="00253A6E">
        <w:rPr>
          <w:szCs w:val="24"/>
        </w:rPr>
        <w:t>3.C(</w:t>
      </w:r>
      <w:proofErr w:type="gramEnd"/>
      <w:r w:rsidRPr="00253A6E">
        <w:rPr>
          <w:szCs w:val="24"/>
        </w:rPr>
        <w:t>3).  Other business loans, to exclude other business capital leases.</w:t>
      </w:r>
    </w:p>
    <w:p w:rsidR="00C822E8" w:rsidRPr="00253A6E" w:rsidRDefault="00C822E8" w:rsidP="00C822E8">
      <w:pPr>
        <w:pStyle w:val="ListParagraph"/>
        <w:numPr>
          <w:ilvl w:val="0"/>
          <w:numId w:val="22"/>
        </w:numPr>
        <w:rPr>
          <w:szCs w:val="24"/>
        </w:rPr>
      </w:pPr>
      <w:r w:rsidRPr="00253A6E">
        <w:rPr>
          <w:szCs w:val="24"/>
        </w:rPr>
        <w:lastRenderedPageBreak/>
        <w:t xml:space="preserve">Add data item </w:t>
      </w:r>
      <w:proofErr w:type="gramStart"/>
      <w:r w:rsidRPr="00253A6E">
        <w:rPr>
          <w:szCs w:val="24"/>
        </w:rPr>
        <w:t>3.D</w:t>
      </w:r>
      <w:r w:rsidR="00A15C2D" w:rsidRPr="00253A6E">
        <w:rPr>
          <w:szCs w:val="24"/>
        </w:rPr>
        <w:t>(</w:t>
      </w:r>
      <w:proofErr w:type="gramEnd"/>
      <w:r w:rsidRPr="00253A6E">
        <w:rPr>
          <w:szCs w:val="24"/>
        </w:rPr>
        <w:t>1)(b). Consumer capital leases, non</w:t>
      </w:r>
      <w:r w:rsidR="00E661CD" w:rsidRPr="00253A6E">
        <w:rPr>
          <w:szCs w:val="24"/>
        </w:rPr>
        <w:t>-</w:t>
      </w:r>
      <w:r w:rsidRPr="00253A6E">
        <w:rPr>
          <w:szCs w:val="24"/>
        </w:rPr>
        <w:t>motor</w:t>
      </w:r>
      <w:r w:rsidR="0004728E" w:rsidRPr="00253A6E">
        <w:rPr>
          <w:szCs w:val="24"/>
        </w:rPr>
        <w:t>-</w:t>
      </w:r>
      <w:r w:rsidRPr="00253A6E">
        <w:rPr>
          <w:szCs w:val="24"/>
        </w:rPr>
        <w:t>vehicle leases, under the capital lease category.  This change would be consistent with the treatment of business capital leases on a company’s financial statement.</w:t>
      </w:r>
    </w:p>
    <w:p w:rsidR="00C822E8" w:rsidRPr="00253A6E" w:rsidRDefault="00C822E8" w:rsidP="00C822E8">
      <w:pPr>
        <w:pStyle w:val="ListParagraph"/>
        <w:numPr>
          <w:ilvl w:val="0"/>
          <w:numId w:val="22"/>
        </w:numPr>
        <w:rPr>
          <w:szCs w:val="24"/>
        </w:rPr>
      </w:pPr>
      <w:r w:rsidRPr="00253A6E">
        <w:rPr>
          <w:szCs w:val="24"/>
        </w:rPr>
        <w:t xml:space="preserve">Add data item </w:t>
      </w:r>
      <w:proofErr w:type="gramStart"/>
      <w:r w:rsidRPr="00253A6E">
        <w:rPr>
          <w:szCs w:val="24"/>
        </w:rPr>
        <w:t>3.D(</w:t>
      </w:r>
      <w:proofErr w:type="gramEnd"/>
      <w:r w:rsidRPr="00253A6E">
        <w:rPr>
          <w:szCs w:val="24"/>
        </w:rPr>
        <w:t>2)(c). Business capital leases, other business leases, under the capital lease category.  This change would be consistent with the treatment of business loans on a company’s financial statement.</w:t>
      </w:r>
    </w:p>
    <w:p w:rsidR="00C72DCB" w:rsidRPr="00253A6E" w:rsidRDefault="00C822E8" w:rsidP="00E940A9">
      <w:pPr>
        <w:numPr>
          <w:ilvl w:val="0"/>
          <w:numId w:val="22"/>
        </w:numPr>
        <w:autoSpaceDE w:val="0"/>
        <w:autoSpaceDN w:val="0"/>
        <w:adjustRightInd w:val="0"/>
        <w:rPr>
          <w:szCs w:val="24"/>
        </w:rPr>
      </w:pPr>
      <w:r w:rsidRPr="00253A6E">
        <w:rPr>
          <w:szCs w:val="24"/>
        </w:rPr>
        <w:t xml:space="preserve">Add data item 3.F. Net loans and capital leases </w:t>
      </w:r>
      <w:r w:rsidR="00E940A9" w:rsidRPr="00253A6E">
        <w:rPr>
          <w:bCs/>
          <w:snapToGrid/>
          <w:szCs w:val="24"/>
        </w:rPr>
        <w:t>(sum of on</w:t>
      </w:r>
      <w:r w:rsidR="00B37700" w:rsidRPr="00253A6E">
        <w:rPr>
          <w:bCs/>
          <w:snapToGrid/>
          <w:szCs w:val="24"/>
        </w:rPr>
        <w:t>-</w:t>
      </w:r>
      <w:r w:rsidR="00E940A9" w:rsidRPr="00253A6E">
        <w:rPr>
          <w:bCs/>
          <w:snapToGrid/>
          <w:szCs w:val="24"/>
        </w:rPr>
        <w:t>balance</w:t>
      </w:r>
      <w:r w:rsidR="00B37700" w:rsidRPr="00253A6E">
        <w:rPr>
          <w:bCs/>
          <w:snapToGrid/>
          <w:szCs w:val="24"/>
        </w:rPr>
        <w:t>-</w:t>
      </w:r>
      <w:r w:rsidR="00E940A9" w:rsidRPr="00253A6E">
        <w:rPr>
          <w:bCs/>
          <w:snapToGrid/>
          <w:szCs w:val="24"/>
        </w:rPr>
        <w:t xml:space="preserve">sheet data items </w:t>
      </w:r>
      <w:proofErr w:type="gramStart"/>
      <w:r w:rsidR="00E940A9" w:rsidRPr="00253A6E">
        <w:rPr>
          <w:bCs/>
          <w:snapToGrid/>
          <w:szCs w:val="24"/>
        </w:rPr>
        <w:t>3.A</w:t>
      </w:r>
      <w:r w:rsidR="00B37700" w:rsidRPr="00253A6E">
        <w:rPr>
          <w:bCs/>
          <w:snapToGrid/>
          <w:szCs w:val="24"/>
        </w:rPr>
        <w:t>(</w:t>
      </w:r>
      <w:proofErr w:type="gramEnd"/>
      <w:r w:rsidR="00E940A9" w:rsidRPr="00253A6E">
        <w:rPr>
          <w:bCs/>
          <w:snapToGrid/>
          <w:szCs w:val="24"/>
        </w:rPr>
        <w:t>1</w:t>
      </w:r>
      <w:r w:rsidR="00B37700" w:rsidRPr="00253A6E">
        <w:rPr>
          <w:bCs/>
          <w:snapToGrid/>
          <w:szCs w:val="24"/>
        </w:rPr>
        <w:t>)(</w:t>
      </w:r>
      <w:r w:rsidR="00E940A9" w:rsidRPr="00253A6E">
        <w:rPr>
          <w:bCs/>
          <w:snapToGrid/>
          <w:szCs w:val="24"/>
        </w:rPr>
        <w:t>a</w:t>
      </w:r>
      <w:r w:rsidR="00B37700" w:rsidRPr="00253A6E">
        <w:rPr>
          <w:bCs/>
          <w:snapToGrid/>
          <w:szCs w:val="24"/>
        </w:rPr>
        <w:t>)</w:t>
      </w:r>
      <w:r w:rsidR="00E940A9" w:rsidRPr="00253A6E">
        <w:rPr>
          <w:bCs/>
          <w:snapToGrid/>
          <w:szCs w:val="24"/>
        </w:rPr>
        <w:t xml:space="preserve"> through 3.D</w:t>
      </w:r>
      <w:r w:rsidR="00B37700" w:rsidRPr="00253A6E">
        <w:rPr>
          <w:bCs/>
          <w:snapToGrid/>
          <w:szCs w:val="24"/>
        </w:rPr>
        <w:t>(</w:t>
      </w:r>
      <w:r w:rsidR="00E940A9" w:rsidRPr="00253A6E">
        <w:rPr>
          <w:bCs/>
          <w:snapToGrid/>
          <w:szCs w:val="24"/>
        </w:rPr>
        <w:t>2</w:t>
      </w:r>
      <w:r w:rsidR="00B37700" w:rsidRPr="00253A6E">
        <w:rPr>
          <w:bCs/>
          <w:snapToGrid/>
          <w:szCs w:val="24"/>
        </w:rPr>
        <w:t>)(</w:t>
      </w:r>
      <w:r w:rsidR="00E940A9" w:rsidRPr="00253A6E">
        <w:rPr>
          <w:bCs/>
          <w:snapToGrid/>
          <w:szCs w:val="24"/>
        </w:rPr>
        <w:t>c</w:t>
      </w:r>
      <w:r w:rsidR="00B37700" w:rsidRPr="00253A6E">
        <w:rPr>
          <w:bCs/>
          <w:snapToGrid/>
          <w:szCs w:val="24"/>
        </w:rPr>
        <w:t>)</w:t>
      </w:r>
      <w:r w:rsidR="00E940A9" w:rsidRPr="00253A6E">
        <w:rPr>
          <w:bCs/>
          <w:snapToGrid/>
          <w:szCs w:val="24"/>
        </w:rPr>
        <w:t xml:space="preserve"> minus data items 3.E</w:t>
      </w:r>
      <w:r w:rsidR="00B37700" w:rsidRPr="00253A6E">
        <w:rPr>
          <w:bCs/>
          <w:snapToGrid/>
          <w:szCs w:val="24"/>
        </w:rPr>
        <w:t>(</w:t>
      </w:r>
      <w:r w:rsidR="00E940A9" w:rsidRPr="00253A6E">
        <w:rPr>
          <w:bCs/>
          <w:snapToGrid/>
          <w:szCs w:val="24"/>
        </w:rPr>
        <w:t>1</w:t>
      </w:r>
      <w:r w:rsidR="00B37700" w:rsidRPr="00253A6E">
        <w:rPr>
          <w:bCs/>
          <w:snapToGrid/>
          <w:szCs w:val="24"/>
        </w:rPr>
        <w:t>)</w:t>
      </w:r>
      <w:r w:rsidR="00E940A9" w:rsidRPr="00253A6E">
        <w:rPr>
          <w:bCs/>
          <w:snapToGrid/>
          <w:szCs w:val="24"/>
        </w:rPr>
        <w:t xml:space="preserve"> and 3.E</w:t>
      </w:r>
      <w:r w:rsidR="00B37700" w:rsidRPr="00253A6E">
        <w:rPr>
          <w:bCs/>
          <w:snapToGrid/>
          <w:szCs w:val="24"/>
        </w:rPr>
        <w:t>(</w:t>
      </w:r>
      <w:r w:rsidR="00E940A9" w:rsidRPr="00253A6E">
        <w:rPr>
          <w:bCs/>
          <w:snapToGrid/>
          <w:szCs w:val="24"/>
        </w:rPr>
        <w:t>2</w:t>
      </w:r>
      <w:r w:rsidR="00B37700" w:rsidRPr="00253A6E">
        <w:rPr>
          <w:bCs/>
          <w:snapToGrid/>
          <w:szCs w:val="24"/>
        </w:rPr>
        <w:t>)</w:t>
      </w:r>
      <w:r w:rsidR="00E940A9" w:rsidRPr="00253A6E">
        <w:rPr>
          <w:bCs/>
          <w:snapToGrid/>
          <w:szCs w:val="24"/>
        </w:rPr>
        <w:t>)</w:t>
      </w:r>
      <w:r w:rsidRPr="00253A6E">
        <w:rPr>
          <w:szCs w:val="24"/>
        </w:rPr>
        <w:t xml:space="preserve">.  </w:t>
      </w:r>
      <w:r w:rsidR="009949F4" w:rsidRPr="00253A6E">
        <w:rPr>
          <w:szCs w:val="24"/>
        </w:rPr>
        <w:t xml:space="preserve">This </w:t>
      </w:r>
      <w:r w:rsidR="008C07DF" w:rsidRPr="00253A6E">
        <w:rPr>
          <w:szCs w:val="24"/>
        </w:rPr>
        <w:t xml:space="preserve">data </w:t>
      </w:r>
      <w:r w:rsidR="009949F4" w:rsidRPr="00253A6E">
        <w:rPr>
          <w:szCs w:val="24"/>
        </w:rPr>
        <w:t xml:space="preserve">item </w:t>
      </w:r>
      <w:r w:rsidR="009949F4" w:rsidRPr="00253A6E">
        <w:rPr>
          <w:snapToGrid/>
          <w:color w:val="000000"/>
          <w:szCs w:val="24"/>
        </w:rPr>
        <w:t>customarily appears on the standard balance sheet of financial institutions.</w:t>
      </w:r>
    </w:p>
    <w:p w:rsidR="00161A2D" w:rsidRPr="00253A6E" w:rsidRDefault="00B133E4" w:rsidP="00161A2D">
      <w:pPr>
        <w:pStyle w:val="ListParagraph"/>
        <w:numPr>
          <w:ilvl w:val="0"/>
          <w:numId w:val="22"/>
        </w:numPr>
        <w:rPr>
          <w:szCs w:val="24"/>
        </w:rPr>
      </w:pPr>
      <w:r w:rsidRPr="00253A6E">
        <w:rPr>
          <w:szCs w:val="24"/>
        </w:rPr>
        <w:t xml:space="preserve">Add data item </w:t>
      </w:r>
      <w:proofErr w:type="gramStart"/>
      <w:r w:rsidRPr="00253A6E">
        <w:rPr>
          <w:szCs w:val="24"/>
        </w:rPr>
        <w:t>4.B(</w:t>
      </w:r>
      <w:proofErr w:type="gramEnd"/>
      <w:r w:rsidRPr="00253A6E">
        <w:rPr>
          <w:szCs w:val="24"/>
        </w:rPr>
        <w:t xml:space="preserve">3). </w:t>
      </w:r>
      <w:r w:rsidR="00823F10" w:rsidRPr="00253A6E">
        <w:rPr>
          <w:szCs w:val="24"/>
        </w:rPr>
        <w:t xml:space="preserve">Other </w:t>
      </w:r>
      <w:r w:rsidR="006C1A0A" w:rsidRPr="00253A6E">
        <w:rPr>
          <w:szCs w:val="24"/>
        </w:rPr>
        <w:t xml:space="preserve">Business </w:t>
      </w:r>
      <w:r w:rsidR="00823F10" w:rsidRPr="00253A6E">
        <w:rPr>
          <w:szCs w:val="24"/>
        </w:rPr>
        <w:t>L</w:t>
      </w:r>
      <w:r w:rsidRPr="00253A6E">
        <w:rPr>
          <w:szCs w:val="24"/>
        </w:rPr>
        <w:t>eases, under the operating lease</w:t>
      </w:r>
      <w:r w:rsidR="006C1A0A" w:rsidRPr="00253A6E">
        <w:rPr>
          <w:szCs w:val="24"/>
        </w:rPr>
        <w:t>s</w:t>
      </w:r>
      <w:r w:rsidRPr="00253A6E">
        <w:rPr>
          <w:szCs w:val="24"/>
        </w:rPr>
        <w:t xml:space="preserve"> category.  This change would be consistent with the treatment of business</w:t>
      </w:r>
      <w:r w:rsidR="00290558" w:rsidRPr="00253A6E">
        <w:rPr>
          <w:szCs w:val="24"/>
        </w:rPr>
        <w:t xml:space="preserve"> loans on a company’s financial statement.</w:t>
      </w:r>
    </w:p>
    <w:p w:rsidR="00161A2D" w:rsidRPr="00253A6E" w:rsidRDefault="00290558" w:rsidP="00161A2D">
      <w:pPr>
        <w:pStyle w:val="ListParagraph"/>
        <w:numPr>
          <w:ilvl w:val="0"/>
          <w:numId w:val="22"/>
        </w:numPr>
        <w:rPr>
          <w:szCs w:val="24"/>
        </w:rPr>
      </w:pPr>
      <w:r w:rsidRPr="00253A6E">
        <w:rPr>
          <w:szCs w:val="24"/>
        </w:rPr>
        <w:t xml:space="preserve">Add data item 4.C. Total operating leases (sum </w:t>
      </w:r>
      <w:r w:rsidR="00B02518" w:rsidRPr="00253A6E">
        <w:rPr>
          <w:szCs w:val="24"/>
        </w:rPr>
        <w:t>of on</w:t>
      </w:r>
      <w:r w:rsidR="00B37700" w:rsidRPr="00253A6E">
        <w:rPr>
          <w:szCs w:val="24"/>
        </w:rPr>
        <w:t>-</w:t>
      </w:r>
      <w:r w:rsidR="00B02518" w:rsidRPr="00253A6E">
        <w:rPr>
          <w:szCs w:val="24"/>
        </w:rPr>
        <w:t>balance</w:t>
      </w:r>
      <w:r w:rsidR="00B37700" w:rsidRPr="00253A6E">
        <w:rPr>
          <w:szCs w:val="24"/>
        </w:rPr>
        <w:t>-</w:t>
      </w:r>
      <w:r w:rsidR="00B02518" w:rsidRPr="00253A6E">
        <w:rPr>
          <w:szCs w:val="24"/>
        </w:rPr>
        <w:t xml:space="preserve">sheet data </w:t>
      </w:r>
      <w:r w:rsidRPr="00253A6E">
        <w:rPr>
          <w:szCs w:val="24"/>
        </w:rPr>
        <w:t>items</w:t>
      </w:r>
      <w:r w:rsidR="00B02518" w:rsidRPr="00253A6E">
        <w:rPr>
          <w:szCs w:val="24"/>
        </w:rPr>
        <w:t xml:space="preserve"> </w:t>
      </w:r>
      <w:proofErr w:type="gramStart"/>
      <w:r w:rsidR="00B02518" w:rsidRPr="00253A6E">
        <w:rPr>
          <w:szCs w:val="24"/>
        </w:rPr>
        <w:t>4.A</w:t>
      </w:r>
      <w:r w:rsidR="00B37700" w:rsidRPr="00253A6E">
        <w:rPr>
          <w:szCs w:val="24"/>
        </w:rPr>
        <w:t>(</w:t>
      </w:r>
      <w:proofErr w:type="gramEnd"/>
      <w:r w:rsidR="00B02518" w:rsidRPr="00253A6E">
        <w:rPr>
          <w:szCs w:val="24"/>
        </w:rPr>
        <w:t>1</w:t>
      </w:r>
      <w:r w:rsidR="00B37700" w:rsidRPr="00253A6E">
        <w:rPr>
          <w:szCs w:val="24"/>
        </w:rPr>
        <w:t>)</w:t>
      </w:r>
      <w:r w:rsidR="00B02518" w:rsidRPr="00253A6E">
        <w:rPr>
          <w:szCs w:val="24"/>
        </w:rPr>
        <w:t xml:space="preserve"> through 4.B</w:t>
      </w:r>
      <w:r w:rsidR="00B37700" w:rsidRPr="00253A6E">
        <w:rPr>
          <w:szCs w:val="24"/>
        </w:rPr>
        <w:t>(</w:t>
      </w:r>
      <w:r w:rsidR="00B02518" w:rsidRPr="00253A6E">
        <w:rPr>
          <w:szCs w:val="24"/>
        </w:rPr>
        <w:t>3</w:t>
      </w:r>
      <w:r w:rsidR="00B37700" w:rsidRPr="00253A6E">
        <w:rPr>
          <w:szCs w:val="24"/>
        </w:rPr>
        <w:t>)</w:t>
      </w:r>
      <w:r w:rsidRPr="00253A6E">
        <w:rPr>
          <w:szCs w:val="24"/>
        </w:rPr>
        <w:t xml:space="preserve">). </w:t>
      </w:r>
    </w:p>
    <w:p w:rsidR="005C0FD0" w:rsidRPr="00253A6E" w:rsidRDefault="00161A2D" w:rsidP="00161A2D">
      <w:pPr>
        <w:pStyle w:val="ListParagraph"/>
        <w:numPr>
          <w:ilvl w:val="0"/>
          <w:numId w:val="22"/>
        </w:numPr>
        <w:rPr>
          <w:szCs w:val="24"/>
        </w:rPr>
      </w:pPr>
      <w:r w:rsidRPr="00253A6E">
        <w:rPr>
          <w:szCs w:val="24"/>
        </w:rPr>
        <w:t>Renumber</w:t>
      </w:r>
      <w:r w:rsidR="005F601E" w:rsidRPr="00253A6E">
        <w:rPr>
          <w:szCs w:val="24"/>
        </w:rPr>
        <w:t xml:space="preserve"> </w:t>
      </w:r>
      <w:r w:rsidRPr="00253A6E">
        <w:rPr>
          <w:szCs w:val="24"/>
        </w:rPr>
        <w:t>and redefine data item 6</w:t>
      </w:r>
      <w:r w:rsidR="002A34A2" w:rsidRPr="00253A6E">
        <w:rPr>
          <w:szCs w:val="24"/>
        </w:rPr>
        <w:t>.</w:t>
      </w:r>
      <w:r w:rsidRPr="00253A6E">
        <w:rPr>
          <w:szCs w:val="24"/>
        </w:rPr>
        <w:t xml:space="preserve"> </w:t>
      </w:r>
      <w:r w:rsidR="00B133E4" w:rsidRPr="00253A6E">
        <w:rPr>
          <w:szCs w:val="24"/>
        </w:rPr>
        <w:t>A</w:t>
      </w:r>
      <w:r w:rsidR="005F601E" w:rsidRPr="00253A6E">
        <w:rPr>
          <w:szCs w:val="24"/>
        </w:rPr>
        <w:t>ll other assets and accounts and notes receivable</w:t>
      </w:r>
      <w:r w:rsidRPr="00253A6E">
        <w:rPr>
          <w:szCs w:val="24"/>
        </w:rPr>
        <w:t xml:space="preserve"> as data item 5.</w:t>
      </w:r>
    </w:p>
    <w:p w:rsidR="00161A2D" w:rsidRPr="00253A6E" w:rsidRDefault="00161A2D" w:rsidP="00D94319">
      <w:pPr>
        <w:ind w:left="360"/>
        <w:rPr>
          <w:i/>
          <w:szCs w:val="24"/>
        </w:rPr>
      </w:pPr>
    </w:p>
    <w:p w:rsidR="00D94319" w:rsidRPr="00253A6E" w:rsidRDefault="00D94319" w:rsidP="00D94319">
      <w:pPr>
        <w:ind w:left="360"/>
        <w:rPr>
          <w:i/>
          <w:szCs w:val="24"/>
        </w:rPr>
      </w:pPr>
      <w:r w:rsidRPr="00253A6E">
        <w:rPr>
          <w:i/>
          <w:szCs w:val="24"/>
        </w:rPr>
        <w:t>Liabilities and Equity Capital</w:t>
      </w:r>
    </w:p>
    <w:p w:rsidR="00DB47FB" w:rsidRPr="00253A6E" w:rsidRDefault="00DB47FB" w:rsidP="00DB47FB">
      <w:pPr>
        <w:pStyle w:val="ListParagraph"/>
        <w:numPr>
          <w:ilvl w:val="0"/>
          <w:numId w:val="22"/>
        </w:numPr>
        <w:rPr>
          <w:szCs w:val="24"/>
        </w:rPr>
      </w:pPr>
      <w:r w:rsidRPr="00253A6E">
        <w:rPr>
          <w:szCs w:val="24"/>
        </w:rPr>
        <w:t xml:space="preserve">Add data item </w:t>
      </w:r>
      <w:r w:rsidR="00F0084C" w:rsidRPr="00253A6E">
        <w:rPr>
          <w:szCs w:val="24"/>
        </w:rPr>
        <w:t>7</w:t>
      </w:r>
      <w:r w:rsidRPr="00253A6E">
        <w:rPr>
          <w:szCs w:val="24"/>
        </w:rPr>
        <w:t xml:space="preserve">.C. </w:t>
      </w:r>
      <w:r w:rsidR="009222D5" w:rsidRPr="00253A6E">
        <w:rPr>
          <w:szCs w:val="24"/>
        </w:rPr>
        <w:t>N</w:t>
      </w:r>
      <w:r w:rsidRPr="00253A6E">
        <w:rPr>
          <w:color w:val="211E1E"/>
          <w:szCs w:val="24"/>
        </w:rPr>
        <w:t>on-recourse debt associated with financing activities.  This debt basically</w:t>
      </w:r>
      <w:r w:rsidRPr="00253A6E">
        <w:rPr>
          <w:szCs w:val="24"/>
        </w:rPr>
        <w:t xml:space="preserve"> reflects on-balance-sheet securitization</w:t>
      </w:r>
      <w:r w:rsidR="009222D5" w:rsidRPr="00253A6E">
        <w:rPr>
          <w:szCs w:val="24"/>
        </w:rPr>
        <w:t>s</w:t>
      </w:r>
      <w:r w:rsidRPr="00253A6E">
        <w:rPr>
          <w:szCs w:val="24"/>
        </w:rPr>
        <w:t>.  Changes in accounting rules that took effect on January 1, 2010, have resulted in a large increase in the assets and liabilities of some finance companies as securitization structures are brought onto the balance sheet.</w:t>
      </w:r>
      <w:r w:rsidRPr="00253A6E">
        <w:rPr>
          <w:rStyle w:val="FootnoteReference"/>
          <w:szCs w:val="24"/>
        </w:rPr>
        <w:footnoteReference w:id="5"/>
      </w:r>
      <w:r w:rsidRPr="00253A6E">
        <w:rPr>
          <w:szCs w:val="24"/>
        </w:rPr>
        <w:t xml:space="preserve"> These data are currently reported in all other liabilities.</w:t>
      </w:r>
    </w:p>
    <w:p w:rsidR="00161A2D" w:rsidRPr="00253A6E" w:rsidRDefault="00DB47FB" w:rsidP="00161A2D">
      <w:pPr>
        <w:pStyle w:val="ListParagraph"/>
        <w:numPr>
          <w:ilvl w:val="0"/>
          <w:numId w:val="22"/>
        </w:numPr>
        <w:rPr>
          <w:szCs w:val="24"/>
        </w:rPr>
      </w:pPr>
      <w:r w:rsidRPr="00253A6E">
        <w:rPr>
          <w:szCs w:val="24"/>
        </w:rPr>
        <w:t xml:space="preserve">Renumber and </w:t>
      </w:r>
      <w:proofErr w:type="spellStart"/>
      <w:r w:rsidRPr="00253A6E">
        <w:rPr>
          <w:szCs w:val="24"/>
        </w:rPr>
        <w:t>retitle</w:t>
      </w:r>
      <w:proofErr w:type="spellEnd"/>
      <w:r w:rsidRPr="00253A6E">
        <w:rPr>
          <w:szCs w:val="24"/>
        </w:rPr>
        <w:t xml:space="preserve"> data item 4. D</w:t>
      </w:r>
      <w:r w:rsidRPr="00253A6E">
        <w:rPr>
          <w:bCs/>
          <w:color w:val="211E1E"/>
          <w:szCs w:val="24"/>
        </w:rPr>
        <w:t xml:space="preserve">ebt not elsewhere classified, as </w:t>
      </w:r>
      <w:r w:rsidR="00F0084C" w:rsidRPr="00253A6E">
        <w:rPr>
          <w:bCs/>
          <w:color w:val="211E1E"/>
          <w:szCs w:val="24"/>
        </w:rPr>
        <w:t>7</w:t>
      </w:r>
      <w:r w:rsidRPr="00253A6E">
        <w:rPr>
          <w:bCs/>
          <w:color w:val="211E1E"/>
          <w:szCs w:val="24"/>
        </w:rPr>
        <w:t>.</w:t>
      </w:r>
      <w:r w:rsidR="00CA6234" w:rsidRPr="00253A6E">
        <w:rPr>
          <w:bCs/>
          <w:color w:val="211E1E"/>
          <w:szCs w:val="24"/>
        </w:rPr>
        <w:t>D</w:t>
      </w:r>
      <w:r w:rsidRPr="00253A6E">
        <w:rPr>
          <w:bCs/>
          <w:color w:val="211E1E"/>
          <w:szCs w:val="24"/>
        </w:rPr>
        <w:t>. N</w:t>
      </w:r>
      <w:r w:rsidRPr="00253A6E">
        <w:rPr>
          <w:color w:val="211E1E"/>
          <w:szCs w:val="24"/>
        </w:rPr>
        <w:t>otes, bonds, and debentures.</w:t>
      </w:r>
      <w:r w:rsidRPr="00253A6E">
        <w:rPr>
          <w:szCs w:val="24"/>
        </w:rPr>
        <w:t xml:space="preserve"> </w:t>
      </w:r>
      <w:r w:rsidR="00161A2D" w:rsidRPr="00253A6E">
        <w:rPr>
          <w:szCs w:val="24"/>
        </w:rPr>
        <w:t xml:space="preserve">    </w:t>
      </w:r>
    </w:p>
    <w:p w:rsidR="00DB47FB" w:rsidRPr="00253A6E" w:rsidRDefault="00DB47FB" w:rsidP="00DB47FB">
      <w:pPr>
        <w:pStyle w:val="ListParagraph"/>
        <w:numPr>
          <w:ilvl w:val="0"/>
          <w:numId w:val="22"/>
        </w:numPr>
        <w:rPr>
          <w:szCs w:val="24"/>
        </w:rPr>
      </w:pPr>
      <w:r w:rsidRPr="00253A6E">
        <w:rPr>
          <w:szCs w:val="24"/>
        </w:rPr>
        <w:t xml:space="preserve">Add data item </w:t>
      </w:r>
      <w:r w:rsidR="00F0084C" w:rsidRPr="00253A6E">
        <w:rPr>
          <w:szCs w:val="24"/>
        </w:rPr>
        <w:t>7</w:t>
      </w:r>
      <w:r w:rsidRPr="00253A6E">
        <w:rPr>
          <w:szCs w:val="24"/>
        </w:rPr>
        <w:t xml:space="preserve">.G. Total liabilities (sum </w:t>
      </w:r>
      <w:r w:rsidR="00E661CD" w:rsidRPr="00253A6E">
        <w:rPr>
          <w:szCs w:val="24"/>
        </w:rPr>
        <w:t xml:space="preserve">data </w:t>
      </w:r>
      <w:r w:rsidRPr="00253A6E">
        <w:rPr>
          <w:szCs w:val="24"/>
        </w:rPr>
        <w:t xml:space="preserve">items </w:t>
      </w:r>
      <w:r w:rsidR="00F0084C" w:rsidRPr="00253A6E">
        <w:rPr>
          <w:szCs w:val="24"/>
        </w:rPr>
        <w:t>7.A through 7.F</w:t>
      </w:r>
      <w:r w:rsidRPr="00253A6E">
        <w:rPr>
          <w:szCs w:val="24"/>
        </w:rPr>
        <w:t>).</w:t>
      </w:r>
      <w:r w:rsidR="008C07DF" w:rsidRPr="00253A6E">
        <w:rPr>
          <w:szCs w:val="24"/>
        </w:rPr>
        <w:t xml:space="preserve">  </w:t>
      </w:r>
      <w:r w:rsidR="009949F4" w:rsidRPr="00253A6E">
        <w:rPr>
          <w:szCs w:val="24"/>
        </w:rPr>
        <w:t xml:space="preserve">This </w:t>
      </w:r>
      <w:r w:rsidR="008C07DF" w:rsidRPr="00253A6E">
        <w:rPr>
          <w:szCs w:val="24"/>
        </w:rPr>
        <w:t xml:space="preserve">data </w:t>
      </w:r>
      <w:r w:rsidR="009949F4" w:rsidRPr="00253A6E">
        <w:rPr>
          <w:szCs w:val="24"/>
        </w:rPr>
        <w:t xml:space="preserve">item </w:t>
      </w:r>
      <w:r w:rsidR="009949F4" w:rsidRPr="00253A6E">
        <w:rPr>
          <w:snapToGrid/>
          <w:color w:val="000000"/>
          <w:szCs w:val="24"/>
        </w:rPr>
        <w:t>customarily appears on the standard balance sheet of financial institutions.</w:t>
      </w:r>
    </w:p>
    <w:p w:rsidR="00161A2D" w:rsidRPr="008208B8" w:rsidRDefault="00DB47FB" w:rsidP="008208B8">
      <w:pPr>
        <w:pStyle w:val="ListParagraph"/>
        <w:numPr>
          <w:ilvl w:val="0"/>
          <w:numId w:val="22"/>
        </w:numPr>
        <w:rPr>
          <w:szCs w:val="24"/>
        </w:rPr>
      </w:pPr>
      <w:r w:rsidRPr="00253A6E">
        <w:rPr>
          <w:szCs w:val="24"/>
        </w:rPr>
        <w:t xml:space="preserve">Add two data items: </w:t>
      </w:r>
      <w:r w:rsidR="00F0084C" w:rsidRPr="00253A6E">
        <w:rPr>
          <w:szCs w:val="24"/>
        </w:rPr>
        <w:t>8</w:t>
      </w:r>
      <w:r w:rsidRPr="00253A6E">
        <w:rPr>
          <w:szCs w:val="24"/>
        </w:rPr>
        <w:t xml:space="preserve">.A. Retained earnings and common stock and </w:t>
      </w:r>
      <w:r w:rsidR="00F0084C" w:rsidRPr="00253A6E">
        <w:rPr>
          <w:szCs w:val="24"/>
        </w:rPr>
        <w:t>8</w:t>
      </w:r>
      <w:r w:rsidRPr="00253A6E">
        <w:rPr>
          <w:szCs w:val="24"/>
        </w:rPr>
        <w:t>.B. Preferred stock and other capital</w:t>
      </w:r>
      <w:r w:rsidR="006970B2" w:rsidRPr="00253A6E">
        <w:rPr>
          <w:szCs w:val="24"/>
        </w:rPr>
        <w:t xml:space="preserve"> accounts</w:t>
      </w:r>
      <w:r w:rsidRPr="00253A6E">
        <w:rPr>
          <w:szCs w:val="24"/>
        </w:rPr>
        <w:t>.</w:t>
      </w:r>
      <w:r w:rsidR="008208B8">
        <w:rPr>
          <w:szCs w:val="24"/>
        </w:rPr>
        <w:t xml:space="preserve">  </w:t>
      </w:r>
      <w:r w:rsidR="008208B8" w:rsidRPr="00253A6E">
        <w:rPr>
          <w:szCs w:val="24"/>
        </w:rPr>
        <w:t>The financial crisis has shown that core capital is essential to maintain market confidence and ultimat</w:t>
      </w:r>
      <w:r w:rsidR="00BD49BC">
        <w:rPr>
          <w:szCs w:val="24"/>
        </w:rPr>
        <w:t xml:space="preserve">ely to a company’s viability.  </w:t>
      </w:r>
      <w:r w:rsidR="008208B8" w:rsidRPr="00253A6E">
        <w:rPr>
          <w:szCs w:val="24"/>
        </w:rPr>
        <w:t xml:space="preserve">This information would also be useful for monitoring health of the industry.  </w:t>
      </w:r>
    </w:p>
    <w:p w:rsidR="009949F4" w:rsidRPr="00AD0686" w:rsidRDefault="009949F4" w:rsidP="00161A2D">
      <w:pPr>
        <w:pStyle w:val="ListParagraph"/>
        <w:numPr>
          <w:ilvl w:val="0"/>
          <w:numId w:val="22"/>
        </w:numPr>
        <w:rPr>
          <w:szCs w:val="24"/>
        </w:rPr>
      </w:pPr>
      <w:r w:rsidRPr="00253A6E">
        <w:rPr>
          <w:szCs w:val="24"/>
        </w:rPr>
        <w:t xml:space="preserve">Renumber and </w:t>
      </w:r>
      <w:proofErr w:type="spellStart"/>
      <w:r w:rsidRPr="00253A6E">
        <w:rPr>
          <w:szCs w:val="24"/>
        </w:rPr>
        <w:t>retitle</w:t>
      </w:r>
      <w:proofErr w:type="spellEnd"/>
      <w:r w:rsidRPr="00253A6E">
        <w:rPr>
          <w:szCs w:val="24"/>
        </w:rPr>
        <w:t xml:space="preserve"> data item 6. Capital, surplus, and undivided profits as </w:t>
      </w:r>
      <w:r w:rsidR="00F0084C" w:rsidRPr="00253A6E">
        <w:rPr>
          <w:szCs w:val="24"/>
        </w:rPr>
        <w:t>8</w:t>
      </w:r>
      <w:r w:rsidRPr="00253A6E">
        <w:rPr>
          <w:szCs w:val="24"/>
        </w:rPr>
        <w:t>.C. Total equity capital</w:t>
      </w:r>
      <w:r w:rsidR="00F0084C" w:rsidRPr="00253A6E">
        <w:rPr>
          <w:szCs w:val="24"/>
        </w:rPr>
        <w:t xml:space="preserve"> (sum of </w:t>
      </w:r>
      <w:r w:rsidR="00E661CD" w:rsidRPr="00253A6E">
        <w:rPr>
          <w:szCs w:val="24"/>
        </w:rPr>
        <w:t xml:space="preserve">data </w:t>
      </w:r>
      <w:r w:rsidR="00F0084C" w:rsidRPr="00253A6E">
        <w:rPr>
          <w:szCs w:val="24"/>
        </w:rPr>
        <w:t>items 8.A and 8.B)</w:t>
      </w:r>
      <w:r w:rsidRPr="00253A6E">
        <w:rPr>
          <w:szCs w:val="24"/>
        </w:rPr>
        <w:t>.</w:t>
      </w:r>
      <w:r w:rsidR="008C07DF" w:rsidRPr="00253A6E">
        <w:rPr>
          <w:szCs w:val="24"/>
        </w:rPr>
        <w:t xml:space="preserve">  </w:t>
      </w:r>
      <w:r w:rsidRPr="00253A6E">
        <w:rPr>
          <w:szCs w:val="24"/>
        </w:rPr>
        <w:t xml:space="preserve">This </w:t>
      </w:r>
      <w:r w:rsidR="008C07DF" w:rsidRPr="00253A6E">
        <w:rPr>
          <w:szCs w:val="24"/>
        </w:rPr>
        <w:t xml:space="preserve">data </w:t>
      </w:r>
      <w:r w:rsidRPr="00253A6E">
        <w:rPr>
          <w:szCs w:val="24"/>
        </w:rPr>
        <w:t xml:space="preserve">item </w:t>
      </w:r>
      <w:r w:rsidRPr="00253A6E">
        <w:rPr>
          <w:snapToGrid/>
          <w:color w:val="000000"/>
          <w:szCs w:val="24"/>
        </w:rPr>
        <w:t>customarily appears on the standard balance sheet of financial institutions.</w:t>
      </w:r>
    </w:p>
    <w:p w:rsidR="00AD0686" w:rsidRPr="00253A6E" w:rsidRDefault="00AD0686" w:rsidP="00AD0686">
      <w:pPr>
        <w:pStyle w:val="ListParagraph"/>
        <w:rPr>
          <w:szCs w:val="24"/>
        </w:rPr>
      </w:pPr>
    </w:p>
    <w:p w:rsidR="008C07DF" w:rsidRPr="00253A6E" w:rsidRDefault="008C07DF" w:rsidP="008C07DF">
      <w:pPr>
        <w:pStyle w:val="ListParagraph"/>
        <w:ind w:left="0"/>
        <w:rPr>
          <w:szCs w:val="24"/>
        </w:rPr>
      </w:pPr>
      <w:r w:rsidRPr="00253A6E">
        <w:rPr>
          <w:i/>
          <w:szCs w:val="24"/>
        </w:rPr>
        <w:t>Specific changes to the Off-Balance-Sheet Securitizations data items:</w:t>
      </w:r>
    </w:p>
    <w:p w:rsidR="008801B3" w:rsidRPr="00253A6E" w:rsidRDefault="00D94319" w:rsidP="008801B3">
      <w:pPr>
        <w:rPr>
          <w:i/>
          <w:szCs w:val="24"/>
        </w:rPr>
      </w:pPr>
      <w:r w:rsidRPr="00253A6E">
        <w:rPr>
          <w:i/>
          <w:szCs w:val="24"/>
        </w:rPr>
        <w:t>Supplemental Items</w:t>
      </w:r>
    </w:p>
    <w:p w:rsidR="007D609C" w:rsidRPr="00253A6E" w:rsidRDefault="00DB47FB" w:rsidP="007D609C">
      <w:pPr>
        <w:numPr>
          <w:ilvl w:val="0"/>
          <w:numId w:val="6"/>
        </w:numPr>
        <w:rPr>
          <w:szCs w:val="24"/>
        </w:rPr>
      </w:pPr>
      <w:r w:rsidRPr="00253A6E">
        <w:rPr>
          <w:szCs w:val="24"/>
        </w:rPr>
        <w:t xml:space="preserve">Delete data item 1. Sales of receivables during month to: (check all that apply).  This information is no longer used to generate the </w:t>
      </w:r>
      <w:r w:rsidRPr="00253A6E">
        <w:rPr>
          <w:i/>
          <w:szCs w:val="24"/>
        </w:rPr>
        <w:t xml:space="preserve">Flow of Funds Accounts of the United States </w:t>
      </w:r>
      <w:r w:rsidRPr="00253A6E">
        <w:rPr>
          <w:szCs w:val="24"/>
        </w:rPr>
        <w:t xml:space="preserve">(Z. 1) </w:t>
      </w:r>
      <w:r w:rsidR="004546DD" w:rsidRPr="00253A6E">
        <w:rPr>
          <w:szCs w:val="24"/>
        </w:rPr>
        <w:t xml:space="preserve">statistical </w:t>
      </w:r>
      <w:r w:rsidRPr="00253A6E">
        <w:rPr>
          <w:szCs w:val="24"/>
        </w:rPr>
        <w:t>release.</w:t>
      </w:r>
    </w:p>
    <w:p w:rsidR="00820503" w:rsidRPr="00253A6E" w:rsidRDefault="00820503" w:rsidP="00820503">
      <w:pPr>
        <w:pStyle w:val="ListParagraph"/>
        <w:rPr>
          <w:szCs w:val="24"/>
        </w:rPr>
      </w:pPr>
    </w:p>
    <w:p w:rsidR="006970B2" w:rsidRPr="00253A6E" w:rsidRDefault="00F747DF" w:rsidP="00820503">
      <w:pPr>
        <w:pStyle w:val="ListParagraph"/>
        <w:ind w:left="0"/>
        <w:rPr>
          <w:i/>
          <w:szCs w:val="24"/>
        </w:rPr>
      </w:pPr>
      <w:r w:rsidRPr="00253A6E">
        <w:rPr>
          <w:i/>
          <w:szCs w:val="24"/>
        </w:rPr>
        <w:t>Add</w:t>
      </w:r>
      <w:r w:rsidR="00820503" w:rsidRPr="00253A6E">
        <w:rPr>
          <w:i/>
          <w:szCs w:val="24"/>
        </w:rPr>
        <w:t xml:space="preserve"> </w:t>
      </w:r>
      <w:r w:rsidR="0004728E" w:rsidRPr="00253A6E">
        <w:rPr>
          <w:i/>
          <w:szCs w:val="24"/>
        </w:rPr>
        <w:t>section</w:t>
      </w:r>
      <w:r w:rsidRPr="00253A6E">
        <w:rPr>
          <w:i/>
          <w:szCs w:val="24"/>
        </w:rPr>
        <w:t xml:space="preserve"> -</w:t>
      </w:r>
      <w:r w:rsidR="003141C2" w:rsidRPr="00253A6E">
        <w:rPr>
          <w:i/>
          <w:szCs w:val="24"/>
        </w:rPr>
        <w:t xml:space="preserve"> </w:t>
      </w:r>
      <w:r w:rsidR="00820503" w:rsidRPr="00253A6E">
        <w:rPr>
          <w:i/>
          <w:szCs w:val="24"/>
        </w:rPr>
        <w:t>Your Company’s Scope of Operation</w:t>
      </w:r>
      <w:r w:rsidR="003C2921" w:rsidRPr="00253A6E">
        <w:rPr>
          <w:szCs w:val="24"/>
        </w:rPr>
        <w:t>.</w:t>
      </w:r>
    </w:p>
    <w:p w:rsidR="00D94319" w:rsidRPr="008208B8" w:rsidRDefault="0050091C" w:rsidP="008208B8">
      <w:pPr>
        <w:pStyle w:val="ListParagraph"/>
        <w:numPr>
          <w:ilvl w:val="0"/>
          <w:numId w:val="6"/>
        </w:numPr>
        <w:rPr>
          <w:szCs w:val="24"/>
        </w:rPr>
      </w:pPr>
      <w:r w:rsidRPr="00253A6E">
        <w:rPr>
          <w:szCs w:val="24"/>
        </w:rPr>
        <w:lastRenderedPageBreak/>
        <w:t>Add question</w:t>
      </w:r>
      <w:r w:rsidR="00D9362C" w:rsidRPr="00253A6E">
        <w:rPr>
          <w:szCs w:val="24"/>
        </w:rPr>
        <w:t xml:space="preserve"> 1</w:t>
      </w:r>
      <w:r w:rsidR="00DB47FB" w:rsidRPr="00253A6E">
        <w:rPr>
          <w:szCs w:val="24"/>
        </w:rPr>
        <w:t>. O</w:t>
      </w:r>
      <w:r w:rsidR="00D9362C" w:rsidRPr="00253A6E">
        <w:rPr>
          <w:szCs w:val="24"/>
        </w:rPr>
        <w:t>utstanding principal balance of assets serviced for others and not included in the company’s total assets.</w:t>
      </w:r>
      <w:r w:rsidR="008208B8">
        <w:rPr>
          <w:szCs w:val="24"/>
        </w:rPr>
        <w:t xml:space="preserve">  </w:t>
      </w:r>
      <w:r w:rsidR="008208B8" w:rsidRPr="00253A6E">
        <w:rPr>
          <w:szCs w:val="24"/>
        </w:rPr>
        <w:t xml:space="preserve">The financial crisis (especially mortgage markets) has highlighted the systemic importance of loan servicers for assessing systematic risk. </w:t>
      </w:r>
      <w:r w:rsidR="00D9362C" w:rsidRPr="008208B8">
        <w:rPr>
          <w:szCs w:val="24"/>
        </w:rPr>
        <w:t xml:space="preserve">  </w:t>
      </w:r>
    </w:p>
    <w:p w:rsidR="00D94319" w:rsidRPr="00253A6E" w:rsidRDefault="0050091C" w:rsidP="00D94319">
      <w:pPr>
        <w:pStyle w:val="ListParagraph"/>
        <w:numPr>
          <w:ilvl w:val="0"/>
          <w:numId w:val="6"/>
        </w:numPr>
        <w:rPr>
          <w:szCs w:val="24"/>
        </w:rPr>
      </w:pPr>
      <w:r w:rsidRPr="00253A6E">
        <w:rPr>
          <w:szCs w:val="24"/>
        </w:rPr>
        <w:t xml:space="preserve">Add questions </w:t>
      </w:r>
      <w:r w:rsidR="004B6056" w:rsidRPr="00253A6E">
        <w:rPr>
          <w:szCs w:val="24"/>
        </w:rPr>
        <w:t xml:space="preserve">2 - 6 to collect information on </w:t>
      </w:r>
      <w:r w:rsidRPr="00253A6E">
        <w:rPr>
          <w:szCs w:val="24"/>
        </w:rPr>
        <w:t>the geographic distribution of a company’s activities</w:t>
      </w:r>
      <w:r w:rsidR="004B6056" w:rsidRPr="00253A6E">
        <w:rPr>
          <w:szCs w:val="24"/>
        </w:rPr>
        <w:t>.</w:t>
      </w:r>
      <w:r w:rsidR="008208B8">
        <w:rPr>
          <w:szCs w:val="24"/>
        </w:rPr>
        <w:t xml:space="preserve">  </w:t>
      </w:r>
      <w:r w:rsidR="008208B8" w:rsidRPr="00253A6E">
        <w:rPr>
          <w:snapToGrid/>
          <w:color w:val="000000"/>
          <w:szCs w:val="24"/>
        </w:rPr>
        <w:t>The geographic coverage of individual finance companies will be used for two primary purposes:  (1) to help determine the systemic importance of each institution in the U.S. financial sector and the U.S. economy and (2) to analyze business and household credit availability and competitive conditions in specific lending markets.</w:t>
      </w:r>
      <w:r w:rsidR="008208B8" w:rsidRPr="00C13961">
        <w:rPr>
          <w:color w:val="000000"/>
        </w:rPr>
        <w:t xml:space="preserve">  </w:t>
      </w:r>
      <w:r w:rsidR="008208B8" w:rsidRPr="00253A6E">
        <w:rPr>
          <w:szCs w:val="24"/>
        </w:rPr>
        <w:t xml:space="preserve"> </w:t>
      </w:r>
      <w:r w:rsidR="004B6056" w:rsidRPr="00253A6E">
        <w:rPr>
          <w:szCs w:val="24"/>
        </w:rPr>
        <w:t xml:space="preserve">  </w:t>
      </w:r>
      <w:r w:rsidR="00C13961" w:rsidRPr="00C13961">
        <w:rPr>
          <w:color w:val="000000"/>
        </w:rPr>
        <w:t xml:space="preserve">  </w:t>
      </w:r>
      <w:r w:rsidR="006970B2" w:rsidRPr="00253A6E">
        <w:rPr>
          <w:szCs w:val="24"/>
        </w:rPr>
        <w:t xml:space="preserve"> </w:t>
      </w:r>
    </w:p>
    <w:p w:rsidR="00322D68" w:rsidRPr="00253A6E" w:rsidRDefault="00322D68">
      <w:pPr>
        <w:pStyle w:val="ListParagraph"/>
        <w:rPr>
          <w:szCs w:val="24"/>
        </w:rPr>
      </w:pPr>
    </w:p>
    <w:p w:rsidR="00322D68" w:rsidRPr="00253A6E" w:rsidRDefault="00A60AE8">
      <w:pPr>
        <w:pStyle w:val="ListParagraph"/>
        <w:ind w:left="0"/>
        <w:rPr>
          <w:i/>
          <w:szCs w:val="24"/>
        </w:rPr>
      </w:pPr>
      <w:r w:rsidRPr="00253A6E">
        <w:rPr>
          <w:i/>
          <w:szCs w:val="24"/>
        </w:rPr>
        <w:t xml:space="preserve">Add a section for respondent to provide additional comments or explanations to responses.   </w:t>
      </w:r>
    </w:p>
    <w:p w:rsidR="004B6056" w:rsidRDefault="004B6056" w:rsidP="004B6056">
      <w:pPr>
        <w:pStyle w:val="ListParagraph"/>
        <w:ind w:left="360"/>
        <w:rPr>
          <w:szCs w:val="24"/>
        </w:rPr>
      </w:pPr>
    </w:p>
    <w:p w:rsidR="00AC2D42" w:rsidRDefault="00307C11">
      <w:pPr>
        <w:ind w:firstLine="720"/>
        <w:rPr>
          <w:szCs w:val="24"/>
        </w:rPr>
      </w:pPr>
      <w:r w:rsidRPr="00253A6E">
        <w:rPr>
          <w:b/>
          <w:szCs w:val="24"/>
        </w:rPr>
        <w:t>Reporting Panel</w:t>
      </w:r>
    </w:p>
    <w:p w:rsidR="009323B5" w:rsidRPr="00253A6E" w:rsidRDefault="009323B5" w:rsidP="009323B5">
      <w:pPr>
        <w:rPr>
          <w:szCs w:val="24"/>
        </w:rPr>
      </w:pPr>
    </w:p>
    <w:p w:rsidR="0086471A" w:rsidRPr="00253A6E" w:rsidRDefault="008208B8" w:rsidP="00A547B3">
      <w:pPr>
        <w:ind w:firstLine="720"/>
        <w:rPr>
          <w:szCs w:val="24"/>
        </w:rPr>
      </w:pPr>
      <w:r w:rsidRPr="00253A6E">
        <w:rPr>
          <w:szCs w:val="24"/>
        </w:rPr>
        <w:t>Given the important changes in the market, the uncertainty about the composition of the previously unknown part of the universe of finance companies, the uncertainty about response patterns within the size groups and specialization categories, and the length of time between benchmark surveys, t</w:t>
      </w:r>
      <w:r>
        <w:rPr>
          <w:szCs w:val="24"/>
        </w:rPr>
        <w:t xml:space="preserve">he </w:t>
      </w:r>
      <w:r w:rsidR="006806F8" w:rsidRPr="00253A6E">
        <w:rPr>
          <w:szCs w:val="24"/>
        </w:rPr>
        <w:t xml:space="preserve">Federal Reserve </w:t>
      </w:r>
      <w:r w:rsidR="00DF77FD" w:rsidRPr="00253A6E">
        <w:rPr>
          <w:szCs w:val="24"/>
        </w:rPr>
        <w:t xml:space="preserve">proposes </w:t>
      </w:r>
      <w:r w:rsidR="007A7619" w:rsidRPr="00253A6E">
        <w:rPr>
          <w:szCs w:val="24"/>
        </w:rPr>
        <w:t>increasing the</w:t>
      </w:r>
      <w:r w:rsidR="000A6A9C" w:rsidRPr="00253A6E">
        <w:rPr>
          <w:szCs w:val="24"/>
        </w:rPr>
        <w:t xml:space="preserve"> </w:t>
      </w:r>
      <w:r w:rsidR="00F747DF" w:rsidRPr="00253A6E">
        <w:rPr>
          <w:szCs w:val="24"/>
        </w:rPr>
        <w:t xml:space="preserve">authorized </w:t>
      </w:r>
      <w:r w:rsidR="000A6A9C" w:rsidRPr="00253A6E">
        <w:rPr>
          <w:szCs w:val="24"/>
        </w:rPr>
        <w:t>FR 3033s</w:t>
      </w:r>
      <w:r w:rsidR="007A7619" w:rsidRPr="00253A6E">
        <w:rPr>
          <w:szCs w:val="24"/>
        </w:rPr>
        <w:t xml:space="preserve"> survey sample size </w:t>
      </w:r>
      <w:r w:rsidR="00E80691" w:rsidRPr="00253A6E">
        <w:rPr>
          <w:szCs w:val="24"/>
        </w:rPr>
        <w:t xml:space="preserve">from 750 </w:t>
      </w:r>
      <w:r w:rsidR="007A7619" w:rsidRPr="00253A6E">
        <w:rPr>
          <w:szCs w:val="24"/>
        </w:rPr>
        <w:t xml:space="preserve">to 3,000 </w:t>
      </w:r>
      <w:r w:rsidR="000A6A9C" w:rsidRPr="00253A6E">
        <w:rPr>
          <w:szCs w:val="24"/>
        </w:rPr>
        <w:t xml:space="preserve">finance </w:t>
      </w:r>
      <w:r w:rsidR="007A7619" w:rsidRPr="00253A6E">
        <w:rPr>
          <w:szCs w:val="24"/>
        </w:rPr>
        <w:t>companies.</w:t>
      </w:r>
      <w:r w:rsidR="00E80691">
        <w:rPr>
          <w:szCs w:val="24"/>
        </w:rPr>
        <w:t xml:space="preserve">  </w:t>
      </w:r>
      <w:r w:rsidR="009815EB" w:rsidRPr="00253A6E">
        <w:rPr>
          <w:szCs w:val="24"/>
        </w:rPr>
        <w:t>As a result of the FR 3033p</w:t>
      </w:r>
      <w:r w:rsidR="00FB648C" w:rsidRPr="00253A6E">
        <w:rPr>
          <w:szCs w:val="24"/>
        </w:rPr>
        <w:t xml:space="preserve"> responses</w:t>
      </w:r>
      <w:r w:rsidR="009815EB" w:rsidRPr="00253A6E">
        <w:rPr>
          <w:szCs w:val="24"/>
        </w:rPr>
        <w:t xml:space="preserve">, </w:t>
      </w:r>
      <w:r w:rsidR="006806F8" w:rsidRPr="00253A6E">
        <w:rPr>
          <w:szCs w:val="24"/>
        </w:rPr>
        <w:t>the Federal Reserve</w:t>
      </w:r>
      <w:r w:rsidR="003E08FC" w:rsidRPr="00253A6E">
        <w:rPr>
          <w:szCs w:val="24"/>
        </w:rPr>
        <w:t xml:space="preserve"> </w:t>
      </w:r>
      <w:r w:rsidR="009815EB" w:rsidRPr="00253A6E">
        <w:rPr>
          <w:szCs w:val="24"/>
        </w:rPr>
        <w:t>ha</w:t>
      </w:r>
      <w:r>
        <w:rPr>
          <w:szCs w:val="24"/>
        </w:rPr>
        <w:t>s</w:t>
      </w:r>
      <w:r w:rsidR="009815EB" w:rsidRPr="00253A6E">
        <w:rPr>
          <w:szCs w:val="24"/>
        </w:rPr>
        <w:t xml:space="preserve"> </w:t>
      </w:r>
      <w:r w:rsidR="00394B18" w:rsidRPr="00253A6E">
        <w:rPr>
          <w:szCs w:val="24"/>
        </w:rPr>
        <w:t>identif</w:t>
      </w:r>
      <w:r w:rsidR="009815EB" w:rsidRPr="00253A6E">
        <w:rPr>
          <w:szCs w:val="24"/>
        </w:rPr>
        <w:t xml:space="preserve">ied </w:t>
      </w:r>
      <w:r w:rsidR="00394B18" w:rsidRPr="00253A6E">
        <w:rPr>
          <w:szCs w:val="24"/>
        </w:rPr>
        <w:t xml:space="preserve">the universe of finance companies for the </w:t>
      </w:r>
      <w:r w:rsidR="009815EB" w:rsidRPr="00253A6E">
        <w:rPr>
          <w:szCs w:val="24"/>
        </w:rPr>
        <w:t>survey</w:t>
      </w:r>
      <w:r w:rsidR="00836101" w:rsidRPr="00253A6E">
        <w:rPr>
          <w:szCs w:val="24"/>
        </w:rPr>
        <w:t>.</w:t>
      </w:r>
      <w:r w:rsidR="003B581F" w:rsidRPr="00253A6E">
        <w:rPr>
          <w:rStyle w:val="FootnoteReference"/>
          <w:szCs w:val="24"/>
        </w:rPr>
        <w:footnoteReference w:id="6"/>
      </w:r>
      <w:r w:rsidR="009815EB" w:rsidRPr="00253A6E">
        <w:rPr>
          <w:szCs w:val="24"/>
        </w:rPr>
        <w:t xml:space="preserve">  T</w:t>
      </w:r>
      <w:r w:rsidR="00307C11" w:rsidRPr="00253A6E">
        <w:rPr>
          <w:szCs w:val="24"/>
        </w:rPr>
        <w:t xml:space="preserve">he survey </w:t>
      </w:r>
      <w:r w:rsidR="006B6616" w:rsidRPr="00253A6E">
        <w:rPr>
          <w:szCs w:val="24"/>
        </w:rPr>
        <w:t>would</w:t>
      </w:r>
      <w:r w:rsidR="00307C11" w:rsidRPr="00253A6E">
        <w:rPr>
          <w:szCs w:val="24"/>
        </w:rPr>
        <w:t xml:space="preserve"> be stratif</w:t>
      </w:r>
      <w:r w:rsidR="00253AD7" w:rsidRPr="00253A6E">
        <w:rPr>
          <w:szCs w:val="24"/>
        </w:rPr>
        <w:t>ied by size</w:t>
      </w:r>
      <w:r w:rsidR="006710F3" w:rsidRPr="00253A6E">
        <w:rPr>
          <w:szCs w:val="24"/>
        </w:rPr>
        <w:t xml:space="preserve"> of</w:t>
      </w:r>
      <w:r w:rsidR="00253AD7" w:rsidRPr="00253A6E">
        <w:rPr>
          <w:szCs w:val="24"/>
        </w:rPr>
        <w:t xml:space="preserve"> total </w:t>
      </w:r>
      <w:r w:rsidR="00307C11" w:rsidRPr="00253A6E">
        <w:rPr>
          <w:szCs w:val="24"/>
        </w:rPr>
        <w:t>assets and by specialization in receivables.</w:t>
      </w:r>
      <w:r w:rsidR="00C36149" w:rsidRPr="00253A6E">
        <w:rPr>
          <w:szCs w:val="24"/>
        </w:rPr>
        <w:t xml:space="preserve"> </w:t>
      </w:r>
      <w:r w:rsidR="0067530F" w:rsidRPr="00253A6E">
        <w:rPr>
          <w:szCs w:val="24"/>
        </w:rPr>
        <w:t xml:space="preserve"> </w:t>
      </w:r>
      <w:r w:rsidR="00307C11" w:rsidRPr="00253A6E">
        <w:rPr>
          <w:szCs w:val="24"/>
        </w:rPr>
        <w:t xml:space="preserve">The survey sample </w:t>
      </w:r>
      <w:r w:rsidR="006B6616" w:rsidRPr="00253A6E">
        <w:rPr>
          <w:szCs w:val="24"/>
        </w:rPr>
        <w:t>would</w:t>
      </w:r>
      <w:r w:rsidR="00307C11" w:rsidRPr="00253A6E">
        <w:rPr>
          <w:szCs w:val="24"/>
        </w:rPr>
        <w:t xml:space="preserve"> likely include all FR 3033p respondents that reported at least $1 </w:t>
      </w:r>
      <w:r w:rsidR="00F31BEF" w:rsidRPr="00253A6E">
        <w:rPr>
          <w:szCs w:val="24"/>
        </w:rPr>
        <w:t>b</w:t>
      </w:r>
      <w:r w:rsidR="00307C11" w:rsidRPr="00253A6E">
        <w:rPr>
          <w:szCs w:val="24"/>
        </w:rPr>
        <w:t xml:space="preserve">illion in total </w:t>
      </w:r>
      <w:r w:rsidR="008A46E9" w:rsidRPr="00253A6E">
        <w:rPr>
          <w:szCs w:val="24"/>
        </w:rPr>
        <w:t>assets</w:t>
      </w:r>
      <w:r w:rsidR="00307C11" w:rsidRPr="00253A6E">
        <w:rPr>
          <w:szCs w:val="24"/>
        </w:rPr>
        <w:t>.</w:t>
      </w:r>
      <w:r w:rsidR="00C36149" w:rsidRPr="00253A6E">
        <w:rPr>
          <w:szCs w:val="24"/>
        </w:rPr>
        <w:t xml:space="preserve"> </w:t>
      </w:r>
      <w:r w:rsidR="0067530F" w:rsidRPr="00253A6E">
        <w:rPr>
          <w:szCs w:val="24"/>
        </w:rPr>
        <w:t xml:space="preserve"> </w:t>
      </w:r>
      <w:r w:rsidR="00307C11" w:rsidRPr="00253A6E">
        <w:rPr>
          <w:szCs w:val="24"/>
        </w:rPr>
        <w:t>For coverage of smaller respondents</w:t>
      </w:r>
      <w:r w:rsidR="001036EF" w:rsidRPr="00253A6E">
        <w:rPr>
          <w:rStyle w:val="FootnoteReference"/>
          <w:szCs w:val="24"/>
        </w:rPr>
        <w:footnoteReference w:id="7"/>
      </w:r>
      <w:r w:rsidR="00307C11" w:rsidRPr="00253A6E">
        <w:rPr>
          <w:szCs w:val="24"/>
        </w:rPr>
        <w:t xml:space="preserve">, the </w:t>
      </w:r>
      <w:r w:rsidR="0067530F" w:rsidRPr="00253A6E">
        <w:rPr>
          <w:szCs w:val="24"/>
        </w:rPr>
        <w:t xml:space="preserve">main </w:t>
      </w:r>
      <w:r w:rsidR="00307C11" w:rsidRPr="00253A6E">
        <w:rPr>
          <w:szCs w:val="24"/>
        </w:rPr>
        <w:t xml:space="preserve">survey sample </w:t>
      </w:r>
      <w:r w:rsidR="006B6616" w:rsidRPr="00253A6E">
        <w:rPr>
          <w:szCs w:val="24"/>
        </w:rPr>
        <w:t>would</w:t>
      </w:r>
      <w:r w:rsidR="00307C11" w:rsidRPr="00253A6E">
        <w:rPr>
          <w:szCs w:val="24"/>
        </w:rPr>
        <w:t xml:space="preserve"> include a sufficient number of companies </w:t>
      </w:r>
      <w:r w:rsidR="00502010" w:rsidRPr="00253A6E">
        <w:rPr>
          <w:szCs w:val="24"/>
        </w:rPr>
        <w:t xml:space="preserve">with assets </w:t>
      </w:r>
      <w:r w:rsidR="00320A17" w:rsidRPr="00253A6E">
        <w:rPr>
          <w:szCs w:val="24"/>
        </w:rPr>
        <w:t xml:space="preserve">under $1 billion </w:t>
      </w:r>
      <w:r w:rsidR="00307C11" w:rsidRPr="00253A6E">
        <w:rPr>
          <w:szCs w:val="24"/>
        </w:rPr>
        <w:t>to provide adequate representation</w:t>
      </w:r>
      <w:r w:rsidR="0075212D" w:rsidRPr="00253A6E">
        <w:rPr>
          <w:szCs w:val="24"/>
        </w:rPr>
        <w:t xml:space="preserve"> for the expected analytical purposes</w:t>
      </w:r>
      <w:r w:rsidR="00307C11" w:rsidRPr="00253A6E">
        <w:rPr>
          <w:szCs w:val="24"/>
        </w:rPr>
        <w:t>.</w:t>
      </w:r>
      <w:r w:rsidR="00CD15BA" w:rsidRPr="00253A6E">
        <w:rPr>
          <w:szCs w:val="24"/>
        </w:rPr>
        <w:t xml:space="preserve"> </w:t>
      </w:r>
    </w:p>
    <w:p w:rsidR="0086471A" w:rsidRPr="00253A6E" w:rsidRDefault="0086471A" w:rsidP="0086471A">
      <w:pPr>
        <w:ind w:firstLine="360"/>
        <w:rPr>
          <w:szCs w:val="24"/>
        </w:rPr>
      </w:pPr>
    </w:p>
    <w:p w:rsidR="00FF53C4" w:rsidRDefault="00BB5F19" w:rsidP="00BD49BC">
      <w:pPr>
        <w:pStyle w:val="ListParagraph"/>
        <w:autoSpaceDE w:val="0"/>
        <w:autoSpaceDN w:val="0"/>
        <w:adjustRightInd w:val="0"/>
        <w:spacing w:after="200"/>
        <w:ind w:left="0" w:firstLine="720"/>
        <w:rPr>
          <w:color w:val="000000"/>
          <w:szCs w:val="24"/>
        </w:rPr>
      </w:pPr>
      <w:r w:rsidRPr="00253A6E">
        <w:rPr>
          <w:szCs w:val="24"/>
        </w:rPr>
        <w:t>I</w:t>
      </w:r>
      <w:r w:rsidR="00617038" w:rsidRPr="00253A6E">
        <w:rPr>
          <w:szCs w:val="24"/>
        </w:rPr>
        <w:t xml:space="preserve">n 2005, the Federal Reserve sent the </w:t>
      </w:r>
      <w:r w:rsidR="00FD7812" w:rsidRPr="00253A6E">
        <w:rPr>
          <w:szCs w:val="24"/>
        </w:rPr>
        <w:t xml:space="preserve">survey </w:t>
      </w:r>
      <w:r w:rsidR="00617038" w:rsidRPr="00253A6E">
        <w:rPr>
          <w:szCs w:val="24"/>
        </w:rPr>
        <w:t>to 740 finance companies and received 161 usable responses (22 percent).</w:t>
      </w:r>
      <w:r w:rsidR="008208B8">
        <w:rPr>
          <w:szCs w:val="24"/>
        </w:rPr>
        <w:t xml:space="preserve">  The 2011</w:t>
      </w:r>
      <w:r w:rsidR="00B10CEE" w:rsidRPr="00253A6E">
        <w:rPr>
          <w:szCs w:val="24"/>
        </w:rPr>
        <w:t xml:space="preserve"> proposed survey sample size is </w:t>
      </w:r>
      <w:r w:rsidR="006970B2" w:rsidRPr="00253A6E">
        <w:rPr>
          <w:szCs w:val="24"/>
        </w:rPr>
        <w:t xml:space="preserve">less than </w:t>
      </w:r>
      <w:r w:rsidR="00B10CEE" w:rsidRPr="00253A6E">
        <w:rPr>
          <w:color w:val="000000"/>
          <w:szCs w:val="24"/>
        </w:rPr>
        <w:t xml:space="preserve">the percentage of the population </w:t>
      </w:r>
      <w:r w:rsidR="00DA00B5">
        <w:rPr>
          <w:color w:val="000000"/>
          <w:szCs w:val="24"/>
        </w:rPr>
        <w:t>the Federal Reserve has</w:t>
      </w:r>
      <w:r w:rsidR="00B10CEE" w:rsidRPr="00253A6E">
        <w:rPr>
          <w:color w:val="000000"/>
          <w:szCs w:val="24"/>
        </w:rPr>
        <w:t xml:space="preserve"> surveyed in the past.  In 2005, </w:t>
      </w:r>
      <w:r w:rsidR="00F66E37">
        <w:rPr>
          <w:color w:val="000000"/>
          <w:szCs w:val="24"/>
        </w:rPr>
        <w:t>the Federal Reserve</w:t>
      </w:r>
      <w:r w:rsidR="00B10CEE" w:rsidRPr="00253A6E">
        <w:rPr>
          <w:color w:val="000000"/>
          <w:szCs w:val="24"/>
        </w:rPr>
        <w:t xml:space="preserve"> sent out approximately 7</w:t>
      </w:r>
      <w:r w:rsidR="005548F0" w:rsidRPr="00253A6E">
        <w:rPr>
          <w:color w:val="000000"/>
          <w:szCs w:val="24"/>
        </w:rPr>
        <w:t>4</w:t>
      </w:r>
      <w:r w:rsidR="00B10CEE" w:rsidRPr="00253A6E">
        <w:rPr>
          <w:color w:val="000000"/>
          <w:szCs w:val="24"/>
        </w:rPr>
        <w:t xml:space="preserve">0 surveys, which was roughly half of the estimated population.  </w:t>
      </w:r>
      <w:r w:rsidR="00E16C66" w:rsidRPr="00253A6E">
        <w:rPr>
          <w:color w:val="000000"/>
          <w:szCs w:val="24"/>
        </w:rPr>
        <w:t>In 2010,</w:t>
      </w:r>
      <w:r w:rsidR="002041F3" w:rsidRPr="00253A6E">
        <w:rPr>
          <w:color w:val="000000"/>
          <w:szCs w:val="24"/>
        </w:rPr>
        <w:t xml:space="preserve"> </w:t>
      </w:r>
      <w:r w:rsidR="00F66E37">
        <w:rPr>
          <w:color w:val="000000"/>
          <w:szCs w:val="24"/>
        </w:rPr>
        <w:t>the Federal Reserve</w:t>
      </w:r>
      <w:r w:rsidR="00F66E37" w:rsidRPr="00253A6E">
        <w:rPr>
          <w:color w:val="000000"/>
          <w:szCs w:val="24"/>
        </w:rPr>
        <w:t xml:space="preserve"> </w:t>
      </w:r>
      <w:r w:rsidR="002041F3" w:rsidRPr="00253A6E">
        <w:rPr>
          <w:color w:val="000000"/>
          <w:szCs w:val="24"/>
        </w:rPr>
        <w:t xml:space="preserve">proposes to send out 3,000 surveys, which is roughly </w:t>
      </w:r>
      <w:r w:rsidR="00E16C66" w:rsidRPr="00253A6E">
        <w:rPr>
          <w:color w:val="000000"/>
          <w:szCs w:val="24"/>
        </w:rPr>
        <w:t>one-quarter of the population</w:t>
      </w:r>
      <w:r w:rsidR="002041F3" w:rsidRPr="00253A6E">
        <w:rPr>
          <w:color w:val="000000"/>
          <w:szCs w:val="24"/>
        </w:rPr>
        <w:t>.</w:t>
      </w:r>
      <w:r w:rsidR="002041F3" w:rsidRPr="00253A6E">
        <w:rPr>
          <w:rStyle w:val="FootnoteReference"/>
          <w:color w:val="000000"/>
          <w:szCs w:val="24"/>
        </w:rPr>
        <w:footnoteReference w:id="8"/>
      </w:r>
      <w:r w:rsidR="00F35054" w:rsidRPr="00253A6E" w:rsidDel="00F35054">
        <w:rPr>
          <w:color w:val="000000"/>
          <w:szCs w:val="24"/>
        </w:rPr>
        <w:t xml:space="preserve"> </w:t>
      </w:r>
    </w:p>
    <w:p w:rsidR="00D62790" w:rsidRDefault="006F542D" w:rsidP="00EA3668">
      <w:pPr>
        <w:ind w:firstLine="720"/>
        <w:rPr>
          <w:snapToGrid/>
          <w:color w:val="000000"/>
          <w:szCs w:val="24"/>
        </w:rPr>
      </w:pPr>
      <w:r w:rsidRPr="00253A6E">
        <w:rPr>
          <w:color w:val="000000"/>
          <w:szCs w:val="24"/>
        </w:rPr>
        <w:t xml:space="preserve">To cope with the expected level of nonresponse to the survey, </w:t>
      </w:r>
      <w:r w:rsidRPr="00253A6E">
        <w:rPr>
          <w:szCs w:val="24"/>
        </w:rPr>
        <w:t xml:space="preserve">the Federal Reserve </w:t>
      </w:r>
      <w:r w:rsidRPr="00253A6E">
        <w:rPr>
          <w:color w:val="000000"/>
          <w:szCs w:val="24"/>
        </w:rPr>
        <w:t xml:space="preserve">intends to select a subsample of nonrespondents for further follow-up that would include </w:t>
      </w:r>
      <w:r w:rsidRPr="00253A6E">
        <w:rPr>
          <w:snapToGrid/>
          <w:color w:val="000000"/>
          <w:szCs w:val="24"/>
        </w:rPr>
        <w:t>both additional letters and phone calls</w:t>
      </w:r>
      <w:r w:rsidRPr="00253A6E">
        <w:rPr>
          <w:color w:val="000000"/>
          <w:szCs w:val="24"/>
        </w:rPr>
        <w:t>.</w:t>
      </w:r>
      <w:r w:rsidR="004A5BFC" w:rsidRPr="00253A6E">
        <w:rPr>
          <w:color w:val="000000"/>
          <w:szCs w:val="24"/>
        </w:rPr>
        <w:t xml:space="preserve">  The </w:t>
      </w:r>
      <w:r w:rsidR="004A5BFC" w:rsidRPr="00253A6E">
        <w:rPr>
          <w:snapToGrid/>
          <w:color w:val="000000"/>
          <w:szCs w:val="24"/>
        </w:rPr>
        <w:t>follow-up study would explore nonresponse bias and would include questions related to, but not</w:t>
      </w:r>
      <w:r w:rsidR="005E37AF" w:rsidRPr="00253A6E">
        <w:rPr>
          <w:snapToGrid/>
          <w:color w:val="000000"/>
          <w:szCs w:val="24"/>
        </w:rPr>
        <w:t xml:space="preserve"> necessarily</w:t>
      </w:r>
      <w:r w:rsidR="004A5BFC" w:rsidRPr="00253A6E">
        <w:rPr>
          <w:snapToGrid/>
          <w:color w:val="000000"/>
          <w:szCs w:val="24"/>
        </w:rPr>
        <w:t xml:space="preserve"> identical to, the survey questions</w:t>
      </w:r>
      <w:r w:rsidR="005C30E1" w:rsidRPr="00253A6E">
        <w:rPr>
          <w:snapToGrid/>
          <w:color w:val="000000"/>
          <w:szCs w:val="24"/>
        </w:rPr>
        <w:t>.</w:t>
      </w:r>
      <w:r w:rsidR="004A5BFC" w:rsidRPr="00253A6E">
        <w:rPr>
          <w:snapToGrid/>
          <w:color w:val="000000"/>
          <w:szCs w:val="24"/>
        </w:rPr>
        <w:t xml:space="preserve"> </w:t>
      </w:r>
      <w:r w:rsidR="005C30E1" w:rsidRPr="00253A6E">
        <w:rPr>
          <w:snapToGrid/>
          <w:color w:val="000000"/>
          <w:szCs w:val="24"/>
        </w:rPr>
        <w:t xml:space="preserve"> These follow</w:t>
      </w:r>
      <w:r w:rsidR="00DF77FD" w:rsidRPr="00253A6E">
        <w:rPr>
          <w:snapToGrid/>
          <w:color w:val="000000"/>
          <w:szCs w:val="24"/>
        </w:rPr>
        <w:t>-</w:t>
      </w:r>
      <w:r w:rsidR="005C30E1" w:rsidRPr="00253A6E">
        <w:rPr>
          <w:snapToGrid/>
          <w:color w:val="000000"/>
          <w:szCs w:val="24"/>
        </w:rPr>
        <w:t xml:space="preserve">up questions </w:t>
      </w:r>
      <w:r w:rsidR="004A5BFC" w:rsidRPr="00253A6E">
        <w:rPr>
          <w:snapToGrid/>
          <w:color w:val="000000"/>
          <w:szCs w:val="24"/>
        </w:rPr>
        <w:t>may be helpful in understanding the key dimensions of nonresponse.</w:t>
      </w:r>
    </w:p>
    <w:p w:rsidR="00B84653" w:rsidRPr="00253A6E" w:rsidRDefault="00B84653" w:rsidP="008801B3">
      <w:pPr>
        <w:ind w:firstLine="720"/>
        <w:rPr>
          <w:b/>
          <w:szCs w:val="24"/>
        </w:rPr>
      </w:pPr>
    </w:p>
    <w:p w:rsidR="008801B3" w:rsidRPr="00253A6E" w:rsidRDefault="004237DA" w:rsidP="008801B3">
      <w:pPr>
        <w:ind w:firstLine="720"/>
        <w:rPr>
          <w:szCs w:val="24"/>
        </w:rPr>
      </w:pPr>
      <w:r w:rsidRPr="00253A6E">
        <w:rPr>
          <w:b/>
          <w:szCs w:val="24"/>
        </w:rPr>
        <w:t>Frequency</w:t>
      </w:r>
    </w:p>
    <w:p w:rsidR="004237DA" w:rsidRPr="00253A6E" w:rsidRDefault="004237DA" w:rsidP="004237DA">
      <w:pPr>
        <w:rPr>
          <w:szCs w:val="24"/>
        </w:rPr>
      </w:pPr>
    </w:p>
    <w:p w:rsidR="008208B8" w:rsidRPr="00AA460B" w:rsidRDefault="006033DE" w:rsidP="008208B8">
      <w:pPr>
        <w:ind w:firstLine="720"/>
        <w:rPr>
          <w:szCs w:val="24"/>
        </w:rPr>
      </w:pPr>
      <w:r w:rsidRPr="00D40E5B">
        <w:rPr>
          <w:szCs w:val="24"/>
        </w:rPr>
        <w:t xml:space="preserve">The </w:t>
      </w:r>
      <w:r>
        <w:rPr>
          <w:szCs w:val="24"/>
        </w:rPr>
        <w:t>Federal Reserve</w:t>
      </w:r>
      <w:r w:rsidRPr="00D40E5B">
        <w:rPr>
          <w:szCs w:val="24"/>
        </w:rPr>
        <w:t xml:space="preserve"> recommends retaining the five-year frequency for the </w:t>
      </w:r>
      <w:r>
        <w:rPr>
          <w:szCs w:val="24"/>
        </w:rPr>
        <w:t>census</w:t>
      </w:r>
      <w:r w:rsidR="008208B8">
        <w:rPr>
          <w:szCs w:val="24"/>
        </w:rPr>
        <w:t xml:space="preserve"> and the survey</w:t>
      </w:r>
      <w:r w:rsidRPr="00D40E5B">
        <w:rPr>
          <w:szCs w:val="24"/>
        </w:rPr>
        <w:t>.</w:t>
      </w:r>
      <w:r w:rsidR="008208B8">
        <w:rPr>
          <w:szCs w:val="24"/>
        </w:rPr>
        <w:t xml:space="preserve">  </w:t>
      </w:r>
      <w:r w:rsidR="008208B8" w:rsidRPr="00D40E5B">
        <w:rPr>
          <w:szCs w:val="24"/>
        </w:rPr>
        <w:t xml:space="preserve">Conducting the </w:t>
      </w:r>
      <w:r w:rsidR="008208B8">
        <w:rPr>
          <w:szCs w:val="24"/>
        </w:rPr>
        <w:t xml:space="preserve">census and </w:t>
      </w:r>
      <w:r w:rsidR="008208B8" w:rsidRPr="00D40E5B">
        <w:rPr>
          <w:szCs w:val="24"/>
        </w:rPr>
        <w:t xml:space="preserve">survey less frequently would be undesirable because </w:t>
      </w:r>
      <w:r w:rsidR="008208B8">
        <w:rPr>
          <w:szCs w:val="24"/>
        </w:rPr>
        <w:t>it would lengthen the time between benchmarks of the FR 2248, which in turn would decrease the accuracy of the aggregate estimates</w:t>
      </w:r>
      <w:r w:rsidR="008208B8" w:rsidRPr="00D40E5B">
        <w:rPr>
          <w:szCs w:val="24"/>
        </w:rPr>
        <w:t>.</w:t>
      </w:r>
    </w:p>
    <w:p w:rsidR="00EF2453" w:rsidRPr="00253A6E" w:rsidRDefault="006033DE" w:rsidP="008208B8">
      <w:pPr>
        <w:ind w:firstLine="720"/>
        <w:rPr>
          <w:szCs w:val="24"/>
        </w:rPr>
      </w:pPr>
      <w:r>
        <w:rPr>
          <w:szCs w:val="24"/>
        </w:rPr>
        <w:t xml:space="preserve">  </w:t>
      </w:r>
      <w:r w:rsidR="00014200" w:rsidRPr="00253A6E">
        <w:rPr>
          <w:szCs w:val="24"/>
        </w:rPr>
        <w:tab/>
      </w:r>
    </w:p>
    <w:p w:rsidR="00452473" w:rsidRPr="00253A6E" w:rsidRDefault="00452473" w:rsidP="00EF2453">
      <w:pPr>
        <w:rPr>
          <w:szCs w:val="24"/>
        </w:rPr>
      </w:pPr>
      <w:r w:rsidRPr="00253A6E">
        <w:rPr>
          <w:b/>
          <w:szCs w:val="24"/>
        </w:rPr>
        <w:t>Time Schedule for Information Collection and Publication</w:t>
      </w:r>
    </w:p>
    <w:p w:rsidR="00452473" w:rsidRPr="00253A6E" w:rsidRDefault="00452473" w:rsidP="00452473">
      <w:pPr>
        <w:rPr>
          <w:szCs w:val="24"/>
        </w:rPr>
      </w:pPr>
    </w:p>
    <w:p w:rsidR="005C28FB" w:rsidRDefault="00494612">
      <w:pPr>
        <w:ind w:firstLine="720"/>
        <w:rPr>
          <w:szCs w:val="24"/>
        </w:rPr>
      </w:pPr>
      <w:r w:rsidRPr="00D40E5B">
        <w:rPr>
          <w:szCs w:val="24"/>
        </w:rPr>
        <w:t xml:space="preserve">The </w:t>
      </w:r>
      <w:r w:rsidR="00534705">
        <w:rPr>
          <w:szCs w:val="24"/>
        </w:rPr>
        <w:t xml:space="preserve">FR 3033p </w:t>
      </w:r>
      <w:r>
        <w:rPr>
          <w:szCs w:val="24"/>
        </w:rPr>
        <w:t>was</w:t>
      </w:r>
      <w:r w:rsidRPr="00D40E5B">
        <w:rPr>
          <w:szCs w:val="24"/>
        </w:rPr>
        <w:t xml:space="preserve"> ma</w:t>
      </w:r>
      <w:r>
        <w:rPr>
          <w:szCs w:val="24"/>
        </w:rPr>
        <w:t>iled to the respondents in mid-April 2010</w:t>
      </w:r>
      <w:r w:rsidRPr="00D40E5B">
        <w:rPr>
          <w:szCs w:val="24"/>
        </w:rPr>
        <w:t xml:space="preserve"> and </w:t>
      </w:r>
      <w:r>
        <w:rPr>
          <w:szCs w:val="24"/>
        </w:rPr>
        <w:t>responses were due to</w:t>
      </w:r>
      <w:r w:rsidRPr="00D40E5B">
        <w:rPr>
          <w:szCs w:val="24"/>
        </w:rPr>
        <w:t xml:space="preserve"> the </w:t>
      </w:r>
      <w:r>
        <w:rPr>
          <w:szCs w:val="24"/>
        </w:rPr>
        <w:t xml:space="preserve">Federal Reserve </w:t>
      </w:r>
      <w:r w:rsidRPr="00D40E5B">
        <w:rPr>
          <w:szCs w:val="24"/>
        </w:rPr>
        <w:t xml:space="preserve">Board within </w:t>
      </w:r>
      <w:r>
        <w:rPr>
          <w:szCs w:val="24"/>
        </w:rPr>
        <w:t>15</w:t>
      </w:r>
      <w:r w:rsidRPr="00D40E5B">
        <w:rPr>
          <w:szCs w:val="24"/>
        </w:rPr>
        <w:t xml:space="preserve"> </w:t>
      </w:r>
      <w:r>
        <w:rPr>
          <w:szCs w:val="24"/>
        </w:rPr>
        <w:t xml:space="preserve">business </w:t>
      </w:r>
      <w:r w:rsidRPr="00D40E5B">
        <w:rPr>
          <w:szCs w:val="24"/>
        </w:rPr>
        <w:t>days of its receipt by respondents.</w:t>
      </w:r>
      <w:r>
        <w:rPr>
          <w:szCs w:val="24"/>
        </w:rPr>
        <w:t xml:space="preserve">  In an effort to reduce burden and increase response rates, respondents were encouraged to complete the census online.  Also, the Federal Reserve targeted the period following the March 2010 quarter-end and tax season for mailing the census.  The Federal Reserve targeted the 2</w:t>
      </w:r>
      <w:r w:rsidRPr="00E854A5">
        <w:rPr>
          <w:szCs w:val="24"/>
          <w:vertAlign w:val="superscript"/>
        </w:rPr>
        <w:t>nd</w:t>
      </w:r>
      <w:r>
        <w:rPr>
          <w:szCs w:val="24"/>
        </w:rPr>
        <w:t xml:space="preserve"> quarter of 2010 so that the survey was deployed on schedule to obtain year-end data.  The Federal Reserve Board </w:t>
      </w:r>
      <w:r w:rsidRPr="00E140B9">
        <w:rPr>
          <w:szCs w:val="24"/>
        </w:rPr>
        <w:t>process</w:t>
      </w:r>
      <w:r w:rsidR="00534705">
        <w:rPr>
          <w:szCs w:val="24"/>
        </w:rPr>
        <w:t>ed</w:t>
      </w:r>
      <w:r w:rsidRPr="00E140B9">
        <w:rPr>
          <w:szCs w:val="24"/>
        </w:rPr>
        <w:t xml:space="preserve"> the results and </w:t>
      </w:r>
      <w:r w:rsidR="004E56EF">
        <w:rPr>
          <w:szCs w:val="24"/>
        </w:rPr>
        <w:t xml:space="preserve">the </w:t>
      </w:r>
      <w:r>
        <w:rPr>
          <w:szCs w:val="24"/>
        </w:rPr>
        <w:t xml:space="preserve">Federal </w:t>
      </w:r>
      <w:r w:rsidRPr="00E140B9">
        <w:rPr>
          <w:szCs w:val="24"/>
        </w:rPr>
        <w:t xml:space="preserve">Reserve Banks </w:t>
      </w:r>
      <w:r w:rsidR="004E56EF">
        <w:rPr>
          <w:szCs w:val="24"/>
        </w:rPr>
        <w:t>conducted follow-up telephone calls of</w:t>
      </w:r>
      <w:r w:rsidR="004E56EF" w:rsidRPr="00E140B9">
        <w:rPr>
          <w:szCs w:val="24"/>
        </w:rPr>
        <w:t xml:space="preserve"> selected </w:t>
      </w:r>
      <w:r w:rsidR="004E56EF">
        <w:rPr>
          <w:szCs w:val="24"/>
        </w:rPr>
        <w:t>companies that</w:t>
      </w:r>
      <w:r w:rsidR="004E56EF" w:rsidRPr="00E140B9">
        <w:rPr>
          <w:szCs w:val="24"/>
        </w:rPr>
        <w:t xml:space="preserve"> did not </w:t>
      </w:r>
      <w:r w:rsidR="004E56EF">
        <w:rPr>
          <w:szCs w:val="24"/>
        </w:rPr>
        <w:t xml:space="preserve">respond to the census </w:t>
      </w:r>
      <w:r w:rsidRPr="00E140B9">
        <w:rPr>
          <w:szCs w:val="24"/>
        </w:rPr>
        <w:t xml:space="preserve">in early May </w:t>
      </w:r>
      <w:r>
        <w:rPr>
          <w:szCs w:val="24"/>
        </w:rPr>
        <w:t>2010</w:t>
      </w:r>
      <w:r w:rsidR="004E56EF">
        <w:rPr>
          <w:szCs w:val="24"/>
        </w:rPr>
        <w:t>.</w:t>
      </w:r>
    </w:p>
    <w:p w:rsidR="00AC2D42" w:rsidRDefault="00494612">
      <w:pPr>
        <w:rPr>
          <w:szCs w:val="24"/>
        </w:rPr>
      </w:pPr>
      <w:r>
        <w:rPr>
          <w:szCs w:val="24"/>
        </w:rPr>
        <w:t xml:space="preserve"> </w:t>
      </w:r>
    </w:p>
    <w:p w:rsidR="001942EC" w:rsidRPr="00253A6E" w:rsidRDefault="00700D6A" w:rsidP="00F76BB0">
      <w:pPr>
        <w:ind w:firstLine="720"/>
        <w:rPr>
          <w:szCs w:val="24"/>
        </w:rPr>
      </w:pPr>
      <w:r w:rsidRPr="00253A6E">
        <w:rPr>
          <w:szCs w:val="24"/>
        </w:rPr>
        <w:t xml:space="preserve">The FR 3033s </w:t>
      </w:r>
      <w:r w:rsidR="00FB648C" w:rsidRPr="00253A6E">
        <w:rPr>
          <w:szCs w:val="24"/>
        </w:rPr>
        <w:t>w</w:t>
      </w:r>
      <w:r w:rsidR="006B6616" w:rsidRPr="00253A6E">
        <w:rPr>
          <w:szCs w:val="24"/>
        </w:rPr>
        <w:t>ould</w:t>
      </w:r>
      <w:r w:rsidRPr="00253A6E">
        <w:rPr>
          <w:szCs w:val="24"/>
        </w:rPr>
        <w:t xml:space="preserve"> </w:t>
      </w:r>
      <w:r w:rsidR="00B078C7" w:rsidRPr="00253A6E">
        <w:rPr>
          <w:szCs w:val="24"/>
        </w:rPr>
        <w:t xml:space="preserve">be mailed in </w:t>
      </w:r>
      <w:r w:rsidR="00920B8B" w:rsidRPr="00253A6E">
        <w:rPr>
          <w:szCs w:val="24"/>
        </w:rPr>
        <w:t xml:space="preserve">February </w:t>
      </w:r>
      <w:r w:rsidR="00F14061" w:rsidRPr="00253A6E">
        <w:rPr>
          <w:szCs w:val="24"/>
        </w:rPr>
        <w:t>20</w:t>
      </w:r>
      <w:r w:rsidR="001E66F4" w:rsidRPr="00253A6E">
        <w:rPr>
          <w:szCs w:val="24"/>
        </w:rPr>
        <w:t>1</w:t>
      </w:r>
      <w:r w:rsidR="000F4A4E" w:rsidRPr="00253A6E">
        <w:rPr>
          <w:szCs w:val="24"/>
        </w:rPr>
        <w:t>1</w:t>
      </w:r>
      <w:r w:rsidRPr="00253A6E">
        <w:rPr>
          <w:szCs w:val="24"/>
        </w:rPr>
        <w:t>.</w:t>
      </w:r>
      <w:r w:rsidR="00C36149" w:rsidRPr="00253A6E">
        <w:rPr>
          <w:szCs w:val="24"/>
        </w:rPr>
        <w:t xml:space="preserve"> </w:t>
      </w:r>
      <w:r w:rsidR="0099152D" w:rsidRPr="00253A6E">
        <w:rPr>
          <w:szCs w:val="24"/>
        </w:rPr>
        <w:t xml:space="preserve"> </w:t>
      </w:r>
      <w:r w:rsidRPr="00253A6E">
        <w:rPr>
          <w:szCs w:val="24"/>
        </w:rPr>
        <w:t xml:space="preserve">The </w:t>
      </w:r>
      <w:r w:rsidR="00CA2067" w:rsidRPr="00253A6E">
        <w:rPr>
          <w:szCs w:val="24"/>
        </w:rPr>
        <w:t xml:space="preserve">respondent </w:t>
      </w:r>
      <w:r w:rsidRPr="00253A6E">
        <w:rPr>
          <w:szCs w:val="24"/>
        </w:rPr>
        <w:t xml:space="preserve">panel of </w:t>
      </w:r>
      <w:r w:rsidR="00EB013F" w:rsidRPr="00253A6E">
        <w:rPr>
          <w:szCs w:val="24"/>
        </w:rPr>
        <w:t>3</w:t>
      </w:r>
      <w:r w:rsidR="00662B44" w:rsidRPr="00253A6E">
        <w:rPr>
          <w:szCs w:val="24"/>
        </w:rPr>
        <w:t>,</w:t>
      </w:r>
      <w:r w:rsidR="00E140B9" w:rsidRPr="00253A6E">
        <w:rPr>
          <w:szCs w:val="24"/>
        </w:rPr>
        <w:t>000</w:t>
      </w:r>
      <w:r w:rsidR="000601D8" w:rsidRPr="00253A6E">
        <w:rPr>
          <w:szCs w:val="24"/>
        </w:rPr>
        <w:t xml:space="preserve"> companies </w:t>
      </w:r>
      <w:r w:rsidR="00CA2067" w:rsidRPr="00253A6E">
        <w:rPr>
          <w:szCs w:val="24"/>
        </w:rPr>
        <w:t xml:space="preserve">would </w:t>
      </w:r>
      <w:r w:rsidR="000601D8" w:rsidRPr="00253A6E">
        <w:rPr>
          <w:szCs w:val="24"/>
        </w:rPr>
        <w:t>include 45</w:t>
      </w:r>
      <w:r w:rsidRPr="00253A6E">
        <w:rPr>
          <w:szCs w:val="24"/>
        </w:rPr>
        <w:t xml:space="preserve"> companies that are</w:t>
      </w:r>
      <w:r w:rsidR="000601D8" w:rsidRPr="00253A6E">
        <w:rPr>
          <w:szCs w:val="24"/>
        </w:rPr>
        <w:t xml:space="preserve"> FR 2248 reporters and </w:t>
      </w:r>
      <w:r w:rsidR="00EB013F" w:rsidRPr="00253A6E">
        <w:rPr>
          <w:szCs w:val="24"/>
        </w:rPr>
        <w:t>2</w:t>
      </w:r>
      <w:r w:rsidR="00CA2067" w:rsidRPr="00253A6E">
        <w:rPr>
          <w:szCs w:val="24"/>
        </w:rPr>
        <w:t>,</w:t>
      </w:r>
      <w:r w:rsidR="00EB013F" w:rsidRPr="00253A6E">
        <w:rPr>
          <w:szCs w:val="24"/>
        </w:rPr>
        <w:t xml:space="preserve">955 </w:t>
      </w:r>
      <w:r w:rsidR="00CA2067" w:rsidRPr="00253A6E">
        <w:rPr>
          <w:szCs w:val="24"/>
        </w:rPr>
        <w:t xml:space="preserve">non-FR 2248 </w:t>
      </w:r>
      <w:r w:rsidRPr="00253A6E">
        <w:rPr>
          <w:szCs w:val="24"/>
        </w:rPr>
        <w:t>companies.</w:t>
      </w:r>
      <w:r w:rsidR="007E72A2" w:rsidRPr="00253A6E">
        <w:rPr>
          <w:szCs w:val="24"/>
        </w:rPr>
        <w:t xml:space="preserve">  </w:t>
      </w:r>
      <w:r w:rsidR="00126641" w:rsidRPr="00253A6E">
        <w:rPr>
          <w:szCs w:val="24"/>
        </w:rPr>
        <w:t>Respondents</w:t>
      </w:r>
      <w:r w:rsidRPr="00253A6E">
        <w:rPr>
          <w:szCs w:val="24"/>
        </w:rPr>
        <w:t xml:space="preserve"> </w:t>
      </w:r>
      <w:r w:rsidR="006B6616" w:rsidRPr="00253A6E">
        <w:rPr>
          <w:szCs w:val="24"/>
        </w:rPr>
        <w:t>would</w:t>
      </w:r>
      <w:r w:rsidRPr="00253A6E">
        <w:rPr>
          <w:szCs w:val="24"/>
        </w:rPr>
        <w:t xml:space="preserve"> </w:t>
      </w:r>
      <w:r w:rsidR="002253AA" w:rsidRPr="00253A6E">
        <w:rPr>
          <w:szCs w:val="24"/>
        </w:rPr>
        <w:t xml:space="preserve">be directed to </w:t>
      </w:r>
      <w:r w:rsidR="00CA2067" w:rsidRPr="00253A6E">
        <w:rPr>
          <w:szCs w:val="24"/>
        </w:rPr>
        <w:t xml:space="preserve">either </w:t>
      </w:r>
      <w:r w:rsidR="001F0D9F" w:rsidRPr="00253A6E">
        <w:rPr>
          <w:szCs w:val="24"/>
        </w:rPr>
        <w:t xml:space="preserve">complete the survey online or </w:t>
      </w:r>
      <w:r w:rsidR="00856D5A" w:rsidRPr="00253A6E">
        <w:rPr>
          <w:szCs w:val="24"/>
        </w:rPr>
        <w:t xml:space="preserve">mail </w:t>
      </w:r>
      <w:r w:rsidR="00F868BE" w:rsidRPr="00253A6E">
        <w:rPr>
          <w:szCs w:val="24"/>
        </w:rPr>
        <w:t xml:space="preserve">responses </w:t>
      </w:r>
      <w:r w:rsidRPr="00253A6E">
        <w:rPr>
          <w:szCs w:val="24"/>
        </w:rPr>
        <w:t xml:space="preserve">to </w:t>
      </w:r>
      <w:r w:rsidR="00F76BB0" w:rsidRPr="00253A6E">
        <w:rPr>
          <w:szCs w:val="24"/>
        </w:rPr>
        <w:t xml:space="preserve">the Federal Reserve </w:t>
      </w:r>
      <w:r w:rsidRPr="00253A6E">
        <w:rPr>
          <w:szCs w:val="24"/>
        </w:rPr>
        <w:t>Board</w:t>
      </w:r>
      <w:r w:rsidR="00E51B99" w:rsidRPr="00253A6E">
        <w:rPr>
          <w:szCs w:val="24"/>
        </w:rPr>
        <w:t>.</w:t>
      </w:r>
      <w:r w:rsidR="00F76BB0">
        <w:rPr>
          <w:szCs w:val="24"/>
        </w:rPr>
        <w:t xml:space="preserve">  </w:t>
      </w:r>
      <w:r w:rsidRPr="00253A6E">
        <w:rPr>
          <w:szCs w:val="24"/>
        </w:rPr>
        <w:t xml:space="preserve">The survey </w:t>
      </w:r>
      <w:r w:rsidR="006B6616" w:rsidRPr="00253A6E">
        <w:rPr>
          <w:szCs w:val="24"/>
        </w:rPr>
        <w:t>would</w:t>
      </w:r>
      <w:r w:rsidRPr="00253A6E">
        <w:rPr>
          <w:szCs w:val="24"/>
        </w:rPr>
        <w:t xml:space="preserve"> be mailed after </w:t>
      </w:r>
      <w:r w:rsidR="00920B8B" w:rsidRPr="00253A6E">
        <w:rPr>
          <w:szCs w:val="24"/>
        </w:rPr>
        <w:t xml:space="preserve">February </w:t>
      </w:r>
      <w:r w:rsidRPr="00253A6E">
        <w:rPr>
          <w:szCs w:val="24"/>
        </w:rPr>
        <w:t xml:space="preserve">15, </w:t>
      </w:r>
      <w:r w:rsidR="00E44C15" w:rsidRPr="00253A6E">
        <w:rPr>
          <w:szCs w:val="24"/>
        </w:rPr>
        <w:t>2011</w:t>
      </w:r>
      <w:r w:rsidR="00130E8F" w:rsidRPr="00253A6E">
        <w:rPr>
          <w:szCs w:val="24"/>
        </w:rPr>
        <w:t>,</w:t>
      </w:r>
      <w:r w:rsidRPr="00253A6E">
        <w:rPr>
          <w:szCs w:val="24"/>
        </w:rPr>
        <w:t xml:space="preserve"> with instructions to </w:t>
      </w:r>
      <w:r w:rsidR="00CA2067" w:rsidRPr="00253A6E">
        <w:rPr>
          <w:szCs w:val="24"/>
        </w:rPr>
        <w:t>respond</w:t>
      </w:r>
      <w:r w:rsidRPr="00253A6E">
        <w:rPr>
          <w:szCs w:val="24"/>
        </w:rPr>
        <w:t xml:space="preserve"> </w:t>
      </w:r>
      <w:r w:rsidR="00F14061" w:rsidRPr="00253A6E">
        <w:rPr>
          <w:szCs w:val="24"/>
        </w:rPr>
        <w:t xml:space="preserve">by </w:t>
      </w:r>
      <w:r w:rsidR="00920B8B" w:rsidRPr="00253A6E">
        <w:rPr>
          <w:szCs w:val="24"/>
        </w:rPr>
        <w:t xml:space="preserve">March </w:t>
      </w:r>
      <w:r w:rsidR="00460873" w:rsidRPr="00253A6E">
        <w:rPr>
          <w:szCs w:val="24"/>
        </w:rPr>
        <w:t>15</w:t>
      </w:r>
      <w:r w:rsidR="006B6D56" w:rsidRPr="00253A6E">
        <w:rPr>
          <w:szCs w:val="24"/>
        </w:rPr>
        <w:t>, 2011.</w:t>
      </w:r>
      <w:r w:rsidR="00C36149" w:rsidRPr="00253A6E">
        <w:rPr>
          <w:szCs w:val="24"/>
        </w:rPr>
        <w:t xml:space="preserve"> </w:t>
      </w:r>
      <w:r w:rsidR="007E72A2" w:rsidRPr="00253A6E">
        <w:rPr>
          <w:szCs w:val="24"/>
        </w:rPr>
        <w:t xml:space="preserve"> After March 15</w:t>
      </w:r>
      <w:r w:rsidR="006B6D56" w:rsidRPr="00253A6E">
        <w:rPr>
          <w:szCs w:val="24"/>
        </w:rPr>
        <w:t>, 2011</w:t>
      </w:r>
      <w:r w:rsidR="007E72A2" w:rsidRPr="00253A6E">
        <w:rPr>
          <w:szCs w:val="24"/>
        </w:rPr>
        <w:t>, f</w:t>
      </w:r>
      <w:r w:rsidRPr="00253A6E">
        <w:rPr>
          <w:szCs w:val="24"/>
        </w:rPr>
        <w:t xml:space="preserve">ollow-up mailings </w:t>
      </w:r>
      <w:r w:rsidR="006B6616" w:rsidRPr="00253A6E">
        <w:rPr>
          <w:szCs w:val="24"/>
        </w:rPr>
        <w:t>would</w:t>
      </w:r>
      <w:r w:rsidRPr="00253A6E">
        <w:rPr>
          <w:szCs w:val="24"/>
        </w:rPr>
        <w:t xml:space="preserve"> be sent </w:t>
      </w:r>
      <w:r w:rsidR="00CA2067" w:rsidRPr="00253A6E">
        <w:rPr>
          <w:szCs w:val="24"/>
        </w:rPr>
        <w:t>to companies that d</w:t>
      </w:r>
      <w:r w:rsidR="0099152D" w:rsidRPr="00253A6E">
        <w:rPr>
          <w:szCs w:val="24"/>
        </w:rPr>
        <w:t>o</w:t>
      </w:r>
      <w:r w:rsidR="00CA2067" w:rsidRPr="00253A6E">
        <w:rPr>
          <w:szCs w:val="24"/>
        </w:rPr>
        <w:t xml:space="preserve"> not respond</w:t>
      </w:r>
      <w:r w:rsidR="0099152D" w:rsidRPr="00253A6E">
        <w:rPr>
          <w:szCs w:val="24"/>
        </w:rPr>
        <w:t xml:space="preserve"> and</w:t>
      </w:r>
      <w:r w:rsidR="002253AA" w:rsidRPr="00253A6E">
        <w:rPr>
          <w:szCs w:val="24"/>
        </w:rPr>
        <w:t xml:space="preserve"> </w:t>
      </w:r>
      <w:r w:rsidR="00CA2067" w:rsidRPr="00253A6E">
        <w:rPr>
          <w:szCs w:val="24"/>
        </w:rPr>
        <w:t>follow-up calls</w:t>
      </w:r>
      <w:r w:rsidRPr="00253A6E">
        <w:rPr>
          <w:szCs w:val="24"/>
        </w:rPr>
        <w:t xml:space="preserve"> </w:t>
      </w:r>
      <w:r w:rsidR="006B6616" w:rsidRPr="00253A6E">
        <w:rPr>
          <w:szCs w:val="24"/>
        </w:rPr>
        <w:t>would</w:t>
      </w:r>
      <w:r w:rsidRPr="00253A6E">
        <w:rPr>
          <w:szCs w:val="24"/>
        </w:rPr>
        <w:t xml:space="preserve"> be </w:t>
      </w:r>
      <w:r w:rsidR="00CA2067" w:rsidRPr="00253A6E">
        <w:rPr>
          <w:szCs w:val="24"/>
        </w:rPr>
        <w:t xml:space="preserve">made </w:t>
      </w:r>
      <w:r w:rsidRPr="00253A6E">
        <w:rPr>
          <w:szCs w:val="24"/>
        </w:rPr>
        <w:t xml:space="preserve">after </w:t>
      </w:r>
      <w:r w:rsidR="006A23F9" w:rsidRPr="00253A6E">
        <w:rPr>
          <w:szCs w:val="24"/>
        </w:rPr>
        <w:t>April</w:t>
      </w:r>
      <w:r w:rsidR="002F12EE" w:rsidRPr="00253A6E">
        <w:rPr>
          <w:szCs w:val="24"/>
        </w:rPr>
        <w:t xml:space="preserve"> </w:t>
      </w:r>
      <w:r w:rsidRPr="00253A6E">
        <w:rPr>
          <w:szCs w:val="24"/>
        </w:rPr>
        <w:t>1</w:t>
      </w:r>
      <w:r w:rsidR="006B6D56" w:rsidRPr="00253A6E">
        <w:rPr>
          <w:szCs w:val="24"/>
        </w:rPr>
        <w:t>, 2011</w:t>
      </w:r>
      <w:r w:rsidRPr="00253A6E">
        <w:rPr>
          <w:szCs w:val="24"/>
        </w:rPr>
        <w:t>.</w:t>
      </w:r>
    </w:p>
    <w:p w:rsidR="00572142" w:rsidRPr="00253A6E" w:rsidRDefault="00572142" w:rsidP="00572142">
      <w:pPr>
        <w:ind w:left="720"/>
        <w:rPr>
          <w:szCs w:val="24"/>
        </w:rPr>
      </w:pPr>
    </w:p>
    <w:p w:rsidR="001942EC" w:rsidRPr="00253A6E" w:rsidRDefault="00700D6A">
      <w:pPr>
        <w:ind w:firstLine="720"/>
        <w:rPr>
          <w:szCs w:val="24"/>
        </w:rPr>
      </w:pPr>
      <w:r w:rsidRPr="00253A6E">
        <w:rPr>
          <w:szCs w:val="24"/>
        </w:rPr>
        <w:t xml:space="preserve">Once the data from FR 3033s have been analyzed, they </w:t>
      </w:r>
      <w:r w:rsidR="006B6616" w:rsidRPr="00253A6E">
        <w:rPr>
          <w:szCs w:val="24"/>
        </w:rPr>
        <w:t>would</w:t>
      </w:r>
      <w:r w:rsidRPr="00253A6E">
        <w:rPr>
          <w:szCs w:val="24"/>
        </w:rPr>
        <w:t xml:space="preserve"> be used as a benchmark </w:t>
      </w:r>
      <w:r w:rsidR="003D7630" w:rsidRPr="00253A6E">
        <w:rPr>
          <w:szCs w:val="24"/>
        </w:rPr>
        <w:t xml:space="preserve">to the </w:t>
      </w:r>
      <w:r w:rsidR="005A7E38" w:rsidRPr="00253A6E">
        <w:rPr>
          <w:szCs w:val="24"/>
        </w:rPr>
        <w:t xml:space="preserve">FR 2248 </w:t>
      </w:r>
      <w:r w:rsidRPr="00253A6E">
        <w:rPr>
          <w:szCs w:val="24"/>
        </w:rPr>
        <w:t xml:space="preserve">for the period </w:t>
      </w:r>
      <w:r w:rsidR="00BF51B5" w:rsidRPr="00253A6E">
        <w:rPr>
          <w:szCs w:val="24"/>
        </w:rPr>
        <w:t xml:space="preserve">December 2005 </w:t>
      </w:r>
      <w:r w:rsidRPr="00253A6E">
        <w:rPr>
          <w:szCs w:val="24"/>
        </w:rPr>
        <w:t xml:space="preserve">through </w:t>
      </w:r>
      <w:r w:rsidR="002F12EE" w:rsidRPr="00253A6E">
        <w:rPr>
          <w:szCs w:val="24"/>
        </w:rPr>
        <w:t>December</w:t>
      </w:r>
      <w:r w:rsidRPr="00253A6E">
        <w:rPr>
          <w:szCs w:val="24"/>
        </w:rPr>
        <w:t xml:space="preserve"> 20</w:t>
      </w:r>
      <w:r w:rsidR="00BF51B5" w:rsidRPr="00253A6E">
        <w:rPr>
          <w:szCs w:val="24"/>
        </w:rPr>
        <w:t>10</w:t>
      </w:r>
      <w:r w:rsidRPr="00253A6E">
        <w:rPr>
          <w:szCs w:val="24"/>
        </w:rPr>
        <w:t>.</w:t>
      </w:r>
      <w:r w:rsidR="00C36149" w:rsidRPr="00253A6E">
        <w:rPr>
          <w:szCs w:val="24"/>
        </w:rPr>
        <w:t xml:space="preserve"> </w:t>
      </w:r>
      <w:r w:rsidR="007E72A2" w:rsidRPr="00253A6E">
        <w:rPr>
          <w:szCs w:val="24"/>
        </w:rPr>
        <w:t xml:space="preserve"> It is anticipated that this phase of analysis would be completed by mid-2011, at which time benchmark e</w:t>
      </w:r>
      <w:r w:rsidR="00FB648C" w:rsidRPr="00253A6E">
        <w:rPr>
          <w:szCs w:val="24"/>
        </w:rPr>
        <w:t xml:space="preserve">stimates based on the FR 3033s </w:t>
      </w:r>
      <w:r w:rsidR="007E72A2" w:rsidRPr="00253A6E">
        <w:rPr>
          <w:szCs w:val="24"/>
        </w:rPr>
        <w:t xml:space="preserve">data would be publicly reported. </w:t>
      </w:r>
      <w:r w:rsidR="00E919CA" w:rsidRPr="00253A6E">
        <w:rPr>
          <w:szCs w:val="24"/>
        </w:rPr>
        <w:t xml:space="preserve"> </w:t>
      </w:r>
      <w:r w:rsidRPr="00253A6E">
        <w:rPr>
          <w:szCs w:val="24"/>
        </w:rPr>
        <w:t xml:space="preserve">The newly benchmarked series </w:t>
      </w:r>
      <w:r w:rsidR="006B6616" w:rsidRPr="00253A6E">
        <w:rPr>
          <w:szCs w:val="24"/>
        </w:rPr>
        <w:t>would</w:t>
      </w:r>
      <w:r w:rsidRPr="00253A6E">
        <w:rPr>
          <w:szCs w:val="24"/>
        </w:rPr>
        <w:t xml:space="preserve"> be publishe</w:t>
      </w:r>
      <w:r w:rsidR="002253AA" w:rsidRPr="00253A6E">
        <w:rPr>
          <w:szCs w:val="24"/>
        </w:rPr>
        <w:t>d in the Federal Reserve</w:t>
      </w:r>
      <w:r w:rsidRPr="00253A6E">
        <w:rPr>
          <w:szCs w:val="24"/>
        </w:rPr>
        <w:t xml:space="preserve">'s monthly </w:t>
      </w:r>
      <w:r w:rsidR="00A82AD3" w:rsidRPr="00253A6E">
        <w:rPr>
          <w:i/>
          <w:szCs w:val="24"/>
        </w:rPr>
        <w:t>Finance Companies</w:t>
      </w:r>
      <w:r w:rsidRPr="00253A6E">
        <w:rPr>
          <w:szCs w:val="24"/>
        </w:rPr>
        <w:t xml:space="preserve"> (G.20)</w:t>
      </w:r>
      <w:r w:rsidR="0094396E" w:rsidRPr="00253A6E">
        <w:rPr>
          <w:szCs w:val="24"/>
        </w:rPr>
        <w:t xml:space="preserve">, </w:t>
      </w:r>
      <w:r w:rsidRPr="00253A6E">
        <w:rPr>
          <w:szCs w:val="24"/>
        </w:rPr>
        <w:t xml:space="preserve">monthly </w:t>
      </w:r>
      <w:r w:rsidR="00A82AD3" w:rsidRPr="00253A6E">
        <w:rPr>
          <w:i/>
          <w:szCs w:val="24"/>
        </w:rPr>
        <w:t>Consumer Credit</w:t>
      </w:r>
      <w:r w:rsidRPr="00253A6E">
        <w:rPr>
          <w:szCs w:val="24"/>
        </w:rPr>
        <w:t xml:space="preserve"> (G.19) </w:t>
      </w:r>
      <w:r w:rsidR="0094396E" w:rsidRPr="00253A6E">
        <w:rPr>
          <w:szCs w:val="24"/>
        </w:rPr>
        <w:t xml:space="preserve">and quarterly </w:t>
      </w:r>
      <w:r w:rsidR="00A82AD3" w:rsidRPr="00253A6E">
        <w:rPr>
          <w:i/>
          <w:szCs w:val="24"/>
        </w:rPr>
        <w:t>Flow of Funds</w:t>
      </w:r>
      <w:r w:rsidR="007E72A2" w:rsidRPr="00253A6E">
        <w:rPr>
          <w:i/>
          <w:szCs w:val="24"/>
        </w:rPr>
        <w:t xml:space="preserve"> Accounts of the United States </w:t>
      </w:r>
      <w:r w:rsidR="0094396E" w:rsidRPr="00253A6E">
        <w:rPr>
          <w:szCs w:val="24"/>
        </w:rPr>
        <w:t xml:space="preserve">(Z. 1) </w:t>
      </w:r>
      <w:r w:rsidRPr="00253A6E">
        <w:rPr>
          <w:szCs w:val="24"/>
        </w:rPr>
        <w:t>releases.</w:t>
      </w:r>
      <w:r w:rsidR="007E72A2" w:rsidRPr="00253A6E">
        <w:rPr>
          <w:szCs w:val="24"/>
        </w:rPr>
        <w:t xml:space="preserve">  </w:t>
      </w:r>
    </w:p>
    <w:p w:rsidR="001942EC" w:rsidRPr="00253A6E" w:rsidRDefault="001942EC">
      <w:pPr>
        <w:ind w:firstLine="360"/>
        <w:rPr>
          <w:szCs w:val="24"/>
        </w:rPr>
      </w:pPr>
    </w:p>
    <w:p w:rsidR="00452473" w:rsidRPr="00253A6E" w:rsidRDefault="00452473" w:rsidP="00452473">
      <w:pPr>
        <w:rPr>
          <w:szCs w:val="24"/>
        </w:rPr>
      </w:pPr>
      <w:r w:rsidRPr="00253A6E">
        <w:rPr>
          <w:b/>
          <w:szCs w:val="24"/>
        </w:rPr>
        <w:t>Legal Status</w:t>
      </w:r>
    </w:p>
    <w:p w:rsidR="00452473" w:rsidRPr="00253A6E" w:rsidRDefault="00452473" w:rsidP="00452473">
      <w:pPr>
        <w:rPr>
          <w:szCs w:val="24"/>
        </w:rPr>
      </w:pPr>
    </w:p>
    <w:p w:rsidR="00534705" w:rsidRDefault="00534705" w:rsidP="00534705">
      <w:pPr>
        <w:ind w:firstLine="720"/>
        <w:rPr>
          <w:rFonts w:ascii="Times" w:hAnsi="Times"/>
          <w:color w:val="000000"/>
        </w:rPr>
      </w:pPr>
      <w:r w:rsidRPr="00D40E5B">
        <w:rPr>
          <w:szCs w:val="24"/>
        </w:rPr>
        <w:t xml:space="preserve">The </w:t>
      </w:r>
      <w:r>
        <w:rPr>
          <w:szCs w:val="24"/>
        </w:rPr>
        <w:t xml:space="preserve">Federal Reserve </w:t>
      </w:r>
      <w:r w:rsidRPr="00D40E5B">
        <w:rPr>
          <w:szCs w:val="24"/>
        </w:rPr>
        <w:t xml:space="preserve">Board's Legal Division has determined that the </w:t>
      </w:r>
      <w:r>
        <w:rPr>
          <w:szCs w:val="24"/>
        </w:rPr>
        <w:t>FR 3033p/s is</w:t>
      </w:r>
      <w:r w:rsidRPr="00D40E5B">
        <w:rPr>
          <w:szCs w:val="24"/>
        </w:rPr>
        <w:t xml:space="preserve"> authorized </w:t>
      </w:r>
      <w:r>
        <w:rPr>
          <w:szCs w:val="24"/>
        </w:rPr>
        <w:t>pursuant the Federal Reserve Act</w:t>
      </w:r>
      <w:r w:rsidRPr="00D40E5B">
        <w:rPr>
          <w:szCs w:val="24"/>
        </w:rPr>
        <w:t xml:space="preserve"> (12 U.S.C. §§225a, 263, and 353-359) and </w:t>
      </w:r>
      <w:r>
        <w:rPr>
          <w:szCs w:val="24"/>
        </w:rPr>
        <w:t>is</w:t>
      </w:r>
      <w:r w:rsidRPr="00D40E5B">
        <w:rPr>
          <w:szCs w:val="24"/>
        </w:rPr>
        <w:t xml:space="preserve"> voluntary.</w:t>
      </w:r>
      <w:r>
        <w:rPr>
          <w:szCs w:val="24"/>
        </w:rPr>
        <w:t xml:space="preserve"> </w:t>
      </w:r>
      <w:r w:rsidR="009F73F7">
        <w:rPr>
          <w:szCs w:val="24"/>
        </w:rPr>
        <w:t xml:space="preserve"> </w:t>
      </w:r>
      <w:r w:rsidRPr="00D40E5B">
        <w:rPr>
          <w:szCs w:val="24"/>
        </w:rPr>
        <w:t>Individual responses are exempt from disclosure pursuant to section (b</w:t>
      </w:r>
      <w:proofErr w:type="gramStart"/>
      <w:r w:rsidRPr="00D40E5B">
        <w:rPr>
          <w:szCs w:val="24"/>
        </w:rPr>
        <w:t>)(</w:t>
      </w:r>
      <w:proofErr w:type="gramEnd"/>
      <w:r w:rsidRPr="00D40E5B">
        <w:rPr>
          <w:szCs w:val="24"/>
        </w:rPr>
        <w:t>4) of the Freedom of Information Act (5 U.S.C. §552).</w:t>
      </w:r>
      <w:r>
        <w:rPr>
          <w:szCs w:val="24"/>
        </w:rPr>
        <w:t xml:space="preserve">  </w:t>
      </w:r>
    </w:p>
    <w:p w:rsidR="00534705" w:rsidRPr="00253A6E" w:rsidRDefault="00534705" w:rsidP="00D25289">
      <w:pPr>
        <w:rPr>
          <w:b/>
          <w:bCs/>
          <w:szCs w:val="24"/>
        </w:rPr>
      </w:pPr>
    </w:p>
    <w:p w:rsidR="00534705" w:rsidRPr="007624B4" w:rsidRDefault="00D25289" w:rsidP="00534705">
      <w:pPr>
        <w:rPr>
          <w:szCs w:val="24"/>
        </w:rPr>
      </w:pPr>
      <w:r w:rsidRPr="00253A6E">
        <w:rPr>
          <w:b/>
          <w:bCs/>
          <w:szCs w:val="24"/>
        </w:rPr>
        <w:t xml:space="preserve">Consultation </w:t>
      </w:r>
      <w:proofErr w:type="gramStart"/>
      <w:r w:rsidR="000B6360" w:rsidRPr="00253A6E">
        <w:rPr>
          <w:b/>
          <w:bCs/>
          <w:szCs w:val="24"/>
        </w:rPr>
        <w:t>O</w:t>
      </w:r>
      <w:r w:rsidR="001D0288" w:rsidRPr="00253A6E">
        <w:rPr>
          <w:b/>
          <w:bCs/>
          <w:szCs w:val="24"/>
        </w:rPr>
        <w:t>utside</w:t>
      </w:r>
      <w:proofErr w:type="gramEnd"/>
      <w:r w:rsidRPr="00253A6E">
        <w:rPr>
          <w:b/>
          <w:bCs/>
          <w:szCs w:val="24"/>
        </w:rPr>
        <w:t xml:space="preserve"> the Agency</w:t>
      </w:r>
      <w:r w:rsidR="00534705" w:rsidRPr="00534705">
        <w:rPr>
          <w:b/>
          <w:bCs/>
          <w:szCs w:val="24"/>
        </w:rPr>
        <w:t xml:space="preserve"> </w:t>
      </w:r>
      <w:r w:rsidR="00534705">
        <w:rPr>
          <w:b/>
          <w:bCs/>
          <w:szCs w:val="24"/>
        </w:rPr>
        <w:t>and Discussion of Public Comment</w:t>
      </w:r>
    </w:p>
    <w:p w:rsidR="00BF7D55" w:rsidRDefault="00BF7D55" w:rsidP="00534705">
      <w:pPr>
        <w:ind w:firstLine="720"/>
        <w:rPr>
          <w:szCs w:val="24"/>
        </w:rPr>
      </w:pPr>
    </w:p>
    <w:p w:rsidR="00534705" w:rsidRPr="007624B4" w:rsidRDefault="00534705" w:rsidP="00534705">
      <w:pPr>
        <w:ind w:firstLine="720"/>
        <w:rPr>
          <w:szCs w:val="24"/>
        </w:rPr>
      </w:pPr>
      <w:r w:rsidRPr="007624B4">
        <w:rPr>
          <w:szCs w:val="24"/>
        </w:rPr>
        <w:t xml:space="preserve">For the renewal of </w:t>
      </w:r>
      <w:r>
        <w:rPr>
          <w:szCs w:val="24"/>
        </w:rPr>
        <w:t>the FR 3033p</w:t>
      </w:r>
      <w:r w:rsidRPr="007624B4">
        <w:rPr>
          <w:szCs w:val="24"/>
        </w:rPr>
        <w:t>, the Federal Reserve consulted with D&amp;B to identify finance companies as potential respondents for the census.</w:t>
      </w:r>
      <w:r>
        <w:rPr>
          <w:szCs w:val="24"/>
        </w:rPr>
        <w:t xml:space="preserve">  </w:t>
      </w:r>
      <w:r>
        <w:t>On January 29, 2010, t</w:t>
      </w:r>
      <w:r w:rsidRPr="00CD7519">
        <w:t xml:space="preserve">he Federal Reserve </w:t>
      </w:r>
      <w:r>
        <w:t xml:space="preserve">published a notice in the </w:t>
      </w:r>
      <w:r w:rsidRPr="00993889">
        <w:rPr>
          <w:i/>
        </w:rPr>
        <w:t>Federal Register</w:t>
      </w:r>
      <w:r>
        <w:t xml:space="preserve"> (75 FR 4819) requesting public comment for 60 days on the implementation of the FR 3033p.  </w:t>
      </w:r>
      <w:r w:rsidRPr="00B637E5">
        <w:t>The comment pe</w:t>
      </w:r>
      <w:r>
        <w:t xml:space="preserve">riod for this notice expired on March 30, </w:t>
      </w:r>
      <w:r w:rsidRPr="00B637E5">
        <w:t xml:space="preserve">2010.  </w:t>
      </w:r>
      <w:r w:rsidRPr="005F1519">
        <w:t>The Federal Reserve did not receive any comments.</w:t>
      </w:r>
      <w:r>
        <w:t xml:space="preserve">  </w:t>
      </w:r>
      <w:r w:rsidRPr="00A154EE">
        <w:t>On April 9, 2010, the Federal Reserve published a final notice in the</w:t>
      </w:r>
      <w:r>
        <w:t xml:space="preserve"> </w:t>
      </w:r>
      <w:r w:rsidRPr="00A154EE">
        <w:rPr>
          <w:i/>
        </w:rPr>
        <w:t>Federal Register</w:t>
      </w:r>
      <w:r w:rsidRPr="00A154EE">
        <w:t xml:space="preserve"> (75 FR 18208)</w:t>
      </w:r>
      <w:r w:rsidR="00BF7D55">
        <w:t>, implementing the census as proposed</w:t>
      </w:r>
      <w:r w:rsidRPr="00A154EE">
        <w:t>.</w:t>
      </w:r>
      <w:r w:rsidRPr="005F1519">
        <w:t xml:space="preserve"> </w:t>
      </w:r>
    </w:p>
    <w:p w:rsidR="00534705" w:rsidRDefault="00534705" w:rsidP="005C2404">
      <w:pPr>
        <w:ind w:firstLine="720"/>
      </w:pPr>
    </w:p>
    <w:p w:rsidR="005C2404" w:rsidRPr="004A269A" w:rsidRDefault="005C2404" w:rsidP="005C2404">
      <w:pPr>
        <w:ind w:firstLine="720"/>
      </w:pPr>
      <w:r w:rsidRPr="004A269A">
        <w:t xml:space="preserve">On </w:t>
      </w:r>
      <w:r>
        <w:t xml:space="preserve">September 13, 2010, the </w:t>
      </w:r>
      <w:r w:rsidRPr="004A269A">
        <w:t xml:space="preserve">Federal Reserve published a notice in the </w:t>
      </w:r>
      <w:r w:rsidRPr="004A269A">
        <w:rPr>
          <w:i/>
        </w:rPr>
        <w:t>Federal Register</w:t>
      </w:r>
      <w:r w:rsidRPr="004A269A">
        <w:t xml:space="preserve"> </w:t>
      </w:r>
      <w:r w:rsidRPr="00563353">
        <w:t>(75 FR </w:t>
      </w:r>
      <w:r>
        <w:t>55579</w:t>
      </w:r>
      <w:r w:rsidRPr="00563353">
        <w:t>)</w:t>
      </w:r>
      <w:r w:rsidRPr="004A269A">
        <w:t xml:space="preserve"> requesting public comment for 60 days on the </w:t>
      </w:r>
      <w:r w:rsidR="00BF7D55">
        <w:t>implementation</w:t>
      </w:r>
      <w:r w:rsidRPr="004A269A">
        <w:t xml:space="preserve">, with revision, of </w:t>
      </w:r>
      <w:r w:rsidR="00BF7D55">
        <w:t>the FR 3033s</w:t>
      </w:r>
      <w:r w:rsidR="00F50715">
        <w:t xml:space="preserve">.  </w:t>
      </w:r>
      <w:r w:rsidRPr="004A269A">
        <w:t>The comment period for this notice expire</w:t>
      </w:r>
      <w:r w:rsidR="00BF7D55">
        <w:t>d</w:t>
      </w:r>
      <w:r w:rsidRPr="004A269A">
        <w:t xml:space="preserve"> on </w:t>
      </w:r>
      <w:r>
        <w:t>November 12</w:t>
      </w:r>
      <w:r w:rsidRPr="00563353">
        <w:t>, 2010.</w:t>
      </w:r>
      <w:r w:rsidR="00BF7D55">
        <w:t xml:space="preserve">  </w:t>
      </w:r>
      <w:r w:rsidR="00BF7D55" w:rsidRPr="005F1519">
        <w:t>The Federal Reserve did not receive any comments.</w:t>
      </w:r>
      <w:r w:rsidR="00BF7D55">
        <w:t xml:space="preserve">   On November 23</w:t>
      </w:r>
      <w:r w:rsidR="00BF7D55" w:rsidRPr="00A154EE">
        <w:t>, 2010, the Federal Reserve published a final notice in the</w:t>
      </w:r>
      <w:r w:rsidR="00BF7D55">
        <w:t xml:space="preserve"> </w:t>
      </w:r>
      <w:r w:rsidR="00BF7D55" w:rsidRPr="00A154EE">
        <w:rPr>
          <w:i/>
        </w:rPr>
        <w:t>Federal Register</w:t>
      </w:r>
      <w:r w:rsidR="00BF7D55" w:rsidRPr="00A154EE">
        <w:t xml:space="preserve"> (75 FR </w:t>
      </w:r>
      <w:r w:rsidR="00BF7D55">
        <w:t>71439</w:t>
      </w:r>
      <w:r w:rsidR="00BF7D55" w:rsidRPr="00A154EE">
        <w:t>)</w:t>
      </w:r>
      <w:r w:rsidR="00BF7D55">
        <w:t>, implementing the survey as proposed</w:t>
      </w:r>
      <w:r w:rsidR="00BF7D55" w:rsidRPr="00A154EE">
        <w:t>.</w:t>
      </w:r>
    </w:p>
    <w:p w:rsidR="00DB47FB" w:rsidRPr="00253A6E" w:rsidRDefault="00DB47FB" w:rsidP="00D25289">
      <w:pPr>
        <w:rPr>
          <w:b/>
          <w:bCs/>
          <w:szCs w:val="24"/>
        </w:rPr>
      </w:pPr>
    </w:p>
    <w:p w:rsidR="00D25289" w:rsidRPr="00253A6E" w:rsidRDefault="00D25289" w:rsidP="00D25289">
      <w:pPr>
        <w:rPr>
          <w:szCs w:val="24"/>
        </w:rPr>
      </w:pPr>
      <w:r w:rsidRPr="00253A6E">
        <w:rPr>
          <w:b/>
          <w:bCs/>
          <w:szCs w:val="24"/>
        </w:rPr>
        <w:t>Sensitive Questions</w:t>
      </w:r>
    </w:p>
    <w:p w:rsidR="00D25289" w:rsidRPr="00253A6E" w:rsidRDefault="00D25289" w:rsidP="00D25289">
      <w:pPr>
        <w:rPr>
          <w:szCs w:val="24"/>
        </w:rPr>
      </w:pPr>
    </w:p>
    <w:p w:rsidR="000F0DCF" w:rsidRPr="00253A6E" w:rsidRDefault="00FB648C" w:rsidP="00FB648C">
      <w:pPr>
        <w:ind w:firstLine="720"/>
        <w:outlineLvl w:val="0"/>
        <w:rPr>
          <w:szCs w:val="24"/>
        </w:rPr>
      </w:pPr>
      <w:r w:rsidRPr="00253A6E">
        <w:rPr>
          <w:szCs w:val="24"/>
        </w:rPr>
        <w:t>This information collection</w:t>
      </w:r>
      <w:r w:rsidR="000F0DCF" w:rsidRPr="00253A6E">
        <w:rPr>
          <w:szCs w:val="24"/>
        </w:rPr>
        <w:t xml:space="preserve"> contain</w:t>
      </w:r>
      <w:r w:rsidRPr="00253A6E">
        <w:rPr>
          <w:szCs w:val="24"/>
        </w:rPr>
        <w:t>s</w:t>
      </w:r>
      <w:r w:rsidR="000F0DCF" w:rsidRPr="00253A6E">
        <w:rPr>
          <w:szCs w:val="24"/>
        </w:rPr>
        <w:t xml:space="preserve"> no sensitive questions as defined by OMB guidelines.</w:t>
      </w:r>
    </w:p>
    <w:p w:rsidR="006C2865" w:rsidRPr="00253A6E" w:rsidRDefault="006C2865" w:rsidP="000F0DCF">
      <w:pPr>
        <w:rPr>
          <w:szCs w:val="24"/>
        </w:rPr>
      </w:pPr>
    </w:p>
    <w:p w:rsidR="00D25289" w:rsidRPr="00253A6E" w:rsidRDefault="00D25289" w:rsidP="006C3229">
      <w:pPr>
        <w:rPr>
          <w:szCs w:val="24"/>
        </w:rPr>
      </w:pPr>
      <w:r w:rsidRPr="00253A6E">
        <w:rPr>
          <w:b/>
          <w:szCs w:val="24"/>
        </w:rPr>
        <w:t>Estimates of Respondent Burden</w:t>
      </w:r>
    </w:p>
    <w:p w:rsidR="00D25289" w:rsidRPr="00253A6E" w:rsidRDefault="00D25289" w:rsidP="00D25289">
      <w:pPr>
        <w:rPr>
          <w:szCs w:val="24"/>
        </w:rPr>
      </w:pPr>
    </w:p>
    <w:p w:rsidR="00BC62E8" w:rsidRDefault="00BC62E8" w:rsidP="00F965CE">
      <w:pPr>
        <w:autoSpaceDE w:val="0"/>
        <w:autoSpaceDN w:val="0"/>
        <w:adjustRightInd w:val="0"/>
        <w:ind w:firstLine="720"/>
        <w:rPr>
          <w:szCs w:val="24"/>
        </w:rPr>
      </w:pPr>
      <w:r w:rsidRPr="007624B4">
        <w:rPr>
          <w:szCs w:val="24"/>
        </w:rPr>
        <w:t xml:space="preserve">The total reporting burden for FR 3033p is estimated to be 6,000 hours. </w:t>
      </w:r>
      <w:r w:rsidR="006C2865" w:rsidRPr="00253A6E">
        <w:rPr>
          <w:szCs w:val="24"/>
        </w:rPr>
        <w:t xml:space="preserve">Based on an estimated response rate of 60 percent, </w:t>
      </w:r>
      <w:r w:rsidR="00F868BE" w:rsidRPr="00253A6E">
        <w:rPr>
          <w:szCs w:val="24"/>
        </w:rPr>
        <w:t xml:space="preserve">approximately </w:t>
      </w:r>
      <w:r w:rsidR="006C2865" w:rsidRPr="00253A6E">
        <w:rPr>
          <w:szCs w:val="24"/>
        </w:rPr>
        <w:t xml:space="preserve">1,800 of the 3,000 companies would complete the FR 3033s.   </w:t>
      </w:r>
      <w:r w:rsidR="006E27B5" w:rsidRPr="00253A6E">
        <w:rPr>
          <w:szCs w:val="24"/>
        </w:rPr>
        <w:t>T</w:t>
      </w:r>
      <w:r w:rsidR="005A7E38" w:rsidRPr="00253A6E">
        <w:rPr>
          <w:szCs w:val="24"/>
        </w:rPr>
        <w:t>he total reporting burden for FR 3033</w:t>
      </w:r>
      <w:r w:rsidR="00F965CE" w:rsidRPr="00253A6E">
        <w:rPr>
          <w:szCs w:val="24"/>
        </w:rPr>
        <w:t>s</w:t>
      </w:r>
      <w:r w:rsidR="005A7E38" w:rsidRPr="00253A6E">
        <w:rPr>
          <w:szCs w:val="24"/>
        </w:rPr>
        <w:t xml:space="preserve"> is estimated to be </w:t>
      </w:r>
      <w:r w:rsidR="00BF7D55">
        <w:rPr>
          <w:szCs w:val="24"/>
        </w:rPr>
        <w:t>2,700</w:t>
      </w:r>
      <w:r w:rsidR="006E27B5" w:rsidRPr="00253A6E">
        <w:rPr>
          <w:szCs w:val="24"/>
        </w:rPr>
        <w:t xml:space="preserve"> </w:t>
      </w:r>
      <w:r w:rsidR="005A7E38" w:rsidRPr="00253A6E">
        <w:rPr>
          <w:szCs w:val="24"/>
        </w:rPr>
        <w:t>hours</w:t>
      </w:r>
      <w:r w:rsidR="006E27B5" w:rsidRPr="00253A6E">
        <w:rPr>
          <w:szCs w:val="24"/>
        </w:rPr>
        <w:t>.</w:t>
      </w:r>
      <w:r w:rsidR="00C27D86" w:rsidRPr="00253A6E">
        <w:rPr>
          <w:szCs w:val="24"/>
        </w:rPr>
        <w:t xml:space="preserve"> </w:t>
      </w:r>
      <w:r w:rsidR="006E27B5" w:rsidRPr="00253A6E">
        <w:rPr>
          <w:szCs w:val="24"/>
        </w:rPr>
        <w:t xml:space="preserve"> </w:t>
      </w:r>
      <w:r>
        <w:rPr>
          <w:szCs w:val="24"/>
        </w:rPr>
        <w:t xml:space="preserve">The total annual burden for the FR 3033 information collection is estimated to </w:t>
      </w:r>
      <w:r w:rsidR="00BF7D55">
        <w:rPr>
          <w:szCs w:val="24"/>
        </w:rPr>
        <w:t xml:space="preserve">increase from 6,000 hours to </w:t>
      </w:r>
      <w:r>
        <w:rPr>
          <w:szCs w:val="24"/>
        </w:rPr>
        <w:t xml:space="preserve">8,700 hours.  </w:t>
      </w:r>
      <w:r w:rsidR="00DB47FB" w:rsidRPr="00253A6E">
        <w:rPr>
          <w:szCs w:val="24"/>
        </w:rPr>
        <w:t>The FR 3033</w:t>
      </w:r>
      <w:r>
        <w:rPr>
          <w:szCs w:val="24"/>
        </w:rPr>
        <w:t>p/</w:t>
      </w:r>
      <w:r w:rsidR="00DB47FB" w:rsidRPr="00253A6E">
        <w:rPr>
          <w:szCs w:val="24"/>
        </w:rPr>
        <w:t xml:space="preserve">s information collection represents less than 1 percent of total Federal Reserve System paperwork burden.  </w:t>
      </w:r>
    </w:p>
    <w:p w:rsidR="00FF53C4" w:rsidRDefault="00FF53C4">
      <w:pPr>
        <w:autoSpaceDE w:val="0"/>
        <w:autoSpaceDN w:val="0"/>
        <w:adjustRightInd w:val="0"/>
        <w:ind w:firstLine="720"/>
        <w:rPr>
          <w:b/>
          <w:bCs/>
          <w:szCs w:val="24"/>
        </w:rPr>
      </w:pPr>
    </w:p>
    <w:p w:rsidR="00D6146C" w:rsidRDefault="00D6146C" w:rsidP="00D6146C">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b/>
          <w:iCs/>
          <w:szCs w:val="24"/>
        </w:rPr>
      </w:pPr>
      <w:r w:rsidRPr="00253A6E">
        <w:rPr>
          <w:b/>
          <w:iCs/>
          <w:szCs w:val="24"/>
        </w:rPr>
        <w:t>Estimates of Respondent Burden</w:t>
      </w:r>
    </w:p>
    <w:p w:rsidR="00FF53C4" w:rsidRDefault="00FF53C4">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b/>
        </w:rPr>
      </w:pPr>
    </w:p>
    <w:tbl>
      <w:tblPr>
        <w:tblW w:w="0" w:type="auto"/>
        <w:jc w:val="center"/>
        <w:tblInd w:w="-63" w:type="dxa"/>
        <w:tblBorders>
          <w:top w:val="single" w:sz="8" w:space="0" w:color="auto"/>
          <w:bottom w:val="single" w:sz="18" w:space="0" w:color="auto"/>
        </w:tblBorders>
        <w:tblLayout w:type="fixed"/>
        <w:tblLook w:val="01E0"/>
      </w:tblPr>
      <w:tblGrid>
        <w:gridCol w:w="2471"/>
        <w:gridCol w:w="1765"/>
        <w:gridCol w:w="1211"/>
        <w:gridCol w:w="1735"/>
        <w:gridCol w:w="1737"/>
      </w:tblGrid>
      <w:tr w:rsidR="00C55B7D" w:rsidTr="00981318">
        <w:trPr>
          <w:jc w:val="center"/>
        </w:trPr>
        <w:tc>
          <w:tcPr>
            <w:tcW w:w="2471" w:type="dxa"/>
            <w:tcBorders>
              <w:top w:val="single" w:sz="8" w:space="0" w:color="auto"/>
              <w:bottom w:val="nil"/>
            </w:tcBorders>
            <w:shd w:val="clear" w:color="auto" w:fill="auto"/>
          </w:tcPr>
          <w:p w:rsidR="00FF53C4" w:rsidRDefault="00FF53C4"/>
        </w:tc>
        <w:tc>
          <w:tcPr>
            <w:tcW w:w="1765" w:type="dxa"/>
            <w:tcBorders>
              <w:top w:val="single" w:sz="8" w:space="0" w:color="auto"/>
              <w:bottom w:val="nil"/>
            </w:tcBorders>
            <w:shd w:val="clear" w:color="auto" w:fill="auto"/>
            <w:vAlign w:val="bottom"/>
          </w:tcPr>
          <w:p w:rsidR="00FF53C4" w:rsidRDefault="00C55B7D">
            <w:pPr>
              <w:jc w:val="center"/>
              <w:rPr>
                <w:i/>
                <w:szCs w:val="24"/>
              </w:rPr>
            </w:pPr>
            <w:r w:rsidRPr="00582516">
              <w:rPr>
                <w:i/>
                <w:szCs w:val="24"/>
              </w:rPr>
              <w:t>Number of respondents</w:t>
            </w:r>
          </w:p>
        </w:tc>
        <w:tc>
          <w:tcPr>
            <w:tcW w:w="1211" w:type="dxa"/>
            <w:tcBorders>
              <w:top w:val="single" w:sz="8" w:space="0" w:color="auto"/>
              <w:bottom w:val="nil"/>
            </w:tcBorders>
            <w:shd w:val="clear" w:color="auto" w:fill="auto"/>
            <w:vAlign w:val="bottom"/>
          </w:tcPr>
          <w:p w:rsidR="00FF53C4" w:rsidRDefault="00C55B7D">
            <w:pPr>
              <w:jc w:val="center"/>
              <w:rPr>
                <w:i/>
                <w:szCs w:val="24"/>
              </w:rPr>
            </w:pPr>
            <w:r w:rsidRPr="00582516">
              <w:rPr>
                <w:i/>
                <w:szCs w:val="24"/>
              </w:rPr>
              <w:t>Annual frequency</w:t>
            </w:r>
          </w:p>
        </w:tc>
        <w:tc>
          <w:tcPr>
            <w:tcW w:w="1735" w:type="dxa"/>
            <w:tcBorders>
              <w:top w:val="single" w:sz="8" w:space="0" w:color="auto"/>
              <w:bottom w:val="nil"/>
            </w:tcBorders>
            <w:shd w:val="clear" w:color="auto" w:fill="auto"/>
            <w:vAlign w:val="bottom"/>
          </w:tcPr>
          <w:p w:rsidR="00FF53C4" w:rsidRDefault="00C55B7D">
            <w:pPr>
              <w:jc w:val="center"/>
              <w:rPr>
                <w:i/>
                <w:szCs w:val="24"/>
              </w:rPr>
            </w:pPr>
            <w:r w:rsidRPr="00582516">
              <w:rPr>
                <w:i/>
                <w:szCs w:val="24"/>
              </w:rPr>
              <w:t>Estimated average hours per response</w:t>
            </w:r>
          </w:p>
        </w:tc>
        <w:tc>
          <w:tcPr>
            <w:tcW w:w="1737" w:type="dxa"/>
            <w:tcBorders>
              <w:top w:val="single" w:sz="8" w:space="0" w:color="auto"/>
              <w:bottom w:val="nil"/>
            </w:tcBorders>
            <w:shd w:val="clear" w:color="auto" w:fill="auto"/>
            <w:vAlign w:val="bottom"/>
          </w:tcPr>
          <w:p w:rsidR="00FF53C4" w:rsidRDefault="00C55B7D">
            <w:pPr>
              <w:jc w:val="center"/>
              <w:rPr>
                <w:i/>
                <w:szCs w:val="24"/>
              </w:rPr>
            </w:pPr>
            <w:r w:rsidRPr="00582516">
              <w:rPr>
                <w:i/>
                <w:szCs w:val="24"/>
              </w:rPr>
              <w:t>Estimated annual burden hours</w:t>
            </w:r>
          </w:p>
        </w:tc>
      </w:tr>
      <w:tr w:rsidR="00C55B7D" w:rsidTr="00981318">
        <w:trPr>
          <w:jc w:val="center"/>
        </w:trPr>
        <w:tc>
          <w:tcPr>
            <w:tcW w:w="2471" w:type="dxa"/>
            <w:tcBorders>
              <w:top w:val="nil"/>
            </w:tcBorders>
          </w:tcPr>
          <w:p w:rsidR="00C55B7D" w:rsidRDefault="00C55B7D" w:rsidP="00981318">
            <w:pPr>
              <w:rPr>
                <w:i/>
                <w:szCs w:val="24"/>
                <w:u w:val="single"/>
              </w:rPr>
            </w:pPr>
          </w:p>
          <w:p w:rsidR="00C55B7D" w:rsidRPr="00582516" w:rsidRDefault="00C55B7D" w:rsidP="00981318">
            <w:pPr>
              <w:rPr>
                <w:i/>
                <w:szCs w:val="24"/>
                <w:u w:val="single"/>
              </w:rPr>
            </w:pPr>
            <w:r>
              <w:rPr>
                <w:i/>
                <w:szCs w:val="24"/>
                <w:u w:val="single"/>
              </w:rPr>
              <w:t>Current:</w:t>
            </w:r>
          </w:p>
        </w:tc>
        <w:tc>
          <w:tcPr>
            <w:tcW w:w="1765" w:type="dxa"/>
            <w:tcBorders>
              <w:top w:val="nil"/>
            </w:tcBorders>
          </w:tcPr>
          <w:p w:rsidR="00C55B7D" w:rsidRPr="00582516" w:rsidRDefault="00C55B7D" w:rsidP="00981318">
            <w:pPr>
              <w:jc w:val="center"/>
              <w:rPr>
                <w:szCs w:val="24"/>
              </w:rPr>
            </w:pPr>
          </w:p>
        </w:tc>
        <w:tc>
          <w:tcPr>
            <w:tcW w:w="1211" w:type="dxa"/>
            <w:tcBorders>
              <w:top w:val="nil"/>
            </w:tcBorders>
          </w:tcPr>
          <w:p w:rsidR="00C55B7D" w:rsidRPr="00582516" w:rsidRDefault="00C55B7D" w:rsidP="00981318">
            <w:pPr>
              <w:jc w:val="center"/>
              <w:rPr>
                <w:szCs w:val="24"/>
              </w:rPr>
            </w:pPr>
          </w:p>
        </w:tc>
        <w:tc>
          <w:tcPr>
            <w:tcW w:w="1735" w:type="dxa"/>
            <w:tcBorders>
              <w:top w:val="nil"/>
            </w:tcBorders>
          </w:tcPr>
          <w:p w:rsidR="00C55B7D" w:rsidRPr="00582516" w:rsidRDefault="00C55B7D" w:rsidP="00981318">
            <w:pPr>
              <w:jc w:val="center"/>
              <w:rPr>
                <w:szCs w:val="24"/>
              </w:rPr>
            </w:pPr>
          </w:p>
        </w:tc>
        <w:tc>
          <w:tcPr>
            <w:tcW w:w="1737" w:type="dxa"/>
            <w:tcBorders>
              <w:top w:val="nil"/>
            </w:tcBorders>
          </w:tcPr>
          <w:p w:rsidR="00C55B7D" w:rsidRPr="00582516" w:rsidRDefault="00C55B7D" w:rsidP="00981318">
            <w:pPr>
              <w:jc w:val="center"/>
              <w:rPr>
                <w:szCs w:val="24"/>
              </w:rPr>
            </w:pPr>
          </w:p>
        </w:tc>
      </w:tr>
      <w:tr w:rsidR="00C55B7D" w:rsidTr="00981318">
        <w:trPr>
          <w:jc w:val="center"/>
        </w:trPr>
        <w:tc>
          <w:tcPr>
            <w:tcW w:w="2471" w:type="dxa"/>
          </w:tcPr>
          <w:p w:rsidR="00C55B7D" w:rsidRPr="00582516" w:rsidRDefault="00C55B7D" w:rsidP="00C55B7D">
            <w:pPr>
              <w:rPr>
                <w:szCs w:val="24"/>
              </w:rPr>
            </w:pPr>
            <w:r>
              <w:rPr>
                <w:szCs w:val="24"/>
              </w:rPr>
              <w:t>FR 3033p</w:t>
            </w:r>
          </w:p>
        </w:tc>
        <w:tc>
          <w:tcPr>
            <w:tcW w:w="1765" w:type="dxa"/>
          </w:tcPr>
          <w:p w:rsidR="00C55B7D" w:rsidRPr="00582516" w:rsidRDefault="00C55B7D" w:rsidP="00981318">
            <w:pPr>
              <w:jc w:val="center"/>
              <w:rPr>
                <w:szCs w:val="24"/>
              </w:rPr>
            </w:pPr>
            <w:r>
              <w:rPr>
                <w:szCs w:val="24"/>
              </w:rPr>
              <w:t>18,000</w:t>
            </w:r>
          </w:p>
        </w:tc>
        <w:tc>
          <w:tcPr>
            <w:tcW w:w="1211" w:type="dxa"/>
          </w:tcPr>
          <w:p w:rsidR="00C55B7D" w:rsidRPr="00582516" w:rsidRDefault="00C55B7D" w:rsidP="00981318">
            <w:pPr>
              <w:jc w:val="center"/>
              <w:rPr>
                <w:szCs w:val="24"/>
              </w:rPr>
            </w:pPr>
            <w:r>
              <w:rPr>
                <w:szCs w:val="24"/>
              </w:rPr>
              <w:t>1</w:t>
            </w:r>
          </w:p>
        </w:tc>
        <w:tc>
          <w:tcPr>
            <w:tcW w:w="1735" w:type="dxa"/>
          </w:tcPr>
          <w:p w:rsidR="00C55B7D" w:rsidRPr="00582516" w:rsidRDefault="00C55B7D" w:rsidP="00981318">
            <w:pPr>
              <w:jc w:val="center"/>
              <w:rPr>
                <w:szCs w:val="24"/>
              </w:rPr>
            </w:pPr>
            <w:r>
              <w:rPr>
                <w:szCs w:val="24"/>
              </w:rPr>
              <w:t xml:space="preserve">0.33 </w:t>
            </w:r>
          </w:p>
        </w:tc>
        <w:tc>
          <w:tcPr>
            <w:tcW w:w="1737" w:type="dxa"/>
          </w:tcPr>
          <w:p w:rsidR="00C55B7D" w:rsidRPr="00582516" w:rsidRDefault="00C55B7D" w:rsidP="00981318">
            <w:pPr>
              <w:jc w:val="center"/>
              <w:rPr>
                <w:szCs w:val="24"/>
              </w:rPr>
            </w:pPr>
            <w:r>
              <w:rPr>
                <w:szCs w:val="24"/>
              </w:rPr>
              <w:t>6,000</w:t>
            </w:r>
          </w:p>
        </w:tc>
      </w:tr>
      <w:tr w:rsidR="00C55B7D" w:rsidTr="00981318">
        <w:trPr>
          <w:jc w:val="center"/>
        </w:trPr>
        <w:tc>
          <w:tcPr>
            <w:tcW w:w="2471" w:type="dxa"/>
          </w:tcPr>
          <w:p w:rsidR="00C55B7D" w:rsidRPr="00582516" w:rsidRDefault="00C55B7D" w:rsidP="00981318">
            <w:pPr>
              <w:jc w:val="right"/>
              <w:rPr>
                <w:i/>
                <w:szCs w:val="24"/>
              </w:rPr>
            </w:pPr>
          </w:p>
        </w:tc>
        <w:tc>
          <w:tcPr>
            <w:tcW w:w="1765" w:type="dxa"/>
          </w:tcPr>
          <w:p w:rsidR="00C55B7D" w:rsidRPr="00582516" w:rsidRDefault="00C55B7D" w:rsidP="00981318">
            <w:pPr>
              <w:jc w:val="center"/>
              <w:rPr>
                <w:szCs w:val="24"/>
              </w:rPr>
            </w:pPr>
          </w:p>
        </w:tc>
        <w:tc>
          <w:tcPr>
            <w:tcW w:w="1211" w:type="dxa"/>
          </w:tcPr>
          <w:p w:rsidR="00C55B7D" w:rsidRPr="00582516" w:rsidRDefault="00C55B7D" w:rsidP="00981318">
            <w:pPr>
              <w:jc w:val="center"/>
              <w:rPr>
                <w:szCs w:val="24"/>
              </w:rPr>
            </w:pPr>
          </w:p>
        </w:tc>
        <w:tc>
          <w:tcPr>
            <w:tcW w:w="1735" w:type="dxa"/>
          </w:tcPr>
          <w:p w:rsidR="00C55B7D" w:rsidRPr="00582516" w:rsidRDefault="00C55B7D" w:rsidP="00981318">
            <w:pPr>
              <w:jc w:val="center"/>
              <w:rPr>
                <w:szCs w:val="24"/>
              </w:rPr>
            </w:pPr>
          </w:p>
        </w:tc>
        <w:tc>
          <w:tcPr>
            <w:tcW w:w="1737" w:type="dxa"/>
          </w:tcPr>
          <w:p w:rsidR="00C55B7D" w:rsidRPr="00582516" w:rsidRDefault="00C55B7D" w:rsidP="00981318">
            <w:pPr>
              <w:jc w:val="center"/>
              <w:rPr>
                <w:szCs w:val="24"/>
              </w:rPr>
            </w:pPr>
          </w:p>
        </w:tc>
      </w:tr>
      <w:tr w:rsidR="00C55B7D" w:rsidTr="00981318">
        <w:trPr>
          <w:jc w:val="center"/>
        </w:trPr>
        <w:tc>
          <w:tcPr>
            <w:tcW w:w="2471" w:type="dxa"/>
          </w:tcPr>
          <w:p w:rsidR="00C55B7D" w:rsidRPr="00582516" w:rsidRDefault="00C55B7D" w:rsidP="00981318">
            <w:pPr>
              <w:rPr>
                <w:i/>
                <w:szCs w:val="24"/>
                <w:u w:val="single"/>
              </w:rPr>
            </w:pPr>
            <w:r>
              <w:rPr>
                <w:i/>
                <w:szCs w:val="24"/>
                <w:u w:val="single"/>
              </w:rPr>
              <w:t>Proposed:</w:t>
            </w:r>
          </w:p>
        </w:tc>
        <w:tc>
          <w:tcPr>
            <w:tcW w:w="1765" w:type="dxa"/>
          </w:tcPr>
          <w:p w:rsidR="00C55B7D" w:rsidRPr="00582516" w:rsidRDefault="00C55B7D" w:rsidP="00981318">
            <w:pPr>
              <w:jc w:val="center"/>
              <w:rPr>
                <w:szCs w:val="24"/>
              </w:rPr>
            </w:pPr>
          </w:p>
        </w:tc>
        <w:tc>
          <w:tcPr>
            <w:tcW w:w="1211" w:type="dxa"/>
          </w:tcPr>
          <w:p w:rsidR="00C55B7D" w:rsidRPr="00582516" w:rsidRDefault="00C55B7D" w:rsidP="00981318">
            <w:pPr>
              <w:jc w:val="center"/>
              <w:rPr>
                <w:szCs w:val="24"/>
              </w:rPr>
            </w:pPr>
          </w:p>
        </w:tc>
        <w:tc>
          <w:tcPr>
            <w:tcW w:w="1735" w:type="dxa"/>
          </w:tcPr>
          <w:p w:rsidR="00C55B7D" w:rsidRPr="00582516" w:rsidRDefault="00C55B7D" w:rsidP="00981318">
            <w:pPr>
              <w:jc w:val="center"/>
              <w:rPr>
                <w:szCs w:val="24"/>
              </w:rPr>
            </w:pPr>
          </w:p>
        </w:tc>
        <w:tc>
          <w:tcPr>
            <w:tcW w:w="1737" w:type="dxa"/>
          </w:tcPr>
          <w:p w:rsidR="00C55B7D" w:rsidRPr="00582516" w:rsidRDefault="00C55B7D" w:rsidP="00981318">
            <w:pPr>
              <w:jc w:val="center"/>
              <w:rPr>
                <w:szCs w:val="24"/>
              </w:rPr>
            </w:pPr>
          </w:p>
        </w:tc>
      </w:tr>
      <w:tr w:rsidR="00C55B7D" w:rsidTr="00981318">
        <w:trPr>
          <w:jc w:val="center"/>
        </w:trPr>
        <w:tc>
          <w:tcPr>
            <w:tcW w:w="2471" w:type="dxa"/>
          </w:tcPr>
          <w:p w:rsidR="00C55B7D" w:rsidRPr="00582516" w:rsidRDefault="00C55B7D" w:rsidP="00C55B7D">
            <w:pPr>
              <w:rPr>
                <w:szCs w:val="24"/>
              </w:rPr>
            </w:pPr>
            <w:r w:rsidRPr="00582516">
              <w:rPr>
                <w:szCs w:val="24"/>
              </w:rPr>
              <w:t>FR</w:t>
            </w:r>
            <w:r>
              <w:rPr>
                <w:szCs w:val="24"/>
              </w:rPr>
              <w:t xml:space="preserve"> 3033p</w:t>
            </w:r>
          </w:p>
        </w:tc>
        <w:tc>
          <w:tcPr>
            <w:tcW w:w="1765" w:type="dxa"/>
          </w:tcPr>
          <w:p w:rsidR="00C55B7D" w:rsidRPr="00582516" w:rsidRDefault="00981318" w:rsidP="00981318">
            <w:pPr>
              <w:jc w:val="center"/>
              <w:rPr>
                <w:szCs w:val="24"/>
              </w:rPr>
            </w:pPr>
            <w:r>
              <w:rPr>
                <w:szCs w:val="24"/>
              </w:rPr>
              <w:t>18,000</w:t>
            </w:r>
          </w:p>
        </w:tc>
        <w:tc>
          <w:tcPr>
            <w:tcW w:w="1211" w:type="dxa"/>
          </w:tcPr>
          <w:p w:rsidR="00C55B7D" w:rsidRPr="00582516" w:rsidRDefault="00981318" w:rsidP="00981318">
            <w:pPr>
              <w:jc w:val="center"/>
              <w:rPr>
                <w:szCs w:val="24"/>
              </w:rPr>
            </w:pPr>
            <w:r>
              <w:rPr>
                <w:szCs w:val="24"/>
              </w:rPr>
              <w:t>1</w:t>
            </w:r>
          </w:p>
        </w:tc>
        <w:tc>
          <w:tcPr>
            <w:tcW w:w="1735" w:type="dxa"/>
          </w:tcPr>
          <w:p w:rsidR="00C55B7D" w:rsidRPr="00582516" w:rsidRDefault="00981318" w:rsidP="00981318">
            <w:pPr>
              <w:jc w:val="center"/>
              <w:rPr>
                <w:szCs w:val="24"/>
              </w:rPr>
            </w:pPr>
            <w:r>
              <w:rPr>
                <w:szCs w:val="24"/>
              </w:rPr>
              <w:t>0.33</w:t>
            </w:r>
          </w:p>
        </w:tc>
        <w:tc>
          <w:tcPr>
            <w:tcW w:w="1737" w:type="dxa"/>
          </w:tcPr>
          <w:p w:rsidR="00C55B7D" w:rsidRPr="00582516" w:rsidRDefault="00981318" w:rsidP="00981318">
            <w:pPr>
              <w:jc w:val="center"/>
              <w:rPr>
                <w:szCs w:val="24"/>
              </w:rPr>
            </w:pPr>
            <w:r>
              <w:rPr>
                <w:szCs w:val="24"/>
              </w:rPr>
              <w:t>6,000</w:t>
            </w:r>
          </w:p>
        </w:tc>
      </w:tr>
      <w:tr w:rsidR="00C55B7D" w:rsidTr="00981318">
        <w:trPr>
          <w:jc w:val="center"/>
        </w:trPr>
        <w:tc>
          <w:tcPr>
            <w:tcW w:w="2471" w:type="dxa"/>
            <w:shd w:val="clear" w:color="auto" w:fill="auto"/>
          </w:tcPr>
          <w:p w:rsidR="00FF53C4" w:rsidRDefault="00C55B7D">
            <w:pPr>
              <w:rPr>
                <w:szCs w:val="24"/>
              </w:rPr>
            </w:pPr>
            <w:r>
              <w:rPr>
                <w:szCs w:val="24"/>
              </w:rPr>
              <w:t>FR 3033s</w:t>
            </w:r>
          </w:p>
        </w:tc>
        <w:tc>
          <w:tcPr>
            <w:tcW w:w="1765" w:type="dxa"/>
            <w:shd w:val="clear" w:color="auto" w:fill="auto"/>
          </w:tcPr>
          <w:p w:rsidR="00FF53C4" w:rsidRDefault="00981318">
            <w:pPr>
              <w:jc w:val="center"/>
              <w:rPr>
                <w:szCs w:val="24"/>
              </w:rPr>
            </w:pPr>
            <w:r w:rsidRPr="00981318">
              <w:rPr>
                <w:szCs w:val="24"/>
              </w:rPr>
              <w:t xml:space="preserve">  1,800 </w:t>
            </w:r>
          </w:p>
        </w:tc>
        <w:tc>
          <w:tcPr>
            <w:tcW w:w="1211" w:type="dxa"/>
            <w:shd w:val="clear" w:color="auto" w:fill="auto"/>
          </w:tcPr>
          <w:p w:rsidR="00FF53C4" w:rsidRDefault="00C55B7D">
            <w:pPr>
              <w:jc w:val="center"/>
              <w:rPr>
                <w:szCs w:val="24"/>
              </w:rPr>
            </w:pPr>
            <w:r w:rsidRPr="00582516">
              <w:rPr>
                <w:szCs w:val="24"/>
              </w:rPr>
              <w:t>1</w:t>
            </w:r>
          </w:p>
        </w:tc>
        <w:tc>
          <w:tcPr>
            <w:tcW w:w="1735" w:type="dxa"/>
            <w:shd w:val="clear" w:color="auto" w:fill="auto"/>
          </w:tcPr>
          <w:p w:rsidR="00FF53C4" w:rsidRDefault="00981318">
            <w:pPr>
              <w:jc w:val="center"/>
              <w:rPr>
                <w:szCs w:val="24"/>
              </w:rPr>
            </w:pPr>
            <w:r>
              <w:rPr>
                <w:szCs w:val="24"/>
              </w:rPr>
              <w:t>1.5</w:t>
            </w:r>
          </w:p>
        </w:tc>
        <w:tc>
          <w:tcPr>
            <w:tcW w:w="1737" w:type="dxa"/>
            <w:shd w:val="clear" w:color="auto" w:fill="auto"/>
          </w:tcPr>
          <w:p w:rsidR="00FF53C4" w:rsidRDefault="00C13961">
            <w:pPr>
              <w:jc w:val="center"/>
              <w:rPr>
                <w:u w:val="single"/>
              </w:rPr>
            </w:pPr>
            <w:r w:rsidRPr="00C13961">
              <w:rPr>
                <w:u w:val="single"/>
              </w:rPr>
              <w:t>2,700</w:t>
            </w:r>
            <w:r w:rsidR="00C55B7D" w:rsidRPr="00C55B7D">
              <w:rPr>
                <w:szCs w:val="24"/>
                <w:u w:val="single"/>
              </w:rPr>
              <w:t xml:space="preserve"> </w:t>
            </w:r>
          </w:p>
        </w:tc>
      </w:tr>
      <w:tr w:rsidR="00C55B7D" w:rsidRPr="00F533C2" w:rsidTr="00BF7D55">
        <w:trPr>
          <w:jc w:val="center"/>
        </w:trPr>
        <w:tc>
          <w:tcPr>
            <w:tcW w:w="2471" w:type="dxa"/>
            <w:tcBorders>
              <w:top w:val="nil"/>
              <w:bottom w:val="nil"/>
            </w:tcBorders>
            <w:shd w:val="clear" w:color="auto" w:fill="auto"/>
          </w:tcPr>
          <w:p w:rsidR="00FF53C4" w:rsidRDefault="00C55B7D">
            <w:pPr>
              <w:jc w:val="right"/>
              <w:rPr>
                <w:i/>
              </w:rPr>
            </w:pPr>
            <w:r w:rsidRPr="00582516">
              <w:rPr>
                <w:i/>
                <w:szCs w:val="24"/>
              </w:rPr>
              <w:t>Total</w:t>
            </w:r>
          </w:p>
        </w:tc>
        <w:tc>
          <w:tcPr>
            <w:tcW w:w="1765" w:type="dxa"/>
            <w:tcBorders>
              <w:top w:val="nil"/>
              <w:bottom w:val="nil"/>
            </w:tcBorders>
            <w:shd w:val="clear" w:color="auto" w:fill="auto"/>
          </w:tcPr>
          <w:p w:rsidR="00FF53C4" w:rsidRDefault="00C55B7D">
            <w:pPr>
              <w:rPr>
                <w:szCs w:val="24"/>
              </w:rPr>
            </w:pPr>
            <w:r w:rsidRPr="00582516">
              <w:rPr>
                <w:szCs w:val="24"/>
              </w:rPr>
              <w:t xml:space="preserve">       </w:t>
            </w:r>
            <w:r w:rsidR="00981318">
              <w:rPr>
                <w:szCs w:val="24"/>
              </w:rPr>
              <w:t xml:space="preserve">   </w:t>
            </w:r>
          </w:p>
        </w:tc>
        <w:tc>
          <w:tcPr>
            <w:tcW w:w="1211" w:type="dxa"/>
            <w:tcBorders>
              <w:top w:val="nil"/>
              <w:bottom w:val="nil"/>
            </w:tcBorders>
            <w:shd w:val="clear" w:color="auto" w:fill="auto"/>
          </w:tcPr>
          <w:p w:rsidR="00FF53C4" w:rsidRDefault="00FF53C4">
            <w:pPr>
              <w:jc w:val="center"/>
              <w:rPr>
                <w:szCs w:val="24"/>
              </w:rPr>
            </w:pPr>
          </w:p>
        </w:tc>
        <w:tc>
          <w:tcPr>
            <w:tcW w:w="1735" w:type="dxa"/>
            <w:tcBorders>
              <w:top w:val="nil"/>
              <w:bottom w:val="nil"/>
            </w:tcBorders>
            <w:shd w:val="clear" w:color="auto" w:fill="auto"/>
          </w:tcPr>
          <w:p w:rsidR="00FF53C4" w:rsidRDefault="00FF53C4">
            <w:pPr>
              <w:jc w:val="center"/>
              <w:rPr>
                <w:szCs w:val="24"/>
              </w:rPr>
            </w:pPr>
          </w:p>
        </w:tc>
        <w:tc>
          <w:tcPr>
            <w:tcW w:w="1737" w:type="dxa"/>
            <w:tcBorders>
              <w:top w:val="nil"/>
              <w:bottom w:val="nil"/>
            </w:tcBorders>
            <w:shd w:val="clear" w:color="auto" w:fill="auto"/>
          </w:tcPr>
          <w:p w:rsidR="00FF53C4" w:rsidRDefault="00981318" w:rsidP="00BF7D55">
            <w:pPr>
              <w:jc w:val="center"/>
              <w:rPr>
                <w:szCs w:val="24"/>
              </w:rPr>
            </w:pPr>
            <w:r>
              <w:rPr>
                <w:szCs w:val="24"/>
              </w:rPr>
              <w:t>8,700</w:t>
            </w:r>
          </w:p>
          <w:p w:rsidR="006F1077" w:rsidRDefault="006F1077" w:rsidP="00BF7D55">
            <w:pPr>
              <w:jc w:val="center"/>
              <w:rPr>
                <w:szCs w:val="24"/>
              </w:rPr>
            </w:pPr>
          </w:p>
        </w:tc>
      </w:tr>
      <w:tr w:rsidR="00BF7D55" w:rsidRPr="00F533C2" w:rsidTr="00981318">
        <w:trPr>
          <w:jc w:val="center"/>
        </w:trPr>
        <w:tc>
          <w:tcPr>
            <w:tcW w:w="2471" w:type="dxa"/>
            <w:tcBorders>
              <w:top w:val="nil"/>
              <w:bottom w:val="single" w:sz="4" w:space="0" w:color="auto"/>
            </w:tcBorders>
            <w:shd w:val="clear" w:color="auto" w:fill="auto"/>
          </w:tcPr>
          <w:p w:rsidR="00BF7D55" w:rsidRPr="00582516" w:rsidRDefault="00BF7D55">
            <w:pPr>
              <w:jc w:val="right"/>
              <w:rPr>
                <w:i/>
                <w:szCs w:val="24"/>
              </w:rPr>
            </w:pPr>
            <w:r>
              <w:rPr>
                <w:i/>
                <w:szCs w:val="24"/>
              </w:rPr>
              <w:t>Change</w:t>
            </w:r>
          </w:p>
        </w:tc>
        <w:tc>
          <w:tcPr>
            <w:tcW w:w="1765" w:type="dxa"/>
            <w:tcBorders>
              <w:top w:val="nil"/>
              <w:bottom w:val="single" w:sz="4" w:space="0" w:color="auto"/>
            </w:tcBorders>
            <w:shd w:val="clear" w:color="auto" w:fill="auto"/>
          </w:tcPr>
          <w:p w:rsidR="00BF7D55" w:rsidRPr="00582516" w:rsidRDefault="00BF7D55">
            <w:pPr>
              <w:rPr>
                <w:szCs w:val="24"/>
              </w:rPr>
            </w:pPr>
          </w:p>
        </w:tc>
        <w:tc>
          <w:tcPr>
            <w:tcW w:w="1211" w:type="dxa"/>
            <w:tcBorders>
              <w:top w:val="nil"/>
              <w:bottom w:val="single" w:sz="4" w:space="0" w:color="auto"/>
            </w:tcBorders>
            <w:shd w:val="clear" w:color="auto" w:fill="auto"/>
          </w:tcPr>
          <w:p w:rsidR="00BF7D55" w:rsidRDefault="00BF7D55">
            <w:pPr>
              <w:jc w:val="center"/>
              <w:rPr>
                <w:szCs w:val="24"/>
              </w:rPr>
            </w:pPr>
          </w:p>
        </w:tc>
        <w:tc>
          <w:tcPr>
            <w:tcW w:w="1735" w:type="dxa"/>
            <w:tcBorders>
              <w:top w:val="nil"/>
              <w:bottom w:val="single" w:sz="4" w:space="0" w:color="auto"/>
            </w:tcBorders>
            <w:shd w:val="clear" w:color="auto" w:fill="auto"/>
          </w:tcPr>
          <w:p w:rsidR="00BF7D55" w:rsidRDefault="00BF7D55">
            <w:pPr>
              <w:jc w:val="center"/>
              <w:rPr>
                <w:szCs w:val="24"/>
              </w:rPr>
            </w:pPr>
          </w:p>
        </w:tc>
        <w:tc>
          <w:tcPr>
            <w:tcW w:w="1737" w:type="dxa"/>
            <w:tcBorders>
              <w:top w:val="nil"/>
              <w:bottom w:val="single" w:sz="4" w:space="0" w:color="auto"/>
            </w:tcBorders>
            <w:shd w:val="clear" w:color="auto" w:fill="auto"/>
          </w:tcPr>
          <w:p w:rsidR="00BF7D55" w:rsidRDefault="00BF7D55" w:rsidP="00BF7D55">
            <w:pPr>
              <w:jc w:val="center"/>
              <w:rPr>
                <w:szCs w:val="24"/>
              </w:rPr>
            </w:pPr>
            <w:r>
              <w:rPr>
                <w:szCs w:val="24"/>
              </w:rPr>
              <w:t>2,700</w:t>
            </w:r>
          </w:p>
        </w:tc>
      </w:tr>
    </w:tbl>
    <w:p w:rsidR="00FF53C4" w:rsidRDefault="00FF53C4">
      <w:pPr>
        <w:tabs>
          <w:tab w:val="left" w:pos="-28012"/>
          <w:tab w:val="left" w:pos="-27031"/>
          <w:tab w:val="decimal" w:pos="-26664"/>
          <w:tab w:val="decimal" w:pos="-26304"/>
          <w:tab w:val="left" w:pos="-25852"/>
          <w:tab w:val="left" w:pos="-25132"/>
          <w:tab w:val="left" w:pos="-24412"/>
          <w:tab w:val="left" w:pos="-23692"/>
          <w:tab w:val="left" w:pos="-23002"/>
          <w:tab w:val="left" w:pos="-22372"/>
          <w:tab w:val="left" w:pos="-21532"/>
          <w:tab w:val="left" w:pos="-20812"/>
          <w:tab w:val="left" w:pos="-20092"/>
          <w:tab w:val="left" w:pos="-19372"/>
          <w:tab w:val="left" w:pos="-18652"/>
          <w:tab w:val="right" w:pos="-17920"/>
          <w:tab w:val="left" w:pos="-17212"/>
          <w:tab w:val="left" w:pos="-16492"/>
          <w:tab w:val="left" w:pos="-15772"/>
          <w:tab w:val="left" w:pos="-15052"/>
          <w:tab w:val="left" w:pos="-14332"/>
          <w:tab w:val="left" w:pos="-13612"/>
          <w:tab w:val="left" w:pos="-12892"/>
          <w:tab w:val="left" w:pos="-12172"/>
          <w:tab w:val="left" w:pos="-11452"/>
          <w:tab w:val="left" w:pos="-10732"/>
          <w:tab w:val="left" w:pos="-10012"/>
          <w:tab w:val="left" w:pos="-9292"/>
          <w:tab w:val="left" w:pos="-8572"/>
          <w:tab w:val="right" w:pos="628"/>
        </w:tabs>
        <w:jc w:val="center"/>
        <w:rPr>
          <w:b/>
        </w:rPr>
      </w:pPr>
    </w:p>
    <w:p w:rsidR="00D25289" w:rsidRDefault="007627CA" w:rsidP="00D25289">
      <w:pPr>
        <w:tabs>
          <w:tab w:val="center" w:pos="-1440"/>
        </w:tabs>
        <w:rPr>
          <w:szCs w:val="24"/>
        </w:rPr>
      </w:pPr>
      <w:r w:rsidRPr="007624B4">
        <w:rPr>
          <w:szCs w:val="24"/>
        </w:rPr>
        <w:lastRenderedPageBreak/>
        <w:t xml:space="preserve">The </w:t>
      </w:r>
      <w:r w:rsidR="00981318">
        <w:rPr>
          <w:szCs w:val="24"/>
        </w:rPr>
        <w:t xml:space="preserve">current </w:t>
      </w:r>
      <w:r w:rsidRPr="007624B4">
        <w:rPr>
          <w:szCs w:val="24"/>
        </w:rPr>
        <w:t>cost to the public</w:t>
      </w:r>
      <w:r>
        <w:rPr>
          <w:szCs w:val="24"/>
        </w:rPr>
        <w:t xml:space="preserve"> for the FR 3033p</w:t>
      </w:r>
      <w:r w:rsidRPr="007624B4">
        <w:rPr>
          <w:szCs w:val="24"/>
        </w:rPr>
        <w:t xml:space="preserve"> is estimated to be $</w:t>
      </w:r>
      <w:r w:rsidR="006F1077">
        <w:rPr>
          <w:szCs w:val="24"/>
        </w:rPr>
        <w:t xml:space="preserve">252,600.  </w:t>
      </w:r>
      <w:r w:rsidR="00981318">
        <w:rPr>
          <w:szCs w:val="24"/>
        </w:rPr>
        <w:t xml:space="preserve">The total proposed cost for the FR 3033p/s is </w:t>
      </w:r>
      <w:r w:rsidR="00B90A98">
        <w:rPr>
          <w:szCs w:val="24"/>
        </w:rPr>
        <w:t>$366,270.</w:t>
      </w:r>
      <w:r w:rsidR="00B90A98" w:rsidRPr="00253A6E">
        <w:rPr>
          <w:rStyle w:val="FootnoteReference"/>
          <w:szCs w:val="24"/>
        </w:rPr>
        <w:footnoteReference w:id="9"/>
      </w:r>
    </w:p>
    <w:p w:rsidR="00446E5B" w:rsidRPr="00253A6E" w:rsidRDefault="00446E5B" w:rsidP="00D25289">
      <w:pPr>
        <w:tabs>
          <w:tab w:val="center" w:pos="-1440"/>
        </w:tabs>
        <w:rPr>
          <w:szCs w:val="24"/>
        </w:rPr>
      </w:pPr>
    </w:p>
    <w:p w:rsidR="00EF2453" w:rsidRPr="00253A6E" w:rsidRDefault="00EF2453" w:rsidP="00D25289">
      <w:pPr>
        <w:tabs>
          <w:tab w:val="center" w:pos="-1440"/>
        </w:tabs>
        <w:rPr>
          <w:szCs w:val="24"/>
        </w:rPr>
      </w:pPr>
    </w:p>
    <w:p w:rsidR="00D25289" w:rsidRPr="00253A6E" w:rsidRDefault="00D25289" w:rsidP="00D25289">
      <w:pPr>
        <w:tabs>
          <w:tab w:val="center" w:pos="-1440"/>
        </w:tabs>
        <w:rPr>
          <w:szCs w:val="24"/>
        </w:rPr>
      </w:pPr>
      <w:r w:rsidRPr="00253A6E">
        <w:rPr>
          <w:b/>
          <w:szCs w:val="24"/>
        </w:rPr>
        <w:t>Estimate of Cost to the Federal Reserve System</w:t>
      </w:r>
    </w:p>
    <w:p w:rsidR="00D25289" w:rsidRPr="00253A6E" w:rsidRDefault="00D25289" w:rsidP="00D25289">
      <w:pPr>
        <w:tabs>
          <w:tab w:val="center" w:pos="-1440"/>
        </w:tabs>
        <w:rPr>
          <w:szCs w:val="24"/>
        </w:rPr>
      </w:pPr>
    </w:p>
    <w:p w:rsidR="00C471AA" w:rsidRPr="00BC62E8" w:rsidRDefault="00BC62E8" w:rsidP="00BC62E8">
      <w:pPr>
        <w:autoSpaceDE w:val="0"/>
        <w:autoSpaceDN w:val="0"/>
        <w:adjustRightInd w:val="0"/>
        <w:ind w:firstLine="720"/>
        <w:rPr>
          <w:b/>
          <w:bCs/>
          <w:szCs w:val="24"/>
        </w:rPr>
      </w:pPr>
      <w:r w:rsidRPr="007624B4">
        <w:rPr>
          <w:szCs w:val="24"/>
        </w:rPr>
        <w:t xml:space="preserve">The estimated </w:t>
      </w:r>
      <w:r w:rsidR="00B90A98">
        <w:rPr>
          <w:szCs w:val="24"/>
        </w:rPr>
        <w:t xml:space="preserve">current </w:t>
      </w:r>
      <w:r w:rsidRPr="007624B4">
        <w:rPr>
          <w:szCs w:val="24"/>
        </w:rPr>
        <w:t xml:space="preserve">cost to the Federal Reserve System for collecting and processing the </w:t>
      </w:r>
      <w:r>
        <w:rPr>
          <w:szCs w:val="24"/>
        </w:rPr>
        <w:t>FR 3033p</w:t>
      </w:r>
      <w:r w:rsidRPr="007624B4">
        <w:rPr>
          <w:szCs w:val="24"/>
        </w:rPr>
        <w:t xml:space="preserve"> </w:t>
      </w:r>
      <w:r>
        <w:rPr>
          <w:szCs w:val="24"/>
        </w:rPr>
        <w:t>is estimated to be $52,000</w:t>
      </w:r>
      <w:r w:rsidRPr="007624B4">
        <w:rPr>
          <w:szCs w:val="24"/>
        </w:rPr>
        <w:t>.</w:t>
      </w:r>
      <w:r>
        <w:rPr>
          <w:b/>
          <w:bCs/>
          <w:szCs w:val="24"/>
        </w:rPr>
        <w:t xml:space="preserve">   </w:t>
      </w:r>
      <w:r w:rsidR="00810D83" w:rsidRPr="00253A6E">
        <w:rPr>
          <w:szCs w:val="24"/>
        </w:rPr>
        <w:t xml:space="preserve">The estimated </w:t>
      </w:r>
      <w:r w:rsidR="00B90A98">
        <w:rPr>
          <w:szCs w:val="24"/>
        </w:rPr>
        <w:t xml:space="preserve">proposed </w:t>
      </w:r>
      <w:r w:rsidR="00810D83" w:rsidRPr="00253A6E">
        <w:rPr>
          <w:szCs w:val="24"/>
        </w:rPr>
        <w:t xml:space="preserve">cost to the Federal Reserve System for collecting and processing the </w:t>
      </w:r>
      <w:r>
        <w:rPr>
          <w:szCs w:val="24"/>
        </w:rPr>
        <w:t>FR 3033s</w:t>
      </w:r>
      <w:r w:rsidRPr="00253A6E">
        <w:rPr>
          <w:szCs w:val="24"/>
        </w:rPr>
        <w:t xml:space="preserve"> </w:t>
      </w:r>
      <w:r w:rsidR="00810D83" w:rsidRPr="00253A6E">
        <w:rPr>
          <w:szCs w:val="24"/>
        </w:rPr>
        <w:t>is estimated to be $45,800.</w:t>
      </w:r>
      <w:r w:rsidR="00B90A98">
        <w:rPr>
          <w:szCs w:val="24"/>
        </w:rPr>
        <w:t xml:space="preserve">  The total proposed cost to the Federal Reserve System </w:t>
      </w:r>
      <w:r w:rsidR="00B90A98" w:rsidRPr="007624B4">
        <w:rPr>
          <w:szCs w:val="24"/>
        </w:rPr>
        <w:t xml:space="preserve">for collecting and processing the </w:t>
      </w:r>
      <w:r w:rsidR="00B90A98">
        <w:rPr>
          <w:szCs w:val="24"/>
        </w:rPr>
        <w:t>FR 3033p/s</w:t>
      </w:r>
      <w:r w:rsidR="00B90A98" w:rsidRPr="007624B4">
        <w:rPr>
          <w:szCs w:val="24"/>
        </w:rPr>
        <w:t xml:space="preserve"> </w:t>
      </w:r>
      <w:r w:rsidR="00B90A98">
        <w:rPr>
          <w:szCs w:val="24"/>
        </w:rPr>
        <w:t>is estimated to be $97,800</w:t>
      </w:r>
      <w:r w:rsidR="00B90A98" w:rsidRPr="007624B4">
        <w:rPr>
          <w:szCs w:val="24"/>
        </w:rPr>
        <w:t>.</w:t>
      </w:r>
    </w:p>
    <w:p w:rsidR="00FF53C4" w:rsidRDefault="00FF53C4">
      <w:pPr>
        <w:rPr>
          <w:b/>
          <w:bCs/>
          <w:szCs w:val="24"/>
        </w:rPr>
      </w:pPr>
    </w:p>
    <w:sectPr w:rsidR="00FF53C4" w:rsidSect="00B75D56">
      <w:footerReference w:type="default" r:id="rId48"/>
      <w:headerReference w:type="first" r:id="rId49"/>
      <w:footerReference w:type="first" r:id="rId50"/>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8B8" w:rsidRDefault="008208B8">
      <w:r>
        <w:separator/>
      </w:r>
    </w:p>
  </w:endnote>
  <w:endnote w:type="continuationSeparator" w:id="0">
    <w:p w:rsidR="008208B8" w:rsidRDefault="008208B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3469216"/>
      <w:docPartObj>
        <w:docPartGallery w:val="Page Numbers (Bottom of Page)"/>
        <w:docPartUnique/>
      </w:docPartObj>
    </w:sdtPr>
    <w:sdtContent>
      <w:p w:rsidR="008208B8" w:rsidRDefault="008208B8">
        <w:pPr>
          <w:pStyle w:val="Footer"/>
          <w:jc w:val="center"/>
        </w:pPr>
        <w:r w:rsidRPr="00C13961">
          <w:fldChar w:fldCharType="begin"/>
        </w:r>
        <w:r>
          <w:instrText xml:space="preserve"> </w:instrText>
        </w:r>
        <w:r w:rsidRPr="00C13961">
          <w:instrText xml:space="preserve">PAGE  </w:instrText>
        </w:r>
        <w:r>
          <w:instrText xml:space="preserve"> \* MERGEFORMAT </w:instrText>
        </w:r>
        <w:r w:rsidRPr="00C13961">
          <w:fldChar w:fldCharType="separate"/>
        </w:r>
        <w:r w:rsidR="00446E5B">
          <w:rPr>
            <w:noProof/>
          </w:rPr>
          <w:t>2</w:t>
        </w:r>
        <w:r w:rsidRPr="00C13961">
          <w:fldChar w:fldCharType="end"/>
        </w:r>
      </w:p>
    </w:sdtContent>
  </w:sdt>
  <w:p w:rsidR="008208B8" w:rsidRDefault="008208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B8" w:rsidRDefault="008208B8">
    <w:pPr>
      <w:pStyle w:val="Footer"/>
      <w:jc w:val="center"/>
    </w:pPr>
  </w:p>
  <w:p w:rsidR="008208B8" w:rsidRDefault="008208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8B8" w:rsidRDefault="008208B8">
      <w:r>
        <w:separator/>
      </w:r>
    </w:p>
  </w:footnote>
  <w:footnote w:type="continuationSeparator" w:id="0">
    <w:p w:rsidR="008208B8" w:rsidRDefault="008208B8">
      <w:r>
        <w:continuationSeparator/>
      </w:r>
    </w:p>
  </w:footnote>
  <w:footnote w:id="1">
    <w:p w:rsidR="008208B8" w:rsidRDefault="008208B8" w:rsidP="00D24D9C">
      <w:pPr>
        <w:pStyle w:val="FootnoteText"/>
      </w:pPr>
      <w:r>
        <w:rPr>
          <w:rStyle w:val="FootnoteReference"/>
        </w:rPr>
        <w:footnoteRef/>
      </w:r>
      <w:r>
        <w:t xml:space="preserve"> Although the </w:t>
      </w:r>
      <w:r w:rsidRPr="004E42CC">
        <w:rPr>
          <w:iCs/>
        </w:rPr>
        <w:t>Financial Statements of U.S. Nonbank Subsidiaries of U.S. Bank Holding Companies</w:t>
      </w:r>
      <w:r>
        <w:rPr>
          <w:iCs/>
        </w:rPr>
        <w:t xml:space="preserve"> (FR Y-11/FR Y-11S; OMB No. 7100-0244 ) and the </w:t>
      </w:r>
      <w:r w:rsidRPr="004E42CC">
        <w:rPr>
          <w:iCs/>
        </w:rPr>
        <w:t>Financial Statements of U.S. Nonbank Subsidiaries Held by Foreign Banking Organizations</w:t>
      </w:r>
      <w:r>
        <w:rPr>
          <w:iCs/>
        </w:rPr>
        <w:t xml:space="preserve"> (FR Y-7/FR Y-7NS; OMB No. 7100-0125) collect balance sheet and income statement information from the subsidiaries of BHCs and FBOs, these reports do not provide the level of granularity necessary to produce detailed series on consumer, real estate and business credit at finance companies. </w:t>
      </w:r>
    </w:p>
  </w:footnote>
  <w:footnote w:id="2">
    <w:p w:rsidR="008208B8" w:rsidRDefault="008208B8" w:rsidP="008377C5">
      <w:pPr>
        <w:pStyle w:val="FootnoteText"/>
      </w:pPr>
      <w:r>
        <w:rPr>
          <w:rStyle w:val="FootnoteReference"/>
        </w:rPr>
        <w:footnoteRef/>
      </w:r>
      <w:r>
        <w:t xml:space="preserve"> </w:t>
      </w:r>
      <w:r w:rsidRPr="00A154EE">
        <w:t>On April 9, 2010, the Federal Reserve published a final notice in the</w:t>
      </w:r>
      <w:r>
        <w:t xml:space="preserve"> </w:t>
      </w:r>
      <w:r w:rsidRPr="00A154EE">
        <w:rPr>
          <w:i/>
        </w:rPr>
        <w:t>Federal Register</w:t>
      </w:r>
      <w:r w:rsidRPr="00A154EE">
        <w:t xml:space="preserve"> (75 FR 18208).</w:t>
      </w:r>
    </w:p>
  </w:footnote>
  <w:footnote w:id="3">
    <w:p w:rsidR="008208B8" w:rsidRDefault="008208B8" w:rsidP="00494612">
      <w:pPr>
        <w:pStyle w:val="FootnoteText"/>
      </w:pPr>
      <w:r>
        <w:rPr>
          <w:rStyle w:val="FootnoteReference"/>
        </w:rPr>
        <w:footnoteRef/>
      </w:r>
      <w:r>
        <w:t xml:space="preserve"> The HMDA data are collected on the FR HMDA-LAR (OMB No. 7100-0247).</w:t>
      </w:r>
    </w:p>
  </w:footnote>
  <w:footnote w:id="4">
    <w:p w:rsidR="008208B8" w:rsidRDefault="008208B8" w:rsidP="00494612">
      <w:r w:rsidRPr="0023483A">
        <w:rPr>
          <w:rStyle w:val="FootnoteReference"/>
          <w:sz w:val="20"/>
        </w:rPr>
        <w:footnoteRef/>
      </w:r>
      <w:r w:rsidRPr="0023483A">
        <w:rPr>
          <w:sz w:val="20"/>
        </w:rPr>
        <w:t xml:space="preserve"> </w:t>
      </w:r>
      <w:r>
        <w:rPr>
          <w:sz w:val="20"/>
        </w:rPr>
        <w:t>The Federal Reserve</w:t>
      </w:r>
      <w:r w:rsidRPr="003D7630">
        <w:rPr>
          <w:sz w:val="20"/>
        </w:rPr>
        <w:t xml:space="preserve"> would use data from the FR Y-11 to replace the census for large subsidiaries of bank holding companies.   </w:t>
      </w:r>
    </w:p>
  </w:footnote>
  <w:footnote w:id="5">
    <w:p w:rsidR="008208B8" w:rsidRPr="00B17754" w:rsidRDefault="008208B8" w:rsidP="00DB47FB">
      <w:pPr>
        <w:pStyle w:val="FootnoteText"/>
      </w:pPr>
      <w:r>
        <w:rPr>
          <w:rStyle w:val="FootnoteReference"/>
        </w:rPr>
        <w:footnoteRef/>
      </w:r>
      <w:r>
        <w:t xml:space="preserve">  Financial Accounting Statements No. 166</w:t>
      </w:r>
      <w:r>
        <w:rPr>
          <w:i/>
        </w:rPr>
        <w:t xml:space="preserve"> Accounting for Transfers of Financial Assets</w:t>
      </w:r>
      <w:r>
        <w:t xml:space="preserve">, and No. 167, </w:t>
      </w:r>
      <w:r>
        <w:rPr>
          <w:i/>
        </w:rPr>
        <w:t>Amendments to FASB Interpretation no 46</w:t>
      </w:r>
      <w:r>
        <w:t>(R), issued June 12, 2009.</w:t>
      </w:r>
    </w:p>
  </w:footnote>
  <w:footnote w:id="6">
    <w:p w:rsidR="008208B8" w:rsidRPr="00580766" w:rsidRDefault="008208B8">
      <w:pPr>
        <w:pStyle w:val="FootnoteText"/>
      </w:pPr>
      <w:r w:rsidRPr="00580766">
        <w:rPr>
          <w:rStyle w:val="FootnoteReference"/>
        </w:rPr>
        <w:footnoteRef/>
      </w:r>
      <w:r w:rsidRPr="00580766">
        <w:t xml:space="preserve"> A finance company is defined as (1) a domestic entity, (2) a company with 50 percent </w:t>
      </w:r>
      <w:r>
        <w:t xml:space="preserve">or more </w:t>
      </w:r>
      <w:r w:rsidRPr="00580766">
        <w:t>of its assets in the form of loans or leases, and (3) a nondepository institution.</w:t>
      </w:r>
    </w:p>
  </w:footnote>
  <w:footnote w:id="7">
    <w:p w:rsidR="008208B8" w:rsidRDefault="008208B8" w:rsidP="006970B2">
      <w:pPr>
        <w:autoSpaceDE w:val="0"/>
        <w:autoSpaceDN w:val="0"/>
        <w:adjustRightInd w:val="0"/>
      </w:pPr>
      <w:r w:rsidRPr="00580766">
        <w:rPr>
          <w:rStyle w:val="FootnoteReference"/>
          <w:sz w:val="20"/>
        </w:rPr>
        <w:footnoteRef/>
      </w:r>
      <w:r w:rsidRPr="00580766">
        <w:rPr>
          <w:sz w:val="20"/>
        </w:rPr>
        <w:t xml:space="preserve"> For the purposes of this proposal, the term small or smaller respondent or company is defined as a</w:t>
      </w:r>
      <w:r w:rsidRPr="00580766">
        <w:rPr>
          <w:rFonts w:ascii="Helv" w:hAnsi="Helv" w:cs="Helv"/>
          <w:snapToGrid/>
          <w:color w:val="000000"/>
          <w:sz w:val="20"/>
        </w:rPr>
        <w:t xml:space="preserve"> </w:t>
      </w:r>
      <w:r w:rsidRPr="00580766">
        <w:rPr>
          <w:snapToGrid/>
          <w:color w:val="000000"/>
          <w:sz w:val="20"/>
        </w:rPr>
        <w:t xml:space="preserve">company that reports less than $1 billion in </w:t>
      </w:r>
      <w:r>
        <w:rPr>
          <w:snapToGrid/>
          <w:color w:val="000000"/>
          <w:sz w:val="20"/>
        </w:rPr>
        <w:t>assets</w:t>
      </w:r>
      <w:r w:rsidRPr="00580766">
        <w:rPr>
          <w:snapToGrid/>
          <w:color w:val="000000"/>
          <w:sz w:val="20"/>
        </w:rPr>
        <w:t>.</w:t>
      </w:r>
      <w:r>
        <w:t xml:space="preserve"> </w:t>
      </w:r>
    </w:p>
  </w:footnote>
  <w:footnote w:id="8">
    <w:p w:rsidR="008208B8" w:rsidRDefault="008208B8">
      <w:pPr>
        <w:pStyle w:val="FootnoteText"/>
      </w:pPr>
      <w:r>
        <w:rPr>
          <w:rStyle w:val="FootnoteReference"/>
        </w:rPr>
        <w:footnoteRef/>
      </w:r>
      <w:r>
        <w:t xml:space="preserve"> A preliminary estimate of the 2010 population was calculated using the number of Census forms mailed out in 2010 (about 27,000) and assuming that the ratio of the estimated population size to the number of Census forms mailed is the same as it was in 2005 (approximately 40 percent).</w:t>
      </w:r>
    </w:p>
  </w:footnote>
  <w:footnote w:id="9">
    <w:p w:rsidR="008208B8" w:rsidRPr="003656AD" w:rsidRDefault="008208B8" w:rsidP="00B90A98">
      <w:pPr>
        <w:rPr>
          <w:rFonts w:ascii="Times" w:hAnsi="Times"/>
          <w:sz w:val="18"/>
          <w:szCs w:val="18"/>
        </w:rPr>
      </w:pPr>
      <w:r>
        <w:rPr>
          <w:rStyle w:val="FootnoteReference"/>
        </w:rPr>
        <w:footnoteRef/>
      </w:r>
      <w:r>
        <w:t xml:space="preserve"> </w:t>
      </w:r>
      <w:r w:rsidRPr="00C46542">
        <w:rPr>
          <w:rFonts w:ascii="Times" w:hAnsi="Times"/>
          <w:sz w:val="18"/>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t>
      </w:r>
      <w:hyperlink r:id="rId1" w:history="1">
        <w:r w:rsidRPr="00D53B39">
          <w:rPr>
            <w:rStyle w:val="Hyperlink"/>
            <w:rFonts w:ascii="Times" w:hAnsi="Times"/>
            <w:sz w:val="18"/>
          </w:rPr>
          <w:t>http://www.bls.gov/news.release/ocwage.nr0.htm</w:t>
        </w:r>
      </w:hyperlink>
      <w:r>
        <w:rPr>
          <w:rFonts w:ascii="Times" w:hAnsi="Times"/>
          <w:sz w:val="18"/>
        </w:rPr>
        <w:t xml:space="preserve"> </w:t>
      </w:r>
      <w:r w:rsidRPr="00C46542">
        <w:rPr>
          <w:rFonts w:ascii="Times" w:hAnsi="Times"/>
          <w:sz w:val="18"/>
        </w:rPr>
        <w:t xml:space="preserve">  Occupations are defined using the BLS Occupational Classification System,  </w:t>
      </w:r>
      <w:hyperlink r:id="rId2" w:history="1">
        <w:r w:rsidRPr="00D53B39">
          <w:rPr>
            <w:rStyle w:val="Hyperlink"/>
            <w:rFonts w:ascii="Times" w:hAnsi="Times"/>
            <w:sz w:val="18"/>
          </w:rPr>
          <w:t>http://www.bls.gov/soc/</w:t>
        </w:r>
      </w:hyperlink>
      <w:r>
        <w:rPr>
          <w:rFonts w:ascii="Times" w:hAnsi="Times"/>
          <w:sz w:val="18"/>
        </w:rPr>
        <w:t xml:space="preserve"> </w:t>
      </w:r>
    </w:p>
    <w:p w:rsidR="008208B8" w:rsidRDefault="008208B8" w:rsidP="00B90A9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8B8" w:rsidRPr="00FE7603" w:rsidRDefault="008208B8">
    <w:pPr>
      <w:pStyle w:val="Header"/>
      <w:rPr>
        <w:b/>
        <w:color w:val="FF0000"/>
      </w:rPr>
    </w:pPr>
  </w:p>
  <w:p w:rsidR="008208B8" w:rsidRPr="007F6239" w:rsidRDefault="008208B8" w:rsidP="007F62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FCF"/>
    <w:multiLevelType w:val="hybridMultilevel"/>
    <w:tmpl w:val="B82E46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F14696"/>
    <w:multiLevelType w:val="hybridMultilevel"/>
    <w:tmpl w:val="5BE4C9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3A2BDF"/>
    <w:multiLevelType w:val="hybridMultilevel"/>
    <w:tmpl w:val="A5DA42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31B1941"/>
    <w:multiLevelType w:val="hybridMultilevel"/>
    <w:tmpl w:val="0BBA51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8F0715"/>
    <w:multiLevelType w:val="hybridMultilevel"/>
    <w:tmpl w:val="26E44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86C7F5"/>
    <w:multiLevelType w:val="hybridMultilevel"/>
    <w:tmpl w:val="E756A4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6A55BE1"/>
    <w:multiLevelType w:val="multilevel"/>
    <w:tmpl w:val="8A3213C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BB67FB"/>
    <w:multiLevelType w:val="hybridMultilevel"/>
    <w:tmpl w:val="8B303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213A553F"/>
    <w:multiLevelType w:val="hybridMultilevel"/>
    <w:tmpl w:val="372E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6331F4"/>
    <w:multiLevelType w:val="hybridMultilevel"/>
    <w:tmpl w:val="3ED27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C37D25"/>
    <w:multiLevelType w:val="hybridMultilevel"/>
    <w:tmpl w:val="611018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2A57D0"/>
    <w:multiLevelType w:val="hybridMultilevel"/>
    <w:tmpl w:val="41B29B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4C2867"/>
    <w:multiLevelType w:val="hybridMultilevel"/>
    <w:tmpl w:val="42E0F182"/>
    <w:lvl w:ilvl="0" w:tplc="AEAED3F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A4136E"/>
    <w:multiLevelType w:val="hybridMultilevel"/>
    <w:tmpl w:val="2A7E9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C858CB"/>
    <w:multiLevelType w:val="hybridMultilevel"/>
    <w:tmpl w:val="6B66B6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1C3B9B"/>
    <w:multiLevelType w:val="hybridMultilevel"/>
    <w:tmpl w:val="55C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15379"/>
    <w:multiLevelType w:val="hybridMultilevel"/>
    <w:tmpl w:val="6EFC2E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BE1930"/>
    <w:multiLevelType w:val="hybridMultilevel"/>
    <w:tmpl w:val="4A40C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B1118A"/>
    <w:multiLevelType w:val="hybridMultilevel"/>
    <w:tmpl w:val="3022F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CD2B6E"/>
    <w:multiLevelType w:val="hybridMultilevel"/>
    <w:tmpl w:val="90407A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67474B2"/>
    <w:multiLevelType w:val="hybridMultilevel"/>
    <w:tmpl w:val="5EFE9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942A57"/>
    <w:multiLevelType w:val="hybridMultilevel"/>
    <w:tmpl w:val="D466E8CE"/>
    <w:lvl w:ilvl="0" w:tplc="198A2F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FA7976"/>
    <w:multiLevelType w:val="multilevel"/>
    <w:tmpl w:val="93F824D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7B74B2B"/>
    <w:multiLevelType w:val="hybridMultilevel"/>
    <w:tmpl w:val="ED1AA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73C74"/>
    <w:multiLevelType w:val="hybridMultilevel"/>
    <w:tmpl w:val="EB36F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A775B8C"/>
    <w:multiLevelType w:val="hybridMultilevel"/>
    <w:tmpl w:val="A5C609A6"/>
    <w:lvl w:ilvl="0" w:tplc="8FFAC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C7C5475"/>
    <w:multiLevelType w:val="hybridMultilevel"/>
    <w:tmpl w:val="2B86F9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474A16"/>
    <w:multiLevelType w:val="hybridMultilevel"/>
    <w:tmpl w:val="25E8C036"/>
    <w:lvl w:ilvl="0" w:tplc="8BC699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F41FF0"/>
    <w:multiLevelType w:val="hybridMultilevel"/>
    <w:tmpl w:val="90B29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6C2101"/>
    <w:multiLevelType w:val="hybridMultilevel"/>
    <w:tmpl w:val="93F824D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3237B71"/>
    <w:multiLevelType w:val="hybridMultilevel"/>
    <w:tmpl w:val="E6EC84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CC21DA9"/>
    <w:multiLevelType w:val="hybridMultilevel"/>
    <w:tmpl w:val="C1EAD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F40D10"/>
    <w:multiLevelType w:val="hybridMultilevel"/>
    <w:tmpl w:val="B4C696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1230A7D"/>
    <w:multiLevelType w:val="hybridMultilevel"/>
    <w:tmpl w:val="023625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17C768E"/>
    <w:multiLevelType w:val="hybridMultilevel"/>
    <w:tmpl w:val="FD460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AA76A1"/>
    <w:multiLevelType w:val="hybridMultilevel"/>
    <w:tmpl w:val="8A321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E156EF"/>
    <w:multiLevelType w:val="hybridMultilevel"/>
    <w:tmpl w:val="B700133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BEF4A3A"/>
    <w:multiLevelType w:val="hybridMultilevel"/>
    <w:tmpl w:val="B74E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5"/>
  </w:num>
  <w:num w:numId="3">
    <w:abstractNumId w:val="34"/>
  </w:num>
  <w:num w:numId="4">
    <w:abstractNumId w:val="6"/>
  </w:num>
  <w:num w:numId="5">
    <w:abstractNumId w:val="7"/>
  </w:num>
  <w:num w:numId="6">
    <w:abstractNumId w:val="4"/>
  </w:num>
  <w:num w:numId="7">
    <w:abstractNumId w:val="13"/>
  </w:num>
  <w:num w:numId="8">
    <w:abstractNumId w:val="32"/>
  </w:num>
  <w:num w:numId="9">
    <w:abstractNumId w:val="18"/>
  </w:num>
  <w:num w:numId="10">
    <w:abstractNumId w:val="29"/>
  </w:num>
  <w:num w:numId="11">
    <w:abstractNumId w:val="22"/>
  </w:num>
  <w:num w:numId="12">
    <w:abstractNumId w:val="33"/>
  </w:num>
  <w:num w:numId="13">
    <w:abstractNumId w:val="5"/>
  </w:num>
  <w:num w:numId="14">
    <w:abstractNumId w:val="16"/>
  </w:num>
  <w:num w:numId="15">
    <w:abstractNumId w:val="15"/>
  </w:num>
  <w:num w:numId="16">
    <w:abstractNumId w:val="25"/>
  </w:num>
  <w:num w:numId="17">
    <w:abstractNumId w:val="20"/>
  </w:num>
  <w:num w:numId="18">
    <w:abstractNumId w:val="27"/>
  </w:num>
  <w:num w:numId="19">
    <w:abstractNumId w:val="12"/>
  </w:num>
  <w:num w:numId="20">
    <w:abstractNumId w:val="10"/>
  </w:num>
  <w:num w:numId="21">
    <w:abstractNumId w:val="11"/>
  </w:num>
  <w:num w:numId="22">
    <w:abstractNumId w:val="31"/>
  </w:num>
  <w:num w:numId="23">
    <w:abstractNumId w:val="19"/>
  </w:num>
  <w:num w:numId="24">
    <w:abstractNumId w:val="0"/>
  </w:num>
  <w:num w:numId="25">
    <w:abstractNumId w:val="2"/>
  </w:num>
  <w:num w:numId="26">
    <w:abstractNumId w:val="21"/>
  </w:num>
  <w:num w:numId="27">
    <w:abstractNumId w:val="8"/>
  </w:num>
  <w:num w:numId="28">
    <w:abstractNumId w:val="17"/>
  </w:num>
  <w:num w:numId="29">
    <w:abstractNumId w:val="28"/>
  </w:num>
  <w:num w:numId="30">
    <w:abstractNumId w:val="9"/>
  </w:num>
  <w:num w:numId="31">
    <w:abstractNumId w:val="36"/>
  </w:num>
  <w:num w:numId="32">
    <w:abstractNumId w:val="37"/>
  </w:num>
  <w:num w:numId="33">
    <w:abstractNumId w:val="24"/>
  </w:num>
  <w:num w:numId="34">
    <w:abstractNumId w:val="30"/>
  </w:num>
  <w:num w:numId="35">
    <w:abstractNumId w:val="23"/>
  </w:num>
  <w:num w:numId="36">
    <w:abstractNumId w:val="1"/>
  </w:num>
  <w:num w:numId="37">
    <w:abstractNumId w:val="14"/>
  </w:num>
  <w:num w:numId="3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52262"/>
    <w:rsid w:val="0000338C"/>
    <w:rsid w:val="00004E02"/>
    <w:rsid w:val="000072B2"/>
    <w:rsid w:val="00014200"/>
    <w:rsid w:val="00014E9D"/>
    <w:rsid w:val="00022173"/>
    <w:rsid w:val="0002341B"/>
    <w:rsid w:val="00025C7B"/>
    <w:rsid w:val="00026CB0"/>
    <w:rsid w:val="00032405"/>
    <w:rsid w:val="00037982"/>
    <w:rsid w:val="00037B03"/>
    <w:rsid w:val="000401FD"/>
    <w:rsid w:val="00045BEE"/>
    <w:rsid w:val="00046414"/>
    <w:rsid w:val="0004728E"/>
    <w:rsid w:val="00047430"/>
    <w:rsid w:val="00053083"/>
    <w:rsid w:val="000567C5"/>
    <w:rsid w:val="000601D8"/>
    <w:rsid w:val="00062A6D"/>
    <w:rsid w:val="00063F10"/>
    <w:rsid w:val="00066BCD"/>
    <w:rsid w:val="0007036C"/>
    <w:rsid w:val="00071024"/>
    <w:rsid w:val="00072A91"/>
    <w:rsid w:val="00072B27"/>
    <w:rsid w:val="00080D55"/>
    <w:rsid w:val="0008138B"/>
    <w:rsid w:val="0008153E"/>
    <w:rsid w:val="00084D7F"/>
    <w:rsid w:val="00086BF1"/>
    <w:rsid w:val="00094C9F"/>
    <w:rsid w:val="00095205"/>
    <w:rsid w:val="0009569C"/>
    <w:rsid w:val="000A089E"/>
    <w:rsid w:val="000A6A9C"/>
    <w:rsid w:val="000A7F4B"/>
    <w:rsid w:val="000B15BA"/>
    <w:rsid w:val="000B2017"/>
    <w:rsid w:val="000B4665"/>
    <w:rsid w:val="000B543D"/>
    <w:rsid w:val="000B6360"/>
    <w:rsid w:val="000D1BA9"/>
    <w:rsid w:val="000D694A"/>
    <w:rsid w:val="000D6DC1"/>
    <w:rsid w:val="000D78D2"/>
    <w:rsid w:val="000E20EF"/>
    <w:rsid w:val="000E3EA0"/>
    <w:rsid w:val="000F0DCF"/>
    <w:rsid w:val="000F0F32"/>
    <w:rsid w:val="000F126B"/>
    <w:rsid w:val="000F29BA"/>
    <w:rsid w:val="000F44AA"/>
    <w:rsid w:val="000F4A4E"/>
    <w:rsid w:val="001036EF"/>
    <w:rsid w:val="00107AC3"/>
    <w:rsid w:val="001104D8"/>
    <w:rsid w:val="00110CE4"/>
    <w:rsid w:val="00111F03"/>
    <w:rsid w:val="00112714"/>
    <w:rsid w:val="00114F12"/>
    <w:rsid w:val="00115194"/>
    <w:rsid w:val="001161C9"/>
    <w:rsid w:val="00116BA8"/>
    <w:rsid w:val="00120342"/>
    <w:rsid w:val="0012581D"/>
    <w:rsid w:val="00126311"/>
    <w:rsid w:val="00126641"/>
    <w:rsid w:val="00127441"/>
    <w:rsid w:val="0012767E"/>
    <w:rsid w:val="00130E8F"/>
    <w:rsid w:val="00130FCF"/>
    <w:rsid w:val="00132041"/>
    <w:rsid w:val="0013408B"/>
    <w:rsid w:val="001340C9"/>
    <w:rsid w:val="001349A8"/>
    <w:rsid w:val="00136713"/>
    <w:rsid w:val="00146056"/>
    <w:rsid w:val="001466C2"/>
    <w:rsid w:val="00152262"/>
    <w:rsid w:val="00152817"/>
    <w:rsid w:val="001541E7"/>
    <w:rsid w:val="001566E7"/>
    <w:rsid w:val="00156FDA"/>
    <w:rsid w:val="001577EE"/>
    <w:rsid w:val="00161A2D"/>
    <w:rsid w:val="001629D1"/>
    <w:rsid w:val="0016395D"/>
    <w:rsid w:val="001713E0"/>
    <w:rsid w:val="0017483F"/>
    <w:rsid w:val="00174F39"/>
    <w:rsid w:val="001754C8"/>
    <w:rsid w:val="00175E24"/>
    <w:rsid w:val="001760CE"/>
    <w:rsid w:val="00176F6F"/>
    <w:rsid w:val="00185136"/>
    <w:rsid w:val="001865DF"/>
    <w:rsid w:val="00187F9B"/>
    <w:rsid w:val="001942EC"/>
    <w:rsid w:val="001946C8"/>
    <w:rsid w:val="001A34F9"/>
    <w:rsid w:val="001A4065"/>
    <w:rsid w:val="001A50DF"/>
    <w:rsid w:val="001A776F"/>
    <w:rsid w:val="001A7A98"/>
    <w:rsid w:val="001B36FB"/>
    <w:rsid w:val="001B685E"/>
    <w:rsid w:val="001C0B03"/>
    <w:rsid w:val="001C2184"/>
    <w:rsid w:val="001C2E71"/>
    <w:rsid w:val="001C376C"/>
    <w:rsid w:val="001C44A1"/>
    <w:rsid w:val="001C4649"/>
    <w:rsid w:val="001C561A"/>
    <w:rsid w:val="001C6298"/>
    <w:rsid w:val="001C6CDB"/>
    <w:rsid w:val="001C737B"/>
    <w:rsid w:val="001C7BD1"/>
    <w:rsid w:val="001D0288"/>
    <w:rsid w:val="001D1EA5"/>
    <w:rsid w:val="001D6EC8"/>
    <w:rsid w:val="001D7AC2"/>
    <w:rsid w:val="001E4474"/>
    <w:rsid w:val="001E50F2"/>
    <w:rsid w:val="001E66F4"/>
    <w:rsid w:val="001E6A8F"/>
    <w:rsid w:val="001F0D9F"/>
    <w:rsid w:val="001F5B75"/>
    <w:rsid w:val="001F6728"/>
    <w:rsid w:val="00201AC1"/>
    <w:rsid w:val="002039DF"/>
    <w:rsid w:val="002041F3"/>
    <w:rsid w:val="002058FD"/>
    <w:rsid w:val="002060A0"/>
    <w:rsid w:val="002067DF"/>
    <w:rsid w:val="002114A1"/>
    <w:rsid w:val="002134F6"/>
    <w:rsid w:val="00214A43"/>
    <w:rsid w:val="00217457"/>
    <w:rsid w:val="00224A69"/>
    <w:rsid w:val="00225131"/>
    <w:rsid w:val="002253AA"/>
    <w:rsid w:val="0023047B"/>
    <w:rsid w:val="00232113"/>
    <w:rsid w:val="00232DB9"/>
    <w:rsid w:val="00235E46"/>
    <w:rsid w:val="00241AE8"/>
    <w:rsid w:val="0024280B"/>
    <w:rsid w:val="0024333D"/>
    <w:rsid w:val="00251138"/>
    <w:rsid w:val="00252975"/>
    <w:rsid w:val="00253703"/>
    <w:rsid w:val="00253A6E"/>
    <w:rsid w:val="00253AD7"/>
    <w:rsid w:val="0025517E"/>
    <w:rsid w:val="00255786"/>
    <w:rsid w:val="00255ABE"/>
    <w:rsid w:val="0026129D"/>
    <w:rsid w:val="00263382"/>
    <w:rsid w:val="00265F05"/>
    <w:rsid w:val="0027301C"/>
    <w:rsid w:val="0027367F"/>
    <w:rsid w:val="00275DB4"/>
    <w:rsid w:val="0027641D"/>
    <w:rsid w:val="002773FB"/>
    <w:rsid w:val="00277BF8"/>
    <w:rsid w:val="00285060"/>
    <w:rsid w:val="00290558"/>
    <w:rsid w:val="002912BC"/>
    <w:rsid w:val="00292608"/>
    <w:rsid w:val="002961D5"/>
    <w:rsid w:val="00297F0C"/>
    <w:rsid w:val="002A09C5"/>
    <w:rsid w:val="002A1CBA"/>
    <w:rsid w:val="002A1CE4"/>
    <w:rsid w:val="002A34A2"/>
    <w:rsid w:val="002A3613"/>
    <w:rsid w:val="002A7983"/>
    <w:rsid w:val="002B0869"/>
    <w:rsid w:val="002B2A25"/>
    <w:rsid w:val="002B2C42"/>
    <w:rsid w:val="002B57A6"/>
    <w:rsid w:val="002B7FA0"/>
    <w:rsid w:val="002C06CD"/>
    <w:rsid w:val="002C1A94"/>
    <w:rsid w:val="002D0F36"/>
    <w:rsid w:val="002D4841"/>
    <w:rsid w:val="002D6A36"/>
    <w:rsid w:val="002E07E2"/>
    <w:rsid w:val="002E3B99"/>
    <w:rsid w:val="002E4CDF"/>
    <w:rsid w:val="002E7B04"/>
    <w:rsid w:val="002F00DF"/>
    <w:rsid w:val="002F0155"/>
    <w:rsid w:val="002F1204"/>
    <w:rsid w:val="002F12EE"/>
    <w:rsid w:val="002F4B8B"/>
    <w:rsid w:val="002F5C2E"/>
    <w:rsid w:val="003013D8"/>
    <w:rsid w:val="00307C11"/>
    <w:rsid w:val="0031290D"/>
    <w:rsid w:val="00313176"/>
    <w:rsid w:val="003141C2"/>
    <w:rsid w:val="00320A17"/>
    <w:rsid w:val="00320C45"/>
    <w:rsid w:val="00320FC0"/>
    <w:rsid w:val="00322B90"/>
    <w:rsid w:val="00322BED"/>
    <w:rsid w:val="00322D68"/>
    <w:rsid w:val="0032346F"/>
    <w:rsid w:val="003239D9"/>
    <w:rsid w:val="00327A07"/>
    <w:rsid w:val="00331A66"/>
    <w:rsid w:val="00332016"/>
    <w:rsid w:val="003332A6"/>
    <w:rsid w:val="00333EF9"/>
    <w:rsid w:val="003367C0"/>
    <w:rsid w:val="003371B7"/>
    <w:rsid w:val="00337234"/>
    <w:rsid w:val="003377E6"/>
    <w:rsid w:val="00340B80"/>
    <w:rsid w:val="00340EB7"/>
    <w:rsid w:val="00342436"/>
    <w:rsid w:val="00343C09"/>
    <w:rsid w:val="00344618"/>
    <w:rsid w:val="00346739"/>
    <w:rsid w:val="00353D84"/>
    <w:rsid w:val="0035713F"/>
    <w:rsid w:val="00361382"/>
    <w:rsid w:val="00363BC9"/>
    <w:rsid w:val="003657E8"/>
    <w:rsid w:val="003671A9"/>
    <w:rsid w:val="0037077F"/>
    <w:rsid w:val="0037280D"/>
    <w:rsid w:val="0037481C"/>
    <w:rsid w:val="00375EB4"/>
    <w:rsid w:val="00377D3F"/>
    <w:rsid w:val="00380AC5"/>
    <w:rsid w:val="00380E2E"/>
    <w:rsid w:val="003814E8"/>
    <w:rsid w:val="003821AC"/>
    <w:rsid w:val="0038335E"/>
    <w:rsid w:val="00383D35"/>
    <w:rsid w:val="00384B0D"/>
    <w:rsid w:val="00385769"/>
    <w:rsid w:val="00385C49"/>
    <w:rsid w:val="00387391"/>
    <w:rsid w:val="00392A24"/>
    <w:rsid w:val="00392E8D"/>
    <w:rsid w:val="003941BD"/>
    <w:rsid w:val="00394B18"/>
    <w:rsid w:val="003A25F5"/>
    <w:rsid w:val="003A59E7"/>
    <w:rsid w:val="003B4762"/>
    <w:rsid w:val="003B511C"/>
    <w:rsid w:val="003B581F"/>
    <w:rsid w:val="003C228C"/>
    <w:rsid w:val="003C22F8"/>
    <w:rsid w:val="003C2921"/>
    <w:rsid w:val="003C56C9"/>
    <w:rsid w:val="003C64D2"/>
    <w:rsid w:val="003C78C4"/>
    <w:rsid w:val="003D1523"/>
    <w:rsid w:val="003D3EA1"/>
    <w:rsid w:val="003D479A"/>
    <w:rsid w:val="003D6424"/>
    <w:rsid w:val="003D732A"/>
    <w:rsid w:val="003D7475"/>
    <w:rsid w:val="003D7630"/>
    <w:rsid w:val="003E08FC"/>
    <w:rsid w:val="003E1EF4"/>
    <w:rsid w:val="003E72F9"/>
    <w:rsid w:val="003F0698"/>
    <w:rsid w:val="003F2E99"/>
    <w:rsid w:val="003F3AE0"/>
    <w:rsid w:val="003F470F"/>
    <w:rsid w:val="003F4842"/>
    <w:rsid w:val="003F738C"/>
    <w:rsid w:val="00403883"/>
    <w:rsid w:val="00404DC8"/>
    <w:rsid w:val="00405579"/>
    <w:rsid w:val="00405EDA"/>
    <w:rsid w:val="00407EAC"/>
    <w:rsid w:val="00410840"/>
    <w:rsid w:val="00411225"/>
    <w:rsid w:val="00417C00"/>
    <w:rsid w:val="00422E3B"/>
    <w:rsid w:val="004237DA"/>
    <w:rsid w:val="004248A4"/>
    <w:rsid w:val="004255A6"/>
    <w:rsid w:val="00427C39"/>
    <w:rsid w:val="00427E93"/>
    <w:rsid w:val="004308B8"/>
    <w:rsid w:val="00433D51"/>
    <w:rsid w:val="004340AC"/>
    <w:rsid w:val="00435C37"/>
    <w:rsid w:val="00443C7C"/>
    <w:rsid w:val="004457BC"/>
    <w:rsid w:val="00445A4E"/>
    <w:rsid w:val="00445D0B"/>
    <w:rsid w:val="00446E5B"/>
    <w:rsid w:val="00451040"/>
    <w:rsid w:val="00452473"/>
    <w:rsid w:val="00452B47"/>
    <w:rsid w:val="004546DD"/>
    <w:rsid w:val="00460793"/>
    <w:rsid w:val="00460873"/>
    <w:rsid w:val="00462977"/>
    <w:rsid w:val="00463148"/>
    <w:rsid w:val="00465483"/>
    <w:rsid w:val="00467262"/>
    <w:rsid w:val="004704D9"/>
    <w:rsid w:val="00472AA4"/>
    <w:rsid w:val="004735FF"/>
    <w:rsid w:val="00473A91"/>
    <w:rsid w:val="00480BF0"/>
    <w:rsid w:val="0048238B"/>
    <w:rsid w:val="0048409F"/>
    <w:rsid w:val="00487274"/>
    <w:rsid w:val="004879F2"/>
    <w:rsid w:val="00490215"/>
    <w:rsid w:val="00490468"/>
    <w:rsid w:val="00493E38"/>
    <w:rsid w:val="00494612"/>
    <w:rsid w:val="004A004F"/>
    <w:rsid w:val="004A116D"/>
    <w:rsid w:val="004A139C"/>
    <w:rsid w:val="004A2F2A"/>
    <w:rsid w:val="004A344F"/>
    <w:rsid w:val="004A5BFC"/>
    <w:rsid w:val="004A69DE"/>
    <w:rsid w:val="004A7775"/>
    <w:rsid w:val="004B0C87"/>
    <w:rsid w:val="004B0EA6"/>
    <w:rsid w:val="004B209F"/>
    <w:rsid w:val="004B23CA"/>
    <w:rsid w:val="004B4ABE"/>
    <w:rsid w:val="004B5E96"/>
    <w:rsid w:val="004B6056"/>
    <w:rsid w:val="004B6610"/>
    <w:rsid w:val="004B677B"/>
    <w:rsid w:val="004C030E"/>
    <w:rsid w:val="004C1999"/>
    <w:rsid w:val="004C264E"/>
    <w:rsid w:val="004C49B2"/>
    <w:rsid w:val="004D0610"/>
    <w:rsid w:val="004D0A76"/>
    <w:rsid w:val="004D3782"/>
    <w:rsid w:val="004D4AA9"/>
    <w:rsid w:val="004D729B"/>
    <w:rsid w:val="004E027F"/>
    <w:rsid w:val="004E56EF"/>
    <w:rsid w:val="004E6D6F"/>
    <w:rsid w:val="004E7364"/>
    <w:rsid w:val="004F0647"/>
    <w:rsid w:val="004F6C06"/>
    <w:rsid w:val="005005DB"/>
    <w:rsid w:val="0050091C"/>
    <w:rsid w:val="00502010"/>
    <w:rsid w:val="00502CF9"/>
    <w:rsid w:val="00503AE7"/>
    <w:rsid w:val="0051373C"/>
    <w:rsid w:val="00513D58"/>
    <w:rsid w:val="00514645"/>
    <w:rsid w:val="005173DE"/>
    <w:rsid w:val="005227C0"/>
    <w:rsid w:val="00523BD1"/>
    <w:rsid w:val="00525C05"/>
    <w:rsid w:val="00527D0F"/>
    <w:rsid w:val="005324A6"/>
    <w:rsid w:val="00534705"/>
    <w:rsid w:val="00536147"/>
    <w:rsid w:val="00537481"/>
    <w:rsid w:val="00543D60"/>
    <w:rsid w:val="00544377"/>
    <w:rsid w:val="00544AAA"/>
    <w:rsid w:val="00550364"/>
    <w:rsid w:val="005505CF"/>
    <w:rsid w:val="00552987"/>
    <w:rsid w:val="005548F0"/>
    <w:rsid w:val="00554F60"/>
    <w:rsid w:val="0056209E"/>
    <w:rsid w:val="0056366A"/>
    <w:rsid w:val="00565877"/>
    <w:rsid w:val="00566540"/>
    <w:rsid w:val="00570D01"/>
    <w:rsid w:val="00572142"/>
    <w:rsid w:val="00575A4C"/>
    <w:rsid w:val="00577D5C"/>
    <w:rsid w:val="005801F5"/>
    <w:rsid w:val="00580766"/>
    <w:rsid w:val="005807A5"/>
    <w:rsid w:val="005809F2"/>
    <w:rsid w:val="005818D5"/>
    <w:rsid w:val="00582938"/>
    <w:rsid w:val="00584CEE"/>
    <w:rsid w:val="00584DBA"/>
    <w:rsid w:val="005855E4"/>
    <w:rsid w:val="00585BAA"/>
    <w:rsid w:val="005862C0"/>
    <w:rsid w:val="00586576"/>
    <w:rsid w:val="005938B2"/>
    <w:rsid w:val="00595C8B"/>
    <w:rsid w:val="005A0A28"/>
    <w:rsid w:val="005A0C0D"/>
    <w:rsid w:val="005A2BB8"/>
    <w:rsid w:val="005A5D6A"/>
    <w:rsid w:val="005A681B"/>
    <w:rsid w:val="005A7CDD"/>
    <w:rsid w:val="005A7E38"/>
    <w:rsid w:val="005B0289"/>
    <w:rsid w:val="005B0527"/>
    <w:rsid w:val="005B265B"/>
    <w:rsid w:val="005B450C"/>
    <w:rsid w:val="005B45D9"/>
    <w:rsid w:val="005C00BB"/>
    <w:rsid w:val="005C0604"/>
    <w:rsid w:val="005C0D5B"/>
    <w:rsid w:val="005C0FD0"/>
    <w:rsid w:val="005C1040"/>
    <w:rsid w:val="005C2404"/>
    <w:rsid w:val="005C28FB"/>
    <w:rsid w:val="005C30E1"/>
    <w:rsid w:val="005C39D9"/>
    <w:rsid w:val="005C7199"/>
    <w:rsid w:val="005D032F"/>
    <w:rsid w:val="005D0494"/>
    <w:rsid w:val="005D0A5B"/>
    <w:rsid w:val="005D57A2"/>
    <w:rsid w:val="005D61EA"/>
    <w:rsid w:val="005E0A90"/>
    <w:rsid w:val="005E1766"/>
    <w:rsid w:val="005E37AF"/>
    <w:rsid w:val="005E4777"/>
    <w:rsid w:val="005E4985"/>
    <w:rsid w:val="005E4F20"/>
    <w:rsid w:val="005E59F5"/>
    <w:rsid w:val="005E7C95"/>
    <w:rsid w:val="005F448A"/>
    <w:rsid w:val="005F517F"/>
    <w:rsid w:val="005F5328"/>
    <w:rsid w:val="005F5BB2"/>
    <w:rsid w:val="005F601E"/>
    <w:rsid w:val="005F7B01"/>
    <w:rsid w:val="00600360"/>
    <w:rsid w:val="006011DD"/>
    <w:rsid w:val="00602F46"/>
    <w:rsid w:val="006033DE"/>
    <w:rsid w:val="00605E13"/>
    <w:rsid w:val="0061042C"/>
    <w:rsid w:val="00611535"/>
    <w:rsid w:val="006143BA"/>
    <w:rsid w:val="00617038"/>
    <w:rsid w:val="00634B7B"/>
    <w:rsid w:val="0063541B"/>
    <w:rsid w:val="00636B68"/>
    <w:rsid w:val="00636E5A"/>
    <w:rsid w:val="006402A5"/>
    <w:rsid w:val="00641387"/>
    <w:rsid w:val="006418C2"/>
    <w:rsid w:val="00641E35"/>
    <w:rsid w:val="006422BD"/>
    <w:rsid w:val="00645ABA"/>
    <w:rsid w:val="00646DBE"/>
    <w:rsid w:val="0064744E"/>
    <w:rsid w:val="00650595"/>
    <w:rsid w:val="006520BF"/>
    <w:rsid w:val="006534CD"/>
    <w:rsid w:val="006579F3"/>
    <w:rsid w:val="0066171A"/>
    <w:rsid w:val="00662B44"/>
    <w:rsid w:val="00663996"/>
    <w:rsid w:val="006669F4"/>
    <w:rsid w:val="006710F3"/>
    <w:rsid w:val="00672D7E"/>
    <w:rsid w:val="0067530F"/>
    <w:rsid w:val="00680149"/>
    <w:rsid w:val="006806F8"/>
    <w:rsid w:val="00681973"/>
    <w:rsid w:val="00684774"/>
    <w:rsid w:val="00686DCE"/>
    <w:rsid w:val="00694CDC"/>
    <w:rsid w:val="00695D15"/>
    <w:rsid w:val="006970B2"/>
    <w:rsid w:val="006A07A6"/>
    <w:rsid w:val="006A0CE8"/>
    <w:rsid w:val="006A23F9"/>
    <w:rsid w:val="006A243C"/>
    <w:rsid w:val="006A4861"/>
    <w:rsid w:val="006B0B45"/>
    <w:rsid w:val="006B1272"/>
    <w:rsid w:val="006B2975"/>
    <w:rsid w:val="006B4797"/>
    <w:rsid w:val="006B4EA0"/>
    <w:rsid w:val="006B6616"/>
    <w:rsid w:val="006B6D56"/>
    <w:rsid w:val="006C0DC7"/>
    <w:rsid w:val="006C1A0A"/>
    <w:rsid w:val="006C2447"/>
    <w:rsid w:val="006C2865"/>
    <w:rsid w:val="006C3229"/>
    <w:rsid w:val="006C5A46"/>
    <w:rsid w:val="006C6EB2"/>
    <w:rsid w:val="006C7C42"/>
    <w:rsid w:val="006D1C47"/>
    <w:rsid w:val="006D2618"/>
    <w:rsid w:val="006D28E1"/>
    <w:rsid w:val="006D5F45"/>
    <w:rsid w:val="006D6C79"/>
    <w:rsid w:val="006E27B5"/>
    <w:rsid w:val="006F1077"/>
    <w:rsid w:val="006F2DCD"/>
    <w:rsid w:val="006F3792"/>
    <w:rsid w:val="006F3E0B"/>
    <w:rsid w:val="006F497E"/>
    <w:rsid w:val="006F542D"/>
    <w:rsid w:val="00700D6A"/>
    <w:rsid w:val="007025A1"/>
    <w:rsid w:val="00707E05"/>
    <w:rsid w:val="00712451"/>
    <w:rsid w:val="0071608E"/>
    <w:rsid w:val="00716418"/>
    <w:rsid w:val="007167E2"/>
    <w:rsid w:val="0072361F"/>
    <w:rsid w:val="007255D1"/>
    <w:rsid w:val="00727722"/>
    <w:rsid w:val="00727EC7"/>
    <w:rsid w:val="00741A28"/>
    <w:rsid w:val="00742ED1"/>
    <w:rsid w:val="00743C9F"/>
    <w:rsid w:val="00745655"/>
    <w:rsid w:val="00747461"/>
    <w:rsid w:val="00750D1D"/>
    <w:rsid w:val="0075212D"/>
    <w:rsid w:val="00755410"/>
    <w:rsid w:val="007613BB"/>
    <w:rsid w:val="007627CA"/>
    <w:rsid w:val="00762D40"/>
    <w:rsid w:val="00766A0C"/>
    <w:rsid w:val="00774F6A"/>
    <w:rsid w:val="00780440"/>
    <w:rsid w:val="00782135"/>
    <w:rsid w:val="00783AD1"/>
    <w:rsid w:val="0078507B"/>
    <w:rsid w:val="007869FA"/>
    <w:rsid w:val="00792049"/>
    <w:rsid w:val="00792FC0"/>
    <w:rsid w:val="007936AA"/>
    <w:rsid w:val="00794C84"/>
    <w:rsid w:val="00795128"/>
    <w:rsid w:val="007963EE"/>
    <w:rsid w:val="007A12AF"/>
    <w:rsid w:val="007A14A8"/>
    <w:rsid w:val="007A3674"/>
    <w:rsid w:val="007A409E"/>
    <w:rsid w:val="007A7619"/>
    <w:rsid w:val="007A7750"/>
    <w:rsid w:val="007A7DB2"/>
    <w:rsid w:val="007B0B31"/>
    <w:rsid w:val="007B62A7"/>
    <w:rsid w:val="007B7B5D"/>
    <w:rsid w:val="007C2D35"/>
    <w:rsid w:val="007D0F28"/>
    <w:rsid w:val="007D1D9B"/>
    <w:rsid w:val="007D3C0B"/>
    <w:rsid w:val="007D4465"/>
    <w:rsid w:val="007D609C"/>
    <w:rsid w:val="007D6FC2"/>
    <w:rsid w:val="007E0594"/>
    <w:rsid w:val="007E06D7"/>
    <w:rsid w:val="007E07E3"/>
    <w:rsid w:val="007E2181"/>
    <w:rsid w:val="007E3584"/>
    <w:rsid w:val="007E35BF"/>
    <w:rsid w:val="007E3C2E"/>
    <w:rsid w:val="007E69FF"/>
    <w:rsid w:val="007E7144"/>
    <w:rsid w:val="007E72A2"/>
    <w:rsid w:val="007F0285"/>
    <w:rsid w:val="007F2340"/>
    <w:rsid w:val="007F6239"/>
    <w:rsid w:val="00802AE5"/>
    <w:rsid w:val="00804EE2"/>
    <w:rsid w:val="00810D83"/>
    <w:rsid w:val="00811064"/>
    <w:rsid w:val="00811DD2"/>
    <w:rsid w:val="00820503"/>
    <w:rsid w:val="008208B8"/>
    <w:rsid w:val="0082134A"/>
    <w:rsid w:val="008214F5"/>
    <w:rsid w:val="00823063"/>
    <w:rsid w:val="00823F10"/>
    <w:rsid w:val="00825844"/>
    <w:rsid w:val="008305BB"/>
    <w:rsid w:val="00833A09"/>
    <w:rsid w:val="00836101"/>
    <w:rsid w:val="008377C5"/>
    <w:rsid w:val="00840B88"/>
    <w:rsid w:val="00840CBE"/>
    <w:rsid w:val="008414DA"/>
    <w:rsid w:val="0084181B"/>
    <w:rsid w:val="00841B76"/>
    <w:rsid w:val="00841C9C"/>
    <w:rsid w:val="00842276"/>
    <w:rsid w:val="008427BF"/>
    <w:rsid w:val="008441FD"/>
    <w:rsid w:val="00850E40"/>
    <w:rsid w:val="00853974"/>
    <w:rsid w:val="00854677"/>
    <w:rsid w:val="00856D5A"/>
    <w:rsid w:val="008607C5"/>
    <w:rsid w:val="00860C7C"/>
    <w:rsid w:val="0086339E"/>
    <w:rsid w:val="0086471A"/>
    <w:rsid w:val="00865B05"/>
    <w:rsid w:val="00871254"/>
    <w:rsid w:val="008758D5"/>
    <w:rsid w:val="00875A2D"/>
    <w:rsid w:val="00877D42"/>
    <w:rsid w:val="008801B3"/>
    <w:rsid w:val="00880DF4"/>
    <w:rsid w:val="00884911"/>
    <w:rsid w:val="008906EB"/>
    <w:rsid w:val="00891FE1"/>
    <w:rsid w:val="00894E32"/>
    <w:rsid w:val="00897CD3"/>
    <w:rsid w:val="008A46E9"/>
    <w:rsid w:val="008A52A8"/>
    <w:rsid w:val="008A69DC"/>
    <w:rsid w:val="008B55BE"/>
    <w:rsid w:val="008B568D"/>
    <w:rsid w:val="008B6BC6"/>
    <w:rsid w:val="008B76FB"/>
    <w:rsid w:val="008B7884"/>
    <w:rsid w:val="008C07DF"/>
    <w:rsid w:val="008C150D"/>
    <w:rsid w:val="008C3415"/>
    <w:rsid w:val="008C3569"/>
    <w:rsid w:val="008C3A73"/>
    <w:rsid w:val="008D14EE"/>
    <w:rsid w:val="008D52E4"/>
    <w:rsid w:val="008D568E"/>
    <w:rsid w:val="008E1776"/>
    <w:rsid w:val="008E3287"/>
    <w:rsid w:val="008E3719"/>
    <w:rsid w:val="008E58E9"/>
    <w:rsid w:val="008E7BEA"/>
    <w:rsid w:val="008F0508"/>
    <w:rsid w:val="008F141F"/>
    <w:rsid w:val="008F612E"/>
    <w:rsid w:val="009002A7"/>
    <w:rsid w:val="00902A79"/>
    <w:rsid w:val="00902AB7"/>
    <w:rsid w:val="00910DF1"/>
    <w:rsid w:val="00911073"/>
    <w:rsid w:val="009142C4"/>
    <w:rsid w:val="00914A36"/>
    <w:rsid w:val="00915033"/>
    <w:rsid w:val="00920B8B"/>
    <w:rsid w:val="00922014"/>
    <w:rsid w:val="009222D5"/>
    <w:rsid w:val="0092318E"/>
    <w:rsid w:val="00923357"/>
    <w:rsid w:val="00927924"/>
    <w:rsid w:val="009323B5"/>
    <w:rsid w:val="009356E7"/>
    <w:rsid w:val="009362C2"/>
    <w:rsid w:val="009368CA"/>
    <w:rsid w:val="00936B7A"/>
    <w:rsid w:val="00937CA8"/>
    <w:rsid w:val="00937D5A"/>
    <w:rsid w:val="009437AD"/>
    <w:rsid w:val="0094396E"/>
    <w:rsid w:val="00945875"/>
    <w:rsid w:val="00947DBF"/>
    <w:rsid w:val="00950197"/>
    <w:rsid w:val="00950F29"/>
    <w:rsid w:val="009531E4"/>
    <w:rsid w:val="00955B5E"/>
    <w:rsid w:val="00956B08"/>
    <w:rsid w:val="00957043"/>
    <w:rsid w:val="009600BF"/>
    <w:rsid w:val="0096193D"/>
    <w:rsid w:val="00967C37"/>
    <w:rsid w:val="00974343"/>
    <w:rsid w:val="00974E2A"/>
    <w:rsid w:val="0097706D"/>
    <w:rsid w:val="00977706"/>
    <w:rsid w:val="00981318"/>
    <w:rsid w:val="009815EB"/>
    <w:rsid w:val="0098223C"/>
    <w:rsid w:val="0098509B"/>
    <w:rsid w:val="00985ED6"/>
    <w:rsid w:val="009860BE"/>
    <w:rsid w:val="0099152D"/>
    <w:rsid w:val="00993DB0"/>
    <w:rsid w:val="009942A0"/>
    <w:rsid w:val="009949F4"/>
    <w:rsid w:val="00995A6C"/>
    <w:rsid w:val="009A35CD"/>
    <w:rsid w:val="009A36E5"/>
    <w:rsid w:val="009A4E46"/>
    <w:rsid w:val="009A78D7"/>
    <w:rsid w:val="009A7F21"/>
    <w:rsid w:val="009C5690"/>
    <w:rsid w:val="009C5AB1"/>
    <w:rsid w:val="009C6E47"/>
    <w:rsid w:val="009C758E"/>
    <w:rsid w:val="009D0C9C"/>
    <w:rsid w:val="009D3918"/>
    <w:rsid w:val="009D6C00"/>
    <w:rsid w:val="009D7D2A"/>
    <w:rsid w:val="009E094F"/>
    <w:rsid w:val="009E199A"/>
    <w:rsid w:val="009E2362"/>
    <w:rsid w:val="009E615D"/>
    <w:rsid w:val="009E6EF5"/>
    <w:rsid w:val="009E7BC7"/>
    <w:rsid w:val="009F1167"/>
    <w:rsid w:val="009F3CEC"/>
    <w:rsid w:val="009F58A8"/>
    <w:rsid w:val="009F73F7"/>
    <w:rsid w:val="00A00B95"/>
    <w:rsid w:val="00A047BF"/>
    <w:rsid w:val="00A0528A"/>
    <w:rsid w:val="00A052C6"/>
    <w:rsid w:val="00A100A5"/>
    <w:rsid w:val="00A10944"/>
    <w:rsid w:val="00A1185F"/>
    <w:rsid w:val="00A1213C"/>
    <w:rsid w:val="00A151AD"/>
    <w:rsid w:val="00A15C2D"/>
    <w:rsid w:val="00A16270"/>
    <w:rsid w:val="00A17388"/>
    <w:rsid w:val="00A238F8"/>
    <w:rsid w:val="00A23EEC"/>
    <w:rsid w:val="00A24E59"/>
    <w:rsid w:val="00A25296"/>
    <w:rsid w:val="00A30A04"/>
    <w:rsid w:val="00A30BB2"/>
    <w:rsid w:val="00A36A0C"/>
    <w:rsid w:val="00A402D5"/>
    <w:rsid w:val="00A411BB"/>
    <w:rsid w:val="00A413F6"/>
    <w:rsid w:val="00A42516"/>
    <w:rsid w:val="00A449A4"/>
    <w:rsid w:val="00A477AC"/>
    <w:rsid w:val="00A5093C"/>
    <w:rsid w:val="00A510FC"/>
    <w:rsid w:val="00A5137F"/>
    <w:rsid w:val="00A52E9A"/>
    <w:rsid w:val="00A547B3"/>
    <w:rsid w:val="00A57169"/>
    <w:rsid w:val="00A60AE8"/>
    <w:rsid w:val="00A60F1F"/>
    <w:rsid w:val="00A664E0"/>
    <w:rsid w:val="00A674C5"/>
    <w:rsid w:val="00A70F8A"/>
    <w:rsid w:val="00A72705"/>
    <w:rsid w:val="00A82AD3"/>
    <w:rsid w:val="00A8522E"/>
    <w:rsid w:val="00A86ECD"/>
    <w:rsid w:val="00A974E7"/>
    <w:rsid w:val="00AA0828"/>
    <w:rsid w:val="00AA42F0"/>
    <w:rsid w:val="00AA460B"/>
    <w:rsid w:val="00AA4FB5"/>
    <w:rsid w:val="00AB2907"/>
    <w:rsid w:val="00AB2EE1"/>
    <w:rsid w:val="00AB398E"/>
    <w:rsid w:val="00AB4621"/>
    <w:rsid w:val="00AB4890"/>
    <w:rsid w:val="00AB7EA7"/>
    <w:rsid w:val="00AC083D"/>
    <w:rsid w:val="00AC2D42"/>
    <w:rsid w:val="00AD0686"/>
    <w:rsid w:val="00AD3B7A"/>
    <w:rsid w:val="00AD603D"/>
    <w:rsid w:val="00AD6ACB"/>
    <w:rsid w:val="00AD796D"/>
    <w:rsid w:val="00AE1209"/>
    <w:rsid w:val="00AE5604"/>
    <w:rsid w:val="00AF3FE8"/>
    <w:rsid w:val="00AF478A"/>
    <w:rsid w:val="00AF539E"/>
    <w:rsid w:val="00AF7B7B"/>
    <w:rsid w:val="00B00826"/>
    <w:rsid w:val="00B02518"/>
    <w:rsid w:val="00B0278A"/>
    <w:rsid w:val="00B078C7"/>
    <w:rsid w:val="00B10CEE"/>
    <w:rsid w:val="00B116BC"/>
    <w:rsid w:val="00B11C3F"/>
    <w:rsid w:val="00B12205"/>
    <w:rsid w:val="00B133E4"/>
    <w:rsid w:val="00B15A37"/>
    <w:rsid w:val="00B15ACA"/>
    <w:rsid w:val="00B165B6"/>
    <w:rsid w:val="00B17754"/>
    <w:rsid w:val="00B202F4"/>
    <w:rsid w:val="00B20C0F"/>
    <w:rsid w:val="00B21E12"/>
    <w:rsid w:val="00B230E5"/>
    <w:rsid w:val="00B25CD0"/>
    <w:rsid w:val="00B31DD7"/>
    <w:rsid w:val="00B37700"/>
    <w:rsid w:val="00B445AB"/>
    <w:rsid w:val="00B476C8"/>
    <w:rsid w:val="00B50866"/>
    <w:rsid w:val="00B54960"/>
    <w:rsid w:val="00B61C77"/>
    <w:rsid w:val="00B624B5"/>
    <w:rsid w:val="00B635A5"/>
    <w:rsid w:val="00B656E9"/>
    <w:rsid w:val="00B71A95"/>
    <w:rsid w:val="00B73D75"/>
    <w:rsid w:val="00B75D56"/>
    <w:rsid w:val="00B76AC6"/>
    <w:rsid w:val="00B8004F"/>
    <w:rsid w:val="00B83712"/>
    <w:rsid w:val="00B84653"/>
    <w:rsid w:val="00B85E24"/>
    <w:rsid w:val="00B86856"/>
    <w:rsid w:val="00B900C5"/>
    <w:rsid w:val="00B90A98"/>
    <w:rsid w:val="00B93601"/>
    <w:rsid w:val="00BA0ED1"/>
    <w:rsid w:val="00BA223C"/>
    <w:rsid w:val="00BA5819"/>
    <w:rsid w:val="00BA5B64"/>
    <w:rsid w:val="00BA65A1"/>
    <w:rsid w:val="00BA74CE"/>
    <w:rsid w:val="00BB0D70"/>
    <w:rsid w:val="00BB3A88"/>
    <w:rsid w:val="00BB5F19"/>
    <w:rsid w:val="00BB6334"/>
    <w:rsid w:val="00BB7F6E"/>
    <w:rsid w:val="00BC0186"/>
    <w:rsid w:val="00BC1068"/>
    <w:rsid w:val="00BC62E8"/>
    <w:rsid w:val="00BD49BC"/>
    <w:rsid w:val="00BD4F4D"/>
    <w:rsid w:val="00BD6D83"/>
    <w:rsid w:val="00BD7346"/>
    <w:rsid w:val="00BE05D7"/>
    <w:rsid w:val="00BE3705"/>
    <w:rsid w:val="00BE3C02"/>
    <w:rsid w:val="00BE76ED"/>
    <w:rsid w:val="00BF157F"/>
    <w:rsid w:val="00BF20BA"/>
    <w:rsid w:val="00BF51B5"/>
    <w:rsid w:val="00BF7D55"/>
    <w:rsid w:val="00C0267A"/>
    <w:rsid w:val="00C02C73"/>
    <w:rsid w:val="00C10350"/>
    <w:rsid w:val="00C119DA"/>
    <w:rsid w:val="00C13182"/>
    <w:rsid w:val="00C13961"/>
    <w:rsid w:val="00C15A47"/>
    <w:rsid w:val="00C15F14"/>
    <w:rsid w:val="00C206A8"/>
    <w:rsid w:val="00C20F41"/>
    <w:rsid w:val="00C24063"/>
    <w:rsid w:val="00C27D86"/>
    <w:rsid w:val="00C36149"/>
    <w:rsid w:val="00C371DA"/>
    <w:rsid w:val="00C41B2A"/>
    <w:rsid w:val="00C41EA4"/>
    <w:rsid w:val="00C43AA0"/>
    <w:rsid w:val="00C44FE7"/>
    <w:rsid w:val="00C459B3"/>
    <w:rsid w:val="00C459DD"/>
    <w:rsid w:val="00C46542"/>
    <w:rsid w:val="00C471AA"/>
    <w:rsid w:val="00C47F8E"/>
    <w:rsid w:val="00C51788"/>
    <w:rsid w:val="00C518DC"/>
    <w:rsid w:val="00C51F26"/>
    <w:rsid w:val="00C54F75"/>
    <w:rsid w:val="00C55621"/>
    <w:rsid w:val="00C55B7D"/>
    <w:rsid w:val="00C57DB9"/>
    <w:rsid w:val="00C610C3"/>
    <w:rsid w:val="00C614D3"/>
    <w:rsid w:val="00C64DFD"/>
    <w:rsid w:val="00C6633F"/>
    <w:rsid w:val="00C6686A"/>
    <w:rsid w:val="00C66C30"/>
    <w:rsid w:val="00C674D7"/>
    <w:rsid w:val="00C70FA0"/>
    <w:rsid w:val="00C72DCB"/>
    <w:rsid w:val="00C7310C"/>
    <w:rsid w:val="00C73179"/>
    <w:rsid w:val="00C749C6"/>
    <w:rsid w:val="00C750F9"/>
    <w:rsid w:val="00C80156"/>
    <w:rsid w:val="00C822E8"/>
    <w:rsid w:val="00C867A3"/>
    <w:rsid w:val="00CA0AB7"/>
    <w:rsid w:val="00CA2067"/>
    <w:rsid w:val="00CA60A6"/>
    <w:rsid w:val="00CA61F3"/>
    <w:rsid w:val="00CA6234"/>
    <w:rsid w:val="00CA6D80"/>
    <w:rsid w:val="00CB0600"/>
    <w:rsid w:val="00CB3BD1"/>
    <w:rsid w:val="00CB445E"/>
    <w:rsid w:val="00CB4DDB"/>
    <w:rsid w:val="00CB6F86"/>
    <w:rsid w:val="00CC02EB"/>
    <w:rsid w:val="00CC6446"/>
    <w:rsid w:val="00CD1522"/>
    <w:rsid w:val="00CD15BA"/>
    <w:rsid w:val="00CD2A23"/>
    <w:rsid w:val="00CD47A5"/>
    <w:rsid w:val="00CD6167"/>
    <w:rsid w:val="00CD787C"/>
    <w:rsid w:val="00CF30D9"/>
    <w:rsid w:val="00CF32C9"/>
    <w:rsid w:val="00CF3758"/>
    <w:rsid w:val="00CF3E97"/>
    <w:rsid w:val="00D0040E"/>
    <w:rsid w:val="00D02CDF"/>
    <w:rsid w:val="00D030C5"/>
    <w:rsid w:val="00D0575E"/>
    <w:rsid w:val="00D05A97"/>
    <w:rsid w:val="00D05B09"/>
    <w:rsid w:val="00D05E4E"/>
    <w:rsid w:val="00D06D44"/>
    <w:rsid w:val="00D070AE"/>
    <w:rsid w:val="00D076D3"/>
    <w:rsid w:val="00D106F5"/>
    <w:rsid w:val="00D20DEE"/>
    <w:rsid w:val="00D2347B"/>
    <w:rsid w:val="00D2398B"/>
    <w:rsid w:val="00D2497E"/>
    <w:rsid w:val="00D24D9C"/>
    <w:rsid w:val="00D25289"/>
    <w:rsid w:val="00D2549A"/>
    <w:rsid w:val="00D33B0C"/>
    <w:rsid w:val="00D40CDE"/>
    <w:rsid w:val="00D40E5B"/>
    <w:rsid w:val="00D41111"/>
    <w:rsid w:val="00D425B9"/>
    <w:rsid w:val="00D43F14"/>
    <w:rsid w:val="00D44473"/>
    <w:rsid w:val="00D4528E"/>
    <w:rsid w:val="00D47BED"/>
    <w:rsid w:val="00D54058"/>
    <w:rsid w:val="00D56BB7"/>
    <w:rsid w:val="00D5707A"/>
    <w:rsid w:val="00D60A82"/>
    <w:rsid w:val="00D6146C"/>
    <w:rsid w:val="00D62790"/>
    <w:rsid w:val="00D62AC1"/>
    <w:rsid w:val="00D6520C"/>
    <w:rsid w:val="00D71F7E"/>
    <w:rsid w:val="00D760FD"/>
    <w:rsid w:val="00D80C1A"/>
    <w:rsid w:val="00D82EC1"/>
    <w:rsid w:val="00D86437"/>
    <w:rsid w:val="00D86EC3"/>
    <w:rsid w:val="00D90811"/>
    <w:rsid w:val="00D9362C"/>
    <w:rsid w:val="00D94319"/>
    <w:rsid w:val="00D949B6"/>
    <w:rsid w:val="00D96FBA"/>
    <w:rsid w:val="00D9775C"/>
    <w:rsid w:val="00DA00B5"/>
    <w:rsid w:val="00DA37F3"/>
    <w:rsid w:val="00DA3B5B"/>
    <w:rsid w:val="00DA6CE5"/>
    <w:rsid w:val="00DB2B07"/>
    <w:rsid w:val="00DB43FE"/>
    <w:rsid w:val="00DB47FB"/>
    <w:rsid w:val="00DB6070"/>
    <w:rsid w:val="00DC0614"/>
    <w:rsid w:val="00DC0B28"/>
    <w:rsid w:val="00DC225D"/>
    <w:rsid w:val="00DC2DAA"/>
    <w:rsid w:val="00DC3DBA"/>
    <w:rsid w:val="00DC7805"/>
    <w:rsid w:val="00DD2E20"/>
    <w:rsid w:val="00DD4DEE"/>
    <w:rsid w:val="00DD520E"/>
    <w:rsid w:val="00DD5D58"/>
    <w:rsid w:val="00DD7A95"/>
    <w:rsid w:val="00DE124D"/>
    <w:rsid w:val="00DE1C36"/>
    <w:rsid w:val="00DE4D5D"/>
    <w:rsid w:val="00DF568E"/>
    <w:rsid w:val="00DF6864"/>
    <w:rsid w:val="00DF77FD"/>
    <w:rsid w:val="00DF7AF2"/>
    <w:rsid w:val="00E12F2D"/>
    <w:rsid w:val="00E131E2"/>
    <w:rsid w:val="00E140B9"/>
    <w:rsid w:val="00E16C66"/>
    <w:rsid w:val="00E172DA"/>
    <w:rsid w:val="00E17550"/>
    <w:rsid w:val="00E17F1A"/>
    <w:rsid w:val="00E215AD"/>
    <w:rsid w:val="00E24375"/>
    <w:rsid w:val="00E25675"/>
    <w:rsid w:val="00E360DE"/>
    <w:rsid w:val="00E44C15"/>
    <w:rsid w:val="00E517AF"/>
    <w:rsid w:val="00E51B99"/>
    <w:rsid w:val="00E55D35"/>
    <w:rsid w:val="00E564CD"/>
    <w:rsid w:val="00E62258"/>
    <w:rsid w:val="00E624F3"/>
    <w:rsid w:val="00E634A6"/>
    <w:rsid w:val="00E661CD"/>
    <w:rsid w:val="00E67B42"/>
    <w:rsid w:val="00E70F61"/>
    <w:rsid w:val="00E725B5"/>
    <w:rsid w:val="00E72810"/>
    <w:rsid w:val="00E73EF1"/>
    <w:rsid w:val="00E74CDD"/>
    <w:rsid w:val="00E76DA7"/>
    <w:rsid w:val="00E76F70"/>
    <w:rsid w:val="00E80691"/>
    <w:rsid w:val="00E854A5"/>
    <w:rsid w:val="00E85735"/>
    <w:rsid w:val="00E86A6A"/>
    <w:rsid w:val="00E919CA"/>
    <w:rsid w:val="00E940A9"/>
    <w:rsid w:val="00E956AE"/>
    <w:rsid w:val="00E969FD"/>
    <w:rsid w:val="00E97449"/>
    <w:rsid w:val="00E97AED"/>
    <w:rsid w:val="00E97CB6"/>
    <w:rsid w:val="00EA1D2B"/>
    <w:rsid w:val="00EA25FE"/>
    <w:rsid w:val="00EA29A9"/>
    <w:rsid w:val="00EA3668"/>
    <w:rsid w:val="00EA4DB0"/>
    <w:rsid w:val="00EA544E"/>
    <w:rsid w:val="00EA7493"/>
    <w:rsid w:val="00EB013F"/>
    <w:rsid w:val="00EB735A"/>
    <w:rsid w:val="00EC01D9"/>
    <w:rsid w:val="00EC38F3"/>
    <w:rsid w:val="00EC4868"/>
    <w:rsid w:val="00ED12ED"/>
    <w:rsid w:val="00ED2D3D"/>
    <w:rsid w:val="00ED3921"/>
    <w:rsid w:val="00EE238F"/>
    <w:rsid w:val="00EE383B"/>
    <w:rsid w:val="00EE46DF"/>
    <w:rsid w:val="00EE4EDF"/>
    <w:rsid w:val="00EE521F"/>
    <w:rsid w:val="00EF03DA"/>
    <w:rsid w:val="00EF1928"/>
    <w:rsid w:val="00EF2453"/>
    <w:rsid w:val="00EF28AF"/>
    <w:rsid w:val="00EF5DA3"/>
    <w:rsid w:val="00EF75D3"/>
    <w:rsid w:val="00F0084C"/>
    <w:rsid w:val="00F02B0F"/>
    <w:rsid w:val="00F0431B"/>
    <w:rsid w:val="00F05CCE"/>
    <w:rsid w:val="00F06763"/>
    <w:rsid w:val="00F11CBE"/>
    <w:rsid w:val="00F130B1"/>
    <w:rsid w:val="00F14061"/>
    <w:rsid w:val="00F14259"/>
    <w:rsid w:val="00F14F28"/>
    <w:rsid w:val="00F15C74"/>
    <w:rsid w:val="00F22630"/>
    <w:rsid w:val="00F23387"/>
    <w:rsid w:val="00F241FD"/>
    <w:rsid w:val="00F2615F"/>
    <w:rsid w:val="00F31BEF"/>
    <w:rsid w:val="00F34585"/>
    <w:rsid w:val="00F35054"/>
    <w:rsid w:val="00F3525D"/>
    <w:rsid w:val="00F35FB4"/>
    <w:rsid w:val="00F403C3"/>
    <w:rsid w:val="00F44FB6"/>
    <w:rsid w:val="00F450D1"/>
    <w:rsid w:val="00F475DD"/>
    <w:rsid w:val="00F50421"/>
    <w:rsid w:val="00F50715"/>
    <w:rsid w:val="00F51709"/>
    <w:rsid w:val="00F51DE9"/>
    <w:rsid w:val="00F53617"/>
    <w:rsid w:val="00F62ADF"/>
    <w:rsid w:val="00F6370F"/>
    <w:rsid w:val="00F65455"/>
    <w:rsid w:val="00F66487"/>
    <w:rsid w:val="00F66E37"/>
    <w:rsid w:val="00F7311F"/>
    <w:rsid w:val="00F743A0"/>
    <w:rsid w:val="00F747DF"/>
    <w:rsid w:val="00F75606"/>
    <w:rsid w:val="00F757CE"/>
    <w:rsid w:val="00F76AA8"/>
    <w:rsid w:val="00F76BB0"/>
    <w:rsid w:val="00F8036D"/>
    <w:rsid w:val="00F80710"/>
    <w:rsid w:val="00F81BD2"/>
    <w:rsid w:val="00F83CC9"/>
    <w:rsid w:val="00F8446F"/>
    <w:rsid w:val="00F857F9"/>
    <w:rsid w:val="00F868BE"/>
    <w:rsid w:val="00F870E6"/>
    <w:rsid w:val="00F875B0"/>
    <w:rsid w:val="00F92010"/>
    <w:rsid w:val="00F93240"/>
    <w:rsid w:val="00F9375D"/>
    <w:rsid w:val="00F96176"/>
    <w:rsid w:val="00F965CE"/>
    <w:rsid w:val="00FA16E1"/>
    <w:rsid w:val="00FA5C04"/>
    <w:rsid w:val="00FA6908"/>
    <w:rsid w:val="00FB0EB4"/>
    <w:rsid w:val="00FB308C"/>
    <w:rsid w:val="00FB482C"/>
    <w:rsid w:val="00FB648C"/>
    <w:rsid w:val="00FB7267"/>
    <w:rsid w:val="00FC1858"/>
    <w:rsid w:val="00FC28F1"/>
    <w:rsid w:val="00FC52B4"/>
    <w:rsid w:val="00FC7C7D"/>
    <w:rsid w:val="00FD1C14"/>
    <w:rsid w:val="00FD1D85"/>
    <w:rsid w:val="00FD20C6"/>
    <w:rsid w:val="00FD33E2"/>
    <w:rsid w:val="00FD7812"/>
    <w:rsid w:val="00FE0797"/>
    <w:rsid w:val="00FE4787"/>
    <w:rsid w:val="00FE7603"/>
    <w:rsid w:val="00FE7953"/>
    <w:rsid w:val="00FF3526"/>
    <w:rsid w:val="00FF444A"/>
    <w:rsid w:val="00FF53C4"/>
    <w:rsid w:val="00FF55E6"/>
    <w:rsid w:val="00FF5877"/>
    <w:rsid w:val="00FF618C"/>
    <w:rsid w:val="00FF6C1E"/>
    <w:rsid w:val="00FF717B"/>
    <w:rsid w:val="00FF750D"/>
    <w:rsid w:val="00FF7B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866"/>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713E0"/>
    <w:rPr>
      <w:vertAlign w:val="superscript"/>
    </w:rPr>
  </w:style>
  <w:style w:type="paragraph" w:styleId="Title">
    <w:name w:val="Title"/>
    <w:basedOn w:val="Normal"/>
    <w:qFormat/>
    <w:rsid w:val="001713E0"/>
    <w:pPr>
      <w:tabs>
        <w:tab w:val="center" w:pos="4320"/>
      </w:tabs>
      <w:spacing w:line="287" w:lineRule="auto"/>
      <w:jc w:val="center"/>
    </w:pPr>
    <w:rPr>
      <w:smallCaps/>
      <w:sz w:val="32"/>
    </w:rPr>
  </w:style>
  <w:style w:type="paragraph" w:styleId="Header">
    <w:name w:val="header"/>
    <w:basedOn w:val="Normal"/>
    <w:link w:val="HeaderChar"/>
    <w:uiPriority w:val="99"/>
    <w:rsid w:val="001713E0"/>
    <w:pPr>
      <w:tabs>
        <w:tab w:val="center" w:pos="4320"/>
        <w:tab w:val="right" w:pos="8640"/>
      </w:tabs>
    </w:pPr>
  </w:style>
  <w:style w:type="paragraph" w:styleId="Footer">
    <w:name w:val="footer"/>
    <w:basedOn w:val="Normal"/>
    <w:link w:val="FooterChar"/>
    <w:rsid w:val="001713E0"/>
    <w:pPr>
      <w:tabs>
        <w:tab w:val="center" w:pos="4320"/>
        <w:tab w:val="right" w:pos="8640"/>
      </w:tabs>
    </w:pPr>
  </w:style>
  <w:style w:type="paragraph" w:customStyle="1" w:styleId="a">
    <w:name w:val="∙"/>
    <w:rsid w:val="00452473"/>
    <w:pPr>
      <w:autoSpaceDE w:val="0"/>
      <w:autoSpaceDN w:val="0"/>
      <w:adjustRightInd w:val="0"/>
      <w:ind w:left="-1440"/>
    </w:pPr>
    <w:rPr>
      <w:rFonts w:ascii="Courier" w:hAnsi="Courier"/>
      <w:sz w:val="24"/>
      <w:szCs w:val="24"/>
    </w:rPr>
  </w:style>
  <w:style w:type="paragraph" w:styleId="FootnoteText">
    <w:name w:val="footnote text"/>
    <w:basedOn w:val="Normal"/>
    <w:link w:val="FootnoteTextChar"/>
    <w:semiHidden/>
    <w:rsid w:val="00700D6A"/>
    <w:rPr>
      <w:sz w:val="20"/>
    </w:rPr>
  </w:style>
  <w:style w:type="character" w:styleId="CommentReference">
    <w:name w:val="annotation reference"/>
    <w:basedOn w:val="DefaultParagraphFont"/>
    <w:semiHidden/>
    <w:rsid w:val="00460873"/>
    <w:rPr>
      <w:sz w:val="16"/>
      <w:szCs w:val="16"/>
    </w:rPr>
  </w:style>
  <w:style w:type="paragraph" w:styleId="CommentText">
    <w:name w:val="annotation text"/>
    <w:basedOn w:val="Normal"/>
    <w:semiHidden/>
    <w:rsid w:val="00460873"/>
    <w:rPr>
      <w:sz w:val="20"/>
    </w:rPr>
  </w:style>
  <w:style w:type="paragraph" w:styleId="CommentSubject">
    <w:name w:val="annotation subject"/>
    <w:basedOn w:val="CommentText"/>
    <w:next w:val="CommentText"/>
    <w:semiHidden/>
    <w:rsid w:val="00460873"/>
    <w:rPr>
      <w:b/>
      <w:bCs/>
    </w:rPr>
  </w:style>
  <w:style w:type="paragraph" w:styleId="BalloonText">
    <w:name w:val="Balloon Text"/>
    <w:basedOn w:val="Normal"/>
    <w:semiHidden/>
    <w:rsid w:val="00460873"/>
    <w:rPr>
      <w:rFonts w:ascii="Tahoma" w:hAnsi="Tahoma" w:cs="Tahoma"/>
      <w:sz w:val="16"/>
      <w:szCs w:val="16"/>
    </w:rPr>
  </w:style>
  <w:style w:type="character" w:styleId="Hyperlink">
    <w:name w:val="Hyperlink"/>
    <w:basedOn w:val="DefaultParagraphFont"/>
    <w:uiPriority w:val="99"/>
    <w:rsid w:val="00D20DEE"/>
    <w:rPr>
      <w:color w:val="0000FF"/>
      <w:u w:val="single"/>
    </w:rPr>
  </w:style>
  <w:style w:type="character" w:styleId="PageNumber">
    <w:name w:val="page number"/>
    <w:basedOn w:val="DefaultParagraphFont"/>
    <w:rsid w:val="006B6616"/>
  </w:style>
  <w:style w:type="character" w:styleId="FollowedHyperlink">
    <w:name w:val="FollowedHyperlink"/>
    <w:basedOn w:val="DefaultParagraphFont"/>
    <w:rsid w:val="00224A69"/>
    <w:rPr>
      <w:color w:val="800080"/>
      <w:u w:val="single"/>
    </w:rPr>
  </w:style>
  <w:style w:type="paragraph" w:customStyle="1" w:styleId="Default">
    <w:name w:val="Default"/>
    <w:rsid w:val="00BA0ED1"/>
    <w:pPr>
      <w:widowControl w:val="0"/>
      <w:autoSpaceDE w:val="0"/>
      <w:autoSpaceDN w:val="0"/>
      <w:adjustRightInd w:val="0"/>
    </w:pPr>
    <w:rPr>
      <w:color w:val="000000"/>
      <w:sz w:val="24"/>
      <w:szCs w:val="24"/>
    </w:rPr>
  </w:style>
  <w:style w:type="paragraph" w:customStyle="1" w:styleId="CM28">
    <w:name w:val="CM28"/>
    <w:basedOn w:val="Default"/>
    <w:next w:val="Default"/>
    <w:uiPriority w:val="99"/>
    <w:rsid w:val="00BA0ED1"/>
    <w:rPr>
      <w:color w:val="auto"/>
    </w:rPr>
  </w:style>
  <w:style w:type="paragraph" w:styleId="NoSpacing">
    <w:name w:val="No Spacing"/>
    <w:uiPriority w:val="1"/>
    <w:qFormat/>
    <w:rsid w:val="00C15F14"/>
    <w:rPr>
      <w:rFonts w:ascii="Calibri" w:eastAsia="Calibri" w:hAnsi="Calibri"/>
      <w:sz w:val="22"/>
      <w:szCs w:val="22"/>
    </w:rPr>
  </w:style>
  <w:style w:type="table" w:styleId="TableGrid">
    <w:name w:val="Table Grid"/>
    <w:basedOn w:val="TableNormal"/>
    <w:uiPriority w:val="59"/>
    <w:rsid w:val="00EF24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A28"/>
    <w:pPr>
      <w:ind w:left="720"/>
      <w:contextualSpacing/>
    </w:pPr>
  </w:style>
  <w:style w:type="paragraph" w:customStyle="1" w:styleId="CM7">
    <w:name w:val="CM7"/>
    <w:basedOn w:val="Default"/>
    <w:next w:val="Default"/>
    <w:uiPriority w:val="99"/>
    <w:rsid w:val="004E6D6F"/>
    <w:pPr>
      <w:spacing w:line="253" w:lineRule="atLeast"/>
    </w:pPr>
    <w:rPr>
      <w:color w:val="auto"/>
    </w:rPr>
  </w:style>
  <w:style w:type="character" w:customStyle="1" w:styleId="FootnoteTextChar">
    <w:name w:val="Footnote Text Char"/>
    <w:basedOn w:val="DefaultParagraphFont"/>
    <w:link w:val="FootnoteText"/>
    <w:semiHidden/>
    <w:rsid w:val="00617038"/>
    <w:rPr>
      <w:snapToGrid w:val="0"/>
    </w:rPr>
  </w:style>
  <w:style w:type="paragraph" w:styleId="EndnoteText">
    <w:name w:val="endnote text"/>
    <w:basedOn w:val="Normal"/>
    <w:link w:val="EndnoteTextChar"/>
    <w:uiPriority w:val="99"/>
    <w:semiHidden/>
    <w:unhideWhenUsed/>
    <w:rsid w:val="00617038"/>
    <w:rPr>
      <w:rFonts w:ascii="Calibri" w:hAnsi="Calibri"/>
      <w:snapToGrid/>
      <w:sz w:val="20"/>
      <w:lang w:eastAsia="zh-CN"/>
    </w:rPr>
  </w:style>
  <w:style w:type="character" w:customStyle="1" w:styleId="EndnoteTextChar">
    <w:name w:val="Endnote Text Char"/>
    <w:basedOn w:val="DefaultParagraphFont"/>
    <w:link w:val="EndnoteText"/>
    <w:uiPriority w:val="99"/>
    <w:semiHidden/>
    <w:rsid w:val="00617038"/>
    <w:rPr>
      <w:rFonts w:ascii="Calibri" w:eastAsia="Times New Roman" w:hAnsi="Calibri" w:cs="Times New Roman"/>
      <w:lang w:eastAsia="zh-CN"/>
    </w:rPr>
  </w:style>
  <w:style w:type="character" w:styleId="EndnoteReference">
    <w:name w:val="endnote reference"/>
    <w:basedOn w:val="DefaultParagraphFont"/>
    <w:uiPriority w:val="99"/>
    <w:semiHidden/>
    <w:unhideWhenUsed/>
    <w:rsid w:val="00617038"/>
    <w:rPr>
      <w:vertAlign w:val="superscript"/>
    </w:rPr>
  </w:style>
  <w:style w:type="paragraph" w:styleId="Revision">
    <w:name w:val="Revision"/>
    <w:hidden/>
    <w:uiPriority w:val="99"/>
    <w:semiHidden/>
    <w:rsid w:val="008A52A8"/>
    <w:rPr>
      <w:snapToGrid w:val="0"/>
      <w:sz w:val="24"/>
    </w:rPr>
  </w:style>
  <w:style w:type="character" w:customStyle="1" w:styleId="HeaderChar">
    <w:name w:val="Header Char"/>
    <w:basedOn w:val="DefaultParagraphFont"/>
    <w:link w:val="Header"/>
    <w:uiPriority w:val="99"/>
    <w:rsid w:val="00363BC9"/>
    <w:rPr>
      <w:snapToGrid w:val="0"/>
      <w:sz w:val="24"/>
    </w:rPr>
  </w:style>
  <w:style w:type="character" w:customStyle="1" w:styleId="FooterChar">
    <w:name w:val="Footer Char"/>
    <w:basedOn w:val="DefaultParagraphFont"/>
    <w:link w:val="Footer"/>
    <w:uiPriority w:val="99"/>
    <w:rsid w:val="00B75D56"/>
    <w:rPr>
      <w:snapToGrid w:val="0"/>
      <w:sz w:val="24"/>
    </w:rPr>
  </w:style>
</w:styles>
</file>

<file path=word/webSettings.xml><?xml version="1.0" encoding="utf-8"?>
<w:webSettings xmlns:r="http://schemas.openxmlformats.org/officeDocument/2006/relationships" xmlns:w="http://schemas.openxmlformats.org/wordprocessingml/2006/main">
  <w:divs>
    <w:div w:id="213081153">
      <w:bodyDiv w:val="1"/>
      <w:marLeft w:val="0"/>
      <w:marRight w:val="0"/>
      <w:marTop w:val="0"/>
      <w:marBottom w:val="0"/>
      <w:divBdr>
        <w:top w:val="none" w:sz="0" w:space="0" w:color="auto"/>
        <w:left w:val="none" w:sz="0" w:space="0" w:color="auto"/>
        <w:bottom w:val="none" w:sz="0" w:space="0" w:color="auto"/>
        <w:right w:val="none" w:sz="0" w:space="0" w:color="auto"/>
      </w:divBdr>
    </w:div>
    <w:div w:id="340008845">
      <w:bodyDiv w:val="1"/>
      <w:marLeft w:val="0"/>
      <w:marRight w:val="0"/>
      <w:marTop w:val="0"/>
      <w:marBottom w:val="0"/>
      <w:divBdr>
        <w:top w:val="none" w:sz="0" w:space="0" w:color="auto"/>
        <w:left w:val="none" w:sz="0" w:space="0" w:color="auto"/>
        <w:bottom w:val="none" w:sz="0" w:space="0" w:color="auto"/>
        <w:right w:val="none" w:sz="0" w:space="0" w:color="auto"/>
      </w:divBdr>
    </w:div>
    <w:div w:id="396637778">
      <w:bodyDiv w:val="1"/>
      <w:marLeft w:val="0"/>
      <w:marRight w:val="0"/>
      <w:marTop w:val="0"/>
      <w:marBottom w:val="0"/>
      <w:divBdr>
        <w:top w:val="none" w:sz="0" w:space="0" w:color="auto"/>
        <w:left w:val="none" w:sz="0" w:space="0" w:color="auto"/>
        <w:bottom w:val="none" w:sz="0" w:space="0" w:color="auto"/>
        <w:right w:val="none" w:sz="0" w:space="0" w:color="auto"/>
      </w:divBdr>
    </w:div>
    <w:div w:id="544684843">
      <w:bodyDiv w:val="1"/>
      <w:marLeft w:val="0"/>
      <w:marRight w:val="0"/>
      <w:marTop w:val="0"/>
      <w:marBottom w:val="0"/>
      <w:divBdr>
        <w:top w:val="none" w:sz="0" w:space="0" w:color="auto"/>
        <w:left w:val="none" w:sz="0" w:space="0" w:color="auto"/>
        <w:bottom w:val="none" w:sz="0" w:space="0" w:color="auto"/>
        <w:right w:val="none" w:sz="0" w:space="0" w:color="auto"/>
      </w:divBdr>
    </w:div>
    <w:div w:id="666056693">
      <w:bodyDiv w:val="1"/>
      <w:marLeft w:val="0"/>
      <w:marRight w:val="0"/>
      <w:marTop w:val="0"/>
      <w:marBottom w:val="0"/>
      <w:divBdr>
        <w:top w:val="none" w:sz="0" w:space="0" w:color="auto"/>
        <w:left w:val="none" w:sz="0" w:space="0" w:color="auto"/>
        <w:bottom w:val="none" w:sz="0" w:space="0" w:color="auto"/>
        <w:right w:val="none" w:sz="0" w:space="0" w:color="auto"/>
      </w:divBdr>
    </w:div>
    <w:div w:id="996032207">
      <w:bodyDiv w:val="1"/>
      <w:marLeft w:val="0"/>
      <w:marRight w:val="0"/>
      <w:marTop w:val="0"/>
      <w:marBottom w:val="0"/>
      <w:divBdr>
        <w:top w:val="none" w:sz="0" w:space="0" w:color="auto"/>
        <w:left w:val="none" w:sz="0" w:space="0" w:color="auto"/>
        <w:bottom w:val="none" w:sz="0" w:space="0" w:color="auto"/>
        <w:right w:val="none" w:sz="0" w:space="0" w:color="auto"/>
      </w:divBdr>
    </w:div>
    <w:div w:id="1238050024">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99618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numbering" Target="numbering.xml"/><Relationship Id="rId47" Type="http://schemas.openxmlformats.org/officeDocument/2006/relationships/endnotes" Target="endnotes.xml"/><Relationship Id="rId50"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settings" Target="settings.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styles" Target="styles.xml"/><Relationship Id="rId48"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soc/" TargetMode="External"/><Relationship Id="rId1" Type="http://schemas.openxmlformats.org/officeDocument/2006/relationships/hyperlink" Target="http://www.bls.gov/news.release/ocwage.nr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RSMA\Microsoft%20Office\Templates\FRB\rs_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246EF-2F82-4219-A458-3EEE593B7F9E}">
  <ds:schemaRefs>
    <ds:schemaRef ds:uri="http://schemas.openxmlformats.org/officeDocument/2006/bibliography"/>
  </ds:schemaRefs>
</ds:datastoreItem>
</file>

<file path=customXml/itemProps10.xml><?xml version="1.0" encoding="utf-8"?>
<ds:datastoreItem xmlns:ds="http://schemas.openxmlformats.org/officeDocument/2006/customXml" ds:itemID="{8B021E47-07F0-4C15-B260-168B55FAEFEA}">
  <ds:schemaRefs>
    <ds:schemaRef ds:uri="http://schemas.openxmlformats.org/officeDocument/2006/bibliography"/>
  </ds:schemaRefs>
</ds:datastoreItem>
</file>

<file path=customXml/itemProps11.xml><?xml version="1.0" encoding="utf-8"?>
<ds:datastoreItem xmlns:ds="http://schemas.openxmlformats.org/officeDocument/2006/customXml" ds:itemID="{E54B290E-F01C-4798-8F49-E5546DEBF5F8}">
  <ds:schemaRefs>
    <ds:schemaRef ds:uri="http://schemas.openxmlformats.org/officeDocument/2006/bibliography"/>
  </ds:schemaRefs>
</ds:datastoreItem>
</file>

<file path=customXml/itemProps12.xml><?xml version="1.0" encoding="utf-8"?>
<ds:datastoreItem xmlns:ds="http://schemas.openxmlformats.org/officeDocument/2006/customXml" ds:itemID="{E88B6EFC-74F2-405C-9688-EEC92BE85B68}">
  <ds:schemaRefs>
    <ds:schemaRef ds:uri="http://schemas.openxmlformats.org/officeDocument/2006/bibliography"/>
  </ds:schemaRefs>
</ds:datastoreItem>
</file>

<file path=customXml/itemProps13.xml><?xml version="1.0" encoding="utf-8"?>
<ds:datastoreItem xmlns:ds="http://schemas.openxmlformats.org/officeDocument/2006/customXml" ds:itemID="{CEB1D99B-A071-4B44-BC4E-A475B83D2279}">
  <ds:schemaRefs>
    <ds:schemaRef ds:uri="http://schemas.openxmlformats.org/officeDocument/2006/bibliography"/>
  </ds:schemaRefs>
</ds:datastoreItem>
</file>

<file path=customXml/itemProps14.xml><?xml version="1.0" encoding="utf-8"?>
<ds:datastoreItem xmlns:ds="http://schemas.openxmlformats.org/officeDocument/2006/customXml" ds:itemID="{1C5F110C-0290-4423-B2CB-664A0821625C}">
  <ds:schemaRefs>
    <ds:schemaRef ds:uri="http://schemas.openxmlformats.org/officeDocument/2006/bibliography"/>
  </ds:schemaRefs>
</ds:datastoreItem>
</file>

<file path=customXml/itemProps15.xml><?xml version="1.0" encoding="utf-8"?>
<ds:datastoreItem xmlns:ds="http://schemas.openxmlformats.org/officeDocument/2006/customXml" ds:itemID="{0C8FA9AC-5E3F-4A4C-A5CD-7545BD21AA1D}">
  <ds:schemaRefs>
    <ds:schemaRef ds:uri="http://schemas.openxmlformats.org/officeDocument/2006/bibliography"/>
  </ds:schemaRefs>
</ds:datastoreItem>
</file>

<file path=customXml/itemProps16.xml><?xml version="1.0" encoding="utf-8"?>
<ds:datastoreItem xmlns:ds="http://schemas.openxmlformats.org/officeDocument/2006/customXml" ds:itemID="{73B868E2-2BD0-481E-AE2F-38810ACF2545}">
  <ds:schemaRefs>
    <ds:schemaRef ds:uri="http://schemas.openxmlformats.org/officeDocument/2006/bibliography"/>
  </ds:schemaRefs>
</ds:datastoreItem>
</file>

<file path=customXml/itemProps17.xml><?xml version="1.0" encoding="utf-8"?>
<ds:datastoreItem xmlns:ds="http://schemas.openxmlformats.org/officeDocument/2006/customXml" ds:itemID="{46C3EABC-2E1A-48E1-87E9-14F1B9A37AC3}">
  <ds:schemaRefs>
    <ds:schemaRef ds:uri="http://schemas.openxmlformats.org/officeDocument/2006/bibliography"/>
  </ds:schemaRefs>
</ds:datastoreItem>
</file>

<file path=customXml/itemProps18.xml><?xml version="1.0" encoding="utf-8"?>
<ds:datastoreItem xmlns:ds="http://schemas.openxmlformats.org/officeDocument/2006/customXml" ds:itemID="{CB4991A0-8082-4B59-95B6-A717AC18322A}">
  <ds:schemaRefs>
    <ds:schemaRef ds:uri="http://schemas.openxmlformats.org/officeDocument/2006/bibliography"/>
  </ds:schemaRefs>
</ds:datastoreItem>
</file>

<file path=customXml/itemProps19.xml><?xml version="1.0" encoding="utf-8"?>
<ds:datastoreItem xmlns:ds="http://schemas.openxmlformats.org/officeDocument/2006/customXml" ds:itemID="{9F918B23-CFEB-4459-B4FD-92D2CEE9CF6D}">
  <ds:schemaRefs>
    <ds:schemaRef ds:uri="http://schemas.openxmlformats.org/officeDocument/2006/bibliography"/>
  </ds:schemaRefs>
</ds:datastoreItem>
</file>

<file path=customXml/itemProps2.xml><?xml version="1.0" encoding="utf-8"?>
<ds:datastoreItem xmlns:ds="http://schemas.openxmlformats.org/officeDocument/2006/customXml" ds:itemID="{D75773B7-F897-4384-BF26-3BCC2ED749E8}">
  <ds:schemaRefs>
    <ds:schemaRef ds:uri="http://schemas.openxmlformats.org/officeDocument/2006/bibliography"/>
  </ds:schemaRefs>
</ds:datastoreItem>
</file>

<file path=customXml/itemProps20.xml><?xml version="1.0" encoding="utf-8"?>
<ds:datastoreItem xmlns:ds="http://schemas.openxmlformats.org/officeDocument/2006/customXml" ds:itemID="{CB7FF144-288E-4FA5-9384-37DDDBFDE6B9}">
  <ds:schemaRefs>
    <ds:schemaRef ds:uri="http://schemas.openxmlformats.org/officeDocument/2006/bibliography"/>
  </ds:schemaRefs>
</ds:datastoreItem>
</file>

<file path=customXml/itemProps21.xml><?xml version="1.0" encoding="utf-8"?>
<ds:datastoreItem xmlns:ds="http://schemas.openxmlformats.org/officeDocument/2006/customXml" ds:itemID="{7D0C7439-8A69-482C-B4D1-AE90034811C0}">
  <ds:schemaRefs>
    <ds:schemaRef ds:uri="http://schemas.openxmlformats.org/officeDocument/2006/bibliography"/>
  </ds:schemaRefs>
</ds:datastoreItem>
</file>

<file path=customXml/itemProps22.xml><?xml version="1.0" encoding="utf-8"?>
<ds:datastoreItem xmlns:ds="http://schemas.openxmlformats.org/officeDocument/2006/customXml" ds:itemID="{F2A184BC-D65E-478B-B795-4D1033F5DBBE}">
  <ds:schemaRefs>
    <ds:schemaRef ds:uri="http://schemas.openxmlformats.org/officeDocument/2006/bibliography"/>
  </ds:schemaRefs>
</ds:datastoreItem>
</file>

<file path=customXml/itemProps23.xml><?xml version="1.0" encoding="utf-8"?>
<ds:datastoreItem xmlns:ds="http://schemas.openxmlformats.org/officeDocument/2006/customXml" ds:itemID="{A47302F9-EE6D-4F08-9928-80BD4F1ACFD5}">
  <ds:schemaRefs>
    <ds:schemaRef ds:uri="http://schemas.openxmlformats.org/officeDocument/2006/bibliography"/>
  </ds:schemaRefs>
</ds:datastoreItem>
</file>

<file path=customXml/itemProps24.xml><?xml version="1.0" encoding="utf-8"?>
<ds:datastoreItem xmlns:ds="http://schemas.openxmlformats.org/officeDocument/2006/customXml" ds:itemID="{F0D7A0D6-920B-4DD0-8920-229A6A20A692}">
  <ds:schemaRefs>
    <ds:schemaRef ds:uri="http://schemas.openxmlformats.org/officeDocument/2006/bibliography"/>
  </ds:schemaRefs>
</ds:datastoreItem>
</file>

<file path=customXml/itemProps25.xml><?xml version="1.0" encoding="utf-8"?>
<ds:datastoreItem xmlns:ds="http://schemas.openxmlformats.org/officeDocument/2006/customXml" ds:itemID="{CD49CDDA-7B82-4744-8C4F-43EC43D6BB6E}">
  <ds:schemaRefs>
    <ds:schemaRef ds:uri="http://schemas.openxmlformats.org/officeDocument/2006/bibliography"/>
  </ds:schemaRefs>
</ds:datastoreItem>
</file>

<file path=customXml/itemProps26.xml><?xml version="1.0" encoding="utf-8"?>
<ds:datastoreItem xmlns:ds="http://schemas.openxmlformats.org/officeDocument/2006/customXml" ds:itemID="{025E1384-A891-405E-91C9-082FE273502D}">
  <ds:schemaRefs>
    <ds:schemaRef ds:uri="http://schemas.openxmlformats.org/officeDocument/2006/bibliography"/>
  </ds:schemaRefs>
</ds:datastoreItem>
</file>

<file path=customXml/itemProps27.xml><?xml version="1.0" encoding="utf-8"?>
<ds:datastoreItem xmlns:ds="http://schemas.openxmlformats.org/officeDocument/2006/customXml" ds:itemID="{F83DD1DF-FE5B-4809-9048-33B71E9966C3}">
  <ds:schemaRefs>
    <ds:schemaRef ds:uri="http://schemas.openxmlformats.org/officeDocument/2006/bibliography"/>
  </ds:schemaRefs>
</ds:datastoreItem>
</file>

<file path=customXml/itemProps28.xml><?xml version="1.0" encoding="utf-8"?>
<ds:datastoreItem xmlns:ds="http://schemas.openxmlformats.org/officeDocument/2006/customXml" ds:itemID="{D31E89E4-303B-4170-AB68-77E22C57C252}">
  <ds:schemaRefs>
    <ds:schemaRef ds:uri="http://schemas.openxmlformats.org/officeDocument/2006/bibliography"/>
  </ds:schemaRefs>
</ds:datastoreItem>
</file>

<file path=customXml/itemProps29.xml><?xml version="1.0" encoding="utf-8"?>
<ds:datastoreItem xmlns:ds="http://schemas.openxmlformats.org/officeDocument/2006/customXml" ds:itemID="{8FCFEA74-10E0-4C0B-A327-98AB12A230C1}">
  <ds:schemaRefs>
    <ds:schemaRef ds:uri="http://schemas.openxmlformats.org/officeDocument/2006/bibliography"/>
  </ds:schemaRefs>
</ds:datastoreItem>
</file>

<file path=customXml/itemProps3.xml><?xml version="1.0" encoding="utf-8"?>
<ds:datastoreItem xmlns:ds="http://schemas.openxmlformats.org/officeDocument/2006/customXml" ds:itemID="{6806A082-3C1B-4CEB-A64F-ED877EDE046A}">
  <ds:schemaRefs>
    <ds:schemaRef ds:uri="http://schemas.openxmlformats.org/officeDocument/2006/bibliography"/>
  </ds:schemaRefs>
</ds:datastoreItem>
</file>

<file path=customXml/itemProps30.xml><?xml version="1.0" encoding="utf-8"?>
<ds:datastoreItem xmlns:ds="http://schemas.openxmlformats.org/officeDocument/2006/customXml" ds:itemID="{E4CC424E-87C2-4A07-A2D6-02D3B38203BC}">
  <ds:schemaRefs>
    <ds:schemaRef ds:uri="http://schemas.openxmlformats.org/officeDocument/2006/bibliography"/>
  </ds:schemaRefs>
</ds:datastoreItem>
</file>

<file path=customXml/itemProps31.xml><?xml version="1.0" encoding="utf-8"?>
<ds:datastoreItem xmlns:ds="http://schemas.openxmlformats.org/officeDocument/2006/customXml" ds:itemID="{92967690-4C0F-4BA5-B4DE-E463CA9E174F}">
  <ds:schemaRefs>
    <ds:schemaRef ds:uri="http://schemas.openxmlformats.org/officeDocument/2006/bibliography"/>
  </ds:schemaRefs>
</ds:datastoreItem>
</file>

<file path=customXml/itemProps32.xml><?xml version="1.0" encoding="utf-8"?>
<ds:datastoreItem xmlns:ds="http://schemas.openxmlformats.org/officeDocument/2006/customXml" ds:itemID="{7BA67D77-8B60-4A21-9EAC-9844C1692E0E}">
  <ds:schemaRefs>
    <ds:schemaRef ds:uri="http://schemas.openxmlformats.org/officeDocument/2006/bibliography"/>
  </ds:schemaRefs>
</ds:datastoreItem>
</file>

<file path=customXml/itemProps33.xml><?xml version="1.0" encoding="utf-8"?>
<ds:datastoreItem xmlns:ds="http://schemas.openxmlformats.org/officeDocument/2006/customXml" ds:itemID="{7DD6334B-661D-4FFC-83AA-141F7A733D2C}">
  <ds:schemaRefs>
    <ds:schemaRef ds:uri="http://schemas.openxmlformats.org/officeDocument/2006/bibliography"/>
  </ds:schemaRefs>
</ds:datastoreItem>
</file>

<file path=customXml/itemProps34.xml><?xml version="1.0" encoding="utf-8"?>
<ds:datastoreItem xmlns:ds="http://schemas.openxmlformats.org/officeDocument/2006/customXml" ds:itemID="{50571970-7C42-4B7E-9769-1CAFACAA5ADC}">
  <ds:schemaRefs>
    <ds:schemaRef ds:uri="http://schemas.openxmlformats.org/officeDocument/2006/bibliography"/>
  </ds:schemaRefs>
</ds:datastoreItem>
</file>

<file path=customXml/itemProps35.xml><?xml version="1.0" encoding="utf-8"?>
<ds:datastoreItem xmlns:ds="http://schemas.openxmlformats.org/officeDocument/2006/customXml" ds:itemID="{5AB74F35-5E2B-4272-BD84-50EFB984D0D9}">
  <ds:schemaRefs>
    <ds:schemaRef ds:uri="http://schemas.openxmlformats.org/officeDocument/2006/bibliography"/>
  </ds:schemaRefs>
</ds:datastoreItem>
</file>

<file path=customXml/itemProps36.xml><?xml version="1.0" encoding="utf-8"?>
<ds:datastoreItem xmlns:ds="http://schemas.openxmlformats.org/officeDocument/2006/customXml" ds:itemID="{5D8401A5-5BA8-46D8-9267-DB8DD3F37C53}">
  <ds:schemaRefs>
    <ds:schemaRef ds:uri="http://schemas.openxmlformats.org/officeDocument/2006/bibliography"/>
  </ds:schemaRefs>
</ds:datastoreItem>
</file>

<file path=customXml/itemProps37.xml><?xml version="1.0" encoding="utf-8"?>
<ds:datastoreItem xmlns:ds="http://schemas.openxmlformats.org/officeDocument/2006/customXml" ds:itemID="{EA37785F-651C-46EF-B68F-0CC8A71FFB02}">
  <ds:schemaRefs>
    <ds:schemaRef ds:uri="http://schemas.openxmlformats.org/officeDocument/2006/bibliography"/>
  </ds:schemaRefs>
</ds:datastoreItem>
</file>

<file path=customXml/itemProps38.xml><?xml version="1.0" encoding="utf-8"?>
<ds:datastoreItem xmlns:ds="http://schemas.openxmlformats.org/officeDocument/2006/customXml" ds:itemID="{4B17C7C2-1AF1-4196-8AC2-A860EB38401A}">
  <ds:schemaRefs>
    <ds:schemaRef ds:uri="http://schemas.openxmlformats.org/officeDocument/2006/bibliography"/>
  </ds:schemaRefs>
</ds:datastoreItem>
</file>

<file path=customXml/itemProps39.xml><?xml version="1.0" encoding="utf-8"?>
<ds:datastoreItem xmlns:ds="http://schemas.openxmlformats.org/officeDocument/2006/customXml" ds:itemID="{1B157818-C0F1-4DC9-814D-42C31BA24E3D}">
  <ds:schemaRefs>
    <ds:schemaRef ds:uri="http://schemas.openxmlformats.org/officeDocument/2006/bibliography"/>
  </ds:schemaRefs>
</ds:datastoreItem>
</file>

<file path=customXml/itemProps4.xml><?xml version="1.0" encoding="utf-8"?>
<ds:datastoreItem xmlns:ds="http://schemas.openxmlformats.org/officeDocument/2006/customXml" ds:itemID="{CF628A35-F6EB-495C-872A-C9C85C870F32}">
  <ds:schemaRefs>
    <ds:schemaRef ds:uri="http://schemas.openxmlformats.org/officeDocument/2006/bibliography"/>
  </ds:schemaRefs>
</ds:datastoreItem>
</file>

<file path=customXml/itemProps40.xml><?xml version="1.0" encoding="utf-8"?>
<ds:datastoreItem xmlns:ds="http://schemas.openxmlformats.org/officeDocument/2006/customXml" ds:itemID="{C35137F2-F894-4E56-BC84-901B81C69F13}">
  <ds:schemaRefs>
    <ds:schemaRef ds:uri="http://schemas.openxmlformats.org/officeDocument/2006/bibliography"/>
  </ds:schemaRefs>
</ds:datastoreItem>
</file>

<file path=customXml/itemProps41.xml><?xml version="1.0" encoding="utf-8"?>
<ds:datastoreItem xmlns:ds="http://schemas.openxmlformats.org/officeDocument/2006/customXml" ds:itemID="{8AC3BF1B-743A-4DA5-A1C3-F31ECDDF821F}">
  <ds:schemaRefs>
    <ds:schemaRef ds:uri="http://schemas.openxmlformats.org/officeDocument/2006/bibliography"/>
  </ds:schemaRefs>
</ds:datastoreItem>
</file>

<file path=customXml/itemProps5.xml><?xml version="1.0" encoding="utf-8"?>
<ds:datastoreItem xmlns:ds="http://schemas.openxmlformats.org/officeDocument/2006/customXml" ds:itemID="{106A66B6-0CF1-4171-B6AC-203B86F3EC7E}">
  <ds:schemaRefs>
    <ds:schemaRef ds:uri="http://schemas.openxmlformats.org/officeDocument/2006/bibliography"/>
  </ds:schemaRefs>
</ds:datastoreItem>
</file>

<file path=customXml/itemProps6.xml><?xml version="1.0" encoding="utf-8"?>
<ds:datastoreItem xmlns:ds="http://schemas.openxmlformats.org/officeDocument/2006/customXml" ds:itemID="{0B269258-71A4-4CB6-906F-576AB237244F}">
  <ds:schemaRefs>
    <ds:schemaRef ds:uri="http://schemas.openxmlformats.org/officeDocument/2006/bibliography"/>
  </ds:schemaRefs>
</ds:datastoreItem>
</file>

<file path=customXml/itemProps7.xml><?xml version="1.0" encoding="utf-8"?>
<ds:datastoreItem xmlns:ds="http://schemas.openxmlformats.org/officeDocument/2006/customXml" ds:itemID="{5AA6FB4B-99B4-4334-B3F4-267565696FDC}">
  <ds:schemaRefs>
    <ds:schemaRef ds:uri="http://schemas.openxmlformats.org/officeDocument/2006/bibliography"/>
  </ds:schemaRefs>
</ds:datastoreItem>
</file>

<file path=customXml/itemProps8.xml><?xml version="1.0" encoding="utf-8"?>
<ds:datastoreItem xmlns:ds="http://schemas.openxmlformats.org/officeDocument/2006/customXml" ds:itemID="{1D4C1168-4C92-4229-994C-39C961992C66}">
  <ds:schemaRefs>
    <ds:schemaRef ds:uri="http://schemas.openxmlformats.org/officeDocument/2006/bibliography"/>
  </ds:schemaRefs>
</ds:datastoreItem>
</file>

<file path=customXml/itemProps9.xml><?xml version="1.0" encoding="utf-8"?>
<ds:datastoreItem xmlns:ds="http://schemas.openxmlformats.org/officeDocument/2006/customXml" ds:itemID="{B38A0598-DE58-4C18-BB7A-3CA57B4E0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rs_memo.dot</Template>
  <TotalTime>129</TotalTime>
  <Pages>9</Pages>
  <Words>3399</Words>
  <Characters>18770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22125</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m1mmm00</dc:creator>
  <cp:keywords/>
  <dc:description/>
  <cp:lastModifiedBy>m1nsp00</cp:lastModifiedBy>
  <cp:revision>8</cp:revision>
  <cp:lastPrinted>2010-12-29T19:09:00Z</cp:lastPrinted>
  <dcterms:created xsi:type="dcterms:W3CDTF">2010-12-29T14:58:00Z</dcterms:created>
  <dcterms:modified xsi:type="dcterms:W3CDTF">2010-12-29T20:26:00Z</dcterms:modified>
</cp:coreProperties>
</file>