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956" w:rsidRDefault="00CD0956" w:rsidP="0042721C">
      <w:pPr>
        <w:pStyle w:val="TxBrc1"/>
        <w:spacing w:line="240" w:lineRule="auto"/>
        <w:rPr>
          <w:b/>
          <w:sz w:val="28"/>
        </w:rPr>
      </w:pPr>
      <w:r>
        <w:rPr>
          <w:b/>
          <w:snapToGrid/>
          <w:sz w:val="28"/>
        </w:rPr>
        <w:t>Supporting Statement</w:t>
      </w:r>
      <w:r w:rsidR="0042721C">
        <w:rPr>
          <w:b/>
          <w:snapToGrid/>
          <w:sz w:val="28"/>
        </w:rPr>
        <w:t xml:space="preserve"> F</w:t>
      </w:r>
      <w:r>
        <w:rPr>
          <w:b/>
          <w:sz w:val="28"/>
        </w:rPr>
        <w:t>or</w:t>
      </w:r>
    </w:p>
    <w:p w:rsidR="0042721C" w:rsidRDefault="006F68F6">
      <w:pPr>
        <w:pStyle w:val="Heading8"/>
        <w:rPr>
          <w:rFonts w:ascii="Times New Roman" w:hAnsi="Times New Roman"/>
        </w:rPr>
      </w:pPr>
      <w:r>
        <w:rPr>
          <w:rFonts w:ascii="Times New Roman" w:hAnsi="Times New Roman"/>
        </w:rPr>
        <w:t>Port Stakeholder Interface For</w:t>
      </w:r>
      <w:r w:rsidR="0042721C">
        <w:rPr>
          <w:rFonts w:ascii="Times New Roman" w:hAnsi="Times New Roman"/>
        </w:rPr>
        <w:t>m</w:t>
      </w:r>
    </w:p>
    <w:p w:rsidR="00CD0956" w:rsidRPr="00F8109D" w:rsidRDefault="0042721C">
      <w:pPr>
        <w:pStyle w:val="Heading8"/>
        <w:rPr>
          <w:rFonts w:ascii="Times New Roman" w:hAnsi="Times New Roman"/>
          <w:b w:val="0"/>
        </w:rPr>
      </w:pPr>
      <w:r w:rsidRPr="00F8109D">
        <w:rPr>
          <w:rFonts w:ascii="Times New Roman" w:hAnsi="Times New Roman"/>
          <w:b w:val="0"/>
        </w:rPr>
        <w:t>OMB Control No.: 1625-New</w:t>
      </w:r>
    </w:p>
    <w:p w:rsidR="0042721C" w:rsidRPr="0042721C" w:rsidRDefault="00F8109D" w:rsidP="0042721C">
      <w:pPr>
        <w:jc w:val="center"/>
        <w:rPr>
          <w:sz w:val="32"/>
          <w:szCs w:val="32"/>
        </w:rPr>
      </w:pPr>
      <w:r>
        <w:rPr>
          <w:sz w:val="32"/>
          <w:szCs w:val="32"/>
        </w:rPr>
        <w:t xml:space="preserve">Collection Instrument: </w:t>
      </w:r>
      <w:r w:rsidR="003E33FD">
        <w:rPr>
          <w:sz w:val="32"/>
          <w:szCs w:val="32"/>
        </w:rPr>
        <w:t>CG-3142 (</w:t>
      </w:r>
      <w:r>
        <w:rPr>
          <w:sz w:val="32"/>
          <w:szCs w:val="32"/>
        </w:rPr>
        <w:t>Online form</w:t>
      </w:r>
      <w:r w:rsidR="003E33FD">
        <w:rPr>
          <w:sz w:val="32"/>
          <w:szCs w:val="32"/>
        </w:rPr>
        <w:t>)</w:t>
      </w:r>
    </w:p>
    <w:p w:rsidR="00CD0956" w:rsidRDefault="00CD0956">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b/>
          <w:sz w:val="24"/>
        </w:rPr>
      </w:pPr>
    </w:p>
    <w:p w:rsidR="00CD0956" w:rsidRPr="00D1044E" w:rsidRDefault="00CD0956">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b/>
          <w:sz w:val="24"/>
          <w:szCs w:val="24"/>
        </w:rPr>
      </w:pPr>
      <w:r w:rsidRPr="00D1044E">
        <w:rPr>
          <w:b/>
          <w:sz w:val="24"/>
          <w:szCs w:val="24"/>
        </w:rPr>
        <w:t>A.  Justification.</w:t>
      </w:r>
    </w:p>
    <w:p w:rsidR="00CD0956" w:rsidRPr="00D1044E" w:rsidRDefault="00CD0956">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szCs w:val="24"/>
        </w:rPr>
      </w:pPr>
    </w:p>
    <w:p w:rsidR="00CD0956" w:rsidRPr="00D1044E" w:rsidRDefault="00CD0956">
      <w:pPr>
        <w:widowControl w:val="0"/>
        <w:tabs>
          <w:tab w:val="left" w:pos="576"/>
          <w:tab w:val="left" w:pos="1440"/>
        </w:tabs>
        <w:ind w:left="570" w:hanging="570"/>
        <w:rPr>
          <w:sz w:val="24"/>
          <w:szCs w:val="24"/>
        </w:rPr>
      </w:pPr>
      <w:r w:rsidRPr="00D1044E">
        <w:rPr>
          <w:sz w:val="24"/>
          <w:szCs w:val="24"/>
        </w:rPr>
        <w:t xml:space="preserve">1)  </w:t>
      </w:r>
      <w:r w:rsidRPr="00D1044E">
        <w:rPr>
          <w:sz w:val="24"/>
          <w:szCs w:val="24"/>
          <w:u w:val="single"/>
        </w:rPr>
        <w:t>Circumstances that make the collection of information necessary</w:t>
      </w:r>
      <w:r w:rsidRPr="00D1044E">
        <w:rPr>
          <w:sz w:val="24"/>
          <w:szCs w:val="24"/>
        </w:rPr>
        <w:t>.</w:t>
      </w:r>
    </w:p>
    <w:p w:rsidR="00CD0956" w:rsidRPr="00D1044E" w:rsidRDefault="00CD0956">
      <w:pPr>
        <w:widowControl w:val="0"/>
        <w:tabs>
          <w:tab w:val="left" w:pos="576"/>
          <w:tab w:val="left" w:pos="1440"/>
        </w:tabs>
        <w:rPr>
          <w:sz w:val="24"/>
          <w:szCs w:val="24"/>
        </w:rPr>
      </w:pPr>
    </w:p>
    <w:p w:rsidR="00F37E1F" w:rsidRPr="00D1044E" w:rsidRDefault="003C089A" w:rsidP="00BE0AD6">
      <w:pPr>
        <w:ind w:left="270"/>
        <w:rPr>
          <w:sz w:val="24"/>
          <w:szCs w:val="24"/>
        </w:rPr>
      </w:pPr>
      <w:r w:rsidRPr="00D1044E">
        <w:rPr>
          <w:sz w:val="24"/>
          <w:szCs w:val="24"/>
        </w:rPr>
        <w:t xml:space="preserve">According to Public Law 109-347 Sec 202, the Secretary of </w:t>
      </w:r>
      <w:r w:rsidR="00FE112B" w:rsidRPr="00D1044E">
        <w:rPr>
          <w:sz w:val="24"/>
          <w:szCs w:val="24"/>
        </w:rPr>
        <w:t xml:space="preserve">the Department of </w:t>
      </w:r>
      <w:r w:rsidRPr="00D1044E">
        <w:rPr>
          <w:sz w:val="24"/>
          <w:szCs w:val="24"/>
        </w:rPr>
        <w:t>Homeland Security is directed to develop and update, as necessary, protocols for the resumption of trade in the event of a transportation disruption or a transportation security incident.  Additionally, Homeland Security Presidential Directive (HSPD-13)</w:t>
      </w:r>
      <w:r w:rsidR="00F37E1F" w:rsidRPr="00D1044E">
        <w:rPr>
          <w:sz w:val="24"/>
          <w:szCs w:val="24"/>
        </w:rPr>
        <w:t xml:space="preserve"> </w:t>
      </w:r>
      <w:r w:rsidR="00FE112B" w:rsidRPr="00D1044E">
        <w:rPr>
          <w:sz w:val="24"/>
          <w:szCs w:val="24"/>
        </w:rPr>
        <w:t xml:space="preserve">identified the need for a </w:t>
      </w:r>
      <w:r w:rsidR="00F37E1F" w:rsidRPr="00D1044E">
        <w:rPr>
          <w:sz w:val="24"/>
          <w:szCs w:val="24"/>
        </w:rPr>
        <w:t xml:space="preserve">Maritime Infrastructure Recovery Plan (MIRP). The MIRP is intended to protect the American economy by facilitating the restoration of passenger and cargo flow, specifically container cargo, in the event of an attack or similarly disruptive event. </w:t>
      </w:r>
    </w:p>
    <w:p w:rsidR="00F37E1F" w:rsidRPr="00D1044E" w:rsidRDefault="00F37E1F" w:rsidP="00D90E89">
      <w:pPr>
        <w:ind w:left="720"/>
        <w:rPr>
          <w:sz w:val="24"/>
          <w:szCs w:val="24"/>
        </w:rPr>
      </w:pPr>
    </w:p>
    <w:p w:rsidR="00D90E89" w:rsidRPr="00D1044E" w:rsidRDefault="00F37E1F" w:rsidP="00BE0AD6">
      <w:pPr>
        <w:ind w:left="270"/>
        <w:rPr>
          <w:sz w:val="24"/>
          <w:szCs w:val="24"/>
        </w:rPr>
      </w:pPr>
      <w:r w:rsidRPr="00D1044E">
        <w:rPr>
          <w:sz w:val="24"/>
          <w:szCs w:val="24"/>
        </w:rPr>
        <w:t>In support of these directives, the Coast Guard, in conjunction with Customs and Border Protection developed a set of protocols designed to facilitate the expeditious recover</w:t>
      </w:r>
      <w:r w:rsidR="00FE112B" w:rsidRPr="00D1044E">
        <w:rPr>
          <w:sz w:val="24"/>
          <w:szCs w:val="24"/>
        </w:rPr>
        <w:t>y</w:t>
      </w:r>
      <w:r w:rsidRPr="00D1044E">
        <w:rPr>
          <w:sz w:val="24"/>
          <w:szCs w:val="24"/>
        </w:rPr>
        <w:t xml:space="preserve"> of trade.  The protocols are predicated on a collaborative relationship with the maritime industry to assist the Coast Guard in identifying and prioritizing vessel traffic into an affected port.  </w:t>
      </w:r>
      <w:r w:rsidR="00D90E89" w:rsidRPr="00D1044E">
        <w:rPr>
          <w:sz w:val="24"/>
          <w:szCs w:val="24"/>
        </w:rPr>
        <w:t>The proces</w:t>
      </w:r>
      <w:r w:rsidRPr="00D1044E">
        <w:rPr>
          <w:sz w:val="24"/>
          <w:szCs w:val="24"/>
        </w:rPr>
        <w:t>s of</w:t>
      </w:r>
      <w:r w:rsidR="00FE112B" w:rsidRPr="00D1044E">
        <w:rPr>
          <w:sz w:val="24"/>
          <w:szCs w:val="24"/>
        </w:rPr>
        <w:t xml:space="preserve"> this coordinating </w:t>
      </w:r>
      <w:r w:rsidR="00522A0B" w:rsidRPr="00D1044E">
        <w:rPr>
          <w:sz w:val="24"/>
          <w:szCs w:val="24"/>
        </w:rPr>
        <w:t>is enhanced</w:t>
      </w:r>
      <w:r w:rsidR="00FE112B" w:rsidRPr="00D1044E">
        <w:rPr>
          <w:sz w:val="24"/>
          <w:szCs w:val="24"/>
        </w:rPr>
        <w:t xml:space="preserve"> by the inclusion</w:t>
      </w:r>
      <w:r w:rsidRPr="00D1044E">
        <w:rPr>
          <w:sz w:val="24"/>
          <w:szCs w:val="24"/>
        </w:rPr>
        <w:t xml:space="preserve"> of voluntarily submitted information from</w:t>
      </w:r>
      <w:r w:rsidR="00D90E89" w:rsidRPr="00D1044E">
        <w:rPr>
          <w:sz w:val="24"/>
          <w:szCs w:val="24"/>
        </w:rPr>
        <w:t xml:space="preserve"> port </w:t>
      </w:r>
      <w:r w:rsidRPr="00D1044E">
        <w:rPr>
          <w:sz w:val="24"/>
          <w:szCs w:val="24"/>
        </w:rPr>
        <w:t xml:space="preserve">facilities on the </w:t>
      </w:r>
      <w:r w:rsidR="008915CA" w:rsidRPr="00D1044E">
        <w:rPr>
          <w:sz w:val="24"/>
          <w:szCs w:val="24"/>
        </w:rPr>
        <w:t xml:space="preserve">critical needs of cargo </w:t>
      </w:r>
      <w:r w:rsidR="00FE112B" w:rsidRPr="00D1044E">
        <w:rPr>
          <w:sz w:val="24"/>
          <w:szCs w:val="24"/>
        </w:rPr>
        <w:t xml:space="preserve">coming </w:t>
      </w:r>
      <w:r w:rsidR="008915CA" w:rsidRPr="00D1044E">
        <w:rPr>
          <w:sz w:val="24"/>
          <w:szCs w:val="24"/>
        </w:rPr>
        <w:t>into the port.</w:t>
      </w:r>
    </w:p>
    <w:p w:rsidR="00F37E1F" w:rsidRPr="00D1044E" w:rsidRDefault="00F37E1F" w:rsidP="00D90E89">
      <w:pPr>
        <w:ind w:left="720"/>
        <w:rPr>
          <w:sz w:val="24"/>
          <w:szCs w:val="24"/>
        </w:rPr>
      </w:pPr>
    </w:p>
    <w:p w:rsidR="00D90E89" w:rsidRPr="00D1044E" w:rsidRDefault="008915CA" w:rsidP="00BE0AD6">
      <w:pPr>
        <w:ind w:left="270"/>
        <w:rPr>
          <w:sz w:val="24"/>
          <w:szCs w:val="24"/>
        </w:rPr>
      </w:pPr>
      <w:r w:rsidRPr="00D1044E">
        <w:rPr>
          <w:sz w:val="24"/>
          <w:szCs w:val="24"/>
        </w:rPr>
        <w:t>T</w:t>
      </w:r>
      <w:r w:rsidR="00D90E89" w:rsidRPr="00D1044E">
        <w:rPr>
          <w:sz w:val="24"/>
          <w:szCs w:val="24"/>
        </w:rPr>
        <w:t xml:space="preserve">he Port Stakeholder Interface Form is needed to facilitate the reception of </w:t>
      </w:r>
      <w:r w:rsidRPr="00D1044E">
        <w:rPr>
          <w:sz w:val="24"/>
          <w:szCs w:val="24"/>
        </w:rPr>
        <w:t>port facility information</w:t>
      </w:r>
      <w:r w:rsidR="00D90E89" w:rsidRPr="00D1044E">
        <w:rPr>
          <w:sz w:val="24"/>
          <w:szCs w:val="24"/>
        </w:rPr>
        <w:t xml:space="preserve"> regarding shipping and facility concerns.</w:t>
      </w:r>
    </w:p>
    <w:p w:rsidR="00CD0956" w:rsidRPr="00D1044E" w:rsidRDefault="00CD0956">
      <w:pPr>
        <w:widowControl w:val="0"/>
        <w:tabs>
          <w:tab w:val="left" w:pos="585"/>
          <w:tab w:val="left" w:pos="1440"/>
        </w:tabs>
        <w:rPr>
          <w:sz w:val="24"/>
          <w:szCs w:val="24"/>
        </w:rPr>
      </w:pPr>
    </w:p>
    <w:p w:rsidR="00CD0956" w:rsidRPr="00D1044E" w:rsidRDefault="00CD0956">
      <w:pPr>
        <w:widowControl w:val="0"/>
        <w:tabs>
          <w:tab w:val="left" w:pos="576"/>
          <w:tab w:val="left" w:pos="1440"/>
        </w:tabs>
        <w:ind w:left="540" w:hanging="540"/>
        <w:rPr>
          <w:sz w:val="24"/>
          <w:szCs w:val="24"/>
        </w:rPr>
      </w:pPr>
      <w:r w:rsidRPr="00D1044E">
        <w:rPr>
          <w:sz w:val="24"/>
          <w:szCs w:val="24"/>
        </w:rPr>
        <w:t xml:space="preserve">2)  </w:t>
      </w:r>
      <w:r w:rsidRPr="00D1044E">
        <w:rPr>
          <w:sz w:val="24"/>
          <w:szCs w:val="24"/>
          <w:u w:val="single"/>
        </w:rPr>
        <w:t>By whom, how, and for what purpose the information is to be used</w:t>
      </w:r>
      <w:r w:rsidRPr="00D1044E">
        <w:rPr>
          <w:sz w:val="24"/>
          <w:szCs w:val="24"/>
        </w:rPr>
        <w:t>.</w:t>
      </w:r>
    </w:p>
    <w:p w:rsidR="00CD0956" w:rsidRPr="00D1044E" w:rsidRDefault="00CD0956">
      <w:pPr>
        <w:widowControl w:val="0"/>
        <w:tabs>
          <w:tab w:val="left" w:pos="585"/>
          <w:tab w:val="left" w:pos="1440"/>
        </w:tabs>
        <w:ind w:left="585"/>
        <w:rPr>
          <w:sz w:val="24"/>
          <w:szCs w:val="24"/>
        </w:rPr>
      </w:pPr>
    </w:p>
    <w:p w:rsidR="00FE112B" w:rsidRPr="00D1044E" w:rsidRDefault="00D90E89" w:rsidP="00BE0AD6">
      <w:pPr>
        <w:ind w:left="270"/>
        <w:rPr>
          <w:sz w:val="24"/>
          <w:szCs w:val="24"/>
        </w:rPr>
      </w:pPr>
      <w:r w:rsidRPr="00D1044E">
        <w:rPr>
          <w:sz w:val="24"/>
          <w:szCs w:val="24"/>
        </w:rPr>
        <w:t>The</w:t>
      </w:r>
      <w:r w:rsidR="008915CA" w:rsidRPr="00D1044E">
        <w:rPr>
          <w:sz w:val="24"/>
          <w:szCs w:val="24"/>
        </w:rPr>
        <w:t xml:space="preserve"> information will b</w:t>
      </w:r>
      <w:r w:rsidR="00FE112B" w:rsidRPr="00D1044E">
        <w:rPr>
          <w:sz w:val="24"/>
          <w:szCs w:val="24"/>
        </w:rPr>
        <w:t>e collected by the</w:t>
      </w:r>
      <w:r w:rsidR="008915CA" w:rsidRPr="00D1044E">
        <w:rPr>
          <w:sz w:val="24"/>
          <w:szCs w:val="24"/>
        </w:rPr>
        <w:t xml:space="preserve"> Coast Guard through an online form located on the Coast Guard’s Homeport Internet Portal (</w:t>
      </w:r>
      <w:hyperlink r:id="rId8" w:history="1">
        <w:r w:rsidR="008915CA" w:rsidRPr="00D1044E">
          <w:rPr>
            <w:rStyle w:val="Hyperlink"/>
            <w:sz w:val="24"/>
            <w:szCs w:val="24"/>
          </w:rPr>
          <w:t>http://homeport.uscg.mil</w:t>
        </w:r>
      </w:hyperlink>
      <w:r w:rsidR="008915CA" w:rsidRPr="00D1044E">
        <w:rPr>
          <w:sz w:val="24"/>
          <w:szCs w:val="24"/>
        </w:rPr>
        <w:t xml:space="preserve">).  </w:t>
      </w:r>
    </w:p>
    <w:p w:rsidR="00FE112B" w:rsidRPr="00D1044E" w:rsidRDefault="00FE112B" w:rsidP="00BE0AD6">
      <w:pPr>
        <w:ind w:left="270"/>
        <w:rPr>
          <w:sz w:val="24"/>
          <w:szCs w:val="24"/>
        </w:rPr>
      </w:pPr>
    </w:p>
    <w:p w:rsidR="00FE112B" w:rsidRPr="00D1044E" w:rsidRDefault="008915CA" w:rsidP="00BE0AD6">
      <w:pPr>
        <w:ind w:left="270"/>
        <w:rPr>
          <w:sz w:val="24"/>
          <w:szCs w:val="24"/>
        </w:rPr>
      </w:pPr>
      <w:r w:rsidRPr="00D1044E">
        <w:rPr>
          <w:sz w:val="24"/>
          <w:szCs w:val="24"/>
        </w:rPr>
        <w:t>The information collected will allow the Coast Guard to understand the cargo needs of the facilities within an affected port</w:t>
      </w:r>
      <w:r w:rsidR="00267A04" w:rsidRPr="00D1044E">
        <w:rPr>
          <w:sz w:val="24"/>
          <w:szCs w:val="24"/>
        </w:rPr>
        <w:t xml:space="preserve">.  This data will help the Coast Guard prioritize a </w:t>
      </w:r>
      <w:proofErr w:type="gramStart"/>
      <w:r w:rsidR="00267A04" w:rsidRPr="00D1044E">
        <w:rPr>
          <w:sz w:val="24"/>
          <w:szCs w:val="24"/>
        </w:rPr>
        <w:t>vessel</w:t>
      </w:r>
      <w:proofErr w:type="gramEnd"/>
      <w:r w:rsidR="00267A04" w:rsidRPr="00D1044E">
        <w:rPr>
          <w:sz w:val="24"/>
          <w:szCs w:val="24"/>
        </w:rPr>
        <w:t xml:space="preserve"> queue by identifying critical cargo needs.</w:t>
      </w:r>
    </w:p>
    <w:p w:rsidR="00267A04" w:rsidRPr="00D1044E" w:rsidRDefault="00267A04" w:rsidP="00BE0AD6">
      <w:pPr>
        <w:ind w:left="270"/>
        <w:rPr>
          <w:sz w:val="24"/>
          <w:szCs w:val="24"/>
        </w:rPr>
      </w:pPr>
    </w:p>
    <w:p w:rsidR="008915CA" w:rsidRPr="00D1044E" w:rsidRDefault="008915CA" w:rsidP="00BE0AD6">
      <w:pPr>
        <w:ind w:left="270"/>
        <w:rPr>
          <w:sz w:val="24"/>
          <w:szCs w:val="24"/>
        </w:rPr>
      </w:pPr>
      <w:r w:rsidRPr="00D1044E">
        <w:rPr>
          <w:sz w:val="24"/>
          <w:szCs w:val="24"/>
        </w:rPr>
        <w:t>The information will be used to provide more fidelity in prioritizing a vessel queue into ports.</w:t>
      </w:r>
    </w:p>
    <w:p w:rsidR="00CD0956" w:rsidRPr="00D1044E" w:rsidRDefault="00CD0956">
      <w:pPr>
        <w:widowControl w:val="0"/>
        <w:tabs>
          <w:tab w:val="left" w:pos="576"/>
          <w:tab w:val="left" w:pos="1440"/>
        </w:tabs>
        <w:rPr>
          <w:sz w:val="24"/>
          <w:szCs w:val="24"/>
        </w:rPr>
      </w:pPr>
    </w:p>
    <w:p w:rsidR="00CD0956" w:rsidRPr="00D1044E" w:rsidRDefault="00CD0956">
      <w:pPr>
        <w:widowControl w:val="0"/>
        <w:tabs>
          <w:tab w:val="left" w:pos="576"/>
          <w:tab w:val="left" w:pos="1440"/>
        </w:tabs>
        <w:ind w:left="540" w:hanging="540"/>
        <w:rPr>
          <w:sz w:val="24"/>
          <w:szCs w:val="24"/>
        </w:rPr>
      </w:pPr>
      <w:r w:rsidRPr="00D1044E">
        <w:rPr>
          <w:sz w:val="24"/>
          <w:szCs w:val="24"/>
        </w:rPr>
        <w:t xml:space="preserve">3)  </w:t>
      </w:r>
      <w:r w:rsidRPr="00D1044E">
        <w:rPr>
          <w:sz w:val="24"/>
          <w:szCs w:val="24"/>
          <w:u w:val="single"/>
        </w:rPr>
        <w:t>Consideration of the use of improved information technology</w:t>
      </w:r>
      <w:r w:rsidRPr="00D1044E">
        <w:rPr>
          <w:sz w:val="24"/>
          <w:szCs w:val="24"/>
        </w:rPr>
        <w:t>.</w:t>
      </w:r>
    </w:p>
    <w:p w:rsidR="00CD0956" w:rsidRPr="00D1044E" w:rsidRDefault="00CD0956">
      <w:pPr>
        <w:widowControl w:val="0"/>
        <w:tabs>
          <w:tab w:val="left" w:pos="576"/>
          <w:tab w:val="left" w:pos="1440"/>
        </w:tabs>
        <w:rPr>
          <w:sz w:val="24"/>
          <w:szCs w:val="24"/>
        </w:rPr>
      </w:pPr>
    </w:p>
    <w:p w:rsidR="00CD0956" w:rsidRPr="00D1044E" w:rsidRDefault="00CD0956" w:rsidP="00BE0AD6">
      <w:pPr>
        <w:pStyle w:val="TxBrt1"/>
        <w:spacing w:line="240" w:lineRule="auto"/>
        <w:ind w:left="270"/>
        <w:rPr>
          <w:snapToGrid/>
          <w:szCs w:val="24"/>
        </w:rPr>
      </w:pPr>
      <w:r w:rsidRPr="00D1044E">
        <w:rPr>
          <w:snapToGrid/>
          <w:szCs w:val="24"/>
        </w:rPr>
        <w:t xml:space="preserve">We estimate that </w:t>
      </w:r>
      <w:r w:rsidR="00416099" w:rsidRPr="00D1044E">
        <w:rPr>
          <w:snapToGrid/>
          <w:szCs w:val="24"/>
        </w:rPr>
        <w:t>100%</w:t>
      </w:r>
      <w:r w:rsidRPr="00D1044E">
        <w:rPr>
          <w:snapToGrid/>
          <w:szCs w:val="24"/>
        </w:rPr>
        <w:t xml:space="preserve"> of the reporting and recordkeeping requirements can </w:t>
      </w:r>
      <w:r w:rsidR="00735C19" w:rsidRPr="00D1044E">
        <w:rPr>
          <w:snapToGrid/>
          <w:szCs w:val="24"/>
        </w:rPr>
        <w:t xml:space="preserve">be </w:t>
      </w:r>
      <w:r w:rsidR="008915CA" w:rsidRPr="00D1044E">
        <w:rPr>
          <w:snapToGrid/>
          <w:szCs w:val="24"/>
        </w:rPr>
        <w:t>done electronically.  100</w:t>
      </w:r>
      <w:r w:rsidRPr="00D1044E">
        <w:rPr>
          <w:snapToGrid/>
          <w:szCs w:val="24"/>
        </w:rPr>
        <w:t xml:space="preserve">% of the responses </w:t>
      </w:r>
      <w:r w:rsidR="00D90E89" w:rsidRPr="00D1044E">
        <w:rPr>
          <w:snapToGrid/>
          <w:szCs w:val="24"/>
        </w:rPr>
        <w:t>will be</w:t>
      </w:r>
      <w:r w:rsidRPr="00D1044E">
        <w:rPr>
          <w:snapToGrid/>
          <w:szCs w:val="24"/>
        </w:rPr>
        <w:t xml:space="preserve"> collected electronically.</w:t>
      </w:r>
    </w:p>
    <w:p w:rsidR="00CD0956" w:rsidRPr="00D1044E" w:rsidRDefault="00CD0956">
      <w:pPr>
        <w:widowControl w:val="0"/>
        <w:tabs>
          <w:tab w:val="left" w:pos="576"/>
          <w:tab w:val="left" w:pos="1440"/>
        </w:tabs>
        <w:rPr>
          <w:sz w:val="24"/>
          <w:szCs w:val="24"/>
        </w:rPr>
      </w:pPr>
    </w:p>
    <w:p w:rsidR="00FE112B" w:rsidRPr="00D1044E" w:rsidRDefault="00FE112B">
      <w:pPr>
        <w:widowControl w:val="0"/>
        <w:tabs>
          <w:tab w:val="left" w:pos="576"/>
          <w:tab w:val="left" w:pos="1440"/>
        </w:tabs>
        <w:rPr>
          <w:sz w:val="24"/>
          <w:szCs w:val="24"/>
        </w:rPr>
      </w:pPr>
    </w:p>
    <w:p w:rsidR="00CD0956" w:rsidRPr="00D1044E" w:rsidRDefault="00CD0956">
      <w:pPr>
        <w:widowControl w:val="0"/>
        <w:tabs>
          <w:tab w:val="left" w:pos="576"/>
          <w:tab w:val="left" w:pos="1440"/>
        </w:tabs>
        <w:ind w:left="570" w:hanging="570"/>
        <w:rPr>
          <w:sz w:val="24"/>
          <w:szCs w:val="24"/>
        </w:rPr>
      </w:pPr>
      <w:r w:rsidRPr="00D1044E">
        <w:rPr>
          <w:sz w:val="24"/>
          <w:szCs w:val="24"/>
        </w:rPr>
        <w:t xml:space="preserve">4)  </w:t>
      </w:r>
      <w:r w:rsidRPr="00D1044E">
        <w:rPr>
          <w:sz w:val="24"/>
          <w:szCs w:val="24"/>
          <w:u w:val="single"/>
        </w:rPr>
        <w:t>Efforts to identify duplication.  Why similar information cannot be used</w:t>
      </w:r>
      <w:r w:rsidRPr="00D1044E">
        <w:rPr>
          <w:sz w:val="24"/>
          <w:szCs w:val="24"/>
        </w:rPr>
        <w:t>.</w:t>
      </w:r>
    </w:p>
    <w:p w:rsidR="00CD0956" w:rsidRPr="00D1044E" w:rsidRDefault="00CD0956">
      <w:pPr>
        <w:widowControl w:val="0"/>
        <w:tabs>
          <w:tab w:val="left" w:pos="576"/>
          <w:tab w:val="left" w:pos="1440"/>
        </w:tabs>
        <w:rPr>
          <w:sz w:val="24"/>
          <w:szCs w:val="24"/>
        </w:rPr>
      </w:pPr>
    </w:p>
    <w:p w:rsidR="00741CC5" w:rsidRPr="00D1044E" w:rsidRDefault="00741CC5" w:rsidP="00BE0AD6">
      <w:pPr>
        <w:ind w:left="270"/>
        <w:rPr>
          <w:sz w:val="24"/>
          <w:szCs w:val="24"/>
        </w:rPr>
      </w:pPr>
      <w:r w:rsidRPr="00D1044E">
        <w:rPr>
          <w:sz w:val="24"/>
          <w:szCs w:val="24"/>
        </w:rPr>
        <w:t>There is no State or local agency that provides this service to the port sta</w:t>
      </w:r>
      <w:r w:rsidR="00522A0B" w:rsidRPr="00D1044E">
        <w:rPr>
          <w:sz w:val="24"/>
          <w:szCs w:val="24"/>
        </w:rPr>
        <w:t>keholder.  The Coast Guard</w:t>
      </w:r>
      <w:r w:rsidRPr="00D1044E">
        <w:rPr>
          <w:sz w:val="24"/>
          <w:szCs w:val="24"/>
        </w:rPr>
        <w:t xml:space="preserve"> </w:t>
      </w:r>
      <w:r w:rsidR="00522A0B" w:rsidRPr="00D1044E">
        <w:rPr>
          <w:sz w:val="24"/>
          <w:szCs w:val="24"/>
        </w:rPr>
        <w:t xml:space="preserve">oversees </w:t>
      </w:r>
      <w:r w:rsidRPr="00D1044E">
        <w:rPr>
          <w:sz w:val="24"/>
          <w:szCs w:val="24"/>
        </w:rPr>
        <w:t>the method by which all port collaboration is conducted in support of Incident and Unified Command goals with regard to M</w:t>
      </w:r>
      <w:r w:rsidR="00522A0B" w:rsidRPr="00D1044E">
        <w:rPr>
          <w:sz w:val="24"/>
          <w:szCs w:val="24"/>
        </w:rPr>
        <w:t xml:space="preserve">arine </w:t>
      </w:r>
      <w:r w:rsidRPr="00D1044E">
        <w:rPr>
          <w:sz w:val="24"/>
          <w:szCs w:val="24"/>
        </w:rPr>
        <w:t>T</w:t>
      </w:r>
      <w:r w:rsidR="00522A0B" w:rsidRPr="00D1044E">
        <w:rPr>
          <w:sz w:val="24"/>
          <w:szCs w:val="24"/>
        </w:rPr>
        <w:t xml:space="preserve">ransportation </w:t>
      </w:r>
      <w:r w:rsidRPr="00D1044E">
        <w:rPr>
          <w:sz w:val="24"/>
          <w:szCs w:val="24"/>
        </w:rPr>
        <w:t>S</w:t>
      </w:r>
      <w:r w:rsidR="00522A0B" w:rsidRPr="00D1044E">
        <w:rPr>
          <w:sz w:val="24"/>
          <w:szCs w:val="24"/>
        </w:rPr>
        <w:t>ystem</w:t>
      </w:r>
      <w:r w:rsidRPr="00D1044E">
        <w:rPr>
          <w:sz w:val="24"/>
          <w:szCs w:val="24"/>
        </w:rPr>
        <w:t xml:space="preserve"> facilitation.</w:t>
      </w:r>
      <w:r w:rsidR="00D1044E" w:rsidRPr="00D1044E">
        <w:rPr>
          <w:sz w:val="24"/>
          <w:szCs w:val="24"/>
        </w:rPr>
        <w:t xml:space="preserve">  This information is not collected in any form, and therefore is not duplicated elsewhere</w:t>
      </w:r>
    </w:p>
    <w:p w:rsidR="00CD0956" w:rsidRPr="00D1044E" w:rsidRDefault="00CD0956">
      <w:pPr>
        <w:widowControl w:val="0"/>
        <w:tabs>
          <w:tab w:val="left" w:pos="576"/>
          <w:tab w:val="left" w:pos="1440"/>
        </w:tabs>
        <w:rPr>
          <w:sz w:val="24"/>
          <w:szCs w:val="24"/>
        </w:rPr>
      </w:pPr>
    </w:p>
    <w:p w:rsidR="00CD0956" w:rsidRPr="00D1044E" w:rsidRDefault="00CD0956">
      <w:pPr>
        <w:widowControl w:val="0"/>
        <w:tabs>
          <w:tab w:val="left" w:pos="570"/>
          <w:tab w:val="left" w:pos="1440"/>
        </w:tabs>
        <w:rPr>
          <w:sz w:val="24"/>
          <w:szCs w:val="24"/>
        </w:rPr>
      </w:pPr>
      <w:r w:rsidRPr="00D1044E">
        <w:rPr>
          <w:sz w:val="24"/>
          <w:szCs w:val="24"/>
        </w:rPr>
        <w:t xml:space="preserve">5)  </w:t>
      </w:r>
      <w:r w:rsidRPr="00D1044E">
        <w:rPr>
          <w:sz w:val="24"/>
          <w:szCs w:val="24"/>
          <w:u w:val="single"/>
        </w:rPr>
        <w:t>Methods to minimize the burden to small businesses if involved</w:t>
      </w:r>
      <w:r w:rsidRPr="00D1044E">
        <w:rPr>
          <w:sz w:val="24"/>
          <w:szCs w:val="24"/>
        </w:rPr>
        <w:t>.</w:t>
      </w:r>
    </w:p>
    <w:p w:rsidR="00CD0956" w:rsidRPr="00D1044E" w:rsidRDefault="00CD0956">
      <w:pPr>
        <w:widowControl w:val="0"/>
        <w:tabs>
          <w:tab w:val="left" w:pos="576"/>
          <w:tab w:val="left" w:pos="1440"/>
        </w:tabs>
        <w:rPr>
          <w:sz w:val="24"/>
          <w:szCs w:val="24"/>
        </w:rPr>
      </w:pPr>
    </w:p>
    <w:p w:rsidR="00741CC5" w:rsidRPr="00D1044E" w:rsidRDefault="00741CC5" w:rsidP="00BE0AD6">
      <w:pPr>
        <w:ind w:left="270"/>
        <w:rPr>
          <w:sz w:val="24"/>
          <w:szCs w:val="24"/>
        </w:rPr>
      </w:pPr>
      <w:r w:rsidRPr="00D1044E">
        <w:rPr>
          <w:sz w:val="24"/>
          <w:szCs w:val="24"/>
        </w:rPr>
        <w:t>The process of submitting and collection of this information reduces the burden on all involved by centralizing the data input and transfer by the creation of the web-based format.</w:t>
      </w:r>
    </w:p>
    <w:p w:rsidR="008915CA" w:rsidRPr="00D1044E" w:rsidRDefault="008915CA" w:rsidP="008915CA">
      <w:pPr>
        <w:rPr>
          <w:sz w:val="24"/>
          <w:szCs w:val="24"/>
        </w:rPr>
      </w:pPr>
    </w:p>
    <w:p w:rsidR="00CD0956" w:rsidRPr="00D1044E" w:rsidRDefault="00CD0956" w:rsidP="008915CA">
      <w:pPr>
        <w:rPr>
          <w:sz w:val="24"/>
          <w:szCs w:val="24"/>
        </w:rPr>
      </w:pPr>
      <w:r w:rsidRPr="00D1044E">
        <w:rPr>
          <w:sz w:val="24"/>
          <w:szCs w:val="24"/>
        </w:rPr>
        <w:t xml:space="preserve">6)  </w:t>
      </w:r>
      <w:r w:rsidRPr="00D1044E">
        <w:rPr>
          <w:sz w:val="24"/>
          <w:szCs w:val="24"/>
          <w:u w:val="single"/>
        </w:rPr>
        <w:t>Consequences to the Federal program if collection were conducted less frequently</w:t>
      </w:r>
      <w:r w:rsidRPr="00D1044E">
        <w:rPr>
          <w:sz w:val="24"/>
          <w:szCs w:val="24"/>
        </w:rPr>
        <w:t>.</w:t>
      </w:r>
    </w:p>
    <w:p w:rsidR="00CD0956" w:rsidRPr="00D1044E" w:rsidRDefault="00CD0956">
      <w:pPr>
        <w:widowControl w:val="0"/>
        <w:tabs>
          <w:tab w:val="left" w:pos="576"/>
          <w:tab w:val="left" w:pos="1440"/>
        </w:tabs>
        <w:rPr>
          <w:sz w:val="24"/>
          <w:szCs w:val="24"/>
        </w:rPr>
      </w:pPr>
    </w:p>
    <w:p w:rsidR="00CD0956" w:rsidRPr="00D1044E" w:rsidRDefault="00D1044E" w:rsidP="00BE0AD6">
      <w:pPr>
        <w:widowControl w:val="0"/>
        <w:tabs>
          <w:tab w:val="left" w:pos="-8190"/>
          <w:tab w:val="left" w:pos="-8100"/>
        </w:tabs>
        <w:ind w:left="270"/>
        <w:rPr>
          <w:sz w:val="24"/>
          <w:szCs w:val="24"/>
        </w:rPr>
      </w:pPr>
      <w:r>
        <w:rPr>
          <w:sz w:val="24"/>
          <w:szCs w:val="24"/>
        </w:rPr>
        <w:t>Currently, information is not collected at any set frequency or schedule</w:t>
      </w:r>
      <w:r w:rsidR="00741CC5" w:rsidRPr="00D1044E">
        <w:rPr>
          <w:sz w:val="24"/>
          <w:szCs w:val="24"/>
        </w:rPr>
        <w:t>.</w:t>
      </w:r>
    </w:p>
    <w:p w:rsidR="00CD0956" w:rsidRPr="00D1044E" w:rsidRDefault="00CD0956">
      <w:pPr>
        <w:widowControl w:val="0"/>
        <w:tabs>
          <w:tab w:val="left" w:pos="576"/>
          <w:tab w:val="left" w:pos="1440"/>
        </w:tabs>
        <w:rPr>
          <w:sz w:val="24"/>
          <w:szCs w:val="24"/>
        </w:rPr>
      </w:pPr>
    </w:p>
    <w:p w:rsidR="00CD0956" w:rsidRPr="00D1044E" w:rsidRDefault="00CD0956">
      <w:pPr>
        <w:widowControl w:val="0"/>
        <w:tabs>
          <w:tab w:val="left" w:pos="-720"/>
          <w:tab w:val="left" w:pos="1440"/>
        </w:tabs>
        <w:ind w:left="360" w:hanging="360"/>
        <w:rPr>
          <w:sz w:val="24"/>
          <w:szCs w:val="24"/>
        </w:rPr>
      </w:pPr>
      <w:r w:rsidRPr="00D1044E">
        <w:rPr>
          <w:sz w:val="24"/>
          <w:szCs w:val="24"/>
        </w:rPr>
        <w:t xml:space="preserve">7)  </w:t>
      </w:r>
      <w:r w:rsidRPr="00D1044E">
        <w:rPr>
          <w:sz w:val="24"/>
          <w:szCs w:val="24"/>
          <w:u w:val="single"/>
        </w:rPr>
        <w:t>Explain any special circumstances that would cause the information collection to be conducted in a manner inconsistent with guidelines</w:t>
      </w:r>
      <w:r w:rsidRPr="00D1044E">
        <w:rPr>
          <w:sz w:val="24"/>
          <w:szCs w:val="24"/>
        </w:rPr>
        <w:t>.</w:t>
      </w:r>
    </w:p>
    <w:p w:rsidR="00CD0956" w:rsidRPr="00D1044E" w:rsidRDefault="00CD0956">
      <w:pPr>
        <w:widowControl w:val="0"/>
        <w:tabs>
          <w:tab w:val="left" w:pos="576"/>
          <w:tab w:val="left" w:pos="1440"/>
        </w:tabs>
        <w:rPr>
          <w:sz w:val="24"/>
          <w:szCs w:val="24"/>
        </w:rPr>
      </w:pPr>
    </w:p>
    <w:p w:rsidR="00CD0956" w:rsidRPr="00D1044E" w:rsidRDefault="00267A04" w:rsidP="00BE0AD6">
      <w:pPr>
        <w:widowControl w:val="0"/>
        <w:tabs>
          <w:tab w:val="left" w:pos="-8190"/>
          <w:tab w:val="left" w:pos="-8100"/>
        </w:tabs>
        <w:ind w:left="270"/>
        <w:rPr>
          <w:sz w:val="24"/>
          <w:szCs w:val="24"/>
        </w:rPr>
      </w:pPr>
      <w:r w:rsidRPr="00D1044E">
        <w:rPr>
          <w:sz w:val="24"/>
          <w:szCs w:val="24"/>
        </w:rPr>
        <w:t>This information collection is conducted in manner consistent with guidelines in 5 CFR 1320.5(d</w:t>
      </w:r>
      <w:proofErr w:type="gramStart"/>
      <w:r w:rsidRPr="00D1044E">
        <w:rPr>
          <w:sz w:val="24"/>
          <w:szCs w:val="24"/>
        </w:rPr>
        <w:t>)(</w:t>
      </w:r>
      <w:proofErr w:type="gramEnd"/>
      <w:r w:rsidRPr="00D1044E">
        <w:rPr>
          <w:sz w:val="24"/>
          <w:szCs w:val="24"/>
        </w:rPr>
        <w:t>2)</w:t>
      </w:r>
      <w:r w:rsidR="00BE0AD6">
        <w:rPr>
          <w:sz w:val="24"/>
          <w:szCs w:val="24"/>
        </w:rPr>
        <w:t>.</w:t>
      </w:r>
    </w:p>
    <w:p w:rsidR="00267A04" w:rsidRPr="00D1044E" w:rsidRDefault="00267A04">
      <w:pPr>
        <w:widowControl w:val="0"/>
        <w:tabs>
          <w:tab w:val="left" w:pos="576"/>
          <w:tab w:val="left" w:pos="1440"/>
        </w:tabs>
        <w:rPr>
          <w:sz w:val="24"/>
          <w:szCs w:val="24"/>
        </w:rPr>
      </w:pPr>
    </w:p>
    <w:p w:rsidR="00CD0956" w:rsidRPr="00D1044E" w:rsidRDefault="00CD0956">
      <w:pPr>
        <w:widowControl w:val="0"/>
        <w:tabs>
          <w:tab w:val="left" w:pos="576"/>
          <w:tab w:val="left" w:pos="1440"/>
        </w:tabs>
        <w:rPr>
          <w:sz w:val="24"/>
          <w:szCs w:val="24"/>
        </w:rPr>
      </w:pPr>
      <w:r w:rsidRPr="00D1044E">
        <w:rPr>
          <w:sz w:val="24"/>
          <w:szCs w:val="24"/>
        </w:rPr>
        <w:t xml:space="preserve">8)  </w:t>
      </w:r>
      <w:r w:rsidRPr="00D1044E">
        <w:rPr>
          <w:sz w:val="24"/>
          <w:szCs w:val="24"/>
          <w:u w:val="single"/>
        </w:rPr>
        <w:t>Consultation</w:t>
      </w:r>
      <w:r w:rsidRPr="00D1044E">
        <w:rPr>
          <w:sz w:val="24"/>
          <w:szCs w:val="24"/>
        </w:rPr>
        <w:t>.</w:t>
      </w:r>
    </w:p>
    <w:p w:rsidR="00CD0956" w:rsidRPr="00D1044E" w:rsidRDefault="00CD0956">
      <w:pPr>
        <w:widowControl w:val="0"/>
        <w:tabs>
          <w:tab w:val="left" w:pos="576"/>
          <w:tab w:val="left" w:pos="1440"/>
        </w:tabs>
        <w:rPr>
          <w:bCs/>
          <w:sz w:val="24"/>
          <w:szCs w:val="24"/>
        </w:rPr>
      </w:pPr>
    </w:p>
    <w:p w:rsidR="00CD0956" w:rsidRPr="00D1044E" w:rsidRDefault="00D1044E" w:rsidP="00BE0AD6">
      <w:pPr>
        <w:widowControl w:val="0"/>
        <w:ind w:left="270"/>
        <w:rPr>
          <w:bCs/>
          <w:sz w:val="24"/>
          <w:szCs w:val="24"/>
        </w:rPr>
      </w:pPr>
      <w:r w:rsidRPr="00D1044E">
        <w:rPr>
          <w:bCs/>
          <w:sz w:val="24"/>
          <w:szCs w:val="24"/>
        </w:rPr>
        <w:t xml:space="preserve">A 60-day Notice </w:t>
      </w:r>
      <w:r w:rsidR="00F8109D">
        <w:rPr>
          <w:bCs/>
          <w:sz w:val="24"/>
          <w:szCs w:val="24"/>
        </w:rPr>
        <w:t xml:space="preserve">and 30-day Notice were </w:t>
      </w:r>
      <w:r w:rsidRPr="00D1044E">
        <w:rPr>
          <w:bCs/>
          <w:sz w:val="24"/>
          <w:szCs w:val="24"/>
        </w:rPr>
        <w:t>published in the Federal Register requ</w:t>
      </w:r>
      <w:r w:rsidR="00F8109D">
        <w:rPr>
          <w:bCs/>
          <w:sz w:val="24"/>
          <w:szCs w:val="24"/>
        </w:rPr>
        <w:t xml:space="preserve">esting comments from the public on this collection (See USCG-2010-0560; July 12, 2010; 75 FR 39700; and October 8, 2010; 75 FR 62407).  This collection elicited no comments. </w:t>
      </w:r>
    </w:p>
    <w:p w:rsidR="00522A0B" w:rsidRPr="00D1044E" w:rsidRDefault="00522A0B">
      <w:pPr>
        <w:widowControl w:val="0"/>
        <w:tabs>
          <w:tab w:val="left" w:pos="576"/>
          <w:tab w:val="left" w:pos="1440"/>
        </w:tabs>
        <w:rPr>
          <w:bCs/>
          <w:sz w:val="24"/>
          <w:szCs w:val="24"/>
        </w:rPr>
      </w:pPr>
    </w:p>
    <w:p w:rsidR="00CD0956" w:rsidRPr="00D1044E" w:rsidRDefault="00CD0956">
      <w:pPr>
        <w:widowControl w:val="0"/>
        <w:tabs>
          <w:tab w:val="left" w:pos="576"/>
          <w:tab w:val="left" w:pos="1440"/>
        </w:tabs>
        <w:rPr>
          <w:sz w:val="24"/>
          <w:szCs w:val="24"/>
        </w:rPr>
      </w:pPr>
      <w:r w:rsidRPr="00D1044E">
        <w:rPr>
          <w:sz w:val="24"/>
          <w:szCs w:val="24"/>
        </w:rPr>
        <w:t xml:space="preserve">9)  </w:t>
      </w:r>
      <w:r w:rsidRPr="00D1044E">
        <w:rPr>
          <w:sz w:val="24"/>
          <w:szCs w:val="24"/>
          <w:u w:val="single"/>
        </w:rPr>
        <w:t>Explain any decision to provide any payment or gift to respondents</w:t>
      </w:r>
      <w:r w:rsidRPr="00D1044E">
        <w:rPr>
          <w:sz w:val="24"/>
          <w:szCs w:val="24"/>
        </w:rPr>
        <w:t>.</w:t>
      </w:r>
    </w:p>
    <w:p w:rsidR="00CD0956" w:rsidRPr="00D1044E" w:rsidRDefault="00CD0956">
      <w:pPr>
        <w:widowControl w:val="0"/>
        <w:tabs>
          <w:tab w:val="left" w:pos="576"/>
          <w:tab w:val="left" w:pos="1440"/>
        </w:tabs>
        <w:rPr>
          <w:sz w:val="24"/>
          <w:szCs w:val="24"/>
        </w:rPr>
      </w:pPr>
    </w:p>
    <w:p w:rsidR="00CD0956" w:rsidRPr="00D1044E" w:rsidRDefault="00273706" w:rsidP="00BE0AD6">
      <w:pPr>
        <w:widowControl w:val="0"/>
        <w:tabs>
          <w:tab w:val="left" w:pos="-720"/>
          <w:tab w:val="left" w:pos="1440"/>
        </w:tabs>
        <w:ind w:left="270" w:hanging="36"/>
        <w:rPr>
          <w:bCs/>
          <w:sz w:val="24"/>
          <w:szCs w:val="24"/>
        </w:rPr>
      </w:pPr>
      <w:r w:rsidRPr="00D1044E">
        <w:rPr>
          <w:bCs/>
          <w:sz w:val="24"/>
          <w:szCs w:val="24"/>
        </w:rPr>
        <w:t>There is no offer of monetary or material value for this information collection</w:t>
      </w:r>
      <w:r w:rsidR="00966876" w:rsidRPr="00D1044E">
        <w:rPr>
          <w:bCs/>
          <w:sz w:val="24"/>
          <w:szCs w:val="24"/>
        </w:rPr>
        <w:t>.</w:t>
      </w:r>
      <w:r w:rsidRPr="00D1044E">
        <w:rPr>
          <w:bCs/>
          <w:sz w:val="24"/>
          <w:szCs w:val="24"/>
        </w:rPr>
        <w:t xml:space="preserve">  </w:t>
      </w:r>
    </w:p>
    <w:p w:rsidR="00CD0956" w:rsidRPr="00D1044E" w:rsidRDefault="00CD0956">
      <w:pPr>
        <w:widowControl w:val="0"/>
        <w:tabs>
          <w:tab w:val="left" w:pos="576"/>
          <w:tab w:val="left" w:pos="1440"/>
        </w:tabs>
        <w:rPr>
          <w:sz w:val="24"/>
          <w:szCs w:val="24"/>
        </w:rPr>
      </w:pPr>
    </w:p>
    <w:p w:rsidR="00CD0956" w:rsidRPr="00D1044E" w:rsidRDefault="00CD0956">
      <w:pPr>
        <w:widowControl w:val="0"/>
        <w:tabs>
          <w:tab w:val="left" w:pos="576"/>
          <w:tab w:val="left" w:pos="1440"/>
        </w:tabs>
        <w:rPr>
          <w:sz w:val="24"/>
          <w:szCs w:val="24"/>
        </w:rPr>
      </w:pPr>
      <w:r w:rsidRPr="00D1044E">
        <w:rPr>
          <w:sz w:val="24"/>
          <w:szCs w:val="24"/>
        </w:rPr>
        <w:t xml:space="preserve">10)  </w:t>
      </w:r>
      <w:r w:rsidRPr="00D1044E">
        <w:rPr>
          <w:sz w:val="24"/>
          <w:szCs w:val="24"/>
          <w:u w:val="single"/>
        </w:rPr>
        <w:t>Describe any assurance of confidentiality provided to respondents</w:t>
      </w:r>
      <w:r w:rsidRPr="00D1044E">
        <w:rPr>
          <w:sz w:val="24"/>
          <w:szCs w:val="24"/>
        </w:rPr>
        <w:t>.</w:t>
      </w:r>
    </w:p>
    <w:p w:rsidR="00CD0956" w:rsidRPr="00D1044E" w:rsidRDefault="00CD0956">
      <w:pPr>
        <w:widowControl w:val="0"/>
        <w:tabs>
          <w:tab w:val="left" w:pos="576"/>
          <w:tab w:val="left" w:pos="1440"/>
        </w:tabs>
        <w:rPr>
          <w:sz w:val="24"/>
          <w:szCs w:val="24"/>
        </w:rPr>
      </w:pPr>
    </w:p>
    <w:p w:rsidR="00480CE5" w:rsidRPr="00D1044E" w:rsidRDefault="001C3261" w:rsidP="00BE0AD6">
      <w:pPr>
        <w:widowControl w:val="0"/>
        <w:tabs>
          <w:tab w:val="left" w:pos="-8190"/>
          <w:tab w:val="left" w:pos="-8100"/>
        </w:tabs>
        <w:ind w:left="270" w:hanging="36"/>
        <w:rPr>
          <w:bCs/>
          <w:sz w:val="24"/>
          <w:szCs w:val="24"/>
        </w:rPr>
      </w:pPr>
      <w:r w:rsidRPr="00D1044E">
        <w:rPr>
          <w:bCs/>
          <w:sz w:val="24"/>
          <w:szCs w:val="24"/>
        </w:rPr>
        <w:t xml:space="preserve">There are no assurances of confidentiality provided to the respondents for this information collection. </w:t>
      </w:r>
      <w:r w:rsidR="00EF7516">
        <w:rPr>
          <w:bCs/>
          <w:sz w:val="24"/>
          <w:szCs w:val="24"/>
        </w:rPr>
        <w:t xml:space="preserve">A Privacy Threshold Analysis (PTA) was conducted and a Privacy Impact Assessment (PIA) &amp; System of Records Notice (SORN) was needed. The original PIA was entitled, “Vessel Requirements for Notices of Arrival and Departure and Automatic Identification System Notice of Proposed Rulemaking” and was concluded on November 19, 2008. The updated PIA was concluded on June 3, 2009 entitled, “Vessel Requirements for Notices of Arrival and Departure and Automatic Identification System to add the Notice for Arrival on the Outer Continental Shelf.” The SORN was published in the Federal Register </w:t>
      </w:r>
      <w:r w:rsidR="00470803">
        <w:rPr>
          <w:bCs/>
          <w:sz w:val="24"/>
          <w:szCs w:val="24"/>
        </w:rPr>
        <w:t xml:space="preserve">(See Docket No. </w:t>
      </w:r>
      <w:proofErr w:type="gramStart"/>
      <w:r w:rsidR="00470803">
        <w:rPr>
          <w:bCs/>
          <w:sz w:val="24"/>
          <w:szCs w:val="24"/>
        </w:rPr>
        <w:lastRenderedPageBreak/>
        <w:t>DHS-2008-0121; December 11, 2008; 73 FR 75442.</w:t>
      </w:r>
      <w:proofErr w:type="gramEnd"/>
    </w:p>
    <w:p w:rsidR="00CD0956" w:rsidRPr="00D1044E" w:rsidRDefault="00CD0956">
      <w:pPr>
        <w:widowControl w:val="0"/>
        <w:tabs>
          <w:tab w:val="left" w:pos="576"/>
          <w:tab w:val="left" w:pos="1440"/>
        </w:tabs>
        <w:ind w:left="576" w:hanging="36"/>
        <w:rPr>
          <w:bCs/>
          <w:sz w:val="24"/>
          <w:szCs w:val="24"/>
        </w:rPr>
      </w:pPr>
    </w:p>
    <w:p w:rsidR="00CD0956" w:rsidRPr="00D1044E" w:rsidRDefault="00CD0956">
      <w:pPr>
        <w:widowControl w:val="0"/>
        <w:tabs>
          <w:tab w:val="left" w:pos="576"/>
          <w:tab w:val="left" w:pos="1440"/>
        </w:tabs>
        <w:ind w:left="570" w:hanging="570"/>
        <w:rPr>
          <w:sz w:val="24"/>
          <w:szCs w:val="24"/>
        </w:rPr>
      </w:pPr>
      <w:r w:rsidRPr="00D1044E">
        <w:rPr>
          <w:sz w:val="24"/>
          <w:szCs w:val="24"/>
        </w:rPr>
        <w:t xml:space="preserve">11)  </w:t>
      </w:r>
      <w:r w:rsidRPr="00D1044E">
        <w:rPr>
          <w:sz w:val="24"/>
          <w:szCs w:val="24"/>
          <w:u w:val="single"/>
        </w:rPr>
        <w:t>Additional justification for any questions of a sensitive nature</w:t>
      </w:r>
      <w:r w:rsidRPr="00D1044E">
        <w:rPr>
          <w:sz w:val="24"/>
          <w:szCs w:val="24"/>
        </w:rPr>
        <w:t>.</w:t>
      </w:r>
    </w:p>
    <w:p w:rsidR="00CD0956" w:rsidRPr="00D1044E" w:rsidRDefault="00CD0956">
      <w:pPr>
        <w:widowControl w:val="0"/>
        <w:tabs>
          <w:tab w:val="left" w:pos="576"/>
          <w:tab w:val="left" w:pos="1440"/>
        </w:tabs>
        <w:rPr>
          <w:sz w:val="24"/>
          <w:szCs w:val="24"/>
        </w:rPr>
      </w:pPr>
    </w:p>
    <w:p w:rsidR="00CD0956" w:rsidRPr="00D1044E" w:rsidRDefault="001C3261" w:rsidP="00BE0AD6">
      <w:pPr>
        <w:widowControl w:val="0"/>
        <w:tabs>
          <w:tab w:val="left" w:pos="-8100"/>
        </w:tabs>
        <w:ind w:left="270" w:hanging="36"/>
        <w:rPr>
          <w:bCs/>
          <w:sz w:val="24"/>
          <w:szCs w:val="24"/>
        </w:rPr>
      </w:pPr>
      <w:r w:rsidRPr="00D1044E">
        <w:rPr>
          <w:bCs/>
          <w:sz w:val="24"/>
          <w:szCs w:val="24"/>
        </w:rPr>
        <w:t>There are no questions of sensitive language.</w:t>
      </w:r>
    </w:p>
    <w:p w:rsidR="00CD0956" w:rsidRPr="00D1044E" w:rsidRDefault="00CD0956">
      <w:pPr>
        <w:widowControl w:val="0"/>
        <w:tabs>
          <w:tab w:val="left" w:pos="576"/>
          <w:tab w:val="left" w:pos="1440"/>
        </w:tabs>
        <w:rPr>
          <w:sz w:val="24"/>
          <w:szCs w:val="24"/>
        </w:rPr>
      </w:pPr>
    </w:p>
    <w:p w:rsidR="00CD0956" w:rsidRPr="00D1044E" w:rsidRDefault="00CD0956" w:rsidP="00470803">
      <w:pPr>
        <w:rPr>
          <w:sz w:val="24"/>
          <w:szCs w:val="24"/>
        </w:rPr>
      </w:pPr>
      <w:r w:rsidRPr="00D1044E">
        <w:rPr>
          <w:sz w:val="24"/>
          <w:szCs w:val="24"/>
        </w:rPr>
        <w:t xml:space="preserve">12)  </w:t>
      </w:r>
      <w:r w:rsidRPr="00D1044E">
        <w:rPr>
          <w:sz w:val="24"/>
          <w:szCs w:val="24"/>
          <w:u w:val="single"/>
        </w:rPr>
        <w:t>Estimates of reporting and recordkeeping hour and cost burdens of the collection of information</w:t>
      </w:r>
      <w:r w:rsidRPr="00D1044E">
        <w:rPr>
          <w:sz w:val="24"/>
          <w:szCs w:val="24"/>
        </w:rPr>
        <w:t>.</w:t>
      </w:r>
    </w:p>
    <w:p w:rsidR="00CF21CA" w:rsidRPr="00D1044E" w:rsidRDefault="00CF21CA">
      <w:pPr>
        <w:widowControl w:val="0"/>
        <w:tabs>
          <w:tab w:val="left" w:pos="-630"/>
          <w:tab w:val="left" w:pos="1440"/>
        </w:tabs>
        <w:ind w:left="450" w:hanging="450"/>
        <w:rPr>
          <w:sz w:val="24"/>
          <w:szCs w:val="24"/>
        </w:rPr>
      </w:pPr>
    </w:p>
    <w:p w:rsidR="00CF21CA" w:rsidRPr="00D1044E" w:rsidRDefault="00780B3D">
      <w:pPr>
        <w:widowControl w:val="0"/>
        <w:tabs>
          <w:tab w:val="left" w:pos="-630"/>
          <w:tab w:val="left" w:pos="1440"/>
        </w:tabs>
        <w:ind w:left="450" w:hanging="450"/>
        <w:rPr>
          <w:sz w:val="24"/>
          <w:szCs w:val="24"/>
        </w:rPr>
      </w:pPr>
      <w:r w:rsidRPr="00D1044E">
        <w:rPr>
          <w:sz w:val="24"/>
          <w:szCs w:val="24"/>
        </w:rPr>
        <w:tab/>
      </w:r>
      <w:r w:rsidR="00874CA6" w:rsidRPr="00D1044E">
        <w:rPr>
          <w:sz w:val="24"/>
          <w:szCs w:val="24"/>
        </w:rPr>
        <w:t>USCG estimates that the number of respondents for this c</w:t>
      </w:r>
      <w:r w:rsidRPr="00D1044E">
        <w:rPr>
          <w:sz w:val="24"/>
          <w:szCs w:val="24"/>
        </w:rPr>
        <w:t xml:space="preserve">ollection will be 4000, with an </w:t>
      </w:r>
      <w:r w:rsidR="00874CA6" w:rsidRPr="00D1044E">
        <w:rPr>
          <w:sz w:val="24"/>
          <w:szCs w:val="24"/>
        </w:rPr>
        <w:t>estimation of 3 responses per respondent.  The annual burden associated with this has been estimated to 100</w:t>
      </w:r>
      <w:r w:rsidR="00F57F53" w:rsidRPr="00D1044E">
        <w:rPr>
          <w:sz w:val="24"/>
          <w:szCs w:val="24"/>
        </w:rPr>
        <w:t>0</w:t>
      </w:r>
      <w:r w:rsidR="00874CA6" w:rsidRPr="00D1044E">
        <w:rPr>
          <w:sz w:val="24"/>
          <w:szCs w:val="24"/>
        </w:rPr>
        <w:t xml:space="preserve"> hours.  This figure was derived by the number of respondents (4000) multiplied (x) by the number of responses (3) multiplied (x) by the time it tak</w:t>
      </w:r>
      <w:r w:rsidRPr="00D1044E">
        <w:rPr>
          <w:sz w:val="24"/>
          <w:szCs w:val="24"/>
        </w:rPr>
        <w:t xml:space="preserve">es to complete the form (5 </w:t>
      </w:r>
      <w:proofErr w:type="spellStart"/>
      <w:r w:rsidRPr="00D1044E">
        <w:rPr>
          <w:sz w:val="24"/>
          <w:szCs w:val="24"/>
        </w:rPr>
        <w:t>mins</w:t>
      </w:r>
      <w:proofErr w:type="spellEnd"/>
      <w:r w:rsidRPr="00D1044E">
        <w:rPr>
          <w:sz w:val="24"/>
          <w:szCs w:val="24"/>
        </w:rPr>
        <w:t>)</w:t>
      </w:r>
      <w:r w:rsidR="00F57F53" w:rsidRPr="00D1044E">
        <w:rPr>
          <w:sz w:val="24"/>
          <w:szCs w:val="24"/>
        </w:rPr>
        <w:t>.</w:t>
      </w:r>
    </w:p>
    <w:p w:rsidR="00780B3D" w:rsidRPr="00D1044E" w:rsidRDefault="00780B3D">
      <w:pPr>
        <w:widowControl w:val="0"/>
        <w:tabs>
          <w:tab w:val="left" w:pos="-630"/>
          <w:tab w:val="left" w:pos="1440"/>
        </w:tabs>
        <w:ind w:left="450" w:hanging="450"/>
        <w:rPr>
          <w:sz w:val="24"/>
          <w:szCs w:val="24"/>
        </w:rPr>
      </w:pPr>
    </w:p>
    <w:tbl>
      <w:tblPr>
        <w:tblW w:w="10138" w:type="dxa"/>
        <w:jc w:val="center"/>
        <w:tblInd w:w="-12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430"/>
        <w:gridCol w:w="1520"/>
        <w:gridCol w:w="1744"/>
        <w:gridCol w:w="1430"/>
        <w:gridCol w:w="1282"/>
        <w:gridCol w:w="1177"/>
        <w:gridCol w:w="1555"/>
      </w:tblGrid>
      <w:tr w:rsidR="00CF21CA" w:rsidRPr="00D1044E" w:rsidTr="00780B3D">
        <w:trPr>
          <w:trHeight w:val="1290"/>
          <w:jc w:val="center"/>
        </w:trPr>
        <w:tc>
          <w:tcPr>
            <w:tcW w:w="1372" w:type="dxa"/>
            <w:tcBorders>
              <w:bottom w:val="single" w:sz="8" w:space="0" w:color="auto"/>
            </w:tcBorders>
            <w:shd w:val="clear" w:color="auto" w:fill="C0C0C0"/>
            <w:vAlign w:val="center"/>
          </w:tcPr>
          <w:p w:rsidR="00CF21CA" w:rsidRPr="00D1044E" w:rsidRDefault="00CF21CA" w:rsidP="00F8109D">
            <w:pPr>
              <w:jc w:val="center"/>
              <w:rPr>
                <w:b/>
                <w:bCs/>
                <w:sz w:val="24"/>
                <w:szCs w:val="24"/>
              </w:rPr>
            </w:pPr>
            <w:r w:rsidRPr="00D1044E">
              <w:rPr>
                <w:b/>
                <w:bCs/>
                <w:sz w:val="24"/>
                <w:szCs w:val="24"/>
              </w:rPr>
              <w:t>Type of Respondent</w:t>
            </w:r>
          </w:p>
        </w:tc>
        <w:tc>
          <w:tcPr>
            <w:tcW w:w="1529" w:type="dxa"/>
            <w:tcBorders>
              <w:bottom w:val="single" w:sz="8" w:space="0" w:color="auto"/>
            </w:tcBorders>
            <w:shd w:val="clear" w:color="auto" w:fill="C0C0C0"/>
            <w:vAlign w:val="center"/>
          </w:tcPr>
          <w:p w:rsidR="00CF21CA" w:rsidRPr="00D1044E" w:rsidRDefault="00CF21CA" w:rsidP="00F8109D">
            <w:pPr>
              <w:jc w:val="center"/>
              <w:rPr>
                <w:b/>
                <w:bCs/>
                <w:sz w:val="24"/>
                <w:szCs w:val="24"/>
              </w:rPr>
            </w:pPr>
            <w:r w:rsidRPr="00D1044E">
              <w:rPr>
                <w:b/>
                <w:bCs/>
                <w:sz w:val="24"/>
                <w:szCs w:val="24"/>
              </w:rPr>
              <w:t>Form Name / Form Number</w:t>
            </w:r>
          </w:p>
        </w:tc>
        <w:tc>
          <w:tcPr>
            <w:tcW w:w="1775" w:type="dxa"/>
            <w:tcBorders>
              <w:bottom w:val="single" w:sz="8" w:space="0" w:color="auto"/>
            </w:tcBorders>
            <w:shd w:val="clear" w:color="auto" w:fill="C0C0C0"/>
            <w:vAlign w:val="center"/>
          </w:tcPr>
          <w:p w:rsidR="00CF21CA" w:rsidRPr="00D1044E" w:rsidRDefault="00CF21CA" w:rsidP="00F8109D">
            <w:pPr>
              <w:jc w:val="center"/>
              <w:rPr>
                <w:b/>
                <w:bCs/>
                <w:sz w:val="24"/>
                <w:szCs w:val="24"/>
              </w:rPr>
            </w:pPr>
            <w:r w:rsidRPr="00D1044E">
              <w:rPr>
                <w:b/>
                <w:bCs/>
                <w:sz w:val="24"/>
                <w:szCs w:val="24"/>
              </w:rPr>
              <w:t>No. of Respondents</w:t>
            </w:r>
          </w:p>
        </w:tc>
        <w:tc>
          <w:tcPr>
            <w:tcW w:w="1372" w:type="dxa"/>
            <w:tcBorders>
              <w:bottom w:val="single" w:sz="8" w:space="0" w:color="auto"/>
            </w:tcBorders>
            <w:shd w:val="clear" w:color="auto" w:fill="C0C0C0"/>
            <w:vAlign w:val="center"/>
          </w:tcPr>
          <w:p w:rsidR="00CF21CA" w:rsidRPr="00D1044E" w:rsidRDefault="00CF21CA" w:rsidP="00F8109D">
            <w:pPr>
              <w:jc w:val="center"/>
              <w:rPr>
                <w:b/>
                <w:bCs/>
                <w:sz w:val="24"/>
                <w:szCs w:val="24"/>
              </w:rPr>
            </w:pPr>
            <w:r w:rsidRPr="00D1044E">
              <w:rPr>
                <w:b/>
                <w:bCs/>
                <w:sz w:val="24"/>
                <w:szCs w:val="24"/>
              </w:rPr>
              <w:t>No. of Responses per Respondent</w:t>
            </w:r>
          </w:p>
        </w:tc>
        <w:tc>
          <w:tcPr>
            <w:tcW w:w="1284" w:type="dxa"/>
            <w:tcBorders>
              <w:bottom w:val="single" w:sz="8" w:space="0" w:color="auto"/>
            </w:tcBorders>
            <w:shd w:val="clear" w:color="auto" w:fill="C0C0C0"/>
            <w:vAlign w:val="center"/>
          </w:tcPr>
          <w:p w:rsidR="00CF21CA" w:rsidRPr="00D1044E" w:rsidRDefault="00CF21CA" w:rsidP="00F8109D">
            <w:pPr>
              <w:jc w:val="center"/>
              <w:rPr>
                <w:b/>
                <w:bCs/>
                <w:sz w:val="24"/>
                <w:szCs w:val="24"/>
              </w:rPr>
            </w:pPr>
            <w:r w:rsidRPr="00D1044E">
              <w:rPr>
                <w:b/>
                <w:bCs/>
                <w:sz w:val="24"/>
                <w:szCs w:val="24"/>
              </w:rPr>
              <w:t>Total No. of Responses</w:t>
            </w:r>
          </w:p>
        </w:tc>
        <w:tc>
          <w:tcPr>
            <w:tcW w:w="1172" w:type="dxa"/>
            <w:tcBorders>
              <w:bottom w:val="single" w:sz="8" w:space="0" w:color="auto"/>
            </w:tcBorders>
            <w:shd w:val="clear" w:color="auto" w:fill="C0C0C0"/>
            <w:vAlign w:val="center"/>
          </w:tcPr>
          <w:p w:rsidR="00CF21CA" w:rsidRPr="00D1044E" w:rsidRDefault="00CF21CA" w:rsidP="00F8109D">
            <w:pPr>
              <w:jc w:val="center"/>
              <w:rPr>
                <w:b/>
                <w:bCs/>
                <w:sz w:val="24"/>
                <w:szCs w:val="24"/>
              </w:rPr>
            </w:pPr>
            <w:r w:rsidRPr="00D1044E">
              <w:rPr>
                <w:b/>
                <w:bCs/>
                <w:sz w:val="24"/>
                <w:szCs w:val="24"/>
              </w:rPr>
              <w:t>Avg. Burden per Response (in hours)</w:t>
            </w:r>
          </w:p>
        </w:tc>
        <w:tc>
          <w:tcPr>
            <w:tcW w:w="1634" w:type="dxa"/>
            <w:tcBorders>
              <w:bottom w:val="single" w:sz="8" w:space="0" w:color="auto"/>
            </w:tcBorders>
            <w:shd w:val="clear" w:color="auto" w:fill="C0C0C0"/>
            <w:vAlign w:val="center"/>
          </w:tcPr>
          <w:p w:rsidR="00CF21CA" w:rsidRPr="00D1044E" w:rsidRDefault="00CF21CA" w:rsidP="00F8109D">
            <w:pPr>
              <w:jc w:val="center"/>
              <w:rPr>
                <w:b/>
                <w:bCs/>
                <w:sz w:val="24"/>
                <w:szCs w:val="24"/>
              </w:rPr>
            </w:pPr>
            <w:r w:rsidRPr="00D1044E">
              <w:rPr>
                <w:b/>
                <w:bCs/>
                <w:sz w:val="24"/>
                <w:szCs w:val="24"/>
              </w:rPr>
              <w:t>Total Annual Burden (in hours)</w:t>
            </w:r>
          </w:p>
        </w:tc>
      </w:tr>
      <w:tr w:rsidR="00CF21CA" w:rsidRPr="00D1044E" w:rsidTr="00780B3D">
        <w:trPr>
          <w:trHeight w:val="1290"/>
          <w:jc w:val="center"/>
        </w:trPr>
        <w:tc>
          <w:tcPr>
            <w:tcW w:w="1372" w:type="dxa"/>
            <w:shd w:val="clear" w:color="auto" w:fill="auto"/>
            <w:vAlign w:val="center"/>
          </w:tcPr>
          <w:p w:rsidR="00CF21CA" w:rsidRPr="00D1044E" w:rsidRDefault="00690970" w:rsidP="00F8109D">
            <w:pPr>
              <w:jc w:val="center"/>
              <w:rPr>
                <w:b/>
                <w:bCs/>
                <w:sz w:val="24"/>
                <w:szCs w:val="24"/>
              </w:rPr>
            </w:pPr>
            <w:r w:rsidRPr="00D1044E">
              <w:rPr>
                <w:b/>
                <w:bCs/>
                <w:sz w:val="24"/>
                <w:szCs w:val="24"/>
              </w:rPr>
              <w:t>Private Sector</w:t>
            </w:r>
          </w:p>
        </w:tc>
        <w:tc>
          <w:tcPr>
            <w:tcW w:w="1529" w:type="dxa"/>
            <w:shd w:val="clear" w:color="auto" w:fill="auto"/>
            <w:vAlign w:val="center"/>
          </w:tcPr>
          <w:p w:rsidR="00CF21CA" w:rsidRPr="00D1044E" w:rsidRDefault="00690970" w:rsidP="00690970">
            <w:pPr>
              <w:jc w:val="center"/>
              <w:rPr>
                <w:b/>
                <w:bCs/>
                <w:sz w:val="24"/>
                <w:szCs w:val="24"/>
              </w:rPr>
            </w:pPr>
            <w:r w:rsidRPr="00D1044E">
              <w:rPr>
                <w:b/>
                <w:bCs/>
                <w:sz w:val="24"/>
                <w:szCs w:val="24"/>
              </w:rPr>
              <w:t>Port Stakeholder Interface Tool</w:t>
            </w:r>
          </w:p>
        </w:tc>
        <w:tc>
          <w:tcPr>
            <w:tcW w:w="1775" w:type="dxa"/>
            <w:shd w:val="clear" w:color="auto" w:fill="auto"/>
            <w:vAlign w:val="center"/>
          </w:tcPr>
          <w:p w:rsidR="00CF21CA" w:rsidRPr="00D1044E" w:rsidRDefault="00CF21CA" w:rsidP="00F8109D">
            <w:pPr>
              <w:jc w:val="center"/>
              <w:rPr>
                <w:b/>
                <w:bCs/>
                <w:sz w:val="24"/>
                <w:szCs w:val="24"/>
              </w:rPr>
            </w:pPr>
            <w:r w:rsidRPr="00D1044E">
              <w:rPr>
                <w:b/>
                <w:bCs/>
                <w:sz w:val="24"/>
                <w:szCs w:val="24"/>
              </w:rPr>
              <w:t>4000</w:t>
            </w:r>
          </w:p>
        </w:tc>
        <w:tc>
          <w:tcPr>
            <w:tcW w:w="1372" w:type="dxa"/>
            <w:shd w:val="clear" w:color="auto" w:fill="auto"/>
            <w:vAlign w:val="center"/>
          </w:tcPr>
          <w:p w:rsidR="00CF21CA" w:rsidRPr="00D1044E" w:rsidRDefault="00CF21CA" w:rsidP="00F8109D">
            <w:pPr>
              <w:jc w:val="center"/>
              <w:rPr>
                <w:b/>
                <w:bCs/>
                <w:sz w:val="24"/>
                <w:szCs w:val="24"/>
              </w:rPr>
            </w:pPr>
            <w:r w:rsidRPr="00D1044E">
              <w:rPr>
                <w:b/>
                <w:bCs/>
                <w:sz w:val="24"/>
                <w:szCs w:val="24"/>
              </w:rPr>
              <w:t>3</w:t>
            </w:r>
          </w:p>
        </w:tc>
        <w:tc>
          <w:tcPr>
            <w:tcW w:w="1284" w:type="dxa"/>
            <w:shd w:val="clear" w:color="auto" w:fill="auto"/>
            <w:vAlign w:val="center"/>
          </w:tcPr>
          <w:p w:rsidR="00CF21CA" w:rsidRPr="00D1044E" w:rsidRDefault="00CF21CA" w:rsidP="00F8109D">
            <w:pPr>
              <w:jc w:val="center"/>
              <w:rPr>
                <w:b/>
                <w:bCs/>
                <w:sz w:val="24"/>
                <w:szCs w:val="24"/>
              </w:rPr>
            </w:pPr>
            <w:r w:rsidRPr="00D1044E">
              <w:rPr>
                <w:b/>
                <w:bCs/>
                <w:sz w:val="24"/>
                <w:szCs w:val="24"/>
              </w:rPr>
              <w:t>12</w:t>
            </w:r>
            <w:r w:rsidR="00F57F53" w:rsidRPr="00D1044E">
              <w:rPr>
                <w:b/>
                <w:bCs/>
                <w:sz w:val="24"/>
                <w:szCs w:val="24"/>
              </w:rPr>
              <w:t>0</w:t>
            </w:r>
            <w:r w:rsidRPr="00D1044E">
              <w:rPr>
                <w:b/>
                <w:bCs/>
                <w:sz w:val="24"/>
                <w:szCs w:val="24"/>
              </w:rPr>
              <w:t>00</w:t>
            </w:r>
          </w:p>
        </w:tc>
        <w:tc>
          <w:tcPr>
            <w:tcW w:w="1172" w:type="dxa"/>
            <w:shd w:val="clear" w:color="auto" w:fill="auto"/>
            <w:vAlign w:val="center"/>
          </w:tcPr>
          <w:p w:rsidR="00CF21CA" w:rsidRPr="00D1044E" w:rsidRDefault="00CF21CA" w:rsidP="00F8109D">
            <w:pPr>
              <w:jc w:val="center"/>
              <w:rPr>
                <w:b/>
                <w:bCs/>
                <w:sz w:val="24"/>
                <w:szCs w:val="24"/>
              </w:rPr>
            </w:pPr>
            <w:r w:rsidRPr="00D1044E">
              <w:rPr>
                <w:b/>
                <w:bCs/>
                <w:sz w:val="24"/>
                <w:szCs w:val="24"/>
              </w:rPr>
              <w:t>.083</w:t>
            </w:r>
          </w:p>
          <w:p w:rsidR="00CF21CA" w:rsidRPr="00D1044E" w:rsidRDefault="00CF21CA" w:rsidP="00F8109D">
            <w:pPr>
              <w:jc w:val="center"/>
              <w:rPr>
                <w:b/>
                <w:bCs/>
                <w:sz w:val="24"/>
                <w:szCs w:val="24"/>
              </w:rPr>
            </w:pPr>
            <w:r w:rsidRPr="00D1044E">
              <w:rPr>
                <w:b/>
                <w:bCs/>
                <w:sz w:val="24"/>
                <w:szCs w:val="24"/>
              </w:rPr>
              <w:t>(5mins)</w:t>
            </w:r>
          </w:p>
        </w:tc>
        <w:tc>
          <w:tcPr>
            <w:tcW w:w="1634" w:type="dxa"/>
            <w:shd w:val="clear" w:color="auto" w:fill="auto"/>
            <w:vAlign w:val="center"/>
          </w:tcPr>
          <w:p w:rsidR="00CF21CA" w:rsidRPr="00D1044E" w:rsidRDefault="00CF21CA" w:rsidP="00F8109D">
            <w:pPr>
              <w:jc w:val="center"/>
              <w:rPr>
                <w:b/>
                <w:bCs/>
                <w:sz w:val="24"/>
                <w:szCs w:val="24"/>
              </w:rPr>
            </w:pPr>
            <w:r w:rsidRPr="00D1044E">
              <w:rPr>
                <w:b/>
                <w:bCs/>
                <w:sz w:val="24"/>
                <w:szCs w:val="24"/>
              </w:rPr>
              <w:t>100</w:t>
            </w:r>
            <w:r w:rsidR="00F57F53" w:rsidRPr="00D1044E">
              <w:rPr>
                <w:b/>
                <w:bCs/>
                <w:sz w:val="24"/>
                <w:szCs w:val="24"/>
              </w:rPr>
              <w:t>0</w:t>
            </w:r>
          </w:p>
        </w:tc>
      </w:tr>
    </w:tbl>
    <w:p w:rsidR="00CF21CA" w:rsidRPr="00D1044E" w:rsidRDefault="00CF21CA">
      <w:pPr>
        <w:widowControl w:val="0"/>
        <w:tabs>
          <w:tab w:val="left" w:pos="-630"/>
          <w:tab w:val="left" w:pos="1440"/>
        </w:tabs>
        <w:ind w:left="450" w:hanging="450"/>
        <w:rPr>
          <w:sz w:val="24"/>
          <w:szCs w:val="24"/>
        </w:rPr>
      </w:pPr>
    </w:p>
    <w:p w:rsidR="00CF21CA" w:rsidRPr="00D1044E" w:rsidRDefault="00874CA6" w:rsidP="00874CA6">
      <w:pPr>
        <w:widowControl w:val="0"/>
        <w:tabs>
          <w:tab w:val="left" w:pos="-630"/>
          <w:tab w:val="left" w:pos="5100"/>
        </w:tabs>
        <w:ind w:left="450" w:hanging="450"/>
        <w:rPr>
          <w:sz w:val="24"/>
          <w:szCs w:val="24"/>
        </w:rPr>
      </w:pPr>
      <w:r w:rsidRPr="00D1044E">
        <w:rPr>
          <w:sz w:val="24"/>
          <w:szCs w:val="24"/>
        </w:rPr>
        <w:tab/>
      </w:r>
      <w:r w:rsidRPr="00D1044E">
        <w:rPr>
          <w:sz w:val="24"/>
          <w:szCs w:val="24"/>
        </w:rPr>
        <w:tab/>
      </w:r>
    </w:p>
    <w:p w:rsidR="00CD0956" w:rsidRPr="00D1044E" w:rsidRDefault="00CD0956">
      <w:pPr>
        <w:widowControl w:val="0"/>
        <w:tabs>
          <w:tab w:val="left" w:pos="576"/>
          <w:tab w:val="left" w:pos="1440"/>
        </w:tabs>
        <w:ind w:left="570" w:hanging="570"/>
        <w:rPr>
          <w:sz w:val="24"/>
          <w:szCs w:val="24"/>
        </w:rPr>
      </w:pPr>
      <w:r w:rsidRPr="00D1044E">
        <w:rPr>
          <w:sz w:val="24"/>
          <w:szCs w:val="24"/>
        </w:rPr>
        <w:t xml:space="preserve">13)  </w:t>
      </w:r>
      <w:r w:rsidRPr="00D1044E">
        <w:rPr>
          <w:sz w:val="24"/>
          <w:szCs w:val="24"/>
          <w:u w:val="single"/>
        </w:rPr>
        <w:t>Estimates of annualized capital and start-up costs</w:t>
      </w:r>
      <w:r w:rsidRPr="00D1044E">
        <w:rPr>
          <w:sz w:val="24"/>
          <w:szCs w:val="24"/>
        </w:rPr>
        <w:t>.</w:t>
      </w:r>
    </w:p>
    <w:p w:rsidR="00CD0956" w:rsidRPr="00D1044E" w:rsidRDefault="00CD0956">
      <w:pPr>
        <w:widowControl w:val="0"/>
        <w:tabs>
          <w:tab w:val="left" w:pos="576"/>
          <w:tab w:val="left" w:pos="1440"/>
        </w:tabs>
        <w:rPr>
          <w:sz w:val="24"/>
          <w:szCs w:val="24"/>
        </w:rPr>
      </w:pPr>
    </w:p>
    <w:p w:rsidR="00CD0956" w:rsidRPr="00D1044E" w:rsidRDefault="005E2704" w:rsidP="00BE0AD6">
      <w:pPr>
        <w:pStyle w:val="BodyText"/>
        <w:tabs>
          <w:tab w:val="clear" w:pos="576"/>
          <w:tab w:val="left" w:pos="-8190"/>
        </w:tabs>
        <w:ind w:left="450"/>
        <w:rPr>
          <w:rFonts w:ascii="Times New Roman" w:hAnsi="Times New Roman"/>
          <w:bCs/>
          <w:szCs w:val="24"/>
        </w:rPr>
      </w:pPr>
      <w:r w:rsidRPr="00D1044E">
        <w:rPr>
          <w:rFonts w:ascii="Times New Roman" w:hAnsi="Times New Roman"/>
          <w:bCs/>
          <w:szCs w:val="24"/>
        </w:rPr>
        <w:t>There</w:t>
      </w:r>
      <w:r w:rsidR="001C3261" w:rsidRPr="00D1044E">
        <w:rPr>
          <w:rFonts w:ascii="Times New Roman" w:hAnsi="Times New Roman"/>
          <w:bCs/>
          <w:szCs w:val="24"/>
        </w:rPr>
        <w:t xml:space="preserve"> are no capital, start-up or maintenance costs associated with this information collection.</w:t>
      </w:r>
    </w:p>
    <w:p w:rsidR="00CD0956" w:rsidRPr="00D1044E" w:rsidRDefault="00CD0956">
      <w:pPr>
        <w:widowControl w:val="0"/>
        <w:tabs>
          <w:tab w:val="left" w:pos="576"/>
          <w:tab w:val="left" w:pos="1440"/>
        </w:tabs>
        <w:rPr>
          <w:sz w:val="24"/>
          <w:szCs w:val="24"/>
        </w:rPr>
      </w:pPr>
    </w:p>
    <w:p w:rsidR="00FE112B" w:rsidRPr="00D1044E" w:rsidRDefault="00FE112B">
      <w:pPr>
        <w:widowControl w:val="0"/>
        <w:tabs>
          <w:tab w:val="left" w:pos="576"/>
          <w:tab w:val="left" w:pos="1440"/>
        </w:tabs>
        <w:rPr>
          <w:sz w:val="24"/>
          <w:szCs w:val="24"/>
        </w:rPr>
      </w:pPr>
    </w:p>
    <w:p w:rsidR="00CD0956" w:rsidRPr="00D1044E" w:rsidRDefault="00CD0956">
      <w:pPr>
        <w:widowControl w:val="0"/>
        <w:tabs>
          <w:tab w:val="left" w:pos="576"/>
          <w:tab w:val="left" w:pos="1440"/>
        </w:tabs>
        <w:ind w:left="570" w:hanging="570"/>
        <w:rPr>
          <w:sz w:val="24"/>
          <w:szCs w:val="24"/>
        </w:rPr>
      </w:pPr>
      <w:r w:rsidRPr="00D1044E">
        <w:rPr>
          <w:sz w:val="24"/>
          <w:szCs w:val="24"/>
        </w:rPr>
        <w:t xml:space="preserve">14)  </w:t>
      </w:r>
      <w:r w:rsidRPr="00D1044E">
        <w:rPr>
          <w:sz w:val="24"/>
          <w:szCs w:val="24"/>
          <w:u w:val="single"/>
        </w:rPr>
        <w:t>Estimates of annualized Federal Government costs</w:t>
      </w:r>
      <w:r w:rsidRPr="00D1044E">
        <w:rPr>
          <w:sz w:val="24"/>
          <w:szCs w:val="24"/>
        </w:rPr>
        <w:t>.</w:t>
      </w:r>
    </w:p>
    <w:p w:rsidR="00CD0956" w:rsidRPr="00D1044E" w:rsidRDefault="00CD0956">
      <w:pPr>
        <w:widowControl w:val="0"/>
        <w:tabs>
          <w:tab w:val="left" w:pos="576"/>
          <w:tab w:val="left" w:pos="1440"/>
        </w:tabs>
        <w:rPr>
          <w:sz w:val="24"/>
          <w:szCs w:val="24"/>
        </w:rPr>
      </w:pPr>
    </w:p>
    <w:p w:rsidR="00941354" w:rsidRPr="00941354" w:rsidRDefault="00780B3D" w:rsidP="00941354">
      <w:pPr>
        <w:pStyle w:val="BodyText"/>
        <w:tabs>
          <w:tab w:val="clear" w:pos="576"/>
          <w:tab w:val="left" w:pos="-8190"/>
        </w:tabs>
        <w:ind w:left="450"/>
        <w:rPr>
          <w:rFonts w:ascii="Times New Roman" w:hAnsi="Times New Roman"/>
          <w:bCs/>
          <w:szCs w:val="24"/>
        </w:rPr>
      </w:pPr>
      <w:bookmarkStart w:id="0" w:name="mark"/>
      <w:bookmarkEnd w:id="0"/>
      <w:r w:rsidRPr="00941354">
        <w:rPr>
          <w:rFonts w:ascii="Times New Roman" w:hAnsi="Times New Roman"/>
          <w:bCs/>
          <w:szCs w:val="24"/>
        </w:rPr>
        <w:t xml:space="preserve">The estimated cost to the </w:t>
      </w:r>
      <w:r w:rsidR="00F57F53" w:rsidRPr="00941354">
        <w:rPr>
          <w:rFonts w:ascii="Times New Roman" w:hAnsi="Times New Roman"/>
          <w:bCs/>
          <w:szCs w:val="24"/>
        </w:rPr>
        <w:t>Federal Government</w:t>
      </w:r>
      <w:r w:rsidR="00D75D2B" w:rsidRPr="00941354">
        <w:rPr>
          <w:rFonts w:ascii="Times New Roman" w:hAnsi="Times New Roman"/>
          <w:bCs/>
          <w:szCs w:val="24"/>
        </w:rPr>
        <w:t xml:space="preserve"> </w:t>
      </w:r>
      <w:r w:rsidR="00941354">
        <w:rPr>
          <w:rFonts w:ascii="Times New Roman" w:hAnsi="Times New Roman"/>
          <w:bCs/>
          <w:szCs w:val="24"/>
        </w:rPr>
        <w:t>is $</w:t>
      </w:r>
      <w:r w:rsidR="00941354" w:rsidRPr="00941354">
        <w:rPr>
          <w:rFonts w:ascii="Times New Roman" w:hAnsi="Times New Roman"/>
          <w:bCs/>
          <w:szCs w:val="24"/>
        </w:rPr>
        <w:t xml:space="preserve">57,600.  Based on Q12 </w:t>
      </w:r>
      <w:r w:rsidR="00941354">
        <w:rPr>
          <w:rFonts w:ascii="Times New Roman" w:hAnsi="Times New Roman"/>
          <w:bCs/>
          <w:szCs w:val="24"/>
        </w:rPr>
        <w:t>above</w:t>
      </w:r>
      <w:r w:rsidR="00941354" w:rsidRPr="00941354">
        <w:rPr>
          <w:rFonts w:ascii="Times New Roman" w:hAnsi="Times New Roman"/>
          <w:bCs/>
          <w:szCs w:val="24"/>
        </w:rPr>
        <w:t xml:space="preserve">, </w:t>
      </w:r>
      <w:r w:rsidR="00D02F25">
        <w:rPr>
          <w:rFonts w:ascii="Times New Roman" w:hAnsi="Times New Roman"/>
          <w:bCs/>
          <w:szCs w:val="24"/>
        </w:rPr>
        <w:t>USCG</w:t>
      </w:r>
      <w:r w:rsidR="00941354" w:rsidRPr="00941354">
        <w:rPr>
          <w:rFonts w:ascii="Times New Roman" w:hAnsi="Times New Roman"/>
          <w:bCs/>
          <w:szCs w:val="24"/>
        </w:rPr>
        <w:t xml:space="preserve"> estimate</w:t>
      </w:r>
      <w:r w:rsidR="00D02F25">
        <w:rPr>
          <w:rFonts w:ascii="Times New Roman" w:hAnsi="Times New Roman"/>
          <w:bCs/>
          <w:szCs w:val="24"/>
        </w:rPr>
        <w:t>s</w:t>
      </w:r>
      <w:r w:rsidR="00941354" w:rsidRPr="00941354">
        <w:rPr>
          <w:rFonts w:ascii="Times New Roman" w:hAnsi="Times New Roman"/>
          <w:bCs/>
          <w:szCs w:val="24"/>
        </w:rPr>
        <w:t xml:space="preserve"> </w:t>
      </w:r>
      <w:r w:rsidR="00941354">
        <w:rPr>
          <w:rFonts w:ascii="Times New Roman" w:hAnsi="Times New Roman"/>
          <w:bCs/>
          <w:szCs w:val="24"/>
        </w:rPr>
        <w:t xml:space="preserve">annual burden is </w:t>
      </w:r>
      <w:r w:rsidR="00941354" w:rsidRPr="00941354">
        <w:rPr>
          <w:rFonts w:ascii="Times New Roman" w:hAnsi="Times New Roman"/>
          <w:bCs/>
          <w:szCs w:val="24"/>
        </w:rPr>
        <w:t xml:space="preserve">about 1000 annual hours for the review of the collected responses.  According to the Published 2010 GS Schedule Salary Table a GS-12 step 1 makes 28.80 per hour.  That equates to $28,800 per GS-12.  </w:t>
      </w:r>
      <w:r w:rsidR="00941354">
        <w:rPr>
          <w:rFonts w:ascii="Times New Roman" w:hAnsi="Times New Roman"/>
          <w:bCs/>
          <w:szCs w:val="24"/>
        </w:rPr>
        <w:t>Estimated costs assume 2 GS-12’s completing the necessary review.</w:t>
      </w:r>
    </w:p>
    <w:p w:rsidR="00D75D2B" w:rsidRPr="00D1044E" w:rsidRDefault="00D75D2B" w:rsidP="00941354">
      <w:pPr>
        <w:widowControl w:val="0"/>
        <w:tabs>
          <w:tab w:val="left" w:pos="-8190"/>
          <w:tab w:val="left" w:pos="1440"/>
        </w:tabs>
        <w:ind w:left="450"/>
        <w:rPr>
          <w:color w:val="FF0000"/>
          <w:sz w:val="24"/>
          <w:szCs w:val="24"/>
        </w:rPr>
      </w:pPr>
    </w:p>
    <w:p w:rsidR="00FE112B" w:rsidRPr="00D1044E" w:rsidRDefault="00FE112B" w:rsidP="00FE112B">
      <w:pPr>
        <w:rPr>
          <w:sz w:val="24"/>
          <w:szCs w:val="24"/>
        </w:rPr>
      </w:pPr>
    </w:p>
    <w:p w:rsidR="00CD0956" w:rsidRPr="00D1044E" w:rsidRDefault="00CD0956" w:rsidP="00FE112B">
      <w:pPr>
        <w:rPr>
          <w:sz w:val="24"/>
          <w:szCs w:val="24"/>
        </w:rPr>
      </w:pPr>
      <w:r w:rsidRPr="00D1044E">
        <w:rPr>
          <w:sz w:val="24"/>
          <w:szCs w:val="24"/>
        </w:rPr>
        <w:t xml:space="preserve">15)  </w:t>
      </w:r>
      <w:r w:rsidRPr="00D1044E">
        <w:rPr>
          <w:sz w:val="24"/>
          <w:szCs w:val="24"/>
          <w:u w:val="single"/>
        </w:rPr>
        <w:t>Explain the reasons for the change in burden</w:t>
      </w:r>
      <w:r w:rsidRPr="00D1044E">
        <w:rPr>
          <w:sz w:val="24"/>
          <w:szCs w:val="24"/>
        </w:rPr>
        <w:t>.</w:t>
      </w:r>
    </w:p>
    <w:p w:rsidR="00CD0956" w:rsidRPr="00D1044E" w:rsidRDefault="00CD0956">
      <w:pPr>
        <w:widowControl w:val="0"/>
        <w:tabs>
          <w:tab w:val="left" w:pos="576"/>
          <w:tab w:val="left" w:pos="1440"/>
        </w:tabs>
        <w:rPr>
          <w:sz w:val="24"/>
          <w:szCs w:val="24"/>
        </w:rPr>
      </w:pPr>
    </w:p>
    <w:p w:rsidR="001535B5" w:rsidRPr="00D1044E" w:rsidRDefault="00FE112B" w:rsidP="00BE0AD6">
      <w:pPr>
        <w:pStyle w:val="BodyText"/>
        <w:tabs>
          <w:tab w:val="clear" w:pos="576"/>
        </w:tabs>
        <w:ind w:left="450"/>
        <w:rPr>
          <w:rFonts w:ascii="Times New Roman" w:hAnsi="Times New Roman"/>
          <w:szCs w:val="24"/>
        </w:rPr>
      </w:pPr>
      <w:r w:rsidRPr="00D1044E">
        <w:rPr>
          <w:rFonts w:ascii="Times New Roman" w:hAnsi="Times New Roman"/>
          <w:szCs w:val="24"/>
        </w:rPr>
        <w:t>This is a new collection</w:t>
      </w:r>
      <w:r w:rsidR="00D1044E">
        <w:rPr>
          <w:rFonts w:ascii="Times New Roman" w:hAnsi="Times New Roman"/>
          <w:szCs w:val="24"/>
        </w:rPr>
        <w:t>.  It is expected that on the first 12 months, we will be collecting 12,000 responses from 4,000 respondents.</w:t>
      </w:r>
    </w:p>
    <w:p w:rsidR="00CD0956" w:rsidRPr="00D1044E" w:rsidRDefault="00CD0956">
      <w:pPr>
        <w:widowControl w:val="0"/>
        <w:tabs>
          <w:tab w:val="left" w:pos="576"/>
          <w:tab w:val="left" w:pos="1440"/>
        </w:tabs>
        <w:rPr>
          <w:sz w:val="24"/>
          <w:szCs w:val="24"/>
        </w:rPr>
      </w:pPr>
    </w:p>
    <w:p w:rsidR="00CD0956" w:rsidRPr="00D1044E" w:rsidRDefault="00CD0956">
      <w:pPr>
        <w:widowControl w:val="0"/>
        <w:tabs>
          <w:tab w:val="left" w:pos="1440"/>
        </w:tabs>
        <w:ind w:left="450" w:hanging="450"/>
        <w:rPr>
          <w:sz w:val="24"/>
          <w:szCs w:val="24"/>
        </w:rPr>
      </w:pPr>
      <w:r w:rsidRPr="00D1044E">
        <w:rPr>
          <w:sz w:val="24"/>
          <w:szCs w:val="24"/>
        </w:rPr>
        <w:t xml:space="preserve">16)  </w:t>
      </w:r>
      <w:r w:rsidRPr="00D1044E">
        <w:rPr>
          <w:sz w:val="24"/>
          <w:szCs w:val="24"/>
          <w:u w:val="single"/>
        </w:rPr>
        <w:t>For collections of information whose results are planned to be published for statistical use, outline plans for tabulation, statistical analysis and publication</w:t>
      </w:r>
      <w:r w:rsidRPr="00D1044E">
        <w:rPr>
          <w:sz w:val="24"/>
          <w:szCs w:val="24"/>
        </w:rPr>
        <w:t>.</w:t>
      </w:r>
    </w:p>
    <w:p w:rsidR="00CD0956" w:rsidRPr="00D1044E" w:rsidRDefault="00CD0956">
      <w:pPr>
        <w:widowControl w:val="0"/>
        <w:tabs>
          <w:tab w:val="left" w:pos="576"/>
          <w:tab w:val="left" w:pos="1440"/>
        </w:tabs>
        <w:rPr>
          <w:sz w:val="24"/>
          <w:szCs w:val="24"/>
        </w:rPr>
      </w:pPr>
    </w:p>
    <w:p w:rsidR="00CD0956" w:rsidRPr="00D1044E" w:rsidRDefault="00CD0956" w:rsidP="00BE0AD6">
      <w:pPr>
        <w:widowControl w:val="0"/>
        <w:tabs>
          <w:tab w:val="left" w:pos="-8100"/>
          <w:tab w:val="left" w:pos="1440"/>
        </w:tabs>
        <w:ind w:left="450" w:hanging="36"/>
        <w:rPr>
          <w:bCs/>
          <w:sz w:val="24"/>
          <w:szCs w:val="24"/>
        </w:rPr>
      </w:pPr>
      <w:r w:rsidRPr="00D1044E">
        <w:rPr>
          <w:bCs/>
          <w:sz w:val="24"/>
          <w:szCs w:val="24"/>
        </w:rPr>
        <w:t>Th</w:t>
      </w:r>
      <w:r w:rsidR="001C3261" w:rsidRPr="00D1044E">
        <w:rPr>
          <w:bCs/>
          <w:sz w:val="24"/>
          <w:szCs w:val="24"/>
        </w:rPr>
        <w:t xml:space="preserve">e Coast Guard does not intend to employ the use of </w:t>
      </w:r>
      <w:r w:rsidR="000878B4" w:rsidRPr="00D1044E">
        <w:rPr>
          <w:bCs/>
          <w:sz w:val="24"/>
          <w:szCs w:val="24"/>
        </w:rPr>
        <w:t>statistics</w:t>
      </w:r>
      <w:r w:rsidR="001C3261" w:rsidRPr="00D1044E">
        <w:rPr>
          <w:bCs/>
          <w:sz w:val="24"/>
          <w:szCs w:val="24"/>
        </w:rPr>
        <w:t xml:space="preserve"> or the publication thereof for this information collection.</w:t>
      </w:r>
    </w:p>
    <w:p w:rsidR="00CD0956" w:rsidRDefault="00CD0956">
      <w:pPr>
        <w:widowControl w:val="0"/>
        <w:tabs>
          <w:tab w:val="left" w:pos="576"/>
          <w:tab w:val="left" w:pos="1440"/>
        </w:tabs>
        <w:rPr>
          <w:sz w:val="24"/>
          <w:szCs w:val="24"/>
        </w:rPr>
      </w:pPr>
    </w:p>
    <w:p w:rsidR="00D1044E" w:rsidRPr="00D1044E" w:rsidRDefault="00D1044E">
      <w:pPr>
        <w:widowControl w:val="0"/>
        <w:tabs>
          <w:tab w:val="left" w:pos="576"/>
          <w:tab w:val="left" w:pos="1440"/>
        </w:tabs>
        <w:rPr>
          <w:sz w:val="24"/>
          <w:szCs w:val="24"/>
        </w:rPr>
      </w:pPr>
    </w:p>
    <w:p w:rsidR="00CD0956" w:rsidRPr="00D1044E" w:rsidRDefault="00CD0956">
      <w:pPr>
        <w:widowControl w:val="0"/>
        <w:tabs>
          <w:tab w:val="left" w:pos="576"/>
          <w:tab w:val="left" w:pos="1440"/>
        </w:tabs>
        <w:ind w:left="570" w:hanging="570"/>
        <w:rPr>
          <w:sz w:val="24"/>
          <w:szCs w:val="24"/>
        </w:rPr>
      </w:pPr>
      <w:r w:rsidRPr="00D1044E">
        <w:rPr>
          <w:sz w:val="24"/>
          <w:szCs w:val="24"/>
        </w:rPr>
        <w:t xml:space="preserve">17)  </w:t>
      </w:r>
      <w:r w:rsidRPr="00D1044E">
        <w:rPr>
          <w:sz w:val="24"/>
          <w:szCs w:val="24"/>
          <w:u w:val="single"/>
        </w:rPr>
        <w:t>Explain the reasons for seeking not to display the expiration date for OMB approval of the information of collection</w:t>
      </w:r>
      <w:r w:rsidRPr="00D1044E">
        <w:rPr>
          <w:sz w:val="24"/>
          <w:szCs w:val="24"/>
        </w:rPr>
        <w:t>.</w:t>
      </w:r>
    </w:p>
    <w:p w:rsidR="00CD0956" w:rsidRPr="00D1044E" w:rsidRDefault="00CD0956">
      <w:pPr>
        <w:widowControl w:val="0"/>
        <w:tabs>
          <w:tab w:val="left" w:pos="540"/>
          <w:tab w:val="left" w:pos="1440"/>
        </w:tabs>
        <w:ind w:left="576" w:hanging="576"/>
        <w:rPr>
          <w:sz w:val="24"/>
          <w:szCs w:val="24"/>
        </w:rPr>
      </w:pPr>
    </w:p>
    <w:p w:rsidR="00CD0956" w:rsidRPr="00D1044E" w:rsidRDefault="005C445B" w:rsidP="00BE0AD6">
      <w:pPr>
        <w:widowControl w:val="0"/>
        <w:tabs>
          <w:tab w:val="left" w:pos="-8100"/>
          <w:tab w:val="left" w:pos="1440"/>
        </w:tabs>
        <w:ind w:left="450"/>
        <w:rPr>
          <w:sz w:val="24"/>
          <w:szCs w:val="24"/>
        </w:rPr>
      </w:pPr>
      <w:r w:rsidRPr="00D1044E">
        <w:rPr>
          <w:sz w:val="24"/>
          <w:szCs w:val="24"/>
        </w:rPr>
        <w:t>The</w:t>
      </w:r>
      <w:r w:rsidR="001C3261" w:rsidRPr="00D1044E">
        <w:rPr>
          <w:sz w:val="24"/>
          <w:szCs w:val="24"/>
        </w:rPr>
        <w:t xml:space="preserve"> Coast Guard will display the expiration date for OMB approval of this information collection.</w:t>
      </w:r>
      <w:r w:rsidRPr="00D1044E">
        <w:rPr>
          <w:sz w:val="24"/>
          <w:szCs w:val="24"/>
        </w:rPr>
        <w:t xml:space="preserve"> </w:t>
      </w:r>
    </w:p>
    <w:p w:rsidR="00CD0956" w:rsidRPr="00D1044E" w:rsidRDefault="00CD0956">
      <w:pPr>
        <w:widowControl w:val="0"/>
        <w:tabs>
          <w:tab w:val="left" w:pos="576"/>
          <w:tab w:val="left" w:pos="1440"/>
        </w:tabs>
        <w:rPr>
          <w:sz w:val="24"/>
          <w:szCs w:val="24"/>
        </w:rPr>
      </w:pPr>
    </w:p>
    <w:p w:rsidR="00CD0956" w:rsidRPr="00D1044E" w:rsidRDefault="00CD0956">
      <w:pPr>
        <w:widowControl w:val="0"/>
        <w:tabs>
          <w:tab w:val="left" w:pos="576"/>
          <w:tab w:val="left" w:pos="1440"/>
        </w:tabs>
        <w:rPr>
          <w:sz w:val="24"/>
          <w:szCs w:val="24"/>
        </w:rPr>
      </w:pPr>
      <w:r w:rsidRPr="00D1044E">
        <w:rPr>
          <w:sz w:val="24"/>
          <w:szCs w:val="24"/>
        </w:rPr>
        <w:t xml:space="preserve">18)  </w:t>
      </w:r>
      <w:r w:rsidRPr="00D1044E">
        <w:rPr>
          <w:sz w:val="24"/>
          <w:szCs w:val="24"/>
          <w:u w:val="single"/>
        </w:rPr>
        <w:t>Explain each exception to the certification statement</w:t>
      </w:r>
      <w:r w:rsidRPr="00D1044E">
        <w:rPr>
          <w:sz w:val="24"/>
          <w:szCs w:val="24"/>
        </w:rPr>
        <w:t>.</w:t>
      </w:r>
    </w:p>
    <w:p w:rsidR="00CD0956" w:rsidRPr="00D1044E" w:rsidRDefault="00CD0956">
      <w:pPr>
        <w:widowControl w:val="0"/>
        <w:tabs>
          <w:tab w:val="left" w:pos="576"/>
          <w:tab w:val="left" w:pos="1440"/>
        </w:tabs>
        <w:rPr>
          <w:sz w:val="24"/>
          <w:szCs w:val="24"/>
        </w:rPr>
      </w:pPr>
    </w:p>
    <w:p w:rsidR="00CD0956" w:rsidRPr="00D1044E" w:rsidRDefault="00A44E62" w:rsidP="00BE0AD6">
      <w:pPr>
        <w:widowControl w:val="0"/>
        <w:tabs>
          <w:tab w:val="left" w:pos="1440"/>
        </w:tabs>
        <w:ind w:left="450"/>
        <w:rPr>
          <w:sz w:val="24"/>
          <w:szCs w:val="24"/>
        </w:rPr>
      </w:pPr>
      <w:r w:rsidRPr="00D1044E">
        <w:rPr>
          <w:sz w:val="24"/>
          <w:szCs w:val="24"/>
        </w:rPr>
        <w:t>The</w:t>
      </w:r>
      <w:r w:rsidR="001C3261" w:rsidRPr="00D1044E">
        <w:rPr>
          <w:sz w:val="24"/>
          <w:szCs w:val="24"/>
        </w:rPr>
        <w:t xml:space="preserve"> Coast Guard does not request </w:t>
      </w:r>
      <w:r w:rsidR="000878B4" w:rsidRPr="00D1044E">
        <w:rPr>
          <w:sz w:val="24"/>
          <w:szCs w:val="24"/>
        </w:rPr>
        <w:t>an exception</w:t>
      </w:r>
      <w:r w:rsidR="001C3261" w:rsidRPr="00D1044E">
        <w:rPr>
          <w:sz w:val="24"/>
          <w:szCs w:val="24"/>
        </w:rPr>
        <w:t xml:space="preserve"> to the certification of this information collection.</w:t>
      </w:r>
    </w:p>
    <w:p w:rsidR="00CD0956" w:rsidRPr="00D1044E" w:rsidRDefault="00CD0956">
      <w:pPr>
        <w:widowControl w:val="0"/>
        <w:tabs>
          <w:tab w:val="left" w:pos="576"/>
          <w:tab w:val="left" w:pos="1440"/>
        </w:tabs>
        <w:rPr>
          <w:sz w:val="24"/>
          <w:szCs w:val="24"/>
        </w:rPr>
      </w:pPr>
    </w:p>
    <w:p w:rsidR="00CD0956" w:rsidRPr="00D1044E" w:rsidRDefault="00CD0956">
      <w:pPr>
        <w:widowControl w:val="0"/>
        <w:tabs>
          <w:tab w:val="left" w:pos="576"/>
          <w:tab w:val="left" w:pos="1440"/>
        </w:tabs>
        <w:rPr>
          <w:sz w:val="24"/>
          <w:szCs w:val="24"/>
        </w:rPr>
      </w:pPr>
    </w:p>
    <w:p w:rsidR="00CD0956" w:rsidRPr="00D1044E" w:rsidRDefault="00CD0956">
      <w:pPr>
        <w:widowControl w:val="0"/>
        <w:tabs>
          <w:tab w:val="left" w:pos="576"/>
          <w:tab w:val="left" w:pos="1440"/>
        </w:tabs>
        <w:rPr>
          <w:b/>
          <w:sz w:val="24"/>
          <w:szCs w:val="24"/>
        </w:rPr>
      </w:pPr>
      <w:r w:rsidRPr="00D1044E">
        <w:rPr>
          <w:b/>
          <w:sz w:val="24"/>
          <w:szCs w:val="24"/>
        </w:rPr>
        <w:t>B.  Collection of Information Employing Statistical Methods.</w:t>
      </w:r>
    </w:p>
    <w:p w:rsidR="00CD0956" w:rsidRPr="00D1044E" w:rsidRDefault="00CD0956">
      <w:pPr>
        <w:widowControl w:val="0"/>
        <w:tabs>
          <w:tab w:val="left" w:pos="576"/>
          <w:tab w:val="left" w:pos="1440"/>
        </w:tabs>
        <w:rPr>
          <w:b/>
          <w:sz w:val="24"/>
          <w:szCs w:val="24"/>
        </w:rPr>
      </w:pPr>
    </w:p>
    <w:p w:rsidR="00CD0956" w:rsidRPr="00D1044E" w:rsidRDefault="00A44E62" w:rsidP="00BE0AD6">
      <w:pPr>
        <w:widowControl w:val="0"/>
        <w:tabs>
          <w:tab w:val="left" w:pos="-8100"/>
          <w:tab w:val="left" w:pos="1440"/>
        </w:tabs>
        <w:ind w:left="450"/>
        <w:rPr>
          <w:sz w:val="24"/>
          <w:szCs w:val="24"/>
        </w:rPr>
      </w:pPr>
      <w:r w:rsidRPr="00D1044E">
        <w:rPr>
          <w:sz w:val="24"/>
          <w:szCs w:val="24"/>
        </w:rPr>
        <w:t>This information collection does not employ statistical methods.</w:t>
      </w:r>
    </w:p>
    <w:p w:rsidR="00CD0956" w:rsidRPr="00D1044E" w:rsidRDefault="00CD0956">
      <w:pPr>
        <w:widowControl w:val="0"/>
        <w:tabs>
          <w:tab w:val="left" w:pos="1440"/>
        </w:tabs>
        <w:rPr>
          <w:sz w:val="24"/>
          <w:szCs w:val="24"/>
        </w:rPr>
      </w:pPr>
    </w:p>
    <w:p w:rsidR="00CD0956" w:rsidRPr="00D1044E" w:rsidRDefault="00CD0956">
      <w:pPr>
        <w:widowControl w:val="0"/>
        <w:tabs>
          <w:tab w:val="left" w:pos="1440"/>
        </w:tabs>
        <w:rPr>
          <w:sz w:val="24"/>
          <w:szCs w:val="24"/>
        </w:rPr>
      </w:pPr>
    </w:p>
    <w:sectPr w:rsidR="00CD0956" w:rsidRPr="00D1044E" w:rsidSect="00780B3D">
      <w:headerReference w:type="even" r:id="rId9"/>
      <w:headerReference w:type="default" r:id="rId10"/>
      <w:footerReference w:type="even" r:id="rId11"/>
      <w:footerReference w:type="default" r:id="rId12"/>
      <w:pgSz w:w="12240" w:h="15840" w:code="1"/>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516" w:rsidRDefault="00EF7516">
      <w:r>
        <w:separator/>
      </w:r>
    </w:p>
  </w:endnote>
  <w:endnote w:type="continuationSeparator" w:id="0">
    <w:p w:rsidR="00EF7516" w:rsidRDefault="00EF75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516" w:rsidRDefault="00EF751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F7516" w:rsidRDefault="00EF751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516" w:rsidRDefault="00EF7516">
    <w:pP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470803">
      <w:rPr>
        <w:rStyle w:val="PageNumber"/>
        <w:noProof/>
        <w:sz w:val="24"/>
      </w:rPr>
      <w:t>1</w:t>
    </w:r>
    <w:r>
      <w:rPr>
        <w:rStyle w:val="PageNumber"/>
        <w:sz w:val="24"/>
      </w:rPr>
      <w:fldChar w:fldCharType="end"/>
    </w:r>
    <w:r>
      <w:rPr>
        <w:rStyle w:val="PageNumber"/>
        <w:sz w:val="24"/>
      </w:rPr>
      <w:t xml:space="preserve"> </w:t>
    </w:r>
    <w:proofErr w:type="gramStart"/>
    <w:r>
      <w:rPr>
        <w:rStyle w:val="PageNumber"/>
        <w:sz w:val="24"/>
      </w:rPr>
      <w:t xml:space="preserve">of  </w:t>
    </w:r>
    <w:proofErr w:type="gramEnd"/>
    <w:r>
      <w:rPr>
        <w:rStyle w:val="PageNumber"/>
        <w:sz w:val="24"/>
      </w:rPr>
      <w:fldChar w:fldCharType="begin"/>
    </w:r>
    <w:r>
      <w:rPr>
        <w:rStyle w:val="PageNumber"/>
        <w:sz w:val="24"/>
      </w:rPr>
      <w:instrText xml:space="preserve"> NUMPAGES </w:instrText>
    </w:r>
    <w:r>
      <w:rPr>
        <w:rStyle w:val="PageNumber"/>
        <w:sz w:val="24"/>
      </w:rPr>
      <w:fldChar w:fldCharType="separate"/>
    </w:r>
    <w:r w:rsidR="00470803">
      <w:rPr>
        <w:rStyle w:val="PageNumber"/>
        <w:noProof/>
        <w:sz w:val="24"/>
      </w:rPr>
      <w:t>4</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516" w:rsidRDefault="00EF7516">
      <w:r>
        <w:separator/>
      </w:r>
    </w:p>
  </w:footnote>
  <w:footnote w:type="continuationSeparator" w:id="0">
    <w:p w:rsidR="00EF7516" w:rsidRDefault="00EF7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516" w:rsidRDefault="00EF7516">
    <w:pPr>
      <w:pStyle w:val="Header"/>
    </w:pPr>
    <w:r>
      <w:t>OMB 2115-0613</w:t>
    </w:r>
    <w:r>
      <w:tab/>
    </w:r>
    <w:r>
      <w:tab/>
      <w:t>9/3/99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516" w:rsidRDefault="00EF7516">
    <w:pPr>
      <w:pStyle w:val="Header"/>
    </w:pPr>
    <w:r>
      <w:t>1625-New</w:t>
    </w:r>
  </w:p>
  <w:p w:rsidR="00EF7516" w:rsidRPr="002E7E35" w:rsidRDefault="00EF7516" w:rsidP="002E7E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E528CC"/>
    <w:rsid w:val="0000390A"/>
    <w:rsid w:val="0000607E"/>
    <w:rsid w:val="00015EF4"/>
    <w:rsid w:val="00016D98"/>
    <w:rsid w:val="000250ED"/>
    <w:rsid w:val="00042E1A"/>
    <w:rsid w:val="000467A0"/>
    <w:rsid w:val="00057BEF"/>
    <w:rsid w:val="0006288F"/>
    <w:rsid w:val="000675BC"/>
    <w:rsid w:val="000708DC"/>
    <w:rsid w:val="00071F86"/>
    <w:rsid w:val="00077204"/>
    <w:rsid w:val="000878B4"/>
    <w:rsid w:val="000A0BDB"/>
    <w:rsid w:val="000B696B"/>
    <w:rsid w:val="000C170C"/>
    <w:rsid w:val="000E10EC"/>
    <w:rsid w:val="00100CD1"/>
    <w:rsid w:val="0010160C"/>
    <w:rsid w:val="001105D0"/>
    <w:rsid w:val="00110D0F"/>
    <w:rsid w:val="00130C6B"/>
    <w:rsid w:val="00134BA4"/>
    <w:rsid w:val="001535B5"/>
    <w:rsid w:val="00157BCB"/>
    <w:rsid w:val="00166857"/>
    <w:rsid w:val="00182CC6"/>
    <w:rsid w:val="001A276B"/>
    <w:rsid w:val="001A7568"/>
    <w:rsid w:val="001B4FD2"/>
    <w:rsid w:val="001B7E52"/>
    <w:rsid w:val="001C2489"/>
    <w:rsid w:val="001C3261"/>
    <w:rsid w:val="001C4E97"/>
    <w:rsid w:val="00220268"/>
    <w:rsid w:val="00233B30"/>
    <w:rsid w:val="00236480"/>
    <w:rsid w:val="00267A04"/>
    <w:rsid w:val="00273706"/>
    <w:rsid w:val="002743CB"/>
    <w:rsid w:val="002960BA"/>
    <w:rsid w:val="002A31B7"/>
    <w:rsid w:val="002E7E35"/>
    <w:rsid w:val="002F4C95"/>
    <w:rsid w:val="002F71B2"/>
    <w:rsid w:val="002F744B"/>
    <w:rsid w:val="00317165"/>
    <w:rsid w:val="00317D54"/>
    <w:rsid w:val="003214AF"/>
    <w:rsid w:val="0032287D"/>
    <w:rsid w:val="00331576"/>
    <w:rsid w:val="00346B01"/>
    <w:rsid w:val="00356806"/>
    <w:rsid w:val="00376246"/>
    <w:rsid w:val="003A1C89"/>
    <w:rsid w:val="003A5B80"/>
    <w:rsid w:val="003C04DB"/>
    <w:rsid w:val="003C089A"/>
    <w:rsid w:val="003C4301"/>
    <w:rsid w:val="003D08CA"/>
    <w:rsid w:val="003D521C"/>
    <w:rsid w:val="003E33FD"/>
    <w:rsid w:val="00406B69"/>
    <w:rsid w:val="0041092C"/>
    <w:rsid w:val="00416099"/>
    <w:rsid w:val="00425EE5"/>
    <w:rsid w:val="0042721C"/>
    <w:rsid w:val="004659B8"/>
    <w:rsid w:val="00470795"/>
    <w:rsid w:val="00470803"/>
    <w:rsid w:val="00471088"/>
    <w:rsid w:val="004736ED"/>
    <w:rsid w:val="004742B5"/>
    <w:rsid w:val="00480CE5"/>
    <w:rsid w:val="00484858"/>
    <w:rsid w:val="00486110"/>
    <w:rsid w:val="00494008"/>
    <w:rsid w:val="00494279"/>
    <w:rsid w:val="004D273B"/>
    <w:rsid w:val="00520384"/>
    <w:rsid w:val="00522A0B"/>
    <w:rsid w:val="00524AF0"/>
    <w:rsid w:val="00525D9D"/>
    <w:rsid w:val="00526CEE"/>
    <w:rsid w:val="00535C80"/>
    <w:rsid w:val="00537916"/>
    <w:rsid w:val="0056099C"/>
    <w:rsid w:val="00566311"/>
    <w:rsid w:val="005778B5"/>
    <w:rsid w:val="00594377"/>
    <w:rsid w:val="005C445B"/>
    <w:rsid w:val="005E2704"/>
    <w:rsid w:val="005E2CB8"/>
    <w:rsid w:val="005E4189"/>
    <w:rsid w:val="00603A41"/>
    <w:rsid w:val="00607FCE"/>
    <w:rsid w:val="006153E3"/>
    <w:rsid w:val="00643C0A"/>
    <w:rsid w:val="006730A8"/>
    <w:rsid w:val="00686ACB"/>
    <w:rsid w:val="00690970"/>
    <w:rsid w:val="00693FDF"/>
    <w:rsid w:val="00694780"/>
    <w:rsid w:val="006B1487"/>
    <w:rsid w:val="006B6B81"/>
    <w:rsid w:val="006D02AE"/>
    <w:rsid w:val="006D0BB2"/>
    <w:rsid w:val="006D28B4"/>
    <w:rsid w:val="006E75D6"/>
    <w:rsid w:val="006F68F6"/>
    <w:rsid w:val="007152F7"/>
    <w:rsid w:val="00717B5B"/>
    <w:rsid w:val="0072265A"/>
    <w:rsid w:val="00735C19"/>
    <w:rsid w:val="00741CC5"/>
    <w:rsid w:val="007423C4"/>
    <w:rsid w:val="00780B3D"/>
    <w:rsid w:val="007A36F2"/>
    <w:rsid w:val="007B269C"/>
    <w:rsid w:val="007B5A16"/>
    <w:rsid w:val="007B71E7"/>
    <w:rsid w:val="007D453D"/>
    <w:rsid w:val="007D4C99"/>
    <w:rsid w:val="008166A8"/>
    <w:rsid w:val="008174A3"/>
    <w:rsid w:val="008269AE"/>
    <w:rsid w:val="00826EB9"/>
    <w:rsid w:val="0083794C"/>
    <w:rsid w:val="00844793"/>
    <w:rsid w:val="00847EBA"/>
    <w:rsid w:val="008546C9"/>
    <w:rsid w:val="00863C4F"/>
    <w:rsid w:val="00871920"/>
    <w:rsid w:val="00874CA6"/>
    <w:rsid w:val="00877A47"/>
    <w:rsid w:val="008915CA"/>
    <w:rsid w:val="00893806"/>
    <w:rsid w:val="008C1F12"/>
    <w:rsid w:val="00917B4A"/>
    <w:rsid w:val="00920B41"/>
    <w:rsid w:val="00923795"/>
    <w:rsid w:val="009337F3"/>
    <w:rsid w:val="00941354"/>
    <w:rsid w:val="00966876"/>
    <w:rsid w:val="0097077C"/>
    <w:rsid w:val="00974580"/>
    <w:rsid w:val="009745BA"/>
    <w:rsid w:val="0098133A"/>
    <w:rsid w:val="00984D93"/>
    <w:rsid w:val="00995EF1"/>
    <w:rsid w:val="009A7339"/>
    <w:rsid w:val="009C75E4"/>
    <w:rsid w:val="009D7125"/>
    <w:rsid w:val="009E0A9E"/>
    <w:rsid w:val="009E2618"/>
    <w:rsid w:val="00A21E33"/>
    <w:rsid w:val="00A34177"/>
    <w:rsid w:val="00A341F1"/>
    <w:rsid w:val="00A44E62"/>
    <w:rsid w:val="00A54A3C"/>
    <w:rsid w:val="00A5516E"/>
    <w:rsid w:val="00A929B5"/>
    <w:rsid w:val="00AA2D85"/>
    <w:rsid w:val="00AB12E1"/>
    <w:rsid w:val="00AB1819"/>
    <w:rsid w:val="00AC014B"/>
    <w:rsid w:val="00AD00E0"/>
    <w:rsid w:val="00AD3850"/>
    <w:rsid w:val="00AF08AC"/>
    <w:rsid w:val="00B05FE6"/>
    <w:rsid w:val="00B2049D"/>
    <w:rsid w:val="00B3763A"/>
    <w:rsid w:val="00B403FA"/>
    <w:rsid w:val="00B47830"/>
    <w:rsid w:val="00B532C6"/>
    <w:rsid w:val="00B56B83"/>
    <w:rsid w:val="00B67956"/>
    <w:rsid w:val="00B70EF8"/>
    <w:rsid w:val="00B71A32"/>
    <w:rsid w:val="00B71E0A"/>
    <w:rsid w:val="00B804C5"/>
    <w:rsid w:val="00BC03B2"/>
    <w:rsid w:val="00BC0D52"/>
    <w:rsid w:val="00BC4F01"/>
    <w:rsid w:val="00BD4904"/>
    <w:rsid w:val="00BD493B"/>
    <w:rsid w:val="00BE0AD6"/>
    <w:rsid w:val="00BE4C8F"/>
    <w:rsid w:val="00BF121B"/>
    <w:rsid w:val="00C005D3"/>
    <w:rsid w:val="00C01DF4"/>
    <w:rsid w:val="00C32ADB"/>
    <w:rsid w:val="00C42539"/>
    <w:rsid w:val="00C4728E"/>
    <w:rsid w:val="00C50ED2"/>
    <w:rsid w:val="00C52357"/>
    <w:rsid w:val="00C52505"/>
    <w:rsid w:val="00C57CDA"/>
    <w:rsid w:val="00C60B8D"/>
    <w:rsid w:val="00C61822"/>
    <w:rsid w:val="00C67CD0"/>
    <w:rsid w:val="00C81844"/>
    <w:rsid w:val="00CA2B5A"/>
    <w:rsid w:val="00CA4072"/>
    <w:rsid w:val="00CB541C"/>
    <w:rsid w:val="00CC05C4"/>
    <w:rsid w:val="00CC6149"/>
    <w:rsid w:val="00CD0956"/>
    <w:rsid w:val="00CE38D6"/>
    <w:rsid w:val="00CF21CA"/>
    <w:rsid w:val="00D010B1"/>
    <w:rsid w:val="00D02F25"/>
    <w:rsid w:val="00D1044E"/>
    <w:rsid w:val="00D50B27"/>
    <w:rsid w:val="00D75D2B"/>
    <w:rsid w:val="00D84AAA"/>
    <w:rsid w:val="00D87B93"/>
    <w:rsid w:val="00D90E89"/>
    <w:rsid w:val="00D94A1B"/>
    <w:rsid w:val="00DB6967"/>
    <w:rsid w:val="00DD5BCA"/>
    <w:rsid w:val="00DE1A16"/>
    <w:rsid w:val="00E10495"/>
    <w:rsid w:val="00E109AD"/>
    <w:rsid w:val="00E15DE9"/>
    <w:rsid w:val="00E211D0"/>
    <w:rsid w:val="00E21540"/>
    <w:rsid w:val="00E374E9"/>
    <w:rsid w:val="00E377A2"/>
    <w:rsid w:val="00E47B6B"/>
    <w:rsid w:val="00E528CC"/>
    <w:rsid w:val="00E60A84"/>
    <w:rsid w:val="00E741C1"/>
    <w:rsid w:val="00EB1B5D"/>
    <w:rsid w:val="00EC0E3F"/>
    <w:rsid w:val="00EC305F"/>
    <w:rsid w:val="00ED42D3"/>
    <w:rsid w:val="00EE55A7"/>
    <w:rsid w:val="00EF7516"/>
    <w:rsid w:val="00EF7D6B"/>
    <w:rsid w:val="00F14A9F"/>
    <w:rsid w:val="00F326E8"/>
    <w:rsid w:val="00F35E4E"/>
    <w:rsid w:val="00F37E1F"/>
    <w:rsid w:val="00F44DDC"/>
    <w:rsid w:val="00F46B7C"/>
    <w:rsid w:val="00F57F53"/>
    <w:rsid w:val="00F60CFF"/>
    <w:rsid w:val="00F7606D"/>
    <w:rsid w:val="00F8109D"/>
    <w:rsid w:val="00F853BE"/>
    <w:rsid w:val="00F86C1D"/>
    <w:rsid w:val="00F87EBA"/>
    <w:rsid w:val="00FB23F1"/>
    <w:rsid w:val="00FD057C"/>
    <w:rsid w:val="00FE112B"/>
    <w:rsid w:val="00FE2E23"/>
    <w:rsid w:val="00FF6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C80"/>
  </w:style>
  <w:style w:type="paragraph" w:styleId="Heading1">
    <w:name w:val="heading 1"/>
    <w:basedOn w:val="Normal"/>
    <w:next w:val="Normal"/>
    <w:qFormat/>
    <w:rsid w:val="00535C80"/>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rsid w:val="00535C80"/>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rsid w:val="00535C80"/>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rsid w:val="00535C80"/>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535C80"/>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rsid w:val="00535C80"/>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rsid w:val="00535C80"/>
    <w:pPr>
      <w:keepNext/>
      <w:outlineLvl w:val="6"/>
    </w:pPr>
    <w:rPr>
      <w:rFonts w:ascii="Arial" w:hAnsi="Arial"/>
      <w:b/>
      <w:snapToGrid w:val="0"/>
      <w:color w:val="000000"/>
    </w:rPr>
  </w:style>
  <w:style w:type="paragraph" w:styleId="Heading8">
    <w:name w:val="heading 8"/>
    <w:basedOn w:val="Normal"/>
    <w:next w:val="Normal"/>
    <w:qFormat/>
    <w:rsid w:val="00535C80"/>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7"/>
    </w:pPr>
    <w:rPr>
      <w:rFonts w:ascii="Arial" w:hAnsi="Arial"/>
      <w:b/>
      <w:sz w:val="28"/>
    </w:rPr>
  </w:style>
  <w:style w:type="paragraph" w:styleId="Heading9">
    <w:name w:val="heading 9"/>
    <w:basedOn w:val="Normal"/>
    <w:next w:val="Normal"/>
    <w:qFormat/>
    <w:rsid w:val="00535C80"/>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5C80"/>
    <w:pPr>
      <w:tabs>
        <w:tab w:val="center" w:pos="4320"/>
        <w:tab w:val="right" w:pos="8640"/>
      </w:tabs>
    </w:pPr>
  </w:style>
  <w:style w:type="character" w:styleId="PageNumber">
    <w:name w:val="page number"/>
    <w:basedOn w:val="DefaultParagraphFont"/>
    <w:rsid w:val="00535C80"/>
  </w:style>
  <w:style w:type="paragraph" w:styleId="BodyText">
    <w:name w:val="Body Text"/>
    <w:basedOn w:val="Normal"/>
    <w:rsid w:val="00535C80"/>
    <w:pPr>
      <w:widowControl w:val="0"/>
      <w:tabs>
        <w:tab w:val="left" w:pos="576"/>
        <w:tab w:val="left" w:pos="1440"/>
      </w:tabs>
    </w:pPr>
    <w:rPr>
      <w:rFonts w:ascii="Courier" w:hAnsi="Courier"/>
      <w:sz w:val="24"/>
    </w:rPr>
  </w:style>
  <w:style w:type="paragraph" w:styleId="BodyTextIndent">
    <w:name w:val="Body Text Indent"/>
    <w:basedOn w:val="Normal"/>
    <w:rsid w:val="00535C80"/>
    <w:pPr>
      <w:widowControl w:val="0"/>
      <w:tabs>
        <w:tab w:val="left" w:pos="576"/>
        <w:tab w:val="left" w:pos="1020"/>
        <w:tab w:val="left" w:pos="1440"/>
      </w:tabs>
      <w:ind w:left="576"/>
    </w:pPr>
    <w:rPr>
      <w:rFonts w:ascii="Courier New" w:hAnsi="Courier New"/>
      <w:sz w:val="24"/>
    </w:rPr>
  </w:style>
  <w:style w:type="paragraph" w:styleId="Header">
    <w:name w:val="header"/>
    <w:basedOn w:val="Normal"/>
    <w:link w:val="HeaderChar"/>
    <w:uiPriority w:val="99"/>
    <w:rsid w:val="00535C80"/>
    <w:pPr>
      <w:tabs>
        <w:tab w:val="center" w:pos="4320"/>
        <w:tab w:val="right" w:pos="8640"/>
      </w:tabs>
    </w:pPr>
  </w:style>
  <w:style w:type="paragraph" w:styleId="Title">
    <w:name w:val="Title"/>
    <w:basedOn w:val="Normal"/>
    <w:qFormat/>
    <w:rsid w:val="00535C80"/>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rsid w:val="00535C80"/>
    <w:pPr>
      <w:widowControl w:val="0"/>
      <w:tabs>
        <w:tab w:val="left" w:pos="810"/>
        <w:tab w:val="left" w:pos="1440"/>
      </w:tabs>
      <w:ind w:left="810" w:hanging="270"/>
    </w:pPr>
    <w:rPr>
      <w:rFonts w:ascii="Arial" w:hAnsi="Arial"/>
      <w:sz w:val="24"/>
    </w:rPr>
  </w:style>
  <w:style w:type="paragraph" w:styleId="BodyTextIndent3">
    <w:name w:val="Body Text Indent 3"/>
    <w:basedOn w:val="Normal"/>
    <w:rsid w:val="00535C80"/>
    <w:pPr>
      <w:widowControl w:val="0"/>
      <w:tabs>
        <w:tab w:val="left" w:pos="585"/>
        <w:tab w:val="left" w:pos="1440"/>
      </w:tabs>
      <w:ind w:left="585"/>
    </w:pPr>
    <w:rPr>
      <w:rFonts w:ascii="Arial" w:hAnsi="Arial"/>
      <w:b/>
      <w:sz w:val="32"/>
    </w:rPr>
  </w:style>
  <w:style w:type="paragraph" w:customStyle="1" w:styleId="TxBrc1">
    <w:name w:val="TxBr_c1"/>
    <w:basedOn w:val="Normal"/>
    <w:rsid w:val="00535C80"/>
    <w:pPr>
      <w:spacing w:line="240" w:lineRule="atLeast"/>
      <w:jc w:val="center"/>
    </w:pPr>
    <w:rPr>
      <w:snapToGrid w:val="0"/>
      <w:sz w:val="24"/>
    </w:rPr>
  </w:style>
  <w:style w:type="paragraph" w:customStyle="1" w:styleId="TxBrp2">
    <w:name w:val="TxBr_p2"/>
    <w:basedOn w:val="Normal"/>
    <w:rsid w:val="00535C80"/>
    <w:pPr>
      <w:tabs>
        <w:tab w:val="left" w:pos="204"/>
      </w:tabs>
      <w:spacing w:line="238" w:lineRule="atLeast"/>
    </w:pPr>
    <w:rPr>
      <w:snapToGrid w:val="0"/>
      <w:sz w:val="24"/>
    </w:rPr>
  </w:style>
  <w:style w:type="paragraph" w:customStyle="1" w:styleId="TxBrt1">
    <w:name w:val="TxBr_t1"/>
    <w:basedOn w:val="Normal"/>
    <w:rsid w:val="00535C80"/>
    <w:pPr>
      <w:spacing w:line="240" w:lineRule="atLeast"/>
    </w:pPr>
    <w:rPr>
      <w:snapToGrid w:val="0"/>
      <w:sz w:val="24"/>
    </w:rPr>
  </w:style>
  <w:style w:type="paragraph" w:styleId="FootnoteText">
    <w:name w:val="footnote text"/>
    <w:basedOn w:val="Normal"/>
    <w:semiHidden/>
    <w:rsid w:val="0010160C"/>
  </w:style>
  <w:style w:type="character" w:styleId="FootnoteReference">
    <w:name w:val="footnote reference"/>
    <w:basedOn w:val="DefaultParagraphFont"/>
    <w:semiHidden/>
    <w:rsid w:val="0010160C"/>
    <w:rPr>
      <w:vertAlign w:val="superscript"/>
    </w:rPr>
  </w:style>
  <w:style w:type="paragraph" w:styleId="BalloonText">
    <w:name w:val="Balloon Text"/>
    <w:basedOn w:val="Normal"/>
    <w:semiHidden/>
    <w:rsid w:val="00AF08AC"/>
    <w:rPr>
      <w:rFonts w:ascii="Tahoma" w:hAnsi="Tahoma"/>
      <w:sz w:val="16"/>
      <w:szCs w:val="16"/>
    </w:rPr>
  </w:style>
  <w:style w:type="character" w:styleId="CommentReference">
    <w:name w:val="annotation reference"/>
    <w:basedOn w:val="DefaultParagraphFont"/>
    <w:semiHidden/>
    <w:rsid w:val="000675BC"/>
    <w:rPr>
      <w:sz w:val="16"/>
      <w:szCs w:val="16"/>
    </w:rPr>
  </w:style>
  <w:style w:type="paragraph" w:styleId="CommentText">
    <w:name w:val="annotation text"/>
    <w:basedOn w:val="Normal"/>
    <w:semiHidden/>
    <w:rsid w:val="000675BC"/>
  </w:style>
  <w:style w:type="paragraph" w:styleId="CommentSubject">
    <w:name w:val="annotation subject"/>
    <w:basedOn w:val="CommentText"/>
    <w:next w:val="CommentText"/>
    <w:semiHidden/>
    <w:rsid w:val="000675BC"/>
    <w:rPr>
      <w:b/>
      <w:bCs/>
    </w:rPr>
  </w:style>
  <w:style w:type="character" w:styleId="Hyperlink">
    <w:name w:val="Hyperlink"/>
    <w:basedOn w:val="DefaultParagraphFont"/>
    <w:rsid w:val="00D50B27"/>
    <w:rPr>
      <w:color w:val="0000FF"/>
      <w:u w:val="single"/>
    </w:rPr>
  </w:style>
  <w:style w:type="character" w:styleId="FollowedHyperlink">
    <w:name w:val="FollowedHyperlink"/>
    <w:basedOn w:val="DefaultParagraphFont"/>
    <w:rsid w:val="00863C4F"/>
    <w:rPr>
      <w:color w:val="800080"/>
      <w:u w:val="single"/>
    </w:rPr>
  </w:style>
  <w:style w:type="paragraph" w:styleId="HTMLPreformatted">
    <w:name w:val="HTML Preformatted"/>
    <w:basedOn w:val="Normal"/>
    <w:link w:val="HTMLPreformattedChar"/>
    <w:uiPriority w:val="99"/>
    <w:unhideWhenUsed/>
    <w:rsid w:val="003C0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C089A"/>
    <w:rPr>
      <w:rFonts w:ascii="Courier New" w:hAnsi="Courier New" w:cs="Courier New"/>
    </w:rPr>
  </w:style>
  <w:style w:type="table" w:styleId="TableGrid">
    <w:name w:val="Table Grid"/>
    <w:basedOn w:val="TableNormal"/>
    <w:rsid w:val="00CF21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rsid w:val="00874CA6"/>
    <w:pPr>
      <w:autoSpaceDE w:val="0"/>
      <w:autoSpaceDN w:val="0"/>
    </w:pPr>
  </w:style>
  <w:style w:type="character" w:customStyle="1" w:styleId="HeaderChar">
    <w:name w:val="Header Char"/>
    <w:basedOn w:val="DefaultParagraphFont"/>
    <w:link w:val="Header"/>
    <w:uiPriority w:val="99"/>
    <w:rsid w:val="00057BEF"/>
  </w:style>
  <w:style w:type="paragraph" w:styleId="PlainText">
    <w:name w:val="Plain Text"/>
    <w:basedOn w:val="Normal"/>
    <w:link w:val="PlainTextChar"/>
    <w:uiPriority w:val="99"/>
    <w:unhideWhenUsed/>
    <w:rsid w:val="00941354"/>
    <w:rPr>
      <w:rFonts w:ascii="Consolas" w:eastAsiaTheme="minorEastAsia" w:hAnsi="Consolas"/>
      <w:sz w:val="21"/>
      <w:szCs w:val="21"/>
    </w:rPr>
  </w:style>
  <w:style w:type="character" w:customStyle="1" w:styleId="PlainTextChar">
    <w:name w:val="Plain Text Char"/>
    <w:basedOn w:val="DefaultParagraphFont"/>
    <w:link w:val="PlainText"/>
    <w:uiPriority w:val="99"/>
    <w:rsid w:val="00941354"/>
    <w:rPr>
      <w:rFonts w:ascii="Consolas" w:eastAsiaTheme="minorEastAsia" w:hAnsi="Consolas"/>
      <w:sz w:val="21"/>
      <w:szCs w:val="21"/>
    </w:rPr>
  </w:style>
</w:styles>
</file>

<file path=word/webSettings.xml><?xml version="1.0" encoding="utf-8"?>
<w:webSettings xmlns:r="http://schemas.openxmlformats.org/officeDocument/2006/relationships" xmlns:w="http://schemas.openxmlformats.org/wordprocessingml/2006/main">
  <w:divs>
    <w:div w:id="726219661">
      <w:bodyDiv w:val="1"/>
      <w:marLeft w:val="0"/>
      <w:marRight w:val="0"/>
      <w:marTop w:val="0"/>
      <w:marBottom w:val="0"/>
      <w:divBdr>
        <w:top w:val="none" w:sz="0" w:space="0" w:color="auto"/>
        <w:left w:val="none" w:sz="0" w:space="0" w:color="auto"/>
        <w:bottom w:val="none" w:sz="0" w:space="0" w:color="auto"/>
        <w:right w:val="none" w:sz="0" w:space="0" w:color="auto"/>
      </w:divBdr>
    </w:div>
    <w:div w:id="13544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port.uscg.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0904-6947-4F6D-85C7-579541C5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7137</CharactersWithSpaces>
  <SharedDoc>false</SharedDoc>
  <HLinks>
    <vt:vector size="12" baseType="variant">
      <vt:variant>
        <vt:i4>851985</vt:i4>
      </vt:variant>
      <vt:variant>
        <vt:i4>3</vt:i4>
      </vt:variant>
      <vt:variant>
        <vt:i4>0</vt:i4>
      </vt:variant>
      <vt:variant>
        <vt:i4>5</vt:i4>
      </vt:variant>
      <vt:variant>
        <vt:lpwstr>https://homeport.uscg.mil/msc</vt:lpwstr>
      </vt:variant>
      <vt:variant>
        <vt:lpwstr/>
      </vt:variant>
      <vt:variant>
        <vt:i4>2097198</vt:i4>
      </vt:variant>
      <vt:variant>
        <vt:i4>0</vt:i4>
      </vt:variant>
      <vt:variant>
        <vt:i4>0</vt:i4>
      </vt:variant>
      <vt:variant>
        <vt:i4>5</vt:i4>
      </vt:variant>
      <vt:variant>
        <vt:lpwstr>http://www.uscg.mil/top/units/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KATyler</cp:lastModifiedBy>
  <cp:revision>2</cp:revision>
  <cp:lastPrinted>2010-07-06T15:01:00Z</cp:lastPrinted>
  <dcterms:created xsi:type="dcterms:W3CDTF">2011-02-11T20:30:00Z</dcterms:created>
  <dcterms:modified xsi:type="dcterms:W3CDTF">2011-02-11T20:30:00Z</dcterms:modified>
</cp:coreProperties>
</file>