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D2" w:rsidRPr="00BF0B1D" w:rsidRDefault="004A061B" w:rsidP="004A061B">
      <w:pPr>
        <w:jc w:val="center"/>
        <w:rPr>
          <w:b/>
        </w:rPr>
      </w:pPr>
      <w:r w:rsidRPr="00BF0B1D">
        <w:rPr>
          <w:b/>
        </w:rPr>
        <w:t>Supporting Statement for Paperwork Reduction Act Submissions</w:t>
      </w:r>
    </w:p>
    <w:p w:rsidR="004A061B" w:rsidRPr="00BF0B1D" w:rsidRDefault="004A061B" w:rsidP="004A061B">
      <w:pPr>
        <w:rPr>
          <w:b/>
        </w:rPr>
      </w:pPr>
    </w:p>
    <w:p w:rsidR="004A061B" w:rsidRPr="00BF0B1D" w:rsidRDefault="004A061B" w:rsidP="00821B9B">
      <w:pPr>
        <w:pStyle w:val="ListParagraph"/>
        <w:numPr>
          <w:ilvl w:val="0"/>
          <w:numId w:val="8"/>
        </w:numPr>
        <w:rPr>
          <w:b/>
        </w:rPr>
      </w:pPr>
      <w:r w:rsidRPr="00BF0B1D">
        <w:rPr>
          <w:b/>
        </w:rPr>
        <w:t>Justification</w:t>
      </w:r>
    </w:p>
    <w:p w:rsidR="004A061B" w:rsidRPr="00BF0B1D" w:rsidRDefault="004A061B" w:rsidP="004A061B">
      <w:pPr>
        <w:pStyle w:val="ListParagraph"/>
        <w:ind w:left="360"/>
      </w:pPr>
    </w:p>
    <w:p w:rsidR="004A061B" w:rsidRPr="00BF0B1D" w:rsidRDefault="004A061B" w:rsidP="004A061B">
      <w:pPr>
        <w:pStyle w:val="ListParagraph"/>
        <w:ind w:left="360"/>
        <w:rPr>
          <w:b/>
        </w:rPr>
      </w:pPr>
      <w:r w:rsidRPr="00BF0B1D">
        <w:t xml:space="preserve">1.  </w:t>
      </w:r>
      <w:r w:rsidRPr="00BF0B1D">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061B" w:rsidRPr="00BF0B1D" w:rsidRDefault="004A061B" w:rsidP="004A061B">
      <w:pPr>
        <w:pStyle w:val="ListParagraph"/>
        <w:ind w:left="360"/>
        <w:rPr>
          <w:b/>
        </w:rPr>
      </w:pPr>
    </w:p>
    <w:p w:rsidR="00E95583" w:rsidRPr="00BF0B1D" w:rsidRDefault="00E95583" w:rsidP="004A061B">
      <w:pPr>
        <w:pStyle w:val="ListParagraph"/>
        <w:ind w:left="360"/>
      </w:pPr>
      <w:r w:rsidRPr="00BF0B1D">
        <w:t>Section 154 of the Energy Policy Act of 2005 directs HUD to develop and implement an integrated strategy to reduce utility expenses through cost-effective energy conservation and efficiency measures and design, and construction of public and assisted housing.  In support of these requirements, HUD has revised its administrative requirements in Chapter 12, “Energy Conservation” of HUD Handbook 4350.1 REV-2.  Additionally, the chapter supports HUD’s Energy Strategy as reported to Congress in August 2008 and the Memorandum of Understanding entered into by HUD, The U.S. Environmental Protection Agency, and the U.S. Department of Energy in 2002.</w:t>
      </w:r>
    </w:p>
    <w:p w:rsidR="00065F66" w:rsidRPr="00BF0B1D" w:rsidRDefault="00065F66" w:rsidP="004A061B">
      <w:pPr>
        <w:pStyle w:val="ListParagraph"/>
        <w:ind w:left="360"/>
      </w:pPr>
    </w:p>
    <w:p w:rsidR="00065F66" w:rsidRPr="00BF0B1D" w:rsidRDefault="00065F66" w:rsidP="004A061B">
      <w:pPr>
        <w:pStyle w:val="ListParagraph"/>
        <w:ind w:left="360"/>
        <w:rPr>
          <w:b/>
        </w:rPr>
      </w:pPr>
      <w:r w:rsidRPr="00BF0B1D">
        <w:rPr>
          <w:b/>
        </w:rPr>
        <w:t>2.  Indicate how, by whom, and for what purpose the information is to be used.  Except for a new collection, indicate the actual use the agency has made of the information received from the current collection.</w:t>
      </w:r>
    </w:p>
    <w:p w:rsidR="005E36CC" w:rsidRPr="00BF0B1D" w:rsidRDefault="005E36CC" w:rsidP="004A061B">
      <w:pPr>
        <w:pStyle w:val="ListParagraph"/>
        <w:ind w:left="360"/>
        <w:rPr>
          <w:b/>
        </w:rPr>
      </w:pPr>
    </w:p>
    <w:p w:rsidR="005E36CC" w:rsidRPr="00BF0B1D" w:rsidRDefault="00310C2D" w:rsidP="004A061B">
      <w:pPr>
        <w:pStyle w:val="ListParagraph"/>
        <w:ind w:left="360"/>
      </w:pPr>
      <w:r w:rsidRPr="00BF0B1D">
        <w:t xml:space="preserve">This information will be used by owners and managers </w:t>
      </w:r>
      <w:r w:rsidR="005808C9" w:rsidRPr="00BF0B1D">
        <w:t xml:space="preserve">of </w:t>
      </w:r>
      <w:r w:rsidRPr="00BF0B1D">
        <w:t>multifamily housing projects to assist with determining the necessary upgrades to the property to meet cost-effective energy efficiency standards.</w:t>
      </w:r>
    </w:p>
    <w:p w:rsidR="00310C2D" w:rsidRPr="00BF0B1D" w:rsidRDefault="00310C2D" w:rsidP="004A061B">
      <w:pPr>
        <w:pStyle w:val="ListParagraph"/>
        <w:ind w:left="360"/>
      </w:pPr>
    </w:p>
    <w:p w:rsidR="005E36CC" w:rsidRPr="00BF0B1D" w:rsidRDefault="005E36CC" w:rsidP="004A061B">
      <w:pPr>
        <w:pStyle w:val="ListParagraph"/>
        <w:ind w:left="360"/>
      </w:pPr>
      <w:r w:rsidRPr="00BF0B1D">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E36CC" w:rsidRPr="00BF0B1D" w:rsidRDefault="005E36CC" w:rsidP="004A061B">
      <w:pPr>
        <w:pStyle w:val="ListParagraph"/>
        <w:ind w:left="360"/>
      </w:pPr>
    </w:p>
    <w:p w:rsidR="00534729" w:rsidRPr="00BF0B1D" w:rsidRDefault="00310C2D" w:rsidP="004A061B">
      <w:pPr>
        <w:pStyle w:val="ListParagraph"/>
        <w:ind w:left="360"/>
      </w:pPr>
      <w:r w:rsidRPr="00BF0B1D">
        <w:t>Automation of this information collection is not feasible because the energy assessment requires owner staff to physically walk through the project and assess energy improvement needs.  In cases where the owner requests a conversion from master metered utilities to individually metered (tenant paid) utilities, the owner must provide documentation, including a statement from the utility company, a copy of the project’s latest form of compliance documentation and time frames, and comments received during the tenant review process.</w:t>
      </w:r>
    </w:p>
    <w:p w:rsidR="00310C2D" w:rsidRPr="00BF0B1D" w:rsidRDefault="00310C2D" w:rsidP="004A061B">
      <w:pPr>
        <w:pStyle w:val="ListParagraph"/>
        <w:ind w:left="360"/>
      </w:pPr>
    </w:p>
    <w:p w:rsidR="00534729" w:rsidRPr="00BF0B1D" w:rsidRDefault="00534729" w:rsidP="004A061B">
      <w:pPr>
        <w:pStyle w:val="ListParagraph"/>
        <w:ind w:left="360"/>
      </w:pPr>
      <w:r w:rsidRPr="00BF0B1D">
        <w:rPr>
          <w:b/>
        </w:rPr>
        <w:t>4.  Describe efforts to identify duplication.  Show specifically why any similar information already available cannot be used or modified for use for the purposes described in Item 2 above.</w:t>
      </w:r>
    </w:p>
    <w:p w:rsidR="00534729" w:rsidRPr="00BF0B1D" w:rsidRDefault="00534729" w:rsidP="004A061B">
      <w:pPr>
        <w:pStyle w:val="ListParagraph"/>
        <w:ind w:left="360"/>
      </w:pPr>
    </w:p>
    <w:p w:rsidR="00534729" w:rsidRPr="00BF0B1D" w:rsidRDefault="00310C2D" w:rsidP="004A061B">
      <w:pPr>
        <w:pStyle w:val="ListParagraph"/>
        <w:ind w:left="360"/>
      </w:pPr>
      <w:r w:rsidRPr="00BF0B1D">
        <w:t>There is no duplication of other sources for this information, and the information collected on form HUD-9614 by the owner is not directly provided to HUD.</w:t>
      </w:r>
    </w:p>
    <w:p w:rsidR="00310C2D" w:rsidRPr="00BF0B1D" w:rsidRDefault="00310C2D" w:rsidP="004A061B">
      <w:pPr>
        <w:pStyle w:val="ListParagraph"/>
        <w:ind w:left="360"/>
      </w:pPr>
    </w:p>
    <w:p w:rsidR="00534729" w:rsidRPr="00BF0B1D" w:rsidRDefault="00534729" w:rsidP="004A061B">
      <w:pPr>
        <w:pStyle w:val="ListParagraph"/>
        <w:ind w:left="360"/>
      </w:pPr>
      <w:r w:rsidRPr="00BF0B1D">
        <w:rPr>
          <w:b/>
        </w:rPr>
        <w:lastRenderedPageBreak/>
        <w:t xml:space="preserve">5.  If the collection of information impacts small businesses or other small entities (Item 5 of OMB form 83-I) describe any methods used </w:t>
      </w:r>
      <w:r w:rsidR="006F2968" w:rsidRPr="00BF0B1D">
        <w:rPr>
          <w:b/>
        </w:rPr>
        <w:t>to</w:t>
      </w:r>
      <w:r w:rsidRPr="00BF0B1D">
        <w:rPr>
          <w:b/>
        </w:rPr>
        <w:t xml:space="preserve"> minimize burden.</w:t>
      </w:r>
    </w:p>
    <w:p w:rsidR="00534729" w:rsidRPr="00BF0B1D" w:rsidRDefault="00534729" w:rsidP="004A061B">
      <w:pPr>
        <w:pStyle w:val="ListParagraph"/>
        <w:ind w:left="360"/>
      </w:pPr>
    </w:p>
    <w:p w:rsidR="006F2968" w:rsidRPr="00BF0B1D" w:rsidRDefault="00310C2D" w:rsidP="004A061B">
      <w:pPr>
        <w:pStyle w:val="ListParagraph"/>
        <w:ind w:left="360"/>
      </w:pPr>
      <w:r w:rsidRPr="00BF0B1D">
        <w:t>The collection of information does not involve small business or other small entities.</w:t>
      </w:r>
    </w:p>
    <w:p w:rsidR="006F2968" w:rsidRPr="00BF0B1D" w:rsidRDefault="006F2968" w:rsidP="004A061B">
      <w:pPr>
        <w:pStyle w:val="ListParagraph"/>
        <w:ind w:left="360"/>
        <w:rPr>
          <w:b/>
        </w:rPr>
      </w:pPr>
      <w:proofErr w:type="gramStart"/>
      <w:r w:rsidRPr="00BF0B1D">
        <w:rPr>
          <w:b/>
        </w:rPr>
        <w:t>6.  Describe the consequence to Federal program or policy activities if the collection is not conducted or is conducted less frequently, as well as any technical or legal obstacles to reducing burden.</w:t>
      </w:r>
      <w:proofErr w:type="gramEnd"/>
    </w:p>
    <w:p w:rsidR="006F2968" w:rsidRPr="00BF0B1D" w:rsidRDefault="006F2968" w:rsidP="004A061B">
      <w:pPr>
        <w:pStyle w:val="ListParagraph"/>
        <w:ind w:left="360"/>
        <w:rPr>
          <w:b/>
        </w:rPr>
      </w:pPr>
    </w:p>
    <w:p w:rsidR="006F2968" w:rsidRPr="00BF0B1D" w:rsidRDefault="00A762FA" w:rsidP="004A061B">
      <w:pPr>
        <w:pStyle w:val="ListParagraph"/>
        <w:ind w:left="360"/>
      </w:pPr>
      <w:r w:rsidRPr="00BF0B1D">
        <w:t xml:space="preserve">Owners are expected to certify that they are in compliance with the requirements and recommendations of Chapter 12 “Energy Conservation” of HUD Handbook 4350.1 </w:t>
      </w:r>
      <w:r w:rsidRPr="00BF0B1D">
        <w:rPr>
          <w:i/>
        </w:rPr>
        <w:t>Multifamily Asset Management</w:t>
      </w:r>
      <w:r w:rsidRPr="00BF0B1D">
        <w:t>. HUD would be in noncompliance with Section 154 of the Energy Policy Act of 2005 by failing to encourage the efficient use of energy in multifamily properties.</w:t>
      </w:r>
    </w:p>
    <w:p w:rsidR="00A762FA" w:rsidRPr="00BF0B1D" w:rsidRDefault="00A762FA" w:rsidP="004A061B">
      <w:pPr>
        <w:pStyle w:val="ListParagraph"/>
        <w:ind w:left="360"/>
      </w:pPr>
    </w:p>
    <w:p w:rsidR="006F2968" w:rsidRPr="00BF0B1D" w:rsidRDefault="006F2968" w:rsidP="004A061B">
      <w:pPr>
        <w:pStyle w:val="ListParagraph"/>
        <w:ind w:left="360"/>
        <w:rPr>
          <w:b/>
        </w:rPr>
      </w:pPr>
      <w:r w:rsidRPr="00BF0B1D">
        <w:rPr>
          <w:b/>
        </w:rPr>
        <w:t>7.  Explain any special circumstances that would cause an information collection to be conducted in a manner:</w:t>
      </w:r>
    </w:p>
    <w:p w:rsidR="006F2968" w:rsidRPr="00BF0B1D" w:rsidRDefault="00DA062E" w:rsidP="00821B9B">
      <w:pPr>
        <w:pStyle w:val="ListParagraph"/>
        <w:numPr>
          <w:ilvl w:val="0"/>
          <w:numId w:val="9"/>
        </w:numPr>
        <w:rPr>
          <w:b/>
        </w:rPr>
      </w:pPr>
      <w:r w:rsidRPr="00BF0B1D">
        <w:rPr>
          <w:b/>
        </w:rPr>
        <w:t>r</w:t>
      </w:r>
      <w:r w:rsidR="006F2968" w:rsidRPr="00BF0B1D">
        <w:rPr>
          <w:b/>
        </w:rPr>
        <w:t>equiring respondents to report information to the agency more than quarterly;</w:t>
      </w:r>
    </w:p>
    <w:p w:rsidR="006F2968" w:rsidRPr="00BF0B1D" w:rsidRDefault="00DA062E" w:rsidP="00821B9B">
      <w:pPr>
        <w:pStyle w:val="ListParagraph"/>
        <w:numPr>
          <w:ilvl w:val="0"/>
          <w:numId w:val="9"/>
        </w:numPr>
      </w:pPr>
      <w:r w:rsidRPr="00BF0B1D">
        <w:rPr>
          <w:b/>
        </w:rPr>
        <w:t>r</w:t>
      </w:r>
      <w:r w:rsidR="006F2968" w:rsidRPr="00BF0B1D">
        <w:rPr>
          <w:b/>
        </w:rPr>
        <w:t>equiring respondents to prepare a written response to a collection of information in fewer than 30 days after receipt of it;</w:t>
      </w:r>
    </w:p>
    <w:p w:rsidR="006F2968" w:rsidRPr="00BF0B1D" w:rsidRDefault="00DA062E" w:rsidP="00821B9B">
      <w:pPr>
        <w:pStyle w:val="ListParagraph"/>
        <w:numPr>
          <w:ilvl w:val="0"/>
          <w:numId w:val="9"/>
        </w:numPr>
      </w:pPr>
      <w:r w:rsidRPr="00BF0B1D">
        <w:rPr>
          <w:b/>
        </w:rPr>
        <w:t>r</w:t>
      </w:r>
      <w:r w:rsidR="00905777" w:rsidRPr="00BF0B1D">
        <w:rPr>
          <w:b/>
        </w:rPr>
        <w:t>equiring respondents to submit more than an original and two copies of any document;</w:t>
      </w:r>
    </w:p>
    <w:p w:rsidR="006F2968" w:rsidRPr="00BF0B1D" w:rsidRDefault="00DA062E" w:rsidP="00821B9B">
      <w:pPr>
        <w:pStyle w:val="ListParagraph"/>
        <w:numPr>
          <w:ilvl w:val="0"/>
          <w:numId w:val="9"/>
        </w:numPr>
      </w:pPr>
      <w:r w:rsidRPr="00BF0B1D">
        <w:rPr>
          <w:b/>
        </w:rPr>
        <w:t>r</w:t>
      </w:r>
      <w:r w:rsidR="006F2968" w:rsidRPr="00BF0B1D">
        <w:rPr>
          <w:b/>
        </w:rPr>
        <w:t xml:space="preserve">equiring </w:t>
      </w:r>
      <w:r w:rsidR="00905777" w:rsidRPr="00BF0B1D">
        <w:rPr>
          <w:b/>
        </w:rPr>
        <w:t>respondents to retain records other than health, medical, government contract, grant-in-aid, or tax records for more than three years;</w:t>
      </w:r>
    </w:p>
    <w:p w:rsidR="00905777" w:rsidRPr="00BF0B1D" w:rsidRDefault="00DA062E" w:rsidP="00821B9B">
      <w:pPr>
        <w:pStyle w:val="ListParagraph"/>
        <w:numPr>
          <w:ilvl w:val="0"/>
          <w:numId w:val="9"/>
        </w:numPr>
      </w:pPr>
      <w:r w:rsidRPr="00BF0B1D">
        <w:rPr>
          <w:b/>
        </w:rPr>
        <w:t>i</w:t>
      </w:r>
      <w:r w:rsidR="00905777" w:rsidRPr="00BF0B1D">
        <w:rPr>
          <w:b/>
        </w:rPr>
        <w:t>n connection with a statistical survey, that is not designed to produce valid and reliable results than can be generalized to the universe of study;</w:t>
      </w:r>
    </w:p>
    <w:p w:rsidR="00905777" w:rsidRPr="00BF0B1D" w:rsidRDefault="00DA062E" w:rsidP="00CE5EBE">
      <w:pPr>
        <w:pStyle w:val="ListParagraph"/>
        <w:numPr>
          <w:ilvl w:val="0"/>
          <w:numId w:val="9"/>
        </w:numPr>
      </w:pPr>
      <w:r w:rsidRPr="00BF0B1D">
        <w:rPr>
          <w:b/>
        </w:rPr>
        <w:t>r</w:t>
      </w:r>
      <w:r w:rsidR="00905777" w:rsidRPr="00BF0B1D">
        <w:rPr>
          <w:b/>
        </w:rPr>
        <w:t>equiring the use of a statistical data classification that has not been reviewed and approved by OMB;</w:t>
      </w:r>
    </w:p>
    <w:p w:rsidR="00905777" w:rsidRPr="00BF0B1D" w:rsidRDefault="00DA062E" w:rsidP="00CE5EBE">
      <w:pPr>
        <w:pStyle w:val="ListParagraph"/>
        <w:numPr>
          <w:ilvl w:val="0"/>
          <w:numId w:val="9"/>
        </w:numPr>
      </w:pPr>
      <w:r w:rsidRPr="00BF0B1D">
        <w:rPr>
          <w:b/>
        </w:rPr>
        <w:t>t</w:t>
      </w:r>
      <w:r w:rsidR="00905777" w:rsidRPr="00BF0B1D">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5777" w:rsidRPr="00BF0B1D" w:rsidRDefault="00DA062E" w:rsidP="00821B9B">
      <w:pPr>
        <w:pStyle w:val="ListParagraph"/>
        <w:numPr>
          <w:ilvl w:val="0"/>
          <w:numId w:val="9"/>
        </w:numPr>
      </w:pPr>
      <w:r w:rsidRPr="00BF0B1D">
        <w:rPr>
          <w:b/>
        </w:rPr>
        <w:t>r</w:t>
      </w:r>
      <w:r w:rsidR="00905777" w:rsidRPr="00BF0B1D">
        <w:rPr>
          <w:b/>
        </w:rPr>
        <w:t xml:space="preserve">equiring respondents to submit proprietary trade secret, or other confidential </w:t>
      </w:r>
      <w:r w:rsidRPr="00BF0B1D">
        <w:rPr>
          <w:b/>
        </w:rPr>
        <w:t>information unless the agency can demonstrate that it has instituted procedures to protect the information’s confidentiality to the extent permitted by law.</w:t>
      </w:r>
    </w:p>
    <w:p w:rsidR="00DA062E" w:rsidRPr="00BF0B1D" w:rsidRDefault="00DA062E" w:rsidP="00DA062E">
      <w:pPr>
        <w:pStyle w:val="ListParagraph"/>
        <w:ind w:left="360"/>
      </w:pPr>
    </w:p>
    <w:p w:rsidR="00460091" w:rsidRPr="00BF0B1D" w:rsidRDefault="00CE5EBE" w:rsidP="00DA062E">
      <w:pPr>
        <w:pStyle w:val="ListParagraph"/>
        <w:ind w:left="360"/>
      </w:pPr>
      <w:r w:rsidRPr="00BF0B1D">
        <w:t>There are no special circumstances for respondents.</w:t>
      </w:r>
    </w:p>
    <w:p w:rsidR="00CE5EBE" w:rsidRPr="00BF0B1D" w:rsidRDefault="00CE5EBE" w:rsidP="00DA062E">
      <w:pPr>
        <w:pStyle w:val="ListParagraph"/>
        <w:ind w:left="360"/>
      </w:pPr>
    </w:p>
    <w:p w:rsidR="00DA062E" w:rsidRPr="00BF0B1D" w:rsidRDefault="00DA062E" w:rsidP="00DA062E">
      <w:pPr>
        <w:pStyle w:val="ListParagraph"/>
        <w:ind w:left="360"/>
        <w:rPr>
          <w:b/>
        </w:rPr>
      </w:pPr>
      <w:r w:rsidRPr="00BF0B1D">
        <w:rPr>
          <w:b/>
        </w:rPr>
        <w:t>8.  If applicable, provide a copy and identif</w:t>
      </w:r>
      <w:r w:rsidR="00611766" w:rsidRPr="00BF0B1D">
        <w:rPr>
          <w:b/>
        </w:rPr>
        <w:t xml:space="preserve">y the date and page number of </w:t>
      </w:r>
      <w:r w:rsidRPr="00BF0B1D">
        <w:rPr>
          <w:b/>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3CB1" w:rsidRPr="00BF0B1D" w:rsidRDefault="00693CB1" w:rsidP="00821B9B">
      <w:pPr>
        <w:pStyle w:val="ListParagraph"/>
        <w:numPr>
          <w:ilvl w:val="0"/>
          <w:numId w:val="9"/>
        </w:numPr>
        <w:rPr>
          <w:b/>
        </w:rPr>
      </w:pPr>
      <w:r w:rsidRPr="00BF0B1D">
        <w:rPr>
          <w:b/>
        </w:rPr>
        <w:t xml:space="preserve">Describe efforts to consult with persons outside the agency to obtain their views on the availability of data, frequency of collection, the clarity of instructions and </w:t>
      </w:r>
      <w:r w:rsidRPr="00BF0B1D">
        <w:rPr>
          <w:b/>
        </w:rPr>
        <w:lastRenderedPageBreak/>
        <w:t>recordkeeping disclosure, or reporting format (if any) and the data elements to be recorded, disclosed, or reported.</w:t>
      </w:r>
    </w:p>
    <w:p w:rsidR="00693CB1" w:rsidRPr="00BF0B1D" w:rsidRDefault="00693CB1" w:rsidP="00821B9B">
      <w:pPr>
        <w:pStyle w:val="ListParagraph"/>
        <w:numPr>
          <w:ilvl w:val="0"/>
          <w:numId w:val="9"/>
        </w:numPr>
        <w:rPr>
          <w:b/>
        </w:rPr>
      </w:pPr>
      <w:r w:rsidRPr="00BF0B1D">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70215F" w:rsidRPr="00BF0B1D" w:rsidRDefault="00460091" w:rsidP="00693CB1">
      <w:pPr>
        <w:pStyle w:val="ListParagraph"/>
        <w:ind w:left="360"/>
      </w:pPr>
      <w:r w:rsidRPr="00BF0B1D">
        <w:t xml:space="preserve">     </w:t>
      </w:r>
    </w:p>
    <w:p w:rsidR="00693CB1" w:rsidRPr="00BF0B1D" w:rsidRDefault="00CE5EBE" w:rsidP="00693CB1">
      <w:pPr>
        <w:pStyle w:val="ListParagraph"/>
        <w:ind w:left="360"/>
      </w:pPr>
      <w:r w:rsidRPr="00BF0B1D">
        <w:t xml:space="preserve">Information collected is conducted in a manner consistent with the guidelines of 5 CFR 1320.8(d).  The Notice announcing this collection of information appeared in the </w:t>
      </w:r>
      <w:r w:rsidRPr="00BF0B1D">
        <w:rPr>
          <w:i/>
        </w:rPr>
        <w:t>Federal Register</w:t>
      </w:r>
      <w:r w:rsidRPr="00BF0B1D">
        <w:t xml:space="preserve"> on …</w:t>
      </w:r>
    </w:p>
    <w:p w:rsidR="00CE5EBE" w:rsidRPr="00BF0B1D" w:rsidRDefault="00CE5EBE" w:rsidP="00693CB1">
      <w:pPr>
        <w:pStyle w:val="ListParagraph"/>
        <w:ind w:left="360"/>
      </w:pPr>
      <w:r w:rsidRPr="00BF0B1D">
        <w:t xml:space="preserve">In addition, the property managers of three owners of subsidized properties were contacted in conjunction with this Paperwork Reduction Act submission.  </w:t>
      </w:r>
    </w:p>
    <w:p w:rsidR="00EB7AAD" w:rsidRPr="00BF0B1D" w:rsidRDefault="00EB7AAD" w:rsidP="00693CB1">
      <w:pPr>
        <w:pStyle w:val="ListParagraph"/>
        <w:ind w:left="360"/>
      </w:pPr>
    </w:p>
    <w:p w:rsidR="00693CB1" w:rsidRPr="00BF0B1D" w:rsidRDefault="00693CB1" w:rsidP="00693CB1">
      <w:pPr>
        <w:pStyle w:val="ListParagraph"/>
        <w:ind w:left="360"/>
        <w:rPr>
          <w:b/>
        </w:rPr>
      </w:pPr>
      <w:r w:rsidRPr="00BF0B1D">
        <w:rPr>
          <w:b/>
        </w:rPr>
        <w:t>9.  Explain any decision to provide any payment or gift to respondents, other than remuneration of contractors or grantees.</w:t>
      </w:r>
    </w:p>
    <w:p w:rsidR="00693CB1" w:rsidRPr="00BF0B1D" w:rsidRDefault="00693CB1" w:rsidP="00693CB1">
      <w:pPr>
        <w:pStyle w:val="ListParagraph"/>
        <w:ind w:left="360"/>
      </w:pPr>
    </w:p>
    <w:p w:rsidR="00693CB1" w:rsidRPr="00BF0B1D" w:rsidRDefault="00687E92" w:rsidP="00693CB1">
      <w:pPr>
        <w:pStyle w:val="ListParagraph"/>
        <w:ind w:left="360"/>
      </w:pPr>
      <w:r w:rsidRPr="00BF0B1D">
        <w:t>There are no payments or gifts to respondents.</w:t>
      </w:r>
    </w:p>
    <w:p w:rsidR="00EB7AAD" w:rsidRPr="00BF0B1D" w:rsidRDefault="00EB7AAD" w:rsidP="00693CB1">
      <w:pPr>
        <w:pStyle w:val="ListParagraph"/>
        <w:ind w:left="360"/>
      </w:pPr>
    </w:p>
    <w:p w:rsidR="00693CB1" w:rsidRPr="00BF0B1D" w:rsidRDefault="00693CB1" w:rsidP="00693CB1">
      <w:pPr>
        <w:pStyle w:val="ListParagraph"/>
        <w:ind w:left="360"/>
        <w:rPr>
          <w:b/>
        </w:rPr>
      </w:pPr>
      <w:proofErr w:type="gramStart"/>
      <w:r w:rsidRPr="00BF0B1D">
        <w:rPr>
          <w:b/>
        </w:rPr>
        <w:t>10.  Describe any assurance of confidentiality provided to respondents and the basis for assurance in statute, regulation or agency policy.</w:t>
      </w:r>
      <w:proofErr w:type="gramEnd"/>
    </w:p>
    <w:p w:rsidR="005B70E7" w:rsidRPr="00BF0B1D" w:rsidRDefault="005B70E7" w:rsidP="00693CB1">
      <w:pPr>
        <w:pStyle w:val="ListParagraph"/>
        <w:ind w:left="360"/>
        <w:rPr>
          <w:b/>
        </w:rPr>
      </w:pPr>
    </w:p>
    <w:p w:rsidR="005B70E7" w:rsidRPr="00BF0B1D" w:rsidRDefault="00687E92" w:rsidP="00693CB1">
      <w:pPr>
        <w:pStyle w:val="ListParagraph"/>
        <w:ind w:left="360"/>
      </w:pPr>
      <w:r w:rsidRPr="00BF0B1D">
        <w:t>No assurance of confidentiality, statute, regulation, or agency is provided.</w:t>
      </w:r>
    </w:p>
    <w:p w:rsidR="00687E92" w:rsidRPr="00BF0B1D" w:rsidRDefault="00687E92" w:rsidP="00693CB1">
      <w:pPr>
        <w:pStyle w:val="ListParagraph"/>
        <w:ind w:left="360"/>
      </w:pPr>
    </w:p>
    <w:p w:rsidR="005B70E7" w:rsidRPr="00BF0B1D" w:rsidRDefault="005B70E7" w:rsidP="00693CB1">
      <w:pPr>
        <w:pStyle w:val="ListParagraph"/>
        <w:ind w:left="360"/>
        <w:rPr>
          <w:b/>
        </w:rPr>
      </w:pPr>
      <w:proofErr w:type="gramStart"/>
      <w:r w:rsidRPr="00BF0B1D">
        <w:rPr>
          <w:b/>
        </w:rPr>
        <w:t>11.  Provide additional justification for any questions of a sensitive nature, such as sexual behavior and attitudes, religious beliefs, and other matters that are commonly considered private.</w:t>
      </w:r>
      <w:proofErr w:type="gramEnd"/>
      <w:r w:rsidRPr="00BF0B1D">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B70E7" w:rsidRPr="00BF0B1D" w:rsidRDefault="005B70E7" w:rsidP="00693CB1">
      <w:pPr>
        <w:pStyle w:val="ListParagraph"/>
        <w:ind w:left="360"/>
        <w:rPr>
          <w:b/>
        </w:rPr>
      </w:pPr>
    </w:p>
    <w:p w:rsidR="005B70E7" w:rsidRPr="00BF0B1D" w:rsidRDefault="00687E92" w:rsidP="00693CB1">
      <w:pPr>
        <w:pStyle w:val="ListParagraph"/>
        <w:ind w:left="360"/>
      </w:pPr>
      <w:r w:rsidRPr="00BF0B1D">
        <w:t>There are no questions of a sensitive nature.</w:t>
      </w:r>
    </w:p>
    <w:p w:rsidR="00687E92" w:rsidRPr="00BF0B1D" w:rsidRDefault="00687E92" w:rsidP="00693CB1">
      <w:pPr>
        <w:pStyle w:val="ListParagraph"/>
        <w:ind w:left="360"/>
      </w:pPr>
    </w:p>
    <w:p w:rsidR="005B70E7" w:rsidRPr="00BF0B1D" w:rsidRDefault="005B70E7" w:rsidP="00693CB1">
      <w:pPr>
        <w:pStyle w:val="ListParagraph"/>
        <w:ind w:left="360"/>
        <w:rPr>
          <w:b/>
        </w:rPr>
      </w:pPr>
      <w:r w:rsidRPr="00BF0B1D">
        <w:rPr>
          <w:b/>
        </w:rPr>
        <w:t>12.  Provide estimates of the hour burden of the collection of information.  The statement should:</w:t>
      </w:r>
    </w:p>
    <w:p w:rsidR="00684D7D" w:rsidRPr="00BF0B1D" w:rsidRDefault="00684D7D" w:rsidP="00821B9B">
      <w:pPr>
        <w:pStyle w:val="ListParagraph"/>
        <w:numPr>
          <w:ilvl w:val="0"/>
          <w:numId w:val="10"/>
        </w:numPr>
        <w:rPr>
          <w:b/>
        </w:rPr>
      </w:pPr>
      <w:proofErr w:type="gramStart"/>
      <w:r w:rsidRPr="00BF0B1D">
        <w:rPr>
          <w:b/>
        </w:rPr>
        <w:t>i</w:t>
      </w:r>
      <w:r w:rsidR="005B70E7" w:rsidRPr="00BF0B1D">
        <w:rPr>
          <w:b/>
        </w:rPr>
        <w:t>ndicate</w:t>
      </w:r>
      <w:proofErr w:type="gramEnd"/>
      <w:r w:rsidR="005B70E7" w:rsidRPr="00BF0B1D">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5B70E7" w:rsidRPr="00BF0B1D" w:rsidRDefault="00684D7D" w:rsidP="00821B9B">
      <w:pPr>
        <w:pStyle w:val="ListParagraph"/>
        <w:numPr>
          <w:ilvl w:val="0"/>
          <w:numId w:val="10"/>
        </w:numPr>
        <w:rPr>
          <w:b/>
        </w:rPr>
      </w:pPr>
      <w:r w:rsidRPr="00BF0B1D">
        <w:rPr>
          <w:b/>
        </w:rPr>
        <w:lastRenderedPageBreak/>
        <w:t>if this request covers more than one form, provide separate hour burden estimates for each form and aggregate the hour burdens in Item 13 of form OMB 83-I; and</w:t>
      </w:r>
    </w:p>
    <w:p w:rsidR="00684D7D" w:rsidRPr="00BF0B1D" w:rsidRDefault="00684D7D" w:rsidP="00821B9B">
      <w:pPr>
        <w:pStyle w:val="ListParagraph"/>
        <w:numPr>
          <w:ilvl w:val="0"/>
          <w:numId w:val="10"/>
        </w:numPr>
        <w:rPr>
          <w:b/>
        </w:rPr>
      </w:pPr>
      <w:proofErr w:type="gramStart"/>
      <w:r w:rsidRPr="00BF0B1D">
        <w:rPr>
          <w:b/>
        </w:rPr>
        <w:t>provide</w:t>
      </w:r>
      <w:proofErr w:type="gramEnd"/>
      <w:r w:rsidRPr="00BF0B1D">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8332A" w:rsidRPr="00BF0B1D" w:rsidRDefault="0058332A" w:rsidP="0058332A">
      <w:pPr>
        <w:pStyle w:val="ListParagraph"/>
        <w:ind w:left="1080"/>
        <w:rPr>
          <w:b/>
        </w:rPr>
      </w:pPr>
    </w:p>
    <w:tbl>
      <w:tblPr>
        <w:tblW w:w="10635" w:type="dxa"/>
        <w:tblInd w:w="-162" w:type="dxa"/>
        <w:tblLook w:val="04A0"/>
      </w:tblPr>
      <w:tblGrid>
        <w:gridCol w:w="1470"/>
        <w:gridCol w:w="1523"/>
        <w:gridCol w:w="1310"/>
        <w:gridCol w:w="1270"/>
        <w:gridCol w:w="1177"/>
        <w:gridCol w:w="990"/>
        <w:gridCol w:w="1260"/>
        <w:gridCol w:w="1635"/>
      </w:tblGrid>
      <w:tr w:rsidR="007C05D9" w:rsidRPr="00BF0B1D" w:rsidTr="00BF0B1D">
        <w:trPr>
          <w:trHeight w:val="300"/>
        </w:trPr>
        <w:tc>
          <w:tcPr>
            <w:tcW w:w="1470"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9165" w:type="dxa"/>
            <w:gridSpan w:val="7"/>
            <w:tcBorders>
              <w:top w:val="nil"/>
              <w:left w:val="nil"/>
              <w:bottom w:val="nil"/>
              <w:right w:val="nil"/>
            </w:tcBorders>
            <w:shd w:val="clear" w:color="auto" w:fill="auto"/>
            <w:noWrap/>
            <w:vAlign w:val="bottom"/>
            <w:hideMark/>
          </w:tcPr>
          <w:p w:rsidR="007C05D9" w:rsidRPr="00BF0B1D" w:rsidRDefault="007C05D9">
            <w:pPr>
              <w:jc w:val="center"/>
              <w:rPr>
                <w:b/>
                <w:bCs/>
                <w:color w:val="000000"/>
              </w:rPr>
            </w:pPr>
            <w:r w:rsidRPr="00BF0B1D">
              <w:rPr>
                <w:b/>
                <w:bCs/>
                <w:color w:val="000000"/>
              </w:rPr>
              <w:t>Estimates of the Hour burden of the Collection of Information</w:t>
            </w:r>
          </w:p>
        </w:tc>
      </w:tr>
      <w:tr w:rsidR="007C05D9" w:rsidRPr="00BF0B1D" w:rsidTr="00BF0B1D">
        <w:trPr>
          <w:trHeight w:val="139"/>
        </w:trPr>
        <w:tc>
          <w:tcPr>
            <w:tcW w:w="1470"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1523"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1310"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1270"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1177"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990"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1260" w:type="dxa"/>
            <w:tcBorders>
              <w:top w:val="nil"/>
              <w:left w:val="nil"/>
              <w:bottom w:val="nil"/>
              <w:right w:val="nil"/>
            </w:tcBorders>
            <w:shd w:val="clear" w:color="auto" w:fill="auto"/>
            <w:noWrap/>
            <w:vAlign w:val="bottom"/>
            <w:hideMark/>
          </w:tcPr>
          <w:p w:rsidR="007C05D9" w:rsidRPr="00BF0B1D" w:rsidRDefault="007C05D9">
            <w:pPr>
              <w:rPr>
                <w:color w:val="000000"/>
              </w:rPr>
            </w:pPr>
          </w:p>
        </w:tc>
        <w:tc>
          <w:tcPr>
            <w:tcW w:w="1635" w:type="dxa"/>
            <w:tcBorders>
              <w:top w:val="nil"/>
              <w:left w:val="nil"/>
              <w:bottom w:val="nil"/>
              <w:right w:val="nil"/>
            </w:tcBorders>
            <w:shd w:val="clear" w:color="auto" w:fill="auto"/>
            <w:noWrap/>
            <w:vAlign w:val="bottom"/>
            <w:hideMark/>
          </w:tcPr>
          <w:p w:rsidR="007C05D9" w:rsidRPr="00BF0B1D" w:rsidRDefault="007C05D9">
            <w:pPr>
              <w:rPr>
                <w:color w:val="000000"/>
              </w:rPr>
            </w:pPr>
          </w:p>
        </w:tc>
      </w:tr>
      <w:tr w:rsidR="007C05D9" w:rsidRPr="00BF0B1D" w:rsidTr="00BF0B1D">
        <w:trPr>
          <w:trHeight w:val="900"/>
        </w:trPr>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Information </w:t>
            </w:r>
            <w:r w:rsidRPr="00BF0B1D">
              <w:rPr>
                <w:b/>
                <w:bCs/>
                <w:color w:val="000000"/>
              </w:rPr>
              <w:br/>
              <w:t>Collection</w:t>
            </w:r>
          </w:p>
        </w:tc>
        <w:tc>
          <w:tcPr>
            <w:tcW w:w="1523"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Number of </w:t>
            </w:r>
            <w:r w:rsidRPr="00BF0B1D">
              <w:rPr>
                <w:b/>
                <w:bCs/>
                <w:color w:val="000000"/>
              </w:rPr>
              <w:br/>
              <w:t>Respondents</w:t>
            </w:r>
          </w:p>
        </w:tc>
        <w:tc>
          <w:tcPr>
            <w:tcW w:w="1310"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Frequency </w:t>
            </w:r>
            <w:r w:rsidRPr="00BF0B1D">
              <w:rPr>
                <w:b/>
                <w:bCs/>
                <w:color w:val="000000"/>
              </w:rPr>
              <w:br/>
              <w:t>of Response</w:t>
            </w:r>
          </w:p>
        </w:tc>
        <w:tc>
          <w:tcPr>
            <w:tcW w:w="1270"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Total </w:t>
            </w:r>
            <w:r w:rsidRPr="00BF0B1D">
              <w:rPr>
                <w:b/>
                <w:bCs/>
                <w:color w:val="000000"/>
              </w:rPr>
              <w:br/>
              <w:t xml:space="preserve">Annual </w:t>
            </w:r>
            <w:r w:rsidRPr="00BF0B1D">
              <w:rPr>
                <w:b/>
                <w:bCs/>
                <w:color w:val="000000"/>
              </w:rPr>
              <w:br/>
              <w:t>Responses</w:t>
            </w:r>
          </w:p>
        </w:tc>
        <w:tc>
          <w:tcPr>
            <w:tcW w:w="1177"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Burden </w:t>
            </w:r>
            <w:r w:rsidRPr="00BF0B1D">
              <w:rPr>
                <w:b/>
                <w:bCs/>
                <w:color w:val="000000"/>
              </w:rPr>
              <w:br/>
              <w:t xml:space="preserve">Hours per </w:t>
            </w:r>
            <w:r w:rsidRPr="00BF0B1D">
              <w:rPr>
                <w:b/>
                <w:bCs/>
                <w:color w:val="000000"/>
              </w:rPr>
              <w:br/>
              <w:t>Response</w:t>
            </w:r>
          </w:p>
        </w:tc>
        <w:tc>
          <w:tcPr>
            <w:tcW w:w="990"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Annual </w:t>
            </w:r>
            <w:r w:rsidRPr="00BF0B1D">
              <w:rPr>
                <w:b/>
                <w:bCs/>
                <w:color w:val="000000"/>
              </w:rPr>
              <w:br/>
              <w:t xml:space="preserve">Burden </w:t>
            </w:r>
            <w:r w:rsidRPr="00BF0B1D">
              <w:rPr>
                <w:b/>
                <w:bCs/>
                <w:color w:val="000000"/>
              </w:rPr>
              <w:br/>
              <w:t>Hours</w:t>
            </w:r>
          </w:p>
        </w:tc>
        <w:tc>
          <w:tcPr>
            <w:tcW w:w="1260"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Hourly </w:t>
            </w:r>
            <w:r w:rsidRPr="00BF0B1D">
              <w:rPr>
                <w:b/>
                <w:bCs/>
                <w:color w:val="000000"/>
              </w:rPr>
              <w:br/>
              <w:t>Cost</w:t>
            </w:r>
          </w:p>
        </w:tc>
        <w:tc>
          <w:tcPr>
            <w:tcW w:w="1635" w:type="dxa"/>
            <w:tcBorders>
              <w:top w:val="single" w:sz="4" w:space="0" w:color="auto"/>
              <w:left w:val="nil"/>
              <w:bottom w:val="single" w:sz="4" w:space="0" w:color="auto"/>
              <w:right w:val="single" w:sz="4" w:space="0" w:color="auto"/>
            </w:tcBorders>
            <w:shd w:val="clear" w:color="auto" w:fill="auto"/>
            <w:hideMark/>
          </w:tcPr>
          <w:p w:rsidR="007C05D9" w:rsidRPr="00BF0B1D" w:rsidRDefault="007C05D9">
            <w:pPr>
              <w:jc w:val="center"/>
              <w:rPr>
                <w:b/>
                <w:bCs/>
                <w:color w:val="000000"/>
              </w:rPr>
            </w:pPr>
            <w:r w:rsidRPr="00BF0B1D">
              <w:rPr>
                <w:b/>
                <w:bCs/>
                <w:color w:val="000000"/>
              </w:rPr>
              <w:t xml:space="preserve">Total Annual </w:t>
            </w:r>
            <w:r w:rsidRPr="00BF0B1D">
              <w:rPr>
                <w:b/>
                <w:bCs/>
                <w:color w:val="000000"/>
              </w:rPr>
              <w:br/>
              <w:t>Cost</w:t>
            </w:r>
          </w:p>
        </w:tc>
      </w:tr>
      <w:tr w:rsidR="007C05D9" w:rsidRPr="00BF0B1D" w:rsidTr="00BF0B1D">
        <w:trPr>
          <w:trHeight w:val="42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HUD-9614</w:t>
            </w:r>
          </w:p>
        </w:tc>
        <w:tc>
          <w:tcPr>
            <w:tcW w:w="1523"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10,295</w:t>
            </w:r>
          </w:p>
        </w:tc>
        <w:tc>
          <w:tcPr>
            <w:tcW w:w="131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1</w:t>
            </w:r>
          </w:p>
        </w:tc>
        <w:tc>
          <w:tcPr>
            <w:tcW w:w="127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10,295</w:t>
            </w:r>
          </w:p>
        </w:tc>
        <w:tc>
          <w:tcPr>
            <w:tcW w:w="1177"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8</w:t>
            </w:r>
          </w:p>
        </w:tc>
        <w:tc>
          <w:tcPr>
            <w:tcW w:w="99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82,360</w:t>
            </w:r>
          </w:p>
        </w:tc>
        <w:tc>
          <w:tcPr>
            <w:tcW w:w="126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    22.00</w:t>
            </w:r>
          </w:p>
        </w:tc>
        <w:tc>
          <w:tcPr>
            <w:tcW w:w="1635"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    1,811,920</w:t>
            </w:r>
          </w:p>
        </w:tc>
      </w:tr>
      <w:tr w:rsidR="007C05D9" w:rsidRPr="00BF0B1D" w:rsidTr="00BF0B1D">
        <w:trPr>
          <w:trHeight w:val="900"/>
        </w:trPr>
        <w:tc>
          <w:tcPr>
            <w:tcW w:w="1470" w:type="dxa"/>
            <w:tcBorders>
              <w:top w:val="nil"/>
              <w:left w:val="single" w:sz="4" w:space="0" w:color="auto"/>
              <w:bottom w:val="single" w:sz="4" w:space="0" w:color="auto"/>
              <w:right w:val="single" w:sz="4" w:space="0" w:color="auto"/>
            </w:tcBorders>
            <w:shd w:val="clear" w:color="auto" w:fill="auto"/>
            <w:vAlign w:val="center"/>
            <w:hideMark/>
          </w:tcPr>
          <w:p w:rsidR="007C05D9" w:rsidRPr="00BF0B1D" w:rsidRDefault="007C05D9" w:rsidP="007C05D9">
            <w:pPr>
              <w:jc w:val="center"/>
              <w:rPr>
                <w:color w:val="000000"/>
              </w:rPr>
            </w:pPr>
            <w:r w:rsidRPr="00BF0B1D">
              <w:rPr>
                <w:color w:val="000000"/>
              </w:rPr>
              <w:t>Certification of Compliance</w:t>
            </w:r>
          </w:p>
        </w:tc>
        <w:tc>
          <w:tcPr>
            <w:tcW w:w="1523"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5,148</w:t>
            </w:r>
          </w:p>
        </w:tc>
        <w:tc>
          <w:tcPr>
            <w:tcW w:w="131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1</w:t>
            </w:r>
          </w:p>
        </w:tc>
        <w:tc>
          <w:tcPr>
            <w:tcW w:w="127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5,148</w:t>
            </w:r>
          </w:p>
        </w:tc>
        <w:tc>
          <w:tcPr>
            <w:tcW w:w="1177"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0.25</w:t>
            </w:r>
          </w:p>
        </w:tc>
        <w:tc>
          <w:tcPr>
            <w:tcW w:w="99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1,287</w:t>
            </w:r>
          </w:p>
        </w:tc>
        <w:tc>
          <w:tcPr>
            <w:tcW w:w="126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    22.00</w:t>
            </w:r>
          </w:p>
        </w:tc>
        <w:tc>
          <w:tcPr>
            <w:tcW w:w="1635"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          28,31</w:t>
            </w:r>
            <w:r w:rsidR="00C2367D">
              <w:rPr>
                <w:color w:val="000000"/>
              </w:rPr>
              <w:t>4</w:t>
            </w:r>
          </w:p>
        </w:tc>
      </w:tr>
      <w:tr w:rsidR="007C05D9" w:rsidRPr="00BF0B1D" w:rsidTr="00BF0B1D">
        <w:trPr>
          <w:trHeight w:val="42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Total</w:t>
            </w:r>
          </w:p>
        </w:tc>
        <w:tc>
          <w:tcPr>
            <w:tcW w:w="1523"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1</w:t>
            </w:r>
            <w:r w:rsidR="00BF0B1D">
              <w:rPr>
                <w:color w:val="000000"/>
              </w:rPr>
              <w:t>0,295</w:t>
            </w:r>
          </w:p>
        </w:tc>
        <w:tc>
          <w:tcPr>
            <w:tcW w:w="131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p>
        </w:tc>
        <w:tc>
          <w:tcPr>
            <w:tcW w:w="1270" w:type="dxa"/>
            <w:tcBorders>
              <w:top w:val="nil"/>
              <w:left w:val="nil"/>
              <w:bottom w:val="single" w:sz="4" w:space="0" w:color="auto"/>
              <w:right w:val="single" w:sz="4" w:space="0" w:color="auto"/>
            </w:tcBorders>
            <w:shd w:val="clear" w:color="auto" w:fill="auto"/>
            <w:noWrap/>
            <w:vAlign w:val="center"/>
            <w:hideMark/>
          </w:tcPr>
          <w:p w:rsidR="007C05D9" w:rsidRPr="00BF0B1D" w:rsidRDefault="00BF0B1D" w:rsidP="007C05D9">
            <w:pPr>
              <w:jc w:val="center"/>
              <w:rPr>
                <w:color w:val="000000"/>
              </w:rPr>
            </w:pPr>
            <w:r>
              <w:rPr>
                <w:color w:val="000000"/>
              </w:rPr>
              <w:t>10,295</w:t>
            </w:r>
          </w:p>
        </w:tc>
        <w:tc>
          <w:tcPr>
            <w:tcW w:w="1177"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p>
        </w:tc>
        <w:tc>
          <w:tcPr>
            <w:tcW w:w="99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83,647</w:t>
            </w:r>
          </w:p>
        </w:tc>
        <w:tc>
          <w:tcPr>
            <w:tcW w:w="1260"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p>
        </w:tc>
        <w:tc>
          <w:tcPr>
            <w:tcW w:w="1635" w:type="dxa"/>
            <w:tcBorders>
              <w:top w:val="nil"/>
              <w:left w:val="nil"/>
              <w:bottom w:val="single" w:sz="4" w:space="0" w:color="auto"/>
              <w:right w:val="single" w:sz="4" w:space="0" w:color="auto"/>
            </w:tcBorders>
            <w:shd w:val="clear" w:color="auto" w:fill="auto"/>
            <w:noWrap/>
            <w:vAlign w:val="center"/>
            <w:hideMark/>
          </w:tcPr>
          <w:p w:rsidR="007C05D9" w:rsidRPr="00BF0B1D" w:rsidRDefault="007C05D9" w:rsidP="007C05D9">
            <w:pPr>
              <w:jc w:val="center"/>
              <w:rPr>
                <w:color w:val="000000"/>
              </w:rPr>
            </w:pPr>
            <w:r w:rsidRPr="00BF0B1D">
              <w:rPr>
                <w:color w:val="000000"/>
              </w:rPr>
              <w:t>$    1,840,23</w:t>
            </w:r>
            <w:r w:rsidR="00C2367D">
              <w:rPr>
                <w:color w:val="000000"/>
              </w:rPr>
              <w:t>4</w:t>
            </w:r>
          </w:p>
        </w:tc>
      </w:tr>
    </w:tbl>
    <w:p w:rsidR="007C05D9" w:rsidRPr="00BF0B1D" w:rsidRDefault="007C05D9" w:rsidP="00712EBB">
      <w:bookmarkStart w:id="0" w:name="BurdenCalc"/>
      <w:bookmarkEnd w:id="0"/>
      <w:r w:rsidRPr="00BF0B1D">
        <w:t>Estimated number of responses for Certification of Compliance is based on 5% of total respondents that may request a budget</w:t>
      </w:r>
      <w:r w:rsidR="005808C9" w:rsidRPr="00BF0B1D">
        <w:t xml:space="preserve"> based</w:t>
      </w:r>
      <w:r w:rsidRPr="00BF0B1D">
        <w:t xml:space="preserve"> rent increase and as a result will be required to provide a certification of compliance with HUD Handbook 4350.1, Chapter 12.</w:t>
      </w:r>
    </w:p>
    <w:p w:rsidR="007C05D9" w:rsidRPr="00BF0B1D" w:rsidRDefault="007C05D9" w:rsidP="00712EBB"/>
    <w:p w:rsidR="007C05D9" w:rsidRPr="00BF0B1D" w:rsidRDefault="007C05D9" w:rsidP="00712EBB">
      <w:r w:rsidRPr="00BF0B1D">
        <w:t>Hourly cost is based on an estimate of the owner or owner’s staff to perform the energy assessment and prepare the necessary documents if developing an energy conservation plan, or requesting a utility conversion</w:t>
      </w:r>
      <w:r w:rsidR="002D2895" w:rsidRPr="00BF0B1D">
        <w:t>.  Estimated hourly costs were obtained from payscale.com.</w:t>
      </w:r>
    </w:p>
    <w:p w:rsidR="007C05D9" w:rsidRPr="00BF0B1D" w:rsidRDefault="007C05D9" w:rsidP="00712EBB">
      <w:pPr>
        <w:rPr>
          <w:b/>
        </w:rPr>
      </w:pPr>
    </w:p>
    <w:p w:rsidR="00712EBB" w:rsidRPr="00BF0B1D" w:rsidRDefault="00712EBB" w:rsidP="00712EBB">
      <w:pPr>
        <w:rPr>
          <w:b/>
        </w:rPr>
      </w:pPr>
      <w:r w:rsidRPr="00BF0B1D">
        <w:rPr>
          <w:b/>
        </w:rPr>
        <w:t>13.  Provide an estimate of the total annual cost burden to respondents or record</w:t>
      </w:r>
      <w:r w:rsidR="00687E92" w:rsidRPr="00BF0B1D">
        <w:rPr>
          <w:b/>
        </w:rPr>
        <w:t xml:space="preserve"> </w:t>
      </w:r>
      <w:r w:rsidRPr="00BF0B1D">
        <w:rPr>
          <w:b/>
        </w:rPr>
        <w:t xml:space="preserve">keepers resulting from the collection of information (do not include the cost of any hour burden shown in items 12 and 14).  </w:t>
      </w:r>
    </w:p>
    <w:p w:rsidR="00460091" w:rsidRPr="00BF0B1D" w:rsidRDefault="00460091" w:rsidP="00712EBB">
      <w:pPr>
        <w:rPr>
          <w:b/>
        </w:rPr>
      </w:pPr>
    </w:p>
    <w:p w:rsidR="00712EBB" w:rsidRPr="00BF0B1D" w:rsidRDefault="00712EBB" w:rsidP="00712EBB">
      <w:pPr>
        <w:pStyle w:val="ListParagraph"/>
        <w:numPr>
          <w:ilvl w:val="0"/>
          <w:numId w:val="12"/>
        </w:numPr>
        <w:rPr>
          <w:b/>
        </w:rPr>
      </w:pPr>
      <w:r w:rsidRPr="00BF0B1D">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w:t>
      </w:r>
      <w:r w:rsidR="008253B4" w:rsidRPr="00BF0B1D">
        <w:rPr>
          <w:b/>
        </w:rPr>
        <w:t xml:space="preserve"> such as pu</w:t>
      </w:r>
      <w:r w:rsidRPr="00BF0B1D">
        <w:rPr>
          <w:b/>
        </w:rPr>
        <w:t>rchasing comp</w:t>
      </w:r>
      <w:r w:rsidR="008253B4" w:rsidRPr="00BF0B1D">
        <w:rPr>
          <w:b/>
        </w:rPr>
        <w:t>u</w:t>
      </w:r>
      <w:r w:rsidRPr="00BF0B1D">
        <w:rPr>
          <w:b/>
        </w:rPr>
        <w:t>ters</w:t>
      </w:r>
      <w:r w:rsidR="008253B4" w:rsidRPr="00BF0B1D">
        <w:rPr>
          <w:b/>
        </w:rPr>
        <w:t xml:space="preserve"> and software; monitoring, sampling, drilling and testing equipment; and record storage facilities;</w:t>
      </w:r>
    </w:p>
    <w:p w:rsidR="00184CF9" w:rsidRPr="00BF0B1D" w:rsidRDefault="00184CF9" w:rsidP="00184CF9">
      <w:pPr>
        <w:pStyle w:val="ListParagraph"/>
        <w:ind w:left="0"/>
        <w:rPr>
          <w:b/>
        </w:rPr>
      </w:pPr>
    </w:p>
    <w:p w:rsidR="008253B4" w:rsidRPr="00BF0B1D" w:rsidRDefault="008253B4" w:rsidP="00712EBB">
      <w:pPr>
        <w:pStyle w:val="ListParagraph"/>
        <w:numPr>
          <w:ilvl w:val="0"/>
          <w:numId w:val="12"/>
        </w:numPr>
        <w:rPr>
          <w:b/>
        </w:rPr>
      </w:pPr>
      <w:r w:rsidRPr="00BF0B1D">
        <w:rPr>
          <w:b/>
        </w:rPr>
        <w:t xml:space="preserve">If cost estimates are expected to vary widely, agencies should present ranges of cost burdens and explain the reasons for the variance.  The cost of purchasing or </w:t>
      </w:r>
      <w:r w:rsidRPr="00BF0B1D">
        <w:rPr>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0091" w:rsidRPr="00BF0B1D" w:rsidRDefault="00460091" w:rsidP="00460091">
      <w:pPr>
        <w:pStyle w:val="ListParagraph"/>
        <w:rPr>
          <w:b/>
        </w:rPr>
      </w:pPr>
    </w:p>
    <w:p w:rsidR="008253B4" w:rsidRPr="00BF0B1D" w:rsidRDefault="008253B4" w:rsidP="00712EBB">
      <w:pPr>
        <w:pStyle w:val="ListParagraph"/>
        <w:numPr>
          <w:ilvl w:val="0"/>
          <w:numId w:val="12"/>
        </w:numPr>
      </w:pPr>
      <w:r w:rsidRPr="00BF0B1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253B4" w:rsidRPr="00BF0B1D" w:rsidRDefault="008253B4" w:rsidP="008253B4"/>
    <w:p w:rsidR="00184CF9" w:rsidRPr="00BF0B1D" w:rsidRDefault="00184CF9" w:rsidP="00184CF9">
      <w:r w:rsidRPr="00BF0B1D">
        <w:t>There are no additional costs to respondents.</w:t>
      </w:r>
    </w:p>
    <w:p w:rsidR="008253B4" w:rsidRPr="00BF0B1D" w:rsidRDefault="008253B4" w:rsidP="008253B4"/>
    <w:p w:rsidR="008253B4" w:rsidRPr="00BF0B1D" w:rsidRDefault="008253B4" w:rsidP="008253B4">
      <w:pPr>
        <w:rPr>
          <w:b/>
        </w:rPr>
      </w:pPr>
      <w:r w:rsidRPr="00BF0B1D">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w:t>
      </w:r>
      <w:r w:rsidR="00151282" w:rsidRPr="00BF0B1D">
        <w:rPr>
          <w:b/>
        </w:rPr>
        <w:t>gencies also may aggregate cost estimates from Items 12, 13, and 14 in a single table.</w:t>
      </w:r>
    </w:p>
    <w:p w:rsidR="00151282" w:rsidRPr="00BF0B1D" w:rsidRDefault="00151282" w:rsidP="008253B4">
      <w:pPr>
        <w:rPr>
          <w:b/>
        </w:rPr>
      </w:pPr>
    </w:p>
    <w:tbl>
      <w:tblPr>
        <w:tblW w:w="8565" w:type="dxa"/>
        <w:tblInd w:w="93" w:type="dxa"/>
        <w:tblLook w:val="04A0"/>
      </w:tblPr>
      <w:tblGrid>
        <w:gridCol w:w="1470"/>
        <w:gridCol w:w="1270"/>
        <w:gridCol w:w="1360"/>
        <w:gridCol w:w="1469"/>
        <w:gridCol w:w="889"/>
        <w:gridCol w:w="281"/>
        <w:gridCol w:w="1039"/>
        <w:gridCol w:w="787"/>
      </w:tblGrid>
      <w:tr w:rsidR="002D2895" w:rsidRPr="00BF0B1D" w:rsidTr="00793599">
        <w:trPr>
          <w:gridAfter w:val="1"/>
          <w:wAfter w:w="787" w:type="dxa"/>
          <w:trHeight w:val="300"/>
        </w:trPr>
        <w:tc>
          <w:tcPr>
            <w:tcW w:w="7778" w:type="dxa"/>
            <w:gridSpan w:val="7"/>
            <w:tcBorders>
              <w:top w:val="nil"/>
              <w:left w:val="nil"/>
              <w:bottom w:val="nil"/>
              <w:right w:val="nil"/>
            </w:tcBorders>
            <w:shd w:val="clear" w:color="auto" w:fill="auto"/>
            <w:noWrap/>
            <w:vAlign w:val="bottom"/>
            <w:hideMark/>
          </w:tcPr>
          <w:p w:rsidR="002D2895" w:rsidRPr="00BF0B1D" w:rsidRDefault="002D2895">
            <w:pPr>
              <w:jc w:val="center"/>
              <w:rPr>
                <w:b/>
                <w:bCs/>
                <w:color w:val="000000"/>
              </w:rPr>
            </w:pPr>
            <w:r w:rsidRPr="00BF0B1D">
              <w:rPr>
                <w:b/>
                <w:bCs/>
                <w:color w:val="000000"/>
              </w:rPr>
              <w:t xml:space="preserve">Estimates of Annualized Cost </w:t>
            </w:r>
          </w:p>
          <w:p w:rsidR="002D2895" w:rsidRPr="00BF0B1D" w:rsidRDefault="002D2895">
            <w:pPr>
              <w:jc w:val="center"/>
              <w:rPr>
                <w:b/>
                <w:bCs/>
                <w:color w:val="000000"/>
              </w:rPr>
            </w:pPr>
            <w:r w:rsidRPr="00BF0B1D">
              <w:rPr>
                <w:b/>
                <w:bCs/>
                <w:color w:val="000000"/>
              </w:rPr>
              <w:t>to the Federal Government</w:t>
            </w:r>
          </w:p>
        </w:tc>
      </w:tr>
      <w:tr w:rsidR="002D2895" w:rsidRPr="00BF0B1D" w:rsidTr="00793599">
        <w:trPr>
          <w:gridAfter w:val="1"/>
          <w:wAfter w:w="787" w:type="dxa"/>
          <w:trHeight w:val="139"/>
        </w:trPr>
        <w:tc>
          <w:tcPr>
            <w:tcW w:w="2740" w:type="dxa"/>
            <w:gridSpan w:val="2"/>
            <w:tcBorders>
              <w:top w:val="nil"/>
              <w:left w:val="nil"/>
              <w:bottom w:val="nil"/>
              <w:right w:val="nil"/>
            </w:tcBorders>
            <w:shd w:val="clear" w:color="auto" w:fill="auto"/>
            <w:noWrap/>
            <w:vAlign w:val="bottom"/>
            <w:hideMark/>
          </w:tcPr>
          <w:p w:rsidR="002D2895" w:rsidRPr="00BF0B1D" w:rsidRDefault="002D2895">
            <w:pPr>
              <w:rPr>
                <w:color w:val="000000"/>
              </w:rPr>
            </w:pPr>
          </w:p>
        </w:tc>
        <w:tc>
          <w:tcPr>
            <w:tcW w:w="1360" w:type="dxa"/>
            <w:tcBorders>
              <w:top w:val="nil"/>
              <w:left w:val="nil"/>
              <w:bottom w:val="nil"/>
              <w:right w:val="nil"/>
            </w:tcBorders>
            <w:shd w:val="clear" w:color="auto" w:fill="auto"/>
            <w:noWrap/>
            <w:vAlign w:val="bottom"/>
            <w:hideMark/>
          </w:tcPr>
          <w:p w:rsidR="002D2895" w:rsidRPr="00BF0B1D" w:rsidRDefault="002D2895">
            <w:pPr>
              <w:rPr>
                <w:color w:val="000000"/>
              </w:rPr>
            </w:pPr>
          </w:p>
        </w:tc>
        <w:tc>
          <w:tcPr>
            <w:tcW w:w="1469" w:type="dxa"/>
            <w:tcBorders>
              <w:top w:val="nil"/>
              <w:left w:val="nil"/>
              <w:bottom w:val="nil"/>
              <w:right w:val="nil"/>
            </w:tcBorders>
            <w:shd w:val="clear" w:color="auto" w:fill="auto"/>
            <w:noWrap/>
            <w:vAlign w:val="bottom"/>
            <w:hideMark/>
          </w:tcPr>
          <w:p w:rsidR="002D2895" w:rsidRPr="00BF0B1D" w:rsidRDefault="002D2895">
            <w:pPr>
              <w:rPr>
                <w:color w:val="000000"/>
              </w:rPr>
            </w:pPr>
          </w:p>
        </w:tc>
        <w:tc>
          <w:tcPr>
            <w:tcW w:w="889" w:type="dxa"/>
            <w:tcBorders>
              <w:top w:val="nil"/>
              <w:left w:val="nil"/>
              <w:bottom w:val="nil"/>
              <w:right w:val="nil"/>
            </w:tcBorders>
            <w:shd w:val="clear" w:color="auto" w:fill="auto"/>
            <w:noWrap/>
            <w:vAlign w:val="bottom"/>
            <w:hideMark/>
          </w:tcPr>
          <w:p w:rsidR="002D2895" w:rsidRPr="00BF0B1D" w:rsidRDefault="002D2895">
            <w:pPr>
              <w:rPr>
                <w:color w:val="000000"/>
              </w:rPr>
            </w:pPr>
          </w:p>
        </w:tc>
        <w:tc>
          <w:tcPr>
            <w:tcW w:w="1320" w:type="dxa"/>
            <w:gridSpan w:val="2"/>
            <w:tcBorders>
              <w:top w:val="nil"/>
              <w:left w:val="nil"/>
              <w:bottom w:val="nil"/>
              <w:right w:val="nil"/>
            </w:tcBorders>
            <w:shd w:val="clear" w:color="auto" w:fill="auto"/>
            <w:noWrap/>
            <w:vAlign w:val="bottom"/>
            <w:hideMark/>
          </w:tcPr>
          <w:p w:rsidR="002D2895" w:rsidRPr="00BF0B1D" w:rsidRDefault="002D2895">
            <w:pPr>
              <w:rPr>
                <w:color w:val="000000"/>
              </w:rPr>
            </w:pPr>
          </w:p>
        </w:tc>
      </w:tr>
      <w:tr w:rsidR="00EB7AAD" w:rsidRPr="00BF0B1D" w:rsidTr="00793599">
        <w:trPr>
          <w:trHeight w:val="900"/>
        </w:trPr>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EB7AAD" w:rsidRPr="00BF0B1D" w:rsidRDefault="00EB7AAD" w:rsidP="00EB7AAD">
            <w:pPr>
              <w:jc w:val="center"/>
              <w:rPr>
                <w:b/>
                <w:bCs/>
                <w:color w:val="000000"/>
              </w:rPr>
            </w:pPr>
            <w:r w:rsidRPr="00BF0B1D">
              <w:rPr>
                <w:b/>
                <w:bCs/>
                <w:color w:val="000000"/>
              </w:rPr>
              <w:t xml:space="preserve">Information </w:t>
            </w:r>
            <w:r w:rsidRPr="00BF0B1D">
              <w:rPr>
                <w:b/>
                <w:bCs/>
                <w:color w:val="000000"/>
              </w:rPr>
              <w:br/>
              <w:t>Collection</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B7AAD" w:rsidRPr="00BF0B1D" w:rsidRDefault="00EB7AAD" w:rsidP="00EB7AAD">
            <w:pPr>
              <w:jc w:val="center"/>
              <w:rPr>
                <w:b/>
                <w:bCs/>
                <w:color w:val="000000"/>
              </w:rPr>
            </w:pPr>
            <w:r w:rsidRPr="00BF0B1D">
              <w:rPr>
                <w:b/>
                <w:bCs/>
                <w:color w:val="000000"/>
              </w:rPr>
              <w:t>Total Annual</w:t>
            </w:r>
            <w:r w:rsidRPr="00BF0B1D">
              <w:rPr>
                <w:b/>
                <w:bCs/>
                <w:color w:val="000000"/>
              </w:rPr>
              <w:br/>
              <w:t>Responses</w:t>
            </w:r>
          </w:p>
        </w:tc>
        <w:tc>
          <w:tcPr>
            <w:tcW w:w="1360" w:type="dxa"/>
            <w:tcBorders>
              <w:top w:val="single" w:sz="4" w:space="0" w:color="auto"/>
              <w:left w:val="nil"/>
              <w:bottom w:val="single" w:sz="4" w:space="0" w:color="auto"/>
              <w:right w:val="single" w:sz="4" w:space="0" w:color="auto"/>
            </w:tcBorders>
            <w:shd w:val="clear" w:color="auto" w:fill="auto"/>
            <w:hideMark/>
          </w:tcPr>
          <w:p w:rsidR="00EB7AAD" w:rsidRPr="00BF0B1D" w:rsidRDefault="00EB7AAD">
            <w:pPr>
              <w:jc w:val="center"/>
              <w:rPr>
                <w:b/>
                <w:bCs/>
                <w:color w:val="000000"/>
              </w:rPr>
            </w:pPr>
            <w:r w:rsidRPr="00BF0B1D">
              <w:rPr>
                <w:b/>
                <w:bCs/>
                <w:color w:val="000000"/>
              </w:rPr>
              <w:t>Burden Hours</w:t>
            </w:r>
            <w:r w:rsidRPr="00BF0B1D">
              <w:rPr>
                <w:b/>
                <w:bCs/>
                <w:color w:val="000000"/>
              </w:rPr>
              <w:br/>
              <w:t>per Response</w:t>
            </w:r>
          </w:p>
        </w:tc>
        <w:tc>
          <w:tcPr>
            <w:tcW w:w="1469" w:type="dxa"/>
            <w:tcBorders>
              <w:top w:val="single" w:sz="4" w:space="0" w:color="auto"/>
              <w:left w:val="nil"/>
              <w:bottom w:val="single" w:sz="4" w:space="0" w:color="auto"/>
              <w:right w:val="single" w:sz="4" w:space="0" w:color="auto"/>
            </w:tcBorders>
            <w:shd w:val="clear" w:color="auto" w:fill="auto"/>
            <w:hideMark/>
          </w:tcPr>
          <w:p w:rsidR="00EB7AAD" w:rsidRPr="00BF0B1D" w:rsidRDefault="00EB7AAD">
            <w:pPr>
              <w:jc w:val="center"/>
              <w:rPr>
                <w:b/>
                <w:bCs/>
                <w:color w:val="000000"/>
              </w:rPr>
            </w:pPr>
            <w:r w:rsidRPr="00BF0B1D">
              <w:rPr>
                <w:b/>
                <w:bCs/>
                <w:color w:val="000000"/>
              </w:rPr>
              <w:t>Total Annual</w:t>
            </w:r>
            <w:r w:rsidRPr="00BF0B1D">
              <w:rPr>
                <w:b/>
                <w:bCs/>
                <w:color w:val="000000"/>
              </w:rPr>
              <w:br/>
              <w:t>Burden Hours</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EB7AAD" w:rsidRPr="00BF0B1D" w:rsidRDefault="00EB7AAD">
            <w:pPr>
              <w:jc w:val="center"/>
              <w:rPr>
                <w:b/>
                <w:bCs/>
                <w:color w:val="000000"/>
              </w:rPr>
            </w:pPr>
            <w:r w:rsidRPr="00BF0B1D">
              <w:rPr>
                <w:b/>
                <w:bCs/>
                <w:color w:val="000000"/>
              </w:rPr>
              <w:t xml:space="preserve">Hourly </w:t>
            </w:r>
            <w:r w:rsidRPr="00BF0B1D">
              <w:rPr>
                <w:b/>
                <w:bCs/>
                <w:color w:val="000000"/>
              </w:rPr>
              <w:br/>
              <w:t>Cost</w:t>
            </w:r>
          </w:p>
        </w:tc>
        <w:tc>
          <w:tcPr>
            <w:tcW w:w="1826" w:type="dxa"/>
            <w:gridSpan w:val="2"/>
            <w:tcBorders>
              <w:top w:val="single" w:sz="4" w:space="0" w:color="auto"/>
              <w:left w:val="nil"/>
              <w:bottom w:val="single" w:sz="4" w:space="0" w:color="auto"/>
              <w:right w:val="single" w:sz="4" w:space="0" w:color="auto"/>
            </w:tcBorders>
            <w:shd w:val="clear" w:color="auto" w:fill="auto"/>
            <w:hideMark/>
          </w:tcPr>
          <w:p w:rsidR="00EB7AAD" w:rsidRPr="00BF0B1D" w:rsidRDefault="00EB7AAD">
            <w:pPr>
              <w:jc w:val="center"/>
              <w:rPr>
                <w:b/>
                <w:bCs/>
                <w:color w:val="000000"/>
              </w:rPr>
            </w:pPr>
            <w:r w:rsidRPr="00BF0B1D">
              <w:rPr>
                <w:b/>
                <w:bCs/>
                <w:color w:val="000000"/>
              </w:rPr>
              <w:t>Total Annual</w:t>
            </w:r>
            <w:r w:rsidRPr="00BF0B1D">
              <w:rPr>
                <w:b/>
                <w:bCs/>
                <w:color w:val="000000"/>
              </w:rPr>
              <w:br/>
              <w:t>Cost</w:t>
            </w:r>
          </w:p>
        </w:tc>
      </w:tr>
      <w:tr w:rsidR="00EB7AAD" w:rsidRPr="00BF0B1D" w:rsidTr="00793599">
        <w:trPr>
          <w:trHeight w:val="42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HUD-9614</w:t>
            </w:r>
          </w:p>
        </w:tc>
        <w:tc>
          <w:tcPr>
            <w:tcW w:w="1270" w:type="dxa"/>
            <w:tcBorders>
              <w:top w:val="nil"/>
              <w:left w:val="single" w:sz="4" w:space="0" w:color="auto"/>
              <w:bottom w:val="single" w:sz="4" w:space="0" w:color="auto"/>
              <w:right w:val="single" w:sz="4" w:space="0" w:color="auto"/>
            </w:tcBorders>
            <w:shd w:val="clear" w:color="auto" w:fill="auto"/>
            <w:vAlign w:val="center"/>
          </w:tcPr>
          <w:p w:rsidR="00EB7AAD" w:rsidRPr="00BF0B1D" w:rsidRDefault="00EB7AAD" w:rsidP="005808C9">
            <w:pPr>
              <w:jc w:val="center"/>
              <w:rPr>
                <w:color w:val="000000"/>
              </w:rPr>
            </w:pPr>
            <w:r w:rsidRPr="00BF0B1D">
              <w:rPr>
                <w:color w:val="000000"/>
              </w:rPr>
              <w:t>10,295</w:t>
            </w:r>
          </w:p>
        </w:tc>
        <w:tc>
          <w:tcPr>
            <w:tcW w:w="1360" w:type="dxa"/>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1</w:t>
            </w:r>
          </w:p>
        </w:tc>
        <w:tc>
          <w:tcPr>
            <w:tcW w:w="1469" w:type="dxa"/>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10,295</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    28.88</w:t>
            </w:r>
          </w:p>
        </w:tc>
        <w:tc>
          <w:tcPr>
            <w:tcW w:w="1826" w:type="dxa"/>
            <w:gridSpan w:val="2"/>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        297,320</w:t>
            </w:r>
          </w:p>
        </w:tc>
      </w:tr>
      <w:tr w:rsidR="00EB7AAD" w:rsidRPr="00BF0B1D" w:rsidTr="00793599">
        <w:trPr>
          <w:trHeight w:val="90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Certification of Compliance</w:t>
            </w:r>
          </w:p>
        </w:tc>
        <w:tc>
          <w:tcPr>
            <w:tcW w:w="1270" w:type="dxa"/>
            <w:tcBorders>
              <w:top w:val="nil"/>
              <w:left w:val="single" w:sz="4" w:space="0" w:color="auto"/>
              <w:bottom w:val="single" w:sz="4" w:space="0" w:color="auto"/>
              <w:right w:val="single" w:sz="4" w:space="0" w:color="auto"/>
            </w:tcBorders>
            <w:shd w:val="clear" w:color="auto" w:fill="auto"/>
            <w:vAlign w:val="center"/>
          </w:tcPr>
          <w:p w:rsidR="00EB7AAD" w:rsidRPr="00BF0B1D" w:rsidRDefault="00EB7AAD" w:rsidP="005808C9">
            <w:pPr>
              <w:jc w:val="center"/>
              <w:rPr>
                <w:color w:val="000000"/>
              </w:rPr>
            </w:pPr>
            <w:r w:rsidRPr="00BF0B1D">
              <w:rPr>
                <w:color w:val="000000"/>
              </w:rPr>
              <w:t>5,148</w:t>
            </w:r>
          </w:p>
        </w:tc>
        <w:tc>
          <w:tcPr>
            <w:tcW w:w="1360" w:type="dxa"/>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0.25</w:t>
            </w:r>
          </w:p>
        </w:tc>
        <w:tc>
          <w:tcPr>
            <w:tcW w:w="1469" w:type="dxa"/>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1,287</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    28.88</w:t>
            </w:r>
          </w:p>
        </w:tc>
        <w:tc>
          <w:tcPr>
            <w:tcW w:w="1826" w:type="dxa"/>
            <w:gridSpan w:val="2"/>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          37,169</w:t>
            </w:r>
          </w:p>
        </w:tc>
      </w:tr>
      <w:tr w:rsidR="00EB7AAD" w:rsidRPr="00BF0B1D" w:rsidTr="00793599">
        <w:trPr>
          <w:trHeight w:val="42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B7AAD" w:rsidRPr="00BF0B1D" w:rsidRDefault="005808C9" w:rsidP="005808C9">
            <w:pPr>
              <w:jc w:val="center"/>
              <w:rPr>
                <w:color w:val="000000"/>
              </w:rPr>
            </w:pPr>
            <w:r w:rsidRPr="00BF0B1D">
              <w:rPr>
                <w:color w:val="000000"/>
              </w:rPr>
              <w:t>Total</w:t>
            </w:r>
          </w:p>
        </w:tc>
        <w:tc>
          <w:tcPr>
            <w:tcW w:w="1270" w:type="dxa"/>
            <w:tcBorders>
              <w:top w:val="nil"/>
              <w:left w:val="single" w:sz="4" w:space="0" w:color="auto"/>
              <w:bottom w:val="single" w:sz="4" w:space="0" w:color="auto"/>
              <w:right w:val="single" w:sz="4" w:space="0" w:color="auto"/>
            </w:tcBorders>
            <w:shd w:val="clear" w:color="auto" w:fill="auto"/>
            <w:vAlign w:val="center"/>
          </w:tcPr>
          <w:p w:rsidR="00EB7AAD" w:rsidRPr="00BF0B1D" w:rsidRDefault="00BF0B1D" w:rsidP="005808C9">
            <w:pPr>
              <w:jc w:val="center"/>
              <w:rPr>
                <w:color w:val="000000"/>
              </w:rPr>
            </w:pPr>
            <w:r>
              <w:rPr>
                <w:color w:val="000000"/>
              </w:rPr>
              <w:t>10,295</w:t>
            </w:r>
          </w:p>
        </w:tc>
        <w:tc>
          <w:tcPr>
            <w:tcW w:w="1360" w:type="dxa"/>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1.25</w:t>
            </w:r>
          </w:p>
        </w:tc>
        <w:tc>
          <w:tcPr>
            <w:tcW w:w="1469" w:type="dxa"/>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11,582</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p>
        </w:tc>
        <w:tc>
          <w:tcPr>
            <w:tcW w:w="1826" w:type="dxa"/>
            <w:gridSpan w:val="2"/>
            <w:tcBorders>
              <w:top w:val="nil"/>
              <w:left w:val="nil"/>
              <w:bottom w:val="single" w:sz="4" w:space="0" w:color="auto"/>
              <w:right w:val="single" w:sz="4" w:space="0" w:color="auto"/>
            </w:tcBorders>
            <w:shd w:val="clear" w:color="auto" w:fill="auto"/>
            <w:noWrap/>
            <w:vAlign w:val="center"/>
            <w:hideMark/>
          </w:tcPr>
          <w:p w:rsidR="00EB7AAD" w:rsidRPr="00BF0B1D" w:rsidRDefault="00EB7AAD" w:rsidP="005808C9">
            <w:pPr>
              <w:jc w:val="center"/>
              <w:rPr>
                <w:color w:val="000000"/>
              </w:rPr>
            </w:pPr>
            <w:r w:rsidRPr="00BF0B1D">
              <w:rPr>
                <w:color w:val="000000"/>
              </w:rPr>
              <w:t>$        334,488</w:t>
            </w:r>
          </w:p>
        </w:tc>
      </w:tr>
    </w:tbl>
    <w:p w:rsidR="00151282" w:rsidRPr="00BF0B1D" w:rsidRDefault="00151282" w:rsidP="008253B4">
      <w:r w:rsidRPr="00BF0B1D">
        <w:t>*Estimated cost per hour for HUD staff (GS-12) to review and process the documents for this collection</w:t>
      </w:r>
    </w:p>
    <w:p w:rsidR="00AB53D3" w:rsidRPr="00BF0B1D" w:rsidRDefault="00AB53D3" w:rsidP="008253B4"/>
    <w:p w:rsidR="00EB7AAD" w:rsidRPr="00BF0B1D" w:rsidRDefault="00EB7AAD" w:rsidP="008253B4">
      <w:pPr>
        <w:rPr>
          <w:b/>
        </w:rPr>
      </w:pPr>
    </w:p>
    <w:p w:rsidR="00AB53D3" w:rsidRPr="00BF0B1D" w:rsidRDefault="00AB53D3" w:rsidP="008253B4">
      <w:pPr>
        <w:rPr>
          <w:b/>
        </w:rPr>
      </w:pPr>
      <w:r w:rsidRPr="00BF0B1D">
        <w:rPr>
          <w:b/>
        </w:rPr>
        <w:t>15.  Explain the reasons of any program changes or adjustments reported in Items 13 and 14 of the OMB form 83-I.</w:t>
      </w:r>
    </w:p>
    <w:p w:rsidR="00EB7AAD" w:rsidRPr="00BF0B1D" w:rsidRDefault="00EB7AAD" w:rsidP="008253B4"/>
    <w:p w:rsidR="00970671" w:rsidRPr="00970671" w:rsidRDefault="00970671" w:rsidP="00970671">
      <w:r>
        <w:t xml:space="preserve">This is a revision of a currently approved collection.  There has been a program change.  </w:t>
      </w:r>
      <w:r w:rsidRPr="00970671">
        <w:t xml:space="preserve">This collection represents the time and cost burden for projects requesting rent increases and compliance with other requirements of Chapter 12 in HUD Handbook 4350.1.  </w:t>
      </w:r>
      <w:r>
        <w:t xml:space="preserve">The previous collection </w:t>
      </w:r>
      <w:r w:rsidRPr="00970671">
        <w:t>represent</w:t>
      </w:r>
      <w:r>
        <w:t>ed</w:t>
      </w:r>
      <w:r w:rsidRPr="00970671">
        <w:t xml:space="preserve"> alternative means of preparing requests for rent increases or utility </w:t>
      </w:r>
      <w:r w:rsidRPr="00970671">
        <w:lastRenderedPageBreak/>
        <w:t xml:space="preserve">conversions.  They are mutually exclusive, and owners would be required to gather only the information related to the methodology used. </w:t>
      </w:r>
      <w:r>
        <w:t xml:space="preserve">The change has resulted in a decrease in burden.  </w:t>
      </w:r>
    </w:p>
    <w:p w:rsidR="00970671" w:rsidRPr="00970671" w:rsidRDefault="00970671" w:rsidP="00970671"/>
    <w:p w:rsidR="00AB53D3" w:rsidRPr="00BF0B1D" w:rsidRDefault="00AB53D3" w:rsidP="008253B4">
      <w:pPr>
        <w:rPr>
          <w:b/>
        </w:rPr>
      </w:pPr>
      <w:r w:rsidRPr="00BF0B1D">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53D3" w:rsidRPr="00BF0B1D" w:rsidRDefault="00AB53D3" w:rsidP="008253B4">
      <w:pPr>
        <w:rPr>
          <w:b/>
        </w:rPr>
      </w:pPr>
    </w:p>
    <w:p w:rsidR="00AB53D3" w:rsidRPr="00BF0B1D" w:rsidRDefault="00916AC9" w:rsidP="008253B4">
      <w:r w:rsidRPr="00BF0B1D">
        <w:t>The results of this collection will not be published.</w:t>
      </w:r>
    </w:p>
    <w:p w:rsidR="00916AC9" w:rsidRPr="00BF0B1D" w:rsidRDefault="00916AC9" w:rsidP="008253B4"/>
    <w:p w:rsidR="00AB53D3" w:rsidRPr="00BF0B1D" w:rsidRDefault="00AB53D3" w:rsidP="008253B4">
      <w:pPr>
        <w:rPr>
          <w:b/>
        </w:rPr>
      </w:pPr>
      <w:r w:rsidRPr="00BF0B1D">
        <w:rPr>
          <w:b/>
        </w:rPr>
        <w:t xml:space="preserve">17.  </w:t>
      </w:r>
      <w:proofErr w:type="gramStart"/>
      <w:r w:rsidRPr="00BF0B1D">
        <w:rPr>
          <w:b/>
        </w:rPr>
        <w:t>If</w:t>
      </w:r>
      <w:proofErr w:type="gramEnd"/>
      <w:r w:rsidRPr="00BF0B1D">
        <w:rPr>
          <w:b/>
        </w:rPr>
        <w:t xml:space="preserve"> seeking approval to not display the expiration date for OMB approval of the information collection, explain the reasons that display would be inappropriate.</w:t>
      </w:r>
    </w:p>
    <w:p w:rsidR="00AB53D3" w:rsidRPr="00BF0B1D" w:rsidRDefault="00AB53D3" w:rsidP="008253B4">
      <w:pPr>
        <w:rPr>
          <w:b/>
        </w:rPr>
      </w:pPr>
    </w:p>
    <w:p w:rsidR="00AB53D3" w:rsidRPr="00BF0B1D" w:rsidRDefault="00916AC9" w:rsidP="008253B4">
      <w:r w:rsidRPr="00BF0B1D">
        <w:t>HUD is not requesting approval to not display the expiration date.</w:t>
      </w:r>
    </w:p>
    <w:p w:rsidR="00916AC9" w:rsidRPr="00BF0B1D" w:rsidRDefault="00916AC9" w:rsidP="008253B4"/>
    <w:p w:rsidR="00AB53D3" w:rsidRPr="00BF0B1D" w:rsidRDefault="00AB53D3" w:rsidP="008253B4">
      <w:pPr>
        <w:rPr>
          <w:b/>
        </w:rPr>
      </w:pPr>
      <w:r w:rsidRPr="00BF0B1D">
        <w:rPr>
          <w:b/>
        </w:rPr>
        <w:t>18.  Explain each exception to the certification statement identified in item 19.</w:t>
      </w:r>
    </w:p>
    <w:p w:rsidR="00AB53D3" w:rsidRPr="00BF0B1D" w:rsidRDefault="00AB53D3" w:rsidP="008253B4">
      <w:pPr>
        <w:rPr>
          <w:b/>
        </w:rPr>
      </w:pPr>
    </w:p>
    <w:p w:rsidR="003B7B1A" w:rsidRPr="00BF0B1D" w:rsidRDefault="00E07D7A" w:rsidP="008253B4">
      <w:r w:rsidRPr="00BF0B1D">
        <w:t>There are n</w:t>
      </w:r>
      <w:r w:rsidR="00916AC9" w:rsidRPr="00BF0B1D">
        <w:t>o exceptions to the certification statement identified in Item #19 on form OMB 83i, “Certification for Paperwork Reduction Act Submissions</w:t>
      </w:r>
      <w:r w:rsidRPr="00BF0B1D">
        <w:t>”.</w:t>
      </w:r>
    </w:p>
    <w:p w:rsidR="00E07D7A" w:rsidRPr="00BF0B1D" w:rsidRDefault="00E07D7A" w:rsidP="008253B4"/>
    <w:p w:rsidR="003B7B1A" w:rsidRPr="00BF0B1D" w:rsidRDefault="003B7B1A" w:rsidP="003B7B1A">
      <w:pPr>
        <w:pBdr>
          <w:top w:val="single" w:sz="6" w:space="0" w:color="auto"/>
        </w:pBdr>
        <w:tabs>
          <w:tab w:val="left" w:pos="240"/>
        </w:tabs>
        <w:rPr>
          <w:b/>
        </w:rPr>
      </w:pPr>
    </w:p>
    <w:p w:rsidR="00C103AF" w:rsidRPr="00BF0B1D" w:rsidRDefault="00C103AF" w:rsidP="003B7B1A">
      <w:pPr>
        <w:pBdr>
          <w:top w:val="single" w:sz="6" w:space="0" w:color="auto"/>
        </w:pBdr>
        <w:tabs>
          <w:tab w:val="left" w:pos="240"/>
        </w:tabs>
        <w:rPr>
          <w:b/>
        </w:rPr>
      </w:pPr>
      <w:r w:rsidRPr="00BF0B1D">
        <w:rPr>
          <w:b/>
        </w:rPr>
        <w:t>B.  Collections of Information Employing Statistical Methods</w:t>
      </w:r>
    </w:p>
    <w:p w:rsidR="00C103AF" w:rsidRPr="00BF0B1D" w:rsidRDefault="00C103AF" w:rsidP="003B7B1A">
      <w:pPr>
        <w:pBdr>
          <w:top w:val="single" w:sz="6" w:space="0" w:color="auto"/>
        </w:pBdr>
        <w:tabs>
          <w:tab w:val="left" w:pos="240"/>
        </w:tabs>
        <w:rPr>
          <w:b/>
        </w:rPr>
      </w:pPr>
    </w:p>
    <w:p w:rsidR="00C103AF" w:rsidRPr="00BF0B1D" w:rsidRDefault="00C103AF" w:rsidP="003B7B1A">
      <w:pPr>
        <w:pBdr>
          <w:top w:val="single" w:sz="6" w:space="0" w:color="auto"/>
        </w:pBdr>
        <w:tabs>
          <w:tab w:val="left" w:pos="240"/>
        </w:tabs>
      </w:pPr>
      <w:r w:rsidRPr="00BF0B1D">
        <w:t>There are no statistical methods used in this collection.</w:t>
      </w:r>
    </w:p>
    <w:sectPr w:rsidR="00C103AF" w:rsidRPr="00BF0B1D" w:rsidSect="00507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outline/>
        <w:shadow w:val="0"/>
        <w:emboss w:val="0"/>
        <w:imprint w:val="0"/>
        <w:vanish w:val="0"/>
        <w:sz w:val="28"/>
        <w:vertAlign w:val="baseline"/>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3">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C71B58"/>
    <w:multiLevelType w:val="hybridMultilevel"/>
    <w:tmpl w:val="FFC029FC"/>
    <w:lvl w:ilvl="0" w:tplc="76448F0E">
      <w:start w:val="1"/>
      <w:numFmt w:val="lowerLetter"/>
      <w:pStyle w:val="HBaOutline0"/>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3A96838"/>
    <w:multiLevelType w:val="hybridMultilevel"/>
    <w:tmpl w:val="FFE20490"/>
    <w:lvl w:ilvl="0" w:tplc="8F260C20">
      <w:start w:val="1"/>
      <w:numFmt w:val="lowerRoman"/>
      <w:pStyle w:val="HBiOutline"/>
      <w:lvlText w:val="%1)"/>
      <w:lvlJc w:val="left"/>
      <w:pPr>
        <w:ind w:left="216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5D82DE2"/>
    <w:multiLevelType w:val="hybridMultilevel"/>
    <w:tmpl w:val="1B3E57D8"/>
    <w:lvl w:ilvl="0" w:tplc="6A6665A8">
      <w:start w:val="1"/>
      <w:numFmt w:val="decimal"/>
      <w:pStyle w:val="HB1Outline"/>
      <w:lvlText w:val="%1)"/>
      <w:lvlJc w:val="left"/>
      <w:pPr>
        <w:ind w:left="1260" w:hanging="360"/>
      </w:pPr>
      <w:rPr>
        <w:rFonts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10">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81646E4"/>
    <w:multiLevelType w:val="hybridMultilevel"/>
    <w:tmpl w:val="C232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11"/>
  </w:num>
  <w:num w:numId="2">
    <w:abstractNumId w:val="9"/>
  </w:num>
  <w:num w:numId="3">
    <w:abstractNumId w:val="7"/>
  </w:num>
  <w:num w:numId="4">
    <w:abstractNumId w:val="2"/>
  </w:num>
  <w:num w:numId="5">
    <w:abstractNumId w:val="3"/>
  </w:num>
  <w:num w:numId="6">
    <w:abstractNumId w:val="8"/>
  </w:num>
  <w:num w:numId="7">
    <w:abstractNumId w:val="6"/>
  </w:num>
  <w:num w:numId="8">
    <w:abstractNumId w:val="13"/>
  </w:num>
  <w:num w:numId="9">
    <w:abstractNumId w:val="5"/>
  </w:num>
  <w:num w:numId="10">
    <w:abstractNumId w:val="4"/>
  </w:num>
  <w:num w:numId="11">
    <w:abstractNumId w:val="10"/>
  </w:num>
  <w:num w:numId="12">
    <w:abstractNumId w:val="1"/>
  </w:num>
  <w:num w:numId="13">
    <w:abstractNumId w:val="0"/>
  </w:num>
  <w:num w:numId="14">
    <w:abstractNumId w:val="15"/>
  </w:num>
  <w:num w:numId="15">
    <w:abstractNumId w:val="12"/>
  </w:num>
  <w:num w:numId="1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A061B"/>
    <w:rsid w:val="00001A47"/>
    <w:rsid w:val="000042F0"/>
    <w:rsid w:val="0002192F"/>
    <w:rsid w:val="00041169"/>
    <w:rsid w:val="00044B18"/>
    <w:rsid w:val="0006322F"/>
    <w:rsid w:val="00065F66"/>
    <w:rsid w:val="00080D2F"/>
    <w:rsid w:val="00124A3C"/>
    <w:rsid w:val="001325C9"/>
    <w:rsid w:val="00151282"/>
    <w:rsid w:val="00184CF9"/>
    <w:rsid w:val="001A1D5C"/>
    <w:rsid w:val="001C5D7D"/>
    <w:rsid w:val="0021397A"/>
    <w:rsid w:val="00255E05"/>
    <w:rsid w:val="002978F9"/>
    <w:rsid w:val="002D0734"/>
    <w:rsid w:val="002D2895"/>
    <w:rsid w:val="00310C2D"/>
    <w:rsid w:val="00320791"/>
    <w:rsid w:val="003A138B"/>
    <w:rsid w:val="003A1673"/>
    <w:rsid w:val="003B5EB1"/>
    <w:rsid w:val="003B7B1A"/>
    <w:rsid w:val="003C41D0"/>
    <w:rsid w:val="003D5E50"/>
    <w:rsid w:val="003E0FD1"/>
    <w:rsid w:val="00401132"/>
    <w:rsid w:val="0041398B"/>
    <w:rsid w:val="00460091"/>
    <w:rsid w:val="00481D97"/>
    <w:rsid w:val="004A061B"/>
    <w:rsid w:val="004B51CA"/>
    <w:rsid w:val="004D5CF3"/>
    <w:rsid w:val="004E45D3"/>
    <w:rsid w:val="005074D2"/>
    <w:rsid w:val="005138B8"/>
    <w:rsid w:val="00515E97"/>
    <w:rsid w:val="00534729"/>
    <w:rsid w:val="0057314C"/>
    <w:rsid w:val="005808C9"/>
    <w:rsid w:val="0058332A"/>
    <w:rsid w:val="005B70E7"/>
    <w:rsid w:val="005C5CE0"/>
    <w:rsid w:val="005E36CC"/>
    <w:rsid w:val="005E5AAC"/>
    <w:rsid w:val="005E6ABB"/>
    <w:rsid w:val="00605659"/>
    <w:rsid w:val="00611766"/>
    <w:rsid w:val="0062174F"/>
    <w:rsid w:val="00634F1A"/>
    <w:rsid w:val="00641A03"/>
    <w:rsid w:val="00684D7D"/>
    <w:rsid w:val="00687E92"/>
    <w:rsid w:val="00693CB1"/>
    <w:rsid w:val="006A26CF"/>
    <w:rsid w:val="006C7D50"/>
    <w:rsid w:val="006F2968"/>
    <w:rsid w:val="0070215F"/>
    <w:rsid w:val="00712EBB"/>
    <w:rsid w:val="00792006"/>
    <w:rsid w:val="00793599"/>
    <w:rsid w:val="007C05D9"/>
    <w:rsid w:val="00803F52"/>
    <w:rsid w:val="00821B9B"/>
    <w:rsid w:val="008253B4"/>
    <w:rsid w:val="0085694E"/>
    <w:rsid w:val="00896B7D"/>
    <w:rsid w:val="00905777"/>
    <w:rsid w:val="00916AC9"/>
    <w:rsid w:val="009254DE"/>
    <w:rsid w:val="00935929"/>
    <w:rsid w:val="00970671"/>
    <w:rsid w:val="00976A7F"/>
    <w:rsid w:val="00982DB1"/>
    <w:rsid w:val="009956C9"/>
    <w:rsid w:val="00A303A7"/>
    <w:rsid w:val="00A762FA"/>
    <w:rsid w:val="00A7661E"/>
    <w:rsid w:val="00AB133A"/>
    <w:rsid w:val="00AB53D3"/>
    <w:rsid w:val="00AC71A5"/>
    <w:rsid w:val="00B30014"/>
    <w:rsid w:val="00BC3B31"/>
    <w:rsid w:val="00BD593E"/>
    <w:rsid w:val="00BF0B1D"/>
    <w:rsid w:val="00C103AF"/>
    <w:rsid w:val="00C12C9D"/>
    <w:rsid w:val="00C14D1F"/>
    <w:rsid w:val="00C2367D"/>
    <w:rsid w:val="00C37E6C"/>
    <w:rsid w:val="00CC3163"/>
    <w:rsid w:val="00CE5EBE"/>
    <w:rsid w:val="00D0370C"/>
    <w:rsid w:val="00D07670"/>
    <w:rsid w:val="00D1368E"/>
    <w:rsid w:val="00D25016"/>
    <w:rsid w:val="00D2591F"/>
    <w:rsid w:val="00D64021"/>
    <w:rsid w:val="00D91BD0"/>
    <w:rsid w:val="00D95479"/>
    <w:rsid w:val="00DA062E"/>
    <w:rsid w:val="00DB0F73"/>
    <w:rsid w:val="00DE7532"/>
    <w:rsid w:val="00DF01CD"/>
    <w:rsid w:val="00E04092"/>
    <w:rsid w:val="00E07D7A"/>
    <w:rsid w:val="00E7459C"/>
    <w:rsid w:val="00E95583"/>
    <w:rsid w:val="00EB7AAD"/>
    <w:rsid w:val="00EC7C7B"/>
    <w:rsid w:val="00ED2E7E"/>
    <w:rsid w:val="00F75907"/>
    <w:rsid w:val="00FC4115"/>
    <w:rsid w:val="00FE2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73"/>
    <w:rPr>
      <w:sz w:val="24"/>
      <w:szCs w:val="24"/>
    </w:rPr>
  </w:style>
  <w:style w:type="paragraph" w:styleId="Heading1">
    <w:name w:val="heading 1"/>
    <w:basedOn w:val="Normal"/>
    <w:next w:val="Normal"/>
    <w:link w:val="Heading1Char"/>
    <w:qFormat/>
    <w:rsid w:val="00001A47"/>
    <w:pPr>
      <w:keepNext/>
      <w:numPr>
        <w:numId w:val="1"/>
      </w:numPr>
      <w:outlineLvl w:val="0"/>
    </w:pPr>
    <w:rPr>
      <w:rFonts w:eastAsia="Times New Roman"/>
      <w:b/>
      <w:bCs/>
      <w:color w:val="0000FF"/>
    </w:rPr>
  </w:style>
  <w:style w:type="paragraph" w:styleId="Heading2">
    <w:name w:val="heading 2"/>
    <w:basedOn w:val="Normal"/>
    <w:next w:val="Normal"/>
    <w:link w:val="Heading2Char"/>
    <w:qFormat/>
    <w:rsid w:val="00001A47"/>
    <w:pPr>
      <w:keepNext/>
      <w:numPr>
        <w:ilvl w:val="1"/>
        <w:numId w:val="1"/>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qFormat/>
    <w:rsid w:val="00001A47"/>
    <w:pPr>
      <w:keepNext/>
      <w:numPr>
        <w:ilvl w:val="4"/>
        <w:numId w:val="1"/>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next w:val="HB1Text"/>
    <w:autoRedefine/>
    <w:rsid w:val="001325C9"/>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Text"/>
    <w:autoRedefine/>
    <w:qFormat/>
    <w:rsid w:val="00792006"/>
    <w:pPr>
      <w:spacing w:line="360" w:lineRule="auto"/>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autoRedefine/>
    <w:qFormat/>
    <w:rsid w:val="00001A47"/>
    <w:pPr>
      <w:tabs>
        <w:tab w:val="left" w:pos="360"/>
      </w:tabs>
      <w:spacing w:line="240" w:lineRule="auto"/>
      <w:ind w:left="36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autoRedefine/>
    <w:qFormat/>
    <w:rsid w:val="00001A47"/>
    <w:pPr>
      <w:tabs>
        <w:tab w:val="left" w:pos="360"/>
      </w:tabs>
      <w:spacing w:line="240" w:lineRule="auto"/>
      <w:ind w:left="720"/>
      <w:jc w:val="left"/>
    </w:pPr>
    <w:rPr>
      <w:b w:val="0"/>
      <w:sz w:val="22"/>
      <w:szCs w:val="22"/>
    </w:rPr>
  </w:style>
  <w:style w:type="paragraph" w:customStyle="1" w:styleId="HB1Text">
    <w:name w:val="HB 1) Text"/>
    <w:basedOn w:val="Handbook"/>
    <w:autoRedefine/>
    <w:rsid w:val="00982DB1"/>
    <w:pPr>
      <w:spacing w:after="120" w:line="240" w:lineRule="auto"/>
      <w:ind w:left="1080"/>
      <w:jc w:val="left"/>
    </w:pPr>
    <w:rPr>
      <w:rFonts w:eastAsia="MS Mincho"/>
      <w:b w:val="0"/>
      <w:sz w:val="22"/>
      <w:szCs w:val="22"/>
    </w:rPr>
  </w:style>
  <w:style w:type="paragraph" w:customStyle="1" w:styleId="HBaOutline0">
    <w:name w:val="HB a) Outline"/>
    <w:basedOn w:val="Handbook"/>
    <w:autoRedefine/>
    <w:rsid w:val="00DE7532"/>
    <w:pPr>
      <w:numPr>
        <w:numId w:val="7"/>
      </w:numPr>
      <w:spacing w:after="120" w:line="240" w:lineRule="auto"/>
      <w:jc w:val="left"/>
    </w:pPr>
    <w:rPr>
      <w:b w:val="0"/>
      <w:sz w:val="22"/>
    </w:rPr>
  </w:style>
  <w:style w:type="paragraph" w:customStyle="1" w:styleId="HBaText0">
    <w:name w:val="HB a) Text"/>
    <w:basedOn w:val="Handbook"/>
    <w:autoRedefine/>
    <w:qFormat/>
    <w:rsid w:val="00001A47"/>
    <w:pPr>
      <w:tabs>
        <w:tab w:val="left" w:pos="360"/>
      </w:tabs>
      <w:spacing w:line="240" w:lineRule="auto"/>
      <w:ind w:left="1440"/>
      <w:jc w:val="left"/>
    </w:pPr>
    <w:rPr>
      <w:b w:val="0"/>
      <w:sz w:val="22"/>
    </w:rPr>
  </w:style>
  <w:style w:type="paragraph" w:customStyle="1" w:styleId="HBiOutline">
    <w:name w:val="HB i) Outline"/>
    <w:basedOn w:val="Normal"/>
    <w:autoRedefine/>
    <w:rsid w:val="00FC4115"/>
    <w:pPr>
      <w:numPr>
        <w:numId w:val="3"/>
      </w:numPr>
      <w:spacing w:after="120"/>
      <w:outlineLvl w:val="4"/>
    </w:pPr>
    <w:rPr>
      <w:rFonts w:eastAsia="MS Mincho"/>
      <w:sz w:val="22"/>
    </w:rPr>
  </w:style>
  <w:style w:type="paragraph" w:customStyle="1" w:styleId="HBiText">
    <w:name w:val="HB i) Text"/>
    <w:basedOn w:val="Handbook"/>
    <w:autoRedefine/>
    <w:qFormat/>
    <w:rsid w:val="00D25016"/>
    <w:pPr>
      <w:tabs>
        <w:tab w:val="left" w:pos="360"/>
      </w:tabs>
      <w:spacing w:after="120" w:line="240" w:lineRule="auto"/>
      <w:ind w:left="216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b/>
      <w:bCs/>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2"/>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4"/>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5"/>
      </w:numPr>
      <w:spacing w:after="120" w:line="240" w:lineRule="auto"/>
      <w:jc w:val="left"/>
      <w:outlineLvl w:val="1"/>
    </w:pPr>
    <w:rPr>
      <w:rFonts w:eastAsia="MS Mincho"/>
      <w:b w:val="0"/>
      <w:sz w:val="22"/>
    </w:rPr>
  </w:style>
</w:styles>
</file>

<file path=word/webSettings.xml><?xml version="1.0" encoding="utf-8"?>
<w:webSettings xmlns:r="http://schemas.openxmlformats.org/officeDocument/2006/relationships" xmlns:w="http://schemas.openxmlformats.org/wordprocessingml/2006/main">
  <w:divs>
    <w:div w:id="264460075">
      <w:bodyDiv w:val="1"/>
      <w:marLeft w:val="0"/>
      <w:marRight w:val="0"/>
      <w:marTop w:val="0"/>
      <w:marBottom w:val="0"/>
      <w:divBdr>
        <w:top w:val="none" w:sz="0" w:space="0" w:color="auto"/>
        <w:left w:val="none" w:sz="0" w:space="0" w:color="auto"/>
        <w:bottom w:val="none" w:sz="0" w:space="0" w:color="auto"/>
        <w:right w:val="none" w:sz="0" w:space="0" w:color="auto"/>
      </w:divBdr>
    </w:div>
    <w:div w:id="1472596236">
      <w:bodyDiv w:val="1"/>
      <w:marLeft w:val="0"/>
      <w:marRight w:val="0"/>
      <w:marTop w:val="0"/>
      <w:marBottom w:val="0"/>
      <w:divBdr>
        <w:top w:val="none" w:sz="0" w:space="0" w:color="auto"/>
        <w:left w:val="none" w:sz="0" w:space="0" w:color="auto"/>
        <w:bottom w:val="none" w:sz="0" w:space="0" w:color="auto"/>
        <w:right w:val="none" w:sz="0" w:space="0" w:color="auto"/>
      </w:divBdr>
    </w:div>
    <w:div w:id="16695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FAAB-3A36-448E-9D88-01A96589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Messner</dc:creator>
  <cp:keywords/>
  <dc:description/>
  <cp:lastModifiedBy>C55478</cp:lastModifiedBy>
  <cp:revision>2</cp:revision>
  <cp:lastPrinted>2010-09-23T15:57:00Z</cp:lastPrinted>
  <dcterms:created xsi:type="dcterms:W3CDTF">2010-12-03T16:54:00Z</dcterms:created>
  <dcterms:modified xsi:type="dcterms:W3CDTF">2010-12-03T16:54:00Z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676440683</vt:i4>
  </property>
  <property fmtid="{D5CDD505-2E9C-101B-9397-08002B2CF9AE}" pid="3" name="_NewReviewCycle">
    <vt:lpwstr/>
  </property>
  <property fmtid="{D5CDD505-2E9C-101B-9397-08002B2CF9AE}" pid="4" name="_EmailSubject">
    <vt:lpwstr>OMB Information Collection 2502-0568</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ReviewingToolsShownOnce">
    <vt:lpwstr/>
  </property>
</Properties>
</file>