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9B" w:rsidRDefault="0030419B">
      <w:pPr>
        <w:tabs>
          <w:tab w:val="left" w:pos="0"/>
        </w:tabs>
        <w:spacing w:line="240" w:lineRule="atLeast"/>
        <w:ind w:left="720" w:hanging="720"/>
        <w:jc w:val="center"/>
        <w:rPr>
          <w:rFonts w:ascii="Times New Roman" w:hAnsi="Times New Roman" w:cs="Times New Roman"/>
          <w:b/>
          <w:bCs/>
          <w:sz w:val="24"/>
          <w:szCs w:val="24"/>
        </w:rPr>
      </w:pPr>
      <w:r>
        <w:rPr>
          <w:rFonts w:ascii="Times New Roman" w:hAnsi="Times New Roman" w:cs="Times New Roman"/>
          <w:b/>
          <w:bCs/>
          <w:sz w:val="24"/>
          <w:szCs w:val="24"/>
        </w:rPr>
        <w:t>Addendum to the Supporting Statement for</w:t>
      </w:r>
      <w:r w:rsidR="00962CB9">
        <w:rPr>
          <w:rFonts w:ascii="Times New Roman" w:hAnsi="Times New Roman" w:cs="Times New Roman"/>
          <w:b/>
          <w:bCs/>
          <w:sz w:val="24"/>
          <w:szCs w:val="24"/>
        </w:rPr>
        <w:t>:</w:t>
      </w:r>
      <w:r>
        <w:rPr>
          <w:rFonts w:ascii="Times New Roman" w:hAnsi="Times New Roman" w:cs="Times New Roman"/>
          <w:b/>
          <w:bCs/>
          <w:sz w:val="24"/>
          <w:szCs w:val="24"/>
        </w:rPr>
        <w:t xml:space="preserve"> </w:t>
      </w:r>
    </w:p>
    <w:p w:rsidR="0030419B" w:rsidRDefault="00962CB9">
      <w:pPr>
        <w:tabs>
          <w:tab w:val="left" w:pos="0"/>
        </w:tabs>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Social Security Administration (SSA) Eligible Non-Attorney Representative Application </w:t>
      </w:r>
    </w:p>
    <w:p w:rsidR="0030419B" w:rsidRDefault="0030419B">
      <w:pPr>
        <w:tabs>
          <w:tab w:val="left" w:pos="0"/>
        </w:tabs>
        <w:spacing w:line="240" w:lineRule="atLeast"/>
        <w:ind w:left="720" w:hanging="720"/>
        <w:jc w:val="center"/>
        <w:rPr>
          <w:rFonts w:ascii="Times New Roman" w:hAnsi="Times New Roman" w:cs="Times New Roman"/>
          <w:b/>
          <w:bCs/>
          <w:sz w:val="24"/>
          <w:szCs w:val="24"/>
        </w:rPr>
      </w:pPr>
      <w:r>
        <w:rPr>
          <w:rFonts w:ascii="Times New Roman" w:hAnsi="Times New Roman" w:cs="Times New Roman"/>
          <w:b/>
          <w:bCs/>
          <w:sz w:val="24"/>
          <w:szCs w:val="24"/>
        </w:rPr>
        <w:t xml:space="preserve">20 CFR </w:t>
      </w:r>
      <w:r w:rsidR="00962CB9">
        <w:rPr>
          <w:rFonts w:ascii="Times New Roman" w:hAnsi="Times New Roman" w:cs="Times New Roman"/>
          <w:b/>
          <w:bCs/>
          <w:sz w:val="24"/>
          <w:szCs w:val="24"/>
        </w:rPr>
        <w:t>404.1745-404.1799 and 20 CFR 416-1545-416.1599</w:t>
      </w:r>
      <w:r>
        <w:rPr>
          <w:rFonts w:ascii="Times New Roman" w:hAnsi="Times New Roman" w:cs="Times New Roman"/>
          <w:b/>
          <w:bCs/>
          <w:sz w:val="24"/>
          <w:szCs w:val="24"/>
        </w:rPr>
        <w:tab/>
      </w:r>
    </w:p>
    <w:p w:rsidR="0030419B" w:rsidRDefault="0030419B">
      <w:pPr>
        <w:tabs>
          <w:tab w:val="left" w:pos="0"/>
        </w:tabs>
        <w:spacing w:line="240" w:lineRule="atLeast"/>
        <w:ind w:left="720" w:hanging="720"/>
        <w:jc w:val="center"/>
        <w:rPr>
          <w:rFonts w:ascii="Times New Roman" w:hAnsi="Times New Roman" w:cs="Times New Roman"/>
          <w:b/>
          <w:bCs/>
          <w:sz w:val="24"/>
          <w:szCs w:val="24"/>
        </w:rPr>
      </w:pPr>
      <w:r>
        <w:rPr>
          <w:rFonts w:ascii="Times New Roman" w:hAnsi="Times New Roman" w:cs="Times New Roman"/>
          <w:b/>
          <w:bCs/>
          <w:sz w:val="24"/>
          <w:szCs w:val="24"/>
        </w:rPr>
        <w:t>OMB No. 0960-</w:t>
      </w:r>
      <w:r w:rsidR="00962CB9">
        <w:rPr>
          <w:rFonts w:ascii="Times New Roman" w:hAnsi="Times New Roman" w:cs="Times New Roman"/>
          <w:b/>
          <w:bCs/>
          <w:sz w:val="24"/>
          <w:szCs w:val="24"/>
        </w:rPr>
        <w:t>0699</w:t>
      </w:r>
    </w:p>
    <w:p w:rsidR="0030419B" w:rsidRDefault="0030419B">
      <w:pPr>
        <w:tabs>
          <w:tab w:val="left" w:pos="0"/>
        </w:tabs>
        <w:spacing w:line="240" w:lineRule="atLeast"/>
        <w:ind w:left="720" w:hanging="720"/>
        <w:rPr>
          <w:rFonts w:ascii="Times New Roman" w:hAnsi="Times New Roman" w:cs="Times New Roman"/>
          <w:sz w:val="24"/>
          <w:szCs w:val="24"/>
        </w:rPr>
      </w:pPr>
    </w:p>
    <w:p w:rsidR="0030419B" w:rsidRDefault="00035931">
      <w:pPr>
        <w:tabs>
          <w:tab w:val="left" w:pos="0"/>
        </w:tabs>
        <w:spacing w:line="240" w:lineRule="atLeast"/>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Explanation of Changes to the </w:t>
      </w:r>
      <w:r w:rsidR="0030419B">
        <w:rPr>
          <w:rFonts w:ascii="Times New Roman" w:hAnsi="Times New Roman" w:cs="Times New Roman"/>
          <w:b/>
          <w:bCs/>
          <w:sz w:val="24"/>
          <w:szCs w:val="24"/>
          <w:u w:val="single"/>
        </w:rPr>
        <w:t>Revision to the Collection Instrument</w:t>
      </w:r>
    </w:p>
    <w:p w:rsidR="00D8528F" w:rsidRDefault="00D8528F" w:rsidP="00D8528F">
      <w:pPr>
        <w:tabs>
          <w:tab w:val="left" w:pos="0"/>
        </w:tabs>
        <w:spacing w:line="240" w:lineRule="atLeast"/>
        <w:rPr>
          <w:rFonts w:ascii="Times New Roman" w:hAnsi="Times New Roman" w:cs="Times New Roman"/>
          <w:sz w:val="24"/>
          <w:szCs w:val="24"/>
        </w:rPr>
      </w:pPr>
    </w:p>
    <w:p w:rsidR="00010457" w:rsidRDefault="00D8528F" w:rsidP="00D8528F">
      <w:pPr>
        <w:tabs>
          <w:tab w:val="left" w:pos="0"/>
        </w:tabs>
        <w:spacing w:line="240" w:lineRule="atLeast"/>
        <w:rPr>
          <w:rFonts w:ascii="Times New Roman" w:hAnsi="Times New Roman" w:cs="Times New Roman"/>
          <w:sz w:val="24"/>
          <w:szCs w:val="24"/>
        </w:rPr>
      </w:pPr>
      <w:r w:rsidRPr="00E149BC">
        <w:rPr>
          <w:rFonts w:ascii="Times New Roman" w:hAnsi="Times New Roman" w:cs="Times New Roman"/>
          <w:sz w:val="24"/>
          <w:szCs w:val="24"/>
        </w:rPr>
        <w:t xml:space="preserve">The </w:t>
      </w:r>
      <w:r w:rsidRPr="00E149BC">
        <w:rPr>
          <w:rFonts w:ascii="Times New Roman" w:hAnsi="Times New Roman" w:cs="Times New Roman"/>
          <w:i/>
          <w:sz w:val="24"/>
          <w:szCs w:val="24"/>
        </w:rPr>
        <w:t>Social Security Disability Applicants Access to Professional Representation</w:t>
      </w:r>
      <w:r w:rsidRPr="00E149BC">
        <w:rPr>
          <w:rFonts w:ascii="Times New Roman" w:hAnsi="Times New Roman" w:cs="Times New Roman"/>
          <w:sz w:val="24"/>
          <w:szCs w:val="24"/>
        </w:rPr>
        <w:t xml:space="preserve"> (</w:t>
      </w:r>
      <w:r w:rsidRPr="00E149BC">
        <w:rPr>
          <w:rFonts w:ascii="Times New Roman" w:hAnsi="Times New Roman" w:cs="Times New Roman"/>
          <w:i/>
          <w:sz w:val="24"/>
          <w:szCs w:val="24"/>
        </w:rPr>
        <w:t>PRA</w:t>
      </w:r>
      <w:r w:rsidRPr="00E149BC">
        <w:rPr>
          <w:rFonts w:ascii="Times New Roman" w:hAnsi="Times New Roman" w:cs="Times New Roman"/>
          <w:sz w:val="24"/>
          <w:szCs w:val="24"/>
        </w:rPr>
        <w:t xml:space="preserve">) </w:t>
      </w:r>
      <w:r w:rsidRPr="00E149BC">
        <w:rPr>
          <w:rFonts w:ascii="Times New Roman" w:hAnsi="Times New Roman" w:cs="Times New Roman"/>
          <w:i/>
          <w:sz w:val="24"/>
          <w:szCs w:val="24"/>
        </w:rPr>
        <w:t>Act of 2010</w:t>
      </w:r>
      <w:r w:rsidRPr="00E149BC">
        <w:rPr>
          <w:rFonts w:ascii="Times New Roman" w:hAnsi="Times New Roman" w:cs="Times New Roman"/>
          <w:sz w:val="24"/>
          <w:szCs w:val="24"/>
        </w:rPr>
        <w:t xml:space="preserve">, </w:t>
      </w:r>
      <w:r w:rsidRPr="00E149BC">
        <w:rPr>
          <w:rFonts w:ascii="Times New Roman" w:hAnsi="Times New Roman" w:cs="Times New Roman"/>
          <w:i/>
          <w:sz w:val="24"/>
          <w:szCs w:val="24"/>
        </w:rPr>
        <w:t>Public Law</w:t>
      </w:r>
      <w:r w:rsidRPr="00E149BC">
        <w:rPr>
          <w:rFonts w:ascii="Times New Roman" w:hAnsi="Times New Roman" w:cs="Times New Roman"/>
          <w:sz w:val="24"/>
          <w:szCs w:val="24"/>
        </w:rPr>
        <w:t xml:space="preserve"> </w:t>
      </w:r>
      <w:r w:rsidRPr="00E149BC">
        <w:rPr>
          <w:rFonts w:ascii="Times New Roman" w:hAnsi="Times New Roman" w:cs="Times New Roman"/>
          <w:i/>
          <w:sz w:val="24"/>
          <w:szCs w:val="24"/>
        </w:rPr>
        <w:t>111-142</w:t>
      </w:r>
      <w:r w:rsidR="00385659">
        <w:rPr>
          <w:rFonts w:ascii="Times New Roman" w:hAnsi="Times New Roman" w:cs="Times New Roman"/>
          <w:i/>
          <w:sz w:val="24"/>
          <w:szCs w:val="24"/>
        </w:rPr>
        <w:t>, s</w:t>
      </w:r>
      <w:bookmarkStart w:id="0" w:name="_GoBack"/>
      <w:bookmarkEnd w:id="0"/>
      <w:r w:rsidR="001B79F4">
        <w:rPr>
          <w:rFonts w:ascii="Times New Roman" w:hAnsi="Times New Roman" w:cs="Times New Roman"/>
          <w:i/>
          <w:sz w:val="24"/>
          <w:szCs w:val="24"/>
        </w:rPr>
        <w:t>ection 3</w:t>
      </w:r>
      <w:r w:rsidRPr="00E149BC">
        <w:rPr>
          <w:rFonts w:ascii="Times New Roman" w:hAnsi="Times New Roman" w:cs="Times New Roman"/>
          <w:sz w:val="24"/>
          <w:szCs w:val="24"/>
        </w:rPr>
        <w:t xml:space="preserve"> permanently</w:t>
      </w:r>
      <w:r w:rsidR="00514FEC">
        <w:rPr>
          <w:rFonts w:ascii="Times New Roman" w:hAnsi="Times New Roman" w:cs="Times New Roman"/>
          <w:sz w:val="24"/>
          <w:szCs w:val="24"/>
        </w:rPr>
        <w:t xml:space="preserve"> </w:t>
      </w:r>
      <w:r w:rsidRPr="00E149BC">
        <w:rPr>
          <w:rFonts w:ascii="Times New Roman" w:hAnsi="Times New Roman" w:cs="Times New Roman"/>
          <w:sz w:val="24"/>
          <w:szCs w:val="24"/>
        </w:rPr>
        <w:t>extend</w:t>
      </w:r>
      <w:r w:rsidR="0090481F">
        <w:rPr>
          <w:rFonts w:ascii="Times New Roman" w:hAnsi="Times New Roman" w:cs="Times New Roman"/>
          <w:sz w:val="24"/>
          <w:szCs w:val="24"/>
        </w:rPr>
        <w:t>s</w:t>
      </w:r>
      <w:r>
        <w:rPr>
          <w:rFonts w:ascii="Times New Roman" w:hAnsi="Times New Roman" w:cs="Times New Roman"/>
          <w:sz w:val="24"/>
          <w:szCs w:val="24"/>
        </w:rPr>
        <w:t xml:space="preserve"> </w:t>
      </w:r>
      <w:r w:rsidRPr="00E149BC">
        <w:rPr>
          <w:rFonts w:ascii="Times New Roman" w:hAnsi="Times New Roman" w:cs="Times New Roman"/>
          <w:sz w:val="24"/>
          <w:szCs w:val="24"/>
        </w:rPr>
        <w:t>direct payment to non-attorney representatives</w:t>
      </w:r>
      <w:r w:rsidR="00A14552" w:rsidRPr="00E149B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C7BF2">
        <w:rPr>
          <w:rFonts w:ascii="Times New Roman" w:hAnsi="Times New Roman" w:cs="Times New Roman"/>
          <w:i/>
          <w:sz w:val="24"/>
          <w:szCs w:val="24"/>
        </w:rPr>
        <w:t>Revisions to Direct Fee Payment Rules</w:t>
      </w:r>
      <w:r>
        <w:rPr>
          <w:rFonts w:ascii="Times New Roman" w:hAnsi="Times New Roman" w:cs="Times New Roman"/>
          <w:sz w:val="24"/>
          <w:szCs w:val="24"/>
        </w:rPr>
        <w:t xml:space="preserve"> (RIN 0960-AH21) </w:t>
      </w:r>
      <w:r w:rsidR="00045F77">
        <w:rPr>
          <w:rFonts w:ascii="Times New Roman" w:hAnsi="Times New Roman" w:cs="Times New Roman"/>
          <w:sz w:val="24"/>
          <w:szCs w:val="24"/>
        </w:rPr>
        <w:t>allow SSA to</w:t>
      </w:r>
      <w:r w:rsidR="00234F88">
        <w:rPr>
          <w:rFonts w:ascii="Times New Roman" w:hAnsi="Times New Roman" w:cs="Times New Roman"/>
          <w:sz w:val="24"/>
          <w:szCs w:val="24"/>
        </w:rPr>
        <w:t xml:space="preserve"> </w:t>
      </w:r>
      <w:r>
        <w:rPr>
          <w:rFonts w:ascii="Times New Roman" w:hAnsi="Times New Roman" w:cs="Times New Roman"/>
          <w:sz w:val="24"/>
          <w:szCs w:val="24"/>
        </w:rPr>
        <w:t xml:space="preserve">implement and administer the direct payment provision of </w:t>
      </w:r>
      <w:r w:rsidR="00142857" w:rsidRPr="00E149BC">
        <w:rPr>
          <w:rFonts w:ascii="Times New Roman" w:hAnsi="Times New Roman" w:cs="Times New Roman"/>
          <w:i/>
          <w:sz w:val="24"/>
          <w:szCs w:val="24"/>
        </w:rPr>
        <w:t>PRA</w:t>
      </w:r>
      <w:r>
        <w:rPr>
          <w:rFonts w:ascii="Times New Roman" w:hAnsi="Times New Roman" w:cs="Times New Roman"/>
          <w:sz w:val="24"/>
          <w:szCs w:val="24"/>
        </w:rPr>
        <w:t xml:space="preserve">. </w:t>
      </w:r>
    </w:p>
    <w:p w:rsidR="003A1F82" w:rsidRDefault="003A1F82" w:rsidP="00D8528F">
      <w:pPr>
        <w:tabs>
          <w:tab w:val="left" w:pos="0"/>
        </w:tabs>
        <w:spacing w:line="240" w:lineRule="atLeast"/>
        <w:rPr>
          <w:rFonts w:ascii="Times New Roman" w:hAnsi="Times New Roman" w:cs="Times New Roman"/>
          <w:sz w:val="24"/>
          <w:szCs w:val="24"/>
        </w:rPr>
      </w:pPr>
    </w:p>
    <w:p w:rsidR="003A1F82" w:rsidRDefault="003A1F82" w:rsidP="00377343">
      <w:pPr>
        <w:numPr>
          <w:ilvl w:val="0"/>
          <w:numId w:val="20"/>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The </w:t>
      </w:r>
      <w:r w:rsidRPr="00886480">
        <w:rPr>
          <w:rFonts w:ascii="Times New Roman" w:hAnsi="Times New Roman" w:cs="Times New Roman"/>
          <w:i/>
          <w:sz w:val="24"/>
          <w:szCs w:val="24"/>
        </w:rPr>
        <w:t>PRA</w:t>
      </w:r>
      <w:r>
        <w:rPr>
          <w:rFonts w:ascii="Times New Roman" w:hAnsi="Times New Roman" w:cs="Times New Roman"/>
          <w:sz w:val="24"/>
          <w:szCs w:val="24"/>
        </w:rPr>
        <w:t xml:space="preserve"> and the </w:t>
      </w:r>
      <w:r w:rsidRPr="005C7BF2">
        <w:rPr>
          <w:rFonts w:ascii="Times New Roman" w:hAnsi="Times New Roman" w:cs="Times New Roman"/>
          <w:i/>
          <w:sz w:val="24"/>
          <w:szCs w:val="24"/>
        </w:rPr>
        <w:t>Revisions to Direct Fee Payment Rules</w:t>
      </w:r>
      <w:r>
        <w:rPr>
          <w:rFonts w:ascii="Times New Roman" w:hAnsi="Times New Roman" w:cs="Times New Roman"/>
          <w:i/>
          <w:sz w:val="24"/>
          <w:szCs w:val="24"/>
        </w:rPr>
        <w:t xml:space="preserve"> </w:t>
      </w:r>
      <w:r>
        <w:rPr>
          <w:rFonts w:ascii="Times New Roman" w:hAnsi="Times New Roman" w:cs="Times New Roman"/>
          <w:sz w:val="24"/>
          <w:szCs w:val="24"/>
        </w:rPr>
        <w:t>state that a non-attorney must meet the following prerequisites in order to be eligible for direct payment.</w:t>
      </w:r>
    </w:p>
    <w:p w:rsidR="00045F77" w:rsidRDefault="00045F77" w:rsidP="00045F77">
      <w:pPr>
        <w:tabs>
          <w:tab w:val="left" w:pos="0"/>
        </w:tabs>
        <w:spacing w:line="240" w:lineRule="atLeast"/>
        <w:ind w:left="720"/>
        <w:rPr>
          <w:rFonts w:ascii="Times New Roman" w:hAnsi="Times New Roman" w:cs="Times New Roman"/>
          <w:sz w:val="24"/>
          <w:szCs w:val="24"/>
        </w:rPr>
      </w:pPr>
    </w:p>
    <w:p w:rsidR="00045F77" w:rsidRDefault="003A1F82" w:rsidP="00045F77">
      <w:pPr>
        <w:numPr>
          <w:ilvl w:val="1"/>
          <w:numId w:val="20"/>
        </w:numPr>
        <w:tabs>
          <w:tab w:val="left" w:pos="0"/>
        </w:tabs>
        <w:spacing w:line="240" w:lineRule="atLeast"/>
        <w:rPr>
          <w:rFonts w:ascii="Times New Roman" w:hAnsi="Times New Roman" w:cs="Times New Roman"/>
          <w:sz w:val="24"/>
          <w:szCs w:val="24"/>
        </w:rPr>
      </w:pPr>
      <w:r w:rsidRPr="00045F77">
        <w:rPr>
          <w:rFonts w:ascii="Times New Roman" w:hAnsi="Times New Roman"/>
          <w:bCs/>
          <w:sz w:val="24"/>
          <w:szCs w:val="24"/>
        </w:rPr>
        <w:t>Have been awarded a bachelor</w:t>
      </w:r>
      <w:r w:rsidR="003B7376" w:rsidRPr="00045F77">
        <w:rPr>
          <w:rFonts w:ascii="Times New Roman" w:hAnsi="Times New Roman"/>
          <w:bCs/>
          <w:sz w:val="24"/>
          <w:szCs w:val="24"/>
        </w:rPr>
        <w:t>’</w:t>
      </w:r>
      <w:r w:rsidRPr="00045F77">
        <w:rPr>
          <w:rFonts w:ascii="Times New Roman" w:hAnsi="Times New Roman"/>
          <w:bCs/>
          <w:sz w:val="24"/>
          <w:szCs w:val="24"/>
        </w:rPr>
        <w:t>s degree from an accredited institution of higher education, or have equivalent qualifications derived from training and work experience if the individual does not have a bachelor</w:t>
      </w:r>
      <w:r w:rsidR="008E4008" w:rsidRPr="00045F77">
        <w:rPr>
          <w:rFonts w:ascii="Times New Roman" w:hAnsi="Times New Roman"/>
          <w:bCs/>
          <w:sz w:val="24"/>
          <w:szCs w:val="24"/>
        </w:rPr>
        <w:t>’</w:t>
      </w:r>
      <w:r w:rsidRPr="00045F77">
        <w:rPr>
          <w:rFonts w:ascii="Times New Roman" w:hAnsi="Times New Roman"/>
          <w:bCs/>
          <w:sz w:val="24"/>
          <w:szCs w:val="24"/>
        </w:rPr>
        <w:t>s degree;</w:t>
      </w:r>
    </w:p>
    <w:p w:rsidR="00045F77" w:rsidRPr="00045F77" w:rsidRDefault="00045F77" w:rsidP="00045F77">
      <w:pPr>
        <w:tabs>
          <w:tab w:val="left" w:pos="0"/>
        </w:tabs>
        <w:spacing w:line="240" w:lineRule="atLeast"/>
        <w:ind w:left="1440"/>
        <w:rPr>
          <w:rFonts w:ascii="Times New Roman" w:hAnsi="Times New Roman" w:cs="Times New Roman"/>
          <w:sz w:val="24"/>
          <w:szCs w:val="24"/>
        </w:rPr>
      </w:pPr>
    </w:p>
    <w:p w:rsidR="00045F77" w:rsidRDefault="00142857" w:rsidP="00045F77">
      <w:pPr>
        <w:numPr>
          <w:ilvl w:val="1"/>
          <w:numId w:val="20"/>
        </w:numPr>
        <w:tabs>
          <w:tab w:val="left" w:pos="0"/>
        </w:tabs>
        <w:spacing w:line="240" w:lineRule="atLeast"/>
        <w:rPr>
          <w:rFonts w:ascii="Times New Roman" w:hAnsi="Times New Roman" w:cs="Times New Roman"/>
          <w:sz w:val="24"/>
          <w:szCs w:val="24"/>
        </w:rPr>
      </w:pPr>
      <w:r w:rsidRPr="00045F77">
        <w:rPr>
          <w:rFonts w:ascii="Times New Roman" w:hAnsi="Times New Roman"/>
          <w:bCs/>
          <w:sz w:val="24"/>
          <w:szCs w:val="24"/>
        </w:rPr>
        <w:t>Pass a criminal background check;</w:t>
      </w:r>
    </w:p>
    <w:p w:rsidR="00045F77" w:rsidRPr="00045F77" w:rsidRDefault="00045F77" w:rsidP="00045F77">
      <w:pPr>
        <w:tabs>
          <w:tab w:val="left" w:pos="0"/>
        </w:tabs>
        <w:spacing w:line="240" w:lineRule="atLeast"/>
        <w:ind w:left="1440"/>
        <w:rPr>
          <w:rFonts w:ascii="Times New Roman" w:hAnsi="Times New Roman" w:cs="Times New Roman"/>
          <w:sz w:val="24"/>
          <w:szCs w:val="24"/>
        </w:rPr>
      </w:pPr>
    </w:p>
    <w:p w:rsidR="00045F77" w:rsidRDefault="003A1F82" w:rsidP="00045F77">
      <w:pPr>
        <w:numPr>
          <w:ilvl w:val="1"/>
          <w:numId w:val="20"/>
        </w:numPr>
        <w:tabs>
          <w:tab w:val="left" w:pos="0"/>
        </w:tabs>
        <w:spacing w:line="240" w:lineRule="atLeast"/>
        <w:rPr>
          <w:rFonts w:ascii="Times New Roman" w:hAnsi="Times New Roman" w:cs="Times New Roman"/>
          <w:sz w:val="24"/>
          <w:szCs w:val="24"/>
        </w:rPr>
      </w:pPr>
      <w:r w:rsidRPr="00045F77">
        <w:rPr>
          <w:rFonts w:ascii="Times New Roman" w:hAnsi="Times New Roman"/>
          <w:bCs/>
          <w:sz w:val="24"/>
          <w:szCs w:val="24"/>
        </w:rPr>
        <w:t xml:space="preserve">Pass an examination that tests knowledge of the relevant provisions of the </w:t>
      </w:r>
      <w:r w:rsidRPr="00045F77">
        <w:rPr>
          <w:rFonts w:ascii="Times New Roman" w:hAnsi="Times New Roman"/>
          <w:bCs/>
          <w:i/>
          <w:sz w:val="24"/>
          <w:szCs w:val="24"/>
        </w:rPr>
        <w:t>Social Security Act</w:t>
      </w:r>
      <w:r w:rsidR="004522A0" w:rsidRPr="00045F77">
        <w:rPr>
          <w:rFonts w:ascii="Times New Roman" w:hAnsi="Times New Roman"/>
          <w:bCs/>
          <w:sz w:val="24"/>
          <w:szCs w:val="24"/>
        </w:rPr>
        <w:t xml:space="preserve"> </w:t>
      </w:r>
      <w:r w:rsidR="004522A0" w:rsidRPr="00045F77">
        <w:rPr>
          <w:rFonts w:ascii="Times New Roman" w:hAnsi="Times New Roman"/>
          <w:bCs/>
          <w:i/>
          <w:sz w:val="24"/>
          <w:szCs w:val="24"/>
        </w:rPr>
        <w:t>(Act)</w:t>
      </w:r>
      <w:r w:rsidR="004522A0" w:rsidRPr="00045F77">
        <w:rPr>
          <w:rFonts w:ascii="Times New Roman" w:hAnsi="Times New Roman"/>
          <w:bCs/>
          <w:sz w:val="24"/>
          <w:szCs w:val="24"/>
        </w:rPr>
        <w:t xml:space="preserve"> </w:t>
      </w:r>
      <w:r w:rsidRPr="00045F77">
        <w:rPr>
          <w:rFonts w:ascii="Times New Roman" w:hAnsi="Times New Roman"/>
          <w:bCs/>
          <w:sz w:val="24"/>
          <w:szCs w:val="24"/>
        </w:rPr>
        <w:t xml:space="preserve">and court decisions affecting the benefit programs under </w:t>
      </w:r>
      <w:r w:rsidRPr="00045F77">
        <w:rPr>
          <w:rFonts w:ascii="Times New Roman" w:hAnsi="Times New Roman"/>
          <w:bCs/>
          <w:i/>
          <w:sz w:val="24"/>
          <w:szCs w:val="24"/>
        </w:rPr>
        <w:t xml:space="preserve">titles II </w:t>
      </w:r>
      <w:r w:rsidRPr="00045F77">
        <w:rPr>
          <w:rFonts w:ascii="Times New Roman" w:hAnsi="Times New Roman"/>
          <w:bCs/>
          <w:sz w:val="24"/>
          <w:szCs w:val="24"/>
        </w:rPr>
        <w:t xml:space="preserve">and </w:t>
      </w:r>
      <w:r w:rsidRPr="00045F77">
        <w:rPr>
          <w:rFonts w:ascii="Times New Roman" w:hAnsi="Times New Roman"/>
          <w:bCs/>
          <w:i/>
          <w:sz w:val="24"/>
          <w:szCs w:val="24"/>
        </w:rPr>
        <w:t>XVI</w:t>
      </w:r>
      <w:r w:rsidRPr="00045F77">
        <w:rPr>
          <w:rFonts w:ascii="Times New Roman" w:hAnsi="Times New Roman"/>
          <w:bCs/>
          <w:sz w:val="24"/>
          <w:szCs w:val="24"/>
        </w:rPr>
        <w:t xml:space="preserve"> of the </w:t>
      </w:r>
      <w:r w:rsidRPr="00045F77">
        <w:rPr>
          <w:rFonts w:ascii="Times New Roman" w:hAnsi="Times New Roman"/>
          <w:bCs/>
          <w:i/>
          <w:sz w:val="24"/>
          <w:szCs w:val="24"/>
        </w:rPr>
        <w:t>Act</w:t>
      </w:r>
      <w:r w:rsidRPr="00045F77">
        <w:rPr>
          <w:rFonts w:ascii="Times New Roman" w:hAnsi="Times New Roman"/>
          <w:bCs/>
          <w:sz w:val="24"/>
          <w:szCs w:val="24"/>
        </w:rPr>
        <w:t>;</w:t>
      </w:r>
    </w:p>
    <w:p w:rsidR="00045F77" w:rsidRPr="00045F77" w:rsidRDefault="00045F77" w:rsidP="00045F77">
      <w:pPr>
        <w:tabs>
          <w:tab w:val="left" w:pos="0"/>
        </w:tabs>
        <w:spacing w:line="240" w:lineRule="atLeast"/>
        <w:ind w:left="1440"/>
        <w:rPr>
          <w:rFonts w:ascii="Times New Roman" w:hAnsi="Times New Roman" w:cs="Times New Roman"/>
          <w:sz w:val="24"/>
          <w:szCs w:val="24"/>
        </w:rPr>
      </w:pPr>
    </w:p>
    <w:p w:rsidR="00045F77" w:rsidRDefault="003A1F82" w:rsidP="00045F77">
      <w:pPr>
        <w:numPr>
          <w:ilvl w:val="1"/>
          <w:numId w:val="20"/>
        </w:numPr>
        <w:tabs>
          <w:tab w:val="left" w:pos="0"/>
        </w:tabs>
        <w:spacing w:line="240" w:lineRule="atLeast"/>
        <w:rPr>
          <w:rFonts w:ascii="Times New Roman" w:hAnsi="Times New Roman" w:cs="Times New Roman"/>
          <w:sz w:val="24"/>
          <w:szCs w:val="24"/>
        </w:rPr>
      </w:pPr>
      <w:r w:rsidRPr="00045F77">
        <w:rPr>
          <w:rFonts w:ascii="Times New Roman" w:hAnsi="Times New Roman"/>
          <w:bCs/>
          <w:sz w:val="24"/>
          <w:szCs w:val="24"/>
        </w:rPr>
        <w:t>Secure professional liability insurance or equivalent insurance to protect claimants in the event of malpractice by the non-attorney representative;</w:t>
      </w:r>
      <w:r w:rsidR="00142857" w:rsidRPr="00045F77">
        <w:rPr>
          <w:rFonts w:ascii="Times New Roman" w:hAnsi="Times New Roman"/>
          <w:bCs/>
          <w:sz w:val="24"/>
          <w:szCs w:val="24"/>
        </w:rPr>
        <w:t xml:space="preserve"> and </w:t>
      </w:r>
    </w:p>
    <w:p w:rsidR="00045F77" w:rsidRPr="00045F77" w:rsidRDefault="00045F77" w:rsidP="00045F77">
      <w:pPr>
        <w:tabs>
          <w:tab w:val="left" w:pos="0"/>
        </w:tabs>
        <w:spacing w:line="240" w:lineRule="atLeast"/>
        <w:ind w:left="1440"/>
        <w:rPr>
          <w:rFonts w:ascii="Times New Roman" w:hAnsi="Times New Roman" w:cs="Times New Roman"/>
          <w:sz w:val="24"/>
          <w:szCs w:val="24"/>
        </w:rPr>
      </w:pPr>
    </w:p>
    <w:p w:rsidR="003A1F82" w:rsidRPr="00045F77" w:rsidRDefault="003A1F82" w:rsidP="00045F77">
      <w:pPr>
        <w:numPr>
          <w:ilvl w:val="1"/>
          <w:numId w:val="20"/>
        </w:numPr>
        <w:tabs>
          <w:tab w:val="left" w:pos="0"/>
        </w:tabs>
        <w:spacing w:line="240" w:lineRule="atLeast"/>
        <w:rPr>
          <w:rFonts w:ascii="Times New Roman" w:hAnsi="Times New Roman" w:cs="Times New Roman"/>
          <w:sz w:val="24"/>
          <w:szCs w:val="24"/>
        </w:rPr>
      </w:pPr>
      <w:r w:rsidRPr="00045F77">
        <w:rPr>
          <w:rFonts w:ascii="Times New Roman" w:hAnsi="Times New Roman"/>
          <w:bCs/>
          <w:sz w:val="24"/>
          <w:szCs w:val="24"/>
        </w:rPr>
        <w:t xml:space="preserve">Demonstrate completion of continuing education courses, including courses in ethics and professional conduct, to enhance professional knowledge in matters related to entitlement to, or eligibility for, benefits based on disability under </w:t>
      </w:r>
      <w:r w:rsidRPr="00045F77">
        <w:rPr>
          <w:rFonts w:ascii="Times New Roman" w:hAnsi="Times New Roman"/>
          <w:bCs/>
          <w:i/>
          <w:sz w:val="24"/>
          <w:szCs w:val="24"/>
        </w:rPr>
        <w:t>titles II</w:t>
      </w:r>
      <w:r w:rsidRPr="00045F77">
        <w:rPr>
          <w:rFonts w:ascii="Times New Roman" w:hAnsi="Times New Roman"/>
          <w:bCs/>
          <w:sz w:val="24"/>
          <w:szCs w:val="24"/>
        </w:rPr>
        <w:t xml:space="preserve"> and</w:t>
      </w:r>
      <w:r w:rsidRPr="00045F77">
        <w:rPr>
          <w:rFonts w:ascii="Times New Roman" w:hAnsi="Times New Roman"/>
          <w:bCs/>
          <w:i/>
          <w:sz w:val="24"/>
          <w:szCs w:val="24"/>
        </w:rPr>
        <w:t xml:space="preserve"> XVI</w:t>
      </w:r>
      <w:r w:rsidRPr="00045F77">
        <w:rPr>
          <w:rFonts w:ascii="Times New Roman" w:hAnsi="Times New Roman"/>
          <w:bCs/>
          <w:sz w:val="24"/>
          <w:szCs w:val="24"/>
        </w:rPr>
        <w:t xml:space="preserve"> of the </w:t>
      </w:r>
      <w:r w:rsidRPr="00045F77">
        <w:rPr>
          <w:rFonts w:ascii="Times New Roman" w:hAnsi="Times New Roman"/>
          <w:bCs/>
          <w:i/>
          <w:sz w:val="24"/>
          <w:szCs w:val="24"/>
        </w:rPr>
        <w:t>Act.</w:t>
      </w:r>
    </w:p>
    <w:p w:rsidR="00AA4437" w:rsidRPr="00A10D97" w:rsidRDefault="00AA4437" w:rsidP="00AA4437">
      <w:pPr>
        <w:widowControl/>
        <w:tabs>
          <w:tab w:val="left" w:pos="-720"/>
        </w:tabs>
        <w:autoSpaceDE/>
        <w:spacing w:line="240" w:lineRule="atLeast"/>
        <w:ind w:left="2700"/>
        <w:rPr>
          <w:rFonts w:ascii="Times New Roman" w:hAnsi="Times New Roman" w:cs="Times New Roman"/>
          <w:sz w:val="24"/>
          <w:szCs w:val="24"/>
        </w:rPr>
      </w:pPr>
    </w:p>
    <w:p w:rsidR="00697DE6" w:rsidRDefault="00697DE6" w:rsidP="00697DE6">
      <w:pPr>
        <w:numPr>
          <w:ilvl w:val="0"/>
          <w:numId w:val="19"/>
        </w:numPr>
        <w:tabs>
          <w:tab w:val="left" w:pos="0"/>
        </w:tabs>
        <w:spacing w:line="240" w:lineRule="atLeast"/>
        <w:rPr>
          <w:rFonts w:ascii="Times New Roman" w:hAnsi="Times New Roman" w:cs="Times New Roman"/>
          <w:sz w:val="24"/>
          <w:szCs w:val="24"/>
        </w:rPr>
      </w:pPr>
      <w:r w:rsidRPr="00BF79AF">
        <w:rPr>
          <w:rFonts w:ascii="Times New Roman" w:hAnsi="Times New Roman" w:cs="Times New Roman"/>
          <w:sz w:val="24"/>
          <w:szCs w:val="24"/>
        </w:rPr>
        <w:t xml:space="preserve">Respondents, who submit a completed application package, pay the application fee, and pass the criminal background check, </w:t>
      </w:r>
      <w:r w:rsidR="0090481F">
        <w:rPr>
          <w:rFonts w:ascii="Times New Roman" w:hAnsi="Times New Roman" w:cs="Times New Roman"/>
          <w:sz w:val="24"/>
          <w:szCs w:val="24"/>
        </w:rPr>
        <w:t>will be</w:t>
      </w:r>
      <w:r w:rsidRPr="00BF79AF">
        <w:rPr>
          <w:rFonts w:ascii="Times New Roman" w:hAnsi="Times New Roman" w:cs="Times New Roman"/>
          <w:sz w:val="24"/>
          <w:szCs w:val="24"/>
        </w:rPr>
        <w:t xml:space="preserve"> eligible to take the </w:t>
      </w:r>
      <w:r w:rsidR="00D210C7" w:rsidRPr="00BF79AF">
        <w:rPr>
          <w:rFonts w:ascii="Times New Roman" w:hAnsi="Times New Roman" w:cs="Times New Roman"/>
          <w:sz w:val="24"/>
          <w:szCs w:val="24"/>
        </w:rPr>
        <w:t xml:space="preserve">written </w:t>
      </w:r>
      <w:r w:rsidRPr="00BF79AF">
        <w:rPr>
          <w:rFonts w:ascii="Times New Roman" w:hAnsi="Times New Roman" w:cs="Times New Roman"/>
          <w:sz w:val="24"/>
          <w:szCs w:val="24"/>
        </w:rPr>
        <w:t>examination to meet the examination requirement</w:t>
      </w:r>
      <w:r w:rsidR="00D210C7" w:rsidRPr="00BF79AF">
        <w:rPr>
          <w:rFonts w:ascii="Times New Roman" w:hAnsi="Times New Roman" w:cs="Times New Roman"/>
          <w:sz w:val="24"/>
          <w:szCs w:val="24"/>
        </w:rPr>
        <w:t xml:space="preserve"> if they pass it</w:t>
      </w:r>
      <w:r w:rsidR="00A14552" w:rsidRPr="00BF79AF">
        <w:rPr>
          <w:rFonts w:ascii="Times New Roman" w:hAnsi="Times New Roman" w:cs="Times New Roman"/>
          <w:sz w:val="24"/>
          <w:szCs w:val="24"/>
        </w:rPr>
        <w:t xml:space="preserve">.  </w:t>
      </w:r>
      <w:r w:rsidRPr="00BF79AF">
        <w:rPr>
          <w:rFonts w:ascii="Times New Roman" w:hAnsi="Times New Roman" w:cs="Times New Roman"/>
          <w:sz w:val="24"/>
          <w:szCs w:val="24"/>
        </w:rPr>
        <w:t>The examination consist</w:t>
      </w:r>
      <w:r w:rsidR="00B71DB7">
        <w:rPr>
          <w:rFonts w:ascii="Times New Roman" w:hAnsi="Times New Roman" w:cs="Times New Roman"/>
          <w:sz w:val="24"/>
          <w:szCs w:val="24"/>
        </w:rPr>
        <w:t>s</w:t>
      </w:r>
      <w:r w:rsidRPr="00BF79AF">
        <w:rPr>
          <w:rFonts w:ascii="Times New Roman" w:hAnsi="Times New Roman" w:cs="Times New Roman"/>
          <w:sz w:val="24"/>
          <w:szCs w:val="24"/>
        </w:rPr>
        <w:t xml:space="preserve"> of 40 to 50 </w:t>
      </w:r>
      <w:r w:rsidR="005F25D0">
        <w:rPr>
          <w:rFonts w:ascii="Times New Roman" w:hAnsi="Times New Roman" w:cs="Times New Roman"/>
          <w:sz w:val="24"/>
          <w:szCs w:val="24"/>
        </w:rPr>
        <w:t>multiple</w:t>
      </w:r>
      <w:r w:rsidR="005F25D0" w:rsidRPr="00BF79AF">
        <w:rPr>
          <w:rFonts w:ascii="Times New Roman" w:hAnsi="Times New Roman" w:cs="Times New Roman"/>
          <w:sz w:val="24"/>
          <w:szCs w:val="24"/>
        </w:rPr>
        <w:t>-choice</w:t>
      </w:r>
      <w:r w:rsidR="00D210C7" w:rsidRPr="00BF79AF">
        <w:rPr>
          <w:rFonts w:ascii="Times New Roman" w:hAnsi="Times New Roman" w:cs="Times New Roman"/>
          <w:sz w:val="24"/>
          <w:szCs w:val="24"/>
        </w:rPr>
        <w:t xml:space="preserve"> questions </w:t>
      </w:r>
      <w:r w:rsidR="004C6711">
        <w:rPr>
          <w:rFonts w:ascii="Times New Roman" w:hAnsi="Times New Roman" w:cs="Times New Roman"/>
          <w:sz w:val="24"/>
          <w:szCs w:val="24"/>
        </w:rPr>
        <w:t>about</w:t>
      </w:r>
      <w:r w:rsidR="00D210C7" w:rsidRPr="00BF79AF">
        <w:rPr>
          <w:rFonts w:ascii="Times New Roman" w:hAnsi="Times New Roman" w:cs="Times New Roman"/>
          <w:sz w:val="24"/>
          <w:szCs w:val="24"/>
        </w:rPr>
        <w:t xml:space="preserve"> </w:t>
      </w:r>
      <w:r w:rsidR="00A82B98">
        <w:rPr>
          <w:rFonts w:ascii="Times New Roman" w:hAnsi="Times New Roman" w:cs="Times New Roman"/>
          <w:sz w:val="24"/>
          <w:szCs w:val="24"/>
        </w:rPr>
        <w:t>ethics, professionalism, the appeal process, medical and vocational issues, disability benefit</w:t>
      </w:r>
      <w:r w:rsidR="00862F59">
        <w:rPr>
          <w:rFonts w:ascii="Times New Roman" w:hAnsi="Times New Roman" w:cs="Times New Roman"/>
          <w:sz w:val="24"/>
          <w:szCs w:val="24"/>
        </w:rPr>
        <w:t>s</w:t>
      </w:r>
      <w:r w:rsidR="00A82B98">
        <w:rPr>
          <w:rFonts w:ascii="Times New Roman" w:hAnsi="Times New Roman" w:cs="Times New Roman"/>
          <w:sz w:val="24"/>
          <w:szCs w:val="24"/>
        </w:rPr>
        <w:t xml:space="preserve">, and non-disability issues. </w:t>
      </w:r>
      <w:r w:rsidR="005F25D0">
        <w:rPr>
          <w:rFonts w:ascii="Times New Roman" w:hAnsi="Times New Roman" w:cs="Times New Roman"/>
          <w:sz w:val="24"/>
          <w:szCs w:val="24"/>
        </w:rPr>
        <w:t xml:space="preserve"> </w:t>
      </w:r>
      <w:r w:rsidR="00D210C7" w:rsidRPr="00BF79AF">
        <w:rPr>
          <w:rFonts w:ascii="Times New Roman" w:hAnsi="Times New Roman" w:cs="Times New Roman"/>
          <w:sz w:val="24"/>
          <w:szCs w:val="24"/>
        </w:rPr>
        <w:t>Because</w:t>
      </w:r>
      <w:r w:rsidR="00BF79AF" w:rsidRPr="00BF79AF">
        <w:rPr>
          <w:rFonts w:ascii="Times New Roman" w:hAnsi="Times New Roman" w:cs="Times New Roman"/>
          <w:sz w:val="24"/>
          <w:szCs w:val="24"/>
        </w:rPr>
        <w:t xml:space="preserve"> of the sensitive nature of this process </w:t>
      </w:r>
      <w:r w:rsidR="005C373A" w:rsidRPr="00BF79AF">
        <w:rPr>
          <w:rFonts w:ascii="Times New Roman" w:hAnsi="Times New Roman" w:cs="Times New Roman"/>
          <w:sz w:val="24"/>
          <w:szCs w:val="24"/>
        </w:rPr>
        <w:t>and the</w:t>
      </w:r>
      <w:r w:rsidR="00D210C7" w:rsidRPr="00BF79AF">
        <w:rPr>
          <w:rFonts w:ascii="Times New Roman" w:hAnsi="Times New Roman" w:cs="Times New Roman"/>
          <w:sz w:val="24"/>
          <w:szCs w:val="24"/>
        </w:rPr>
        <w:t xml:space="preserve"> risk </w:t>
      </w:r>
      <w:r w:rsidR="00B71DB7">
        <w:rPr>
          <w:rFonts w:ascii="Times New Roman" w:hAnsi="Times New Roman" w:cs="Times New Roman"/>
          <w:sz w:val="24"/>
          <w:szCs w:val="24"/>
        </w:rPr>
        <w:t xml:space="preserve">of </w:t>
      </w:r>
      <w:r w:rsidR="005F25D0">
        <w:rPr>
          <w:rFonts w:ascii="Times New Roman" w:hAnsi="Times New Roman" w:cs="Times New Roman"/>
          <w:sz w:val="24"/>
          <w:szCs w:val="24"/>
        </w:rPr>
        <w:t xml:space="preserve">inadvertently releasing </w:t>
      </w:r>
      <w:r w:rsidR="00D210C7" w:rsidRPr="00BF79AF">
        <w:rPr>
          <w:rFonts w:ascii="Times New Roman" w:hAnsi="Times New Roman" w:cs="Times New Roman"/>
          <w:sz w:val="24"/>
          <w:szCs w:val="24"/>
        </w:rPr>
        <w:t>the test question</w:t>
      </w:r>
      <w:r w:rsidR="00B71DB7">
        <w:rPr>
          <w:rFonts w:ascii="Times New Roman" w:hAnsi="Times New Roman" w:cs="Times New Roman"/>
          <w:sz w:val="24"/>
          <w:szCs w:val="24"/>
        </w:rPr>
        <w:t>s</w:t>
      </w:r>
      <w:r w:rsidR="00D210C7" w:rsidRPr="00BF79AF">
        <w:rPr>
          <w:rFonts w:ascii="Times New Roman" w:hAnsi="Times New Roman" w:cs="Times New Roman"/>
          <w:sz w:val="24"/>
          <w:szCs w:val="24"/>
        </w:rPr>
        <w:t xml:space="preserve"> to </w:t>
      </w:r>
      <w:r w:rsidR="00862F59">
        <w:rPr>
          <w:rFonts w:ascii="Times New Roman" w:hAnsi="Times New Roman" w:cs="Times New Roman"/>
          <w:sz w:val="24"/>
          <w:szCs w:val="24"/>
        </w:rPr>
        <w:t>potential respondents</w:t>
      </w:r>
      <w:r w:rsidR="00D210C7" w:rsidRPr="00BF79AF">
        <w:rPr>
          <w:rFonts w:ascii="Times New Roman" w:hAnsi="Times New Roman" w:cs="Times New Roman"/>
          <w:sz w:val="24"/>
          <w:szCs w:val="24"/>
        </w:rPr>
        <w:t xml:space="preserve">, we </w:t>
      </w:r>
      <w:r w:rsidR="005F25D0">
        <w:rPr>
          <w:rFonts w:ascii="Times New Roman" w:hAnsi="Times New Roman" w:cs="Times New Roman"/>
          <w:sz w:val="24"/>
          <w:szCs w:val="24"/>
        </w:rPr>
        <w:t>cannot</w:t>
      </w:r>
      <w:r w:rsidR="00D210C7" w:rsidRPr="00BF79AF">
        <w:rPr>
          <w:rFonts w:ascii="Times New Roman" w:hAnsi="Times New Roman" w:cs="Times New Roman"/>
          <w:sz w:val="24"/>
          <w:szCs w:val="24"/>
        </w:rPr>
        <w:t xml:space="preserve"> provi</w:t>
      </w:r>
      <w:r w:rsidR="005F25D0">
        <w:rPr>
          <w:rFonts w:ascii="Times New Roman" w:hAnsi="Times New Roman" w:cs="Times New Roman"/>
          <w:sz w:val="24"/>
          <w:szCs w:val="24"/>
        </w:rPr>
        <w:t>de</w:t>
      </w:r>
      <w:r w:rsidR="00D210C7" w:rsidRPr="00BF79AF">
        <w:rPr>
          <w:rFonts w:ascii="Times New Roman" w:hAnsi="Times New Roman" w:cs="Times New Roman"/>
          <w:sz w:val="24"/>
          <w:szCs w:val="24"/>
        </w:rPr>
        <w:t xml:space="preserve"> a list of </w:t>
      </w:r>
      <w:r w:rsidR="00BF79AF" w:rsidRPr="00BF79AF">
        <w:rPr>
          <w:rFonts w:ascii="Times New Roman" w:hAnsi="Times New Roman" w:cs="Times New Roman"/>
          <w:sz w:val="24"/>
          <w:szCs w:val="24"/>
        </w:rPr>
        <w:t>the</w:t>
      </w:r>
      <w:r w:rsidR="00D210C7" w:rsidRPr="00BF79AF">
        <w:rPr>
          <w:rFonts w:ascii="Times New Roman" w:hAnsi="Times New Roman" w:cs="Times New Roman"/>
          <w:sz w:val="24"/>
          <w:szCs w:val="24"/>
        </w:rPr>
        <w:t xml:space="preserve"> test questions with th</w:t>
      </w:r>
      <w:r w:rsidR="005F25D0">
        <w:rPr>
          <w:rFonts w:ascii="Times New Roman" w:hAnsi="Times New Roman" w:cs="Times New Roman"/>
          <w:sz w:val="24"/>
          <w:szCs w:val="24"/>
        </w:rPr>
        <w:t>is</w:t>
      </w:r>
      <w:r w:rsidR="00862F59">
        <w:rPr>
          <w:rFonts w:ascii="Times New Roman" w:hAnsi="Times New Roman" w:cs="Times New Roman"/>
          <w:sz w:val="24"/>
          <w:szCs w:val="24"/>
        </w:rPr>
        <w:t xml:space="preserve"> </w:t>
      </w:r>
      <w:r w:rsidR="005F25D0">
        <w:rPr>
          <w:rFonts w:ascii="Times New Roman" w:hAnsi="Times New Roman" w:cs="Times New Roman"/>
          <w:sz w:val="24"/>
          <w:szCs w:val="24"/>
        </w:rPr>
        <w:t>information collection request</w:t>
      </w:r>
      <w:r w:rsidR="00D210C7" w:rsidRPr="00BF79AF">
        <w:rPr>
          <w:rFonts w:ascii="Times New Roman" w:hAnsi="Times New Roman" w:cs="Times New Roman"/>
          <w:sz w:val="24"/>
          <w:szCs w:val="24"/>
        </w:rPr>
        <w:t xml:space="preserve">. </w:t>
      </w:r>
    </w:p>
    <w:p w:rsidR="00AA4437" w:rsidRPr="00BF79AF" w:rsidRDefault="00AA4437" w:rsidP="00AA4437">
      <w:pPr>
        <w:tabs>
          <w:tab w:val="left" w:pos="0"/>
        </w:tabs>
        <w:spacing w:line="240" w:lineRule="atLeast"/>
        <w:rPr>
          <w:rFonts w:ascii="Times New Roman" w:hAnsi="Times New Roman" w:cs="Times New Roman"/>
          <w:sz w:val="24"/>
          <w:szCs w:val="24"/>
        </w:rPr>
      </w:pPr>
    </w:p>
    <w:p w:rsidR="00AA4437" w:rsidRDefault="003A1F82" w:rsidP="00D8528F">
      <w:pPr>
        <w:numPr>
          <w:ilvl w:val="0"/>
          <w:numId w:val="19"/>
        </w:numPr>
        <w:tabs>
          <w:tab w:val="left" w:pos="0"/>
        </w:tabs>
        <w:spacing w:line="240" w:lineRule="atLeast"/>
        <w:rPr>
          <w:rFonts w:ascii="Times New Roman" w:hAnsi="Times New Roman" w:cs="Times New Roman"/>
          <w:sz w:val="24"/>
          <w:szCs w:val="24"/>
        </w:rPr>
      </w:pPr>
      <w:r w:rsidRPr="003A1F82">
        <w:rPr>
          <w:rFonts w:ascii="Times New Roman" w:hAnsi="Times New Roman" w:cs="Times New Roman"/>
          <w:sz w:val="24"/>
          <w:szCs w:val="24"/>
        </w:rPr>
        <w:t>The previous criteria for equivalent qualifications were cumbersome and difficult to administer</w:t>
      </w:r>
      <w:r w:rsidR="00A14552" w:rsidRPr="003A1F82">
        <w:rPr>
          <w:rFonts w:ascii="Times New Roman" w:hAnsi="Times New Roman" w:cs="Times New Roman"/>
          <w:sz w:val="24"/>
          <w:szCs w:val="24"/>
        </w:rPr>
        <w:t xml:space="preserve">.  </w:t>
      </w:r>
      <w:r w:rsidRPr="003A1F82">
        <w:rPr>
          <w:rFonts w:ascii="Times New Roman" w:hAnsi="Times New Roman" w:cs="Times New Roman"/>
          <w:sz w:val="24"/>
          <w:szCs w:val="24"/>
        </w:rPr>
        <w:t xml:space="preserve">Therefore, </w:t>
      </w:r>
      <w:r w:rsidR="00C15EBB">
        <w:rPr>
          <w:rFonts w:ascii="Times New Roman" w:hAnsi="Times New Roman" w:cs="Times New Roman"/>
          <w:sz w:val="24"/>
          <w:szCs w:val="24"/>
        </w:rPr>
        <w:t xml:space="preserve">we revised </w:t>
      </w:r>
      <w:r w:rsidRPr="003A1F82">
        <w:rPr>
          <w:rFonts w:ascii="Times New Roman" w:hAnsi="Times New Roman" w:cs="Times New Roman"/>
          <w:sz w:val="24"/>
          <w:szCs w:val="24"/>
        </w:rPr>
        <w:t>the criteria for equivalent qualifications.</w:t>
      </w:r>
      <w:r w:rsidR="00C15EBB">
        <w:rPr>
          <w:rFonts w:ascii="Times New Roman" w:hAnsi="Times New Roman" w:cs="Times New Roman"/>
          <w:sz w:val="24"/>
          <w:szCs w:val="24"/>
        </w:rPr>
        <w:t xml:space="preserve"> </w:t>
      </w:r>
      <w:r w:rsidRPr="003A1F82">
        <w:rPr>
          <w:rFonts w:ascii="Times New Roman" w:hAnsi="Times New Roman" w:cs="Times New Roman"/>
          <w:sz w:val="24"/>
          <w:szCs w:val="24"/>
        </w:rPr>
        <w:t xml:space="preserve"> Non-attorneys will be able to meet the equivalent qualifications requirement by possessing a high school diploma or GED and 4 years of relevant training or work experience. </w:t>
      </w:r>
    </w:p>
    <w:p w:rsidR="00AA4437" w:rsidRDefault="00AA4437" w:rsidP="00AA4437">
      <w:pPr>
        <w:tabs>
          <w:tab w:val="left" w:pos="0"/>
        </w:tabs>
        <w:spacing w:line="240" w:lineRule="atLeast"/>
        <w:ind w:left="720"/>
        <w:rPr>
          <w:rFonts w:ascii="Times New Roman" w:hAnsi="Times New Roman" w:cs="Times New Roman"/>
          <w:sz w:val="24"/>
          <w:szCs w:val="24"/>
        </w:rPr>
      </w:pPr>
    </w:p>
    <w:p w:rsidR="00010457" w:rsidRDefault="00D8528F" w:rsidP="00010457">
      <w:pPr>
        <w:numPr>
          <w:ilvl w:val="0"/>
          <w:numId w:val="17"/>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The regulation </w:t>
      </w:r>
      <w:r w:rsidR="006F21C0">
        <w:rPr>
          <w:rFonts w:ascii="Times New Roman" w:hAnsi="Times New Roman" w:cs="Times New Roman"/>
          <w:sz w:val="24"/>
          <w:szCs w:val="24"/>
        </w:rPr>
        <w:t xml:space="preserve">will </w:t>
      </w:r>
      <w:r>
        <w:rPr>
          <w:rFonts w:ascii="Times New Roman" w:hAnsi="Times New Roman" w:cs="Times New Roman"/>
          <w:sz w:val="24"/>
          <w:szCs w:val="24"/>
        </w:rPr>
        <w:t>allow</w:t>
      </w:r>
      <w:r w:rsidR="00D6407D">
        <w:rPr>
          <w:rFonts w:ascii="Times New Roman" w:hAnsi="Times New Roman" w:cs="Times New Roman"/>
          <w:sz w:val="24"/>
          <w:szCs w:val="24"/>
        </w:rPr>
        <w:t xml:space="preserve"> </w:t>
      </w:r>
      <w:r w:rsidR="00894EEB">
        <w:rPr>
          <w:rFonts w:ascii="Times New Roman" w:hAnsi="Times New Roman" w:cs="Times New Roman"/>
          <w:sz w:val="24"/>
          <w:szCs w:val="24"/>
        </w:rPr>
        <w:t>us to accept respondents’ allegations</w:t>
      </w:r>
      <w:r w:rsidR="00264EA1">
        <w:rPr>
          <w:rFonts w:ascii="Times New Roman" w:hAnsi="Times New Roman" w:cs="Times New Roman"/>
          <w:sz w:val="24"/>
          <w:szCs w:val="24"/>
        </w:rPr>
        <w:t>, on the collection instrument,</w:t>
      </w:r>
      <w:r w:rsidR="00894EEB">
        <w:rPr>
          <w:rFonts w:ascii="Times New Roman" w:hAnsi="Times New Roman" w:cs="Times New Roman"/>
          <w:sz w:val="24"/>
          <w:szCs w:val="24"/>
        </w:rPr>
        <w:t xml:space="preserve"> that they possess a bachelor’s degree or equivalent qualifications</w:t>
      </w:r>
      <w:r w:rsidR="00B86C7E">
        <w:rPr>
          <w:rFonts w:ascii="Times New Roman" w:hAnsi="Times New Roman" w:cs="Times New Roman"/>
          <w:sz w:val="24"/>
          <w:szCs w:val="24"/>
        </w:rPr>
        <w:t>; and</w:t>
      </w:r>
      <w:r w:rsidR="00894EEB">
        <w:rPr>
          <w:rFonts w:ascii="Times New Roman" w:hAnsi="Times New Roman" w:cs="Times New Roman"/>
          <w:sz w:val="24"/>
          <w:szCs w:val="24"/>
        </w:rPr>
        <w:t xml:space="preserve"> </w:t>
      </w:r>
      <w:r w:rsidR="006F21C0">
        <w:rPr>
          <w:rFonts w:ascii="Times New Roman" w:hAnsi="Times New Roman" w:cs="Times New Roman"/>
          <w:sz w:val="24"/>
          <w:szCs w:val="24"/>
        </w:rPr>
        <w:t xml:space="preserve">will </w:t>
      </w:r>
      <w:r w:rsidR="00894EEB">
        <w:rPr>
          <w:rFonts w:ascii="Times New Roman" w:hAnsi="Times New Roman" w:cs="Times New Roman"/>
          <w:sz w:val="24"/>
          <w:szCs w:val="24"/>
        </w:rPr>
        <w:t xml:space="preserve">allow for more flexibility </w:t>
      </w:r>
      <w:r w:rsidR="00CF4A2A">
        <w:rPr>
          <w:rFonts w:ascii="Times New Roman" w:hAnsi="Times New Roman" w:cs="Times New Roman"/>
          <w:sz w:val="24"/>
          <w:szCs w:val="24"/>
        </w:rPr>
        <w:t>on</w:t>
      </w:r>
      <w:r w:rsidR="00894EEB">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894EEB">
        <w:rPr>
          <w:rFonts w:ascii="Times New Roman" w:hAnsi="Times New Roman" w:cs="Times New Roman"/>
          <w:sz w:val="24"/>
          <w:szCs w:val="24"/>
        </w:rPr>
        <w:t xml:space="preserve">respondents must </w:t>
      </w:r>
      <w:r>
        <w:rPr>
          <w:rFonts w:ascii="Times New Roman" w:hAnsi="Times New Roman" w:cs="Times New Roman"/>
          <w:sz w:val="24"/>
          <w:szCs w:val="24"/>
        </w:rPr>
        <w:t xml:space="preserve">submit </w:t>
      </w:r>
      <w:r w:rsidR="007D12E9">
        <w:rPr>
          <w:rFonts w:ascii="Times New Roman" w:hAnsi="Times New Roman" w:cs="Times New Roman"/>
          <w:sz w:val="24"/>
          <w:szCs w:val="24"/>
        </w:rPr>
        <w:t xml:space="preserve">proof of their bachelor’s degree or equivalent qualifications and </w:t>
      </w:r>
      <w:r w:rsidR="0023305C">
        <w:rPr>
          <w:rFonts w:ascii="Times New Roman" w:hAnsi="Times New Roman" w:cs="Times New Roman"/>
          <w:sz w:val="24"/>
          <w:szCs w:val="24"/>
        </w:rPr>
        <w:t xml:space="preserve">professional or </w:t>
      </w:r>
      <w:r w:rsidR="007D12E9">
        <w:rPr>
          <w:rFonts w:ascii="Times New Roman" w:hAnsi="Times New Roman" w:cs="Times New Roman"/>
          <w:sz w:val="24"/>
          <w:szCs w:val="24"/>
        </w:rPr>
        <w:t>business liability insurance</w:t>
      </w:r>
      <w:r w:rsidR="00A14552">
        <w:rPr>
          <w:rFonts w:ascii="Times New Roman" w:hAnsi="Times New Roman" w:cs="Times New Roman"/>
          <w:sz w:val="24"/>
          <w:szCs w:val="24"/>
        </w:rPr>
        <w:t xml:space="preserve">.  </w:t>
      </w:r>
      <w:r w:rsidR="00035931">
        <w:rPr>
          <w:rFonts w:ascii="Times New Roman" w:hAnsi="Times New Roman" w:cs="Times New Roman"/>
          <w:sz w:val="24"/>
          <w:szCs w:val="24"/>
        </w:rPr>
        <w:t xml:space="preserve">We will </w:t>
      </w:r>
      <w:r w:rsidR="00191877">
        <w:rPr>
          <w:rFonts w:ascii="Times New Roman" w:hAnsi="Times New Roman" w:cs="Times New Roman"/>
          <w:sz w:val="24"/>
          <w:szCs w:val="24"/>
        </w:rPr>
        <w:t>notify respondents who pass the examination</w:t>
      </w:r>
      <w:r w:rsidR="0023305C">
        <w:rPr>
          <w:rFonts w:ascii="Times New Roman" w:hAnsi="Times New Roman" w:cs="Times New Roman"/>
          <w:sz w:val="24"/>
          <w:szCs w:val="24"/>
        </w:rPr>
        <w:t xml:space="preserve"> </w:t>
      </w:r>
      <w:r w:rsidR="00191877">
        <w:rPr>
          <w:rFonts w:ascii="Times New Roman" w:hAnsi="Times New Roman" w:cs="Times New Roman"/>
          <w:sz w:val="24"/>
          <w:szCs w:val="24"/>
        </w:rPr>
        <w:t>that they need to submit proof of their bachelor’s degree or equivalent qualification and professional or business liability insurance</w:t>
      </w:r>
      <w:r w:rsidR="005857CE">
        <w:rPr>
          <w:rFonts w:ascii="Times New Roman" w:hAnsi="Times New Roman" w:cs="Times New Roman"/>
          <w:sz w:val="24"/>
          <w:szCs w:val="24"/>
        </w:rPr>
        <w:t xml:space="preserve"> policy</w:t>
      </w:r>
      <w:r w:rsidR="00191877">
        <w:rPr>
          <w:rFonts w:ascii="Times New Roman" w:hAnsi="Times New Roman" w:cs="Times New Roman"/>
          <w:sz w:val="24"/>
          <w:szCs w:val="24"/>
        </w:rPr>
        <w:t xml:space="preserve"> in order to </w:t>
      </w:r>
      <w:r w:rsidR="005857CE">
        <w:rPr>
          <w:rFonts w:ascii="Times New Roman" w:hAnsi="Times New Roman" w:cs="Times New Roman"/>
          <w:sz w:val="24"/>
          <w:szCs w:val="24"/>
        </w:rPr>
        <w:t xml:space="preserve">be eligible for </w:t>
      </w:r>
      <w:r w:rsidR="00191877">
        <w:rPr>
          <w:rFonts w:ascii="Times New Roman" w:hAnsi="Times New Roman" w:cs="Times New Roman"/>
          <w:sz w:val="24"/>
          <w:szCs w:val="24"/>
        </w:rPr>
        <w:t>direct payment</w:t>
      </w:r>
      <w:r w:rsidR="00E93028">
        <w:rPr>
          <w:rFonts w:ascii="Times New Roman" w:hAnsi="Times New Roman" w:cs="Times New Roman"/>
          <w:sz w:val="24"/>
          <w:szCs w:val="24"/>
        </w:rPr>
        <w:t>.</w:t>
      </w:r>
    </w:p>
    <w:p w:rsidR="00010457" w:rsidRPr="00C15EBB" w:rsidRDefault="00191877" w:rsidP="00C15EBB">
      <w:pPr>
        <w:numPr>
          <w:ilvl w:val="1"/>
          <w:numId w:val="17"/>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 xml:space="preserve">Respondents </w:t>
      </w:r>
      <w:r w:rsidR="00BB1696" w:rsidRPr="00C15EBB">
        <w:rPr>
          <w:rFonts w:ascii="Times New Roman" w:hAnsi="Times New Roman" w:cs="Times New Roman"/>
          <w:sz w:val="24"/>
          <w:szCs w:val="24"/>
        </w:rPr>
        <w:t xml:space="preserve">must continuously maintain </w:t>
      </w:r>
      <w:r w:rsidRPr="00C15EBB">
        <w:rPr>
          <w:rFonts w:ascii="Times New Roman" w:hAnsi="Times New Roman" w:cs="Times New Roman"/>
          <w:sz w:val="24"/>
          <w:szCs w:val="24"/>
        </w:rPr>
        <w:t>professional or business liability insurance in order to remain eligible for direct payment</w:t>
      </w:r>
      <w:r w:rsidR="00A14552" w:rsidRPr="00C15EBB">
        <w:rPr>
          <w:rFonts w:ascii="Times New Roman" w:hAnsi="Times New Roman" w:cs="Times New Roman"/>
          <w:sz w:val="24"/>
          <w:szCs w:val="24"/>
        </w:rPr>
        <w:t xml:space="preserve">.  </w:t>
      </w:r>
      <w:r w:rsidR="0023305C" w:rsidRPr="00C15EBB">
        <w:rPr>
          <w:rFonts w:ascii="Times New Roman" w:hAnsi="Times New Roman" w:cs="Times New Roman"/>
          <w:sz w:val="24"/>
          <w:szCs w:val="24"/>
        </w:rPr>
        <w:t>W</w:t>
      </w:r>
      <w:r w:rsidRPr="00C15EBB">
        <w:rPr>
          <w:rFonts w:ascii="Times New Roman" w:hAnsi="Times New Roman" w:cs="Times New Roman"/>
          <w:sz w:val="24"/>
          <w:szCs w:val="24"/>
        </w:rPr>
        <w:t xml:space="preserve">e will periodically notify </w:t>
      </w:r>
      <w:r w:rsidR="005857CE" w:rsidRPr="00C15EBB">
        <w:rPr>
          <w:rFonts w:ascii="Times New Roman" w:hAnsi="Times New Roman" w:cs="Times New Roman"/>
          <w:sz w:val="24"/>
          <w:szCs w:val="24"/>
        </w:rPr>
        <w:t xml:space="preserve">respondents that they </w:t>
      </w:r>
      <w:r w:rsidR="00010457" w:rsidRPr="00C15EBB">
        <w:rPr>
          <w:rFonts w:ascii="Times New Roman" w:hAnsi="Times New Roman" w:cs="Times New Roman"/>
          <w:sz w:val="24"/>
          <w:szCs w:val="24"/>
        </w:rPr>
        <w:t xml:space="preserve">need to submit </w:t>
      </w:r>
      <w:r w:rsidR="00E422CC" w:rsidRPr="00C15EBB">
        <w:rPr>
          <w:rFonts w:ascii="Times New Roman" w:hAnsi="Times New Roman" w:cs="Times New Roman"/>
          <w:sz w:val="24"/>
          <w:szCs w:val="24"/>
        </w:rPr>
        <w:t>proof of</w:t>
      </w:r>
      <w:r w:rsidR="00035931" w:rsidRPr="00C15EBB">
        <w:rPr>
          <w:rFonts w:ascii="Times New Roman" w:hAnsi="Times New Roman" w:cs="Times New Roman"/>
          <w:sz w:val="24"/>
          <w:szCs w:val="24"/>
        </w:rPr>
        <w:t xml:space="preserve"> their </w:t>
      </w:r>
      <w:r w:rsidR="005857CE" w:rsidRPr="00C15EBB">
        <w:rPr>
          <w:rFonts w:ascii="Times New Roman" w:hAnsi="Times New Roman" w:cs="Times New Roman"/>
          <w:sz w:val="24"/>
          <w:szCs w:val="24"/>
        </w:rPr>
        <w:t>professional or business liability insurance policy</w:t>
      </w:r>
      <w:r w:rsidR="0007197D" w:rsidRPr="00C15EBB">
        <w:rPr>
          <w:rFonts w:ascii="Times New Roman" w:hAnsi="Times New Roman" w:cs="Times New Roman"/>
          <w:sz w:val="24"/>
          <w:szCs w:val="24"/>
        </w:rPr>
        <w:t xml:space="preserve">. </w:t>
      </w:r>
    </w:p>
    <w:p w:rsidR="0023305C" w:rsidRDefault="0023305C" w:rsidP="0023305C">
      <w:pPr>
        <w:tabs>
          <w:tab w:val="left" w:pos="0"/>
        </w:tabs>
        <w:spacing w:line="240" w:lineRule="atLeast"/>
        <w:ind w:left="2700"/>
        <w:rPr>
          <w:rFonts w:ascii="Times New Roman" w:hAnsi="Times New Roman" w:cs="Times New Roman"/>
          <w:sz w:val="24"/>
          <w:szCs w:val="24"/>
        </w:rPr>
      </w:pPr>
    </w:p>
    <w:p w:rsidR="000F1F31" w:rsidRDefault="00E041DF" w:rsidP="00697581">
      <w:pPr>
        <w:numPr>
          <w:ilvl w:val="0"/>
          <w:numId w:val="17"/>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The previous </w:t>
      </w:r>
      <w:r w:rsidR="004D7CDD">
        <w:rPr>
          <w:rFonts w:ascii="Times New Roman" w:hAnsi="Times New Roman" w:cs="Times New Roman"/>
          <w:sz w:val="24"/>
          <w:szCs w:val="24"/>
        </w:rPr>
        <w:t xml:space="preserve">rules </w:t>
      </w:r>
      <w:r>
        <w:rPr>
          <w:rFonts w:ascii="Times New Roman" w:hAnsi="Times New Roman" w:cs="Times New Roman"/>
          <w:sz w:val="24"/>
          <w:szCs w:val="24"/>
        </w:rPr>
        <w:t xml:space="preserve">and </w:t>
      </w:r>
      <w:r w:rsidRPr="005C7BF2">
        <w:rPr>
          <w:rFonts w:ascii="Times New Roman" w:hAnsi="Times New Roman" w:cs="Times New Roman"/>
          <w:i/>
          <w:sz w:val="24"/>
          <w:szCs w:val="24"/>
        </w:rPr>
        <w:t>Revisions to Direct Fee Payment Rules</w:t>
      </w:r>
      <w:r>
        <w:rPr>
          <w:rFonts w:ascii="Times New Roman" w:hAnsi="Times New Roman" w:cs="Times New Roman"/>
          <w:i/>
          <w:sz w:val="24"/>
          <w:szCs w:val="24"/>
        </w:rPr>
        <w:t xml:space="preserve"> </w:t>
      </w:r>
      <w:r>
        <w:rPr>
          <w:rFonts w:ascii="Times New Roman" w:hAnsi="Times New Roman" w:cs="Times New Roman"/>
          <w:sz w:val="24"/>
          <w:szCs w:val="24"/>
        </w:rPr>
        <w:t xml:space="preserve">state that </w:t>
      </w:r>
      <w:r w:rsidR="006E793E">
        <w:rPr>
          <w:rFonts w:ascii="Times New Roman" w:hAnsi="Times New Roman" w:cs="Times New Roman"/>
          <w:sz w:val="24"/>
          <w:szCs w:val="24"/>
        </w:rPr>
        <w:t>respondents</w:t>
      </w:r>
      <w:r>
        <w:rPr>
          <w:rFonts w:ascii="Times New Roman" w:hAnsi="Times New Roman" w:cs="Times New Roman"/>
          <w:sz w:val="24"/>
          <w:szCs w:val="24"/>
        </w:rPr>
        <w:t xml:space="preserve"> must demonstrate ongoing completion of qualified courses of continuing education, including ethics and professional conduct</w:t>
      </w:r>
      <w:r w:rsidR="004D7CDD">
        <w:rPr>
          <w:rFonts w:ascii="Times New Roman" w:hAnsi="Times New Roman" w:cs="Times New Roman"/>
          <w:sz w:val="24"/>
          <w:szCs w:val="24"/>
        </w:rPr>
        <w:t>, to</w:t>
      </w:r>
      <w:r>
        <w:rPr>
          <w:rFonts w:ascii="Times New Roman" w:hAnsi="Times New Roman" w:cs="Times New Roman"/>
          <w:sz w:val="24"/>
          <w:szCs w:val="24"/>
        </w:rPr>
        <w:t xml:space="preserve"> receive direct </w:t>
      </w:r>
      <w:r w:rsidR="006E793E">
        <w:rPr>
          <w:rFonts w:ascii="Times New Roman" w:hAnsi="Times New Roman" w:cs="Times New Roman"/>
          <w:sz w:val="24"/>
          <w:szCs w:val="24"/>
        </w:rPr>
        <w:t>payment of fees</w:t>
      </w:r>
      <w:r w:rsidR="00A14552">
        <w:rPr>
          <w:rFonts w:ascii="Times New Roman" w:hAnsi="Times New Roman" w:cs="Times New Roman"/>
          <w:sz w:val="24"/>
          <w:szCs w:val="24"/>
        </w:rPr>
        <w:t xml:space="preserve">.  </w:t>
      </w:r>
      <w:r w:rsidR="006E793E">
        <w:rPr>
          <w:rFonts w:ascii="Times New Roman" w:hAnsi="Times New Roman" w:cs="Times New Roman"/>
          <w:sz w:val="24"/>
          <w:szCs w:val="24"/>
        </w:rPr>
        <w:t>The pr</w:t>
      </w:r>
      <w:r w:rsidR="0023305C">
        <w:rPr>
          <w:rFonts w:ascii="Times New Roman" w:hAnsi="Times New Roman" w:cs="Times New Roman"/>
          <w:sz w:val="24"/>
          <w:szCs w:val="24"/>
        </w:rPr>
        <w:t>evious</w:t>
      </w:r>
      <w:r w:rsidR="006E793E">
        <w:rPr>
          <w:rFonts w:ascii="Times New Roman" w:hAnsi="Times New Roman" w:cs="Times New Roman"/>
          <w:sz w:val="24"/>
          <w:szCs w:val="24"/>
        </w:rPr>
        <w:t xml:space="preserve"> rules required respondents to complete 12 hours of continuing education within 18 months beginning 6 months prior to </w:t>
      </w:r>
      <w:r w:rsidR="004D7CDD">
        <w:rPr>
          <w:rFonts w:ascii="Times New Roman" w:hAnsi="Times New Roman" w:cs="Times New Roman"/>
          <w:sz w:val="24"/>
          <w:szCs w:val="24"/>
        </w:rPr>
        <w:t>notification</w:t>
      </w:r>
      <w:r w:rsidR="006E793E">
        <w:rPr>
          <w:rFonts w:ascii="Times New Roman" w:hAnsi="Times New Roman" w:cs="Times New Roman"/>
          <w:sz w:val="24"/>
          <w:szCs w:val="24"/>
        </w:rPr>
        <w:t xml:space="preserve"> that he or she passed the examination</w:t>
      </w:r>
      <w:r w:rsidR="00A14552">
        <w:rPr>
          <w:rFonts w:ascii="Times New Roman" w:hAnsi="Times New Roman" w:cs="Times New Roman"/>
          <w:sz w:val="24"/>
          <w:szCs w:val="24"/>
        </w:rPr>
        <w:t xml:space="preserve">.  </w:t>
      </w:r>
      <w:r w:rsidR="006E793E">
        <w:rPr>
          <w:rFonts w:ascii="Times New Roman" w:hAnsi="Times New Roman" w:cs="Times New Roman"/>
          <w:sz w:val="24"/>
          <w:szCs w:val="24"/>
        </w:rPr>
        <w:t>After the initial 18 months, respondents were to complete 24 hours of instruction every two years</w:t>
      </w:r>
      <w:r w:rsidR="00A14552">
        <w:rPr>
          <w:rFonts w:ascii="Times New Roman" w:hAnsi="Times New Roman" w:cs="Times New Roman"/>
          <w:sz w:val="24"/>
          <w:szCs w:val="24"/>
        </w:rPr>
        <w:t xml:space="preserve">.  </w:t>
      </w:r>
      <w:r w:rsidR="006E793E">
        <w:rPr>
          <w:rFonts w:ascii="Times New Roman" w:hAnsi="Times New Roman" w:cs="Times New Roman"/>
          <w:sz w:val="24"/>
          <w:szCs w:val="24"/>
        </w:rPr>
        <w:t xml:space="preserve">We found </w:t>
      </w:r>
      <w:r w:rsidR="004D7CDD">
        <w:rPr>
          <w:rFonts w:ascii="Times New Roman" w:hAnsi="Times New Roman" w:cs="Times New Roman"/>
          <w:sz w:val="24"/>
          <w:szCs w:val="24"/>
        </w:rPr>
        <w:t xml:space="preserve">that </w:t>
      </w:r>
      <w:r w:rsidR="006E793E">
        <w:rPr>
          <w:rFonts w:ascii="Times New Roman" w:hAnsi="Times New Roman" w:cs="Times New Roman"/>
          <w:sz w:val="24"/>
          <w:szCs w:val="24"/>
        </w:rPr>
        <w:t xml:space="preserve">some </w:t>
      </w:r>
      <w:r w:rsidR="004D7CDD">
        <w:rPr>
          <w:rFonts w:ascii="Times New Roman" w:hAnsi="Times New Roman" w:cs="Times New Roman"/>
          <w:sz w:val="24"/>
          <w:szCs w:val="24"/>
        </w:rPr>
        <w:t xml:space="preserve">of </w:t>
      </w:r>
      <w:r w:rsidR="006E793E">
        <w:rPr>
          <w:rFonts w:ascii="Times New Roman" w:hAnsi="Times New Roman" w:cs="Times New Roman"/>
          <w:sz w:val="24"/>
          <w:szCs w:val="24"/>
        </w:rPr>
        <w:t>the courses</w:t>
      </w:r>
      <w:r w:rsidR="004D7CDD">
        <w:rPr>
          <w:rFonts w:ascii="Times New Roman" w:hAnsi="Times New Roman" w:cs="Times New Roman"/>
          <w:sz w:val="24"/>
          <w:szCs w:val="24"/>
        </w:rPr>
        <w:t xml:space="preserve"> taken by respondents</w:t>
      </w:r>
      <w:r w:rsidR="006E793E">
        <w:rPr>
          <w:rFonts w:ascii="Times New Roman" w:hAnsi="Times New Roman" w:cs="Times New Roman"/>
          <w:sz w:val="24"/>
          <w:szCs w:val="24"/>
        </w:rPr>
        <w:t xml:space="preserve"> lacked sufficient substance and found the process hard for respondents to follow and hard for us to administer.  </w:t>
      </w:r>
    </w:p>
    <w:p w:rsidR="008905E1" w:rsidRDefault="008905E1" w:rsidP="00697581">
      <w:pPr>
        <w:tabs>
          <w:tab w:val="left" w:pos="720"/>
        </w:tabs>
        <w:spacing w:line="240" w:lineRule="atLeast"/>
        <w:ind w:left="720"/>
        <w:rPr>
          <w:rFonts w:ascii="Times New Roman" w:hAnsi="Times New Roman" w:cs="Times New Roman"/>
          <w:sz w:val="24"/>
          <w:szCs w:val="24"/>
        </w:rPr>
      </w:pPr>
    </w:p>
    <w:p w:rsidR="00131ADE" w:rsidRDefault="006E793E" w:rsidP="00697581">
      <w:pPr>
        <w:tabs>
          <w:tab w:val="left" w:pos="720"/>
        </w:tab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Under the </w:t>
      </w:r>
      <w:r w:rsidRPr="005C7BF2">
        <w:rPr>
          <w:rFonts w:ascii="Times New Roman" w:hAnsi="Times New Roman" w:cs="Times New Roman"/>
          <w:i/>
          <w:sz w:val="24"/>
          <w:szCs w:val="24"/>
        </w:rPr>
        <w:t xml:space="preserve">Revisions to Direct Fee Payment </w:t>
      </w:r>
      <w:r w:rsidR="00697581" w:rsidRPr="005C7BF2">
        <w:rPr>
          <w:rFonts w:ascii="Times New Roman" w:hAnsi="Times New Roman" w:cs="Times New Roman"/>
          <w:i/>
          <w:sz w:val="24"/>
          <w:szCs w:val="24"/>
        </w:rPr>
        <w:t>Rules,</w:t>
      </w:r>
      <w:r w:rsidR="00697581">
        <w:rPr>
          <w:rFonts w:ascii="Times New Roman" w:hAnsi="Times New Roman" w:cs="Times New Roman"/>
          <w:i/>
          <w:sz w:val="24"/>
          <w:szCs w:val="24"/>
        </w:rPr>
        <w:t xml:space="preserve"> </w:t>
      </w:r>
      <w:r w:rsidR="00697581" w:rsidRPr="00697581">
        <w:rPr>
          <w:rFonts w:ascii="Times New Roman" w:hAnsi="Times New Roman" w:cs="Times New Roman"/>
          <w:sz w:val="24"/>
          <w:szCs w:val="24"/>
        </w:rPr>
        <w:t>w</w:t>
      </w:r>
      <w:r w:rsidR="00131ADE" w:rsidRPr="00697581">
        <w:rPr>
          <w:rFonts w:ascii="Times New Roman" w:hAnsi="Times New Roman" w:cs="Times New Roman"/>
          <w:sz w:val="24"/>
          <w:szCs w:val="24"/>
        </w:rPr>
        <w:t>e</w:t>
      </w:r>
      <w:r w:rsidR="00131ADE">
        <w:rPr>
          <w:rFonts w:ascii="Times New Roman" w:hAnsi="Times New Roman" w:cs="Times New Roman"/>
          <w:sz w:val="24"/>
          <w:szCs w:val="24"/>
        </w:rPr>
        <w:t xml:space="preserve"> will prescribe the course, period for course completion, and course certification method. </w:t>
      </w:r>
      <w:r w:rsidR="00C15EBB">
        <w:rPr>
          <w:rFonts w:ascii="Times New Roman" w:hAnsi="Times New Roman" w:cs="Times New Roman"/>
          <w:sz w:val="24"/>
          <w:szCs w:val="24"/>
        </w:rPr>
        <w:t xml:space="preserve"> </w:t>
      </w:r>
      <w:r w:rsidR="00131ADE">
        <w:rPr>
          <w:rFonts w:ascii="Times New Roman" w:hAnsi="Times New Roman" w:cs="Times New Roman"/>
          <w:sz w:val="24"/>
          <w:szCs w:val="24"/>
        </w:rPr>
        <w:t xml:space="preserve">We </w:t>
      </w:r>
      <w:r w:rsidR="00697581">
        <w:rPr>
          <w:rFonts w:ascii="Times New Roman" w:hAnsi="Times New Roman" w:cs="Times New Roman"/>
          <w:sz w:val="24"/>
          <w:szCs w:val="24"/>
        </w:rPr>
        <w:t>will</w:t>
      </w:r>
      <w:r w:rsidR="00131ADE">
        <w:rPr>
          <w:rFonts w:ascii="Times New Roman" w:hAnsi="Times New Roman" w:cs="Times New Roman"/>
          <w:sz w:val="24"/>
          <w:szCs w:val="24"/>
        </w:rPr>
        <w:t xml:space="preserve"> prescribe courses about </w:t>
      </w:r>
      <w:r w:rsidR="00131ADE" w:rsidRPr="00A10D97">
        <w:rPr>
          <w:rFonts w:ascii="Times New Roman" w:hAnsi="Times New Roman"/>
          <w:bCs/>
          <w:sz w:val="24"/>
          <w:szCs w:val="24"/>
        </w:rPr>
        <w:t>ethics and professional conduct</w:t>
      </w:r>
      <w:r w:rsidR="004F447E" w:rsidRPr="00A10D97">
        <w:rPr>
          <w:rFonts w:ascii="Times New Roman" w:hAnsi="Times New Roman"/>
          <w:bCs/>
          <w:sz w:val="24"/>
          <w:szCs w:val="24"/>
        </w:rPr>
        <w:t xml:space="preserve">, </w:t>
      </w:r>
      <w:r w:rsidR="004F447E">
        <w:rPr>
          <w:rFonts w:ascii="Times New Roman" w:hAnsi="Times New Roman"/>
          <w:bCs/>
          <w:sz w:val="24"/>
          <w:szCs w:val="24"/>
        </w:rPr>
        <w:t xml:space="preserve">and </w:t>
      </w:r>
      <w:r w:rsidR="00131ADE" w:rsidRPr="00A10D97">
        <w:rPr>
          <w:rFonts w:ascii="Times New Roman" w:hAnsi="Times New Roman"/>
          <w:bCs/>
          <w:sz w:val="24"/>
          <w:szCs w:val="24"/>
        </w:rPr>
        <w:t>entitlement to</w:t>
      </w:r>
      <w:r w:rsidR="00697581">
        <w:rPr>
          <w:rFonts w:ascii="Times New Roman" w:hAnsi="Times New Roman"/>
          <w:bCs/>
          <w:sz w:val="24"/>
          <w:szCs w:val="24"/>
        </w:rPr>
        <w:t xml:space="preserve"> </w:t>
      </w:r>
      <w:r w:rsidR="00131ADE" w:rsidRPr="00A10D97">
        <w:rPr>
          <w:rFonts w:ascii="Times New Roman" w:hAnsi="Times New Roman"/>
          <w:bCs/>
          <w:sz w:val="24"/>
          <w:szCs w:val="24"/>
        </w:rPr>
        <w:t xml:space="preserve">or eligibility for benefits based on disability under </w:t>
      </w:r>
      <w:r w:rsidR="00131ADE" w:rsidRPr="00A10D97">
        <w:rPr>
          <w:rFonts w:ascii="Times New Roman" w:hAnsi="Times New Roman"/>
          <w:bCs/>
          <w:i/>
          <w:sz w:val="24"/>
          <w:szCs w:val="24"/>
        </w:rPr>
        <w:t>titles II</w:t>
      </w:r>
      <w:r w:rsidR="00131ADE" w:rsidRPr="00A10D97">
        <w:rPr>
          <w:rFonts w:ascii="Times New Roman" w:hAnsi="Times New Roman"/>
          <w:bCs/>
          <w:sz w:val="24"/>
          <w:szCs w:val="24"/>
        </w:rPr>
        <w:t xml:space="preserve"> and</w:t>
      </w:r>
      <w:r w:rsidR="00131ADE" w:rsidRPr="00A10D97">
        <w:rPr>
          <w:rFonts w:ascii="Times New Roman" w:hAnsi="Times New Roman"/>
          <w:bCs/>
          <w:i/>
          <w:sz w:val="24"/>
          <w:szCs w:val="24"/>
        </w:rPr>
        <w:t xml:space="preserve"> XVI</w:t>
      </w:r>
      <w:r w:rsidR="00131ADE" w:rsidRPr="00A10D97">
        <w:rPr>
          <w:rFonts w:ascii="Times New Roman" w:hAnsi="Times New Roman"/>
          <w:bCs/>
          <w:sz w:val="24"/>
          <w:szCs w:val="24"/>
        </w:rPr>
        <w:t xml:space="preserve"> of the </w:t>
      </w:r>
      <w:r w:rsidR="004F447E" w:rsidRPr="00A10D97">
        <w:rPr>
          <w:rFonts w:ascii="Times New Roman" w:hAnsi="Times New Roman"/>
          <w:bCs/>
          <w:i/>
          <w:sz w:val="24"/>
          <w:szCs w:val="24"/>
        </w:rPr>
        <w:t>Act</w:t>
      </w:r>
      <w:r w:rsidR="004F447E">
        <w:rPr>
          <w:rFonts w:ascii="Times New Roman" w:hAnsi="Times New Roman" w:cs="Times New Roman"/>
          <w:sz w:val="24"/>
          <w:szCs w:val="24"/>
        </w:rPr>
        <w:t xml:space="preserve"> accessible </w:t>
      </w:r>
      <w:r w:rsidR="00416310">
        <w:rPr>
          <w:rFonts w:ascii="Times New Roman" w:hAnsi="Times New Roman" w:cs="Times New Roman"/>
          <w:sz w:val="24"/>
          <w:szCs w:val="24"/>
        </w:rPr>
        <w:t>through</w:t>
      </w:r>
      <w:r w:rsidR="006461C5">
        <w:rPr>
          <w:rFonts w:ascii="Times New Roman" w:hAnsi="Times New Roman" w:cs="Times New Roman"/>
          <w:sz w:val="24"/>
          <w:szCs w:val="24"/>
        </w:rPr>
        <w:t xml:space="preserve"> various </w:t>
      </w:r>
      <w:r w:rsidR="000406F1">
        <w:rPr>
          <w:rFonts w:ascii="Times New Roman" w:hAnsi="Times New Roman" w:cs="Times New Roman"/>
          <w:sz w:val="24"/>
          <w:szCs w:val="24"/>
        </w:rPr>
        <w:t xml:space="preserve">guides and materials </w:t>
      </w:r>
      <w:r w:rsidR="006461C5">
        <w:rPr>
          <w:rFonts w:ascii="Times New Roman" w:hAnsi="Times New Roman" w:cs="Times New Roman"/>
          <w:sz w:val="24"/>
          <w:szCs w:val="24"/>
        </w:rPr>
        <w:t>including but not limited to PowerPoint</w:t>
      </w:r>
      <w:r w:rsidR="00967AC8">
        <w:rPr>
          <w:rFonts w:ascii="Times New Roman" w:hAnsi="Times New Roman" w:cs="Times New Roman"/>
          <w:sz w:val="24"/>
          <w:szCs w:val="24"/>
        </w:rPr>
        <w:t>(</w:t>
      </w:r>
      <w:r w:rsidR="006461C5">
        <w:rPr>
          <w:rFonts w:ascii="Times New Roman" w:hAnsi="Times New Roman" w:cs="Times New Roman"/>
          <w:sz w:val="24"/>
          <w:szCs w:val="24"/>
        </w:rPr>
        <w:t>s</w:t>
      </w:r>
      <w:r w:rsidR="00967AC8">
        <w:rPr>
          <w:rFonts w:ascii="Times New Roman" w:hAnsi="Times New Roman" w:cs="Times New Roman"/>
          <w:sz w:val="24"/>
          <w:szCs w:val="24"/>
        </w:rPr>
        <w:t>)</w:t>
      </w:r>
      <w:r w:rsidR="00C15EBB">
        <w:rPr>
          <w:rFonts w:ascii="Times New Roman" w:hAnsi="Times New Roman" w:cs="Times New Roman"/>
          <w:sz w:val="24"/>
          <w:szCs w:val="24"/>
        </w:rPr>
        <w:t xml:space="preserve"> and</w:t>
      </w:r>
      <w:r w:rsidR="006461C5">
        <w:rPr>
          <w:rFonts w:ascii="Times New Roman" w:hAnsi="Times New Roman" w:cs="Times New Roman"/>
          <w:sz w:val="24"/>
          <w:szCs w:val="24"/>
        </w:rPr>
        <w:t xml:space="preserve"> W</w:t>
      </w:r>
      <w:r w:rsidR="00131ADE">
        <w:rPr>
          <w:rFonts w:ascii="Times New Roman" w:hAnsi="Times New Roman" w:cs="Times New Roman"/>
          <w:sz w:val="24"/>
          <w:szCs w:val="24"/>
        </w:rPr>
        <w:t xml:space="preserve">ebinars that will be available on the Social Security </w:t>
      </w:r>
      <w:r w:rsidR="00416310">
        <w:rPr>
          <w:rFonts w:ascii="Times New Roman" w:hAnsi="Times New Roman" w:cs="Times New Roman"/>
          <w:sz w:val="24"/>
          <w:szCs w:val="24"/>
        </w:rPr>
        <w:t xml:space="preserve">Online Website. </w:t>
      </w:r>
      <w:r w:rsidR="00C15EBB">
        <w:rPr>
          <w:rFonts w:ascii="Times New Roman" w:hAnsi="Times New Roman" w:cs="Times New Roman"/>
          <w:sz w:val="24"/>
          <w:szCs w:val="24"/>
        </w:rPr>
        <w:t xml:space="preserve"> </w:t>
      </w:r>
      <w:r w:rsidR="00131ADE">
        <w:rPr>
          <w:rFonts w:ascii="Times New Roman" w:hAnsi="Times New Roman" w:cs="Times New Roman"/>
          <w:sz w:val="24"/>
          <w:szCs w:val="24"/>
        </w:rPr>
        <w:t>We will notify respondents of the aforementioned</w:t>
      </w:r>
      <w:r w:rsidR="00416310">
        <w:rPr>
          <w:rFonts w:ascii="Times New Roman" w:hAnsi="Times New Roman" w:cs="Times New Roman"/>
          <w:sz w:val="24"/>
          <w:szCs w:val="24"/>
        </w:rPr>
        <w:t xml:space="preserve"> information and </w:t>
      </w:r>
      <w:r w:rsidR="00A4534C">
        <w:rPr>
          <w:rFonts w:ascii="Times New Roman" w:hAnsi="Times New Roman" w:cs="Times New Roman"/>
          <w:sz w:val="24"/>
          <w:szCs w:val="24"/>
        </w:rPr>
        <w:t>respondents must</w:t>
      </w:r>
      <w:r w:rsidR="00416310">
        <w:rPr>
          <w:rFonts w:ascii="Times New Roman" w:hAnsi="Times New Roman" w:cs="Times New Roman"/>
          <w:sz w:val="24"/>
          <w:szCs w:val="24"/>
        </w:rPr>
        <w:t xml:space="preserve"> </w:t>
      </w:r>
      <w:r w:rsidR="00951EC4">
        <w:rPr>
          <w:rFonts w:ascii="Times New Roman" w:hAnsi="Times New Roman" w:cs="Times New Roman"/>
          <w:sz w:val="24"/>
          <w:szCs w:val="24"/>
        </w:rPr>
        <w:t>certify</w:t>
      </w:r>
      <w:r w:rsidR="00416310">
        <w:rPr>
          <w:rFonts w:ascii="Times New Roman" w:hAnsi="Times New Roman" w:cs="Times New Roman"/>
          <w:sz w:val="24"/>
          <w:szCs w:val="24"/>
        </w:rPr>
        <w:t xml:space="preserve"> via </w:t>
      </w:r>
      <w:r w:rsidR="00C15EBB">
        <w:rPr>
          <w:rFonts w:ascii="Times New Roman" w:hAnsi="Times New Roman" w:cs="Times New Roman"/>
          <w:sz w:val="24"/>
          <w:szCs w:val="24"/>
        </w:rPr>
        <w:t xml:space="preserve">mail, </w:t>
      </w:r>
      <w:r w:rsidR="00416310">
        <w:rPr>
          <w:rFonts w:ascii="Times New Roman" w:hAnsi="Times New Roman" w:cs="Times New Roman"/>
          <w:sz w:val="24"/>
          <w:szCs w:val="24"/>
        </w:rPr>
        <w:t>email</w:t>
      </w:r>
      <w:r w:rsidR="00C15EBB">
        <w:rPr>
          <w:rFonts w:ascii="Times New Roman" w:hAnsi="Times New Roman" w:cs="Times New Roman"/>
          <w:sz w:val="24"/>
          <w:szCs w:val="24"/>
        </w:rPr>
        <w:t xml:space="preserve">, or </w:t>
      </w:r>
      <w:r w:rsidR="008C2D85">
        <w:rPr>
          <w:rFonts w:ascii="Times New Roman" w:hAnsi="Times New Roman" w:cs="Times New Roman"/>
          <w:sz w:val="24"/>
          <w:szCs w:val="24"/>
        </w:rPr>
        <w:t xml:space="preserve">fax </w:t>
      </w:r>
      <w:r w:rsidR="00416310">
        <w:rPr>
          <w:rFonts w:ascii="Times New Roman" w:hAnsi="Times New Roman" w:cs="Times New Roman"/>
          <w:sz w:val="24"/>
          <w:szCs w:val="24"/>
        </w:rPr>
        <w:t xml:space="preserve">that they have </w:t>
      </w:r>
      <w:r w:rsidR="004F447E">
        <w:rPr>
          <w:rFonts w:ascii="Times New Roman" w:hAnsi="Times New Roman" w:cs="Times New Roman"/>
          <w:sz w:val="24"/>
          <w:szCs w:val="24"/>
        </w:rPr>
        <w:t>completed the continuing education credit</w:t>
      </w:r>
      <w:r w:rsidR="00DA372D">
        <w:rPr>
          <w:rFonts w:ascii="Times New Roman" w:hAnsi="Times New Roman" w:cs="Times New Roman"/>
          <w:sz w:val="24"/>
          <w:szCs w:val="24"/>
        </w:rPr>
        <w:t xml:space="preserve"> in order to retain their eligibility status</w:t>
      </w:r>
      <w:r w:rsidR="004F447E">
        <w:rPr>
          <w:rFonts w:ascii="Times New Roman" w:hAnsi="Times New Roman" w:cs="Times New Roman"/>
          <w:sz w:val="24"/>
          <w:szCs w:val="24"/>
        </w:rPr>
        <w:t>.</w:t>
      </w:r>
      <w:r w:rsidR="00131ADE">
        <w:rPr>
          <w:rFonts w:ascii="Times New Roman" w:hAnsi="Times New Roman" w:cs="Times New Roman"/>
          <w:sz w:val="24"/>
          <w:szCs w:val="24"/>
        </w:rPr>
        <w:t xml:space="preserve">  </w:t>
      </w:r>
    </w:p>
    <w:p w:rsidR="009F183C" w:rsidRDefault="009F183C" w:rsidP="00697581">
      <w:pPr>
        <w:tabs>
          <w:tab w:val="left" w:pos="720"/>
        </w:tabs>
        <w:spacing w:line="240" w:lineRule="atLeast"/>
        <w:ind w:left="720"/>
        <w:rPr>
          <w:rFonts w:ascii="Times New Roman" w:hAnsi="Times New Roman" w:cs="Times New Roman"/>
          <w:sz w:val="24"/>
          <w:szCs w:val="24"/>
        </w:rPr>
      </w:pPr>
    </w:p>
    <w:p w:rsidR="00BB7C2B" w:rsidRPr="00BB7C2B" w:rsidRDefault="009A38D2" w:rsidP="00BB7C2B">
      <w:pPr>
        <w:numPr>
          <w:ilvl w:val="0"/>
          <w:numId w:val="17"/>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The previous rules allowed and</w:t>
      </w:r>
      <w:r w:rsidR="00951EC4">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5C7BF2">
        <w:rPr>
          <w:rFonts w:ascii="Times New Roman" w:hAnsi="Times New Roman" w:cs="Times New Roman"/>
          <w:i/>
          <w:sz w:val="24"/>
          <w:szCs w:val="24"/>
        </w:rPr>
        <w:t>Revisions to Direct Fee Payment Rules</w:t>
      </w:r>
      <w:r>
        <w:rPr>
          <w:rFonts w:ascii="Times New Roman" w:hAnsi="Times New Roman" w:cs="Times New Roman"/>
          <w:i/>
          <w:sz w:val="24"/>
          <w:szCs w:val="24"/>
        </w:rPr>
        <w:t xml:space="preserve"> </w:t>
      </w:r>
      <w:r>
        <w:rPr>
          <w:rFonts w:ascii="Times New Roman" w:hAnsi="Times New Roman" w:cs="Times New Roman"/>
          <w:sz w:val="24"/>
          <w:szCs w:val="24"/>
        </w:rPr>
        <w:t xml:space="preserve">will allow respondents to protest </w:t>
      </w:r>
      <w:r w:rsidR="006D670B">
        <w:rPr>
          <w:rFonts w:ascii="Times New Roman" w:hAnsi="Times New Roman" w:cs="Times New Roman"/>
          <w:sz w:val="24"/>
          <w:szCs w:val="24"/>
        </w:rPr>
        <w:t xml:space="preserve">an </w:t>
      </w:r>
      <w:r>
        <w:rPr>
          <w:rFonts w:ascii="Times New Roman" w:hAnsi="Times New Roman" w:cs="Times New Roman"/>
          <w:sz w:val="24"/>
          <w:szCs w:val="24"/>
        </w:rPr>
        <w:t>adverse action against them</w:t>
      </w:r>
      <w:r w:rsidR="00A14552">
        <w:rPr>
          <w:rFonts w:ascii="Times New Roman" w:hAnsi="Times New Roman" w:cs="Times New Roman"/>
          <w:sz w:val="24"/>
          <w:szCs w:val="24"/>
        </w:rPr>
        <w:t xml:space="preserve">.  </w:t>
      </w:r>
      <w:r w:rsidR="006D670B">
        <w:rPr>
          <w:rFonts w:ascii="Times New Roman" w:hAnsi="Times New Roman" w:cs="Times New Roman"/>
          <w:sz w:val="24"/>
          <w:szCs w:val="24"/>
        </w:rPr>
        <w:t>An adverse action is ineligibility to sit for the exam</w:t>
      </w:r>
      <w:r w:rsidR="000F2275">
        <w:rPr>
          <w:rFonts w:ascii="Times New Roman" w:hAnsi="Times New Roman" w:cs="Times New Roman"/>
          <w:sz w:val="24"/>
          <w:szCs w:val="24"/>
        </w:rPr>
        <w:t xml:space="preserve"> </w:t>
      </w:r>
      <w:r w:rsidR="006D670B">
        <w:rPr>
          <w:rFonts w:ascii="Times New Roman" w:hAnsi="Times New Roman" w:cs="Times New Roman"/>
          <w:sz w:val="24"/>
          <w:szCs w:val="24"/>
        </w:rPr>
        <w:t>or ineligibility</w:t>
      </w:r>
      <w:r w:rsidR="000F2275">
        <w:rPr>
          <w:rFonts w:ascii="Times New Roman" w:hAnsi="Times New Roman" w:cs="Times New Roman"/>
          <w:sz w:val="24"/>
          <w:szCs w:val="24"/>
        </w:rPr>
        <w:t xml:space="preserve"> </w:t>
      </w:r>
      <w:r w:rsidR="006D670B">
        <w:rPr>
          <w:rFonts w:ascii="Times New Roman" w:hAnsi="Times New Roman" w:cs="Times New Roman"/>
          <w:sz w:val="24"/>
          <w:szCs w:val="24"/>
        </w:rPr>
        <w:t>for direct payment of fees</w:t>
      </w:r>
      <w:r w:rsidR="00C15EBB">
        <w:rPr>
          <w:rFonts w:ascii="Times New Roman" w:hAnsi="Times New Roman" w:cs="Times New Roman"/>
          <w:sz w:val="24"/>
          <w:szCs w:val="24"/>
        </w:rPr>
        <w:t>, which SSA can levee</w:t>
      </w:r>
      <w:r w:rsidR="006D670B">
        <w:rPr>
          <w:rFonts w:ascii="Times New Roman" w:hAnsi="Times New Roman" w:cs="Times New Roman"/>
          <w:sz w:val="24"/>
          <w:szCs w:val="24"/>
        </w:rPr>
        <w:t xml:space="preserve"> against respondents who</w:t>
      </w:r>
      <w:r w:rsidR="00134D61">
        <w:rPr>
          <w:rFonts w:ascii="Times New Roman" w:hAnsi="Times New Roman" w:cs="Times New Roman"/>
          <w:sz w:val="24"/>
          <w:szCs w:val="24"/>
        </w:rPr>
        <w:t>, for example,</w:t>
      </w:r>
      <w:r w:rsidR="006D670B">
        <w:rPr>
          <w:rFonts w:ascii="Times New Roman" w:hAnsi="Times New Roman" w:cs="Times New Roman"/>
          <w:sz w:val="24"/>
          <w:szCs w:val="24"/>
        </w:rPr>
        <w:t xml:space="preserve"> fail the criminal background check</w:t>
      </w:r>
      <w:r w:rsidR="000F2275">
        <w:rPr>
          <w:rFonts w:ascii="Times New Roman" w:hAnsi="Times New Roman" w:cs="Times New Roman"/>
          <w:sz w:val="24"/>
          <w:szCs w:val="24"/>
        </w:rPr>
        <w:t>,</w:t>
      </w:r>
      <w:r w:rsidR="006D670B">
        <w:rPr>
          <w:rFonts w:ascii="Times New Roman" w:hAnsi="Times New Roman" w:cs="Times New Roman"/>
          <w:sz w:val="24"/>
          <w:szCs w:val="24"/>
        </w:rPr>
        <w:t xml:space="preserve"> fail to maintain continuing education credit</w:t>
      </w:r>
      <w:r w:rsidR="00C564D5">
        <w:rPr>
          <w:rFonts w:ascii="Times New Roman" w:hAnsi="Times New Roman" w:cs="Times New Roman"/>
          <w:sz w:val="24"/>
          <w:szCs w:val="24"/>
        </w:rPr>
        <w:t>s</w:t>
      </w:r>
      <w:r w:rsidR="00DA372D">
        <w:rPr>
          <w:rFonts w:ascii="Times New Roman" w:hAnsi="Times New Roman" w:cs="Times New Roman"/>
          <w:sz w:val="24"/>
          <w:szCs w:val="24"/>
        </w:rPr>
        <w:t xml:space="preserve">, </w:t>
      </w:r>
      <w:r w:rsidR="006D670B">
        <w:rPr>
          <w:rFonts w:ascii="Times New Roman" w:hAnsi="Times New Roman" w:cs="Times New Roman"/>
          <w:sz w:val="24"/>
          <w:szCs w:val="24"/>
        </w:rPr>
        <w:t>or business or pr</w:t>
      </w:r>
      <w:r w:rsidR="00C15EBB">
        <w:rPr>
          <w:rFonts w:ascii="Times New Roman" w:hAnsi="Times New Roman" w:cs="Times New Roman"/>
          <w:sz w:val="24"/>
          <w:szCs w:val="24"/>
        </w:rPr>
        <w:t>ofessional liability insurance</w:t>
      </w:r>
      <w:r w:rsidR="00A14552">
        <w:rPr>
          <w:rFonts w:ascii="Times New Roman" w:hAnsi="Times New Roman" w:cs="Times New Roman"/>
          <w:sz w:val="24"/>
          <w:szCs w:val="24"/>
        </w:rPr>
        <w:t xml:space="preserve">.  </w:t>
      </w:r>
      <w:r w:rsidR="006D670B">
        <w:rPr>
          <w:rFonts w:ascii="Times New Roman" w:hAnsi="Times New Roman" w:cs="Times New Roman"/>
          <w:sz w:val="24"/>
          <w:szCs w:val="24"/>
        </w:rPr>
        <w:t xml:space="preserve">Before </w:t>
      </w:r>
      <w:r w:rsidR="00951EC4">
        <w:rPr>
          <w:rFonts w:ascii="Times New Roman" w:hAnsi="Times New Roman" w:cs="Times New Roman"/>
          <w:sz w:val="24"/>
          <w:szCs w:val="24"/>
        </w:rPr>
        <w:t>enforcing</w:t>
      </w:r>
      <w:r w:rsidR="006D670B">
        <w:rPr>
          <w:rFonts w:ascii="Times New Roman" w:hAnsi="Times New Roman" w:cs="Times New Roman"/>
          <w:sz w:val="24"/>
          <w:szCs w:val="24"/>
        </w:rPr>
        <w:t xml:space="preserve"> an adverse action, we will notify respondents of it</w:t>
      </w:r>
      <w:r w:rsidR="00B77E27">
        <w:rPr>
          <w:rFonts w:ascii="Times New Roman" w:hAnsi="Times New Roman" w:cs="Times New Roman"/>
          <w:sz w:val="24"/>
          <w:szCs w:val="24"/>
        </w:rPr>
        <w:t xml:space="preserve">. </w:t>
      </w:r>
      <w:r w:rsidR="00C15EBB">
        <w:rPr>
          <w:rFonts w:ascii="Times New Roman" w:hAnsi="Times New Roman" w:cs="Times New Roman"/>
          <w:sz w:val="24"/>
          <w:szCs w:val="24"/>
        </w:rPr>
        <w:t xml:space="preserve"> </w:t>
      </w:r>
      <w:r w:rsidR="00E661EC">
        <w:rPr>
          <w:rFonts w:ascii="Times New Roman" w:hAnsi="Times New Roman" w:cs="Times New Roman"/>
          <w:sz w:val="24"/>
          <w:szCs w:val="24"/>
        </w:rPr>
        <w:t xml:space="preserve">With </w:t>
      </w:r>
      <w:r w:rsidR="00134D61">
        <w:rPr>
          <w:rFonts w:ascii="Times New Roman" w:hAnsi="Times New Roman" w:cs="Times New Roman"/>
          <w:sz w:val="24"/>
          <w:szCs w:val="24"/>
        </w:rPr>
        <w:t xml:space="preserve">the </w:t>
      </w:r>
      <w:r w:rsidR="00E661EC">
        <w:rPr>
          <w:rFonts w:ascii="Times New Roman" w:hAnsi="Times New Roman" w:cs="Times New Roman"/>
          <w:sz w:val="24"/>
          <w:szCs w:val="24"/>
        </w:rPr>
        <w:t>exception of respondents who fail to pay their application fee</w:t>
      </w:r>
      <w:r w:rsidR="00A21F79">
        <w:rPr>
          <w:rFonts w:ascii="Times New Roman" w:hAnsi="Times New Roman" w:cs="Times New Roman"/>
          <w:sz w:val="24"/>
          <w:szCs w:val="24"/>
        </w:rPr>
        <w:t>, fail to cure their application, or fail</w:t>
      </w:r>
      <w:r w:rsidR="005722CE">
        <w:rPr>
          <w:rFonts w:ascii="Times New Roman" w:hAnsi="Times New Roman" w:cs="Times New Roman"/>
          <w:sz w:val="24"/>
          <w:szCs w:val="24"/>
        </w:rPr>
        <w:t xml:space="preserve"> the examination</w:t>
      </w:r>
      <w:r w:rsidR="00A21F79">
        <w:rPr>
          <w:rFonts w:ascii="Times New Roman" w:hAnsi="Times New Roman" w:cs="Times New Roman"/>
          <w:sz w:val="24"/>
          <w:szCs w:val="24"/>
        </w:rPr>
        <w:t>, all</w:t>
      </w:r>
      <w:r w:rsidR="00E661EC">
        <w:rPr>
          <w:rFonts w:ascii="Times New Roman" w:hAnsi="Times New Roman" w:cs="Times New Roman"/>
          <w:sz w:val="24"/>
          <w:szCs w:val="24"/>
        </w:rPr>
        <w:t xml:space="preserve"> other respondents have the right to protest, in writing, the adverse action</w:t>
      </w:r>
      <w:r w:rsidR="00A14552">
        <w:rPr>
          <w:rFonts w:ascii="Times New Roman" w:hAnsi="Times New Roman" w:cs="Times New Roman"/>
          <w:sz w:val="24"/>
          <w:szCs w:val="24"/>
        </w:rPr>
        <w:t xml:space="preserve">.  </w:t>
      </w:r>
      <w:r w:rsidR="00E661EC">
        <w:rPr>
          <w:rFonts w:ascii="Times New Roman" w:hAnsi="Times New Roman" w:cs="Times New Roman"/>
          <w:sz w:val="24"/>
          <w:szCs w:val="24"/>
        </w:rPr>
        <w:t>Respondents must submit their protests within 15 calendar</w:t>
      </w:r>
      <w:r w:rsidR="002B53A0">
        <w:rPr>
          <w:rFonts w:ascii="Times New Roman" w:hAnsi="Times New Roman" w:cs="Times New Roman"/>
          <w:sz w:val="24"/>
          <w:szCs w:val="24"/>
        </w:rPr>
        <w:t xml:space="preserve"> day</w:t>
      </w:r>
      <w:r w:rsidR="00E661EC">
        <w:rPr>
          <w:rFonts w:ascii="Times New Roman" w:hAnsi="Times New Roman" w:cs="Times New Roman"/>
          <w:sz w:val="24"/>
          <w:szCs w:val="24"/>
        </w:rPr>
        <w:t>s from the date on the notice</w:t>
      </w:r>
      <w:r w:rsidR="00A14552">
        <w:rPr>
          <w:rFonts w:ascii="Times New Roman" w:hAnsi="Times New Roman" w:cs="Times New Roman"/>
          <w:sz w:val="24"/>
          <w:szCs w:val="24"/>
        </w:rPr>
        <w:t xml:space="preserve">.  </w:t>
      </w:r>
      <w:r w:rsidR="0022012F">
        <w:rPr>
          <w:rFonts w:ascii="Times New Roman" w:hAnsi="Times New Roman" w:cs="Times New Roman"/>
          <w:sz w:val="24"/>
          <w:szCs w:val="24"/>
        </w:rPr>
        <w:t>We will apprise r</w:t>
      </w:r>
      <w:r w:rsidR="00035931">
        <w:rPr>
          <w:rFonts w:ascii="Times New Roman" w:hAnsi="Times New Roman" w:cs="Times New Roman"/>
          <w:sz w:val="24"/>
          <w:szCs w:val="24"/>
        </w:rPr>
        <w:t xml:space="preserve">espondents of their right </w:t>
      </w:r>
      <w:r w:rsidR="00BB1696">
        <w:rPr>
          <w:rFonts w:ascii="Times New Roman" w:hAnsi="Times New Roman" w:cs="Times New Roman"/>
          <w:sz w:val="24"/>
          <w:szCs w:val="24"/>
        </w:rPr>
        <w:t xml:space="preserve">to </w:t>
      </w:r>
      <w:r w:rsidR="0028395E">
        <w:rPr>
          <w:rFonts w:ascii="Times New Roman" w:hAnsi="Times New Roman" w:cs="Times New Roman"/>
          <w:sz w:val="24"/>
          <w:szCs w:val="24"/>
        </w:rPr>
        <w:t xml:space="preserve">protest </w:t>
      </w:r>
      <w:r w:rsidR="00BB1696">
        <w:rPr>
          <w:rFonts w:ascii="Times New Roman" w:hAnsi="Times New Roman" w:cs="Times New Roman"/>
          <w:sz w:val="24"/>
          <w:szCs w:val="24"/>
        </w:rPr>
        <w:t xml:space="preserve">and </w:t>
      </w:r>
      <w:r w:rsidR="00D5595D">
        <w:rPr>
          <w:rFonts w:ascii="Times New Roman" w:hAnsi="Times New Roman" w:cs="Times New Roman"/>
          <w:sz w:val="24"/>
          <w:szCs w:val="24"/>
        </w:rPr>
        <w:t xml:space="preserve">provide </w:t>
      </w:r>
      <w:r w:rsidR="00BB1696">
        <w:rPr>
          <w:rFonts w:ascii="Times New Roman" w:hAnsi="Times New Roman" w:cs="Times New Roman"/>
          <w:sz w:val="24"/>
          <w:szCs w:val="24"/>
        </w:rPr>
        <w:t xml:space="preserve">instructions </w:t>
      </w:r>
      <w:r w:rsidR="00D5595D">
        <w:rPr>
          <w:rFonts w:ascii="Times New Roman" w:hAnsi="Times New Roman" w:cs="Times New Roman"/>
          <w:sz w:val="24"/>
          <w:szCs w:val="24"/>
        </w:rPr>
        <w:t xml:space="preserve">for this purpose </w:t>
      </w:r>
      <w:r w:rsidR="00035931">
        <w:rPr>
          <w:rFonts w:ascii="Times New Roman" w:hAnsi="Times New Roman" w:cs="Times New Roman"/>
          <w:sz w:val="24"/>
          <w:szCs w:val="24"/>
        </w:rPr>
        <w:t xml:space="preserve">in the regulation.  </w:t>
      </w:r>
    </w:p>
    <w:p w:rsidR="00BB7C2B" w:rsidRDefault="00BB7C2B" w:rsidP="00BB7C2B">
      <w:pPr>
        <w:pStyle w:val="ListParagraph"/>
        <w:rPr>
          <w:rFonts w:ascii="Times New Roman" w:hAnsi="Times New Roman" w:cs="Times New Roman"/>
          <w:sz w:val="24"/>
          <w:szCs w:val="24"/>
        </w:rPr>
      </w:pPr>
    </w:p>
    <w:p w:rsidR="008C3E96" w:rsidRPr="003A1F82" w:rsidRDefault="008C3E96" w:rsidP="008C3E96">
      <w:pPr>
        <w:numPr>
          <w:ilvl w:val="0"/>
          <w:numId w:val="17"/>
        </w:numPr>
        <w:tabs>
          <w:tab w:val="left" w:pos="0"/>
        </w:tabs>
        <w:spacing w:line="240" w:lineRule="atLeast"/>
        <w:rPr>
          <w:rFonts w:ascii="Times New Roman" w:hAnsi="Times New Roman" w:cs="Times New Roman"/>
          <w:sz w:val="24"/>
          <w:szCs w:val="24"/>
        </w:rPr>
      </w:pPr>
      <w:r w:rsidRPr="003A1F82">
        <w:rPr>
          <w:rFonts w:ascii="Times New Roman" w:hAnsi="Times New Roman" w:cs="Times New Roman"/>
          <w:sz w:val="24"/>
          <w:szCs w:val="24"/>
        </w:rPr>
        <w:t xml:space="preserve">In addition, to the aforementioned changes, the agency’s contract with CPS Human Resource Services ended and we do not have a contractor to assist with the management </w:t>
      </w:r>
      <w:r w:rsidRPr="003A1F82">
        <w:rPr>
          <w:rFonts w:ascii="Times New Roman" w:hAnsi="Times New Roman" w:cs="Times New Roman"/>
          <w:sz w:val="24"/>
          <w:szCs w:val="24"/>
        </w:rPr>
        <w:lastRenderedPageBreak/>
        <w:t>of respondents’ prerequisites.</w:t>
      </w:r>
      <w:r w:rsidR="00BB7C2B">
        <w:rPr>
          <w:rFonts w:ascii="Times New Roman" w:hAnsi="Times New Roman" w:cs="Times New Roman"/>
          <w:sz w:val="24"/>
          <w:szCs w:val="24"/>
        </w:rPr>
        <w:t xml:space="preserve">  As part of our new procedures, we will no longer use the electronic application and will only use the paper application.  Below we state the revisions to the paper application.</w:t>
      </w:r>
    </w:p>
    <w:p w:rsidR="00035931" w:rsidRDefault="00035931">
      <w:pPr>
        <w:tabs>
          <w:tab w:val="left" w:pos="0"/>
        </w:tabs>
        <w:spacing w:line="240" w:lineRule="atLeast"/>
        <w:rPr>
          <w:rFonts w:ascii="Times New Roman" w:hAnsi="Times New Roman" w:cs="Times New Roman"/>
          <w:sz w:val="24"/>
          <w:szCs w:val="24"/>
        </w:rPr>
      </w:pPr>
    </w:p>
    <w:p w:rsidR="0057319F" w:rsidRDefault="0057319F">
      <w:pPr>
        <w:tabs>
          <w:tab w:val="left" w:pos="0"/>
        </w:tabs>
        <w:spacing w:line="240" w:lineRule="atLeast"/>
        <w:rPr>
          <w:rFonts w:ascii="Times New Roman" w:hAnsi="Times New Roman" w:cs="Times New Roman"/>
          <w:b/>
          <w:bCs/>
          <w:sz w:val="24"/>
          <w:szCs w:val="24"/>
          <w:u w:val="single"/>
        </w:rPr>
      </w:pPr>
    </w:p>
    <w:p w:rsidR="00035931" w:rsidRDefault="00035931">
      <w:pPr>
        <w:tabs>
          <w:tab w:val="left" w:pos="0"/>
        </w:tabs>
        <w:spacing w:line="240" w:lineRule="atLeast"/>
        <w:rPr>
          <w:rFonts w:ascii="Times New Roman" w:hAnsi="Times New Roman" w:cs="Times New Roman"/>
          <w:sz w:val="24"/>
          <w:szCs w:val="24"/>
        </w:rPr>
      </w:pPr>
      <w:r>
        <w:rPr>
          <w:rFonts w:ascii="Times New Roman" w:hAnsi="Times New Roman" w:cs="Times New Roman"/>
          <w:b/>
          <w:bCs/>
          <w:sz w:val="24"/>
          <w:szCs w:val="24"/>
          <w:u w:val="single"/>
        </w:rPr>
        <w:t>Revision to the Collection Instrument</w:t>
      </w:r>
    </w:p>
    <w:p w:rsidR="00035931" w:rsidRDefault="00035931">
      <w:pPr>
        <w:tabs>
          <w:tab w:val="left" w:pos="0"/>
        </w:tabs>
        <w:spacing w:line="240" w:lineRule="atLeast"/>
        <w:rPr>
          <w:rFonts w:ascii="Times New Roman" w:hAnsi="Times New Roman" w:cs="Times New Roman"/>
          <w:sz w:val="24"/>
          <w:szCs w:val="24"/>
        </w:rPr>
      </w:pPr>
    </w:p>
    <w:p w:rsidR="004D6699" w:rsidRDefault="009B5886">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made t</w:t>
      </w:r>
      <w:r w:rsidR="008E3C5D">
        <w:rPr>
          <w:rFonts w:ascii="Times New Roman" w:hAnsi="Times New Roman" w:cs="Times New Roman"/>
          <w:sz w:val="24"/>
          <w:szCs w:val="24"/>
        </w:rPr>
        <w:t>he following changes</w:t>
      </w:r>
      <w:r w:rsidR="00A45EBF">
        <w:rPr>
          <w:rFonts w:ascii="Times New Roman" w:hAnsi="Times New Roman" w:cs="Times New Roman"/>
          <w:sz w:val="24"/>
          <w:szCs w:val="24"/>
        </w:rPr>
        <w:t xml:space="preserve"> to</w:t>
      </w:r>
      <w:r w:rsidR="008E3C5D">
        <w:rPr>
          <w:rFonts w:ascii="Times New Roman" w:hAnsi="Times New Roman" w:cs="Times New Roman"/>
          <w:sz w:val="24"/>
          <w:szCs w:val="24"/>
        </w:rPr>
        <w:t xml:space="preserve"> the collection instrument </w:t>
      </w:r>
      <w:r w:rsidR="00D8528F">
        <w:rPr>
          <w:rFonts w:ascii="Times New Roman" w:hAnsi="Times New Roman" w:cs="Times New Roman"/>
          <w:sz w:val="24"/>
          <w:szCs w:val="24"/>
        </w:rPr>
        <w:t xml:space="preserve">to </w:t>
      </w:r>
      <w:r w:rsidR="008E3C5D">
        <w:rPr>
          <w:rFonts w:ascii="Times New Roman" w:hAnsi="Times New Roman" w:cs="Times New Roman"/>
          <w:sz w:val="24"/>
          <w:szCs w:val="24"/>
        </w:rPr>
        <w:t xml:space="preserve">accommodate </w:t>
      </w:r>
      <w:r w:rsidR="00D8528F">
        <w:rPr>
          <w:rFonts w:ascii="Times New Roman" w:hAnsi="Times New Roman" w:cs="Times New Roman"/>
          <w:sz w:val="24"/>
          <w:szCs w:val="24"/>
        </w:rPr>
        <w:t xml:space="preserve">the </w:t>
      </w:r>
      <w:r w:rsidR="00A02E23">
        <w:rPr>
          <w:rFonts w:ascii="Times New Roman" w:hAnsi="Times New Roman" w:cs="Times New Roman"/>
          <w:sz w:val="24"/>
          <w:szCs w:val="24"/>
        </w:rPr>
        <w:t>aforementioned changes</w:t>
      </w:r>
      <w:r w:rsidR="00D8528F">
        <w:rPr>
          <w:rFonts w:ascii="Times New Roman" w:hAnsi="Times New Roman" w:cs="Times New Roman"/>
          <w:sz w:val="24"/>
          <w:szCs w:val="24"/>
        </w:rPr>
        <w:t xml:space="preserve">. </w:t>
      </w:r>
    </w:p>
    <w:p w:rsidR="00234F88" w:rsidRDefault="004D6699" w:rsidP="00DE6E7E">
      <w:pPr>
        <w:numPr>
          <w:ilvl w:val="0"/>
          <w:numId w:val="16"/>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Th</w:t>
      </w:r>
      <w:r w:rsidR="00A45EBF">
        <w:rPr>
          <w:rFonts w:ascii="Times New Roman" w:hAnsi="Times New Roman" w:cs="Times New Roman"/>
          <w:sz w:val="24"/>
          <w:szCs w:val="24"/>
        </w:rPr>
        <w:t xml:space="preserve">is </w:t>
      </w:r>
      <w:r>
        <w:rPr>
          <w:rFonts w:ascii="Times New Roman" w:hAnsi="Times New Roman" w:cs="Times New Roman"/>
          <w:sz w:val="24"/>
          <w:szCs w:val="24"/>
        </w:rPr>
        <w:t xml:space="preserve">table </w:t>
      </w:r>
      <w:r w:rsidR="00CB2864">
        <w:rPr>
          <w:rFonts w:ascii="Times New Roman" w:hAnsi="Times New Roman" w:cs="Times New Roman"/>
          <w:sz w:val="24"/>
          <w:szCs w:val="24"/>
        </w:rPr>
        <w:t>compares</w:t>
      </w:r>
      <w:r w:rsidR="003701C7">
        <w:rPr>
          <w:rFonts w:ascii="Times New Roman" w:hAnsi="Times New Roman" w:cs="Times New Roman"/>
          <w:sz w:val="24"/>
          <w:szCs w:val="24"/>
        </w:rPr>
        <w:t xml:space="preserve"> the </w:t>
      </w:r>
      <w:r>
        <w:rPr>
          <w:rFonts w:ascii="Times New Roman" w:hAnsi="Times New Roman" w:cs="Times New Roman"/>
          <w:sz w:val="24"/>
          <w:szCs w:val="24"/>
        </w:rPr>
        <w:t>current and revised version</w:t>
      </w:r>
      <w:r w:rsidR="003701C7">
        <w:rPr>
          <w:rFonts w:ascii="Times New Roman" w:hAnsi="Times New Roman" w:cs="Times New Roman"/>
          <w:sz w:val="24"/>
          <w:szCs w:val="24"/>
        </w:rPr>
        <w:t>s</w:t>
      </w:r>
      <w:r>
        <w:rPr>
          <w:rFonts w:ascii="Times New Roman" w:hAnsi="Times New Roman" w:cs="Times New Roman"/>
          <w:sz w:val="24"/>
          <w:szCs w:val="24"/>
        </w:rPr>
        <w:t xml:space="preserve"> of the collection instrument</w:t>
      </w:r>
      <w:r w:rsidR="00CB2864">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779E5" w:rsidRPr="004E09AC" w:rsidTr="004E09AC">
        <w:tc>
          <w:tcPr>
            <w:tcW w:w="4788" w:type="dxa"/>
          </w:tcPr>
          <w:p w:rsidR="004779E5" w:rsidRPr="004E09AC" w:rsidRDefault="004779E5" w:rsidP="004E09AC">
            <w:pPr>
              <w:tabs>
                <w:tab w:val="left" w:pos="0"/>
              </w:tabs>
              <w:spacing w:line="240" w:lineRule="atLeast"/>
              <w:rPr>
                <w:rFonts w:ascii="Times New Roman" w:hAnsi="Times New Roman" w:cs="Times New Roman"/>
                <w:b/>
                <w:sz w:val="24"/>
                <w:szCs w:val="24"/>
              </w:rPr>
            </w:pPr>
            <w:r>
              <w:rPr>
                <w:rFonts w:ascii="Times New Roman" w:hAnsi="Times New Roman" w:cs="Times New Roman"/>
                <w:b/>
                <w:sz w:val="24"/>
                <w:szCs w:val="24"/>
              </w:rPr>
              <w:t>Current Collection Instrument</w:t>
            </w:r>
          </w:p>
        </w:tc>
        <w:tc>
          <w:tcPr>
            <w:tcW w:w="4788" w:type="dxa"/>
          </w:tcPr>
          <w:p w:rsidR="004779E5" w:rsidRPr="004E09AC" w:rsidRDefault="004779E5" w:rsidP="004E09AC">
            <w:pPr>
              <w:tabs>
                <w:tab w:val="left" w:pos="0"/>
              </w:tabs>
              <w:spacing w:line="240" w:lineRule="atLeast"/>
              <w:rPr>
                <w:rFonts w:ascii="Times New Roman" w:hAnsi="Times New Roman" w:cs="Times New Roman"/>
                <w:b/>
                <w:sz w:val="24"/>
                <w:szCs w:val="24"/>
              </w:rPr>
            </w:pPr>
            <w:r>
              <w:rPr>
                <w:rFonts w:ascii="Times New Roman" w:hAnsi="Times New Roman" w:cs="Times New Roman"/>
                <w:b/>
                <w:sz w:val="24"/>
                <w:szCs w:val="24"/>
              </w:rPr>
              <w:t>Revised Collection Instrument</w:t>
            </w:r>
          </w:p>
        </w:tc>
      </w:tr>
      <w:tr w:rsidR="00234F88" w:rsidRPr="004E09AC" w:rsidTr="004E09AC">
        <w:tc>
          <w:tcPr>
            <w:tcW w:w="4788" w:type="dxa"/>
          </w:tcPr>
          <w:p w:rsidR="00234F88" w:rsidRPr="004779E5" w:rsidRDefault="00234F88" w:rsidP="004E09AC">
            <w:pPr>
              <w:tabs>
                <w:tab w:val="left" w:pos="0"/>
              </w:tabs>
              <w:spacing w:line="240" w:lineRule="atLeast"/>
              <w:rPr>
                <w:rFonts w:ascii="Times New Roman" w:hAnsi="Times New Roman" w:cs="Times New Roman"/>
                <w:sz w:val="24"/>
                <w:szCs w:val="24"/>
              </w:rPr>
            </w:pPr>
            <w:r w:rsidRPr="004779E5">
              <w:rPr>
                <w:rFonts w:ascii="Times New Roman" w:hAnsi="Times New Roman" w:cs="Times New Roman"/>
                <w:sz w:val="24"/>
                <w:szCs w:val="24"/>
              </w:rPr>
              <w:t>Social Security Administration Non-Attorney Representative Demonstration Project</w:t>
            </w:r>
          </w:p>
        </w:tc>
        <w:tc>
          <w:tcPr>
            <w:tcW w:w="4788" w:type="dxa"/>
          </w:tcPr>
          <w:p w:rsidR="00234F88" w:rsidRPr="004779E5" w:rsidRDefault="00234F88" w:rsidP="004E09AC">
            <w:pPr>
              <w:tabs>
                <w:tab w:val="left" w:pos="0"/>
              </w:tabs>
              <w:spacing w:line="240" w:lineRule="atLeast"/>
              <w:rPr>
                <w:rFonts w:ascii="Times New Roman" w:hAnsi="Times New Roman" w:cs="Times New Roman"/>
                <w:sz w:val="24"/>
                <w:szCs w:val="24"/>
              </w:rPr>
            </w:pPr>
            <w:r w:rsidRPr="004779E5">
              <w:rPr>
                <w:rFonts w:ascii="Times New Roman" w:hAnsi="Times New Roman" w:cs="Times New Roman"/>
                <w:sz w:val="24"/>
                <w:szCs w:val="24"/>
              </w:rPr>
              <w:t>Social Security Administration Eligible Non-Attorney Representative</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5 Application Fee Statement, Paperwork Reduction Act Statement </w:t>
            </w:r>
          </w:p>
        </w:tc>
        <w:tc>
          <w:tcPr>
            <w:tcW w:w="4788" w:type="dxa"/>
          </w:tcPr>
          <w:p w:rsidR="00234F88" w:rsidRPr="004E09AC" w:rsidRDefault="00234F88" w:rsidP="00201634">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w:t>
            </w:r>
            <w:r w:rsidR="00201634">
              <w:rPr>
                <w:rFonts w:ascii="Times New Roman" w:hAnsi="Times New Roman" w:cs="Times New Roman"/>
                <w:sz w:val="24"/>
                <w:szCs w:val="24"/>
              </w:rPr>
              <w:t>10</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5  Preliminary Questions </w:t>
            </w:r>
          </w:p>
        </w:tc>
        <w:tc>
          <w:tcPr>
            <w:tcW w:w="4788" w:type="dxa"/>
          </w:tcPr>
          <w:p w:rsidR="00234F88" w:rsidRPr="004E09AC" w:rsidRDefault="00234F88" w:rsidP="004779E5">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4 and 5 – Section A Background Information Additional Information</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5 Privacy Act Statement</w:t>
            </w:r>
          </w:p>
        </w:tc>
        <w:tc>
          <w:tcPr>
            <w:tcW w:w="4788" w:type="dxa"/>
          </w:tcPr>
          <w:p w:rsidR="00234F88" w:rsidRPr="004E09AC" w:rsidRDefault="00234F88" w:rsidP="00201634">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w:t>
            </w:r>
            <w:r w:rsidR="00201634">
              <w:rPr>
                <w:rFonts w:ascii="Times New Roman" w:hAnsi="Times New Roman" w:cs="Times New Roman"/>
                <w:sz w:val="24"/>
                <w:szCs w:val="24"/>
              </w:rPr>
              <w:t>9</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6 </w:t>
            </w:r>
          </w:p>
          <w:p w:rsidR="00234F88" w:rsidRPr="004E09AC" w:rsidRDefault="00234F88" w:rsidP="004E09AC">
            <w:pPr>
              <w:numPr>
                <w:ilvl w:val="0"/>
                <w:numId w:val="11"/>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A Background Information – Applicant’s Identifying Information</w:t>
            </w:r>
          </w:p>
          <w:p w:rsidR="00234F88" w:rsidRPr="004E09AC" w:rsidRDefault="00234F88" w:rsidP="004E09AC">
            <w:pPr>
              <w:numPr>
                <w:ilvl w:val="0"/>
                <w:numId w:val="11"/>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A Background Information –Applicant’s Contact Information</w:t>
            </w:r>
          </w:p>
          <w:p w:rsidR="00234F88" w:rsidRPr="004E09AC" w:rsidRDefault="00234F88" w:rsidP="004E09AC">
            <w:pPr>
              <w:tabs>
                <w:tab w:val="left" w:pos="0"/>
              </w:tabs>
              <w:spacing w:line="240" w:lineRule="atLeast"/>
              <w:rPr>
                <w:rFonts w:ascii="Times New Roman" w:hAnsi="Times New Roman" w:cs="Times New Roman"/>
                <w:sz w:val="24"/>
                <w:szCs w:val="24"/>
              </w:rPr>
            </w:pP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4</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8 Section A Background Information – Additional Information</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Pages 4 and 5</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11 </w:t>
            </w:r>
          </w:p>
          <w:p w:rsidR="00234F88" w:rsidRPr="004E09AC" w:rsidRDefault="00234F88" w:rsidP="004E09AC">
            <w:pPr>
              <w:numPr>
                <w:ilvl w:val="0"/>
                <w:numId w:val="13"/>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C Education/Equivalent Qualifications-Colleges/Universities Attended</w:t>
            </w:r>
          </w:p>
          <w:p w:rsidR="00234F88" w:rsidRPr="004E09AC" w:rsidRDefault="00234F88" w:rsidP="004E09AC">
            <w:pPr>
              <w:numPr>
                <w:ilvl w:val="0"/>
                <w:numId w:val="13"/>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C Education/Equivalent Qualifications – High School Diploma or GED</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6</w:t>
            </w:r>
          </w:p>
          <w:p w:rsidR="00234F88" w:rsidRPr="004E09AC" w:rsidRDefault="00234F88" w:rsidP="004E09AC">
            <w:pPr>
              <w:numPr>
                <w:ilvl w:val="0"/>
                <w:numId w:val="14"/>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B Education/Equivalent Qualifications – College/University Attended</w:t>
            </w:r>
          </w:p>
          <w:p w:rsidR="00234F88" w:rsidRPr="004E09AC" w:rsidRDefault="00234F88" w:rsidP="004E09AC">
            <w:pPr>
              <w:numPr>
                <w:ilvl w:val="0"/>
                <w:numId w:val="14"/>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B Education/Equivalent Qualifications – High School Diploma or GED</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12 Section C Education/Equivalent Qualifications – Professional Experience</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6 Section B Education/Equivalent Qualifications – Relevant Professional Experience</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13 </w:t>
            </w:r>
          </w:p>
          <w:p w:rsidR="00234F88" w:rsidRPr="004E09AC" w:rsidRDefault="00234F88" w:rsidP="004E09AC">
            <w:pPr>
              <w:numPr>
                <w:ilvl w:val="0"/>
                <w:numId w:val="15"/>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D Examination Information and Section D Examination Information – Location Request</w:t>
            </w:r>
          </w:p>
          <w:p w:rsidR="00234F88" w:rsidRPr="004E09AC" w:rsidRDefault="00234F88" w:rsidP="004E09AC">
            <w:pPr>
              <w:numPr>
                <w:ilvl w:val="0"/>
                <w:numId w:val="15"/>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Section D Examination Information – Special Accommodation Request</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7 </w:t>
            </w:r>
          </w:p>
          <w:p w:rsidR="00234F88" w:rsidRPr="004E09AC" w:rsidRDefault="00234F88" w:rsidP="004E09AC">
            <w:pPr>
              <w:numPr>
                <w:ilvl w:val="0"/>
                <w:numId w:val="15"/>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Section C Examination Information </w:t>
            </w:r>
          </w:p>
          <w:p w:rsidR="00234F88" w:rsidRPr="004E09AC" w:rsidRDefault="00234F88" w:rsidP="004E09AC">
            <w:pPr>
              <w:tabs>
                <w:tab w:val="left" w:pos="0"/>
              </w:tabs>
              <w:spacing w:line="240" w:lineRule="atLeast"/>
              <w:rPr>
                <w:rFonts w:ascii="Times New Roman" w:hAnsi="Times New Roman" w:cs="Times New Roman"/>
                <w:sz w:val="24"/>
                <w:szCs w:val="24"/>
              </w:rPr>
            </w:pPr>
          </w:p>
          <w:p w:rsidR="00234F88" w:rsidRPr="004E09AC" w:rsidRDefault="00234F88" w:rsidP="004E09AC">
            <w:pPr>
              <w:tabs>
                <w:tab w:val="left" w:pos="0"/>
              </w:tabs>
              <w:spacing w:line="240" w:lineRule="atLeast"/>
              <w:rPr>
                <w:rFonts w:ascii="Times New Roman" w:hAnsi="Times New Roman" w:cs="Times New Roman"/>
                <w:sz w:val="24"/>
                <w:szCs w:val="24"/>
              </w:rPr>
            </w:pPr>
          </w:p>
          <w:p w:rsidR="00234F88" w:rsidRPr="004E09AC" w:rsidRDefault="00234F88" w:rsidP="004E09AC">
            <w:pPr>
              <w:numPr>
                <w:ilvl w:val="0"/>
                <w:numId w:val="15"/>
              </w:num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Section C Examination Information – Special Accommodation Request </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14 Section E Additional Information</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8 Section D Additional Information</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15 Substantial Misrepresentation or Material Discrepancy, and Statement of Understanding, Penalty of Perjury Statement   </w:t>
            </w:r>
          </w:p>
        </w:tc>
        <w:tc>
          <w:tcPr>
            <w:tcW w:w="4788" w:type="dxa"/>
          </w:tcPr>
          <w:p w:rsidR="00234F88" w:rsidRPr="004E09AC" w:rsidRDefault="00234F88" w:rsidP="00201634">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w:t>
            </w:r>
            <w:r w:rsidR="00201634">
              <w:rPr>
                <w:rFonts w:ascii="Times New Roman" w:hAnsi="Times New Roman" w:cs="Times New Roman"/>
                <w:sz w:val="24"/>
                <w:szCs w:val="24"/>
              </w:rPr>
              <w:t>10</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lastRenderedPageBreak/>
              <w:t>Page 16 Supporting Documentation</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Removed collection instrument – see explanation below</w:t>
            </w:r>
          </w:p>
        </w:tc>
      </w:tr>
      <w:tr w:rsidR="00234F88" w:rsidRPr="004E09AC" w:rsidTr="004E09A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 xml:space="preserve">Page 17 Accusource, Inc – Criminal Background Check Information </w:t>
            </w:r>
          </w:p>
        </w:tc>
        <w:tc>
          <w:tcPr>
            <w:tcW w:w="4788" w:type="dxa"/>
          </w:tcPr>
          <w:p w:rsidR="00234F88" w:rsidRPr="004E09AC" w:rsidRDefault="00234F88" w:rsidP="004E09AC">
            <w:pPr>
              <w:tabs>
                <w:tab w:val="left" w:pos="0"/>
              </w:tabs>
              <w:spacing w:line="240" w:lineRule="atLeast"/>
              <w:rPr>
                <w:rFonts w:ascii="Times New Roman" w:hAnsi="Times New Roman" w:cs="Times New Roman"/>
                <w:sz w:val="24"/>
                <w:szCs w:val="24"/>
              </w:rPr>
            </w:pPr>
            <w:r w:rsidRPr="004E09AC">
              <w:rPr>
                <w:rFonts w:ascii="Times New Roman" w:hAnsi="Times New Roman" w:cs="Times New Roman"/>
                <w:sz w:val="24"/>
                <w:szCs w:val="24"/>
              </w:rPr>
              <w:t>Page 11 – Social Security Administration Criminal Background Check Information</w:t>
            </w:r>
          </w:p>
        </w:tc>
      </w:tr>
    </w:tbl>
    <w:p w:rsidR="001D61AB" w:rsidRDefault="00CD03F9" w:rsidP="003D6F83">
      <w:pPr>
        <w:numPr>
          <w:ilvl w:val="0"/>
          <w:numId w:val="2"/>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We revised the </w:t>
      </w:r>
      <w:r w:rsidR="00B077AE" w:rsidRPr="003D6F83">
        <w:rPr>
          <w:rFonts w:ascii="Times New Roman" w:hAnsi="Times New Roman" w:cs="Times New Roman"/>
          <w:sz w:val="24"/>
          <w:szCs w:val="24"/>
        </w:rPr>
        <w:t xml:space="preserve">title of the </w:t>
      </w:r>
      <w:r w:rsidR="00B077AE" w:rsidRPr="00CD03F9">
        <w:rPr>
          <w:rFonts w:ascii="Times New Roman" w:hAnsi="Times New Roman" w:cs="Times New Roman"/>
          <w:sz w:val="24"/>
          <w:szCs w:val="24"/>
        </w:rPr>
        <w:t xml:space="preserve">collection </w:t>
      </w:r>
      <w:r w:rsidRPr="00CD03F9">
        <w:rPr>
          <w:rFonts w:ascii="Times New Roman" w:hAnsi="Times New Roman" w:cs="Times New Roman"/>
          <w:sz w:val="24"/>
          <w:szCs w:val="24"/>
        </w:rPr>
        <w:t>instrument</w:t>
      </w:r>
      <w:r w:rsidRPr="003D6F83">
        <w:rPr>
          <w:rFonts w:ascii="Times New Roman" w:hAnsi="Times New Roman" w:cs="Times New Roman"/>
          <w:sz w:val="24"/>
          <w:szCs w:val="24"/>
        </w:rPr>
        <w:t xml:space="preserve"> </w:t>
      </w:r>
      <w:r w:rsidR="00407A86" w:rsidRPr="003D6F83">
        <w:rPr>
          <w:rFonts w:ascii="Times New Roman" w:hAnsi="Times New Roman" w:cs="Times New Roman"/>
          <w:sz w:val="24"/>
          <w:szCs w:val="24"/>
        </w:rPr>
        <w:t>to read as Social Security Eligible Non-Attorney Representative</w:t>
      </w:r>
      <w:r w:rsidR="00B077AE" w:rsidRPr="003D6F83">
        <w:rPr>
          <w:rFonts w:ascii="Times New Roman" w:hAnsi="Times New Roman" w:cs="Times New Roman"/>
          <w:sz w:val="24"/>
          <w:szCs w:val="24"/>
        </w:rPr>
        <w:t xml:space="preserve">.  </w:t>
      </w:r>
    </w:p>
    <w:p w:rsidR="00E245E5" w:rsidRPr="003D6F83" w:rsidRDefault="00E245E5" w:rsidP="00E245E5">
      <w:pPr>
        <w:tabs>
          <w:tab w:val="left" w:pos="0"/>
        </w:tabs>
        <w:spacing w:line="240" w:lineRule="atLeast"/>
        <w:ind w:left="720"/>
        <w:rPr>
          <w:rFonts w:ascii="Times New Roman" w:hAnsi="Times New Roman" w:cs="Times New Roman"/>
          <w:sz w:val="24"/>
          <w:szCs w:val="24"/>
        </w:rPr>
      </w:pPr>
    </w:p>
    <w:p w:rsidR="001D61AB" w:rsidRDefault="00EC0614" w:rsidP="003D6F83">
      <w:pPr>
        <w:numPr>
          <w:ilvl w:val="0"/>
          <w:numId w:val="2"/>
        </w:numPr>
        <w:tabs>
          <w:tab w:val="left" w:pos="0"/>
        </w:tabs>
        <w:spacing w:line="240" w:lineRule="atLeast"/>
        <w:rPr>
          <w:rFonts w:ascii="Times New Roman" w:hAnsi="Times New Roman" w:cs="Times New Roman"/>
          <w:sz w:val="24"/>
          <w:szCs w:val="24"/>
        </w:rPr>
      </w:pPr>
      <w:r w:rsidRPr="003D6F83">
        <w:rPr>
          <w:rFonts w:ascii="Times New Roman" w:hAnsi="Times New Roman" w:cs="Times New Roman"/>
          <w:sz w:val="24"/>
          <w:szCs w:val="24"/>
        </w:rPr>
        <w:t>Overall</w:t>
      </w:r>
      <w:r w:rsidR="00CD03F9" w:rsidRPr="003D6F83">
        <w:rPr>
          <w:rFonts w:ascii="Times New Roman" w:hAnsi="Times New Roman" w:cs="Times New Roman"/>
          <w:sz w:val="24"/>
          <w:szCs w:val="24"/>
        </w:rPr>
        <w:t xml:space="preserve">, </w:t>
      </w:r>
      <w:r w:rsidR="00CD03F9">
        <w:rPr>
          <w:rFonts w:ascii="Times New Roman" w:hAnsi="Times New Roman" w:cs="Times New Roman"/>
          <w:sz w:val="24"/>
          <w:szCs w:val="24"/>
        </w:rPr>
        <w:t xml:space="preserve">we simplified the </w:t>
      </w:r>
      <w:r w:rsidRPr="003D6F83">
        <w:rPr>
          <w:rFonts w:ascii="Times New Roman" w:hAnsi="Times New Roman" w:cs="Times New Roman"/>
          <w:sz w:val="24"/>
          <w:szCs w:val="24"/>
        </w:rPr>
        <w:t xml:space="preserve">language and instructions within the collection instrument to make </w:t>
      </w:r>
      <w:r w:rsidR="00EA452A">
        <w:rPr>
          <w:rFonts w:ascii="Times New Roman" w:hAnsi="Times New Roman" w:cs="Times New Roman"/>
          <w:sz w:val="24"/>
          <w:szCs w:val="24"/>
        </w:rPr>
        <w:t>it</w:t>
      </w:r>
      <w:r w:rsidRPr="003D6F83">
        <w:rPr>
          <w:rFonts w:ascii="Times New Roman" w:hAnsi="Times New Roman" w:cs="Times New Roman"/>
          <w:sz w:val="24"/>
          <w:szCs w:val="24"/>
        </w:rPr>
        <w:t xml:space="preserve"> easier to read, understand, and complete.</w:t>
      </w:r>
    </w:p>
    <w:p w:rsidR="00E245E5" w:rsidRDefault="00E245E5" w:rsidP="00E245E5">
      <w:pPr>
        <w:pStyle w:val="ListParagraph"/>
        <w:rPr>
          <w:rFonts w:ascii="Times New Roman" w:hAnsi="Times New Roman" w:cs="Times New Roman"/>
          <w:sz w:val="24"/>
          <w:szCs w:val="24"/>
        </w:rPr>
      </w:pPr>
    </w:p>
    <w:p w:rsidR="001D61AB" w:rsidRDefault="00CD03F9" w:rsidP="003D6F83">
      <w:pPr>
        <w:numPr>
          <w:ilvl w:val="0"/>
          <w:numId w:val="2"/>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removed r</w:t>
      </w:r>
      <w:r w:rsidR="00B077AE" w:rsidRPr="003D6F83">
        <w:rPr>
          <w:rFonts w:ascii="Times New Roman" w:hAnsi="Times New Roman" w:cs="Times New Roman"/>
          <w:sz w:val="24"/>
          <w:szCs w:val="24"/>
        </w:rPr>
        <w:t xml:space="preserve">eferences to </w:t>
      </w:r>
      <w:r w:rsidR="006432E9" w:rsidRPr="003D6F83">
        <w:rPr>
          <w:rFonts w:ascii="Times New Roman" w:hAnsi="Times New Roman" w:cs="Times New Roman"/>
          <w:sz w:val="24"/>
          <w:szCs w:val="24"/>
        </w:rPr>
        <w:t xml:space="preserve">the </w:t>
      </w:r>
      <w:r w:rsidR="006432E9" w:rsidRPr="003D6F83">
        <w:rPr>
          <w:rFonts w:ascii="Times New Roman" w:hAnsi="Times New Roman" w:cs="Times New Roman"/>
          <w:i/>
          <w:sz w:val="24"/>
          <w:szCs w:val="24"/>
        </w:rPr>
        <w:t>Social Security Protection Act (SSPA) of 2004</w:t>
      </w:r>
      <w:r w:rsidR="009668BC">
        <w:rPr>
          <w:rFonts w:ascii="Times New Roman" w:hAnsi="Times New Roman" w:cs="Times New Roman"/>
          <w:i/>
          <w:sz w:val="24"/>
          <w:szCs w:val="24"/>
        </w:rPr>
        <w:t>,</w:t>
      </w:r>
      <w:r w:rsidR="009668BC" w:rsidRPr="009668BC">
        <w:rPr>
          <w:rFonts w:ascii="Times New Roman" w:hAnsi="Times New Roman" w:cs="Times New Roman"/>
          <w:i/>
          <w:sz w:val="24"/>
          <w:szCs w:val="24"/>
        </w:rPr>
        <w:t xml:space="preserve"> </w:t>
      </w:r>
      <w:r w:rsidR="009668BC" w:rsidRPr="00E149BC">
        <w:rPr>
          <w:rFonts w:ascii="Times New Roman" w:hAnsi="Times New Roman" w:cs="Times New Roman"/>
          <w:i/>
          <w:sz w:val="24"/>
          <w:szCs w:val="24"/>
        </w:rPr>
        <w:t>P.L. 108-203</w:t>
      </w:r>
      <w:r w:rsidR="006432E9" w:rsidRPr="003D6F83">
        <w:rPr>
          <w:rFonts w:ascii="Times New Roman" w:hAnsi="Times New Roman" w:cs="Times New Roman"/>
          <w:sz w:val="24"/>
          <w:szCs w:val="24"/>
        </w:rPr>
        <w:t xml:space="preserve"> </w:t>
      </w:r>
      <w:r w:rsidR="00B077AE" w:rsidRPr="003D6F83">
        <w:rPr>
          <w:rFonts w:ascii="Times New Roman" w:hAnsi="Times New Roman" w:cs="Times New Roman"/>
          <w:sz w:val="24"/>
          <w:szCs w:val="24"/>
        </w:rPr>
        <w:t>from the collection instrument.</w:t>
      </w:r>
    </w:p>
    <w:p w:rsidR="00E245E5" w:rsidRDefault="00E245E5" w:rsidP="00E245E5">
      <w:pPr>
        <w:pStyle w:val="ListParagraph"/>
        <w:rPr>
          <w:rFonts w:ascii="Times New Roman" w:hAnsi="Times New Roman" w:cs="Times New Roman"/>
          <w:sz w:val="24"/>
          <w:szCs w:val="24"/>
        </w:rPr>
      </w:pPr>
    </w:p>
    <w:p w:rsidR="000E2FE5" w:rsidRDefault="00CD03F9" w:rsidP="003D6F83">
      <w:pPr>
        <w:numPr>
          <w:ilvl w:val="0"/>
          <w:numId w:val="2"/>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removed r</w:t>
      </w:r>
      <w:r w:rsidR="000E2FE5" w:rsidRPr="003D6F83">
        <w:rPr>
          <w:rFonts w:ascii="Times New Roman" w:hAnsi="Times New Roman" w:cs="Times New Roman"/>
          <w:sz w:val="24"/>
          <w:szCs w:val="24"/>
        </w:rPr>
        <w:t>eferences to CPS Human Resource Services from the document</w:t>
      </w:r>
      <w:r w:rsidR="00E245E5">
        <w:rPr>
          <w:rFonts w:ascii="Times New Roman" w:hAnsi="Times New Roman" w:cs="Times New Roman"/>
          <w:sz w:val="24"/>
          <w:szCs w:val="24"/>
        </w:rPr>
        <w:t xml:space="preserve">. </w:t>
      </w:r>
    </w:p>
    <w:p w:rsidR="00E245E5" w:rsidRDefault="00E245E5" w:rsidP="00E245E5">
      <w:pPr>
        <w:tabs>
          <w:tab w:val="left" w:pos="0"/>
        </w:tabs>
        <w:spacing w:line="240" w:lineRule="atLeast"/>
        <w:rPr>
          <w:rFonts w:ascii="Times New Roman" w:hAnsi="Times New Roman" w:cs="Times New Roman"/>
          <w:sz w:val="24"/>
          <w:szCs w:val="24"/>
        </w:rPr>
      </w:pPr>
    </w:p>
    <w:p w:rsidR="00435D1A" w:rsidRDefault="00CD03F9" w:rsidP="003D6F83">
      <w:pPr>
        <w:numPr>
          <w:ilvl w:val="0"/>
          <w:numId w:val="2"/>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removed r</w:t>
      </w:r>
      <w:r w:rsidR="00435D1A">
        <w:rPr>
          <w:rFonts w:ascii="Times New Roman" w:hAnsi="Times New Roman" w:cs="Times New Roman"/>
          <w:sz w:val="24"/>
          <w:szCs w:val="24"/>
        </w:rPr>
        <w:t xml:space="preserve">eferences to the representational </w:t>
      </w:r>
      <w:r w:rsidR="00EA452A">
        <w:rPr>
          <w:rFonts w:ascii="Times New Roman" w:hAnsi="Times New Roman" w:cs="Times New Roman"/>
          <w:sz w:val="24"/>
          <w:szCs w:val="24"/>
        </w:rPr>
        <w:t xml:space="preserve">experience </w:t>
      </w:r>
      <w:r w:rsidR="00435D1A">
        <w:rPr>
          <w:rFonts w:ascii="Times New Roman" w:hAnsi="Times New Roman" w:cs="Times New Roman"/>
          <w:sz w:val="24"/>
          <w:szCs w:val="24"/>
        </w:rPr>
        <w:t xml:space="preserve">prerequisite from the collection </w:t>
      </w:r>
      <w:r w:rsidR="002F131B">
        <w:rPr>
          <w:rFonts w:ascii="Times New Roman" w:hAnsi="Times New Roman" w:cs="Times New Roman"/>
          <w:sz w:val="24"/>
          <w:szCs w:val="24"/>
        </w:rPr>
        <w:t>instrument that</w:t>
      </w:r>
      <w:r w:rsidR="00435D1A">
        <w:rPr>
          <w:rFonts w:ascii="Times New Roman" w:hAnsi="Times New Roman" w:cs="Times New Roman"/>
          <w:sz w:val="24"/>
          <w:szCs w:val="24"/>
        </w:rPr>
        <w:t xml:space="preserve"> included the removal of the Representational Experience information, Section A- Background Information – Work History, and Section B - Representation of Claimant Information</w:t>
      </w:r>
      <w:r w:rsidR="00A14552">
        <w:rPr>
          <w:rFonts w:ascii="Times New Roman" w:hAnsi="Times New Roman" w:cs="Times New Roman"/>
          <w:sz w:val="24"/>
          <w:szCs w:val="24"/>
        </w:rPr>
        <w:t xml:space="preserve">.  </w:t>
      </w:r>
      <w:r>
        <w:rPr>
          <w:rFonts w:ascii="Times New Roman" w:hAnsi="Times New Roman" w:cs="Times New Roman"/>
          <w:sz w:val="24"/>
          <w:szCs w:val="24"/>
        </w:rPr>
        <w:t>We removed t</w:t>
      </w:r>
      <w:r w:rsidR="00435D1A">
        <w:rPr>
          <w:rFonts w:ascii="Times New Roman" w:hAnsi="Times New Roman" w:cs="Times New Roman"/>
          <w:sz w:val="24"/>
          <w:szCs w:val="24"/>
        </w:rPr>
        <w:t xml:space="preserve">his information because the representational experience prerequisite was not included as a </w:t>
      </w:r>
      <w:r w:rsidR="00B03923">
        <w:rPr>
          <w:rFonts w:ascii="Times New Roman" w:hAnsi="Times New Roman" w:cs="Times New Roman"/>
          <w:sz w:val="24"/>
          <w:szCs w:val="24"/>
        </w:rPr>
        <w:t xml:space="preserve">prerequisite for </w:t>
      </w:r>
      <w:r w:rsidR="00435D1A">
        <w:rPr>
          <w:rFonts w:ascii="Times New Roman" w:hAnsi="Times New Roman" w:cs="Times New Roman"/>
          <w:sz w:val="24"/>
          <w:szCs w:val="24"/>
        </w:rPr>
        <w:t xml:space="preserve">direct payment in the </w:t>
      </w:r>
      <w:r w:rsidR="00435D1A" w:rsidRPr="005C7BF2">
        <w:rPr>
          <w:rFonts w:ascii="Times New Roman" w:hAnsi="Times New Roman" w:cs="Times New Roman"/>
          <w:i/>
          <w:sz w:val="24"/>
          <w:szCs w:val="24"/>
        </w:rPr>
        <w:t>Revisions to Direct Fee Payment Rules</w:t>
      </w:r>
      <w:r w:rsidR="00435D1A">
        <w:rPr>
          <w:rFonts w:ascii="Times New Roman" w:hAnsi="Times New Roman" w:cs="Times New Roman"/>
          <w:i/>
          <w:sz w:val="24"/>
          <w:szCs w:val="24"/>
        </w:rPr>
        <w:t>.</w:t>
      </w:r>
    </w:p>
    <w:p w:rsidR="00E245E5" w:rsidRDefault="00E245E5" w:rsidP="00E245E5">
      <w:pPr>
        <w:pStyle w:val="ListParagraph"/>
        <w:rPr>
          <w:rFonts w:ascii="Times New Roman" w:hAnsi="Times New Roman" w:cs="Times New Roman"/>
          <w:sz w:val="24"/>
          <w:szCs w:val="24"/>
        </w:rPr>
      </w:pPr>
    </w:p>
    <w:p w:rsidR="003D6F83" w:rsidRDefault="00B03923" w:rsidP="003D6F83">
      <w:pPr>
        <w:numPr>
          <w:ilvl w:val="0"/>
          <w:numId w:val="2"/>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We modified the </w:t>
      </w:r>
      <w:r w:rsidR="003D6F83">
        <w:rPr>
          <w:rFonts w:ascii="Times New Roman" w:hAnsi="Times New Roman" w:cs="Times New Roman"/>
          <w:sz w:val="24"/>
          <w:szCs w:val="24"/>
        </w:rPr>
        <w:t xml:space="preserve">instructions to refer respondents to the </w:t>
      </w:r>
      <w:r w:rsidR="003E522D">
        <w:rPr>
          <w:rFonts w:ascii="Times New Roman" w:hAnsi="Times New Roman" w:cs="Times New Roman"/>
          <w:sz w:val="24"/>
          <w:szCs w:val="24"/>
        </w:rPr>
        <w:t>Attorneys and Appointed Representatives</w:t>
      </w:r>
      <w:r w:rsidR="003D6F83">
        <w:rPr>
          <w:rFonts w:ascii="Times New Roman" w:hAnsi="Times New Roman" w:cs="Times New Roman"/>
          <w:sz w:val="24"/>
          <w:szCs w:val="24"/>
        </w:rPr>
        <w:t xml:space="preserve"> Website for contractor, </w:t>
      </w:r>
      <w:r w:rsidR="007946F1">
        <w:rPr>
          <w:rFonts w:ascii="Times New Roman" w:hAnsi="Times New Roman" w:cs="Times New Roman"/>
          <w:sz w:val="24"/>
          <w:szCs w:val="24"/>
        </w:rPr>
        <w:t>application, and</w:t>
      </w:r>
      <w:r w:rsidR="003D6F83">
        <w:rPr>
          <w:rFonts w:ascii="Times New Roman" w:hAnsi="Times New Roman" w:cs="Times New Roman"/>
          <w:sz w:val="24"/>
          <w:szCs w:val="24"/>
        </w:rPr>
        <w:t xml:space="preserve"> prerequisite information that are subject to unplanned or frequent change</w:t>
      </w:r>
      <w:r w:rsidR="007946F1">
        <w:rPr>
          <w:rFonts w:ascii="Times New Roman" w:hAnsi="Times New Roman" w:cs="Times New Roman"/>
          <w:sz w:val="24"/>
          <w:szCs w:val="24"/>
        </w:rPr>
        <w:t>s</w:t>
      </w:r>
      <w:r w:rsidR="00A14552">
        <w:rPr>
          <w:rFonts w:ascii="Times New Roman" w:hAnsi="Times New Roman" w:cs="Times New Roman"/>
          <w:sz w:val="24"/>
          <w:szCs w:val="24"/>
        </w:rPr>
        <w:t xml:space="preserve">.  </w:t>
      </w:r>
      <w:r w:rsidR="003D6F83">
        <w:rPr>
          <w:rFonts w:ascii="Times New Roman" w:hAnsi="Times New Roman" w:cs="Times New Roman"/>
          <w:sz w:val="24"/>
          <w:szCs w:val="24"/>
        </w:rPr>
        <w:t>The mailing address and application fee for the application, examination locations, and insurance coverage amounts are examples of information that is subject to unplanned or frequent change</w:t>
      </w:r>
      <w:r w:rsidR="007946F1">
        <w:rPr>
          <w:rFonts w:ascii="Times New Roman" w:hAnsi="Times New Roman" w:cs="Times New Roman"/>
          <w:sz w:val="24"/>
          <w:szCs w:val="24"/>
        </w:rPr>
        <w:t>s</w:t>
      </w:r>
      <w:r w:rsidR="00A14552">
        <w:rPr>
          <w:rFonts w:ascii="Times New Roman" w:hAnsi="Times New Roman" w:cs="Times New Roman"/>
          <w:sz w:val="24"/>
          <w:szCs w:val="24"/>
        </w:rPr>
        <w:t xml:space="preserve">.  </w:t>
      </w:r>
      <w:r w:rsidR="003D6F83">
        <w:rPr>
          <w:rFonts w:ascii="Times New Roman" w:hAnsi="Times New Roman" w:cs="Times New Roman"/>
          <w:sz w:val="24"/>
          <w:szCs w:val="24"/>
        </w:rPr>
        <w:t>This modification eliminates the need to revise the form when the contractor or prerequisite information changes and affect</w:t>
      </w:r>
      <w:r w:rsidR="00461AA7">
        <w:rPr>
          <w:rFonts w:ascii="Times New Roman" w:hAnsi="Times New Roman" w:cs="Times New Roman"/>
          <w:sz w:val="24"/>
          <w:szCs w:val="24"/>
        </w:rPr>
        <w:t>s</w:t>
      </w:r>
      <w:r w:rsidR="003D6F83">
        <w:rPr>
          <w:rFonts w:ascii="Times New Roman" w:hAnsi="Times New Roman" w:cs="Times New Roman"/>
          <w:sz w:val="24"/>
          <w:szCs w:val="24"/>
        </w:rPr>
        <w:t xml:space="preserve"> the following subjects and sections of the collection instrument: </w:t>
      </w:r>
    </w:p>
    <w:p w:rsidR="00C15EBB" w:rsidRDefault="00C15EBB" w:rsidP="00C15EBB">
      <w:pPr>
        <w:pStyle w:val="ListParagraph"/>
        <w:rPr>
          <w:rFonts w:ascii="Times New Roman" w:hAnsi="Times New Roman" w:cs="Times New Roman"/>
          <w:sz w:val="24"/>
          <w:szCs w:val="24"/>
        </w:rPr>
      </w:pPr>
    </w:p>
    <w:p w:rsidR="00C15EBB" w:rsidRDefault="003D6F83" w:rsidP="00C15EBB">
      <w:pPr>
        <w:numPr>
          <w:ilvl w:val="1"/>
          <w:numId w:val="2"/>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Application Fee</w:t>
      </w:r>
    </w:p>
    <w:p w:rsidR="00C15EBB" w:rsidRDefault="003D6F83" w:rsidP="00C15EBB">
      <w:pPr>
        <w:numPr>
          <w:ilvl w:val="1"/>
          <w:numId w:val="2"/>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Types of Insurance</w:t>
      </w:r>
    </w:p>
    <w:p w:rsidR="00C15EBB" w:rsidRDefault="003D6F83" w:rsidP="00C15EBB">
      <w:pPr>
        <w:numPr>
          <w:ilvl w:val="1"/>
          <w:numId w:val="2"/>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Section C Examination Information</w:t>
      </w:r>
    </w:p>
    <w:p w:rsidR="00710A54" w:rsidRDefault="003D6F83" w:rsidP="00C15EBB">
      <w:pPr>
        <w:numPr>
          <w:ilvl w:val="1"/>
          <w:numId w:val="2"/>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Section C Examination Information – Spec</w:t>
      </w:r>
      <w:r w:rsidR="00C15EBB">
        <w:rPr>
          <w:rFonts w:ascii="Times New Roman" w:hAnsi="Times New Roman" w:cs="Times New Roman"/>
          <w:sz w:val="24"/>
          <w:szCs w:val="24"/>
        </w:rPr>
        <w:t xml:space="preserve">ial Accommodation Request, and </w:t>
      </w:r>
      <w:r w:rsidRPr="00C15EBB">
        <w:rPr>
          <w:rFonts w:ascii="Times New Roman" w:hAnsi="Times New Roman" w:cs="Times New Roman"/>
          <w:sz w:val="24"/>
          <w:szCs w:val="24"/>
        </w:rPr>
        <w:t>Statement of Understanding</w:t>
      </w:r>
    </w:p>
    <w:p w:rsidR="00C15EBB" w:rsidRPr="00C15EBB" w:rsidRDefault="00C15EBB" w:rsidP="00C15EBB">
      <w:pPr>
        <w:tabs>
          <w:tab w:val="left" w:pos="0"/>
        </w:tabs>
        <w:spacing w:line="240" w:lineRule="atLeast"/>
        <w:ind w:left="1440"/>
        <w:rPr>
          <w:rFonts w:ascii="Times New Roman" w:hAnsi="Times New Roman" w:cs="Times New Roman"/>
          <w:sz w:val="24"/>
          <w:szCs w:val="24"/>
        </w:rPr>
      </w:pPr>
    </w:p>
    <w:p w:rsidR="00435D1A" w:rsidRDefault="00025832" w:rsidP="00710A54">
      <w:pPr>
        <w:numPr>
          <w:ilvl w:val="0"/>
          <w:numId w:val="5"/>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revised the</w:t>
      </w:r>
      <w:r w:rsidR="00DA2DC7" w:rsidRPr="00E87F6D">
        <w:rPr>
          <w:rFonts w:ascii="Times New Roman" w:hAnsi="Times New Roman" w:cs="Times New Roman"/>
          <w:sz w:val="24"/>
          <w:szCs w:val="24"/>
        </w:rPr>
        <w:t xml:space="preserve"> definition of equivalent qualifications under The Education and Equivalent Qualifications information to reflect </w:t>
      </w:r>
      <w:r w:rsidR="00E245E5">
        <w:rPr>
          <w:rFonts w:ascii="Times New Roman" w:hAnsi="Times New Roman" w:cs="Times New Roman"/>
          <w:sz w:val="24"/>
          <w:szCs w:val="24"/>
        </w:rPr>
        <w:t xml:space="preserve">the </w:t>
      </w:r>
      <w:r w:rsidR="00DA2DC7" w:rsidRPr="00E87F6D">
        <w:rPr>
          <w:rFonts w:ascii="Times New Roman" w:hAnsi="Times New Roman" w:cs="Times New Roman"/>
          <w:sz w:val="24"/>
          <w:szCs w:val="24"/>
        </w:rPr>
        <w:t>regulatory change</w:t>
      </w:r>
      <w:r w:rsidR="00E245E5">
        <w:rPr>
          <w:rFonts w:ascii="Times New Roman" w:hAnsi="Times New Roman" w:cs="Times New Roman"/>
          <w:sz w:val="24"/>
          <w:szCs w:val="24"/>
        </w:rPr>
        <w:t>s</w:t>
      </w:r>
      <w:r w:rsidR="00DA2DC7" w:rsidRPr="00E87F6D">
        <w:rPr>
          <w:rFonts w:ascii="Times New Roman" w:hAnsi="Times New Roman" w:cs="Times New Roman"/>
          <w:sz w:val="24"/>
          <w:szCs w:val="24"/>
        </w:rPr>
        <w:t xml:space="preserve"> mentioned above.</w:t>
      </w:r>
    </w:p>
    <w:p w:rsidR="00E245E5" w:rsidRDefault="00E245E5" w:rsidP="00E245E5">
      <w:pPr>
        <w:tabs>
          <w:tab w:val="left" w:pos="0"/>
        </w:tabs>
        <w:spacing w:line="240" w:lineRule="atLeast"/>
        <w:ind w:left="720"/>
        <w:rPr>
          <w:rFonts w:ascii="Times New Roman" w:hAnsi="Times New Roman" w:cs="Times New Roman"/>
          <w:sz w:val="24"/>
          <w:szCs w:val="24"/>
        </w:rPr>
      </w:pPr>
    </w:p>
    <w:p w:rsidR="00DA2DC7" w:rsidRDefault="00025832" w:rsidP="00DA2DC7">
      <w:pPr>
        <w:numPr>
          <w:ilvl w:val="0"/>
          <w:numId w:val="5"/>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We revised </w:t>
      </w:r>
      <w:r w:rsidR="00710A54">
        <w:rPr>
          <w:rFonts w:ascii="Times New Roman" w:hAnsi="Times New Roman" w:cs="Times New Roman"/>
          <w:sz w:val="24"/>
          <w:szCs w:val="24"/>
        </w:rPr>
        <w:t>Education and Equivalent Qualifications</w:t>
      </w:r>
      <w:r w:rsidR="002265FB">
        <w:rPr>
          <w:rFonts w:ascii="Times New Roman" w:hAnsi="Times New Roman" w:cs="Times New Roman"/>
          <w:sz w:val="24"/>
          <w:szCs w:val="24"/>
        </w:rPr>
        <w:t xml:space="preserve">, </w:t>
      </w:r>
      <w:r w:rsidR="00710A54">
        <w:rPr>
          <w:rFonts w:ascii="Times New Roman" w:hAnsi="Times New Roman" w:cs="Times New Roman"/>
          <w:sz w:val="24"/>
          <w:szCs w:val="24"/>
        </w:rPr>
        <w:t xml:space="preserve">Section </w:t>
      </w:r>
      <w:r w:rsidR="002265FB">
        <w:rPr>
          <w:rFonts w:ascii="Times New Roman" w:hAnsi="Times New Roman" w:cs="Times New Roman"/>
          <w:sz w:val="24"/>
          <w:szCs w:val="24"/>
        </w:rPr>
        <w:t xml:space="preserve">B Education/Equivalent Qualifications – College /University Attended, and Section B Education/Equivalent Qualifications – High School Diploma or GED instructions </w:t>
      </w:r>
      <w:r w:rsidR="00710A54">
        <w:rPr>
          <w:rFonts w:ascii="Times New Roman" w:hAnsi="Times New Roman" w:cs="Times New Roman"/>
          <w:sz w:val="24"/>
          <w:szCs w:val="24"/>
        </w:rPr>
        <w:t xml:space="preserve">for </w:t>
      </w:r>
      <w:r w:rsidR="004601BE">
        <w:rPr>
          <w:rFonts w:ascii="Times New Roman" w:hAnsi="Times New Roman" w:cs="Times New Roman"/>
          <w:sz w:val="24"/>
          <w:szCs w:val="24"/>
        </w:rPr>
        <w:t xml:space="preserve">submitting </w:t>
      </w:r>
      <w:r w:rsidR="00710A54">
        <w:rPr>
          <w:rFonts w:ascii="Times New Roman" w:hAnsi="Times New Roman" w:cs="Times New Roman"/>
          <w:sz w:val="24"/>
          <w:szCs w:val="24"/>
        </w:rPr>
        <w:t>proof of a bachelor’s degree or equivalent qualification</w:t>
      </w:r>
      <w:r w:rsidR="00C52283">
        <w:rPr>
          <w:rFonts w:ascii="Times New Roman" w:hAnsi="Times New Roman" w:cs="Times New Roman"/>
          <w:sz w:val="24"/>
          <w:szCs w:val="24"/>
        </w:rPr>
        <w:t>s</w:t>
      </w:r>
      <w:r w:rsidR="00710A54">
        <w:rPr>
          <w:rFonts w:ascii="Times New Roman" w:hAnsi="Times New Roman" w:cs="Times New Roman"/>
          <w:sz w:val="24"/>
          <w:szCs w:val="24"/>
        </w:rPr>
        <w:t xml:space="preserve"> to instruct respondents to submit this proof once they pass the examination</w:t>
      </w:r>
      <w:r w:rsidR="002265FB">
        <w:rPr>
          <w:rFonts w:ascii="Times New Roman" w:hAnsi="Times New Roman" w:cs="Times New Roman"/>
          <w:sz w:val="24"/>
          <w:szCs w:val="24"/>
        </w:rPr>
        <w:t xml:space="preserve"> rather than before they take it.</w:t>
      </w:r>
      <w:r w:rsidR="00355E4D">
        <w:rPr>
          <w:rFonts w:ascii="Times New Roman" w:hAnsi="Times New Roman" w:cs="Times New Roman"/>
          <w:sz w:val="24"/>
          <w:szCs w:val="24"/>
        </w:rPr>
        <w:t xml:space="preserve">  </w:t>
      </w:r>
    </w:p>
    <w:p w:rsidR="00E245E5" w:rsidRDefault="00E245E5" w:rsidP="00E245E5">
      <w:pPr>
        <w:pStyle w:val="ListParagraph"/>
        <w:rPr>
          <w:rFonts w:ascii="Times New Roman" w:hAnsi="Times New Roman" w:cs="Times New Roman"/>
          <w:sz w:val="24"/>
          <w:szCs w:val="24"/>
        </w:rPr>
      </w:pPr>
    </w:p>
    <w:p w:rsidR="00E87F6D" w:rsidRDefault="00F90C13" w:rsidP="00DA2DC7">
      <w:pPr>
        <w:numPr>
          <w:ilvl w:val="0"/>
          <w:numId w:val="5"/>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We revised the </w:t>
      </w:r>
      <w:r w:rsidR="004601BE">
        <w:rPr>
          <w:rFonts w:ascii="Times New Roman" w:hAnsi="Times New Roman" w:cs="Times New Roman"/>
          <w:sz w:val="24"/>
          <w:szCs w:val="24"/>
        </w:rPr>
        <w:t xml:space="preserve">Types of Insurance </w:t>
      </w:r>
      <w:r w:rsidR="00E87F6D">
        <w:rPr>
          <w:rFonts w:ascii="Times New Roman" w:hAnsi="Times New Roman" w:cs="Times New Roman"/>
          <w:sz w:val="24"/>
          <w:szCs w:val="24"/>
        </w:rPr>
        <w:t xml:space="preserve">instructions for </w:t>
      </w:r>
      <w:r w:rsidR="004601BE">
        <w:rPr>
          <w:rFonts w:ascii="Times New Roman" w:hAnsi="Times New Roman" w:cs="Times New Roman"/>
          <w:sz w:val="24"/>
          <w:szCs w:val="24"/>
        </w:rPr>
        <w:t>submitting</w:t>
      </w:r>
      <w:r w:rsidR="00E87F6D">
        <w:rPr>
          <w:rFonts w:ascii="Times New Roman" w:hAnsi="Times New Roman" w:cs="Times New Roman"/>
          <w:sz w:val="24"/>
          <w:szCs w:val="24"/>
        </w:rPr>
        <w:t xml:space="preserve"> proof </w:t>
      </w:r>
      <w:r>
        <w:rPr>
          <w:rFonts w:ascii="Times New Roman" w:hAnsi="Times New Roman" w:cs="Times New Roman"/>
          <w:sz w:val="24"/>
          <w:szCs w:val="24"/>
        </w:rPr>
        <w:t>of professional</w:t>
      </w:r>
      <w:r w:rsidR="004601BE">
        <w:rPr>
          <w:rFonts w:ascii="Times New Roman" w:hAnsi="Times New Roman" w:cs="Times New Roman"/>
          <w:sz w:val="24"/>
          <w:szCs w:val="24"/>
        </w:rPr>
        <w:t xml:space="preserve"> or </w:t>
      </w:r>
      <w:r w:rsidR="004601BE">
        <w:rPr>
          <w:rFonts w:ascii="Times New Roman" w:hAnsi="Times New Roman" w:cs="Times New Roman"/>
          <w:sz w:val="24"/>
          <w:szCs w:val="24"/>
        </w:rPr>
        <w:lastRenderedPageBreak/>
        <w:t xml:space="preserve">business liability insurance </w:t>
      </w:r>
      <w:r w:rsidR="00E87F6D">
        <w:rPr>
          <w:rFonts w:ascii="Times New Roman" w:hAnsi="Times New Roman" w:cs="Times New Roman"/>
          <w:sz w:val="24"/>
          <w:szCs w:val="24"/>
        </w:rPr>
        <w:t xml:space="preserve">to instruct respondents to submit this proof once they pass the examination rather than before they take it. </w:t>
      </w:r>
    </w:p>
    <w:p w:rsidR="00C15EBB" w:rsidRDefault="00C15EBB" w:rsidP="00C15EBB">
      <w:pPr>
        <w:pStyle w:val="ListParagraph"/>
        <w:rPr>
          <w:rFonts w:ascii="Times New Roman" w:hAnsi="Times New Roman" w:cs="Times New Roman"/>
          <w:sz w:val="24"/>
          <w:szCs w:val="24"/>
        </w:rPr>
      </w:pPr>
    </w:p>
    <w:p w:rsidR="00C15EBB" w:rsidRDefault="00F90C13" w:rsidP="00C15EBB">
      <w:pPr>
        <w:numPr>
          <w:ilvl w:val="1"/>
          <w:numId w:val="5"/>
        </w:numPr>
        <w:tabs>
          <w:tab w:val="left" w:pos="0"/>
        </w:tabs>
        <w:spacing w:line="240" w:lineRule="atLeast"/>
        <w:rPr>
          <w:rFonts w:ascii="Times New Roman" w:hAnsi="Times New Roman" w:cs="Times New Roman"/>
          <w:sz w:val="24"/>
          <w:szCs w:val="24"/>
        </w:rPr>
      </w:pPr>
      <w:r w:rsidRPr="00C15EBB">
        <w:rPr>
          <w:rFonts w:ascii="Times New Roman" w:hAnsi="Times New Roman" w:cs="Times New Roman"/>
          <w:sz w:val="24"/>
          <w:szCs w:val="24"/>
        </w:rPr>
        <w:t>We removed the</w:t>
      </w:r>
      <w:r w:rsidR="00014AFD" w:rsidRPr="00C15EBB">
        <w:rPr>
          <w:rFonts w:ascii="Times New Roman" w:hAnsi="Times New Roman" w:cs="Times New Roman"/>
          <w:sz w:val="24"/>
          <w:szCs w:val="24"/>
        </w:rPr>
        <w:t xml:space="preserve"> Supporting Documents </w:t>
      </w:r>
      <w:r w:rsidR="00E245E5" w:rsidRPr="00C15EBB">
        <w:rPr>
          <w:rFonts w:ascii="Times New Roman" w:hAnsi="Times New Roman" w:cs="Times New Roman"/>
          <w:sz w:val="24"/>
          <w:szCs w:val="24"/>
        </w:rPr>
        <w:t xml:space="preserve">page </w:t>
      </w:r>
      <w:r w:rsidR="007D12E9" w:rsidRPr="00C15EBB">
        <w:rPr>
          <w:rFonts w:ascii="Times New Roman" w:hAnsi="Times New Roman" w:cs="Times New Roman"/>
          <w:sz w:val="24"/>
          <w:szCs w:val="24"/>
        </w:rPr>
        <w:t xml:space="preserve">because </w:t>
      </w:r>
      <w:r w:rsidR="00C15EBB">
        <w:rPr>
          <w:rFonts w:ascii="Times New Roman" w:hAnsi="Times New Roman" w:cs="Times New Roman"/>
          <w:sz w:val="24"/>
          <w:szCs w:val="24"/>
        </w:rPr>
        <w:t xml:space="preserve">we will not require </w:t>
      </w:r>
      <w:r w:rsidR="007D12E9" w:rsidRPr="00C15EBB">
        <w:rPr>
          <w:rFonts w:ascii="Times New Roman" w:hAnsi="Times New Roman" w:cs="Times New Roman"/>
          <w:sz w:val="24"/>
          <w:szCs w:val="24"/>
        </w:rPr>
        <w:t>respondents</w:t>
      </w:r>
      <w:r w:rsidR="00355E4D" w:rsidRPr="00C15EBB">
        <w:rPr>
          <w:rFonts w:ascii="Times New Roman" w:hAnsi="Times New Roman" w:cs="Times New Roman"/>
          <w:sz w:val="24"/>
          <w:szCs w:val="24"/>
        </w:rPr>
        <w:t xml:space="preserve"> to provide proof of </w:t>
      </w:r>
      <w:r w:rsidRPr="00C15EBB">
        <w:rPr>
          <w:rFonts w:ascii="Times New Roman" w:hAnsi="Times New Roman" w:cs="Times New Roman"/>
          <w:sz w:val="24"/>
          <w:szCs w:val="24"/>
        </w:rPr>
        <w:t xml:space="preserve">their </w:t>
      </w:r>
      <w:r w:rsidR="00355E4D" w:rsidRPr="00C15EBB">
        <w:rPr>
          <w:rFonts w:ascii="Times New Roman" w:hAnsi="Times New Roman" w:cs="Times New Roman"/>
          <w:sz w:val="24"/>
          <w:szCs w:val="24"/>
        </w:rPr>
        <w:t>professional or business liability insurance prior to taking the examination.</w:t>
      </w:r>
    </w:p>
    <w:p w:rsidR="008F6F9F" w:rsidRPr="00C15EBB" w:rsidRDefault="00355E4D" w:rsidP="00C15EBB">
      <w:pPr>
        <w:tabs>
          <w:tab w:val="left" w:pos="0"/>
        </w:tabs>
        <w:spacing w:line="240" w:lineRule="atLeast"/>
        <w:ind w:left="1440"/>
        <w:rPr>
          <w:rFonts w:ascii="Times New Roman" w:hAnsi="Times New Roman" w:cs="Times New Roman"/>
          <w:sz w:val="24"/>
          <w:szCs w:val="24"/>
        </w:rPr>
      </w:pPr>
      <w:r w:rsidRPr="00C15EBB">
        <w:rPr>
          <w:rFonts w:ascii="Times New Roman" w:hAnsi="Times New Roman" w:cs="Times New Roman"/>
          <w:sz w:val="24"/>
          <w:szCs w:val="24"/>
        </w:rPr>
        <w:t xml:space="preserve"> </w:t>
      </w:r>
    </w:p>
    <w:p w:rsidR="0089609C" w:rsidRDefault="001F206B" w:rsidP="001F206B">
      <w:pPr>
        <w:numPr>
          <w:ilvl w:val="0"/>
          <w:numId w:val="10"/>
        </w:numPr>
        <w:tabs>
          <w:tab w:val="left" w:pos="0"/>
        </w:tabs>
        <w:spacing w:line="240" w:lineRule="atLeast"/>
        <w:rPr>
          <w:rFonts w:ascii="Times New Roman" w:hAnsi="Times New Roman" w:cs="Times New Roman"/>
          <w:sz w:val="24"/>
          <w:szCs w:val="24"/>
        </w:rPr>
      </w:pPr>
      <w:r w:rsidRPr="0081750C">
        <w:rPr>
          <w:rFonts w:ascii="Times New Roman" w:hAnsi="Times New Roman" w:cs="Times New Roman"/>
          <w:sz w:val="24"/>
          <w:szCs w:val="24"/>
        </w:rPr>
        <w:t>We remove</w:t>
      </w:r>
      <w:r w:rsidR="006659C5" w:rsidRPr="0081750C">
        <w:rPr>
          <w:rFonts w:ascii="Times New Roman" w:hAnsi="Times New Roman" w:cs="Times New Roman"/>
          <w:sz w:val="24"/>
          <w:szCs w:val="24"/>
        </w:rPr>
        <w:t>d</w:t>
      </w:r>
      <w:r w:rsidRPr="0081750C">
        <w:rPr>
          <w:rFonts w:ascii="Times New Roman" w:hAnsi="Times New Roman" w:cs="Times New Roman"/>
          <w:sz w:val="24"/>
          <w:szCs w:val="24"/>
        </w:rPr>
        <w:t xml:space="preserve"> the </w:t>
      </w:r>
      <w:r w:rsidR="0016455F" w:rsidRPr="0081750C">
        <w:rPr>
          <w:rFonts w:ascii="Times New Roman" w:hAnsi="Times New Roman" w:cs="Times New Roman"/>
          <w:sz w:val="24"/>
          <w:szCs w:val="24"/>
        </w:rPr>
        <w:t>Preliminary Questions section</w:t>
      </w:r>
      <w:r w:rsidR="00283130" w:rsidRPr="0081750C">
        <w:rPr>
          <w:rFonts w:ascii="Times New Roman" w:hAnsi="Times New Roman" w:cs="Times New Roman"/>
          <w:sz w:val="24"/>
          <w:szCs w:val="24"/>
        </w:rPr>
        <w:t xml:space="preserve"> and incorporated </w:t>
      </w:r>
      <w:r w:rsidR="0081750C" w:rsidRPr="0081750C">
        <w:rPr>
          <w:rFonts w:ascii="Times New Roman" w:hAnsi="Times New Roman" w:cs="Times New Roman"/>
          <w:sz w:val="24"/>
          <w:szCs w:val="24"/>
        </w:rPr>
        <w:t xml:space="preserve">its </w:t>
      </w:r>
      <w:r w:rsidR="00283130" w:rsidRPr="0081750C">
        <w:rPr>
          <w:rFonts w:ascii="Times New Roman" w:hAnsi="Times New Roman" w:cs="Times New Roman"/>
          <w:sz w:val="24"/>
          <w:szCs w:val="24"/>
        </w:rPr>
        <w:t xml:space="preserve">questions into </w:t>
      </w:r>
      <w:r w:rsidR="0016455F" w:rsidRPr="0081750C">
        <w:rPr>
          <w:rFonts w:ascii="Times New Roman" w:hAnsi="Times New Roman" w:cs="Times New Roman"/>
          <w:sz w:val="24"/>
          <w:szCs w:val="24"/>
        </w:rPr>
        <w:t>Section A</w:t>
      </w:r>
      <w:r w:rsidR="00C15EBB">
        <w:rPr>
          <w:rFonts w:ascii="Times New Roman" w:hAnsi="Times New Roman" w:cs="Times New Roman"/>
          <w:sz w:val="24"/>
          <w:szCs w:val="24"/>
        </w:rPr>
        <w:t>,</w:t>
      </w:r>
      <w:r w:rsidR="0016455F" w:rsidRPr="0081750C">
        <w:rPr>
          <w:rFonts w:ascii="Times New Roman" w:hAnsi="Times New Roman" w:cs="Times New Roman"/>
          <w:sz w:val="24"/>
          <w:szCs w:val="24"/>
        </w:rPr>
        <w:t xml:space="preserve"> Background Inf</w:t>
      </w:r>
      <w:r w:rsidR="00283130" w:rsidRPr="0081750C">
        <w:rPr>
          <w:rFonts w:ascii="Times New Roman" w:hAnsi="Times New Roman" w:cs="Times New Roman"/>
          <w:sz w:val="24"/>
          <w:szCs w:val="24"/>
        </w:rPr>
        <w:t>ormation-Additional Information.</w:t>
      </w:r>
      <w:r w:rsidR="00C15EBB">
        <w:rPr>
          <w:rFonts w:ascii="Times New Roman" w:hAnsi="Times New Roman" w:cs="Times New Roman"/>
          <w:sz w:val="24"/>
          <w:szCs w:val="24"/>
        </w:rPr>
        <w:t xml:space="preserve"> </w:t>
      </w:r>
      <w:r w:rsidR="00283130" w:rsidRPr="0081750C">
        <w:rPr>
          <w:rFonts w:ascii="Times New Roman" w:hAnsi="Times New Roman" w:cs="Times New Roman"/>
          <w:sz w:val="24"/>
          <w:szCs w:val="24"/>
        </w:rPr>
        <w:t xml:space="preserve"> </w:t>
      </w:r>
      <w:r w:rsidR="00C15EBB">
        <w:rPr>
          <w:rFonts w:ascii="Times New Roman" w:hAnsi="Times New Roman" w:cs="Times New Roman"/>
          <w:sz w:val="24"/>
          <w:szCs w:val="24"/>
        </w:rPr>
        <w:t>We incorporated p</w:t>
      </w:r>
      <w:r w:rsidR="0081750C" w:rsidRPr="0081750C">
        <w:rPr>
          <w:rFonts w:ascii="Times New Roman" w:hAnsi="Times New Roman" w:cs="Times New Roman"/>
          <w:sz w:val="24"/>
          <w:szCs w:val="24"/>
        </w:rPr>
        <w:t>reliminary q</w:t>
      </w:r>
      <w:r w:rsidR="00283130" w:rsidRPr="0081750C">
        <w:rPr>
          <w:rFonts w:ascii="Times New Roman" w:hAnsi="Times New Roman" w:cs="Times New Roman"/>
          <w:sz w:val="24"/>
          <w:szCs w:val="24"/>
        </w:rPr>
        <w:t>u</w:t>
      </w:r>
      <w:r w:rsidR="0081750C" w:rsidRPr="0081750C">
        <w:rPr>
          <w:rFonts w:ascii="Times New Roman" w:hAnsi="Times New Roman" w:cs="Times New Roman"/>
          <w:sz w:val="24"/>
          <w:szCs w:val="24"/>
        </w:rPr>
        <w:t xml:space="preserve">estions 1, 2a, 2b, 4, 5, and 6 into Section A as questions 1, 2a, 2b, 8, 4, and 7 respectively. </w:t>
      </w:r>
      <w:r w:rsidR="00C15EBB">
        <w:rPr>
          <w:rFonts w:ascii="Times New Roman" w:hAnsi="Times New Roman" w:cs="Times New Roman"/>
          <w:sz w:val="24"/>
          <w:szCs w:val="24"/>
        </w:rPr>
        <w:t xml:space="preserve"> </w:t>
      </w:r>
      <w:r w:rsidR="00064096">
        <w:rPr>
          <w:rFonts w:ascii="Times New Roman" w:hAnsi="Times New Roman" w:cs="Times New Roman"/>
          <w:sz w:val="24"/>
          <w:szCs w:val="24"/>
        </w:rPr>
        <w:t>I</w:t>
      </w:r>
      <w:r w:rsidR="008C7AD9">
        <w:rPr>
          <w:rFonts w:ascii="Times New Roman" w:hAnsi="Times New Roman" w:cs="Times New Roman"/>
          <w:sz w:val="24"/>
          <w:szCs w:val="24"/>
        </w:rPr>
        <w:t xml:space="preserve">f </w:t>
      </w:r>
      <w:r w:rsidR="00064096">
        <w:rPr>
          <w:rFonts w:ascii="Times New Roman" w:hAnsi="Times New Roman" w:cs="Times New Roman"/>
          <w:sz w:val="24"/>
          <w:szCs w:val="24"/>
        </w:rPr>
        <w:t>a</w:t>
      </w:r>
      <w:r w:rsidR="008C7AD9">
        <w:rPr>
          <w:rFonts w:ascii="Times New Roman" w:hAnsi="Times New Roman" w:cs="Times New Roman"/>
          <w:sz w:val="24"/>
          <w:szCs w:val="24"/>
        </w:rPr>
        <w:t xml:space="preserve"> preliminary question</w:t>
      </w:r>
      <w:r w:rsidR="00064096">
        <w:rPr>
          <w:rFonts w:ascii="Times New Roman" w:hAnsi="Times New Roman" w:cs="Times New Roman"/>
          <w:sz w:val="24"/>
          <w:szCs w:val="24"/>
        </w:rPr>
        <w:t xml:space="preserve"> </w:t>
      </w:r>
      <w:r w:rsidR="008C7AD9">
        <w:rPr>
          <w:rFonts w:ascii="Times New Roman" w:hAnsi="Times New Roman" w:cs="Times New Roman"/>
          <w:sz w:val="24"/>
          <w:szCs w:val="24"/>
        </w:rPr>
        <w:t xml:space="preserve">and </w:t>
      </w:r>
      <w:r w:rsidR="00064096">
        <w:rPr>
          <w:rFonts w:ascii="Times New Roman" w:hAnsi="Times New Roman" w:cs="Times New Roman"/>
          <w:sz w:val="24"/>
          <w:szCs w:val="24"/>
        </w:rPr>
        <w:t>a Section A were</w:t>
      </w:r>
      <w:r w:rsidR="008C7AD9">
        <w:rPr>
          <w:rFonts w:ascii="Times New Roman" w:hAnsi="Times New Roman" w:cs="Times New Roman"/>
          <w:sz w:val="24"/>
          <w:szCs w:val="24"/>
        </w:rPr>
        <w:t xml:space="preserve"> the same, </w:t>
      </w:r>
      <w:r w:rsidR="00C15EBB">
        <w:rPr>
          <w:rFonts w:ascii="Times New Roman" w:hAnsi="Times New Roman" w:cs="Times New Roman"/>
          <w:sz w:val="24"/>
          <w:szCs w:val="24"/>
        </w:rPr>
        <w:t xml:space="preserve">we </w:t>
      </w:r>
      <w:r w:rsidR="008C7AD9">
        <w:rPr>
          <w:rFonts w:ascii="Times New Roman" w:hAnsi="Times New Roman" w:cs="Times New Roman"/>
          <w:sz w:val="24"/>
          <w:szCs w:val="24"/>
        </w:rPr>
        <w:t>only</w:t>
      </w:r>
      <w:r w:rsidR="00C15EBB">
        <w:rPr>
          <w:rFonts w:ascii="Times New Roman" w:hAnsi="Times New Roman" w:cs="Times New Roman"/>
          <w:sz w:val="24"/>
          <w:szCs w:val="24"/>
        </w:rPr>
        <w:t xml:space="preserve"> kept one of the questions </w:t>
      </w:r>
      <w:r w:rsidR="00477F90">
        <w:rPr>
          <w:rFonts w:ascii="Times New Roman" w:hAnsi="Times New Roman" w:cs="Times New Roman"/>
          <w:sz w:val="24"/>
          <w:szCs w:val="24"/>
        </w:rPr>
        <w:t>as indicated in the following table.</w:t>
      </w:r>
    </w:p>
    <w:p w:rsidR="00477F90" w:rsidRDefault="00477F90" w:rsidP="00477F90">
      <w:pPr>
        <w:tabs>
          <w:tab w:val="left" w:pos="0"/>
        </w:tabs>
        <w:spacing w:line="240" w:lineRule="atLeast"/>
        <w:ind w:left="720"/>
        <w:rPr>
          <w:rFonts w:ascii="Times New Roman" w:hAnsi="Times New Roman" w:cs="Times New Roman"/>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160"/>
        <w:gridCol w:w="2430"/>
      </w:tblGrid>
      <w:tr w:rsidR="0089609C" w:rsidRPr="0089609C" w:rsidTr="00477F90">
        <w:trPr>
          <w:trHeight w:val="782"/>
        </w:trPr>
        <w:tc>
          <w:tcPr>
            <w:tcW w:w="1548" w:type="dxa"/>
          </w:tcPr>
          <w:p w:rsidR="0089609C" w:rsidRPr="0089609C" w:rsidRDefault="0089609C" w:rsidP="0089609C">
            <w:pPr>
              <w:tabs>
                <w:tab w:val="left" w:pos="0"/>
              </w:tabs>
              <w:spacing w:line="240" w:lineRule="atLeast"/>
              <w:rPr>
                <w:rFonts w:ascii="Times New Roman" w:hAnsi="Times New Roman" w:cs="Times New Roman"/>
                <w:sz w:val="24"/>
                <w:szCs w:val="24"/>
              </w:rPr>
            </w:pPr>
            <w:r w:rsidRPr="0089609C">
              <w:rPr>
                <w:rFonts w:ascii="Times New Roman" w:hAnsi="Times New Roman" w:cs="Times New Roman"/>
                <w:sz w:val="24"/>
                <w:szCs w:val="24"/>
              </w:rPr>
              <w:t xml:space="preserve">Preliminary </w:t>
            </w:r>
            <w:r w:rsidR="00EE5131">
              <w:rPr>
                <w:rFonts w:ascii="Times New Roman" w:hAnsi="Times New Roman" w:cs="Times New Roman"/>
                <w:sz w:val="24"/>
                <w:szCs w:val="24"/>
              </w:rPr>
              <w:t>Questions</w:t>
            </w:r>
            <w:r w:rsidR="00477F90">
              <w:rPr>
                <w:rFonts w:ascii="Times New Roman" w:hAnsi="Times New Roman" w:cs="Times New Roman"/>
                <w:sz w:val="24"/>
                <w:szCs w:val="24"/>
              </w:rPr>
              <w:t xml:space="preserve"> </w:t>
            </w:r>
            <w:r w:rsidR="00EE5131">
              <w:rPr>
                <w:rFonts w:ascii="Times New Roman" w:hAnsi="Times New Roman" w:cs="Times New Roman"/>
                <w:sz w:val="24"/>
                <w:szCs w:val="24"/>
              </w:rPr>
              <w:t xml:space="preserve"> </w:t>
            </w:r>
          </w:p>
        </w:tc>
        <w:tc>
          <w:tcPr>
            <w:tcW w:w="2160" w:type="dxa"/>
          </w:tcPr>
          <w:p w:rsidR="0089609C" w:rsidRPr="0089609C" w:rsidRDefault="00EE5131"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Section A Question</w:t>
            </w:r>
          </w:p>
        </w:tc>
        <w:tc>
          <w:tcPr>
            <w:tcW w:w="2430" w:type="dxa"/>
          </w:tcPr>
          <w:p w:rsidR="0089609C" w:rsidRPr="0089609C"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Revised Collection Instrument Section A Questions</w:t>
            </w:r>
          </w:p>
        </w:tc>
      </w:tr>
      <w:tr w:rsidR="0089609C" w:rsidRPr="0089609C" w:rsidTr="00477F90">
        <w:tc>
          <w:tcPr>
            <w:tcW w:w="1548" w:type="dxa"/>
          </w:tcPr>
          <w:p w:rsidR="0089609C" w:rsidRPr="0089609C"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89609C" w:rsidRPr="0089609C"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1</w:t>
            </w:r>
          </w:p>
        </w:tc>
        <w:tc>
          <w:tcPr>
            <w:tcW w:w="2430" w:type="dxa"/>
          </w:tcPr>
          <w:p w:rsidR="0089609C" w:rsidRPr="0089609C"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1</w:t>
            </w:r>
          </w:p>
        </w:tc>
      </w:tr>
      <w:tr w:rsidR="00477F90" w:rsidRPr="0089609C" w:rsidTr="00477F90">
        <w:tc>
          <w:tcPr>
            <w:tcW w:w="1548" w:type="dxa"/>
          </w:tcPr>
          <w:p w:rsidR="00477F90"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5</w:t>
            </w:r>
          </w:p>
        </w:tc>
        <w:tc>
          <w:tcPr>
            <w:tcW w:w="2160" w:type="dxa"/>
          </w:tcPr>
          <w:p w:rsidR="00477F90"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3</w:t>
            </w:r>
          </w:p>
        </w:tc>
        <w:tc>
          <w:tcPr>
            <w:tcW w:w="2430" w:type="dxa"/>
          </w:tcPr>
          <w:p w:rsidR="00477F90" w:rsidRDefault="00477F90" w:rsidP="0089609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4</w:t>
            </w:r>
          </w:p>
        </w:tc>
      </w:tr>
    </w:tbl>
    <w:p w:rsidR="0089609C" w:rsidRDefault="0089609C" w:rsidP="0089609C">
      <w:pPr>
        <w:tabs>
          <w:tab w:val="left" w:pos="0"/>
        </w:tabs>
        <w:spacing w:line="240" w:lineRule="atLeast"/>
        <w:ind w:left="720"/>
        <w:rPr>
          <w:rFonts w:ascii="Times New Roman" w:hAnsi="Times New Roman" w:cs="Times New Roman"/>
          <w:sz w:val="24"/>
          <w:szCs w:val="24"/>
        </w:rPr>
      </w:pPr>
    </w:p>
    <w:p w:rsidR="0047272E" w:rsidRDefault="005B5CD4" w:rsidP="008C7AD9">
      <w:pPr>
        <w:tabs>
          <w:tab w:val="left" w:pos="0"/>
        </w:tabs>
        <w:spacing w:line="240" w:lineRule="atLeast"/>
        <w:ind w:left="720"/>
        <w:rPr>
          <w:rFonts w:ascii="Times New Roman" w:hAnsi="Times New Roman" w:cs="Times New Roman"/>
          <w:sz w:val="24"/>
          <w:szCs w:val="24"/>
        </w:rPr>
      </w:pPr>
      <w:r w:rsidRPr="008C7AD9">
        <w:rPr>
          <w:rFonts w:ascii="Times New Roman" w:hAnsi="Times New Roman" w:cs="Times New Roman"/>
          <w:sz w:val="24"/>
          <w:szCs w:val="24"/>
        </w:rPr>
        <w:t xml:space="preserve">Question 3 </w:t>
      </w:r>
      <w:r w:rsidR="00717C4A" w:rsidRPr="008C7AD9">
        <w:rPr>
          <w:rFonts w:ascii="Times New Roman" w:hAnsi="Times New Roman" w:cs="Times New Roman"/>
          <w:sz w:val="24"/>
          <w:szCs w:val="24"/>
        </w:rPr>
        <w:t xml:space="preserve">from the </w:t>
      </w:r>
      <w:r w:rsidR="008E2004" w:rsidRPr="008C7AD9">
        <w:rPr>
          <w:rFonts w:ascii="Times New Roman" w:hAnsi="Times New Roman" w:cs="Times New Roman"/>
          <w:sz w:val="24"/>
          <w:szCs w:val="24"/>
        </w:rPr>
        <w:t>P</w:t>
      </w:r>
      <w:r w:rsidR="00717C4A" w:rsidRPr="008C7AD9">
        <w:rPr>
          <w:rFonts w:ascii="Times New Roman" w:hAnsi="Times New Roman" w:cs="Times New Roman"/>
          <w:sz w:val="24"/>
          <w:szCs w:val="24"/>
        </w:rPr>
        <w:t>relimi</w:t>
      </w:r>
      <w:r w:rsidR="008E2004" w:rsidRPr="008C7AD9">
        <w:rPr>
          <w:rFonts w:ascii="Times New Roman" w:hAnsi="Times New Roman" w:cs="Times New Roman"/>
          <w:sz w:val="24"/>
          <w:szCs w:val="24"/>
        </w:rPr>
        <w:t>nary</w:t>
      </w:r>
      <w:r w:rsidR="001F206B" w:rsidRPr="008C7AD9">
        <w:rPr>
          <w:rFonts w:ascii="Times New Roman" w:hAnsi="Times New Roman" w:cs="Times New Roman"/>
          <w:sz w:val="24"/>
          <w:szCs w:val="24"/>
        </w:rPr>
        <w:t xml:space="preserve"> </w:t>
      </w:r>
      <w:r w:rsidR="008E2004" w:rsidRPr="008C7AD9">
        <w:rPr>
          <w:rFonts w:ascii="Times New Roman" w:hAnsi="Times New Roman" w:cs="Times New Roman"/>
          <w:sz w:val="24"/>
          <w:szCs w:val="24"/>
        </w:rPr>
        <w:t xml:space="preserve">Questions </w:t>
      </w:r>
      <w:r w:rsidR="00F97B2D" w:rsidRPr="008C7AD9">
        <w:rPr>
          <w:rFonts w:ascii="Times New Roman" w:hAnsi="Times New Roman" w:cs="Times New Roman"/>
          <w:sz w:val="24"/>
          <w:szCs w:val="24"/>
        </w:rPr>
        <w:t xml:space="preserve">section </w:t>
      </w:r>
      <w:r w:rsidR="008E2004" w:rsidRPr="008C7AD9">
        <w:rPr>
          <w:rFonts w:ascii="Times New Roman" w:hAnsi="Times New Roman" w:cs="Times New Roman"/>
          <w:sz w:val="24"/>
          <w:szCs w:val="24"/>
        </w:rPr>
        <w:t xml:space="preserve">and </w:t>
      </w:r>
      <w:r w:rsidR="00F97B2D" w:rsidRPr="008C7AD9">
        <w:rPr>
          <w:rFonts w:ascii="Times New Roman" w:hAnsi="Times New Roman" w:cs="Times New Roman"/>
          <w:sz w:val="24"/>
          <w:szCs w:val="24"/>
        </w:rPr>
        <w:t xml:space="preserve">question </w:t>
      </w:r>
      <w:r w:rsidR="008E2004" w:rsidRPr="008C7AD9">
        <w:rPr>
          <w:rFonts w:ascii="Times New Roman" w:hAnsi="Times New Roman" w:cs="Times New Roman"/>
          <w:sz w:val="24"/>
          <w:szCs w:val="24"/>
        </w:rPr>
        <w:t>7 in Section A were the same question and asked respondents if they could pass an SSA records check</w:t>
      </w:r>
      <w:r w:rsidR="00C15EBB">
        <w:rPr>
          <w:rFonts w:ascii="Times New Roman" w:hAnsi="Times New Roman" w:cs="Times New Roman"/>
          <w:sz w:val="24"/>
          <w:szCs w:val="24"/>
        </w:rPr>
        <w:t>.  We did not incorporate t</w:t>
      </w:r>
      <w:r w:rsidR="008E2004" w:rsidRPr="008C7AD9">
        <w:rPr>
          <w:rFonts w:ascii="Times New Roman" w:hAnsi="Times New Roman" w:cs="Times New Roman"/>
          <w:sz w:val="24"/>
          <w:szCs w:val="24"/>
        </w:rPr>
        <w:t>his question</w:t>
      </w:r>
      <w:r w:rsidR="0047272E">
        <w:rPr>
          <w:rFonts w:ascii="Times New Roman" w:hAnsi="Times New Roman" w:cs="Times New Roman"/>
          <w:sz w:val="24"/>
          <w:szCs w:val="24"/>
        </w:rPr>
        <w:t xml:space="preserve"> into </w:t>
      </w:r>
      <w:r w:rsidR="002238CF">
        <w:rPr>
          <w:rFonts w:ascii="Times New Roman" w:hAnsi="Times New Roman" w:cs="Times New Roman"/>
          <w:sz w:val="24"/>
          <w:szCs w:val="24"/>
        </w:rPr>
        <w:t xml:space="preserve">this </w:t>
      </w:r>
      <w:r w:rsidR="008C7AD9" w:rsidRPr="008C7AD9">
        <w:rPr>
          <w:rFonts w:ascii="Times New Roman" w:hAnsi="Times New Roman" w:cs="Times New Roman"/>
          <w:sz w:val="24"/>
          <w:szCs w:val="24"/>
        </w:rPr>
        <w:t>s</w:t>
      </w:r>
      <w:r w:rsidR="008E2004" w:rsidRPr="008C7AD9">
        <w:rPr>
          <w:rFonts w:ascii="Times New Roman" w:hAnsi="Times New Roman" w:cs="Times New Roman"/>
          <w:sz w:val="24"/>
          <w:szCs w:val="24"/>
        </w:rPr>
        <w:t xml:space="preserve">ection because </w:t>
      </w:r>
      <w:r w:rsidR="00F97B2D" w:rsidRPr="008C7AD9">
        <w:rPr>
          <w:rFonts w:ascii="Times New Roman" w:hAnsi="Times New Roman" w:cs="Times New Roman"/>
          <w:sz w:val="24"/>
          <w:szCs w:val="24"/>
        </w:rPr>
        <w:t xml:space="preserve">we will conduct a </w:t>
      </w:r>
      <w:r w:rsidR="0052721F" w:rsidRPr="008C7AD9">
        <w:rPr>
          <w:rFonts w:ascii="Times New Roman" w:hAnsi="Times New Roman" w:cs="Times New Roman"/>
          <w:sz w:val="24"/>
          <w:szCs w:val="24"/>
        </w:rPr>
        <w:t xml:space="preserve">records </w:t>
      </w:r>
      <w:r w:rsidR="008E2004" w:rsidRPr="008C7AD9">
        <w:rPr>
          <w:rFonts w:ascii="Times New Roman" w:hAnsi="Times New Roman" w:cs="Times New Roman"/>
          <w:sz w:val="24"/>
          <w:szCs w:val="24"/>
        </w:rPr>
        <w:t>check on all respondents who submit a complete</w:t>
      </w:r>
      <w:r w:rsidR="0052721F" w:rsidRPr="008C7AD9">
        <w:rPr>
          <w:rFonts w:ascii="Times New Roman" w:hAnsi="Times New Roman" w:cs="Times New Roman"/>
          <w:sz w:val="24"/>
          <w:szCs w:val="24"/>
        </w:rPr>
        <w:t>d</w:t>
      </w:r>
      <w:r w:rsidR="008E2004" w:rsidRPr="008C7AD9">
        <w:rPr>
          <w:rFonts w:ascii="Times New Roman" w:hAnsi="Times New Roman" w:cs="Times New Roman"/>
          <w:sz w:val="24"/>
          <w:szCs w:val="24"/>
        </w:rPr>
        <w:t xml:space="preserve"> application regardless of whether they check yes or no. </w:t>
      </w:r>
      <w:r w:rsidR="00C15EBB">
        <w:rPr>
          <w:rFonts w:ascii="Times New Roman" w:hAnsi="Times New Roman" w:cs="Times New Roman"/>
          <w:sz w:val="24"/>
          <w:szCs w:val="24"/>
        </w:rPr>
        <w:t xml:space="preserve"> </w:t>
      </w:r>
      <w:r w:rsidR="008E2004" w:rsidRPr="008C7AD9">
        <w:rPr>
          <w:rFonts w:ascii="Times New Roman" w:hAnsi="Times New Roman" w:cs="Times New Roman"/>
          <w:sz w:val="24"/>
          <w:szCs w:val="24"/>
        </w:rPr>
        <w:t>In addition</w:t>
      </w:r>
      <w:r w:rsidR="00E53126" w:rsidRPr="008C7AD9">
        <w:rPr>
          <w:rFonts w:ascii="Times New Roman" w:hAnsi="Times New Roman" w:cs="Times New Roman"/>
          <w:sz w:val="24"/>
          <w:szCs w:val="24"/>
        </w:rPr>
        <w:t>,</w:t>
      </w:r>
      <w:r w:rsidR="00CF1811" w:rsidRPr="008C7AD9">
        <w:rPr>
          <w:rFonts w:ascii="Times New Roman" w:hAnsi="Times New Roman" w:cs="Times New Roman"/>
          <w:sz w:val="24"/>
          <w:szCs w:val="24"/>
        </w:rPr>
        <w:t xml:space="preserve"> </w:t>
      </w:r>
      <w:r w:rsidR="00C15EBB">
        <w:rPr>
          <w:rFonts w:ascii="Times New Roman" w:hAnsi="Times New Roman" w:cs="Times New Roman"/>
          <w:sz w:val="24"/>
          <w:szCs w:val="24"/>
        </w:rPr>
        <w:t xml:space="preserve">we will not take </w:t>
      </w:r>
      <w:r w:rsidR="0081750C" w:rsidRPr="008C7AD9">
        <w:rPr>
          <w:rFonts w:ascii="Times New Roman" w:hAnsi="Times New Roman" w:cs="Times New Roman"/>
          <w:sz w:val="24"/>
          <w:szCs w:val="24"/>
        </w:rPr>
        <w:t xml:space="preserve">adverse action, such as suspension or disqualification, </w:t>
      </w:r>
      <w:r w:rsidR="0052721F" w:rsidRPr="008C7AD9">
        <w:rPr>
          <w:rFonts w:ascii="Times New Roman" w:hAnsi="Times New Roman" w:cs="Times New Roman"/>
          <w:sz w:val="24"/>
          <w:szCs w:val="24"/>
        </w:rPr>
        <w:t>against respondents if their</w:t>
      </w:r>
      <w:r w:rsidR="00535A62" w:rsidRPr="008C7AD9">
        <w:rPr>
          <w:rFonts w:ascii="Times New Roman" w:hAnsi="Times New Roman" w:cs="Times New Roman"/>
          <w:sz w:val="24"/>
          <w:szCs w:val="24"/>
        </w:rPr>
        <w:t xml:space="preserve"> </w:t>
      </w:r>
      <w:r w:rsidR="00C15EBB">
        <w:rPr>
          <w:rFonts w:ascii="Times New Roman" w:hAnsi="Times New Roman" w:cs="Times New Roman"/>
          <w:sz w:val="24"/>
          <w:szCs w:val="24"/>
        </w:rPr>
        <w:t>answer does</w:t>
      </w:r>
      <w:r w:rsidR="0052721F" w:rsidRPr="008C7AD9">
        <w:rPr>
          <w:rFonts w:ascii="Times New Roman" w:hAnsi="Times New Roman" w:cs="Times New Roman"/>
          <w:sz w:val="24"/>
          <w:szCs w:val="24"/>
        </w:rPr>
        <w:t xml:space="preserve"> not agree with the results of the </w:t>
      </w:r>
      <w:r w:rsidR="00CF1811" w:rsidRPr="008C7AD9">
        <w:rPr>
          <w:rFonts w:ascii="Times New Roman" w:hAnsi="Times New Roman" w:cs="Times New Roman"/>
          <w:sz w:val="24"/>
          <w:szCs w:val="24"/>
        </w:rPr>
        <w:t xml:space="preserve">records </w:t>
      </w:r>
      <w:r w:rsidR="0052721F" w:rsidRPr="008C7AD9">
        <w:rPr>
          <w:rFonts w:ascii="Times New Roman" w:hAnsi="Times New Roman" w:cs="Times New Roman"/>
          <w:sz w:val="24"/>
          <w:szCs w:val="24"/>
        </w:rPr>
        <w:t xml:space="preserve">check.   </w:t>
      </w:r>
    </w:p>
    <w:p w:rsidR="00BF4A3E" w:rsidRPr="008C7AD9" w:rsidRDefault="008E2004" w:rsidP="008C7AD9">
      <w:pPr>
        <w:tabs>
          <w:tab w:val="left" w:pos="0"/>
        </w:tabs>
        <w:spacing w:line="240" w:lineRule="atLeast"/>
        <w:ind w:left="720"/>
        <w:rPr>
          <w:rFonts w:ascii="Times New Roman" w:hAnsi="Times New Roman" w:cs="Times New Roman"/>
          <w:sz w:val="24"/>
          <w:szCs w:val="24"/>
        </w:rPr>
      </w:pPr>
      <w:r w:rsidRPr="008C7AD9">
        <w:rPr>
          <w:rFonts w:ascii="Times New Roman" w:hAnsi="Times New Roman" w:cs="Times New Roman"/>
          <w:sz w:val="24"/>
          <w:szCs w:val="24"/>
        </w:rPr>
        <w:t xml:space="preserve">  </w:t>
      </w:r>
    </w:p>
    <w:p w:rsidR="00CF1811" w:rsidRDefault="00D51B1D" w:rsidP="00535A62">
      <w:pPr>
        <w:numPr>
          <w:ilvl w:val="0"/>
          <w:numId w:val="10"/>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The Paperw</w:t>
      </w:r>
      <w:r w:rsidR="00CF1811">
        <w:rPr>
          <w:rFonts w:ascii="Times New Roman" w:hAnsi="Times New Roman" w:cs="Times New Roman"/>
          <w:sz w:val="24"/>
          <w:szCs w:val="24"/>
        </w:rPr>
        <w:t xml:space="preserve">ork </w:t>
      </w:r>
      <w:r>
        <w:rPr>
          <w:rFonts w:ascii="Times New Roman" w:hAnsi="Times New Roman" w:cs="Times New Roman"/>
          <w:sz w:val="24"/>
          <w:szCs w:val="24"/>
        </w:rPr>
        <w:t xml:space="preserve">Reduction </w:t>
      </w:r>
      <w:r w:rsidR="00CF1811">
        <w:rPr>
          <w:rFonts w:ascii="Times New Roman" w:hAnsi="Times New Roman" w:cs="Times New Roman"/>
          <w:sz w:val="24"/>
          <w:szCs w:val="24"/>
        </w:rPr>
        <w:t xml:space="preserve">Act Statement, Substantial Misrepresentation or Material Discrepancy Statement, Application Fee Statement, Statement of Understanding, and Penalty of Perjury Statement were </w:t>
      </w:r>
      <w:r>
        <w:rPr>
          <w:rFonts w:ascii="Times New Roman" w:hAnsi="Times New Roman" w:cs="Times New Roman"/>
          <w:sz w:val="24"/>
          <w:szCs w:val="24"/>
        </w:rPr>
        <w:t>stand-alone</w:t>
      </w:r>
      <w:r w:rsidR="00CF1811">
        <w:rPr>
          <w:rFonts w:ascii="Times New Roman" w:hAnsi="Times New Roman" w:cs="Times New Roman"/>
          <w:sz w:val="24"/>
          <w:szCs w:val="24"/>
        </w:rPr>
        <w:t xml:space="preserve"> statement</w:t>
      </w:r>
      <w:r>
        <w:rPr>
          <w:rFonts w:ascii="Times New Roman" w:hAnsi="Times New Roman" w:cs="Times New Roman"/>
          <w:sz w:val="24"/>
          <w:szCs w:val="24"/>
        </w:rPr>
        <w:t>s</w:t>
      </w:r>
      <w:r w:rsidR="00CF1811">
        <w:rPr>
          <w:rFonts w:ascii="Times New Roman" w:hAnsi="Times New Roman" w:cs="Times New Roman"/>
          <w:sz w:val="24"/>
          <w:szCs w:val="24"/>
        </w:rPr>
        <w:t xml:space="preserve"> that are now on one page.  </w:t>
      </w:r>
    </w:p>
    <w:p w:rsidR="0047272E" w:rsidRDefault="0047272E" w:rsidP="0047272E">
      <w:pPr>
        <w:tabs>
          <w:tab w:val="left" w:pos="0"/>
        </w:tabs>
        <w:spacing w:line="240" w:lineRule="atLeast"/>
        <w:ind w:left="720"/>
        <w:rPr>
          <w:rFonts w:ascii="Times New Roman" w:hAnsi="Times New Roman" w:cs="Times New Roman"/>
          <w:sz w:val="24"/>
          <w:szCs w:val="24"/>
        </w:rPr>
      </w:pPr>
    </w:p>
    <w:p w:rsidR="00BF5F1E" w:rsidRPr="00BF5F1E" w:rsidRDefault="00D51B1D" w:rsidP="00BF5F1E">
      <w:pPr>
        <w:numPr>
          <w:ilvl w:val="0"/>
          <w:numId w:val="10"/>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SSA’s Office of General Counsel</w:t>
      </w:r>
      <w:r w:rsidR="00B77E27">
        <w:rPr>
          <w:rFonts w:ascii="Times New Roman" w:hAnsi="Times New Roman" w:cs="Times New Roman"/>
          <w:sz w:val="24"/>
          <w:szCs w:val="24"/>
        </w:rPr>
        <w:t xml:space="preserve"> (OGC)</w:t>
      </w:r>
      <w:r>
        <w:rPr>
          <w:rFonts w:ascii="Times New Roman" w:hAnsi="Times New Roman" w:cs="Times New Roman"/>
          <w:sz w:val="24"/>
          <w:szCs w:val="24"/>
        </w:rPr>
        <w:t xml:space="preserve"> revised the Privacy Act Statement for this collection instrument</w:t>
      </w:r>
      <w:r w:rsidR="00A14552">
        <w:rPr>
          <w:rFonts w:ascii="Times New Roman" w:hAnsi="Times New Roman" w:cs="Times New Roman"/>
          <w:sz w:val="24"/>
          <w:szCs w:val="24"/>
        </w:rPr>
        <w:t xml:space="preserve">.  </w:t>
      </w:r>
      <w:r w:rsidR="0047272E">
        <w:rPr>
          <w:rFonts w:ascii="Times New Roman" w:hAnsi="Times New Roman" w:cs="Times New Roman"/>
          <w:sz w:val="24"/>
          <w:szCs w:val="24"/>
        </w:rPr>
        <w:t>We</w:t>
      </w:r>
      <w:r w:rsidR="002A5808">
        <w:rPr>
          <w:rFonts w:ascii="Times New Roman" w:hAnsi="Times New Roman" w:cs="Times New Roman"/>
          <w:sz w:val="24"/>
          <w:szCs w:val="24"/>
        </w:rPr>
        <w:t xml:space="preserve"> included </w:t>
      </w:r>
      <w:r w:rsidR="0047272E">
        <w:rPr>
          <w:rFonts w:ascii="Times New Roman" w:hAnsi="Times New Roman" w:cs="Times New Roman"/>
          <w:sz w:val="24"/>
          <w:szCs w:val="24"/>
        </w:rPr>
        <w:t>the</w:t>
      </w:r>
      <w:r w:rsidR="002A5808">
        <w:rPr>
          <w:rFonts w:ascii="Times New Roman" w:hAnsi="Times New Roman" w:cs="Times New Roman"/>
          <w:sz w:val="24"/>
          <w:szCs w:val="24"/>
        </w:rPr>
        <w:t xml:space="preserve"> revised </w:t>
      </w:r>
      <w:r>
        <w:rPr>
          <w:rFonts w:ascii="Times New Roman" w:hAnsi="Times New Roman" w:cs="Times New Roman"/>
          <w:sz w:val="24"/>
          <w:szCs w:val="24"/>
        </w:rPr>
        <w:t xml:space="preserve">Privacy Act Statement </w:t>
      </w:r>
      <w:r w:rsidR="002A5808">
        <w:rPr>
          <w:rFonts w:ascii="Times New Roman" w:hAnsi="Times New Roman" w:cs="Times New Roman"/>
          <w:sz w:val="24"/>
          <w:szCs w:val="24"/>
        </w:rPr>
        <w:t>in</w:t>
      </w:r>
      <w:r w:rsidR="0047272E">
        <w:rPr>
          <w:rFonts w:ascii="Times New Roman" w:hAnsi="Times New Roman" w:cs="Times New Roman"/>
          <w:sz w:val="24"/>
          <w:szCs w:val="24"/>
        </w:rPr>
        <w:t xml:space="preserve"> the</w:t>
      </w:r>
      <w:r w:rsidR="002A5808">
        <w:rPr>
          <w:rFonts w:ascii="Times New Roman" w:hAnsi="Times New Roman" w:cs="Times New Roman"/>
          <w:sz w:val="24"/>
          <w:szCs w:val="24"/>
        </w:rPr>
        <w:t xml:space="preserve"> </w:t>
      </w:r>
      <w:r>
        <w:rPr>
          <w:rFonts w:ascii="Times New Roman" w:hAnsi="Times New Roman" w:cs="Times New Roman"/>
          <w:sz w:val="24"/>
          <w:szCs w:val="24"/>
        </w:rPr>
        <w:t>collection instrument</w:t>
      </w:r>
      <w:r w:rsidR="002A5808">
        <w:rPr>
          <w:rFonts w:ascii="Times New Roman" w:hAnsi="Times New Roman" w:cs="Times New Roman"/>
          <w:sz w:val="24"/>
          <w:szCs w:val="24"/>
        </w:rPr>
        <w:t>.</w:t>
      </w:r>
      <w:r>
        <w:rPr>
          <w:rFonts w:ascii="Times New Roman" w:hAnsi="Times New Roman" w:cs="Times New Roman"/>
          <w:sz w:val="24"/>
          <w:szCs w:val="24"/>
        </w:rPr>
        <w:t xml:space="preserve">   </w:t>
      </w:r>
    </w:p>
    <w:p w:rsidR="00BF5F1E" w:rsidRDefault="00BF5F1E" w:rsidP="00BF5F1E">
      <w:pPr>
        <w:tabs>
          <w:tab w:val="left" w:pos="0"/>
        </w:tabs>
        <w:spacing w:line="240" w:lineRule="atLeast"/>
        <w:ind w:left="720"/>
        <w:rPr>
          <w:rFonts w:ascii="Times New Roman" w:hAnsi="Times New Roman" w:cs="Times New Roman"/>
          <w:sz w:val="24"/>
          <w:szCs w:val="24"/>
        </w:rPr>
      </w:pPr>
    </w:p>
    <w:p w:rsidR="00D51B1D" w:rsidRDefault="00B77E27" w:rsidP="00BF4A3E">
      <w:pPr>
        <w:numPr>
          <w:ilvl w:val="0"/>
          <w:numId w:val="10"/>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We removed the </w:t>
      </w:r>
      <w:r w:rsidRPr="009F293F">
        <w:rPr>
          <w:rFonts w:ascii="Times New Roman" w:hAnsi="Times New Roman" w:cs="Times New Roman"/>
          <w:sz w:val="24"/>
          <w:szCs w:val="24"/>
        </w:rPr>
        <w:t xml:space="preserve">U.S. Residency Status from Section A Background Information – Applicant’s Identifying Information because it was redundant of the Citizenship status question in that section.   </w:t>
      </w:r>
    </w:p>
    <w:p w:rsidR="0047272E" w:rsidRPr="009F293F" w:rsidRDefault="0047272E" w:rsidP="0047272E">
      <w:pPr>
        <w:tabs>
          <w:tab w:val="left" w:pos="0"/>
        </w:tabs>
        <w:spacing w:line="240" w:lineRule="atLeast"/>
        <w:ind w:left="720"/>
        <w:rPr>
          <w:rFonts w:ascii="Times New Roman" w:hAnsi="Times New Roman" w:cs="Times New Roman"/>
          <w:sz w:val="24"/>
          <w:szCs w:val="24"/>
        </w:rPr>
      </w:pPr>
    </w:p>
    <w:p w:rsidR="00ED3507" w:rsidRDefault="00ED3507" w:rsidP="009F293F">
      <w:pPr>
        <w:numPr>
          <w:ilvl w:val="0"/>
          <w:numId w:val="10"/>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Accusour</w:t>
      </w:r>
      <w:r w:rsidR="006659C5">
        <w:rPr>
          <w:rFonts w:ascii="Times New Roman" w:hAnsi="Times New Roman" w:cs="Times New Roman"/>
          <w:sz w:val="24"/>
          <w:szCs w:val="24"/>
        </w:rPr>
        <w:t>c</w:t>
      </w:r>
      <w:r>
        <w:rPr>
          <w:rFonts w:ascii="Times New Roman" w:hAnsi="Times New Roman" w:cs="Times New Roman"/>
          <w:sz w:val="24"/>
          <w:szCs w:val="24"/>
        </w:rPr>
        <w:t>e, INC – Criminal Background Check –</w:t>
      </w:r>
      <w:r w:rsidR="00150E9F">
        <w:rPr>
          <w:rFonts w:ascii="Times New Roman" w:hAnsi="Times New Roman" w:cs="Times New Roman"/>
          <w:sz w:val="24"/>
          <w:szCs w:val="24"/>
        </w:rPr>
        <w:t>We removed reference</w:t>
      </w:r>
      <w:r w:rsidR="0047272E">
        <w:rPr>
          <w:rFonts w:ascii="Times New Roman" w:hAnsi="Times New Roman" w:cs="Times New Roman"/>
          <w:sz w:val="24"/>
          <w:szCs w:val="24"/>
        </w:rPr>
        <w:t>s</w:t>
      </w:r>
      <w:r w:rsidR="00150E9F">
        <w:rPr>
          <w:rFonts w:ascii="Times New Roman" w:hAnsi="Times New Roman" w:cs="Times New Roman"/>
          <w:sz w:val="24"/>
          <w:szCs w:val="24"/>
        </w:rPr>
        <w:t xml:space="preserve"> to </w:t>
      </w:r>
      <w:r>
        <w:rPr>
          <w:rFonts w:ascii="Times New Roman" w:hAnsi="Times New Roman" w:cs="Times New Roman"/>
          <w:sz w:val="24"/>
          <w:szCs w:val="24"/>
        </w:rPr>
        <w:t xml:space="preserve">Accusource, INC </w:t>
      </w:r>
      <w:r w:rsidR="0047272E">
        <w:rPr>
          <w:rFonts w:ascii="Times New Roman" w:hAnsi="Times New Roman" w:cs="Times New Roman"/>
          <w:sz w:val="24"/>
          <w:szCs w:val="24"/>
        </w:rPr>
        <w:t xml:space="preserve">and replaced it with SSA </w:t>
      </w:r>
      <w:r w:rsidR="00150E9F">
        <w:rPr>
          <w:rFonts w:ascii="Times New Roman" w:hAnsi="Times New Roman" w:cs="Times New Roman"/>
          <w:sz w:val="24"/>
          <w:szCs w:val="24"/>
        </w:rPr>
        <w:t xml:space="preserve">because </w:t>
      </w:r>
      <w:r w:rsidR="0047272E">
        <w:rPr>
          <w:rFonts w:ascii="Times New Roman" w:hAnsi="Times New Roman" w:cs="Times New Roman"/>
          <w:sz w:val="24"/>
          <w:szCs w:val="24"/>
        </w:rPr>
        <w:t xml:space="preserve">we </w:t>
      </w:r>
      <w:r>
        <w:rPr>
          <w:rFonts w:ascii="Times New Roman" w:hAnsi="Times New Roman" w:cs="Times New Roman"/>
          <w:sz w:val="24"/>
          <w:szCs w:val="24"/>
        </w:rPr>
        <w:t xml:space="preserve">will conduct </w:t>
      </w:r>
      <w:r w:rsidR="0047272E">
        <w:rPr>
          <w:rFonts w:ascii="Times New Roman" w:hAnsi="Times New Roman" w:cs="Times New Roman"/>
          <w:sz w:val="24"/>
          <w:szCs w:val="24"/>
        </w:rPr>
        <w:t xml:space="preserve">a </w:t>
      </w:r>
      <w:r>
        <w:rPr>
          <w:rFonts w:ascii="Times New Roman" w:hAnsi="Times New Roman" w:cs="Times New Roman"/>
          <w:sz w:val="24"/>
          <w:szCs w:val="24"/>
        </w:rPr>
        <w:t xml:space="preserve">background check on </w:t>
      </w:r>
      <w:r w:rsidR="0047272E">
        <w:rPr>
          <w:rFonts w:ascii="Times New Roman" w:hAnsi="Times New Roman" w:cs="Times New Roman"/>
          <w:sz w:val="24"/>
          <w:szCs w:val="24"/>
        </w:rPr>
        <w:t>each</w:t>
      </w:r>
      <w:r>
        <w:rPr>
          <w:rFonts w:ascii="Times New Roman" w:hAnsi="Times New Roman" w:cs="Times New Roman"/>
          <w:sz w:val="24"/>
          <w:szCs w:val="24"/>
        </w:rPr>
        <w:t xml:space="preserve"> respondent.</w:t>
      </w:r>
      <w:r w:rsidR="00150E9F">
        <w:rPr>
          <w:rFonts w:ascii="Times New Roman" w:hAnsi="Times New Roman" w:cs="Times New Roman"/>
          <w:sz w:val="24"/>
          <w:szCs w:val="24"/>
        </w:rPr>
        <w:t xml:space="preserve"> </w:t>
      </w:r>
    </w:p>
    <w:p w:rsidR="00ED3507" w:rsidRDefault="00ED3507" w:rsidP="00BF4A3E">
      <w:pPr>
        <w:tabs>
          <w:tab w:val="left" w:pos="0"/>
        </w:tabs>
        <w:spacing w:line="240" w:lineRule="atLeast"/>
        <w:rPr>
          <w:rFonts w:ascii="Times New Roman" w:hAnsi="Times New Roman" w:cs="Times New Roman"/>
          <w:sz w:val="24"/>
          <w:szCs w:val="24"/>
        </w:rPr>
      </w:pPr>
    </w:p>
    <w:p w:rsidR="008E3C5D" w:rsidRDefault="009F293F">
      <w:pPr>
        <w:tabs>
          <w:tab w:val="left" w:pos="0"/>
        </w:tabs>
        <w:spacing w:line="240" w:lineRule="atLeast"/>
        <w:rPr>
          <w:rFonts w:ascii="Times New Roman" w:hAnsi="Times New Roman" w:cs="Times New Roman"/>
          <w:b/>
          <w:sz w:val="24"/>
          <w:szCs w:val="24"/>
          <w:u w:val="single"/>
        </w:rPr>
      </w:pPr>
      <w:r>
        <w:rPr>
          <w:rFonts w:ascii="Times New Roman" w:hAnsi="Times New Roman" w:cs="Times New Roman"/>
          <w:sz w:val="24"/>
          <w:szCs w:val="24"/>
        </w:rPr>
        <w:t xml:space="preserve">We do not keep this </w:t>
      </w:r>
      <w:r w:rsidR="00A02E23">
        <w:rPr>
          <w:rFonts w:ascii="Times New Roman" w:hAnsi="Times New Roman" w:cs="Times New Roman"/>
          <w:sz w:val="24"/>
          <w:szCs w:val="24"/>
        </w:rPr>
        <w:t>form in stock</w:t>
      </w:r>
      <w:r w:rsidR="00A14552">
        <w:rPr>
          <w:rFonts w:ascii="Times New Roman" w:hAnsi="Times New Roman" w:cs="Times New Roman"/>
          <w:sz w:val="24"/>
          <w:szCs w:val="24"/>
        </w:rPr>
        <w:t xml:space="preserve">.  </w:t>
      </w:r>
      <w:r w:rsidR="00A02E23">
        <w:rPr>
          <w:rFonts w:ascii="Times New Roman" w:hAnsi="Times New Roman" w:cs="Times New Roman"/>
          <w:sz w:val="24"/>
          <w:szCs w:val="24"/>
        </w:rPr>
        <w:t xml:space="preserve">Respondents will print and use the paper version </w:t>
      </w:r>
      <w:r w:rsidR="00514FEC">
        <w:rPr>
          <w:rFonts w:ascii="Times New Roman" w:hAnsi="Times New Roman" w:cs="Times New Roman"/>
          <w:sz w:val="24"/>
          <w:szCs w:val="24"/>
        </w:rPr>
        <w:t xml:space="preserve">of the </w:t>
      </w:r>
      <w:r w:rsidR="00527BAA">
        <w:rPr>
          <w:rFonts w:ascii="Times New Roman" w:hAnsi="Times New Roman" w:cs="Times New Roman"/>
          <w:sz w:val="24"/>
          <w:szCs w:val="24"/>
        </w:rPr>
        <w:t>collection instrument</w:t>
      </w:r>
      <w:r w:rsidR="00A02E23">
        <w:rPr>
          <w:rFonts w:ascii="Times New Roman" w:hAnsi="Times New Roman" w:cs="Times New Roman"/>
          <w:sz w:val="24"/>
          <w:szCs w:val="24"/>
        </w:rPr>
        <w:t xml:space="preserve"> available on the contractor’s website</w:t>
      </w:r>
      <w:r w:rsidR="00A14552">
        <w:rPr>
          <w:rFonts w:ascii="Times New Roman" w:hAnsi="Times New Roman" w:cs="Times New Roman"/>
          <w:sz w:val="24"/>
          <w:szCs w:val="24"/>
        </w:rPr>
        <w:t xml:space="preserve">.  </w:t>
      </w:r>
      <w:r w:rsidR="00A02E23">
        <w:rPr>
          <w:rFonts w:ascii="Times New Roman" w:hAnsi="Times New Roman" w:cs="Times New Roman"/>
          <w:sz w:val="24"/>
          <w:szCs w:val="24"/>
        </w:rPr>
        <w:t xml:space="preserve">We will begin using the new version of </w:t>
      </w:r>
      <w:r w:rsidR="00527BAA">
        <w:rPr>
          <w:rFonts w:ascii="Times New Roman" w:hAnsi="Times New Roman" w:cs="Times New Roman"/>
          <w:sz w:val="24"/>
          <w:szCs w:val="24"/>
        </w:rPr>
        <w:t>the collection instrument</w:t>
      </w:r>
      <w:r w:rsidR="00A02E23">
        <w:rPr>
          <w:rFonts w:ascii="Times New Roman" w:hAnsi="Times New Roman" w:cs="Times New Roman"/>
          <w:sz w:val="24"/>
          <w:szCs w:val="24"/>
        </w:rPr>
        <w:t xml:space="preserve"> once </w:t>
      </w:r>
      <w:r w:rsidR="00A14552">
        <w:rPr>
          <w:rFonts w:ascii="Times New Roman" w:hAnsi="Times New Roman" w:cs="Times New Roman"/>
          <w:sz w:val="24"/>
          <w:szCs w:val="24"/>
        </w:rPr>
        <w:t>OMB</w:t>
      </w:r>
      <w:r w:rsidR="00A02E23">
        <w:rPr>
          <w:rFonts w:ascii="Times New Roman" w:hAnsi="Times New Roman" w:cs="Times New Roman"/>
          <w:sz w:val="24"/>
          <w:szCs w:val="24"/>
        </w:rPr>
        <w:t xml:space="preserve"> approve</w:t>
      </w:r>
      <w:r w:rsidR="00A14552">
        <w:rPr>
          <w:rFonts w:ascii="Times New Roman" w:hAnsi="Times New Roman" w:cs="Times New Roman"/>
          <w:sz w:val="24"/>
          <w:szCs w:val="24"/>
        </w:rPr>
        <w:t>s it</w:t>
      </w:r>
      <w:r w:rsidR="00A02E23">
        <w:rPr>
          <w:rFonts w:ascii="Times New Roman" w:hAnsi="Times New Roman" w:cs="Times New Roman"/>
          <w:sz w:val="24"/>
          <w:szCs w:val="24"/>
        </w:rPr>
        <w:t>.</w:t>
      </w:r>
    </w:p>
    <w:p w:rsidR="00DE6E7E" w:rsidRDefault="00DE6E7E">
      <w:pPr>
        <w:tabs>
          <w:tab w:val="left" w:pos="0"/>
        </w:tabs>
        <w:spacing w:line="240" w:lineRule="atLeast"/>
        <w:rPr>
          <w:rFonts w:ascii="Times New Roman" w:hAnsi="Times New Roman" w:cs="Times New Roman"/>
          <w:b/>
          <w:sz w:val="24"/>
          <w:szCs w:val="24"/>
          <w:u w:val="single"/>
        </w:rPr>
      </w:pPr>
    </w:p>
    <w:p w:rsidR="00B464B5" w:rsidRPr="00B464B5" w:rsidRDefault="00B464B5">
      <w:pPr>
        <w:tabs>
          <w:tab w:val="left" w:pos="0"/>
        </w:tabs>
        <w:spacing w:line="240" w:lineRule="atLeast"/>
        <w:rPr>
          <w:rFonts w:ascii="Times New Roman" w:hAnsi="Times New Roman" w:cs="Times New Roman"/>
          <w:b/>
          <w:sz w:val="24"/>
          <w:szCs w:val="24"/>
          <w:u w:val="single"/>
        </w:rPr>
      </w:pPr>
      <w:r>
        <w:rPr>
          <w:rFonts w:ascii="Times New Roman" w:hAnsi="Times New Roman" w:cs="Times New Roman"/>
          <w:b/>
          <w:sz w:val="24"/>
          <w:szCs w:val="24"/>
          <w:u w:val="single"/>
        </w:rPr>
        <w:lastRenderedPageBreak/>
        <w:t>Burden Hours</w:t>
      </w:r>
      <w:r w:rsidR="0077632D">
        <w:rPr>
          <w:rFonts w:ascii="Times New Roman" w:hAnsi="Times New Roman" w:cs="Times New Roman"/>
          <w:b/>
          <w:sz w:val="24"/>
          <w:szCs w:val="24"/>
          <w:u w:val="single"/>
        </w:rPr>
        <w:t xml:space="preserve"> Explanation</w:t>
      </w:r>
    </w:p>
    <w:p w:rsidR="00B464B5" w:rsidRDefault="00B464B5">
      <w:pPr>
        <w:tabs>
          <w:tab w:val="left" w:pos="0"/>
        </w:tabs>
        <w:spacing w:line="240" w:lineRule="atLeast"/>
        <w:rPr>
          <w:rFonts w:ascii="Times New Roman" w:hAnsi="Times New Roman" w:cs="Times New Roman"/>
          <w:sz w:val="24"/>
          <w:szCs w:val="24"/>
        </w:rPr>
      </w:pPr>
    </w:p>
    <w:p w:rsidR="002C644F" w:rsidRDefault="00B77E27">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We are adding the following task</w:t>
      </w:r>
      <w:r w:rsidR="008F2634">
        <w:rPr>
          <w:rFonts w:ascii="Times New Roman" w:hAnsi="Times New Roman" w:cs="Times New Roman"/>
          <w:sz w:val="24"/>
          <w:szCs w:val="24"/>
        </w:rPr>
        <w:t>s</w:t>
      </w:r>
      <w:r>
        <w:rPr>
          <w:rFonts w:ascii="Times New Roman" w:hAnsi="Times New Roman" w:cs="Times New Roman"/>
          <w:sz w:val="24"/>
          <w:szCs w:val="24"/>
        </w:rPr>
        <w:t xml:space="preserve"> to this ICR so that we may account for all task</w:t>
      </w:r>
      <w:r w:rsidR="00F2670E">
        <w:rPr>
          <w:rFonts w:ascii="Times New Roman" w:hAnsi="Times New Roman" w:cs="Times New Roman"/>
          <w:sz w:val="24"/>
          <w:szCs w:val="24"/>
        </w:rPr>
        <w:t>s</w:t>
      </w:r>
      <w:r>
        <w:rPr>
          <w:rFonts w:ascii="Times New Roman" w:hAnsi="Times New Roman" w:cs="Times New Roman"/>
          <w:sz w:val="24"/>
          <w:szCs w:val="24"/>
        </w:rPr>
        <w:t xml:space="preserve"> associated with the collection instrument and not included in the previous ICR.</w:t>
      </w:r>
    </w:p>
    <w:p w:rsidR="0077632D" w:rsidRDefault="0077632D">
      <w:pPr>
        <w:tabs>
          <w:tab w:val="left" w:pos="0"/>
        </w:tabs>
        <w:spacing w:line="240" w:lineRule="atLeast"/>
        <w:rPr>
          <w:rFonts w:ascii="Times New Roman" w:hAnsi="Times New Roman" w:cs="Times New Roman"/>
          <w:sz w:val="24"/>
          <w:szCs w:val="24"/>
        </w:rPr>
      </w:pPr>
    </w:p>
    <w:p w:rsidR="00676362" w:rsidRDefault="00355E32" w:rsidP="00676362">
      <w:pPr>
        <w:numPr>
          <w:ilvl w:val="0"/>
          <w:numId w:val="1"/>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E</w:t>
      </w:r>
      <w:r w:rsidR="00B44FBE">
        <w:rPr>
          <w:rFonts w:ascii="Times New Roman" w:hAnsi="Times New Roman" w:cs="Times New Roman"/>
          <w:sz w:val="24"/>
          <w:szCs w:val="24"/>
        </w:rPr>
        <w:t>xamination</w:t>
      </w:r>
    </w:p>
    <w:p w:rsidR="002C644F" w:rsidRDefault="002C644F" w:rsidP="00676362">
      <w:pPr>
        <w:numPr>
          <w:ilvl w:val="0"/>
          <w:numId w:val="1"/>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View</w:t>
      </w:r>
      <w:r w:rsidR="00355E3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76362">
        <w:rPr>
          <w:rFonts w:ascii="Times New Roman" w:hAnsi="Times New Roman" w:cs="Times New Roman"/>
          <w:sz w:val="24"/>
          <w:szCs w:val="24"/>
        </w:rPr>
        <w:t>e</w:t>
      </w:r>
      <w:r>
        <w:rPr>
          <w:rFonts w:ascii="Times New Roman" w:hAnsi="Times New Roman" w:cs="Times New Roman"/>
          <w:sz w:val="24"/>
          <w:szCs w:val="24"/>
        </w:rPr>
        <w:t xml:space="preserve">mail confirmation for viewing </w:t>
      </w:r>
      <w:r w:rsidR="00676362">
        <w:rPr>
          <w:rFonts w:ascii="Times New Roman" w:hAnsi="Times New Roman" w:cs="Times New Roman"/>
          <w:sz w:val="24"/>
          <w:szCs w:val="24"/>
        </w:rPr>
        <w:t xml:space="preserve">the </w:t>
      </w:r>
      <w:r w:rsidR="00355E32">
        <w:rPr>
          <w:rFonts w:ascii="Times New Roman" w:hAnsi="Times New Roman" w:cs="Times New Roman"/>
          <w:sz w:val="24"/>
          <w:szCs w:val="24"/>
        </w:rPr>
        <w:t>c</w:t>
      </w:r>
      <w:r>
        <w:rPr>
          <w:rFonts w:ascii="Times New Roman" w:hAnsi="Times New Roman" w:cs="Times New Roman"/>
          <w:sz w:val="24"/>
          <w:szCs w:val="24"/>
        </w:rPr>
        <w:t xml:space="preserve">ontinuing education </w:t>
      </w:r>
      <w:r w:rsidR="00097387">
        <w:rPr>
          <w:rFonts w:ascii="Times New Roman" w:hAnsi="Times New Roman" w:cs="Times New Roman"/>
          <w:sz w:val="24"/>
          <w:szCs w:val="24"/>
        </w:rPr>
        <w:t xml:space="preserve">guides and training materials including but not limited to </w:t>
      </w:r>
      <w:r w:rsidR="00C7589F">
        <w:rPr>
          <w:rFonts w:ascii="Times New Roman" w:hAnsi="Times New Roman" w:cs="Times New Roman"/>
          <w:sz w:val="24"/>
          <w:szCs w:val="24"/>
        </w:rPr>
        <w:t>PowerPoint(s)</w:t>
      </w:r>
      <w:r w:rsidR="00097387">
        <w:rPr>
          <w:rFonts w:ascii="Times New Roman" w:hAnsi="Times New Roman" w:cs="Times New Roman"/>
          <w:sz w:val="24"/>
          <w:szCs w:val="24"/>
        </w:rPr>
        <w:t xml:space="preserve"> and/or </w:t>
      </w:r>
      <w:r>
        <w:rPr>
          <w:rFonts w:ascii="Times New Roman" w:hAnsi="Times New Roman" w:cs="Times New Roman"/>
          <w:sz w:val="24"/>
          <w:szCs w:val="24"/>
        </w:rPr>
        <w:t>Webinar</w:t>
      </w:r>
      <w:r w:rsidR="00676362">
        <w:rPr>
          <w:rFonts w:ascii="Times New Roman" w:hAnsi="Times New Roman" w:cs="Times New Roman"/>
          <w:sz w:val="24"/>
          <w:szCs w:val="24"/>
        </w:rPr>
        <w:t>(s)</w:t>
      </w:r>
      <w:r>
        <w:rPr>
          <w:rFonts w:ascii="Times New Roman" w:hAnsi="Times New Roman" w:cs="Times New Roman"/>
          <w:sz w:val="24"/>
          <w:szCs w:val="24"/>
        </w:rPr>
        <w:t xml:space="preserve"> </w:t>
      </w:r>
    </w:p>
    <w:p w:rsidR="002C644F" w:rsidRDefault="002C644F" w:rsidP="00676362">
      <w:pPr>
        <w:numPr>
          <w:ilvl w:val="0"/>
          <w:numId w:val="1"/>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Submitting proof (</w:t>
      </w:r>
      <w:r w:rsidR="00161261">
        <w:rPr>
          <w:rFonts w:ascii="Times New Roman" w:hAnsi="Times New Roman" w:cs="Times New Roman"/>
          <w:sz w:val="24"/>
          <w:szCs w:val="24"/>
        </w:rPr>
        <w:t>e.g.,</w:t>
      </w:r>
      <w:r>
        <w:rPr>
          <w:rFonts w:ascii="Times New Roman" w:hAnsi="Times New Roman" w:cs="Times New Roman"/>
          <w:sz w:val="24"/>
          <w:szCs w:val="24"/>
        </w:rPr>
        <w:t xml:space="preserve"> college or high school transcript) </w:t>
      </w:r>
      <w:r w:rsidR="00676362">
        <w:rPr>
          <w:rFonts w:ascii="Times New Roman" w:hAnsi="Times New Roman" w:cs="Times New Roman"/>
          <w:sz w:val="24"/>
          <w:szCs w:val="24"/>
        </w:rPr>
        <w:t>of a bachelor’s degree or equivalent qualifications</w:t>
      </w:r>
    </w:p>
    <w:p w:rsidR="002C644F" w:rsidRDefault="00676362" w:rsidP="00676362">
      <w:pPr>
        <w:numPr>
          <w:ilvl w:val="0"/>
          <w:numId w:val="1"/>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S</w:t>
      </w:r>
      <w:r w:rsidR="002C644F">
        <w:rPr>
          <w:rFonts w:ascii="Times New Roman" w:hAnsi="Times New Roman" w:cs="Times New Roman"/>
          <w:sz w:val="24"/>
          <w:szCs w:val="24"/>
        </w:rPr>
        <w:t>ubmitting proof of continual professional or business liability insurance coverage</w:t>
      </w:r>
    </w:p>
    <w:p w:rsidR="002C644F" w:rsidRDefault="00676362" w:rsidP="00676362">
      <w:pPr>
        <w:numPr>
          <w:ilvl w:val="0"/>
          <w:numId w:val="1"/>
        </w:num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Writing and submitting written protest about proposed ineligibility to take the examination or ineligibility for direct payment</w:t>
      </w:r>
    </w:p>
    <w:p w:rsidR="00B464B5" w:rsidRDefault="00B464B5">
      <w:pPr>
        <w:tabs>
          <w:tab w:val="left" w:pos="0"/>
        </w:tabs>
        <w:spacing w:line="240" w:lineRule="atLeast"/>
        <w:rPr>
          <w:rFonts w:ascii="Times New Roman" w:hAnsi="Times New Roman" w:cs="Times New Roman"/>
          <w:sz w:val="24"/>
          <w:szCs w:val="24"/>
        </w:rPr>
      </w:pPr>
    </w:p>
    <w:p w:rsidR="0030419B" w:rsidRDefault="0030419B">
      <w:pPr>
        <w:tabs>
          <w:tab w:val="left" w:pos="0"/>
        </w:tabs>
        <w:spacing w:line="240" w:lineRule="atLeast"/>
        <w:ind w:left="720" w:hanging="720"/>
        <w:rPr>
          <w:rFonts w:ascii="Times New Roman" w:hAnsi="Times New Roman" w:cs="Times New Roman"/>
          <w:b/>
          <w:bCs/>
          <w:sz w:val="24"/>
          <w:szCs w:val="24"/>
          <w:u w:val="single"/>
        </w:rPr>
      </w:pPr>
      <w:r>
        <w:rPr>
          <w:rFonts w:ascii="Times New Roman" w:hAnsi="Times New Roman" w:cs="Times New Roman"/>
          <w:b/>
          <w:bCs/>
          <w:sz w:val="24"/>
          <w:szCs w:val="24"/>
          <w:u w:val="single"/>
        </w:rPr>
        <w:t>Justification for Resubmitting the ICR Within One Year of Approval</w:t>
      </w:r>
    </w:p>
    <w:p w:rsidR="0030419B" w:rsidRDefault="0030419B">
      <w:pPr>
        <w:tabs>
          <w:tab w:val="left" w:pos="0"/>
        </w:tabs>
        <w:spacing w:line="240" w:lineRule="atLeast"/>
        <w:ind w:left="720" w:hanging="720"/>
        <w:rPr>
          <w:rFonts w:ascii="Times New Roman" w:hAnsi="Times New Roman" w:cs="Times New Roman"/>
          <w:b/>
          <w:bCs/>
          <w:sz w:val="24"/>
          <w:szCs w:val="24"/>
          <w:u w:val="single"/>
        </w:rPr>
      </w:pPr>
    </w:p>
    <w:p w:rsidR="0090481F" w:rsidRDefault="0030419B" w:rsidP="001B79F4">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SSA is resubmitting this ICR </w:t>
      </w:r>
      <w:r w:rsidR="00345EE4">
        <w:rPr>
          <w:rFonts w:ascii="Times New Roman" w:hAnsi="Times New Roman" w:cs="Times New Roman"/>
          <w:sz w:val="24"/>
          <w:szCs w:val="24"/>
        </w:rPr>
        <w:t xml:space="preserve">with the above revisions </w:t>
      </w:r>
      <w:r>
        <w:rPr>
          <w:rFonts w:ascii="Times New Roman" w:hAnsi="Times New Roman" w:cs="Times New Roman"/>
          <w:sz w:val="24"/>
          <w:szCs w:val="24"/>
        </w:rPr>
        <w:t xml:space="preserve">because </w:t>
      </w:r>
      <w:r w:rsidR="00A14552" w:rsidRPr="00A14552">
        <w:rPr>
          <w:rFonts w:ascii="Times New Roman" w:hAnsi="Times New Roman" w:cs="Times New Roman"/>
          <w:i/>
          <w:sz w:val="24"/>
          <w:szCs w:val="24"/>
        </w:rPr>
        <w:t>section 3</w:t>
      </w:r>
      <w:r w:rsidR="00A14552">
        <w:rPr>
          <w:rFonts w:ascii="Times New Roman" w:hAnsi="Times New Roman" w:cs="Times New Roman"/>
          <w:sz w:val="24"/>
          <w:szCs w:val="24"/>
        </w:rPr>
        <w:t xml:space="preserve"> of </w:t>
      </w:r>
      <w:r w:rsidR="00A14552" w:rsidRPr="00A14552">
        <w:rPr>
          <w:rFonts w:ascii="Times New Roman" w:hAnsi="Times New Roman" w:cs="Times New Roman"/>
          <w:sz w:val="24"/>
          <w:szCs w:val="24"/>
        </w:rPr>
        <w:t>the</w:t>
      </w:r>
      <w:r w:rsidR="00A14552" w:rsidRPr="00A14552">
        <w:rPr>
          <w:rFonts w:ascii="Times New Roman" w:hAnsi="Times New Roman" w:cs="Times New Roman"/>
          <w:i/>
          <w:sz w:val="24"/>
          <w:szCs w:val="24"/>
        </w:rPr>
        <w:t xml:space="preserve"> PRA</w:t>
      </w:r>
      <w:r w:rsidR="00A14552">
        <w:rPr>
          <w:rFonts w:ascii="Times New Roman" w:hAnsi="Times New Roman" w:cs="Times New Roman"/>
          <w:sz w:val="24"/>
          <w:szCs w:val="24"/>
        </w:rPr>
        <w:t xml:space="preserve"> permanently extended </w:t>
      </w:r>
      <w:r w:rsidR="00387A93">
        <w:rPr>
          <w:rFonts w:ascii="Times New Roman" w:hAnsi="Times New Roman" w:cs="Times New Roman"/>
          <w:sz w:val="24"/>
          <w:szCs w:val="24"/>
        </w:rPr>
        <w:t>direct payment to non-attorneys</w:t>
      </w:r>
      <w:r w:rsidR="00A14552" w:rsidRPr="00E149BC">
        <w:rPr>
          <w:rFonts w:ascii="Times New Roman" w:hAnsi="Times New Roman" w:cs="Times New Roman"/>
          <w:sz w:val="24"/>
          <w:szCs w:val="24"/>
        </w:rPr>
        <w:t xml:space="preserve">.  </w:t>
      </w:r>
      <w:r w:rsidR="000207A0" w:rsidRPr="00E149BC">
        <w:rPr>
          <w:rFonts w:ascii="Times New Roman" w:hAnsi="Times New Roman" w:cs="Times New Roman"/>
          <w:sz w:val="24"/>
          <w:szCs w:val="24"/>
        </w:rPr>
        <w:t xml:space="preserve">Prior to the enactment of </w:t>
      </w:r>
      <w:r w:rsidR="0090481F">
        <w:rPr>
          <w:rFonts w:ascii="Times New Roman" w:hAnsi="Times New Roman" w:cs="Times New Roman"/>
          <w:sz w:val="24"/>
          <w:szCs w:val="24"/>
        </w:rPr>
        <w:t xml:space="preserve">the </w:t>
      </w:r>
      <w:r w:rsidR="0090481F" w:rsidRPr="0090481F">
        <w:rPr>
          <w:rFonts w:ascii="Times New Roman" w:hAnsi="Times New Roman" w:cs="Times New Roman"/>
          <w:i/>
          <w:sz w:val="24"/>
          <w:szCs w:val="24"/>
        </w:rPr>
        <w:t>PRA</w:t>
      </w:r>
      <w:r w:rsidR="000207A0" w:rsidRPr="00E149BC">
        <w:rPr>
          <w:rFonts w:ascii="Times New Roman" w:hAnsi="Times New Roman" w:cs="Times New Roman"/>
          <w:sz w:val="24"/>
          <w:szCs w:val="24"/>
        </w:rPr>
        <w:t>, direct payment to non-attorney</w:t>
      </w:r>
      <w:r w:rsidR="00015542">
        <w:rPr>
          <w:rFonts w:ascii="Times New Roman" w:hAnsi="Times New Roman" w:cs="Times New Roman"/>
          <w:sz w:val="24"/>
          <w:szCs w:val="24"/>
        </w:rPr>
        <w:t xml:space="preserve">s </w:t>
      </w:r>
      <w:r w:rsidR="00387A93">
        <w:rPr>
          <w:rFonts w:ascii="Times New Roman" w:hAnsi="Times New Roman" w:cs="Times New Roman"/>
          <w:sz w:val="24"/>
          <w:szCs w:val="24"/>
        </w:rPr>
        <w:t xml:space="preserve">had been </w:t>
      </w:r>
      <w:r w:rsidR="000207A0" w:rsidRPr="00E149BC">
        <w:rPr>
          <w:rFonts w:ascii="Times New Roman" w:hAnsi="Times New Roman" w:cs="Times New Roman"/>
          <w:sz w:val="24"/>
          <w:szCs w:val="24"/>
        </w:rPr>
        <w:t>temporarily</w:t>
      </w:r>
      <w:r w:rsidR="00E149BC">
        <w:rPr>
          <w:rFonts w:ascii="Times New Roman" w:hAnsi="Times New Roman" w:cs="Times New Roman"/>
          <w:sz w:val="24"/>
          <w:szCs w:val="24"/>
        </w:rPr>
        <w:t xml:space="preserve"> extended</w:t>
      </w:r>
      <w:r w:rsidR="000207A0" w:rsidRPr="00E149BC">
        <w:rPr>
          <w:rFonts w:ascii="Times New Roman" w:hAnsi="Times New Roman" w:cs="Times New Roman"/>
          <w:sz w:val="24"/>
          <w:szCs w:val="24"/>
        </w:rPr>
        <w:t xml:space="preserve"> through a five-year demonstration project under the </w:t>
      </w:r>
      <w:r w:rsidR="00D433E7" w:rsidRPr="00D12083">
        <w:rPr>
          <w:rFonts w:ascii="Times New Roman" w:hAnsi="Times New Roman" w:cs="Times New Roman"/>
          <w:i/>
          <w:sz w:val="24"/>
          <w:szCs w:val="24"/>
        </w:rPr>
        <w:t>SSPA</w:t>
      </w:r>
      <w:r w:rsidR="009668BC">
        <w:rPr>
          <w:rFonts w:ascii="Times New Roman" w:hAnsi="Times New Roman" w:cs="Times New Roman"/>
          <w:sz w:val="24"/>
          <w:szCs w:val="24"/>
        </w:rPr>
        <w:t>, and</w:t>
      </w:r>
      <w:r w:rsidR="001B79F4">
        <w:rPr>
          <w:rFonts w:ascii="Times New Roman" w:hAnsi="Times New Roman" w:cs="Times New Roman"/>
          <w:sz w:val="24"/>
          <w:szCs w:val="24"/>
        </w:rPr>
        <w:t xml:space="preserve"> implemented and administered through a series of </w:t>
      </w:r>
      <w:r w:rsidR="001B79F4" w:rsidRPr="001B79F4">
        <w:rPr>
          <w:rFonts w:ascii="Times New Roman" w:hAnsi="Times New Roman" w:cs="Times New Roman"/>
          <w:i/>
          <w:sz w:val="24"/>
          <w:szCs w:val="24"/>
        </w:rPr>
        <w:t>Federal Register</w:t>
      </w:r>
      <w:r w:rsidR="00C26D9D">
        <w:rPr>
          <w:rFonts w:ascii="Times New Roman" w:hAnsi="Times New Roman" w:cs="Times New Roman"/>
          <w:i/>
          <w:sz w:val="24"/>
          <w:szCs w:val="24"/>
        </w:rPr>
        <w:t xml:space="preserve"> </w:t>
      </w:r>
      <w:r w:rsidR="00C26D9D">
        <w:rPr>
          <w:rFonts w:ascii="Times New Roman" w:hAnsi="Times New Roman" w:cs="Times New Roman"/>
          <w:sz w:val="24"/>
          <w:szCs w:val="24"/>
        </w:rPr>
        <w:t>notices dated August 14, 2004, January 13, 2005, March 22, 2005, July 18, 2005, and August 16, 2007</w:t>
      </w:r>
      <w:r w:rsidR="00A14552" w:rsidRPr="00E149BC">
        <w:rPr>
          <w:rFonts w:ascii="Times New Roman" w:hAnsi="Times New Roman" w:cs="Times New Roman"/>
          <w:i/>
          <w:sz w:val="24"/>
          <w:szCs w:val="24"/>
        </w:rPr>
        <w:t>.</w:t>
      </w:r>
      <w:r w:rsidR="00A14552">
        <w:rPr>
          <w:rFonts w:ascii="Times New Roman" w:hAnsi="Times New Roman" w:cs="Times New Roman"/>
          <w:sz w:val="24"/>
          <w:szCs w:val="24"/>
        </w:rPr>
        <w:t xml:space="preserve">  We rewrite t</w:t>
      </w:r>
      <w:r w:rsidR="001B79F4">
        <w:rPr>
          <w:rFonts w:ascii="Times New Roman" w:hAnsi="Times New Roman" w:cs="Times New Roman"/>
          <w:sz w:val="24"/>
          <w:szCs w:val="24"/>
        </w:rPr>
        <w:t xml:space="preserve">he </w:t>
      </w:r>
      <w:r w:rsidR="001B79F4" w:rsidRPr="001B79F4">
        <w:rPr>
          <w:rFonts w:ascii="Times New Roman" w:hAnsi="Times New Roman" w:cs="Times New Roman"/>
          <w:i/>
          <w:sz w:val="24"/>
          <w:szCs w:val="24"/>
        </w:rPr>
        <w:t>Revisions</w:t>
      </w:r>
      <w:r w:rsidR="001B79F4" w:rsidRPr="00D12083">
        <w:rPr>
          <w:rFonts w:ascii="Times New Roman" w:hAnsi="Times New Roman" w:cs="Times New Roman"/>
          <w:i/>
          <w:sz w:val="24"/>
          <w:szCs w:val="24"/>
        </w:rPr>
        <w:t xml:space="preserve"> to Direct Fee Payment Rules</w:t>
      </w:r>
      <w:r w:rsidR="001B79F4">
        <w:rPr>
          <w:rFonts w:ascii="Times New Roman" w:hAnsi="Times New Roman" w:cs="Times New Roman"/>
          <w:sz w:val="24"/>
          <w:szCs w:val="24"/>
        </w:rPr>
        <w:t xml:space="preserve"> to implement and administer </w:t>
      </w:r>
      <w:r w:rsidR="0090481F">
        <w:rPr>
          <w:rFonts w:ascii="Times New Roman" w:hAnsi="Times New Roman" w:cs="Times New Roman"/>
          <w:sz w:val="24"/>
          <w:szCs w:val="24"/>
        </w:rPr>
        <w:t xml:space="preserve">the direct payment provision under the </w:t>
      </w:r>
      <w:r w:rsidR="0090481F" w:rsidRPr="0090481F">
        <w:rPr>
          <w:rFonts w:ascii="Times New Roman" w:hAnsi="Times New Roman" w:cs="Times New Roman"/>
          <w:i/>
          <w:sz w:val="24"/>
          <w:szCs w:val="24"/>
        </w:rPr>
        <w:t>PRA</w:t>
      </w:r>
      <w:r w:rsidR="00A14552">
        <w:rPr>
          <w:rFonts w:ascii="Times New Roman" w:hAnsi="Times New Roman" w:cs="Times New Roman"/>
          <w:sz w:val="24"/>
          <w:szCs w:val="24"/>
        </w:rPr>
        <w:t xml:space="preserve">.  </w:t>
      </w:r>
      <w:r w:rsidR="000F6B8C">
        <w:rPr>
          <w:rFonts w:ascii="Times New Roman" w:hAnsi="Times New Roman" w:cs="Times New Roman"/>
          <w:sz w:val="24"/>
          <w:szCs w:val="24"/>
        </w:rPr>
        <w:t xml:space="preserve">The </w:t>
      </w:r>
      <w:r w:rsidR="000F6B8C" w:rsidRPr="000F6B8C">
        <w:rPr>
          <w:rFonts w:ascii="Times New Roman" w:hAnsi="Times New Roman" w:cs="Times New Roman"/>
          <w:sz w:val="24"/>
          <w:szCs w:val="24"/>
        </w:rPr>
        <w:t>Explanation of Changes to the Revision to the Collection Instrument</w:t>
      </w:r>
      <w:r w:rsidR="000F6B8C">
        <w:rPr>
          <w:rFonts w:ascii="Times New Roman" w:hAnsi="Times New Roman" w:cs="Times New Roman"/>
          <w:sz w:val="24"/>
          <w:szCs w:val="24"/>
        </w:rPr>
        <w:t xml:space="preserve"> section explains that </w:t>
      </w:r>
      <w:r w:rsidR="00A14552">
        <w:rPr>
          <w:rFonts w:ascii="Times New Roman" w:hAnsi="Times New Roman" w:cs="Times New Roman"/>
          <w:sz w:val="24"/>
          <w:szCs w:val="24"/>
        </w:rPr>
        <w:t xml:space="preserve">we modified </w:t>
      </w:r>
      <w:r w:rsidR="000F6B8C">
        <w:rPr>
          <w:rFonts w:ascii="Times New Roman" w:hAnsi="Times New Roman" w:cs="Times New Roman"/>
          <w:sz w:val="24"/>
          <w:szCs w:val="24"/>
        </w:rPr>
        <w:t>some</w:t>
      </w:r>
      <w:r w:rsidR="0090481F">
        <w:rPr>
          <w:rFonts w:ascii="Times New Roman" w:hAnsi="Times New Roman" w:cs="Times New Roman"/>
          <w:sz w:val="24"/>
          <w:szCs w:val="24"/>
        </w:rPr>
        <w:t xml:space="preserve"> rule</w:t>
      </w:r>
      <w:r w:rsidR="000F6B8C">
        <w:rPr>
          <w:rFonts w:ascii="Times New Roman" w:hAnsi="Times New Roman" w:cs="Times New Roman"/>
          <w:sz w:val="24"/>
          <w:szCs w:val="24"/>
        </w:rPr>
        <w:t>s</w:t>
      </w:r>
      <w:r w:rsidR="0090481F">
        <w:rPr>
          <w:rFonts w:ascii="Times New Roman" w:hAnsi="Times New Roman" w:cs="Times New Roman"/>
          <w:sz w:val="24"/>
          <w:szCs w:val="24"/>
        </w:rPr>
        <w:t xml:space="preserve"> to simplify the prerequisite process for </w:t>
      </w:r>
      <w:r w:rsidR="000B2A76">
        <w:rPr>
          <w:rFonts w:ascii="Times New Roman" w:hAnsi="Times New Roman" w:cs="Times New Roman"/>
          <w:sz w:val="24"/>
          <w:szCs w:val="24"/>
        </w:rPr>
        <w:t>respondents, which</w:t>
      </w:r>
      <w:r w:rsidR="000F6B8C">
        <w:rPr>
          <w:rFonts w:ascii="Times New Roman" w:hAnsi="Times New Roman" w:cs="Times New Roman"/>
          <w:sz w:val="24"/>
          <w:szCs w:val="24"/>
        </w:rPr>
        <w:t xml:space="preserve"> </w:t>
      </w:r>
      <w:r w:rsidR="0090481F">
        <w:rPr>
          <w:rFonts w:ascii="Times New Roman" w:hAnsi="Times New Roman" w:cs="Times New Roman"/>
          <w:sz w:val="24"/>
          <w:szCs w:val="24"/>
        </w:rPr>
        <w:t>resulted</w:t>
      </w:r>
      <w:r w:rsidR="000F6B8C">
        <w:rPr>
          <w:rFonts w:ascii="Times New Roman" w:hAnsi="Times New Roman" w:cs="Times New Roman"/>
          <w:sz w:val="24"/>
          <w:szCs w:val="24"/>
        </w:rPr>
        <w:t xml:space="preserve"> in </w:t>
      </w:r>
      <w:r w:rsidR="00387A93">
        <w:rPr>
          <w:rFonts w:ascii="Times New Roman" w:hAnsi="Times New Roman" w:cs="Times New Roman"/>
          <w:sz w:val="24"/>
          <w:szCs w:val="24"/>
        </w:rPr>
        <w:t xml:space="preserve">us revising </w:t>
      </w:r>
      <w:r w:rsidR="000F6B8C">
        <w:rPr>
          <w:rFonts w:ascii="Times New Roman" w:hAnsi="Times New Roman" w:cs="Times New Roman"/>
          <w:sz w:val="24"/>
          <w:szCs w:val="24"/>
        </w:rPr>
        <w:t xml:space="preserve">the collection instrument. </w:t>
      </w:r>
      <w:r w:rsidR="0090481F">
        <w:rPr>
          <w:rFonts w:ascii="Times New Roman" w:hAnsi="Times New Roman" w:cs="Times New Roman"/>
          <w:sz w:val="24"/>
          <w:szCs w:val="24"/>
        </w:rPr>
        <w:t xml:space="preserve">  </w:t>
      </w:r>
    </w:p>
    <w:p w:rsidR="0090481F" w:rsidRDefault="0090481F" w:rsidP="001B79F4">
      <w:pPr>
        <w:tabs>
          <w:tab w:val="left" w:pos="0"/>
        </w:tabs>
        <w:spacing w:line="240" w:lineRule="atLeast"/>
        <w:rPr>
          <w:rFonts w:ascii="Times New Roman" w:hAnsi="Times New Roman" w:cs="Times New Roman"/>
          <w:sz w:val="24"/>
          <w:szCs w:val="24"/>
        </w:rPr>
      </w:pPr>
    </w:p>
    <w:p w:rsidR="0090481F" w:rsidRDefault="0090481F" w:rsidP="001B79F4">
      <w:pPr>
        <w:tabs>
          <w:tab w:val="left" w:pos="0"/>
        </w:tabs>
        <w:spacing w:line="240" w:lineRule="atLeast"/>
        <w:rPr>
          <w:rFonts w:ascii="Times New Roman" w:hAnsi="Times New Roman" w:cs="Times New Roman"/>
          <w:sz w:val="24"/>
          <w:szCs w:val="24"/>
        </w:rPr>
      </w:pPr>
    </w:p>
    <w:p w:rsidR="000F6B8C" w:rsidRDefault="0090481F" w:rsidP="000F6B8C">
      <w:pPr>
        <w:tabs>
          <w:tab w:val="left" w:pos="0"/>
        </w:tab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sectPr w:rsidR="000F6B8C" w:rsidSect="004355D1">
      <w:footerReference w:type="default" r:id="rId8"/>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26" w:rsidRDefault="001D2B26">
      <w:r>
        <w:separator/>
      </w:r>
    </w:p>
  </w:endnote>
  <w:endnote w:type="continuationSeparator" w:id="0">
    <w:p w:rsidR="001D2B26" w:rsidRDefault="001D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CE" w:rsidRPr="00FA7BE8" w:rsidRDefault="005722CE">
    <w:pPr>
      <w:pStyle w:val="Footer"/>
      <w:jc w:val="right"/>
      <w:rPr>
        <w:rFonts w:ascii="Times New Roman" w:hAnsi="Times New Roman"/>
      </w:rPr>
    </w:pPr>
    <w:r w:rsidRPr="00FA7BE8">
      <w:rPr>
        <w:rFonts w:ascii="Times New Roman" w:hAnsi="Times New Roman"/>
      </w:rPr>
      <w:t xml:space="preserve">   </w:t>
    </w:r>
    <w:r w:rsidR="00D04E53" w:rsidRPr="00FA7BE8">
      <w:rPr>
        <w:rFonts w:ascii="Times New Roman" w:hAnsi="Times New Roman"/>
      </w:rPr>
      <w:fldChar w:fldCharType="begin"/>
    </w:r>
    <w:r w:rsidRPr="00FA7BE8">
      <w:rPr>
        <w:rFonts w:ascii="Times New Roman" w:hAnsi="Times New Roman"/>
      </w:rPr>
      <w:instrText xml:space="preserve"> PAGE   \* MERGEFORMAT </w:instrText>
    </w:r>
    <w:r w:rsidR="00D04E53" w:rsidRPr="00FA7BE8">
      <w:rPr>
        <w:rFonts w:ascii="Times New Roman" w:hAnsi="Times New Roman"/>
      </w:rPr>
      <w:fldChar w:fldCharType="separate"/>
    </w:r>
    <w:r w:rsidR="00385659">
      <w:rPr>
        <w:rFonts w:ascii="Times New Roman" w:hAnsi="Times New Roman"/>
        <w:noProof/>
      </w:rPr>
      <w:t>1</w:t>
    </w:r>
    <w:r w:rsidR="00D04E53" w:rsidRPr="00FA7BE8">
      <w:rPr>
        <w:rFonts w:ascii="Times New Roman" w:hAnsi="Times New Roman"/>
      </w:rPr>
      <w:fldChar w:fldCharType="end"/>
    </w:r>
  </w:p>
  <w:p w:rsidR="005722CE" w:rsidRDefault="005722CE">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26" w:rsidRDefault="001D2B26">
      <w:r>
        <w:separator/>
      </w:r>
    </w:p>
  </w:footnote>
  <w:footnote w:type="continuationSeparator" w:id="0">
    <w:p w:rsidR="001D2B26" w:rsidRDefault="001D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686"/>
    <w:multiLevelType w:val="hybridMultilevel"/>
    <w:tmpl w:val="39A85194"/>
    <w:lvl w:ilvl="0" w:tplc="6F989E1E">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
    <w:nsid w:val="17B66396"/>
    <w:multiLevelType w:val="hybridMultilevel"/>
    <w:tmpl w:val="460A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92A59"/>
    <w:multiLevelType w:val="hybridMultilevel"/>
    <w:tmpl w:val="C540AF48"/>
    <w:lvl w:ilvl="0" w:tplc="6F989E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597073"/>
    <w:multiLevelType w:val="hybridMultilevel"/>
    <w:tmpl w:val="E9389284"/>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40AC9"/>
    <w:multiLevelType w:val="hybridMultilevel"/>
    <w:tmpl w:val="858E350C"/>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25954"/>
    <w:multiLevelType w:val="hybridMultilevel"/>
    <w:tmpl w:val="4A38BF70"/>
    <w:lvl w:ilvl="0" w:tplc="6F989E1E">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2B274244"/>
    <w:multiLevelType w:val="hybridMultilevel"/>
    <w:tmpl w:val="B9CA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04BEF"/>
    <w:multiLevelType w:val="hybridMultilevel"/>
    <w:tmpl w:val="254C4A4A"/>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E7AFF"/>
    <w:multiLevelType w:val="hybridMultilevel"/>
    <w:tmpl w:val="9B30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C037D"/>
    <w:multiLevelType w:val="hybridMultilevel"/>
    <w:tmpl w:val="4F6A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A6907"/>
    <w:multiLevelType w:val="hybridMultilevel"/>
    <w:tmpl w:val="C782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1575C"/>
    <w:multiLevelType w:val="hybridMultilevel"/>
    <w:tmpl w:val="3FB0906C"/>
    <w:lvl w:ilvl="0" w:tplc="6F989E1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4E500BED"/>
    <w:multiLevelType w:val="hybridMultilevel"/>
    <w:tmpl w:val="753054D8"/>
    <w:lvl w:ilvl="0" w:tplc="6F989E1E">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
    <w:nsid w:val="51087652"/>
    <w:multiLevelType w:val="hybridMultilevel"/>
    <w:tmpl w:val="56743062"/>
    <w:lvl w:ilvl="0" w:tplc="FED28D6E">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4A9723F"/>
    <w:multiLevelType w:val="hybridMultilevel"/>
    <w:tmpl w:val="68A4D57A"/>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E6334"/>
    <w:multiLevelType w:val="hybridMultilevel"/>
    <w:tmpl w:val="7C786F4E"/>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A52AD"/>
    <w:multiLevelType w:val="hybridMultilevel"/>
    <w:tmpl w:val="8286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F60CA"/>
    <w:multiLevelType w:val="hybridMultilevel"/>
    <w:tmpl w:val="6F10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5405A"/>
    <w:multiLevelType w:val="hybridMultilevel"/>
    <w:tmpl w:val="1B82B58C"/>
    <w:lvl w:ilvl="0" w:tplc="6F989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801AFE"/>
    <w:multiLevelType w:val="hybridMultilevel"/>
    <w:tmpl w:val="A9E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AA514E"/>
    <w:multiLevelType w:val="hybridMultilevel"/>
    <w:tmpl w:val="901A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2"/>
  </w:num>
  <w:num w:numId="4">
    <w:abstractNumId w:val="0"/>
  </w:num>
  <w:num w:numId="5">
    <w:abstractNumId w:val="9"/>
  </w:num>
  <w:num w:numId="6">
    <w:abstractNumId w:val="18"/>
  </w:num>
  <w:num w:numId="7">
    <w:abstractNumId w:val="2"/>
  </w:num>
  <w:num w:numId="8">
    <w:abstractNumId w:val="13"/>
  </w:num>
  <w:num w:numId="9">
    <w:abstractNumId w:val="10"/>
  </w:num>
  <w:num w:numId="10">
    <w:abstractNumId w:val="19"/>
  </w:num>
  <w:num w:numId="11">
    <w:abstractNumId w:val="14"/>
  </w:num>
  <w:num w:numId="12">
    <w:abstractNumId w:val="4"/>
  </w:num>
  <w:num w:numId="13">
    <w:abstractNumId w:val="7"/>
  </w:num>
  <w:num w:numId="14">
    <w:abstractNumId w:val="15"/>
  </w:num>
  <w:num w:numId="15">
    <w:abstractNumId w:val="3"/>
  </w:num>
  <w:num w:numId="16">
    <w:abstractNumId w:val="8"/>
  </w:num>
  <w:num w:numId="17">
    <w:abstractNumId w:val="1"/>
  </w:num>
  <w:num w:numId="18">
    <w:abstractNumId w:val="11"/>
  </w:num>
  <w:num w:numId="19">
    <w:abstractNumId w:val="16"/>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05"/>
    <w:rsid w:val="00010457"/>
    <w:rsid w:val="00010C5D"/>
    <w:rsid w:val="00014AFD"/>
    <w:rsid w:val="00015542"/>
    <w:rsid w:val="000207A0"/>
    <w:rsid w:val="00025832"/>
    <w:rsid w:val="00035931"/>
    <w:rsid w:val="000406F1"/>
    <w:rsid w:val="00043E7D"/>
    <w:rsid w:val="00045F77"/>
    <w:rsid w:val="00047E4F"/>
    <w:rsid w:val="00051FBF"/>
    <w:rsid w:val="00064096"/>
    <w:rsid w:val="0007197D"/>
    <w:rsid w:val="00073904"/>
    <w:rsid w:val="00097387"/>
    <w:rsid w:val="000A6316"/>
    <w:rsid w:val="000B2A76"/>
    <w:rsid w:val="000D6428"/>
    <w:rsid w:val="000D7431"/>
    <w:rsid w:val="000E2FE5"/>
    <w:rsid w:val="000E72B1"/>
    <w:rsid w:val="000F12C3"/>
    <w:rsid w:val="000F1F31"/>
    <w:rsid w:val="000F2275"/>
    <w:rsid w:val="000F4B15"/>
    <w:rsid w:val="000F6B8C"/>
    <w:rsid w:val="00131ADE"/>
    <w:rsid w:val="00134D61"/>
    <w:rsid w:val="00135DFB"/>
    <w:rsid w:val="00142857"/>
    <w:rsid w:val="001449F4"/>
    <w:rsid w:val="00150E9F"/>
    <w:rsid w:val="00161261"/>
    <w:rsid w:val="0016455F"/>
    <w:rsid w:val="00191877"/>
    <w:rsid w:val="001A46FE"/>
    <w:rsid w:val="001A6BA1"/>
    <w:rsid w:val="001A71E6"/>
    <w:rsid w:val="001B54C3"/>
    <w:rsid w:val="001B79F4"/>
    <w:rsid w:val="001C1578"/>
    <w:rsid w:val="001C5E60"/>
    <w:rsid w:val="001D144D"/>
    <w:rsid w:val="001D2B26"/>
    <w:rsid w:val="001D61AB"/>
    <w:rsid w:val="001E2278"/>
    <w:rsid w:val="001F206B"/>
    <w:rsid w:val="00201634"/>
    <w:rsid w:val="00203660"/>
    <w:rsid w:val="002047E8"/>
    <w:rsid w:val="0022012F"/>
    <w:rsid w:val="002238CF"/>
    <w:rsid w:val="002265FB"/>
    <w:rsid w:val="0023305C"/>
    <w:rsid w:val="00234F88"/>
    <w:rsid w:val="00236619"/>
    <w:rsid w:val="00240DCA"/>
    <w:rsid w:val="002522E3"/>
    <w:rsid w:val="00253321"/>
    <w:rsid w:val="0025440F"/>
    <w:rsid w:val="00264EA1"/>
    <w:rsid w:val="00274B19"/>
    <w:rsid w:val="00283130"/>
    <w:rsid w:val="0028395E"/>
    <w:rsid w:val="00296944"/>
    <w:rsid w:val="002975A4"/>
    <w:rsid w:val="002A5808"/>
    <w:rsid w:val="002B0EC7"/>
    <w:rsid w:val="002B1D61"/>
    <w:rsid w:val="002B445B"/>
    <w:rsid w:val="002B53A0"/>
    <w:rsid w:val="002B7B17"/>
    <w:rsid w:val="002C644F"/>
    <w:rsid w:val="002E54E9"/>
    <w:rsid w:val="002F131B"/>
    <w:rsid w:val="00300900"/>
    <w:rsid w:val="0030419B"/>
    <w:rsid w:val="00321D51"/>
    <w:rsid w:val="00345EE4"/>
    <w:rsid w:val="003460CA"/>
    <w:rsid w:val="003515F8"/>
    <w:rsid w:val="00355E32"/>
    <w:rsid w:val="00355E4D"/>
    <w:rsid w:val="00361EFB"/>
    <w:rsid w:val="003701C7"/>
    <w:rsid w:val="003713CE"/>
    <w:rsid w:val="00377343"/>
    <w:rsid w:val="003840DE"/>
    <w:rsid w:val="00385659"/>
    <w:rsid w:val="00387A93"/>
    <w:rsid w:val="003A0A37"/>
    <w:rsid w:val="003A15C3"/>
    <w:rsid w:val="003A1F82"/>
    <w:rsid w:val="003A2BC7"/>
    <w:rsid w:val="003B7376"/>
    <w:rsid w:val="003D5845"/>
    <w:rsid w:val="003D5EC4"/>
    <w:rsid w:val="003D6F83"/>
    <w:rsid w:val="003E1742"/>
    <w:rsid w:val="003E522D"/>
    <w:rsid w:val="003F605A"/>
    <w:rsid w:val="003F7B67"/>
    <w:rsid w:val="00407A86"/>
    <w:rsid w:val="0041054C"/>
    <w:rsid w:val="00411ADA"/>
    <w:rsid w:val="00416310"/>
    <w:rsid w:val="0042166F"/>
    <w:rsid w:val="004355D1"/>
    <w:rsid w:val="00435D1A"/>
    <w:rsid w:val="0044446F"/>
    <w:rsid w:val="004522A0"/>
    <w:rsid w:val="00452D07"/>
    <w:rsid w:val="004601BE"/>
    <w:rsid w:val="00461AA7"/>
    <w:rsid w:val="004725EA"/>
    <w:rsid w:val="0047272E"/>
    <w:rsid w:val="00476AED"/>
    <w:rsid w:val="004779E5"/>
    <w:rsid w:val="00477F90"/>
    <w:rsid w:val="004C6711"/>
    <w:rsid w:val="004D6699"/>
    <w:rsid w:val="004D7CDD"/>
    <w:rsid w:val="004E09AC"/>
    <w:rsid w:val="004E2B6A"/>
    <w:rsid w:val="004F442F"/>
    <w:rsid w:val="004F447E"/>
    <w:rsid w:val="00501989"/>
    <w:rsid w:val="005024BE"/>
    <w:rsid w:val="00512769"/>
    <w:rsid w:val="00514FEC"/>
    <w:rsid w:val="0052721F"/>
    <w:rsid w:val="00527BAA"/>
    <w:rsid w:val="00535A62"/>
    <w:rsid w:val="00547DD8"/>
    <w:rsid w:val="00570ABF"/>
    <w:rsid w:val="005714E3"/>
    <w:rsid w:val="005722CE"/>
    <w:rsid w:val="0057319F"/>
    <w:rsid w:val="005846A6"/>
    <w:rsid w:val="005857CE"/>
    <w:rsid w:val="00596FB6"/>
    <w:rsid w:val="005A05C2"/>
    <w:rsid w:val="005B5CD4"/>
    <w:rsid w:val="005C373A"/>
    <w:rsid w:val="005C3940"/>
    <w:rsid w:val="005C7BF2"/>
    <w:rsid w:val="005D0754"/>
    <w:rsid w:val="005E160E"/>
    <w:rsid w:val="005E16BC"/>
    <w:rsid w:val="005F25D0"/>
    <w:rsid w:val="005F4628"/>
    <w:rsid w:val="005F7089"/>
    <w:rsid w:val="00617461"/>
    <w:rsid w:val="006432E9"/>
    <w:rsid w:val="006461C5"/>
    <w:rsid w:val="006659C5"/>
    <w:rsid w:val="00676362"/>
    <w:rsid w:val="006922D2"/>
    <w:rsid w:val="00697581"/>
    <w:rsid w:val="00697DE6"/>
    <w:rsid w:val="006B7939"/>
    <w:rsid w:val="006D670B"/>
    <w:rsid w:val="006E793E"/>
    <w:rsid w:val="006F21C0"/>
    <w:rsid w:val="00710A54"/>
    <w:rsid w:val="00717C4A"/>
    <w:rsid w:val="007224CC"/>
    <w:rsid w:val="0072780B"/>
    <w:rsid w:val="00767A6A"/>
    <w:rsid w:val="0077250F"/>
    <w:rsid w:val="0077632D"/>
    <w:rsid w:val="007931E6"/>
    <w:rsid w:val="007946F1"/>
    <w:rsid w:val="007A1D8C"/>
    <w:rsid w:val="007B615D"/>
    <w:rsid w:val="007D12E9"/>
    <w:rsid w:val="007D28A2"/>
    <w:rsid w:val="00803F19"/>
    <w:rsid w:val="0081750C"/>
    <w:rsid w:val="00862F59"/>
    <w:rsid w:val="00873B37"/>
    <w:rsid w:val="00883EEE"/>
    <w:rsid w:val="00884023"/>
    <w:rsid w:val="00886089"/>
    <w:rsid w:val="00886480"/>
    <w:rsid w:val="008905E1"/>
    <w:rsid w:val="00894EEB"/>
    <w:rsid w:val="0089609C"/>
    <w:rsid w:val="0089729E"/>
    <w:rsid w:val="008C1865"/>
    <w:rsid w:val="008C2D85"/>
    <w:rsid w:val="008C3E96"/>
    <w:rsid w:val="008C5BE1"/>
    <w:rsid w:val="008C7AD9"/>
    <w:rsid w:val="008E2004"/>
    <w:rsid w:val="008E32EA"/>
    <w:rsid w:val="008E3C5D"/>
    <w:rsid w:val="008E4008"/>
    <w:rsid w:val="008F1F0B"/>
    <w:rsid w:val="008F2634"/>
    <w:rsid w:val="008F2DB3"/>
    <w:rsid w:val="008F463F"/>
    <w:rsid w:val="008F6F9F"/>
    <w:rsid w:val="00901BD2"/>
    <w:rsid w:val="0090481F"/>
    <w:rsid w:val="0091205E"/>
    <w:rsid w:val="00934AF0"/>
    <w:rsid w:val="00934CA7"/>
    <w:rsid w:val="00951EC4"/>
    <w:rsid w:val="00962CB9"/>
    <w:rsid w:val="009668BC"/>
    <w:rsid w:val="00967AC8"/>
    <w:rsid w:val="009A38D2"/>
    <w:rsid w:val="009A7BBE"/>
    <w:rsid w:val="009B5886"/>
    <w:rsid w:val="009C2366"/>
    <w:rsid w:val="009E4E51"/>
    <w:rsid w:val="009F183C"/>
    <w:rsid w:val="009F293F"/>
    <w:rsid w:val="00A02E23"/>
    <w:rsid w:val="00A10D97"/>
    <w:rsid w:val="00A14552"/>
    <w:rsid w:val="00A16C3F"/>
    <w:rsid w:val="00A21F79"/>
    <w:rsid w:val="00A4534C"/>
    <w:rsid w:val="00A45EBF"/>
    <w:rsid w:val="00A53203"/>
    <w:rsid w:val="00A54F74"/>
    <w:rsid w:val="00A60E19"/>
    <w:rsid w:val="00A707AF"/>
    <w:rsid w:val="00A77034"/>
    <w:rsid w:val="00A82B98"/>
    <w:rsid w:val="00AA4437"/>
    <w:rsid w:val="00AC51CE"/>
    <w:rsid w:val="00AE2C45"/>
    <w:rsid w:val="00AF51E0"/>
    <w:rsid w:val="00B02C01"/>
    <w:rsid w:val="00B03923"/>
    <w:rsid w:val="00B077AE"/>
    <w:rsid w:val="00B110FD"/>
    <w:rsid w:val="00B2551D"/>
    <w:rsid w:val="00B37ED9"/>
    <w:rsid w:val="00B41F08"/>
    <w:rsid w:val="00B44A50"/>
    <w:rsid w:val="00B44FBE"/>
    <w:rsid w:val="00B464B5"/>
    <w:rsid w:val="00B542CE"/>
    <w:rsid w:val="00B62BB4"/>
    <w:rsid w:val="00B66046"/>
    <w:rsid w:val="00B71DB7"/>
    <w:rsid w:val="00B77E27"/>
    <w:rsid w:val="00B86C7E"/>
    <w:rsid w:val="00B90B1C"/>
    <w:rsid w:val="00B945DC"/>
    <w:rsid w:val="00BA2F87"/>
    <w:rsid w:val="00BB1696"/>
    <w:rsid w:val="00BB4220"/>
    <w:rsid w:val="00BB7C2B"/>
    <w:rsid w:val="00BE335D"/>
    <w:rsid w:val="00BF4A3E"/>
    <w:rsid w:val="00BF5F1E"/>
    <w:rsid w:val="00BF79AF"/>
    <w:rsid w:val="00C15EBB"/>
    <w:rsid w:val="00C23912"/>
    <w:rsid w:val="00C26D9D"/>
    <w:rsid w:val="00C52283"/>
    <w:rsid w:val="00C5557C"/>
    <w:rsid w:val="00C564D5"/>
    <w:rsid w:val="00C65E91"/>
    <w:rsid w:val="00C70692"/>
    <w:rsid w:val="00C74AB7"/>
    <w:rsid w:val="00C7589F"/>
    <w:rsid w:val="00C827E4"/>
    <w:rsid w:val="00C83DA0"/>
    <w:rsid w:val="00C848EB"/>
    <w:rsid w:val="00C924E9"/>
    <w:rsid w:val="00CA154F"/>
    <w:rsid w:val="00CB0132"/>
    <w:rsid w:val="00CB2864"/>
    <w:rsid w:val="00CB7889"/>
    <w:rsid w:val="00CD03F9"/>
    <w:rsid w:val="00CE4FEA"/>
    <w:rsid w:val="00CE7842"/>
    <w:rsid w:val="00CF1811"/>
    <w:rsid w:val="00CF2383"/>
    <w:rsid w:val="00CF4A2A"/>
    <w:rsid w:val="00CF5DD8"/>
    <w:rsid w:val="00D04E53"/>
    <w:rsid w:val="00D12083"/>
    <w:rsid w:val="00D210C7"/>
    <w:rsid w:val="00D433E7"/>
    <w:rsid w:val="00D51B1D"/>
    <w:rsid w:val="00D53BB1"/>
    <w:rsid w:val="00D55770"/>
    <w:rsid w:val="00D5595D"/>
    <w:rsid w:val="00D6407D"/>
    <w:rsid w:val="00D755F5"/>
    <w:rsid w:val="00D8528F"/>
    <w:rsid w:val="00D87D96"/>
    <w:rsid w:val="00D97293"/>
    <w:rsid w:val="00DA2DC7"/>
    <w:rsid w:val="00DA372D"/>
    <w:rsid w:val="00DC1625"/>
    <w:rsid w:val="00DC2712"/>
    <w:rsid w:val="00DE385E"/>
    <w:rsid w:val="00DE5C94"/>
    <w:rsid w:val="00DE6E7E"/>
    <w:rsid w:val="00DF28F6"/>
    <w:rsid w:val="00E041DF"/>
    <w:rsid w:val="00E149BC"/>
    <w:rsid w:val="00E20E05"/>
    <w:rsid w:val="00E24233"/>
    <w:rsid w:val="00E245E5"/>
    <w:rsid w:val="00E365F6"/>
    <w:rsid w:val="00E422CC"/>
    <w:rsid w:val="00E53126"/>
    <w:rsid w:val="00E612F7"/>
    <w:rsid w:val="00E661EC"/>
    <w:rsid w:val="00E7763A"/>
    <w:rsid w:val="00E83D1B"/>
    <w:rsid w:val="00E87F6D"/>
    <w:rsid w:val="00E93028"/>
    <w:rsid w:val="00E94587"/>
    <w:rsid w:val="00EA452A"/>
    <w:rsid w:val="00EA7E9B"/>
    <w:rsid w:val="00EC0614"/>
    <w:rsid w:val="00ED3507"/>
    <w:rsid w:val="00EE2C5E"/>
    <w:rsid w:val="00EE5131"/>
    <w:rsid w:val="00EF29D1"/>
    <w:rsid w:val="00EF557A"/>
    <w:rsid w:val="00F2670E"/>
    <w:rsid w:val="00F31B85"/>
    <w:rsid w:val="00F320B5"/>
    <w:rsid w:val="00F5280E"/>
    <w:rsid w:val="00F60E0D"/>
    <w:rsid w:val="00F65982"/>
    <w:rsid w:val="00F65FEB"/>
    <w:rsid w:val="00F7444C"/>
    <w:rsid w:val="00F806A9"/>
    <w:rsid w:val="00F821B6"/>
    <w:rsid w:val="00F90C13"/>
    <w:rsid w:val="00F97B2D"/>
    <w:rsid w:val="00FA7BE8"/>
    <w:rsid w:val="00FB27AA"/>
    <w:rsid w:val="00FC4041"/>
    <w:rsid w:val="00FC718C"/>
    <w:rsid w:val="00FD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5D1"/>
    <w:pPr>
      <w:widowControl w:val="0"/>
      <w:suppressAutoHyphens/>
      <w:autoSpaceDE w:val="0"/>
    </w:pPr>
    <w:rPr>
      <w:rFonts w:ascii="Courier New" w:eastAsia="SimSun" w:hAnsi="Courier New" w:cs="Courier Ne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355D1"/>
    <w:pPr>
      <w:keepNext/>
      <w:spacing w:before="240" w:after="120"/>
    </w:pPr>
    <w:rPr>
      <w:rFonts w:ascii="Arial" w:eastAsia="Lucida Sans Unicode" w:hAnsi="Arial" w:cs="Tahoma"/>
      <w:sz w:val="28"/>
      <w:szCs w:val="28"/>
    </w:rPr>
  </w:style>
  <w:style w:type="paragraph" w:styleId="BodyText">
    <w:name w:val="Body Text"/>
    <w:basedOn w:val="Normal"/>
    <w:rsid w:val="004355D1"/>
    <w:pPr>
      <w:spacing w:after="120"/>
    </w:pPr>
  </w:style>
  <w:style w:type="paragraph" w:styleId="List">
    <w:name w:val="List"/>
    <w:basedOn w:val="BodyText"/>
    <w:rsid w:val="004355D1"/>
    <w:rPr>
      <w:rFonts w:cs="Tahoma"/>
    </w:rPr>
  </w:style>
  <w:style w:type="paragraph" w:styleId="Caption">
    <w:name w:val="caption"/>
    <w:basedOn w:val="Normal"/>
    <w:qFormat/>
    <w:rsid w:val="004355D1"/>
    <w:pPr>
      <w:suppressLineNumbers/>
      <w:spacing w:before="120" w:after="120"/>
    </w:pPr>
    <w:rPr>
      <w:rFonts w:cs="Tahoma"/>
      <w:i/>
      <w:iCs/>
      <w:sz w:val="24"/>
      <w:szCs w:val="24"/>
    </w:rPr>
  </w:style>
  <w:style w:type="paragraph" w:customStyle="1" w:styleId="Index">
    <w:name w:val="Index"/>
    <w:basedOn w:val="Normal"/>
    <w:rsid w:val="004355D1"/>
    <w:pPr>
      <w:suppressLineNumbers/>
    </w:pPr>
    <w:rPr>
      <w:rFonts w:cs="Tahoma"/>
    </w:rPr>
  </w:style>
  <w:style w:type="paragraph" w:styleId="Header">
    <w:name w:val="header"/>
    <w:basedOn w:val="Normal"/>
    <w:link w:val="HeaderChar"/>
    <w:uiPriority w:val="99"/>
    <w:rsid w:val="004355D1"/>
    <w:pPr>
      <w:tabs>
        <w:tab w:val="center" w:pos="4320"/>
        <w:tab w:val="right" w:pos="8640"/>
      </w:tabs>
    </w:pPr>
  </w:style>
  <w:style w:type="paragraph" w:styleId="Footer">
    <w:name w:val="footer"/>
    <w:basedOn w:val="Normal"/>
    <w:link w:val="FooterChar"/>
    <w:uiPriority w:val="99"/>
    <w:rsid w:val="004355D1"/>
    <w:pPr>
      <w:tabs>
        <w:tab w:val="center" w:pos="4320"/>
        <w:tab w:val="right" w:pos="8640"/>
      </w:tabs>
    </w:pPr>
  </w:style>
  <w:style w:type="paragraph" w:styleId="BalloonText">
    <w:name w:val="Balloon Text"/>
    <w:basedOn w:val="Normal"/>
    <w:rsid w:val="004355D1"/>
    <w:rPr>
      <w:rFonts w:ascii="Tahoma" w:hAnsi="Tahoma" w:cs="Tahoma"/>
      <w:sz w:val="16"/>
      <w:szCs w:val="16"/>
    </w:rPr>
  </w:style>
  <w:style w:type="paragraph" w:styleId="DocumentMap">
    <w:name w:val="Document Map"/>
    <w:basedOn w:val="Normal"/>
    <w:rsid w:val="004355D1"/>
    <w:pPr>
      <w:shd w:val="clear" w:color="auto" w:fill="000080"/>
    </w:pPr>
    <w:rPr>
      <w:rFonts w:ascii="Tahoma" w:hAnsi="Tahoma" w:cs="Tahoma"/>
    </w:rPr>
  </w:style>
  <w:style w:type="paragraph" w:styleId="ListParagraph">
    <w:name w:val="List Paragraph"/>
    <w:basedOn w:val="Normal"/>
    <w:uiPriority w:val="34"/>
    <w:qFormat/>
    <w:rsid w:val="00E87F6D"/>
    <w:pPr>
      <w:ind w:left="720"/>
    </w:pPr>
  </w:style>
  <w:style w:type="table" w:styleId="TableGrid">
    <w:name w:val="Table Grid"/>
    <w:basedOn w:val="TableNormal"/>
    <w:rsid w:val="00FB27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F4628"/>
    <w:rPr>
      <w:rFonts w:ascii="Courier New" w:eastAsia="SimSun" w:hAnsi="Courier New" w:cs="Courier New"/>
      <w:lang w:eastAsia="ar-SA"/>
    </w:rPr>
  </w:style>
  <w:style w:type="character" w:customStyle="1" w:styleId="FooterChar">
    <w:name w:val="Footer Char"/>
    <w:basedOn w:val="DefaultParagraphFont"/>
    <w:link w:val="Footer"/>
    <w:uiPriority w:val="99"/>
    <w:rsid w:val="005F4628"/>
    <w:rPr>
      <w:rFonts w:ascii="Courier New" w:eastAsia="SimSun" w:hAnsi="Courier New" w:cs="Courier New"/>
      <w:lang w:eastAsia="ar-SA"/>
    </w:rPr>
  </w:style>
  <w:style w:type="paragraph" w:styleId="EndnoteText">
    <w:name w:val="endnote text"/>
    <w:basedOn w:val="Normal"/>
    <w:link w:val="EndnoteTextChar"/>
    <w:rsid w:val="000D6428"/>
  </w:style>
  <w:style w:type="character" w:customStyle="1" w:styleId="EndnoteTextChar">
    <w:name w:val="Endnote Text Char"/>
    <w:basedOn w:val="DefaultParagraphFont"/>
    <w:link w:val="EndnoteText"/>
    <w:rsid w:val="000D6428"/>
    <w:rPr>
      <w:rFonts w:ascii="Courier New" w:eastAsia="SimSun" w:hAnsi="Courier New" w:cs="Courier New"/>
      <w:lang w:eastAsia="ar-SA"/>
    </w:rPr>
  </w:style>
  <w:style w:type="character" w:styleId="EndnoteReference">
    <w:name w:val="endnote reference"/>
    <w:basedOn w:val="DefaultParagraphFont"/>
    <w:rsid w:val="000D6428"/>
    <w:rPr>
      <w:vertAlign w:val="superscript"/>
    </w:rPr>
  </w:style>
  <w:style w:type="paragraph" w:styleId="FootnoteText">
    <w:name w:val="footnote text"/>
    <w:basedOn w:val="Normal"/>
    <w:link w:val="FootnoteTextChar"/>
    <w:rsid w:val="000D6428"/>
  </w:style>
  <w:style w:type="character" w:customStyle="1" w:styleId="FootnoteTextChar">
    <w:name w:val="Footnote Text Char"/>
    <w:basedOn w:val="DefaultParagraphFont"/>
    <w:link w:val="FootnoteText"/>
    <w:rsid w:val="000D6428"/>
    <w:rPr>
      <w:rFonts w:ascii="Courier New" w:eastAsia="SimSun" w:hAnsi="Courier New" w:cs="Courier New"/>
      <w:lang w:eastAsia="ar-SA"/>
    </w:rPr>
  </w:style>
  <w:style w:type="character" w:styleId="FootnoteReference">
    <w:name w:val="footnote reference"/>
    <w:basedOn w:val="DefaultParagraphFont"/>
    <w:rsid w:val="000D64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5D1"/>
    <w:pPr>
      <w:widowControl w:val="0"/>
      <w:suppressAutoHyphens/>
      <w:autoSpaceDE w:val="0"/>
    </w:pPr>
    <w:rPr>
      <w:rFonts w:ascii="Courier New" w:eastAsia="SimSun" w:hAnsi="Courier New" w:cs="Courier Ne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355D1"/>
    <w:pPr>
      <w:keepNext/>
      <w:spacing w:before="240" w:after="120"/>
    </w:pPr>
    <w:rPr>
      <w:rFonts w:ascii="Arial" w:eastAsia="Lucida Sans Unicode" w:hAnsi="Arial" w:cs="Tahoma"/>
      <w:sz w:val="28"/>
      <w:szCs w:val="28"/>
    </w:rPr>
  </w:style>
  <w:style w:type="paragraph" w:styleId="BodyText">
    <w:name w:val="Body Text"/>
    <w:basedOn w:val="Normal"/>
    <w:rsid w:val="004355D1"/>
    <w:pPr>
      <w:spacing w:after="120"/>
    </w:pPr>
  </w:style>
  <w:style w:type="paragraph" w:styleId="List">
    <w:name w:val="List"/>
    <w:basedOn w:val="BodyText"/>
    <w:rsid w:val="004355D1"/>
    <w:rPr>
      <w:rFonts w:cs="Tahoma"/>
    </w:rPr>
  </w:style>
  <w:style w:type="paragraph" w:styleId="Caption">
    <w:name w:val="caption"/>
    <w:basedOn w:val="Normal"/>
    <w:qFormat/>
    <w:rsid w:val="004355D1"/>
    <w:pPr>
      <w:suppressLineNumbers/>
      <w:spacing w:before="120" w:after="120"/>
    </w:pPr>
    <w:rPr>
      <w:rFonts w:cs="Tahoma"/>
      <w:i/>
      <w:iCs/>
      <w:sz w:val="24"/>
      <w:szCs w:val="24"/>
    </w:rPr>
  </w:style>
  <w:style w:type="paragraph" w:customStyle="1" w:styleId="Index">
    <w:name w:val="Index"/>
    <w:basedOn w:val="Normal"/>
    <w:rsid w:val="004355D1"/>
    <w:pPr>
      <w:suppressLineNumbers/>
    </w:pPr>
    <w:rPr>
      <w:rFonts w:cs="Tahoma"/>
    </w:rPr>
  </w:style>
  <w:style w:type="paragraph" w:styleId="Header">
    <w:name w:val="header"/>
    <w:basedOn w:val="Normal"/>
    <w:link w:val="HeaderChar"/>
    <w:uiPriority w:val="99"/>
    <w:rsid w:val="004355D1"/>
    <w:pPr>
      <w:tabs>
        <w:tab w:val="center" w:pos="4320"/>
        <w:tab w:val="right" w:pos="8640"/>
      </w:tabs>
    </w:pPr>
  </w:style>
  <w:style w:type="paragraph" w:styleId="Footer">
    <w:name w:val="footer"/>
    <w:basedOn w:val="Normal"/>
    <w:link w:val="FooterChar"/>
    <w:uiPriority w:val="99"/>
    <w:rsid w:val="004355D1"/>
    <w:pPr>
      <w:tabs>
        <w:tab w:val="center" w:pos="4320"/>
        <w:tab w:val="right" w:pos="8640"/>
      </w:tabs>
    </w:pPr>
  </w:style>
  <w:style w:type="paragraph" w:styleId="BalloonText">
    <w:name w:val="Balloon Text"/>
    <w:basedOn w:val="Normal"/>
    <w:rsid w:val="004355D1"/>
    <w:rPr>
      <w:rFonts w:ascii="Tahoma" w:hAnsi="Tahoma" w:cs="Tahoma"/>
      <w:sz w:val="16"/>
      <w:szCs w:val="16"/>
    </w:rPr>
  </w:style>
  <w:style w:type="paragraph" w:styleId="DocumentMap">
    <w:name w:val="Document Map"/>
    <w:basedOn w:val="Normal"/>
    <w:rsid w:val="004355D1"/>
    <w:pPr>
      <w:shd w:val="clear" w:color="auto" w:fill="000080"/>
    </w:pPr>
    <w:rPr>
      <w:rFonts w:ascii="Tahoma" w:hAnsi="Tahoma" w:cs="Tahoma"/>
    </w:rPr>
  </w:style>
  <w:style w:type="paragraph" w:styleId="ListParagraph">
    <w:name w:val="List Paragraph"/>
    <w:basedOn w:val="Normal"/>
    <w:uiPriority w:val="34"/>
    <w:qFormat/>
    <w:rsid w:val="00E87F6D"/>
    <w:pPr>
      <w:ind w:left="720"/>
    </w:pPr>
  </w:style>
  <w:style w:type="table" w:styleId="TableGrid">
    <w:name w:val="Table Grid"/>
    <w:basedOn w:val="TableNormal"/>
    <w:rsid w:val="00FB27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F4628"/>
    <w:rPr>
      <w:rFonts w:ascii="Courier New" w:eastAsia="SimSun" w:hAnsi="Courier New" w:cs="Courier New"/>
      <w:lang w:eastAsia="ar-SA"/>
    </w:rPr>
  </w:style>
  <w:style w:type="character" w:customStyle="1" w:styleId="FooterChar">
    <w:name w:val="Footer Char"/>
    <w:basedOn w:val="DefaultParagraphFont"/>
    <w:link w:val="Footer"/>
    <w:uiPriority w:val="99"/>
    <w:rsid w:val="005F4628"/>
    <w:rPr>
      <w:rFonts w:ascii="Courier New" w:eastAsia="SimSun" w:hAnsi="Courier New" w:cs="Courier New"/>
      <w:lang w:eastAsia="ar-SA"/>
    </w:rPr>
  </w:style>
  <w:style w:type="paragraph" w:styleId="EndnoteText">
    <w:name w:val="endnote text"/>
    <w:basedOn w:val="Normal"/>
    <w:link w:val="EndnoteTextChar"/>
    <w:rsid w:val="000D6428"/>
  </w:style>
  <w:style w:type="character" w:customStyle="1" w:styleId="EndnoteTextChar">
    <w:name w:val="Endnote Text Char"/>
    <w:basedOn w:val="DefaultParagraphFont"/>
    <w:link w:val="EndnoteText"/>
    <w:rsid w:val="000D6428"/>
    <w:rPr>
      <w:rFonts w:ascii="Courier New" w:eastAsia="SimSun" w:hAnsi="Courier New" w:cs="Courier New"/>
      <w:lang w:eastAsia="ar-SA"/>
    </w:rPr>
  </w:style>
  <w:style w:type="character" w:styleId="EndnoteReference">
    <w:name w:val="endnote reference"/>
    <w:basedOn w:val="DefaultParagraphFont"/>
    <w:rsid w:val="000D6428"/>
    <w:rPr>
      <w:vertAlign w:val="superscript"/>
    </w:rPr>
  </w:style>
  <w:style w:type="paragraph" w:styleId="FootnoteText">
    <w:name w:val="footnote text"/>
    <w:basedOn w:val="Normal"/>
    <w:link w:val="FootnoteTextChar"/>
    <w:rsid w:val="000D6428"/>
  </w:style>
  <w:style w:type="character" w:customStyle="1" w:styleId="FootnoteTextChar">
    <w:name w:val="Footnote Text Char"/>
    <w:basedOn w:val="DefaultParagraphFont"/>
    <w:link w:val="FootnoteText"/>
    <w:rsid w:val="000D6428"/>
    <w:rPr>
      <w:rFonts w:ascii="Courier New" w:eastAsia="SimSun" w:hAnsi="Courier New" w:cs="Courier New"/>
      <w:lang w:eastAsia="ar-SA"/>
    </w:rPr>
  </w:style>
  <w:style w:type="character" w:styleId="FootnoteReference">
    <w:name w:val="footnote reference"/>
    <w:basedOn w:val="DefaultParagraphFont"/>
    <w:rsid w:val="000D64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ADDENDUM TO THE SUPPORTING STATEMENT FOR FORM SSA-787</vt:lpstr>
    </vt:vector>
  </TitlesOfParts>
  <Company>Social Security Administration</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SUPPORTING STATEMENT FOR FORM SSA-787</dc:title>
  <dc:creator>Faye Lipsky</dc:creator>
  <cp:lastModifiedBy>Naomi</cp:lastModifiedBy>
  <cp:revision>3</cp:revision>
  <cp:lastPrinted>2010-10-14T20:27:00Z</cp:lastPrinted>
  <dcterms:created xsi:type="dcterms:W3CDTF">2011-06-16T17:28:00Z</dcterms:created>
  <dcterms:modified xsi:type="dcterms:W3CDTF">2011-06-16T17:29:00Z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-1330993370</vt:i4>
  </property>
  <property fmtid="{D5CDD505-2E9C-101B-9397-08002B2CF9AE}" pid="4" name="_EmailSubject">
    <vt:lpwstr>Social Security Administration Eligible Non-Attorney Representative Application - OMB Number 0960-0699</vt:lpwstr>
  </property>
  <property fmtid="{D5CDD505-2E9C-101B-9397-08002B2CF9AE}" pid="5" name="_AuthorEmail">
    <vt:lpwstr>Alicia.Wood@ssa.gov</vt:lpwstr>
  </property>
  <property fmtid="{D5CDD505-2E9C-101B-9397-08002B2CF9AE}" pid="6" name="_AuthorEmailDisplayName">
    <vt:lpwstr>Wood, Alicia</vt:lpwstr>
  </property>
  <property fmtid="{D5CDD505-2E9C-101B-9397-08002B2CF9AE}" pid="7" name="_ReviewingToolsShownOnce">
    <vt:lpwstr/>
  </property>
</Properties>
</file>