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6B1" w:rsidRPr="006B60C9" w:rsidRDefault="00F107B7"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6B60C9">
        <w:rPr>
          <w:rFonts w:ascii="Times New Roman" w:hAnsi="Times New Roman" w:cs="Times New Roman"/>
        </w:rPr>
        <w:t xml:space="preserve">Supporting Statement for </w:t>
      </w:r>
    </w:p>
    <w:p w:rsidR="00BA42D5" w:rsidRDefault="003E4C2F"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 xml:space="preserve">Social Security Administration </w:t>
      </w:r>
      <w:r w:rsidR="003F71F6">
        <w:rPr>
          <w:rFonts w:ascii="Times New Roman" w:hAnsi="Times New Roman" w:cs="Times New Roman"/>
        </w:rPr>
        <w:t xml:space="preserve">(SSA) </w:t>
      </w:r>
      <w:r>
        <w:rPr>
          <w:rFonts w:ascii="Times New Roman" w:hAnsi="Times New Roman" w:cs="Times New Roman"/>
        </w:rPr>
        <w:t xml:space="preserve">Eligible </w:t>
      </w:r>
      <w:r w:rsidR="005A36B1" w:rsidRPr="006B60C9">
        <w:rPr>
          <w:rFonts w:ascii="Times New Roman" w:hAnsi="Times New Roman" w:cs="Times New Roman"/>
        </w:rPr>
        <w:t>Non-</w:t>
      </w:r>
      <w:r w:rsidR="0093637C">
        <w:rPr>
          <w:rFonts w:ascii="Times New Roman" w:hAnsi="Times New Roman" w:cs="Times New Roman"/>
        </w:rPr>
        <w:t>Attorney Representative</w:t>
      </w:r>
    </w:p>
    <w:p w:rsidR="00146275" w:rsidRPr="00BA42D5" w:rsidRDefault="00BA42D5"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A42D5">
        <w:rPr>
          <w:rFonts w:ascii="Times New Roman" w:hAnsi="Times New Roman"/>
        </w:rPr>
        <w:t>Direct Fee Payment Rules (RIN 0960-AH21), Regulation 3625I</w:t>
      </w:r>
      <w:r w:rsidR="0093637C" w:rsidRPr="00BA42D5">
        <w:rPr>
          <w:rFonts w:ascii="Times New Roman" w:hAnsi="Times New Roman" w:cs="Times New Roman"/>
        </w:rPr>
        <w:t xml:space="preserve"> </w:t>
      </w:r>
    </w:p>
    <w:p w:rsidR="00EE2B61" w:rsidRPr="00337F97" w:rsidRDefault="00EE2B61" w:rsidP="00EE2B61">
      <w:pPr>
        <w:jc w:val="center"/>
        <w:rPr>
          <w:rFonts w:ascii="Times New Roman" w:hAnsi="Times New Roman"/>
          <w:b/>
        </w:rPr>
      </w:pPr>
      <w:r w:rsidRPr="00337F97">
        <w:rPr>
          <w:rFonts w:ascii="Times New Roman" w:hAnsi="Times New Roman"/>
          <w:b/>
        </w:rPr>
        <w:t>20 CFR 404.17</w:t>
      </w:r>
      <w:r w:rsidR="00A03A61">
        <w:rPr>
          <w:rFonts w:ascii="Times New Roman" w:hAnsi="Times New Roman"/>
          <w:b/>
        </w:rPr>
        <w:t>17, 404.17</w:t>
      </w:r>
      <w:r w:rsidRPr="00337F97">
        <w:rPr>
          <w:rFonts w:ascii="Times New Roman" w:hAnsi="Times New Roman"/>
          <w:b/>
        </w:rPr>
        <w:t>45-404.1799</w:t>
      </w:r>
      <w:r w:rsidR="00A03A61">
        <w:rPr>
          <w:rFonts w:ascii="Times New Roman" w:hAnsi="Times New Roman"/>
          <w:b/>
        </w:rPr>
        <w:t xml:space="preserve">, and </w:t>
      </w:r>
      <w:r w:rsidRPr="00337F97">
        <w:rPr>
          <w:rFonts w:ascii="Times New Roman" w:hAnsi="Times New Roman"/>
          <w:b/>
        </w:rPr>
        <w:t>20 CFR 416.</w:t>
      </w:r>
      <w:r w:rsidR="00A03A61">
        <w:rPr>
          <w:rFonts w:ascii="Times New Roman" w:hAnsi="Times New Roman"/>
          <w:b/>
        </w:rPr>
        <w:t>1517, 416.</w:t>
      </w:r>
      <w:r w:rsidRPr="00337F97">
        <w:rPr>
          <w:rFonts w:ascii="Times New Roman" w:hAnsi="Times New Roman"/>
          <w:b/>
        </w:rPr>
        <w:t>1545-416.1599</w:t>
      </w:r>
    </w:p>
    <w:p w:rsidR="00A45D82" w:rsidRPr="001D0E07" w:rsidRDefault="005A36B1"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sz w:val="28"/>
          <w:szCs w:val="28"/>
        </w:rPr>
      </w:pPr>
      <w:r w:rsidRPr="006B60C9">
        <w:rPr>
          <w:rFonts w:ascii="Times New Roman" w:hAnsi="Times New Roman" w:cs="Times New Roman"/>
        </w:rPr>
        <w:t>OMB No. 0960-0699</w:t>
      </w:r>
      <w:r w:rsidR="004F4358" w:rsidRPr="006B60C9">
        <w:rPr>
          <w:rFonts w:ascii="Times New Roman" w:hAnsi="Times New Roman" w:cs="Times New Roman"/>
        </w:rPr>
        <w:t xml:space="preserve"> </w:t>
      </w:r>
    </w:p>
    <w:p w:rsidR="00146275" w:rsidRPr="00BC7F42" w:rsidRDefault="00146275" w:rsidP="00F107B7">
      <w:pPr>
        <w:jc w:val="center"/>
        <w:rPr>
          <w:rFonts w:ascii="Times New Roman" w:hAnsi="Times New Roman"/>
          <w:b/>
          <w:color w:val="0000FF"/>
        </w:rPr>
      </w:pPr>
    </w:p>
    <w:p w:rsidR="00A45D82" w:rsidRPr="00BC7F42" w:rsidRDefault="00A45D82" w:rsidP="00A45D82">
      <w:pPr>
        <w:pStyle w:val="Header"/>
        <w:tabs>
          <w:tab w:val="clear" w:pos="4320"/>
          <w:tab w:val="clear" w:pos="8640"/>
        </w:tabs>
        <w:rPr>
          <w:rFonts w:ascii="Times New Roman" w:hAnsi="Times New Roman"/>
        </w:rPr>
      </w:pPr>
    </w:p>
    <w:p w:rsidR="00A45D82" w:rsidRPr="002321B0" w:rsidRDefault="00A45D82" w:rsidP="00A45D82">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RDefault="00A45D82" w:rsidP="00A45D82">
      <w:pPr>
        <w:pStyle w:val="Header"/>
        <w:tabs>
          <w:tab w:val="clear" w:pos="4320"/>
          <w:tab w:val="clear" w:pos="8640"/>
        </w:tabs>
        <w:rPr>
          <w:rFonts w:ascii="Times New Roman" w:hAnsi="Times New Roman"/>
        </w:rPr>
      </w:pPr>
    </w:p>
    <w:p w:rsidR="006B60C9" w:rsidRPr="006B60C9" w:rsidRDefault="002E18CF" w:rsidP="00C218B2">
      <w:pPr>
        <w:numPr>
          <w:ilvl w:val="0"/>
          <w:numId w:val="18"/>
        </w:numPr>
        <w:rPr>
          <w:rFonts w:ascii="Times New Roman" w:hAnsi="Times New Roman"/>
          <w:b/>
        </w:rPr>
      </w:pPr>
      <w:r>
        <w:rPr>
          <w:rFonts w:ascii="Times New Roman" w:hAnsi="Times New Roman"/>
          <w:b/>
        </w:rPr>
        <w:t>Introduction/</w:t>
      </w:r>
      <w:r w:rsidR="00A45D82" w:rsidRPr="00BC7F42">
        <w:rPr>
          <w:rFonts w:ascii="Times New Roman" w:hAnsi="Times New Roman"/>
          <w:b/>
        </w:rPr>
        <w:t>Authoring Laws and Regulations</w:t>
      </w:r>
    </w:p>
    <w:p w:rsidR="00C218B2" w:rsidRPr="00C218B2" w:rsidRDefault="00730835" w:rsidP="006B60C9">
      <w:pPr>
        <w:ind w:left="720"/>
        <w:rPr>
          <w:rFonts w:ascii="Times New Roman" w:hAnsi="Times New Roman"/>
          <w:b/>
        </w:rPr>
      </w:pPr>
      <w:r w:rsidRPr="00B7414A">
        <w:rPr>
          <w:rFonts w:ascii="Times New Roman" w:hAnsi="Times New Roman"/>
          <w:szCs w:val="22"/>
        </w:rPr>
        <w:t xml:space="preserve">Section </w:t>
      </w:r>
      <w:r w:rsidRPr="00534C1B">
        <w:rPr>
          <w:rFonts w:ascii="Times New Roman" w:hAnsi="Times New Roman"/>
          <w:i/>
          <w:szCs w:val="22"/>
        </w:rPr>
        <w:t>3</w:t>
      </w:r>
      <w:r>
        <w:rPr>
          <w:rFonts w:ascii="Times New Roman" w:hAnsi="Times New Roman"/>
          <w:szCs w:val="22"/>
        </w:rPr>
        <w:t xml:space="preserve"> of the </w:t>
      </w:r>
      <w:r w:rsidRPr="00730835">
        <w:rPr>
          <w:rFonts w:ascii="Times New Roman" w:hAnsi="Times New Roman"/>
          <w:i/>
          <w:szCs w:val="22"/>
        </w:rPr>
        <w:t>Social Security Disability Applicants Access to Professional Representation Act</w:t>
      </w:r>
      <w:r>
        <w:rPr>
          <w:rFonts w:ascii="Times New Roman" w:hAnsi="Times New Roman"/>
          <w:szCs w:val="22"/>
        </w:rPr>
        <w:t xml:space="preserve"> (</w:t>
      </w:r>
      <w:r w:rsidRPr="00032A65">
        <w:rPr>
          <w:rFonts w:ascii="Times New Roman" w:hAnsi="Times New Roman"/>
          <w:i/>
          <w:szCs w:val="22"/>
        </w:rPr>
        <w:t>PRA)</w:t>
      </w:r>
      <w:r w:rsidR="00032A65" w:rsidRPr="00032A65">
        <w:rPr>
          <w:rFonts w:ascii="Times New Roman" w:hAnsi="Times New Roman"/>
          <w:i/>
          <w:szCs w:val="22"/>
        </w:rPr>
        <w:t xml:space="preserve"> </w:t>
      </w:r>
      <w:r w:rsidR="00032A65" w:rsidRPr="00B7414A">
        <w:rPr>
          <w:rFonts w:ascii="Times New Roman" w:hAnsi="Times New Roman"/>
          <w:szCs w:val="22"/>
        </w:rPr>
        <w:t>of</w:t>
      </w:r>
      <w:r w:rsidR="00032A65" w:rsidRPr="00032A65">
        <w:rPr>
          <w:rFonts w:ascii="Times New Roman" w:hAnsi="Times New Roman"/>
          <w:i/>
          <w:szCs w:val="22"/>
        </w:rPr>
        <w:t xml:space="preserve"> 2010</w:t>
      </w:r>
      <w:r w:rsidR="007A7F62">
        <w:rPr>
          <w:rFonts w:ascii="Times New Roman" w:hAnsi="Times New Roman"/>
          <w:i/>
          <w:szCs w:val="22"/>
        </w:rPr>
        <w:t xml:space="preserve">, </w:t>
      </w:r>
      <w:r w:rsidR="00032A65" w:rsidRPr="00032A65">
        <w:rPr>
          <w:rFonts w:ascii="Times New Roman" w:hAnsi="Times New Roman"/>
          <w:i/>
          <w:szCs w:val="22"/>
        </w:rPr>
        <w:t>Public Law</w:t>
      </w:r>
      <w:r w:rsidR="00581E9E">
        <w:rPr>
          <w:rFonts w:ascii="Times New Roman" w:hAnsi="Times New Roman"/>
          <w:i/>
          <w:szCs w:val="22"/>
        </w:rPr>
        <w:t xml:space="preserve"> </w:t>
      </w:r>
      <w:r w:rsidR="0071271B">
        <w:rPr>
          <w:rFonts w:ascii="Times New Roman" w:hAnsi="Times New Roman"/>
          <w:i/>
          <w:szCs w:val="22"/>
        </w:rPr>
        <w:t>(P</w:t>
      </w:r>
      <w:r w:rsidR="00B7414A">
        <w:rPr>
          <w:rFonts w:ascii="Times New Roman" w:hAnsi="Times New Roman"/>
          <w:i/>
          <w:szCs w:val="22"/>
        </w:rPr>
        <w:t>ub</w:t>
      </w:r>
      <w:r w:rsidR="0071271B">
        <w:rPr>
          <w:rFonts w:ascii="Times New Roman" w:hAnsi="Times New Roman"/>
          <w:i/>
          <w:szCs w:val="22"/>
        </w:rPr>
        <w:t>.L.)</w:t>
      </w:r>
      <w:r w:rsidR="00032A65" w:rsidRPr="00032A65">
        <w:rPr>
          <w:rFonts w:ascii="Times New Roman" w:hAnsi="Times New Roman"/>
          <w:i/>
          <w:szCs w:val="22"/>
        </w:rPr>
        <w:t xml:space="preserve"> 111-142</w:t>
      </w:r>
      <w:r w:rsidR="00B7414A">
        <w:rPr>
          <w:rFonts w:ascii="Times New Roman" w:hAnsi="Times New Roman"/>
          <w:i/>
          <w:szCs w:val="22"/>
        </w:rPr>
        <w:t>,</w:t>
      </w:r>
      <w:r w:rsidR="007A7F62">
        <w:rPr>
          <w:rFonts w:ascii="Times New Roman" w:hAnsi="Times New Roman"/>
          <w:i/>
          <w:szCs w:val="22"/>
        </w:rPr>
        <w:t xml:space="preserve"> </w:t>
      </w:r>
      <w:r>
        <w:rPr>
          <w:rFonts w:ascii="Times New Roman" w:hAnsi="Times New Roman"/>
          <w:szCs w:val="22"/>
        </w:rPr>
        <w:t>permanently extend</w:t>
      </w:r>
      <w:r w:rsidR="007A7F62">
        <w:rPr>
          <w:rFonts w:ascii="Times New Roman" w:hAnsi="Times New Roman"/>
          <w:szCs w:val="22"/>
        </w:rPr>
        <w:t>s</w:t>
      </w:r>
      <w:r w:rsidR="00A15771">
        <w:rPr>
          <w:rFonts w:ascii="Times New Roman" w:hAnsi="Times New Roman"/>
          <w:szCs w:val="22"/>
        </w:rPr>
        <w:t xml:space="preserve"> </w:t>
      </w:r>
      <w:r>
        <w:rPr>
          <w:rFonts w:ascii="Times New Roman" w:hAnsi="Times New Roman"/>
          <w:szCs w:val="22"/>
        </w:rPr>
        <w:t xml:space="preserve">the direct payment provision </w:t>
      </w:r>
      <w:r w:rsidR="00A15771">
        <w:rPr>
          <w:rFonts w:ascii="Times New Roman" w:hAnsi="Times New Roman"/>
          <w:szCs w:val="22"/>
        </w:rPr>
        <w:t>of</w:t>
      </w:r>
      <w:r w:rsidR="00BD1D75">
        <w:rPr>
          <w:rFonts w:ascii="Times New Roman" w:hAnsi="Times New Roman"/>
          <w:szCs w:val="22"/>
        </w:rPr>
        <w:t xml:space="preserve"> </w:t>
      </w:r>
      <w:r w:rsidR="00BD1D75" w:rsidRPr="002A3A4D">
        <w:rPr>
          <w:rFonts w:ascii="Times New Roman" w:hAnsi="Times New Roman"/>
          <w:szCs w:val="22"/>
        </w:rPr>
        <w:t>Section</w:t>
      </w:r>
      <w:r w:rsidR="00BD1D75" w:rsidRPr="00BD1D75">
        <w:rPr>
          <w:rFonts w:ascii="Times New Roman" w:hAnsi="Times New Roman"/>
          <w:i/>
          <w:szCs w:val="22"/>
        </w:rPr>
        <w:t xml:space="preserve"> </w:t>
      </w:r>
      <w:r w:rsidR="00A15771" w:rsidRPr="00C218B2">
        <w:rPr>
          <w:rFonts w:ascii="Times New Roman" w:hAnsi="Times New Roman"/>
          <w:i/>
          <w:szCs w:val="22"/>
        </w:rPr>
        <w:t>303</w:t>
      </w:r>
      <w:r w:rsidR="00C218B2" w:rsidRPr="00C218B2">
        <w:rPr>
          <w:rFonts w:ascii="Times New Roman" w:hAnsi="Times New Roman"/>
          <w:i/>
          <w:szCs w:val="22"/>
        </w:rPr>
        <w:t xml:space="preserve"> </w:t>
      </w:r>
      <w:r w:rsidR="00C218B2" w:rsidRPr="00133C3A">
        <w:rPr>
          <w:rFonts w:ascii="Times New Roman" w:hAnsi="Times New Roman"/>
          <w:szCs w:val="22"/>
        </w:rPr>
        <w:t xml:space="preserve">of the </w:t>
      </w:r>
      <w:r w:rsidR="00C218B2" w:rsidRPr="00C218B2">
        <w:rPr>
          <w:rFonts w:ascii="Times New Roman" w:hAnsi="Times New Roman"/>
          <w:i/>
          <w:szCs w:val="22"/>
        </w:rPr>
        <w:t>Social Security Protection Ac</w:t>
      </w:r>
      <w:r w:rsidR="00200FF6">
        <w:rPr>
          <w:rFonts w:ascii="Times New Roman" w:hAnsi="Times New Roman"/>
          <w:i/>
          <w:szCs w:val="22"/>
        </w:rPr>
        <w:t>t (</w:t>
      </w:r>
      <w:proofErr w:type="spellStart"/>
      <w:r w:rsidR="00200FF6">
        <w:rPr>
          <w:rFonts w:ascii="Times New Roman" w:hAnsi="Times New Roman"/>
          <w:i/>
          <w:szCs w:val="22"/>
        </w:rPr>
        <w:t>SSPA</w:t>
      </w:r>
      <w:proofErr w:type="spellEnd"/>
      <w:r w:rsidR="00200FF6">
        <w:rPr>
          <w:rFonts w:ascii="Times New Roman" w:hAnsi="Times New Roman"/>
          <w:i/>
          <w:szCs w:val="22"/>
        </w:rPr>
        <w:t xml:space="preserve">) </w:t>
      </w:r>
      <w:r w:rsidR="00200FF6" w:rsidRPr="002A3A4D">
        <w:rPr>
          <w:rFonts w:ascii="Times New Roman" w:hAnsi="Times New Roman"/>
          <w:szCs w:val="22"/>
        </w:rPr>
        <w:t>of</w:t>
      </w:r>
      <w:r w:rsidR="00200FF6">
        <w:rPr>
          <w:rFonts w:ascii="Times New Roman" w:hAnsi="Times New Roman"/>
          <w:i/>
          <w:szCs w:val="22"/>
        </w:rPr>
        <w:t xml:space="preserve"> 2004</w:t>
      </w:r>
      <w:r w:rsidR="002A3A4D">
        <w:rPr>
          <w:rFonts w:ascii="Times New Roman" w:hAnsi="Times New Roman"/>
          <w:i/>
          <w:szCs w:val="22"/>
        </w:rPr>
        <w:t>,</w:t>
      </w:r>
      <w:r w:rsidR="00200FF6">
        <w:rPr>
          <w:rFonts w:ascii="Times New Roman" w:hAnsi="Times New Roman"/>
          <w:i/>
          <w:szCs w:val="22"/>
        </w:rPr>
        <w:t xml:space="preserve"> </w:t>
      </w:r>
      <w:proofErr w:type="spellStart"/>
      <w:r w:rsidR="0071271B">
        <w:rPr>
          <w:rFonts w:ascii="Times New Roman" w:hAnsi="Times New Roman"/>
          <w:i/>
          <w:szCs w:val="22"/>
        </w:rPr>
        <w:t>P</w:t>
      </w:r>
      <w:r w:rsidR="002A3A4D">
        <w:rPr>
          <w:rFonts w:ascii="Times New Roman" w:hAnsi="Times New Roman"/>
          <w:i/>
          <w:szCs w:val="22"/>
        </w:rPr>
        <w:t>ub</w:t>
      </w:r>
      <w:r w:rsidR="00BA04EA">
        <w:rPr>
          <w:rFonts w:ascii="Times New Roman" w:hAnsi="Times New Roman"/>
          <w:i/>
          <w:szCs w:val="22"/>
        </w:rPr>
        <w:t>.L</w:t>
      </w:r>
      <w:proofErr w:type="spellEnd"/>
      <w:r w:rsidR="00BA04EA">
        <w:rPr>
          <w:rFonts w:ascii="Times New Roman" w:hAnsi="Times New Roman"/>
          <w:i/>
          <w:szCs w:val="22"/>
        </w:rPr>
        <w:t xml:space="preserve">. </w:t>
      </w:r>
      <w:r w:rsidR="00C218B2" w:rsidRPr="00C218B2">
        <w:rPr>
          <w:rFonts w:ascii="Times New Roman" w:hAnsi="Times New Roman"/>
          <w:i/>
          <w:szCs w:val="22"/>
        </w:rPr>
        <w:t>108-203</w:t>
      </w:r>
      <w:r w:rsidR="00112DA1">
        <w:rPr>
          <w:rFonts w:ascii="Times New Roman" w:hAnsi="Times New Roman"/>
          <w:szCs w:val="22"/>
        </w:rPr>
        <w:t>. The</w:t>
      </w:r>
      <w:r>
        <w:rPr>
          <w:rFonts w:ascii="Times New Roman" w:hAnsi="Times New Roman"/>
          <w:szCs w:val="22"/>
        </w:rPr>
        <w:t xml:space="preserve"> </w:t>
      </w:r>
      <w:r w:rsidRPr="00050686">
        <w:rPr>
          <w:rFonts w:ascii="Times New Roman" w:hAnsi="Times New Roman"/>
          <w:i/>
          <w:szCs w:val="22"/>
        </w:rPr>
        <w:t>PRA</w:t>
      </w:r>
      <w:r>
        <w:rPr>
          <w:rFonts w:ascii="Times New Roman" w:hAnsi="Times New Roman"/>
          <w:szCs w:val="22"/>
        </w:rPr>
        <w:t xml:space="preserve"> permit</w:t>
      </w:r>
      <w:r w:rsidR="00A15771">
        <w:rPr>
          <w:rFonts w:ascii="Times New Roman" w:hAnsi="Times New Roman"/>
          <w:szCs w:val="22"/>
        </w:rPr>
        <w:t>s</w:t>
      </w:r>
      <w:r>
        <w:rPr>
          <w:rFonts w:ascii="Times New Roman" w:hAnsi="Times New Roman"/>
          <w:szCs w:val="22"/>
        </w:rPr>
        <w:t xml:space="preserve"> </w:t>
      </w:r>
      <w:r w:rsidR="003072F0">
        <w:rPr>
          <w:rFonts w:ascii="Times New Roman" w:hAnsi="Times New Roman"/>
          <w:szCs w:val="22"/>
        </w:rPr>
        <w:t xml:space="preserve">the Social Security </w:t>
      </w:r>
      <w:r w:rsidR="003F71F6">
        <w:rPr>
          <w:rFonts w:ascii="Times New Roman" w:hAnsi="Times New Roman"/>
          <w:szCs w:val="22"/>
        </w:rPr>
        <w:t>A</w:t>
      </w:r>
      <w:r w:rsidR="003072F0">
        <w:rPr>
          <w:rFonts w:ascii="Times New Roman" w:hAnsi="Times New Roman"/>
          <w:szCs w:val="22"/>
        </w:rPr>
        <w:t>dministration (SSA)</w:t>
      </w:r>
      <w:r>
        <w:rPr>
          <w:rFonts w:ascii="Times New Roman" w:hAnsi="Times New Roman"/>
          <w:szCs w:val="22"/>
        </w:rPr>
        <w:t xml:space="preserve"> to </w:t>
      </w:r>
      <w:r w:rsidR="00A71ABB">
        <w:rPr>
          <w:rFonts w:ascii="Times New Roman" w:hAnsi="Times New Roman"/>
          <w:szCs w:val="22"/>
        </w:rPr>
        <w:t xml:space="preserve">extend direct payment of approved fees from </w:t>
      </w:r>
      <w:r w:rsidR="007D79F1">
        <w:rPr>
          <w:rFonts w:ascii="Times New Roman" w:hAnsi="Times New Roman"/>
          <w:szCs w:val="22"/>
        </w:rPr>
        <w:t>claimants</w:t>
      </w:r>
      <w:r w:rsidR="005B35E2">
        <w:rPr>
          <w:rFonts w:ascii="Times New Roman" w:hAnsi="Times New Roman"/>
          <w:szCs w:val="22"/>
        </w:rPr>
        <w:t>’</w:t>
      </w:r>
      <w:r w:rsidR="00C218B2" w:rsidRPr="00C218B2">
        <w:rPr>
          <w:rFonts w:ascii="Times New Roman" w:hAnsi="Times New Roman"/>
          <w:szCs w:val="22"/>
        </w:rPr>
        <w:t xml:space="preserve"> past-due benefits</w:t>
      </w:r>
      <w:r w:rsidR="00A71ABB">
        <w:rPr>
          <w:rFonts w:ascii="Times New Roman" w:hAnsi="Times New Roman"/>
          <w:szCs w:val="22"/>
        </w:rPr>
        <w:t xml:space="preserve"> to certain non-attorney</w:t>
      </w:r>
      <w:r w:rsidR="00C218B2" w:rsidRPr="00C218B2">
        <w:rPr>
          <w:rFonts w:ascii="Times New Roman" w:hAnsi="Times New Roman"/>
          <w:szCs w:val="22"/>
        </w:rPr>
        <w:t xml:space="preserve"> representatives</w:t>
      </w:r>
      <w:r w:rsidR="002E012F" w:rsidRPr="00C218B2">
        <w:rPr>
          <w:rFonts w:ascii="Times New Roman" w:hAnsi="Times New Roman"/>
          <w:szCs w:val="22"/>
        </w:rPr>
        <w:t xml:space="preserve">. </w:t>
      </w:r>
      <w:r w:rsidR="00510224">
        <w:rPr>
          <w:rFonts w:ascii="Times New Roman" w:hAnsi="Times New Roman"/>
          <w:szCs w:val="22"/>
        </w:rPr>
        <w:t xml:space="preserve"> </w:t>
      </w:r>
      <w:r w:rsidR="00C218B2" w:rsidRPr="00C218B2">
        <w:rPr>
          <w:rFonts w:ascii="Times New Roman" w:hAnsi="Times New Roman"/>
          <w:szCs w:val="22"/>
        </w:rPr>
        <w:t>Prior to</w:t>
      </w:r>
      <w:r w:rsidR="008F66A8">
        <w:rPr>
          <w:rFonts w:ascii="Times New Roman" w:hAnsi="Times New Roman"/>
          <w:szCs w:val="22"/>
        </w:rPr>
        <w:t xml:space="preserve"> the </w:t>
      </w:r>
      <w:r w:rsidR="00C218B2" w:rsidRPr="00C218B2">
        <w:rPr>
          <w:rFonts w:ascii="Times New Roman" w:hAnsi="Times New Roman"/>
          <w:szCs w:val="22"/>
        </w:rPr>
        <w:t xml:space="preserve">enactment of the </w:t>
      </w:r>
      <w:r w:rsidR="007A7F62">
        <w:rPr>
          <w:rFonts w:ascii="Times New Roman" w:hAnsi="Times New Roman"/>
          <w:i/>
          <w:szCs w:val="22"/>
        </w:rPr>
        <w:t>SSPA</w:t>
      </w:r>
      <w:r w:rsidR="007A7F62">
        <w:rPr>
          <w:rFonts w:ascii="Times New Roman" w:hAnsi="Times New Roman"/>
          <w:szCs w:val="22"/>
        </w:rPr>
        <w:t xml:space="preserve"> and</w:t>
      </w:r>
      <w:r w:rsidR="007A7F62">
        <w:rPr>
          <w:rFonts w:ascii="Times New Roman" w:hAnsi="Times New Roman"/>
          <w:i/>
          <w:szCs w:val="22"/>
        </w:rPr>
        <w:t xml:space="preserve"> </w:t>
      </w:r>
      <w:r w:rsidR="00A15771">
        <w:rPr>
          <w:rFonts w:ascii="Times New Roman" w:hAnsi="Times New Roman"/>
          <w:i/>
          <w:szCs w:val="22"/>
        </w:rPr>
        <w:t>PRA</w:t>
      </w:r>
      <w:r w:rsidR="00C218B2" w:rsidRPr="00C218B2">
        <w:rPr>
          <w:rFonts w:ascii="Times New Roman" w:hAnsi="Times New Roman"/>
          <w:szCs w:val="22"/>
        </w:rPr>
        <w:t xml:space="preserve">, </w:t>
      </w:r>
      <w:r w:rsidR="00181088">
        <w:rPr>
          <w:rFonts w:ascii="Times New Roman" w:hAnsi="Times New Roman"/>
          <w:szCs w:val="22"/>
        </w:rPr>
        <w:t xml:space="preserve">only attorneys </w:t>
      </w:r>
      <w:r w:rsidR="00BD1D75">
        <w:rPr>
          <w:rFonts w:ascii="Times New Roman" w:hAnsi="Times New Roman"/>
          <w:szCs w:val="22"/>
        </w:rPr>
        <w:t xml:space="preserve">could </w:t>
      </w:r>
      <w:r w:rsidR="00032A65">
        <w:rPr>
          <w:rFonts w:ascii="Times New Roman" w:hAnsi="Times New Roman"/>
          <w:szCs w:val="22"/>
        </w:rPr>
        <w:t>receive</w:t>
      </w:r>
      <w:r w:rsidR="00181088">
        <w:rPr>
          <w:rFonts w:ascii="Times New Roman" w:hAnsi="Times New Roman"/>
          <w:szCs w:val="22"/>
        </w:rPr>
        <w:t xml:space="preserve"> </w:t>
      </w:r>
      <w:r w:rsidR="00C218B2" w:rsidRPr="00C218B2">
        <w:rPr>
          <w:rFonts w:ascii="Times New Roman" w:hAnsi="Times New Roman"/>
          <w:szCs w:val="22"/>
        </w:rPr>
        <w:t>direct payment of</w:t>
      </w:r>
      <w:r w:rsidR="00181088">
        <w:rPr>
          <w:rFonts w:ascii="Times New Roman" w:hAnsi="Times New Roman"/>
          <w:szCs w:val="22"/>
        </w:rPr>
        <w:t xml:space="preserve"> SSA-approved fees</w:t>
      </w:r>
      <w:r w:rsidR="00112DA1" w:rsidRPr="00C218B2">
        <w:rPr>
          <w:rFonts w:ascii="Times New Roman" w:hAnsi="Times New Roman"/>
          <w:szCs w:val="22"/>
        </w:rPr>
        <w:t xml:space="preserve">.  </w:t>
      </w:r>
      <w:r w:rsidR="00C218B2" w:rsidRPr="00C218B2">
        <w:rPr>
          <w:rFonts w:ascii="Times New Roman" w:hAnsi="Times New Roman"/>
          <w:szCs w:val="22"/>
        </w:rPr>
        <w:t xml:space="preserve">Under the </w:t>
      </w:r>
      <w:r w:rsidR="002E012F">
        <w:rPr>
          <w:rFonts w:ascii="Times New Roman" w:hAnsi="Times New Roman"/>
          <w:i/>
          <w:szCs w:val="22"/>
        </w:rPr>
        <w:t>PRA</w:t>
      </w:r>
      <w:r w:rsidR="00C218B2" w:rsidRPr="00C218B2">
        <w:rPr>
          <w:rFonts w:ascii="Times New Roman" w:hAnsi="Times New Roman"/>
          <w:szCs w:val="22"/>
        </w:rPr>
        <w:t xml:space="preserve">, </w:t>
      </w:r>
      <w:r w:rsidR="00A15771">
        <w:rPr>
          <w:rFonts w:ascii="Times New Roman" w:hAnsi="Times New Roman"/>
          <w:szCs w:val="22"/>
        </w:rPr>
        <w:t xml:space="preserve">non-attorneys </w:t>
      </w:r>
      <w:r w:rsidR="002E012F">
        <w:rPr>
          <w:rFonts w:ascii="Times New Roman" w:hAnsi="Times New Roman"/>
          <w:szCs w:val="22"/>
        </w:rPr>
        <w:t xml:space="preserve">must </w:t>
      </w:r>
      <w:r w:rsidR="00032A65">
        <w:rPr>
          <w:rFonts w:ascii="Times New Roman" w:hAnsi="Times New Roman"/>
          <w:szCs w:val="22"/>
        </w:rPr>
        <w:t xml:space="preserve">meet </w:t>
      </w:r>
      <w:r w:rsidR="002E012F">
        <w:rPr>
          <w:rFonts w:ascii="Times New Roman" w:hAnsi="Times New Roman"/>
          <w:szCs w:val="22"/>
        </w:rPr>
        <w:t xml:space="preserve">the following prerequisites </w:t>
      </w:r>
      <w:r w:rsidR="00C218B2" w:rsidRPr="00C218B2">
        <w:rPr>
          <w:rFonts w:ascii="Times New Roman" w:hAnsi="Times New Roman"/>
          <w:szCs w:val="22"/>
        </w:rPr>
        <w:t>to be eligible for direct payment of fees:</w:t>
      </w:r>
    </w:p>
    <w:p w:rsidR="00C218B2" w:rsidRPr="00C218B2" w:rsidRDefault="00C218B2" w:rsidP="00C218B2">
      <w:pPr>
        <w:tabs>
          <w:tab w:val="left" w:pos="-720"/>
        </w:tabs>
        <w:suppressAutoHyphens/>
        <w:ind w:left="720"/>
        <w:rPr>
          <w:rFonts w:ascii="Times New Roman" w:hAnsi="Times New Roman"/>
          <w:b/>
          <w:szCs w:val="22"/>
        </w:rPr>
      </w:pPr>
    </w:p>
    <w:p w:rsidR="00C218B2" w:rsidRPr="00C218B2" w:rsidRDefault="00C218B2" w:rsidP="00C218B2">
      <w:pPr>
        <w:widowControl/>
        <w:numPr>
          <w:ilvl w:val="0"/>
          <w:numId w:val="27"/>
        </w:numPr>
        <w:tabs>
          <w:tab w:val="left" w:pos="-720"/>
        </w:tabs>
        <w:suppressAutoHyphens/>
        <w:rPr>
          <w:rFonts w:ascii="Times New Roman" w:hAnsi="Times New Roman"/>
          <w:bCs/>
          <w:szCs w:val="22"/>
        </w:rPr>
      </w:pPr>
      <w:r w:rsidRPr="00C218B2">
        <w:rPr>
          <w:rFonts w:ascii="Times New Roman" w:hAnsi="Times New Roman"/>
          <w:bCs/>
          <w:szCs w:val="22"/>
        </w:rPr>
        <w:t>Have been awarded a bachelor</w:t>
      </w:r>
      <w:r w:rsidR="00727A9E">
        <w:rPr>
          <w:rFonts w:ascii="Times New Roman" w:hAnsi="Times New Roman"/>
          <w:bCs/>
          <w:szCs w:val="22"/>
        </w:rPr>
        <w:t>’</w:t>
      </w:r>
      <w:r w:rsidRPr="00C218B2">
        <w:rPr>
          <w:rFonts w:ascii="Times New Roman" w:hAnsi="Times New Roman"/>
          <w:bCs/>
          <w:szCs w:val="22"/>
        </w:rPr>
        <w:t>s degree from an accredited institution of higher education, or have equivalent qualifications derived from training and work experience if the individual does not have a bachelor</w:t>
      </w:r>
      <w:r w:rsidR="00A604CA">
        <w:rPr>
          <w:rFonts w:ascii="Times New Roman" w:hAnsi="Times New Roman"/>
          <w:bCs/>
          <w:szCs w:val="22"/>
        </w:rPr>
        <w:t>’</w:t>
      </w:r>
      <w:r w:rsidRPr="00C218B2">
        <w:rPr>
          <w:rFonts w:ascii="Times New Roman" w:hAnsi="Times New Roman"/>
          <w:bCs/>
          <w:szCs w:val="22"/>
        </w:rPr>
        <w:t>s degree;</w:t>
      </w:r>
    </w:p>
    <w:p w:rsidR="00C218B2" w:rsidRPr="00C218B2" w:rsidRDefault="00C218B2" w:rsidP="00C218B2">
      <w:pPr>
        <w:tabs>
          <w:tab w:val="left" w:pos="-720"/>
        </w:tabs>
        <w:suppressAutoHyphens/>
        <w:ind w:left="1440"/>
        <w:rPr>
          <w:rFonts w:ascii="Times New Roman" w:hAnsi="Times New Roman"/>
          <w:bCs/>
          <w:szCs w:val="22"/>
        </w:rPr>
      </w:pPr>
    </w:p>
    <w:p w:rsidR="00C218B2" w:rsidRPr="00C218B2" w:rsidRDefault="008B4DC6" w:rsidP="00C218B2">
      <w:pPr>
        <w:widowControl/>
        <w:numPr>
          <w:ilvl w:val="0"/>
          <w:numId w:val="27"/>
        </w:numPr>
        <w:tabs>
          <w:tab w:val="left" w:pos="-720"/>
        </w:tabs>
        <w:suppressAutoHyphens/>
        <w:rPr>
          <w:rFonts w:ascii="Times New Roman" w:hAnsi="Times New Roman"/>
          <w:szCs w:val="22"/>
        </w:rPr>
      </w:pPr>
      <w:r>
        <w:rPr>
          <w:rFonts w:ascii="Times New Roman" w:hAnsi="Times New Roman"/>
          <w:bCs/>
          <w:szCs w:val="22"/>
        </w:rPr>
        <w:t xml:space="preserve">Pass an examination </w:t>
      </w:r>
      <w:r w:rsidR="00C218B2" w:rsidRPr="00C218B2">
        <w:rPr>
          <w:rFonts w:ascii="Times New Roman" w:hAnsi="Times New Roman"/>
          <w:bCs/>
          <w:szCs w:val="22"/>
        </w:rPr>
        <w:t>test</w:t>
      </w:r>
      <w:r>
        <w:rPr>
          <w:rFonts w:ascii="Times New Roman" w:hAnsi="Times New Roman"/>
          <w:bCs/>
          <w:szCs w:val="22"/>
        </w:rPr>
        <w:t>ing</w:t>
      </w:r>
      <w:r w:rsidR="00C218B2" w:rsidRPr="00C218B2">
        <w:rPr>
          <w:rFonts w:ascii="Times New Roman" w:hAnsi="Times New Roman"/>
          <w:bCs/>
          <w:szCs w:val="22"/>
        </w:rPr>
        <w:t xml:space="preserve"> knowledge of the relevant provisions of the </w:t>
      </w:r>
      <w:r w:rsidR="006637FB" w:rsidRPr="00200FF6">
        <w:rPr>
          <w:rFonts w:ascii="Times New Roman" w:hAnsi="Times New Roman"/>
          <w:bCs/>
          <w:i/>
          <w:szCs w:val="22"/>
        </w:rPr>
        <w:t>Social Security Act</w:t>
      </w:r>
      <w:r w:rsidR="006637FB">
        <w:rPr>
          <w:rFonts w:ascii="Times New Roman" w:hAnsi="Times New Roman"/>
          <w:bCs/>
          <w:i/>
          <w:szCs w:val="22"/>
        </w:rPr>
        <w:t xml:space="preserve"> (</w:t>
      </w:r>
      <w:r w:rsidR="006637FB" w:rsidRPr="00200FF6">
        <w:rPr>
          <w:rFonts w:ascii="Times New Roman" w:hAnsi="Times New Roman"/>
          <w:bCs/>
          <w:i/>
          <w:szCs w:val="22"/>
        </w:rPr>
        <w:t>Act)</w:t>
      </w:r>
      <w:r w:rsidR="00C218B2" w:rsidRPr="00C218B2">
        <w:rPr>
          <w:rFonts w:ascii="Times New Roman" w:hAnsi="Times New Roman"/>
          <w:bCs/>
          <w:szCs w:val="22"/>
        </w:rPr>
        <w:t xml:space="preserve"> and court decisions affecting the benefit programs under </w:t>
      </w:r>
      <w:r w:rsidR="00C218B2" w:rsidRPr="006637FB">
        <w:rPr>
          <w:rFonts w:ascii="Times New Roman" w:hAnsi="Times New Roman"/>
          <w:bCs/>
          <w:szCs w:val="22"/>
        </w:rPr>
        <w:t>titles</w:t>
      </w:r>
      <w:r w:rsidR="00C218B2" w:rsidRPr="00133C3A">
        <w:rPr>
          <w:rFonts w:ascii="Times New Roman" w:hAnsi="Times New Roman"/>
          <w:bCs/>
          <w:i/>
          <w:szCs w:val="22"/>
        </w:rPr>
        <w:t xml:space="preserve"> II </w:t>
      </w:r>
      <w:r w:rsidR="00C218B2" w:rsidRPr="00C218B2">
        <w:rPr>
          <w:rFonts w:ascii="Times New Roman" w:hAnsi="Times New Roman"/>
          <w:bCs/>
          <w:szCs w:val="22"/>
        </w:rPr>
        <w:t xml:space="preserve">and </w:t>
      </w:r>
      <w:r w:rsidR="00C218B2" w:rsidRPr="00133C3A">
        <w:rPr>
          <w:rFonts w:ascii="Times New Roman" w:hAnsi="Times New Roman"/>
          <w:bCs/>
          <w:i/>
          <w:szCs w:val="22"/>
        </w:rPr>
        <w:t>XVI</w:t>
      </w:r>
      <w:r w:rsidR="00C218B2" w:rsidRPr="00C218B2">
        <w:rPr>
          <w:rFonts w:ascii="Times New Roman" w:hAnsi="Times New Roman"/>
          <w:bCs/>
          <w:szCs w:val="22"/>
        </w:rPr>
        <w:t xml:space="preserve"> of the </w:t>
      </w:r>
      <w:r w:rsidR="006637FB">
        <w:rPr>
          <w:rFonts w:ascii="Times New Roman" w:hAnsi="Times New Roman"/>
          <w:bCs/>
          <w:i/>
          <w:szCs w:val="22"/>
        </w:rPr>
        <w:t>Act</w:t>
      </w:r>
      <w:r w:rsidR="00C218B2" w:rsidRPr="00C218B2">
        <w:rPr>
          <w:rFonts w:ascii="Times New Roman" w:hAnsi="Times New Roman"/>
          <w:bCs/>
          <w:szCs w:val="22"/>
        </w:rPr>
        <w:t>;</w:t>
      </w:r>
    </w:p>
    <w:p w:rsidR="00C218B2" w:rsidRPr="00C218B2" w:rsidRDefault="00C218B2" w:rsidP="00C218B2">
      <w:pPr>
        <w:tabs>
          <w:tab w:val="left" w:pos="-720"/>
        </w:tabs>
        <w:suppressAutoHyphens/>
        <w:rPr>
          <w:rFonts w:ascii="Times New Roman" w:hAnsi="Times New Roman"/>
          <w:szCs w:val="22"/>
        </w:rPr>
      </w:pPr>
    </w:p>
    <w:p w:rsidR="00C218B2" w:rsidRPr="00C218B2" w:rsidRDefault="00C218B2" w:rsidP="00C218B2">
      <w:pPr>
        <w:widowControl/>
        <w:numPr>
          <w:ilvl w:val="0"/>
          <w:numId w:val="27"/>
        </w:numPr>
        <w:tabs>
          <w:tab w:val="left" w:pos="-720"/>
        </w:tabs>
        <w:suppressAutoHyphens/>
        <w:rPr>
          <w:rFonts w:ascii="Times New Roman" w:hAnsi="Times New Roman"/>
          <w:szCs w:val="22"/>
        </w:rPr>
      </w:pPr>
      <w:r w:rsidRPr="00C218B2">
        <w:rPr>
          <w:rFonts w:ascii="Times New Roman" w:hAnsi="Times New Roman"/>
          <w:bCs/>
          <w:szCs w:val="22"/>
        </w:rPr>
        <w:t>Secure professional liability insurance or equivalent insurance to protect claimants in the event of malpractice by the non-attorney representative;</w:t>
      </w:r>
    </w:p>
    <w:p w:rsidR="00C218B2" w:rsidRPr="00C218B2" w:rsidRDefault="00C218B2" w:rsidP="00C218B2">
      <w:pPr>
        <w:tabs>
          <w:tab w:val="left" w:pos="-720"/>
        </w:tabs>
        <w:suppressAutoHyphens/>
        <w:rPr>
          <w:rFonts w:ascii="Times New Roman" w:hAnsi="Times New Roman"/>
          <w:szCs w:val="22"/>
        </w:rPr>
      </w:pPr>
    </w:p>
    <w:p w:rsidR="00C218B2" w:rsidRPr="00C218B2" w:rsidRDefault="00C218B2" w:rsidP="00C218B2">
      <w:pPr>
        <w:widowControl/>
        <w:numPr>
          <w:ilvl w:val="0"/>
          <w:numId w:val="27"/>
        </w:numPr>
        <w:tabs>
          <w:tab w:val="left" w:pos="-720"/>
        </w:tabs>
        <w:suppressAutoHyphens/>
        <w:rPr>
          <w:rFonts w:ascii="Times New Roman" w:hAnsi="Times New Roman"/>
          <w:szCs w:val="22"/>
        </w:rPr>
      </w:pPr>
      <w:r w:rsidRPr="00C218B2">
        <w:rPr>
          <w:rFonts w:ascii="Times New Roman" w:hAnsi="Times New Roman"/>
          <w:bCs/>
          <w:szCs w:val="22"/>
        </w:rPr>
        <w:t xml:space="preserve">Pass </w:t>
      </w:r>
      <w:r w:rsidR="005E571E">
        <w:rPr>
          <w:rFonts w:ascii="Times New Roman" w:hAnsi="Times New Roman"/>
          <w:bCs/>
          <w:szCs w:val="22"/>
        </w:rPr>
        <w:t>a criminal background check</w:t>
      </w:r>
      <w:r w:rsidR="00EF6F64">
        <w:rPr>
          <w:rFonts w:ascii="Times New Roman" w:hAnsi="Times New Roman"/>
          <w:bCs/>
          <w:szCs w:val="22"/>
        </w:rPr>
        <w:t>; and</w:t>
      </w:r>
    </w:p>
    <w:p w:rsidR="00C218B2" w:rsidRPr="00C218B2" w:rsidRDefault="00C218B2" w:rsidP="00C218B2">
      <w:pPr>
        <w:tabs>
          <w:tab w:val="left" w:pos="-720"/>
        </w:tabs>
        <w:suppressAutoHyphens/>
        <w:rPr>
          <w:rFonts w:ascii="Times New Roman" w:hAnsi="Times New Roman"/>
          <w:szCs w:val="22"/>
        </w:rPr>
      </w:pPr>
    </w:p>
    <w:p w:rsidR="00C218B2" w:rsidRPr="00200FF6" w:rsidRDefault="00C218B2" w:rsidP="00C218B2">
      <w:pPr>
        <w:widowControl/>
        <w:numPr>
          <w:ilvl w:val="0"/>
          <w:numId w:val="27"/>
        </w:numPr>
        <w:tabs>
          <w:tab w:val="left" w:pos="-720"/>
        </w:tabs>
        <w:suppressAutoHyphens/>
        <w:rPr>
          <w:rFonts w:ascii="Times New Roman" w:hAnsi="Times New Roman"/>
          <w:i/>
          <w:szCs w:val="22"/>
        </w:rPr>
      </w:pPr>
      <w:r w:rsidRPr="00C218B2">
        <w:rPr>
          <w:rFonts w:ascii="Times New Roman" w:hAnsi="Times New Roman"/>
          <w:bCs/>
          <w:szCs w:val="22"/>
        </w:rPr>
        <w:t xml:space="preserve">Demonstrate completion of continuing education courses, including courses in ethics and professional conduct, to enhance professional knowledge in matters related to entitlement to, or eligibility for, benefits based on disability under </w:t>
      </w:r>
      <w:r w:rsidRPr="00C11C4E">
        <w:rPr>
          <w:rFonts w:ascii="Times New Roman" w:hAnsi="Times New Roman"/>
          <w:bCs/>
          <w:szCs w:val="22"/>
        </w:rPr>
        <w:t>titles</w:t>
      </w:r>
      <w:r w:rsidRPr="00133C3A">
        <w:rPr>
          <w:rFonts w:ascii="Times New Roman" w:hAnsi="Times New Roman"/>
          <w:bCs/>
          <w:i/>
          <w:szCs w:val="22"/>
        </w:rPr>
        <w:t xml:space="preserve"> II</w:t>
      </w:r>
      <w:r w:rsidRPr="00C218B2">
        <w:rPr>
          <w:rFonts w:ascii="Times New Roman" w:hAnsi="Times New Roman"/>
          <w:bCs/>
          <w:szCs w:val="22"/>
        </w:rPr>
        <w:t xml:space="preserve"> and</w:t>
      </w:r>
      <w:r w:rsidRPr="00133C3A">
        <w:rPr>
          <w:rFonts w:ascii="Times New Roman" w:hAnsi="Times New Roman"/>
          <w:bCs/>
          <w:i/>
          <w:szCs w:val="22"/>
        </w:rPr>
        <w:t xml:space="preserve"> XVI</w:t>
      </w:r>
      <w:r w:rsidRPr="00C218B2">
        <w:rPr>
          <w:rFonts w:ascii="Times New Roman" w:hAnsi="Times New Roman"/>
          <w:bCs/>
          <w:szCs w:val="22"/>
        </w:rPr>
        <w:t xml:space="preserve"> of the</w:t>
      </w:r>
      <w:r w:rsidR="00200FF6">
        <w:rPr>
          <w:rFonts w:ascii="Times New Roman" w:hAnsi="Times New Roman"/>
          <w:bCs/>
          <w:szCs w:val="22"/>
        </w:rPr>
        <w:t xml:space="preserve"> </w:t>
      </w:r>
      <w:r w:rsidR="00200FF6" w:rsidRPr="00200FF6">
        <w:rPr>
          <w:rFonts w:ascii="Times New Roman" w:hAnsi="Times New Roman"/>
          <w:bCs/>
          <w:i/>
          <w:szCs w:val="22"/>
        </w:rPr>
        <w:t>Act</w:t>
      </w:r>
      <w:r w:rsidRPr="00200FF6">
        <w:rPr>
          <w:rFonts w:ascii="Times New Roman" w:hAnsi="Times New Roman"/>
          <w:bCs/>
          <w:i/>
          <w:szCs w:val="22"/>
        </w:rPr>
        <w:t xml:space="preserve">. </w:t>
      </w:r>
    </w:p>
    <w:p w:rsidR="00284BB8" w:rsidRDefault="00284BB8" w:rsidP="00200FF6">
      <w:pPr>
        <w:tabs>
          <w:tab w:val="left" w:pos="-720"/>
        </w:tabs>
        <w:suppressAutoHyphens/>
        <w:ind w:left="720"/>
        <w:rPr>
          <w:rFonts w:ascii="Times New Roman" w:hAnsi="Times New Roman"/>
          <w:szCs w:val="22"/>
        </w:rPr>
      </w:pPr>
    </w:p>
    <w:p w:rsidR="00284BB8" w:rsidRDefault="007A7F62" w:rsidP="00200FF6">
      <w:pPr>
        <w:tabs>
          <w:tab w:val="left" w:pos="-720"/>
        </w:tabs>
        <w:suppressAutoHyphens/>
        <w:ind w:left="720"/>
        <w:rPr>
          <w:rFonts w:ascii="Times New Roman" w:hAnsi="Times New Roman"/>
          <w:szCs w:val="22"/>
        </w:rPr>
      </w:pPr>
      <w:r w:rsidRPr="007A7F62">
        <w:rPr>
          <w:rFonts w:ascii="Times New Roman" w:hAnsi="Times New Roman"/>
          <w:szCs w:val="22"/>
        </w:rPr>
        <w:t>The</w:t>
      </w:r>
      <w:r>
        <w:rPr>
          <w:rFonts w:ascii="Times New Roman" w:hAnsi="Times New Roman"/>
          <w:i/>
          <w:szCs w:val="22"/>
        </w:rPr>
        <w:t xml:space="preserve"> </w:t>
      </w:r>
      <w:r w:rsidRPr="007A7F62">
        <w:rPr>
          <w:rFonts w:ascii="Times New Roman" w:hAnsi="Times New Roman"/>
          <w:i/>
          <w:szCs w:val="22"/>
        </w:rPr>
        <w:t>PRA</w:t>
      </w:r>
      <w:r w:rsidR="003072F0">
        <w:rPr>
          <w:rFonts w:ascii="Times New Roman" w:hAnsi="Times New Roman"/>
          <w:i/>
          <w:szCs w:val="22"/>
        </w:rPr>
        <w:t xml:space="preserve">, </w:t>
      </w:r>
      <w:r w:rsidR="003072F0">
        <w:rPr>
          <w:rFonts w:ascii="Times New Roman" w:hAnsi="Times New Roman"/>
          <w:szCs w:val="22"/>
        </w:rPr>
        <w:t xml:space="preserve">as did the </w:t>
      </w:r>
      <w:r w:rsidR="00050686" w:rsidRPr="001B79D1">
        <w:rPr>
          <w:rFonts w:ascii="Times New Roman" w:hAnsi="Times New Roman"/>
          <w:i/>
          <w:szCs w:val="22"/>
        </w:rPr>
        <w:t>SSPA</w:t>
      </w:r>
      <w:r w:rsidR="003072F0">
        <w:rPr>
          <w:rFonts w:ascii="Times New Roman" w:hAnsi="Times New Roman"/>
          <w:i/>
          <w:szCs w:val="22"/>
        </w:rPr>
        <w:t>,</w:t>
      </w:r>
      <w:r w:rsidR="00050686">
        <w:rPr>
          <w:rFonts w:ascii="Times New Roman" w:hAnsi="Times New Roman"/>
          <w:szCs w:val="22"/>
        </w:rPr>
        <w:t xml:space="preserve"> </w:t>
      </w:r>
      <w:r w:rsidR="00C218B2" w:rsidRPr="00C218B2">
        <w:rPr>
          <w:rFonts w:ascii="Times New Roman" w:hAnsi="Times New Roman"/>
          <w:szCs w:val="22"/>
        </w:rPr>
        <w:t>require</w:t>
      </w:r>
      <w:r w:rsidR="003072F0">
        <w:rPr>
          <w:rFonts w:ascii="Times New Roman" w:hAnsi="Times New Roman"/>
          <w:szCs w:val="22"/>
        </w:rPr>
        <w:t>s</w:t>
      </w:r>
      <w:r w:rsidR="00C218B2" w:rsidRPr="00C218B2">
        <w:rPr>
          <w:rFonts w:ascii="Times New Roman" w:hAnsi="Times New Roman"/>
          <w:szCs w:val="22"/>
        </w:rPr>
        <w:t xml:space="preserve"> </w:t>
      </w:r>
      <w:r w:rsidR="00BA42D5">
        <w:rPr>
          <w:rFonts w:ascii="Times New Roman" w:hAnsi="Times New Roman"/>
          <w:szCs w:val="22"/>
        </w:rPr>
        <w:t>SSA</w:t>
      </w:r>
      <w:r w:rsidR="00C218B2" w:rsidRPr="00C218B2">
        <w:rPr>
          <w:rFonts w:ascii="Times New Roman" w:hAnsi="Times New Roman"/>
          <w:szCs w:val="22"/>
        </w:rPr>
        <w:t xml:space="preserve"> to collect the information needed to determine if applicants </w:t>
      </w:r>
      <w:r w:rsidR="00E2034C">
        <w:rPr>
          <w:rFonts w:ascii="Times New Roman" w:hAnsi="Times New Roman"/>
          <w:szCs w:val="22"/>
        </w:rPr>
        <w:t>have satisfied the</w:t>
      </w:r>
      <w:r w:rsidR="00BA42D5">
        <w:rPr>
          <w:rFonts w:ascii="Times New Roman" w:hAnsi="Times New Roman"/>
          <w:szCs w:val="22"/>
        </w:rPr>
        <w:t>se</w:t>
      </w:r>
      <w:r w:rsidR="00E2034C">
        <w:rPr>
          <w:rFonts w:ascii="Times New Roman" w:hAnsi="Times New Roman"/>
          <w:szCs w:val="22"/>
        </w:rPr>
        <w:t xml:space="preserve"> </w:t>
      </w:r>
      <w:r w:rsidR="00C218B2" w:rsidRPr="00C218B2">
        <w:rPr>
          <w:rFonts w:ascii="Times New Roman" w:hAnsi="Times New Roman"/>
          <w:szCs w:val="22"/>
        </w:rPr>
        <w:t>prerequisites</w:t>
      </w:r>
      <w:r w:rsidR="00112DA1" w:rsidRPr="00C218B2">
        <w:rPr>
          <w:rFonts w:ascii="Times New Roman" w:hAnsi="Times New Roman"/>
          <w:szCs w:val="22"/>
        </w:rPr>
        <w:t>.</w:t>
      </w:r>
      <w:r w:rsidR="00112DA1">
        <w:rPr>
          <w:rFonts w:ascii="Times New Roman" w:hAnsi="Times New Roman"/>
          <w:szCs w:val="22"/>
        </w:rPr>
        <w:t xml:space="preserve">  </w:t>
      </w:r>
      <w:r w:rsidR="001B79D1">
        <w:rPr>
          <w:rFonts w:ascii="Times New Roman" w:hAnsi="Times New Roman"/>
          <w:szCs w:val="22"/>
        </w:rPr>
        <w:t xml:space="preserve">Under the </w:t>
      </w:r>
      <w:r w:rsidR="001B79D1" w:rsidRPr="001B79D1">
        <w:rPr>
          <w:rFonts w:ascii="Times New Roman" w:hAnsi="Times New Roman"/>
          <w:i/>
          <w:szCs w:val="22"/>
        </w:rPr>
        <w:t>SSPA</w:t>
      </w:r>
      <w:r w:rsidR="001B79D1">
        <w:rPr>
          <w:rFonts w:ascii="Times New Roman" w:hAnsi="Times New Roman"/>
          <w:szCs w:val="22"/>
        </w:rPr>
        <w:t xml:space="preserve">, </w:t>
      </w:r>
      <w:r w:rsidR="003072F0">
        <w:rPr>
          <w:rFonts w:ascii="Times New Roman" w:hAnsi="Times New Roman"/>
          <w:szCs w:val="22"/>
        </w:rPr>
        <w:t>we</w:t>
      </w:r>
      <w:r w:rsidR="001B79D1">
        <w:rPr>
          <w:rFonts w:ascii="Times New Roman" w:hAnsi="Times New Roman"/>
          <w:szCs w:val="22"/>
        </w:rPr>
        <w:t xml:space="preserve"> used the </w:t>
      </w:r>
      <w:r w:rsidR="00284BB8">
        <w:rPr>
          <w:rFonts w:ascii="Times New Roman" w:hAnsi="Times New Roman"/>
          <w:szCs w:val="22"/>
        </w:rPr>
        <w:t>Social Security Administration Non-Attorney Representative Demonstration Project Application</w:t>
      </w:r>
      <w:r w:rsidR="001B79D1">
        <w:rPr>
          <w:rFonts w:ascii="Times New Roman" w:hAnsi="Times New Roman"/>
          <w:szCs w:val="22"/>
        </w:rPr>
        <w:t xml:space="preserve"> </w:t>
      </w:r>
      <w:r w:rsidR="00284BB8">
        <w:rPr>
          <w:rFonts w:ascii="Times New Roman" w:hAnsi="Times New Roman"/>
          <w:szCs w:val="22"/>
        </w:rPr>
        <w:t xml:space="preserve">to collect </w:t>
      </w:r>
      <w:r w:rsidR="001B79D1">
        <w:rPr>
          <w:rFonts w:ascii="Times New Roman" w:hAnsi="Times New Roman"/>
          <w:szCs w:val="22"/>
        </w:rPr>
        <w:t xml:space="preserve">applicants’ </w:t>
      </w:r>
      <w:r w:rsidR="00284BB8">
        <w:rPr>
          <w:rFonts w:ascii="Times New Roman" w:hAnsi="Times New Roman"/>
          <w:szCs w:val="22"/>
        </w:rPr>
        <w:t>prerequisite information</w:t>
      </w:r>
      <w:r w:rsidR="00112DA1">
        <w:rPr>
          <w:rFonts w:ascii="Times New Roman" w:hAnsi="Times New Roman"/>
          <w:szCs w:val="22"/>
        </w:rPr>
        <w:t>.</w:t>
      </w:r>
      <w:r w:rsidR="007D37DB">
        <w:rPr>
          <w:rFonts w:ascii="Times New Roman" w:hAnsi="Times New Roman"/>
          <w:szCs w:val="22"/>
        </w:rPr>
        <w:t xml:space="preserve">  SSA codified these rules in </w:t>
      </w:r>
      <w:r w:rsidR="007D37DB" w:rsidRPr="007D37DB">
        <w:rPr>
          <w:rFonts w:ascii="Times New Roman" w:hAnsi="Times New Roman"/>
          <w:i/>
        </w:rPr>
        <w:t>20 CFR 404.1717, 404.1745-404.1799</w:t>
      </w:r>
      <w:r w:rsidR="007D37DB" w:rsidRPr="007D37DB">
        <w:rPr>
          <w:rFonts w:ascii="Times New Roman" w:hAnsi="Times New Roman"/>
        </w:rPr>
        <w:t xml:space="preserve">, and </w:t>
      </w:r>
      <w:r w:rsidR="007D37DB" w:rsidRPr="007D37DB">
        <w:rPr>
          <w:rFonts w:ascii="Times New Roman" w:hAnsi="Times New Roman"/>
          <w:i/>
        </w:rPr>
        <w:t>20 CFR 416.1517, 416.1545-416.1599</w:t>
      </w:r>
      <w:r w:rsidR="007D37DB" w:rsidRPr="007D37DB">
        <w:rPr>
          <w:rFonts w:ascii="Times New Roman" w:hAnsi="Times New Roman"/>
        </w:rPr>
        <w:t>.</w:t>
      </w:r>
      <w:r w:rsidR="00112DA1">
        <w:rPr>
          <w:rFonts w:ascii="Times New Roman" w:hAnsi="Times New Roman"/>
          <w:szCs w:val="22"/>
        </w:rPr>
        <w:t xml:space="preserve">  </w:t>
      </w:r>
      <w:r w:rsidR="001B79D1">
        <w:rPr>
          <w:rFonts w:ascii="Times New Roman" w:hAnsi="Times New Roman"/>
          <w:szCs w:val="22"/>
        </w:rPr>
        <w:t xml:space="preserve">The current Information Collection Request (ICR) </w:t>
      </w:r>
      <w:r w:rsidR="001B79D1">
        <w:rPr>
          <w:rFonts w:ascii="Times New Roman" w:hAnsi="Times New Roman"/>
          <w:szCs w:val="22"/>
        </w:rPr>
        <w:lastRenderedPageBreak/>
        <w:t xml:space="preserve">is for a revised version of </w:t>
      </w:r>
      <w:r w:rsidR="00BA42D5">
        <w:rPr>
          <w:rFonts w:ascii="Times New Roman" w:hAnsi="Times New Roman"/>
          <w:szCs w:val="22"/>
        </w:rPr>
        <w:t>this form</w:t>
      </w:r>
      <w:r w:rsidR="00112DA1">
        <w:rPr>
          <w:rFonts w:ascii="Times New Roman" w:hAnsi="Times New Roman"/>
          <w:szCs w:val="22"/>
        </w:rPr>
        <w:t xml:space="preserve">.  </w:t>
      </w:r>
      <w:r w:rsidR="001B79D1">
        <w:rPr>
          <w:rFonts w:ascii="Times New Roman" w:hAnsi="Times New Roman"/>
          <w:szCs w:val="22"/>
        </w:rPr>
        <w:t xml:space="preserve">We </w:t>
      </w:r>
      <w:r w:rsidR="0071271B">
        <w:rPr>
          <w:rFonts w:ascii="Times New Roman" w:hAnsi="Times New Roman"/>
          <w:szCs w:val="22"/>
        </w:rPr>
        <w:t>have revised the</w:t>
      </w:r>
      <w:r w:rsidR="001B79D1">
        <w:rPr>
          <w:rFonts w:ascii="Times New Roman" w:hAnsi="Times New Roman"/>
          <w:szCs w:val="22"/>
        </w:rPr>
        <w:t xml:space="preserve"> application to comply with </w:t>
      </w:r>
      <w:r>
        <w:rPr>
          <w:rFonts w:ascii="Times New Roman" w:hAnsi="Times New Roman"/>
          <w:szCs w:val="22"/>
        </w:rPr>
        <w:t>t</w:t>
      </w:r>
      <w:r w:rsidRPr="007A7F62">
        <w:rPr>
          <w:rFonts w:ascii="Times New Roman" w:hAnsi="Times New Roman"/>
          <w:szCs w:val="22"/>
        </w:rPr>
        <w:t>he</w:t>
      </w:r>
      <w:r>
        <w:rPr>
          <w:rFonts w:ascii="Times New Roman" w:hAnsi="Times New Roman"/>
          <w:i/>
          <w:szCs w:val="22"/>
        </w:rPr>
        <w:t xml:space="preserve"> </w:t>
      </w:r>
      <w:r w:rsidRPr="007A7F62">
        <w:rPr>
          <w:rFonts w:ascii="Times New Roman" w:hAnsi="Times New Roman"/>
          <w:i/>
          <w:szCs w:val="22"/>
        </w:rPr>
        <w:t>PRA</w:t>
      </w:r>
      <w:r w:rsidR="003072F0">
        <w:rPr>
          <w:rFonts w:ascii="Times New Roman" w:hAnsi="Times New Roman"/>
          <w:i/>
          <w:szCs w:val="22"/>
        </w:rPr>
        <w:t xml:space="preserve"> </w:t>
      </w:r>
      <w:r w:rsidR="003072F0">
        <w:rPr>
          <w:rFonts w:ascii="Times New Roman" w:hAnsi="Times New Roman"/>
          <w:szCs w:val="22"/>
        </w:rPr>
        <w:t>and the</w:t>
      </w:r>
      <w:r w:rsidR="003072F0" w:rsidRPr="003072F0">
        <w:rPr>
          <w:rFonts w:ascii="Times New Roman" w:hAnsi="Times New Roman"/>
          <w:i/>
        </w:rPr>
        <w:t xml:space="preserve"> </w:t>
      </w:r>
      <w:r w:rsidR="003072F0" w:rsidRPr="005C7BF2">
        <w:rPr>
          <w:rFonts w:ascii="Times New Roman" w:hAnsi="Times New Roman"/>
          <w:i/>
        </w:rPr>
        <w:t>Revisions to Direct Fee Payment Rules</w:t>
      </w:r>
      <w:r w:rsidR="003072F0">
        <w:rPr>
          <w:rFonts w:ascii="Times New Roman" w:hAnsi="Times New Roman"/>
        </w:rPr>
        <w:t xml:space="preserve"> </w:t>
      </w:r>
      <w:r w:rsidR="003072F0" w:rsidRPr="00C11C4E">
        <w:rPr>
          <w:rFonts w:ascii="Times New Roman" w:hAnsi="Times New Roman"/>
          <w:i/>
        </w:rPr>
        <w:t>(RIN 0960-AH21)</w:t>
      </w:r>
      <w:r w:rsidR="00BA42D5">
        <w:rPr>
          <w:rFonts w:ascii="Times New Roman" w:hAnsi="Times New Roman"/>
          <w:i/>
        </w:rPr>
        <w:t xml:space="preserve">, </w:t>
      </w:r>
      <w:r w:rsidR="00BA42D5" w:rsidRPr="00BA42D5">
        <w:rPr>
          <w:rFonts w:ascii="Times New Roman" w:hAnsi="Times New Roman"/>
        </w:rPr>
        <w:t xml:space="preserve">Regulation </w:t>
      </w:r>
      <w:r w:rsidR="00BA42D5">
        <w:rPr>
          <w:rFonts w:ascii="Times New Roman" w:hAnsi="Times New Roman"/>
          <w:i/>
        </w:rPr>
        <w:t>3625I</w:t>
      </w:r>
      <w:r w:rsidR="00BA42D5">
        <w:rPr>
          <w:rFonts w:ascii="Times New Roman" w:hAnsi="Times New Roman"/>
        </w:rPr>
        <w:t>, whose provisions we are clearing in this ICR as well</w:t>
      </w:r>
      <w:r w:rsidR="007D37DB">
        <w:rPr>
          <w:rFonts w:ascii="Times New Roman" w:hAnsi="Times New Roman"/>
        </w:rPr>
        <w:t>.</w:t>
      </w:r>
    </w:p>
    <w:p w:rsidR="005768A8" w:rsidRPr="00C218B2" w:rsidRDefault="005768A8" w:rsidP="005768A8">
      <w:pPr>
        <w:ind w:left="1080"/>
        <w:rPr>
          <w:rFonts w:ascii="Times New Roman" w:hAnsi="Times New Roman"/>
        </w:rPr>
      </w:pPr>
    </w:p>
    <w:p w:rsidR="006B60C9" w:rsidRPr="006B60C9" w:rsidRDefault="00F56A74" w:rsidP="0024269D">
      <w:pPr>
        <w:widowControl/>
        <w:numPr>
          <w:ilvl w:val="0"/>
          <w:numId w:val="18"/>
        </w:numPr>
        <w:tabs>
          <w:tab w:val="left" w:pos="-720"/>
          <w:tab w:val="left" w:pos="0"/>
        </w:tabs>
        <w:suppressAutoHyphens/>
        <w:rPr>
          <w:rFonts w:ascii="Times New Roman" w:hAnsi="Times New Roman"/>
          <w:szCs w:val="22"/>
        </w:rPr>
      </w:pPr>
      <w:r>
        <w:rPr>
          <w:rFonts w:ascii="Times New Roman" w:hAnsi="Times New Roman"/>
          <w:b/>
        </w:rPr>
        <w:t>Description of Collection</w:t>
      </w:r>
    </w:p>
    <w:p w:rsidR="00B7425C" w:rsidRDefault="00B00C28" w:rsidP="006B60C9">
      <w:pPr>
        <w:widowControl/>
        <w:tabs>
          <w:tab w:val="left" w:pos="-720"/>
          <w:tab w:val="left" w:pos="0"/>
        </w:tabs>
        <w:suppressAutoHyphens/>
        <w:ind w:left="720"/>
        <w:rPr>
          <w:rFonts w:ascii="Times New Roman" w:hAnsi="Times New Roman"/>
          <w:szCs w:val="22"/>
        </w:rPr>
      </w:pPr>
      <w:r w:rsidRPr="00931EC7">
        <w:rPr>
          <w:rFonts w:ascii="Times New Roman" w:hAnsi="Times New Roman"/>
          <w:bCs/>
          <w:szCs w:val="22"/>
        </w:rPr>
        <w:t xml:space="preserve">The </w:t>
      </w:r>
      <w:r w:rsidRPr="00931EC7">
        <w:rPr>
          <w:rFonts w:ascii="Times New Roman" w:hAnsi="Times New Roman"/>
          <w:szCs w:val="22"/>
        </w:rPr>
        <w:t xml:space="preserve">information </w:t>
      </w:r>
      <w:r w:rsidR="000E2902">
        <w:rPr>
          <w:rFonts w:ascii="Times New Roman" w:hAnsi="Times New Roman"/>
          <w:szCs w:val="22"/>
        </w:rPr>
        <w:t>we</w:t>
      </w:r>
      <w:r w:rsidR="006B60C9">
        <w:rPr>
          <w:rFonts w:ascii="Times New Roman" w:hAnsi="Times New Roman"/>
          <w:szCs w:val="22"/>
        </w:rPr>
        <w:t xml:space="preserve"> collect</w:t>
      </w:r>
      <w:r w:rsidR="00200FF6">
        <w:rPr>
          <w:rFonts w:ascii="Times New Roman" w:hAnsi="Times New Roman"/>
          <w:szCs w:val="22"/>
        </w:rPr>
        <w:t xml:space="preserve"> helps us</w:t>
      </w:r>
      <w:r w:rsidR="005D75E3">
        <w:rPr>
          <w:rFonts w:ascii="Times New Roman" w:hAnsi="Times New Roman"/>
          <w:szCs w:val="22"/>
        </w:rPr>
        <w:t xml:space="preserve"> </w:t>
      </w:r>
      <w:r w:rsidRPr="00931EC7">
        <w:rPr>
          <w:rFonts w:ascii="Times New Roman" w:hAnsi="Times New Roman"/>
          <w:szCs w:val="22"/>
        </w:rPr>
        <w:t>determine whether a</w:t>
      </w:r>
      <w:r w:rsidR="00677667">
        <w:rPr>
          <w:rFonts w:ascii="Times New Roman" w:hAnsi="Times New Roman"/>
          <w:szCs w:val="22"/>
        </w:rPr>
        <w:t xml:space="preserve">n applicant </w:t>
      </w:r>
      <w:r w:rsidR="00A01D15">
        <w:rPr>
          <w:rFonts w:ascii="Times New Roman" w:hAnsi="Times New Roman"/>
          <w:szCs w:val="22"/>
        </w:rPr>
        <w:t xml:space="preserve">has </w:t>
      </w:r>
      <w:r w:rsidRPr="00931EC7">
        <w:rPr>
          <w:rFonts w:ascii="Times New Roman" w:hAnsi="Times New Roman"/>
          <w:szCs w:val="22"/>
        </w:rPr>
        <w:t>fulfilled the statutory prerequisites and regulatory requir</w:t>
      </w:r>
      <w:r w:rsidR="00200FF6">
        <w:rPr>
          <w:rFonts w:ascii="Times New Roman" w:hAnsi="Times New Roman"/>
          <w:szCs w:val="22"/>
        </w:rPr>
        <w:t xml:space="preserve">ements as listed in item number </w:t>
      </w:r>
      <w:r w:rsidRPr="00931EC7">
        <w:rPr>
          <w:rFonts w:ascii="Times New Roman" w:hAnsi="Times New Roman"/>
          <w:szCs w:val="22"/>
        </w:rPr>
        <w:t>1 above.</w:t>
      </w:r>
      <w:r w:rsidR="009F4A52">
        <w:rPr>
          <w:rFonts w:ascii="Times New Roman" w:hAnsi="Times New Roman"/>
          <w:szCs w:val="22"/>
        </w:rPr>
        <w:t xml:space="preserve"> </w:t>
      </w:r>
      <w:r w:rsidR="00AD3A1C">
        <w:rPr>
          <w:rFonts w:ascii="Times New Roman" w:hAnsi="Times New Roman"/>
          <w:szCs w:val="22"/>
        </w:rPr>
        <w:t xml:space="preserve"> To verify this information, we will collect the following items</w:t>
      </w:r>
      <w:r w:rsidR="00313236">
        <w:rPr>
          <w:rFonts w:ascii="Times New Roman" w:hAnsi="Times New Roman"/>
          <w:szCs w:val="22"/>
        </w:rPr>
        <w:t>, in addition to the application</w:t>
      </w:r>
      <w:r w:rsidR="00B7425C">
        <w:rPr>
          <w:rFonts w:ascii="Times New Roman" w:hAnsi="Times New Roman"/>
          <w:szCs w:val="22"/>
        </w:rPr>
        <w:t>:</w:t>
      </w:r>
      <w:r w:rsidR="00AD3A1C">
        <w:rPr>
          <w:rFonts w:ascii="Times New Roman" w:hAnsi="Times New Roman"/>
          <w:szCs w:val="22"/>
        </w:rPr>
        <w:t xml:space="preserve"> </w:t>
      </w:r>
    </w:p>
    <w:p w:rsidR="00560144" w:rsidRDefault="00551744">
      <w:pPr>
        <w:widowControl/>
        <w:numPr>
          <w:ilvl w:val="0"/>
          <w:numId w:val="30"/>
        </w:numPr>
        <w:tabs>
          <w:tab w:val="left" w:pos="-720"/>
          <w:tab w:val="left" w:pos="0"/>
        </w:tabs>
        <w:suppressAutoHyphens/>
        <w:rPr>
          <w:rFonts w:ascii="Times New Roman" w:hAnsi="Times New Roman"/>
          <w:szCs w:val="22"/>
        </w:rPr>
      </w:pPr>
      <w:r>
        <w:rPr>
          <w:rFonts w:ascii="Times New Roman" w:hAnsi="Times New Roman"/>
          <w:szCs w:val="22"/>
        </w:rPr>
        <w:t>a</w:t>
      </w:r>
      <w:r w:rsidR="000E2902">
        <w:rPr>
          <w:rFonts w:ascii="Times New Roman" w:hAnsi="Times New Roman"/>
          <w:szCs w:val="22"/>
        </w:rPr>
        <w:t xml:space="preserve"> signed </w:t>
      </w:r>
      <w:r w:rsidR="00B7425C">
        <w:rPr>
          <w:rFonts w:ascii="Times New Roman" w:hAnsi="Times New Roman"/>
          <w:szCs w:val="22"/>
        </w:rPr>
        <w:t xml:space="preserve">criminal background </w:t>
      </w:r>
      <w:r w:rsidR="00BA42D5">
        <w:rPr>
          <w:rFonts w:ascii="Times New Roman" w:hAnsi="Times New Roman"/>
          <w:szCs w:val="22"/>
        </w:rPr>
        <w:t>form</w:t>
      </w:r>
      <w:r w:rsidR="008B4DC6">
        <w:rPr>
          <w:rFonts w:ascii="Times New Roman" w:hAnsi="Times New Roman"/>
          <w:szCs w:val="22"/>
        </w:rPr>
        <w:t xml:space="preserve">, </w:t>
      </w:r>
      <w:r w:rsidR="000E2902">
        <w:rPr>
          <w:rFonts w:ascii="Times New Roman" w:hAnsi="Times New Roman"/>
          <w:szCs w:val="22"/>
        </w:rPr>
        <w:t>allow</w:t>
      </w:r>
      <w:r w:rsidR="008B4DC6">
        <w:rPr>
          <w:rFonts w:ascii="Times New Roman" w:hAnsi="Times New Roman"/>
          <w:szCs w:val="22"/>
        </w:rPr>
        <w:t>ing</w:t>
      </w:r>
      <w:r w:rsidR="000E2902">
        <w:rPr>
          <w:rFonts w:ascii="Times New Roman" w:hAnsi="Times New Roman"/>
          <w:szCs w:val="22"/>
        </w:rPr>
        <w:t xml:space="preserve"> us to conduct criminal background check</w:t>
      </w:r>
      <w:r w:rsidR="0054114B">
        <w:rPr>
          <w:rFonts w:ascii="Times New Roman" w:hAnsi="Times New Roman"/>
          <w:szCs w:val="22"/>
        </w:rPr>
        <w:t>s</w:t>
      </w:r>
      <w:r w:rsidR="005E1702">
        <w:rPr>
          <w:rFonts w:ascii="Times New Roman" w:hAnsi="Times New Roman"/>
          <w:szCs w:val="22"/>
        </w:rPr>
        <w:t>;</w:t>
      </w:r>
    </w:p>
    <w:p w:rsidR="00560144" w:rsidRDefault="00B7425C">
      <w:pPr>
        <w:widowControl/>
        <w:numPr>
          <w:ilvl w:val="0"/>
          <w:numId w:val="30"/>
        </w:numPr>
        <w:tabs>
          <w:tab w:val="left" w:pos="-720"/>
          <w:tab w:val="left" w:pos="0"/>
        </w:tabs>
        <w:suppressAutoHyphens/>
        <w:rPr>
          <w:rFonts w:ascii="Times New Roman" w:hAnsi="Times New Roman"/>
          <w:bCs/>
          <w:szCs w:val="22"/>
        </w:rPr>
      </w:pPr>
      <w:r>
        <w:rPr>
          <w:rFonts w:ascii="Times New Roman" w:hAnsi="Times New Roman"/>
          <w:bCs/>
          <w:szCs w:val="22"/>
        </w:rPr>
        <w:t>t</w:t>
      </w:r>
      <w:r w:rsidR="001D5806">
        <w:rPr>
          <w:rFonts w:ascii="Times New Roman" w:hAnsi="Times New Roman"/>
          <w:bCs/>
          <w:szCs w:val="22"/>
        </w:rPr>
        <w:t xml:space="preserve">he examination </w:t>
      </w:r>
      <w:r w:rsidR="000E2902">
        <w:rPr>
          <w:rFonts w:ascii="Times New Roman" w:hAnsi="Times New Roman"/>
          <w:bCs/>
          <w:szCs w:val="22"/>
        </w:rPr>
        <w:t xml:space="preserve">document  and </w:t>
      </w:r>
      <w:r w:rsidR="001D5806">
        <w:rPr>
          <w:rFonts w:ascii="Times New Roman" w:hAnsi="Times New Roman"/>
          <w:bCs/>
          <w:szCs w:val="22"/>
        </w:rPr>
        <w:t xml:space="preserve">score </w:t>
      </w:r>
      <w:r w:rsidR="00D404E1">
        <w:rPr>
          <w:rFonts w:ascii="Times New Roman" w:hAnsi="Times New Roman"/>
          <w:bCs/>
          <w:szCs w:val="22"/>
        </w:rPr>
        <w:t xml:space="preserve">for </w:t>
      </w:r>
      <w:r w:rsidR="00D013A3">
        <w:rPr>
          <w:rFonts w:ascii="Times New Roman" w:hAnsi="Times New Roman"/>
          <w:bCs/>
          <w:szCs w:val="22"/>
        </w:rPr>
        <w:t>applicants</w:t>
      </w:r>
      <w:r w:rsidR="001D5806">
        <w:rPr>
          <w:rFonts w:ascii="Times New Roman" w:hAnsi="Times New Roman"/>
          <w:bCs/>
          <w:szCs w:val="22"/>
        </w:rPr>
        <w:t xml:space="preserve"> who take the examination</w:t>
      </w:r>
      <w:r>
        <w:rPr>
          <w:rFonts w:ascii="Times New Roman" w:hAnsi="Times New Roman"/>
          <w:bCs/>
          <w:szCs w:val="22"/>
        </w:rPr>
        <w:t>,</w:t>
      </w:r>
    </w:p>
    <w:p w:rsidR="00560144" w:rsidRDefault="00B7425C">
      <w:pPr>
        <w:widowControl/>
        <w:numPr>
          <w:ilvl w:val="0"/>
          <w:numId w:val="30"/>
        </w:numPr>
        <w:tabs>
          <w:tab w:val="left" w:pos="-720"/>
          <w:tab w:val="left" w:pos="0"/>
        </w:tabs>
        <w:suppressAutoHyphens/>
        <w:rPr>
          <w:rFonts w:ascii="Times New Roman" w:hAnsi="Times New Roman"/>
          <w:bCs/>
          <w:szCs w:val="22"/>
        </w:rPr>
      </w:pPr>
      <w:r>
        <w:rPr>
          <w:rFonts w:ascii="Times New Roman" w:hAnsi="Times New Roman"/>
          <w:bCs/>
          <w:szCs w:val="22"/>
        </w:rPr>
        <w:t>p</w:t>
      </w:r>
      <w:r w:rsidR="001D5806">
        <w:rPr>
          <w:rFonts w:ascii="Times New Roman" w:hAnsi="Times New Roman"/>
          <w:bCs/>
          <w:szCs w:val="22"/>
        </w:rPr>
        <w:t>rofessional or business liability insurance polic</w:t>
      </w:r>
      <w:r w:rsidR="0054114B">
        <w:rPr>
          <w:rFonts w:ascii="Times New Roman" w:hAnsi="Times New Roman"/>
          <w:bCs/>
          <w:szCs w:val="22"/>
        </w:rPr>
        <w:t>ies</w:t>
      </w:r>
      <w:r>
        <w:rPr>
          <w:rFonts w:ascii="Times New Roman" w:hAnsi="Times New Roman"/>
          <w:bCs/>
          <w:szCs w:val="22"/>
        </w:rPr>
        <w:t xml:space="preserve"> from applicant</w:t>
      </w:r>
      <w:r w:rsidR="00677667">
        <w:rPr>
          <w:rFonts w:ascii="Times New Roman" w:hAnsi="Times New Roman"/>
          <w:bCs/>
          <w:szCs w:val="22"/>
        </w:rPr>
        <w:t>s</w:t>
      </w:r>
      <w:r>
        <w:rPr>
          <w:rFonts w:ascii="Times New Roman" w:hAnsi="Times New Roman"/>
          <w:bCs/>
          <w:szCs w:val="22"/>
        </w:rPr>
        <w:t xml:space="preserve"> who pass </w:t>
      </w:r>
      <w:r w:rsidR="005E1702">
        <w:rPr>
          <w:rFonts w:ascii="Times New Roman" w:hAnsi="Times New Roman"/>
          <w:bCs/>
          <w:szCs w:val="22"/>
        </w:rPr>
        <w:t>the examination;</w:t>
      </w:r>
    </w:p>
    <w:p w:rsidR="00677667" w:rsidRDefault="00B7425C">
      <w:pPr>
        <w:widowControl/>
        <w:numPr>
          <w:ilvl w:val="0"/>
          <w:numId w:val="30"/>
        </w:numPr>
        <w:tabs>
          <w:tab w:val="left" w:pos="-720"/>
          <w:tab w:val="left" w:pos="0"/>
        </w:tabs>
        <w:suppressAutoHyphens/>
        <w:rPr>
          <w:rFonts w:ascii="Times New Roman" w:hAnsi="Times New Roman"/>
          <w:bCs/>
          <w:szCs w:val="22"/>
        </w:rPr>
      </w:pPr>
      <w:r>
        <w:rPr>
          <w:rFonts w:ascii="Times New Roman" w:hAnsi="Times New Roman"/>
          <w:bCs/>
          <w:szCs w:val="22"/>
        </w:rPr>
        <w:t>o</w:t>
      </w:r>
      <w:r w:rsidR="001D5806">
        <w:rPr>
          <w:rFonts w:ascii="Times New Roman" w:hAnsi="Times New Roman"/>
          <w:bCs/>
          <w:szCs w:val="22"/>
        </w:rPr>
        <w:t>fficial college transcript</w:t>
      </w:r>
      <w:r w:rsidR="0054114B">
        <w:rPr>
          <w:rFonts w:ascii="Times New Roman" w:hAnsi="Times New Roman"/>
          <w:bCs/>
          <w:szCs w:val="22"/>
        </w:rPr>
        <w:t>s</w:t>
      </w:r>
      <w:r w:rsidR="001D5806">
        <w:rPr>
          <w:rFonts w:ascii="Times New Roman" w:hAnsi="Times New Roman"/>
          <w:bCs/>
          <w:szCs w:val="22"/>
        </w:rPr>
        <w:t xml:space="preserve"> </w:t>
      </w:r>
      <w:r w:rsidR="00BA42D5">
        <w:rPr>
          <w:rFonts w:ascii="Times New Roman" w:hAnsi="Times New Roman"/>
          <w:bCs/>
          <w:szCs w:val="22"/>
        </w:rPr>
        <w:t xml:space="preserve">from applicants </w:t>
      </w:r>
      <w:r w:rsidR="00677667">
        <w:rPr>
          <w:rFonts w:ascii="Times New Roman" w:hAnsi="Times New Roman"/>
          <w:bCs/>
          <w:szCs w:val="22"/>
        </w:rPr>
        <w:t xml:space="preserve">who </w:t>
      </w:r>
      <w:r w:rsidR="008B3695">
        <w:rPr>
          <w:rFonts w:ascii="Times New Roman" w:hAnsi="Times New Roman"/>
          <w:bCs/>
          <w:szCs w:val="22"/>
        </w:rPr>
        <w:t xml:space="preserve">pass the examination and </w:t>
      </w:r>
      <w:r w:rsidR="00677667">
        <w:rPr>
          <w:rFonts w:ascii="Times New Roman" w:hAnsi="Times New Roman"/>
          <w:bCs/>
          <w:szCs w:val="22"/>
        </w:rPr>
        <w:t xml:space="preserve">possess a bachelor’s degree or higher </w:t>
      </w:r>
    </w:p>
    <w:p w:rsidR="00560144" w:rsidRDefault="00677667" w:rsidP="00677667">
      <w:pPr>
        <w:widowControl/>
        <w:numPr>
          <w:ilvl w:val="0"/>
          <w:numId w:val="32"/>
        </w:numPr>
        <w:tabs>
          <w:tab w:val="left" w:pos="-720"/>
          <w:tab w:val="left" w:pos="0"/>
        </w:tabs>
        <w:suppressAutoHyphens/>
        <w:rPr>
          <w:rFonts w:ascii="Times New Roman" w:hAnsi="Times New Roman"/>
          <w:bCs/>
          <w:szCs w:val="22"/>
        </w:rPr>
      </w:pPr>
      <w:r>
        <w:rPr>
          <w:rFonts w:ascii="Times New Roman" w:hAnsi="Times New Roman"/>
          <w:bCs/>
          <w:szCs w:val="22"/>
        </w:rPr>
        <w:t xml:space="preserve">high </w:t>
      </w:r>
      <w:r w:rsidR="0054114B">
        <w:rPr>
          <w:rFonts w:ascii="Times New Roman" w:hAnsi="Times New Roman"/>
          <w:bCs/>
          <w:szCs w:val="22"/>
        </w:rPr>
        <w:t xml:space="preserve">school </w:t>
      </w:r>
      <w:r>
        <w:rPr>
          <w:rFonts w:ascii="Times New Roman" w:hAnsi="Times New Roman"/>
          <w:bCs/>
          <w:szCs w:val="22"/>
        </w:rPr>
        <w:t>transcript</w:t>
      </w:r>
      <w:r w:rsidR="0054114B">
        <w:rPr>
          <w:rFonts w:ascii="Times New Roman" w:hAnsi="Times New Roman"/>
          <w:bCs/>
          <w:szCs w:val="22"/>
        </w:rPr>
        <w:t>s</w:t>
      </w:r>
      <w:r>
        <w:rPr>
          <w:rFonts w:ascii="Times New Roman" w:hAnsi="Times New Roman"/>
          <w:bCs/>
          <w:szCs w:val="22"/>
        </w:rPr>
        <w:t>, diploma</w:t>
      </w:r>
      <w:r w:rsidR="0054114B">
        <w:rPr>
          <w:rFonts w:ascii="Times New Roman" w:hAnsi="Times New Roman"/>
          <w:bCs/>
          <w:szCs w:val="22"/>
        </w:rPr>
        <w:t>s</w:t>
      </w:r>
      <w:r>
        <w:rPr>
          <w:rFonts w:ascii="Times New Roman" w:hAnsi="Times New Roman"/>
          <w:bCs/>
          <w:szCs w:val="22"/>
        </w:rPr>
        <w:t>, or GED certificate</w:t>
      </w:r>
      <w:r w:rsidR="0054114B">
        <w:rPr>
          <w:rFonts w:ascii="Times New Roman" w:hAnsi="Times New Roman"/>
          <w:bCs/>
          <w:szCs w:val="22"/>
        </w:rPr>
        <w:t>s</w:t>
      </w:r>
      <w:r w:rsidR="001D5806">
        <w:rPr>
          <w:rFonts w:ascii="Times New Roman" w:hAnsi="Times New Roman"/>
          <w:bCs/>
          <w:szCs w:val="22"/>
        </w:rPr>
        <w:t xml:space="preserve"> </w:t>
      </w:r>
      <w:r>
        <w:rPr>
          <w:rFonts w:ascii="Times New Roman" w:hAnsi="Times New Roman"/>
          <w:bCs/>
          <w:szCs w:val="22"/>
        </w:rPr>
        <w:t xml:space="preserve">and </w:t>
      </w:r>
      <w:r w:rsidR="008B3695">
        <w:rPr>
          <w:rFonts w:ascii="Times New Roman" w:hAnsi="Times New Roman"/>
          <w:bCs/>
          <w:szCs w:val="22"/>
        </w:rPr>
        <w:t xml:space="preserve">proof (e.g., Internal Revenue Service Form W-2(s) and wage and tax statement(s)) of relevant professional experience </w:t>
      </w:r>
      <w:r>
        <w:rPr>
          <w:rFonts w:ascii="Times New Roman" w:hAnsi="Times New Roman"/>
          <w:bCs/>
          <w:szCs w:val="22"/>
        </w:rPr>
        <w:t>from applicants who pass the examination, but do not possess a bachelor’s degree or higher</w:t>
      </w:r>
      <w:r w:rsidR="001D5806">
        <w:rPr>
          <w:rFonts w:ascii="Times New Roman" w:hAnsi="Times New Roman"/>
          <w:bCs/>
          <w:szCs w:val="22"/>
        </w:rPr>
        <w:t xml:space="preserve">  </w:t>
      </w:r>
    </w:p>
    <w:p w:rsidR="00560144" w:rsidRDefault="001D5806">
      <w:pPr>
        <w:widowControl/>
        <w:numPr>
          <w:ilvl w:val="0"/>
          <w:numId w:val="30"/>
        </w:numPr>
        <w:tabs>
          <w:tab w:val="left" w:pos="-720"/>
          <w:tab w:val="left" w:pos="0"/>
        </w:tabs>
        <w:suppressAutoHyphens/>
        <w:rPr>
          <w:rFonts w:ascii="Times New Roman" w:hAnsi="Times New Roman"/>
          <w:bCs/>
          <w:szCs w:val="22"/>
        </w:rPr>
      </w:pPr>
      <w:r>
        <w:rPr>
          <w:rFonts w:ascii="Times New Roman" w:hAnsi="Times New Roman"/>
          <w:bCs/>
          <w:szCs w:val="22"/>
        </w:rPr>
        <w:t>email message</w:t>
      </w:r>
      <w:r w:rsidR="0054114B">
        <w:rPr>
          <w:rFonts w:ascii="Times New Roman" w:hAnsi="Times New Roman"/>
          <w:bCs/>
          <w:szCs w:val="22"/>
        </w:rPr>
        <w:t>s</w:t>
      </w:r>
      <w:r w:rsidR="002A51DD">
        <w:rPr>
          <w:rFonts w:ascii="Times New Roman" w:hAnsi="Times New Roman"/>
          <w:bCs/>
          <w:szCs w:val="22"/>
        </w:rPr>
        <w:t>, from eligible non-</w:t>
      </w:r>
      <w:r w:rsidR="008B4DC6">
        <w:rPr>
          <w:rFonts w:ascii="Times New Roman" w:hAnsi="Times New Roman"/>
          <w:bCs/>
          <w:szCs w:val="22"/>
        </w:rPr>
        <w:t>attorneys, which</w:t>
      </w:r>
      <w:r w:rsidR="004E4BE1">
        <w:rPr>
          <w:rFonts w:ascii="Times New Roman" w:hAnsi="Times New Roman"/>
          <w:bCs/>
          <w:szCs w:val="22"/>
        </w:rPr>
        <w:t xml:space="preserve"> </w:t>
      </w:r>
      <w:r w:rsidR="0054114B">
        <w:rPr>
          <w:rFonts w:ascii="Times New Roman" w:hAnsi="Times New Roman"/>
          <w:bCs/>
          <w:szCs w:val="22"/>
        </w:rPr>
        <w:t>certify</w:t>
      </w:r>
      <w:r w:rsidR="002A51DD">
        <w:rPr>
          <w:rFonts w:ascii="Times New Roman" w:hAnsi="Times New Roman"/>
          <w:bCs/>
          <w:szCs w:val="22"/>
        </w:rPr>
        <w:t xml:space="preserve"> the completion of a required </w:t>
      </w:r>
      <w:r>
        <w:rPr>
          <w:rFonts w:ascii="Times New Roman" w:hAnsi="Times New Roman"/>
          <w:bCs/>
          <w:szCs w:val="22"/>
        </w:rPr>
        <w:t xml:space="preserve">continuing education </w:t>
      </w:r>
      <w:r w:rsidR="00B7425C">
        <w:rPr>
          <w:rFonts w:ascii="Times New Roman" w:hAnsi="Times New Roman"/>
          <w:bCs/>
          <w:szCs w:val="22"/>
        </w:rPr>
        <w:t>course</w:t>
      </w:r>
      <w:r w:rsidR="005E1702">
        <w:rPr>
          <w:rFonts w:ascii="Times New Roman" w:hAnsi="Times New Roman"/>
          <w:bCs/>
          <w:szCs w:val="22"/>
        </w:rPr>
        <w:t>.</w:t>
      </w:r>
      <w:r w:rsidR="00B7425C">
        <w:rPr>
          <w:rFonts w:ascii="Times New Roman" w:hAnsi="Times New Roman"/>
          <w:bCs/>
          <w:szCs w:val="22"/>
        </w:rPr>
        <w:t xml:space="preserve"> </w:t>
      </w:r>
    </w:p>
    <w:p w:rsidR="00A71ABB" w:rsidRDefault="00A71ABB" w:rsidP="00931EC7">
      <w:pPr>
        <w:tabs>
          <w:tab w:val="left" w:pos="-720"/>
          <w:tab w:val="left" w:pos="0"/>
          <w:tab w:val="left" w:pos="720"/>
        </w:tabs>
        <w:suppressAutoHyphens/>
        <w:ind w:left="720"/>
        <w:rPr>
          <w:rFonts w:ascii="Times New Roman" w:hAnsi="Times New Roman"/>
          <w:bCs/>
          <w:szCs w:val="22"/>
        </w:rPr>
      </w:pPr>
    </w:p>
    <w:p w:rsidR="00DC39A0" w:rsidRDefault="00B66E65" w:rsidP="00872E94">
      <w:pPr>
        <w:tabs>
          <w:tab w:val="left" w:pos="-720"/>
          <w:tab w:val="left" w:pos="0"/>
          <w:tab w:val="left" w:pos="720"/>
        </w:tabs>
        <w:suppressAutoHyphens/>
        <w:ind w:left="720"/>
        <w:rPr>
          <w:rFonts w:ascii="Times New Roman" w:hAnsi="Times New Roman"/>
          <w:bCs/>
          <w:szCs w:val="22"/>
        </w:rPr>
      </w:pPr>
      <w:r>
        <w:rPr>
          <w:rFonts w:ascii="Times New Roman" w:hAnsi="Times New Roman"/>
          <w:bCs/>
          <w:szCs w:val="22"/>
        </w:rPr>
        <w:t xml:space="preserve">Every </w:t>
      </w:r>
      <w:r w:rsidR="00BA42D5">
        <w:rPr>
          <w:rFonts w:ascii="Times New Roman" w:hAnsi="Times New Roman"/>
          <w:bCs/>
          <w:szCs w:val="22"/>
        </w:rPr>
        <w:t>year, SSA</w:t>
      </w:r>
      <w:r w:rsidR="00E047B5">
        <w:rPr>
          <w:rFonts w:ascii="Times New Roman" w:hAnsi="Times New Roman"/>
          <w:bCs/>
          <w:szCs w:val="22"/>
        </w:rPr>
        <w:t xml:space="preserve"> </w:t>
      </w:r>
      <w:r w:rsidR="00840D86">
        <w:rPr>
          <w:rFonts w:ascii="Times New Roman" w:hAnsi="Times New Roman"/>
          <w:bCs/>
          <w:szCs w:val="22"/>
        </w:rPr>
        <w:t xml:space="preserve">will </w:t>
      </w:r>
      <w:r w:rsidR="00B00C28" w:rsidRPr="00931EC7">
        <w:rPr>
          <w:rFonts w:ascii="Times New Roman" w:hAnsi="Times New Roman"/>
          <w:bCs/>
          <w:szCs w:val="22"/>
        </w:rPr>
        <w:t>evaluate</w:t>
      </w:r>
      <w:r>
        <w:rPr>
          <w:rFonts w:ascii="Times New Roman" w:hAnsi="Times New Roman"/>
          <w:bCs/>
          <w:szCs w:val="22"/>
        </w:rPr>
        <w:t xml:space="preserve"> the </w:t>
      </w:r>
      <w:r w:rsidR="004E4BE1">
        <w:rPr>
          <w:rFonts w:ascii="Times New Roman" w:hAnsi="Times New Roman"/>
          <w:bCs/>
          <w:szCs w:val="22"/>
        </w:rPr>
        <w:t>applications,</w:t>
      </w:r>
      <w:r w:rsidR="004E4BE1" w:rsidRPr="00931EC7">
        <w:rPr>
          <w:rFonts w:ascii="Times New Roman" w:hAnsi="Times New Roman"/>
          <w:bCs/>
          <w:szCs w:val="22"/>
        </w:rPr>
        <w:t xml:space="preserve"> conduct</w:t>
      </w:r>
      <w:r w:rsidR="00E047B5">
        <w:rPr>
          <w:rFonts w:ascii="Times New Roman" w:hAnsi="Times New Roman"/>
          <w:bCs/>
          <w:szCs w:val="22"/>
        </w:rPr>
        <w:t xml:space="preserve"> </w:t>
      </w:r>
      <w:r w:rsidR="00B00C28" w:rsidRPr="00931EC7">
        <w:rPr>
          <w:rFonts w:ascii="Times New Roman" w:hAnsi="Times New Roman"/>
          <w:bCs/>
          <w:szCs w:val="22"/>
        </w:rPr>
        <w:t>ve</w:t>
      </w:r>
      <w:r w:rsidR="00EF6F64">
        <w:rPr>
          <w:rFonts w:ascii="Times New Roman" w:hAnsi="Times New Roman"/>
          <w:bCs/>
          <w:szCs w:val="22"/>
        </w:rPr>
        <w:t>rification investigations</w:t>
      </w:r>
      <w:r>
        <w:rPr>
          <w:rFonts w:ascii="Times New Roman" w:hAnsi="Times New Roman"/>
          <w:bCs/>
          <w:szCs w:val="22"/>
        </w:rPr>
        <w:t>, and issue</w:t>
      </w:r>
      <w:r w:rsidR="00B00C28" w:rsidRPr="00931EC7">
        <w:rPr>
          <w:rFonts w:ascii="Times New Roman" w:hAnsi="Times New Roman"/>
          <w:bCs/>
          <w:szCs w:val="22"/>
        </w:rPr>
        <w:t xml:space="preserve"> recommendation</w:t>
      </w:r>
      <w:r>
        <w:rPr>
          <w:rFonts w:ascii="Times New Roman" w:hAnsi="Times New Roman"/>
          <w:bCs/>
          <w:szCs w:val="22"/>
        </w:rPr>
        <w:t>s</w:t>
      </w:r>
      <w:r w:rsidR="00EF6F64">
        <w:rPr>
          <w:rFonts w:ascii="Times New Roman" w:hAnsi="Times New Roman"/>
          <w:bCs/>
          <w:szCs w:val="22"/>
        </w:rPr>
        <w:t xml:space="preserve"> </w:t>
      </w:r>
      <w:r w:rsidR="00B00C28" w:rsidRPr="00931EC7">
        <w:rPr>
          <w:rFonts w:ascii="Times New Roman" w:hAnsi="Times New Roman"/>
          <w:bCs/>
          <w:szCs w:val="22"/>
        </w:rPr>
        <w:t>regarding a</w:t>
      </w:r>
      <w:r w:rsidR="00E05CF7">
        <w:rPr>
          <w:rFonts w:ascii="Times New Roman" w:hAnsi="Times New Roman"/>
          <w:bCs/>
          <w:szCs w:val="22"/>
        </w:rPr>
        <w:t>pplicant</w:t>
      </w:r>
      <w:r w:rsidR="00E7381E">
        <w:rPr>
          <w:rFonts w:ascii="Times New Roman" w:hAnsi="Times New Roman"/>
          <w:bCs/>
          <w:szCs w:val="22"/>
        </w:rPr>
        <w:t>s’</w:t>
      </w:r>
      <w:r w:rsidR="00E05CF7">
        <w:rPr>
          <w:rFonts w:ascii="Times New Roman" w:hAnsi="Times New Roman"/>
          <w:bCs/>
          <w:szCs w:val="22"/>
        </w:rPr>
        <w:t xml:space="preserve"> eligibility to sit for the </w:t>
      </w:r>
      <w:r w:rsidR="006F587E">
        <w:rPr>
          <w:rFonts w:ascii="Times New Roman" w:hAnsi="Times New Roman"/>
          <w:bCs/>
          <w:szCs w:val="22"/>
        </w:rPr>
        <w:t>examination</w:t>
      </w:r>
      <w:r w:rsidR="00E76E17">
        <w:rPr>
          <w:rFonts w:ascii="Times New Roman" w:hAnsi="Times New Roman"/>
          <w:bCs/>
          <w:szCs w:val="22"/>
        </w:rPr>
        <w:t xml:space="preserve"> and </w:t>
      </w:r>
      <w:r w:rsidR="00BA42D5">
        <w:rPr>
          <w:rFonts w:ascii="Times New Roman" w:hAnsi="Times New Roman"/>
          <w:bCs/>
          <w:szCs w:val="22"/>
        </w:rPr>
        <w:t xml:space="preserve">eligibility </w:t>
      </w:r>
      <w:r w:rsidR="00E76E17">
        <w:rPr>
          <w:rFonts w:ascii="Times New Roman" w:hAnsi="Times New Roman"/>
          <w:bCs/>
          <w:szCs w:val="22"/>
        </w:rPr>
        <w:t>to receive</w:t>
      </w:r>
      <w:r w:rsidR="004E4BE1">
        <w:rPr>
          <w:rFonts w:ascii="Times New Roman" w:hAnsi="Times New Roman"/>
          <w:bCs/>
          <w:szCs w:val="22"/>
        </w:rPr>
        <w:t xml:space="preserve"> direct payment</w:t>
      </w:r>
      <w:r w:rsidR="00EF6F64">
        <w:rPr>
          <w:rFonts w:ascii="Times New Roman" w:hAnsi="Times New Roman"/>
          <w:bCs/>
          <w:szCs w:val="22"/>
        </w:rPr>
        <w:t>.</w:t>
      </w:r>
      <w:r w:rsidR="00872E94">
        <w:rPr>
          <w:rFonts w:ascii="Times New Roman" w:hAnsi="Times New Roman"/>
          <w:bCs/>
          <w:szCs w:val="22"/>
        </w:rPr>
        <w:t xml:space="preserve">  </w:t>
      </w:r>
      <w:r w:rsidR="00BA42D5">
        <w:rPr>
          <w:rFonts w:ascii="Times New Roman" w:hAnsi="Times New Roman"/>
          <w:szCs w:val="22"/>
        </w:rPr>
        <w:t xml:space="preserve">In addition, one of the requirements for direct payment is the completion of continuing education credits.  To meet these credits, eligible non-attorneys will have to view training guides and materials, including but not limited to PowerPoint presentations, or Webinars, on ethics, professional conduct, disability listings, etc. which SSA will make available on the </w:t>
      </w:r>
      <w:r w:rsidR="00BA42D5">
        <w:rPr>
          <w:rFonts w:ascii="Times New Roman" w:hAnsi="Times New Roman"/>
        </w:rPr>
        <w:t>Social Security</w:t>
      </w:r>
      <w:r w:rsidR="00BA42D5">
        <w:rPr>
          <w:rFonts w:ascii="Times New Roman" w:hAnsi="Times New Roman"/>
          <w:szCs w:val="22"/>
        </w:rPr>
        <w:t xml:space="preserve"> Website.  They will certify they have taken the training by sending us an email message acknowledging their completion of the training within a specified period as directed by us.  </w:t>
      </w:r>
      <w:r w:rsidR="00E05CF7">
        <w:rPr>
          <w:rFonts w:ascii="Times New Roman" w:hAnsi="Times New Roman"/>
          <w:bCs/>
          <w:szCs w:val="22"/>
        </w:rPr>
        <w:t>The respondents are non</w:t>
      </w:r>
      <w:r w:rsidR="001D0E07">
        <w:rPr>
          <w:rFonts w:ascii="Times New Roman" w:hAnsi="Times New Roman"/>
          <w:bCs/>
          <w:szCs w:val="22"/>
        </w:rPr>
        <w:t>-</w:t>
      </w:r>
      <w:r w:rsidR="00E05CF7">
        <w:rPr>
          <w:rFonts w:ascii="Times New Roman" w:hAnsi="Times New Roman"/>
          <w:bCs/>
          <w:szCs w:val="22"/>
        </w:rPr>
        <w:t xml:space="preserve">attorneys who </w:t>
      </w:r>
      <w:r w:rsidR="001B0DD5">
        <w:rPr>
          <w:rFonts w:ascii="Times New Roman" w:hAnsi="Times New Roman"/>
          <w:bCs/>
          <w:szCs w:val="22"/>
        </w:rPr>
        <w:t>want</w:t>
      </w:r>
      <w:r w:rsidR="00E05CF7">
        <w:rPr>
          <w:rFonts w:ascii="Times New Roman" w:hAnsi="Times New Roman"/>
          <w:bCs/>
          <w:szCs w:val="22"/>
        </w:rPr>
        <w:t xml:space="preserve"> to receive direct payment </w:t>
      </w:r>
      <w:r w:rsidR="006F587E">
        <w:rPr>
          <w:rFonts w:ascii="Times New Roman" w:hAnsi="Times New Roman"/>
          <w:bCs/>
          <w:szCs w:val="22"/>
        </w:rPr>
        <w:t xml:space="preserve">of their fees </w:t>
      </w:r>
      <w:r w:rsidR="00E05CF7">
        <w:rPr>
          <w:rFonts w:ascii="Times New Roman" w:hAnsi="Times New Roman"/>
          <w:bCs/>
          <w:szCs w:val="22"/>
        </w:rPr>
        <w:t>for represent</w:t>
      </w:r>
      <w:r w:rsidR="006F587E">
        <w:rPr>
          <w:rFonts w:ascii="Times New Roman" w:hAnsi="Times New Roman"/>
          <w:bCs/>
          <w:szCs w:val="22"/>
        </w:rPr>
        <w:t xml:space="preserve">ational services </w:t>
      </w:r>
      <w:r w:rsidR="00E05CF7">
        <w:rPr>
          <w:rFonts w:ascii="Times New Roman" w:hAnsi="Times New Roman"/>
          <w:bCs/>
          <w:szCs w:val="22"/>
        </w:rPr>
        <w:t>before SSA.</w:t>
      </w:r>
    </w:p>
    <w:p w:rsidR="002E18CF" w:rsidRPr="002E18CF" w:rsidRDefault="002E18CF" w:rsidP="00931EC7">
      <w:pPr>
        <w:rPr>
          <w:rFonts w:ascii="Times New Roman" w:hAnsi="Times New Roman"/>
        </w:rPr>
      </w:pPr>
    </w:p>
    <w:p w:rsidR="006B60C9" w:rsidRPr="00560144" w:rsidRDefault="006A78BE" w:rsidP="0024269D">
      <w:pPr>
        <w:widowControl/>
        <w:numPr>
          <w:ilvl w:val="0"/>
          <w:numId w:val="18"/>
        </w:numPr>
        <w:tabs>
          <w:tab w:val="left" w:pos="-720"/>
          <w:tab w:val="left" w:pos="0"/>
        </w:tabs>
        <w:suppressAutoHyphens/>
        <w:rPr>
          <w:rFonts w:ascii="Times New Roman" w:hAnsi="Times New Roman"/>
          <w:szCs w:val="22"/>
        </w:rPr>
      </w:pPr>
      <w:r w:rsidRPr="00560144">
        <w:rPr>
          <w:rFonts w:ascii="Times New Roman" w:hAnsi="Times New Roman"/>
          <w:b/>
        </w:rPr>
        <w:t>Use of Information Technology to Collect the Information</w:t>
      </w:r>
    </w:p>
    <w:p w:rsidR="00375729" w:rsidRPr="00375729" w:rsidRDefault="00375729" w:rsidP="00375729">
      <w:pPr>
        <w:pStyle w:val="ListParagraph"/>
        <w:widowControl/>
        <w:tabs>
          <w:tab w:val="left" w:pos="-720"/>
          <w:tab w:val="left" w:pos="0"/>
        </w:tabs>
        <w:suppressAutoHyphens/>
        <w:rPr>
          <w:rFonts w:ascii="Times New Roman" w:hAnsi="Times New Roman"/>
          <w:szCs w:val="22"/>
        </w:rPr>
      </w:pPr>
      <w:r w:rsidRPr="00375729">
        <w:rPr>
          <w:rFonts w:ascii="Times New Roman" w:hAnsi="Times New Roman"/>
          <w:szCs w:val="22"/>
        </w:rPr>
        <w:t>The Statement of Work that will cover the contract for this project will state that the contractor must collect the information using a paper questionnaire form since a wet signature is required on the application</w:t>
      </w:r>
      <w:r w:rsidR="00BA04EA" w:rsidRPr="00375729">
        <w:rPr>
          <w:rFonts w:ascii="Times New Roman" w:hAnsi="Times New Roman"/>
          <w:szCs w:val="22"/>
        </w:rPr>
        <w:t xml:space="preserve">.  </w:t>
      </w:r>
      <w:r w:rsidRPr="00375729">
        <w:rPr>
          <w:rFonts w:ascii="Times New Roman" w:hAnsi="Times New Roman"/>
          <w:szCs w:val="22"/>
        </w:rPr>
        <w:t>The paper form will be available for print on the contractor’s Internet website</w:t>
      </w:r>
      <w:r w:rsidR="00BA04EA" w:rsidRPr="00375729">
        <w:rPr>
          <w:rFonts w:ascii="Times New Roman" w:hAnsi="Times New Roman"/>
          <w:szCs w:val="22"/>
        </w:rPr>
        <w:t xml:space="preserve">.  </w:t>
      </w:r>
      <w:r w:rsidRPr="00375729">
        <w:rPr>
          <w:rFonts w:ascii="Times New Roman" w:hAnsi="Times New Roman"/>
          <w:szCs w:val="22"/>
        </w:rPr>
        <w:t xml:space="preserve">Applicants will mail or deliver the signed paper form to the contractor.  </w:t>
      </w:r>
    </w:p>
    <w:p w:rsidR="00BA42D5" w:rsidRDefault="00BA42D5" w:rsidP="00BA42D5">
      <w:pPr>
        <w:widowControl/>
        <w:tabs>
          <w:tab w:val="left" w:pos="-720"/>
          <w:tab w:val="left" w:pos="0"/>
        </w:tabs>
        <w:suppressAutoHyphens/>
        <w:ind w:left="720"/>
        <w:rPr>
          <w:rFonts w:ascii="Times New Roman" w:hAnsi="Times New Roman"/>
          <w:szCs w:val="22"/>
        </w:rPr>
      </w:pPr>
    </w:p>
    <w:p w:rsidR="0036696D" w:rsidRDefault="001476E1" w:rsidP="004C5C1D">
      <w:pPr>
        <w:widowControl/>
        <w:tabs>
          <w:tab w:val="left" w:pos="-720"/>
          <w:tab w:val="left" w:pos="0"/>
        </w:tabs>
        <w:suppressAutoHyphens/>
        <w:ind w:left="720"/>
        <w:rPr>
          <w:rFonts w:ascii="Times New Roman" w:hAnsi="Times New Roman"/>
          <w:szCs w:val="22"/>
        </w:rPr>
      </w:pPr>
      <w:r>
        <w:rPr>
          <w:rFonts w:ascii="Times New Roman" w:hAnsi="Times New Roman"/>
          <w:szCs w:val="22"/>
        </w:rPr>
        <w:lastRenderedPageBreak/>
        <w:t>W</w:t>
      </w:r>
      <w:r w:rsidR="004C5C1D">
        <w:rPr>
          <w:rFonts w:ascii="Times New Roman" w:hAnsi="Times New Roman"/>
          <w:szCs w:val="22"/>
        </w:rPr>
        <w:t xml:space="preserve">e expect 100 percent of </w:t>
      </w:r>
      <w:r>
        <w:rPr>
          <w:rFonts w:ascii="Times New Roman" w:hAnsi="Times New Roman"/>
          <w:szCs w:val="22"/>
        </w:rPr>
        <w:t>eligible non-attorneys to view the continuing ed</w:t>
      </w:r>
      <w:r w:rsidR="00B14AC0">
        <w:rPr>
          <w:rFonts w:ascii="Times New Roman" w:hAnsi="Times New Roman"/>
          <w:szCs w:val="22"/>
        </w:rPr>
        <w:t xml:space="preserve">ucation credit </w:t>
      </w:r>
      <w:r w:rsidR="008B4DC6">
        <w:rPr>
          <w:rFonts w:ascii="Times New Roman" w:hAnsi="Times New Roman"/>
          <w:szCs w:val="22"/>
        </w:rPr>
        <w:t xml:space="preserve">training materials </w:t>
      </w:r>
      <w:r w:rsidR="00031842">
        <w:rPr>
          <w:rFonts w:ascii="Times New Roman" w:hAnsi="Times New Roman"/>
          <w:szCs w:val="22"/>
        </w:rPr>
        <w:t xml:space="preserve">or guides </w:t>
      </w:r>
      <w:r w:rsidR="00B14AC0">
        <w:rPr>
          <w:rFonts w:ascii="Times New Roman" w:hAnsi="Times New Roman"/>
          <w:szCs w:val="22"/>
        </w:rPr>
        <w:t xml:space="preserve">on </w:t>
      </w:r>
      <w:r w:rsidR="00733384">
        <w:rPr>
          <w:rFonts w:ascii="Times New Roman" w:hAnsi="Times New Roman"/>
          <w:szCs w:val="22"/>
        </w:rPr>
        <w:t xml:space="preserve">the </w:t>
      </w:r>
      <w:r>
        <w:rPr>
          <w:rFonts w:ascii="Times New Roman" w:hAnsi="Times New Roman"/>
          <w:szCs w:val="22"/>
        </w:rPr>
        <w:t xml:space="preserve">internet and </w:t>
      </w:r>
      <w:r w:rsidR="004C5C1D">
        <w:rPr>
          <w:rFonts w:ascii="Times New Roman" w:hAnsi="Times New Roman"/>
          <w:szCs w:val="22"/>
        </w:rPr>
        <w:t xml:space="preserve">confirm </w:t>
      </w:r>
      <w:r>
        <w:rPr>
          <w:rFonts w:ascii="Times New Roman" w:hAnsi="Times New Roman"/>
          <w:szCs w:val="22"/>
        </w:rPr>
        <w:t xml:space="preserve">the viewing </w:t>
      </w:r>
      <w:r w:rsidR="00B14AC0">
        <w:rPr>
          <w:rFonts w:ascii="Times New Roman" w:hAnsi="Times New Roman"/>
          <w:szCs w:val="22"/>
        </w:rPr>
        <w:t xml:space="preserve">with an </w:t>
      </w:r>
      <w:r w:rsidR="004C5C1D">
        <w:rPr>
          <w:rFonts w:ascii="Times New Roman" w:hAnsi="Times New Roman"/>
          <w:szCs w:val="22"/>
        </w:rPr>
        <w:t>email</w:t>
      </w:r>
      <w:r w:rsidR="00B14AC0">
        <w:rPr>
          <w:rFonts w:ascii="Times New Roman" w:hAnsi="Times New Roman"/>
          <w:szCs w:val="22"/>
        </w:rPr>
        <w:t xml:space="preserve"> </w:t>
      </w:r>
      <w:r w:rsidR="001C7C5E">
        <w:rPr>
          <w:rFonts w:ascii="Times New Roman" w:hAnsi="Times New Roman"/>
          <w:szCs w:val="22"/>
        </w:rPr>
        <w:t xml:space="preserve">or other electronic </w:t>
      </w:r>
      <w:r w:rsidR="00B14AC0">
        <w:rPr>
          <w:rFonts w:ascii="Times New Roman" w:hAnsi="Times New Roman"/>
          <w:szCs w:val="22"/>
        </w:rPr>
        <w:t>message</w:t>
      </w:r>
      <w:r w:rsidR="004C5C1D">
        <w:rPr>
          <w:rFonts w:ascii="Times New Roman" w:hAnsi="Times New Roman"/>
          <w:szCs w:val="22"/>
        </w:rPr>
        <w:t>.</w:t>
      </w:r>
    </w:p>
    <w:p w:rsidR="00B14AC0" w:rsidRPr="00EE53E3" w:rsidRDefault="00B14AC0" w:rsidP="004C5C1D">
      <w:pPr>
        <w:widowControl/>
        <w:tabs>
          <w:tab w:val="left" w:pos="-720"/>
          <w:tab w:val="left" w:pos="0"/>
        </w:tabs>
        <w:suppressAutoHyphens/>
        <w:ind w:left="720"/>
        <w:rPr>
          <w:rFonts w:ascii="Times New Roman" w:hAnsi="Times New Roman"/>
        </w:rPr>
      </w:pPr>
    </w:p>
    <w:p w:rsidR="00597AA5" w:rsidRPr="00597AA5" w:rsidRDefault="00A45D82" w:rsidP="00A11169">
      <w:pPr>
        <w:widowControl/>
        <w:numPr>
          <w:ilvl w:val="0"/>
          <w:numId w:val="18"/>
        </w:numPr>
        <w:tabs>
          <w:tab w:val="left" w:pos="-720"/>
          <w:tab w:val="left" w:pos="0"/>
        </w:tabs>
        <w:suppressAutoHyphens/>
        <w:rPr>
          <w:rFonts w:ascii="Times New Roman" w:hAnsi="Times New Roman"/>
          <w:szCs w:val="22"/>
        </w:rPr>
      </w:pPr>
      <w:r w:rsidRPr="00EE53E3">
        <w:rPr>
          <w:rFonts w:ascii="Times New Roman" w:hAnsi="Times New Roman"/>
          <w:b/>
        </w:rPr>
        <w:t xml:space="preserve">Why </w:t>
      </w:r>
      <w:r w:rsidR="000C1D18" w:rsidRPr="00EE53E3">
        <w:rPr>
          <w:rFonts w:ascii="Times New Roman" w:hAnsi="Times New Roman"/>
          <w:b/>
        </w:rPr>
        <w:t>We Cannot Use Duplicate Information</w:t>
      </w:r>
    </w:p>
    <w:p w:rsidR="00A11169" w:rsidRPr="00A11169" w:rsidRDefault="00A11169" w:rsidP="00597AA5">
      <w:pPr>
        <w:widowControl/>
        <w:tabs>
          <w:tab w:val="left" w:pos="-720"/>
          <w:tab w:val="left" w:pos="0"/>
        </w:tabs>
        <w:suppressAutoHyphens/>
        <w:ind w:left="720"/>
        <w:rPr>
          <w:rFonts w:ascii="Times New Roman" w:hAnsi="Times New Roman"/>
          <w:szCs w:val="22"/>
        </w:rPr>
      </w:pPr>
      <w:r w:rsidRPr="00A11169">
        <w:rPr>
          <w:rFonts w:ascii="Times New Roman" w:hAnsi="Times New Roman"/>
        </w:rPr>
        <w:t>The</w:t>
      </w:r>
      <w:r w:rsidR="00153159">
        <w:rPr>
          <w:rFonts w:ascii="Times New Roman" w:hAnsi="Times New Roman"/>
        </w:rPr>
        <w:t xml:space="preserve"> nature of the information we are collecting and the manner in which we are collecting it</w:t>
      </w:r>
      <w:r w:rsidRPr="00A11169">
        <w:rPr>
          <w:rFonts w:ascii="Times New Roman" w:hAnsi="Times New Roman"/>
        </w:rPr>
        <w:t xml:space="preserve"> preclude duplication</w:t>
      </w:r>
      <w:r w:rsidR="00112DA1" w:rsidRPr="00A11169">
        <w:rPr>
          <w:rFonts w:ascii="Times New Roman" w:hAnsi="Times New Roman"/>
        </w:rPr>
        <w:t xml:space="preserve">.  </w:t>
      </w:r>
      <w:r w:rsidR="004B7F0C">
        <w:rPr>
          <w:rFonts w:ascii="Times New Roman" w:hAnsi="Times New Roman"/>
        </w:rPr>
        <w:t>SSA</w:t>
      </w:r>
      <w:r w:rsidR="00AB54D8">
        <w:rPr>
          <w:rFonts w:ascii="Times New Roman" w:hAnsi="Times New Roman"/>
        </w:rPr>
        <w:t xml:space="preserve"> do</w:t>
      </w:r>
      <w:r w:rsidR="004B7F0C">
        <w:rPr>
          <w:rFonts w:ascii="Times New Roman" w:hAnsi="Times New Roman"/>
        </w:rPr>
        <w:t>es</w:t>
      </w:r>
      <w:r w:rsidR="005A7EDC">
        <w:rPr>
          <w:rFonts w:ascii="Times New Roman" w:hAnsi="Times New Roman"/>
        </w:rPr>
        <w:t xml:space="preserve"> not use another collection instrument to obtain similar data.</w:t>
      </w:r>
    </w:p>
    <w:p w:rsidR="00A11169" w:rsidRDefault="00A11169" w:rsidP="00A11169">
      <w:pPr>
        <w:widowControl/>
        <w:tabs>
          <w:tab w:val="left" w:pos="-720"/>
          <w:tab w:val="left" w:pos="0"/>
        </w:tabs>
        <w:suppressAutoHyphens/>
        <w:rPr>
          <w:b/>
        </w:rPr>
      </w:pPr>
    </w:p>
    <w:p w:rsidR="00597AA5" w:rsidRPr="00597AA5" w:rsidRDefault="00A11169" w:rsidP="0024269D">
      <w:pPr>
        <w:widowControl/>
        <w:numPr>
          <w:ilvl w:val="0"/>
          <w:numId w:val="18"/>
        </w:numPr>
        <w:tabs>
          <w:tab w:val="left" w:pos="-720"/>
          <w:tab w:val="left" w:pos="0"/>
        </w:tabs>
        <w:suppressAutoHyphens/>
        <w:rPr>
          <w:rFonts w:ascii="Times New Roman" w:hAnsi="Times New Roman"/>
          <w:szCs w:val="22"/>
        </w:rPr>
      </w:pPr>
      <w:r w:rsidRPr="00EE53E3">
        <w:rPr>
          <w:rFonts w:ascii="Times New Roman" w:hAnsi="Times New Roman"/>
          <w:b/>
        </w:rPr>
        <w:t>Minimizing Burden on Small Respondents</w:t>
      </w:r>
    </w:p>
    <w:p w:rsidR="00A11169" w:rsidRPr="00A11169" w:rsidRDefault="004B7F0C" w:rsidP="00597AA5">
      <w:pPr>
        <w:widowControl/>
        <w:tabs>
          <w:tab w:val="left" w:pos="-720"/>
          <w:tab w:val="left" w:pos="0"/>
        </w:tabs>
        <w:suppressAutoHyphens/>
        <w:ind w:left="720"/>
        <w:rPr>
          <w:rFonts w:ascii="Times New Roman" w:hAnsi="Times New Roman"/>
          <w:szCs w:val="22"/>
        </w:rPr>
      </w:pPr>
      <w:r>
        <w:rPr>
          <w:rFonts w:ascii="Times New Roman" w:hAnsi="Times New Roman"/>
        </w:rPr>
        <w:t>This collection does not affect small businesses or other small entities.</w:t>
      </w:r>
    </w:p>
    <w:p w:rsidR="00A11169" w:rsidRDefault="00A11169" w:rsidP="00A11169">
      <w:pPr>
        <w:widowControl/>
        <w:tabs>
          <w:tab w:val="left" w:pos="-720"/>
          <w:tab w:val="left" w:pos="0"/>
        </w:tabs>
        <w:suppressAutoHyphens/>
        <w:rPr>
          <w:b/>
        </w:rPr>
      </w:pPr>
    </w:p>
    <w:p w:rsidR="00EE53E3" w:rsidRPr="00EE53E3" w:rsidRDefault="00A45D82" w:rsidP="0024269D">
      <w:pPr>
        <w:widowControl/>
        <w:numPr>
          <w:ilvl w:val="0"/>
          <w:numId w:val="18"/>
        </w:numPr>
        <w:tabs>
          <w:tab w:val="left" w:pos="-720"/>
          <w:tab w:val="left" w:pos="0"/>
        </w:tabs>
        <w:suppressAutoHyphens/>
        <w:rPr>
          <w:rFonts w:ascii="Times New Roman" w:hAnsi="Times New Roman"/>
          <w:szCs w:val="22"/>
        </w:rPr>
      </w:pPr>
      <w:r w:rsidRPr="00EE53E3">
        <w:rPr>
          <w:rFonts w:ascii="Times New Roman" w:hAnsi="Times New Roman"/>
          <w:b/>
        </w:rPr>
        <w:t xml:space="preserve">Consequence of Not Collecting Information or Collecting it Less Frequently </w:t>
      </w:r>
      <w:r w:rsidR="008B2911">
        <w:rPr>
          <w:rFonts w:ascii="Times New Roman" w:hAnsi="Times New Roman"/>
        </w:rPr>
        <w:t xml:space="preserve">If we </w:t>
      </w:r>
      <w:r w:rsidR="00410BA3">
        <w:rPr>
          <w:rFonts w:ascii="Times New Roman" w:hAnsi="Times New Roman"/>
        </w:rPr>
        <w:t>d</w:t>
      </w:r>
      <w:r w:rsidR="001D6BD8">
        <w:rPr>
          <w:rFonts w:ascii="Times New Roman" w:hAnsi="Times New Roman"/>
        </w:rPr>
        <w:t>o</w:t>
      </w:r>
      <w:r w:rsidR="00410BA3">
        <w:rPr>
          <w:rFonts w:ascii="Times New Roman" w:hAnsi="Times New Roman"/>
        </w:rPr>
        <w:t xml:space="preserve"> not use the </w:t>
      </w:r>
      <w:r w:rsidR="00CD5798">
        <w:rPr>
          <w:rFonts w:ascii="Times New Roman" w:hAnsi="Times New Roman"/>
        </w:rPr>
        <w:t>application,</w:t>
      </w:r>
      <w:r w:rsidR="00587B0A">
        <w:rPr>
          <w:rFonts w:ascii="Times New Roman" w:hAnsi="Times New Roman"/>
        </w:rPr>
        <w:t xml:space="preserve"> </w:t>
      </w:r>
      <w:r w:rsidR="004B7F0C">
        <w:rPr>
          <w:rFonts w:ascii="Times New Roman" w:hAnsi="Times New Roman"/>
        </w:rPr>
        <w:t>the applicants would have no way</w:t>
      </w:r>
      <w:r w:rsidR="008B2911">
        <w:rPr>
          <w:rFonts w:ascii="Times New Roman" w:hAnsi="Times New Roman"/>
        </w:rPr>
        <w:t xml:space="preserve"> to apply</w:t>
      </w:r>
      <w:r w:rsidR="00410BA3">
        <w:rPr>
          <w:rFonts w:ascii="Times New Roman" w:hAnsi="Times New Roman"/>
        </w:rPr>
        <w:t xml:space="preserve"> to become </w:t>
      </w:r>
      <w:r w:rsidR="00C311D3">
        <w:rPr>
          <w:rFonts w:ascii="Times New Roman" w:hAnsi="Times New Roman"/>
        </w:rPr>
        <w:t xml:space="preserve">eligible to receive </w:t>
      </w:r>
      <w:r w:rsidR="008B2911">
        <w:rPr>
          <w:rFonts w:ascii="Times New Roman" w:hAnsi="Times New Roman"/>
        </w:rPr>
        <w:t>direct payment</w:t>
      </w:r>
      <w:r w:rsidR="00112DA1">
        <w:rPr>
          <w:rFonts w:ascii="Times New Roman" w:hAnsi="Times New Roman"/>
        </w:rPr>
        <w:t xml:space="preserve">.  </w:t>
      </w:r>
      <w:r w:rsidR="008B2911">
        <w:rPr>
          <w:rFonts w:ascii="Times New Roman" w:hAnsi="Times New Roman"/>
        </w:rPr>
        <w:t>This woul</w:t>
      </w:r>
      <w:r w:rsidR="003603AF">
        <w:rPr>
          <w:rFonts w:ascii="Times New Roman" w:hAnsi="Times New Roman"/>
        </w:rPr>
        <w:t xml:space="preserve">d be in violation of regulations at </w:t>
      </w:r>
      <w:r w:rsidR="003603AF" w:rsidRPr="00597AA5">
        <w:rPr>
          <w:rFonts w:ascii="Times New Roman" w:hAnsi="Times New Roman"/>
          <w:i/>
        </w:rPr>
        <w:t>5 CFR 1320.5</w:t>
      </w:r>
      <w:r w:rsidR="00112DA1">
        <w:rPr>
          <w:rFonts w:ascii="Times New Roman" w:hAnsi="Times New Roman"/>
          <w:i/>
          <w:szCs w:val="22"/>
        </w:rPr>
        <w:t xml:space="preserve">.  </w:t>
      </w:r>
      <w:r w:rsidR="004B7F0C">
        <w:rPr>
          <w:rFonts w:ascii="Times New Roman" w:hAnsi="Times New Roman"/>
          <w:szCs w:val="22"/>
        </w:rPr>
        <w:t>A</w:t>
      </w:r>
      <w:r w:rsidR="00A11169" w:rsidRPr="00EE53E3">
        <w:rPr>
          <w:rFonts w:ascii="Times New Roman" w:hAnsi="Times New Roman"/>
        </w:rPr>
        <w:t xml:space="preserve">pplicants </w:t>
      </w:r>
      <w:r w:rsidR="003C6A8B">
        <w:rPr>
          <w:rFonts w:ascii="Times New Roman" w:hAnsi="Times New Roman"/>
        </w:rPr>
        <w:t xml:space="preserve">must timely </w:t>
      </w:r>
      <w:r w:rsidR="008B2911">
        <w:rPr>
          <w:rFonts w:ascii="Times New Roman" w:hAnsi="Times New Roman"/>
        </w:rPr>
        <w:t>submit their applications during the yearly application period</w:t>
      </w:r>
      <w:r w:rsidR="008B4DC6">
        <w:rPr>
          <w:rFonts w:ascii="Times New Roman" w:hAnsi="Times New Roman"/>
        </w:rPr>
        <w:t xml:space="preserve"> within the time </w:t>
      </w:r>
      <w:r w:rsidR="003C6A8B">
        <w:rPr>
          <w:rFonts w:ascii="Times New Roman" w:hAnsi="Times New Roman"/>
        </w:rPr>
        <w:t>we prescribe</w:t>
      </w:r>
      <w:r w:rsidR="00112DA1" w:rsidRPr="00EE53E3">
        <w:rPr>
          <w:rFonts w:ascii="Times New Roman" w:hAnsi="Times New Roman"/>
        </w:rPr>
        <w:t xml:space="preserve">.  </w:t>
      </w:r>
      <w:r w:rsidR="0054460A">
        <w:rPr>
          <w:rFonts w:ascii="Times New Roman" w:hAnsi="Times New Roman"/>
        </w:rPr>
        <w:t>There are no technical or legal obstacles to burden reduction.</w:t>
      </w:r>
    </w:p>
    <w:p w:rsidR="00EE53E3" w:rsidRPr="00EE53E3" w:rsidRDefault="00EE53E3" w:rsidP="00EE53E3">
      <w:pPr>
        <w:widowControl/>
        <w:tabs>
          <w:tab w:val="left" w:pos="-720"/>
          <w:tab w:val="left" w:pos="0"/>
        </w:tabs>
        <w:suppressAutoHyphens/>
        <w:rPr>
          <w:rFonts w:ascii="Times New Roman" w:hAnsi="Times New Roman"/>
          <w:b/>
        </w:rPr>
      </w:pPr>
    </w:p>
    <w:p w:rsidR="00597AA5" w:rsidRPr="00597AA5" w:rsidRDefault="00A45D82" w:rsidP="00EE53E3">
      <w:pPr>
        <w:widowControl/>
        <w:numPr>
          <w:ilvl w:val="0"/>
          <w:numId w:val="18"/>
        </w:numPr>
        <w:tabs>
          <w:tab w:val="left" w:pos="-720"/>
          <w:tab w:val="left" w:pos="0"/>
        </w:tabs>
        <w:suppressAutoHyphens/>
        <w:rPr>
          <w:rFonts w:ascii="Times New Roman" w:hAnsi="Times New Roman"/>
          <w:szCs w:val="22"/>
        </w:rPr>
      </w:pPr>
      <w:r w:rsidRPr="00EE53E3">
        <w:rPr>
          <w:rFonts w:ascii="Times New Roman" w:hAnsi="Times New Roman"/>
          <w:b/>
        </w:rPr>
        <w:t>Special Circumstance</w:t>
      </w:r>
    </w:p>
    <w:p w:rsidR="00EE53E3" w:rsidRDefault="00E047B5" w:rsidP="00597AA5">
      <w:pPr>
        <w:widowControl/>
        <w:tabs>
          <w:tab w:val="left" w:pos="-720"/>
          <w:tab w:val="left" w:pos="0"/>
        </w:tabs>
        <w:suppressAutoHyphens/>
        <w:ind w:left="720"/>
        <w:rPr>
          <w:rFonts w:ascii="Times New Roman" w:hAnsi="Times New Roman"/>
          <w:szCs w:val="22"/>
        </w:rPr>
      </w:pPr>
      <w:r>
        <w:rPr>
          <w:rFonts w:ascii="Times New Roman" w:hAnsi="Times New Roman"/>
        </w:rPr>
        <w:t>T</w:t>
      </w:r>
      <w:r w:rsidR="0054460A" w:rsidRPr="00EE53E3">
        <w:rPr>
          <w:rFonts w:ascii="Times New Roman" w:hAnsi="Times New Roman"/>
        </w:rPr>
        <w:t xml:space="preserve">o limit the time required to determine eligibility, applicants </w:t>
      </w:r>
      <w:r w:rsidR="00410BA3">
        <w:rPr>
          <w:rFonts w:ascii="Times New Roman" w:hAnsi="Times New Roman"/>
        </w:rPr>
        <w:t xml:space="preserve">have </w:t>
      </w:r>
      <w:r w:rsidR="00290A96">
        <w:rPr>
          <w:rFonts w:ascii="Times New Roman" w:hAnsi="Times New Roman"/>
        </w:rPr>
        <w:t xml:space="preserve">a </w:t>
      </w:r>
      <w:r w:rsidR="003C6A8B">
        <w:rPr>
          <w:rFonts w:ascii="Times New Roman" w:hAnsi="Times New Roman"/>
        </w:rPr>
        <w:t xml:space="preserve">prescribed period </w:t>
      </w:r>
      <w:r w:rsidR="007D79F1">
        <w:rPr>
          <w:rFonts w:ascii="Times New Roman" w:hAnsi="Times New Roman"/>
        </w:rPr>
        <w:t>to</w:t>
      </w:r>
      <w:r w:rsidR="0054460A">
        <w:rPr>
          <w:rFonts w:ascii="Times New Roman" w:hAnsi="Times New Roman"/>
        </w:rPr>
        <w:t xml:space="preserve"> submit their applications during the yearly application period</w:t>
      </w:r>
      <w:r w:rsidR="00112DA1">
        <w:rPr>
          <w:rFonts w:ascii="Times New Roman" w:hAnsi="Times New Roman"/>
        </w:rPr>
        <w:t xml:space="preserve">.  </w:t>
      </w:r>
      <w:r w:rsidR="00F61479">
        <w:rPr>
          <w:rFonts w:ascii="Times New Roman" w:hAnsi="Times New Roman"/>
        </w:rPr>
        <w:t>Applicants have 30 calendar days after the close of the application period to correct any application defects</w:t>
      </w:r>
      <w:r w:rsidR="00112DA1">
        <w:rPr>
          <w:rFonts w:ascii="Times New Roman" w:hAnsi="Times New Roman"/>
        </w:rPr>
        <w:t xml:space="preserve">.  </w:t>
      </w:r>
      <w:r w:rsidR="00EE53E3" w:rsidRPr="00EE53E3">
        <w:rPr>
          <w:rFonts w:ascii="Times New Roman" w:hAnsi="Times New Roman"/>
        </w:rPr>
        <w:t xml:space="preserve">There are no other special circumstances that would cause </w:t>
      </w:r>
      <w:r w:rsidR="0054460A">
        <w:rPr>
          <w:rFonts w:ascii="Times New Roman" w:hAnsi="Times New Roman"/>
        </w:rPr>
        <w:t xml:space="preserve">SSA to conduct this </w:t>
      </w:r>
      <w:r w:rsidR="00EE53E3" w:rsidRPr="00EE53E3">
        <w:rPr>
          <w:rFonts w:ascii="Times New Roman" w:hAnsi="Times New Roman"/>
        </w:rPr>
        <w:t>information</w:t>
      </w:r>
      <w:r w:rsidR="0054460A">
        <w:rPr>
          <w:rFonts w:ascii="Times New Roman" w:hAnsi="Times New Roman"/>
        </w:rPr>
        <w:t xml:space="preserve"> collection</w:t>
      </w:r>
      <w:r w:rsidR="00EE53E3" w:rsidRPr="00EE53E3">
        <w:rPr>
          <w:rFonts w:ascii="Times New Roman" w:hAnsi="Times New Roman"/>
        </w:rPr>
        <w:t xml:space="preserve"> in a manner inconsistent with </w:t>
      </w:r>
      <w:r w:rsidR="00EE53E3" w:rsidRPr="00133C3A">
        <w:rPr>
          <w:rFonts w:ascii="Times New Roman" w:hAnsi="Times New Roman"/>
          <w:i/>
        </w:rPr>
        <w:t>5 CFR 1320.5</w:t>
      </w:r>
      <w:r w:rsidR="00EE53E3" w:rsidRPr="00EE53E3">
        <w:rPr>
          <w:rFonts w:ascii="Times New Roman" w:hAnsi="Times New Roman"/>
        </w:rPr>
        <w:t>.</w:t>
      </w:r>
    </w:p>
    <w:p w:rsidR="00EE53E3" w:rsidRDefault="00EE53E3" w:rsidP="00EE53E3">
      <w:pPr>
        <w:widowControl/>
        <w:tabs>
          <w:tab w:val="left" w:pos="-720"/>
          <w:tab w:val="left" w:pos="0"/>
        </w:tabs>
        <w:suppressAutoHyphens/>
        <w:rPr>
          <w:rFonts w:ascii="Times New Roman" w:hAnsi="Times New Roman"/>
          <w:b/>
        </w:rPr>
      </w:pPr>
    </w:p>
    <w:p w:rsidR="00597AA5" w:rsidRPr="00597AA5" w:rsidRDefault="00A45D82" w:rsidP="00153159">
      <w:pPr>
        <w:widowControl/>
        <w:numPr>
          <w:ilvl w:val="0"/>
          <w:numId w:val="18"/>
        </w:numPr>
        <w:tabs>
          <w:tab w:val="left" w:pos="-720"/>
          <w:tab w:val="left" w:pos="0"/>
        </w:tabs>
        <w:suppressAutoHyphens/>
        <w:rPr>
          <w:rFonts w:ascii="Times New Roman" w:hAnsi="Times New Roman"/>
        </w:rPr>
      </w:pPr>
      <w:r w:rsidRPr="00EE53E3">
        <w:rPr>
          <w:rFonts w:ascii="Times New Roman" w:hAnsi="Times New Roman"/>
          <w:b/>
        </w:rPr>
        <w:t>Solicitation of Public Comment and Other Consultations with the Public</w:t>
      </w:r>
    </w:p>
    <w:p w:rsidR="00153159" w:rsidRDefault="00153159" w:rsidP="00597AA5">
      <w:pPr>
        <w:widowControl/>
        <w:tabs>
          <w:tab w:val="left" w:pos="-720"/>
          <w:tab w:val="left" w:pos="0"/>
        </w:tabs>
        <w:suppressAutoHyphens/>
        <w:ind w:left="720"/>
        <w:rPr>
          <w:rFonts w:ascii="Times New Roman" w:hAnsi="Times New Roman"/>
        </w:rPr>
      </w:pPr>
      <w:r w:rsidRPr="00153159">
        <w:rPr>
          <w:rFonts w:ascii="Times New Roman" w:hAnsi="Times New Roman"/>
        </w:rPr>
        <w:t xml:space="preserve">SSA published the </w:t>
      </w:r>
      <w:r w:rsidR="00313236">
        <w:rPr>
          <w:rFonts w:ascii="Times New Roman" w:hAnsi="Times New Roman"/>
        </w:rPr>
        <w:t>Interim Final Rule in the</w:t>
      </w:r>
      <w:r w:rsidRPr="00153159">
        <w:rPr>
          <w:rFonts w:ascii="Times New Roman" w:hAnsi="Times New Roman"/>
        </w:rPr>
        <w:t xml:space="preserve"> Federal Reg</w:t>
      </w:r>
      <w:r>
        <w:rPr>
          <w:rFonts w:ascii="Times New Roman" w:hAnsi="Times New Roman"/>
        </w:rPr>
        <w:t xml:space="preserve">ister Notice on </w:t>
      </w:r>
      <w:r w:rsidR="005E76EF">
        <w:rPr>
          <w:rFonts w:ascii="Times New Roman" w:hAnsi="Times New Roman"/>
        </w:rPr>
        <w:t>July 28, 2011 at 76 FR 45184</w:t>
      </w:r>
      <w:r w:rsidRPr="00153159">
        <w:rPr>
          <w:rFonts w:ascii="Times New Roman" w:hAnsi="Times New Roman"/>
        </w:rPr>
        <w:t>, and we received no public comments</w:t>
      </w:r>
      <w:r w:rsidR="00313236">
        <w:rPr>
          <w:rFonts w:ascii="Times New Roman" w:hAnsi="Times New Roman"/>
        </w:rPr>
        <w:t xml:space="preserve">.  SSA did not conduct </w:t>
      </w:r>
      <w:r w:rsidRPr="00153159">
        <w:rPr>
          <w:rFonts w:ascii="Times New Roman" w:hAnsi="Times New Roman"/>
        </w:rPr>
        <w:t>outside consultations with members of the public.</w:t>
      </w:r>
    </w:p>
    <w:p w:rsidR="00A45D82" w:rsidRPr="00BC7F42" w:rsidRDefault="00153159" w:rsidP="00153159">
      <w:pPr>
        <w:widowControl/>
        <w:tabs>
          <w:tab w:val="left" w:pos="-720"/>
          <w:tab w:val="left" w:pos="0"/>
        </w:tabs>
        <w:suppressAutoHyphens/>
        <w:rPr>
          <w:rFonts w:ascii="Times New Roman" w:hAnsi="Times New Roman"/>
        </w:rPr>
      </w:pPr>
      <w:r w:rsidRPr="00BC7F42">
        <w:rPr>
          <w:rFonts w:ascii="Times New Roman" w:hAnsi="Times New Roman"/>
        </w:rPr>
        <w:t xml:space="preserve"> </w:t>
      </w:r>
    </w:p>
    <w:p w:rsidR="00597AA5" w:rsidRPr="00597AA5" w:rsidRDefault="00A45D82" w:rsidP="0024269D">
      <w:pPr>
        <w:numPr>
          <w:ilvl w:val="0"/>
          <w:numId w:val="18"/>
        </w:numPr>
        <w:rPr>
          <w:rFonts w:ascii="Times New Roman" w:hAnsi="Times New Roman"/>
        </w:rPr>
      </w:pPr>
      <w:r w:rsidRPr="00BC7F42">
        <w:rPr>
          <w:rFonts w:ascii="Times New Roman" w:hAnsi="Times New Roman"/>
          <w:b/>
        </w:rPr>
        <w:t>Payment or Gifts to Respondents</w:t>
      </w:r>
    </w:p>
    <w:p w:rsidR="00640A26" w:rsidRPr="00832B63" w:rsidRDefault="00832B63" w:rsidP="00597AA5">
      <w:pPr>
        <w:ind w:left="720"/>
        <w:rPr>
          <w:rFonts w:ascii="Times New Roman" w:hAnsi="Times New Roman"/>
        </w:rPr>
      </w:pPr>
      <w:r w:rsidRPr="00832B63">
        <w:rPr>
          <w:rFonts w:ascii="Times New Roman" w:hAnsi="Times New Roman"/>
        </w:rPr>
        <w:t>SSA does not provide payments or gifts to the respondents for providing this information.</w:t>
      </w:r>
    </w:p>
    <w:p w:rsidR="00A45D82" w:rsidRPr="00BC7F42" w:rsidRDefault="00A45D82" w:rsidP="00A45D82">
      <w:pPr>
        <w:rPr>
          <w:rFonts w:ascii="Times New Roman" w:hAnsi="Times New Roman"/>
        </w:rPr>
      </w:pPr>
    </w:p>
    <w:p w:rsidR="00597AA5" w:rsidRPr="00597AA5" w:rsidRDefault="00A45D82" w:rsidP="00832B63">
      <w:pPr>
        <w:widowControl/>
        <w:numPr>
          <w:ilvl w:val="0"/>
          <w:numId w:val="18"/>
        </w:numPr>
        <w:tabs>
          <w:tab w:val="left" w:pos="-720"/>
          <w:tab w:val="left" w:pos="0"/>
        </w:tabs>
        <w:suppressAutoHyphens/>
        <w:rPr>
          <w:rFonts w:ascii="Times New Roman" w:hAnsi="Times New Roman"/>
          <w:szCs w:val="22"/>
        </w:rPr>
      </w:pPr>
      <w:r w:rsidRPr="00BC7F42">
        <w:rPr>
          <w:rFonts w:ascii="Times New Roman" w:hAnsi="Times New Roman"/>
          <w:b/>
        </w:rPr>
        <w:t>Assurances of Confidentiality</w:t>
      </w:r>
    </w:p>
    <w:p w:rsidR="00795BAB" w:rsidRPr="00832B63" w:rsidRDefault="000B32C0" w:rsidP="00597AA5">
      <w:pPr>
        <w:widowControl/>
        <w:tabs>
          <w:tab w:val="left" w:pos="-720"/>
          <w:tab w:val="left" w:pos="0"/>
        </w:tabs>
        <w:suppressAutoHyphens/>
        <w:ind w:left="720"/>
        <w:rPr>
          <w:rFonts w:ascii="Times New Roman" w:hAnsi="Times New Roman"/>
          <w:szCs w:val="22"/>
        </w:rPr>
      </w:pPr>
      <w:r>
        <w:rPr>
          <w:rFonts w:ascii="Times New Roman" w:hAnsi="Times New Roman"/>
          <w:szCs w:val="22"/>
        </w:rPr>
        <w:t>SSA protects and holds confidential the information it collects</w:t>
      </w:r>
      <w:r w:rsidR="00832B63" w:rsidRPr="00832B63">
        <w:rPr>
          <w:rFonts w:ascii="Times New Roman" w:hAnsi="Times New Roman"/>
          <w:szCs w:val="22"/>
        </w:rPr>
        <w:t xml:space="preserve"> in accordance with </w:t>
      </w:r>
      <w:r w:rsidR="00832B63" w:rsidRPr="00597AA5">
        <w:rPr>
          <w:rFonts w:ascii="Times New Roman" w:hAnsi="Times New Roman"/>
          <w:i/>
          <w:szCs w:val="22"/>
        </w:rPr>
        <w:t>42 U.S.C. 1306, 20 CFR 401</w:t>
      </w:r>
      <w:r w:rsidR="00832B63" w:rsidRPr="000B32C0">
        <w:rPr>
          <w:rFonts w:ascii="Times New Roman" w:hAnsi="Times New Roman"/>
          <w:szCs w:val="22"/>
        </w:rPr>
        <w:t xml:space="preserve"> and </w:t>
      </w:r>
      <w:r w:rsidR="00832B63" w:rsidRPr="00597AA5">
        <w:rPr>
          <w:rFonts w:ascii="Times New Roman" w:hAnsi="Times New Roman"/>
          <w:i/>
          <w:szCs w:val="22"/>
        </w:rPr>
        <w:t>402, 5 U.S.C. 552</w:t>
      </w:r>
      <w:r w:rsidR="00832B63" w:rsidRPr="000B32C0">
        <w:rPr>
          <w:rFonts w:ascii="Times New Roman" w:hAnsi="Times New Roman"/>
          <w:i/>
          <w:szCs w:val="22"/>
        </w:rPr>
        <w:t xml:space="preserve"> </w:t>
      </w:r>
      <w:r w:rsidR="00832B63" w:rsidRPr="00597AA5">
        <w:rPr>
          <w:rFonts w:ascii="Times New Roman" w:hAnsi="Times New Roman"/>
          <w:szCs w:val="22"/>
        </w:rPr>
        <w:t>(Freedom of Information Act),</w:t>
      </w:r>
      <w:r w:rsidR="00832B63" w:rsidRPr="00832B63">
        <w:rPr>
          <w:rFonts w:ascii="Times New Roman" w:hAnsi="Times New Roman"/>
          <w:szCs w:val="22"/>
        </w:rPr>
        <w:t xml:space="preserve"> </w:t>
      </w:r>
      <w:r w:rsidR="00832B63" w:rsidRPr="00597AA5">
        <w:rPr>
          <w:rFonts w:ascii="Times New Roman" w:hAnsi="Times New Roman"/>
          <w:i/>
          <w:szCs w:val="22"/>
        </w:rPr>
        <w:t>5 U.S.C. 552a</w:t>
      </w:r>
      <w:r w:rsidR="00832B63" w:rsidRPr="00832B63">
        <w:rPr>
          <w:rFonts w:ascii="Times New Roman" w:hAnsi="Times New Roman"/>
          <w:szCs w:val="22"/>
        </w:rPr>
        <w:t xml:space="preserve"> </w:t>
      </w:r>
      <w:r w:rsidR="00832B63" w:rsidRPr="00597AA5">
        <w:rPr>
          <w:rFonts w:ascii="Times New Roman" w:hAnsi="Times New Roman"/>
          <w:szCs w:val="22"/>
        </w:rPr>
        <w:t>(Privacy Ac</w:t>
      </w:r>
      <w:r w:rsidR="00B3255B" w:rsidRPr="00597AA5">
        <w:rPr>
          <w:rFonts w:ascii="Times New Roman" w:hAnsi="Times New Roman"/>
          <w:szCs w:val="22"/>
        </w:rPr>
        <w:t xml:space="preserve">t of 1974) </w:t>
      </w:r>
      <w:r w:rsidR="00B3255B">
        <w:rPr>
          <w:rFonts w:ascii="Times New Roman" w:hAnsi="Times New Roman"/>
          <w:szCs w:val="22"/>
        </w:rPr>
        <w:t xml:space="preserve">and OMB Circular No.  </w:t>
      </w:r>
      <w:r w:rsidR="00832B63" w:rsidRPr="00832B63">
        <w:rPr>
          <w:rFonts w:ascii="Times New Roman" w:hAnsi="Times New Roman"/>
          <w:szCs w:val="22"/>
        </w:rPr>
        <w:t>A-130.</w:t>
      </w:r>
    </w:p>
    <w:p w:rsidR="00A45D82" w:rsidRPr="00BC7F42" w:rsidRDefault="00A45D82" w:rsidP="00A45D82">
      <w:pPr>
        <w:pStyle w:val="Header"/>
        <w:tabs>
          <w:tab w:val="clear" w:pos="4320"/>
          <w:tab w:val="clear" w:pos="8640"/>
        </w:tabs>
        <w:rPr>
          <w:rFonts w:ascii="Times New Roman" w:hAnsi="Times New Roman"/>
        </w:rPr>
      </w:pPr>
    </w:p>
    <w:p w:rsidR="00597AA5" w:rsidRPr="00597AA5" w:rsidRDefault="00A45D82" w:rsidP="005904EB">
      <w:pPr>
        <w:numPr>
          <w:ilvl w:val="0"/>
          <w:numId w:val="18"/>
        </w:numPr>
        <w:rPr>
          <w:rFonts w:ascii="Times New Roman" w:hAnsi="Times New Roman"/>
        </w:rPr>
      </w:pPr>
      <w:r w:rsidRPr="00BC7F42">
        <w:rPr>
          <w:rFonts w:ascii="Times New Roman" w:hAnsi="Times New Roman"/>
          <w:b/>
        </w:rPr>
        <w:t>Justification for Sensitive Questions</w:t>
      </w:r>
    </w:p>
    <w:p w:rsidR="005904EB" w:rsidRDefault="00516EFE" w:rsidP="00597AA5">
      <w:pPr>
        <w:ind w:left="720"/>
        <w:rPr>
          <w:rFonts w:ascii="Times New Roman" w:hAnsi="Times New Roman"/>
        </w:rPr>
      </w:pPr>
      <w:r>
        <w:rPr>
          <w:rFonts w:ascii="Times New Roman" w:hAnsi="Times New Roman"/>
        </w:rPr>
        <w:t>The information collection</w:t>
      </w:r>
      <w:r w:rsidR="00832B63" w:rsidRPr="00832B63">
        <w:rPr>
          <w:rFonts w:ascii="Times New Roman" w:hAnsi="Times New Roman"/>
        </w:rPr>
        <w:t xml:space="preserve"> does not contain any questions of a sensitive nature.</w:t>
      </w:r>
    </w:p>
    <w:p w:rsidR="005904EB" w:rsidRDefault="005904EB" w:rsidP="005904EB">
      <w:pPr>
        <w:rPr>
          <w:rFonts w:ascii="Times New Roman" w:hAnsi="Times New Roman"/>
          <w:b/>
        </w:rPr>
      </w:pPr>
    </w:p>
    <w:p w:rsidR="00860DDF" w:rsidRPr="00AB7DF7" w:rsidRDefault="00A45D82" w:rsidP="00D3365B">
      <w:pPr>
        <w:numPr>
          <w:ilvl w:val="0"/>
          <w:numId w:val="18"/>
        </w:numPr>
        <w:rPr>
          <w:rFonts w:ascii="Times New Roman" w:hAnsi="Times New Roman"/>
        </w:rPr>
      </w:pPr>
      <w:r w:rsidRPr="005904EB">
        <w:rPr>
          <w:rFonts w:ascii="Times New Roman" w:hAnsi="Times New Roman"/>
          <w:b/>
        </w:rPr>
        <w:t>Estimates of Public Reporting Burden</w:t>
      </w:r>
      <w:r w:rsidR="00832B63" w:rsidRPr="005904EB">
        <w:rPr>
          <w:rFonts w:ascii="Times New Roman" w:hAnsi="Times New Roman"/>
          <w:b/>
        </w:rPr>
        <w:t xml:space="preserve"> </w:t>
      </w:r>
      <w:r w:rsidR="00B3255B">
        <w:rPr>
          <w:rFonts w:ascii="Times New Roman" w:hAnsi="Times New Roman"/>
          <w:b/>
        </w:rPr>
        <w:t>–</w:t>
      </w:r>
      <w:r w:rsidR="00832B63" w:rsidRPr="005904EB">
        <w:rPr>
          <w:rFonts w:ascii="Times New Roman" w:hAnsi="Times New Roman"/>
          <w:b/>
        </w:rPr>
        <w:t xml:space="preserve"> </w:t>
      </w:r>
    </w:p>
    <w:p w:rsidR="005904EB" w:rsidRPr="00D3365B" w:rsidRDefault="00133C3A" w:rsidP="00197AE4">
      <w:pPr>
        <w:ind w:left="720"/>
        <w:rPr>
          <w:rFonts w:ascii="Times New Roman" w:hAnsi="Times New Roman"/>
        </w:rPr>
      </w:pPr>
      <w:r w:rsidRPr="00D3365B">
        <w:rPr>
          <w:rFonts w:ascii="Times New Roman" w:hAnsi="Times New Roman"/>
          <w:bCs/>
        </w:rPr>
        <w:t xml:space="preserve">The projected number of new and existing respondents may vary because of the eligibility criteria </w:t>
      </w:r>
      <w:r w:rsidR="00292C5F">
        <w:rPr>
          <w:rFonts w:ascii="Times New Roman" w:hAnsi="Times New Roman"/>
          <w:bCs/>
        </w:rPr>
        <w:t>for non-attorneys to receive direct payment</w:t>
      </w:r>
      <w:r w:rsidR="00112DA1">
        <w:rPr>
          <w:rFonts w:ascii="Times New Roman" w:hAnsi="Times New Roman"/>
          <w:bCs/>
        </w:rPr>
        <w:t xml:space="preserve">.  </w:t>
      </w:r>
      <w:r w:rsidR="00292C5F">
        <w:rPr>
          <w:rFonts w:ascii="Times New Roman" w:hAnsi="Times New Roman"/>
          <w:bCs/>
        </w:rPr>
        <w:t>H</w:t>
      </w:r>
      <w:r w:rsidRPr="00D3365B">
        <w:rPr>
          <w:rFonts w:ascii="Times New Roman" w:hAnsi="Times New Roman"/>
          <w:bCs/>
        </w:rPr>
        <w:t>owever, we present the current burden information in the chart below:</w:t>
      </w:r>
    </w:p>
    <w:p w:rsidR="000B32C0" w:rsidRDefault="000B32C0" w:rsidP="003E145C">
      <w:pPr>
        <w:ind w:left="720"/>
        <w:rPr>
          <w:rFonts w:ascii="Times New Roman" w:hAnsi="Times New Roman"/>
          <w:color w:val="FF0000"/>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1620"/>
        <w:gridCol w:w="1530"/>
        <w:gridCol w:w="1530"/>
        <w:gridCol w:w="1620"/>
      </w:tblGrid>
      <w:tr w:rsidR="00197AE4" w:rsidRPr="00067650" w:rsidTr="00197AE4">
        <w:tc>
          <w:tcPr>
            <w:tcW w:w="1980" w:type="dxa"/>
          </w:tcPr>
          <w:p w:rsidR="00197AE4" w:rsidRPr="00197AE4" w:rsidRDefault="00197AE4" w:rsidP="00D24CAA">
            <w:pPr>
              <w:rPr>
                <w:rFonts w:ascii="Times New Roman" w:hAnsi="Times New Roman"/>
                <w:b/>
              </w:rPr>
            </w:pPr>
            <w:r w:rsidRPr="00197AE4">
              <w:rPr>
                <w:rFonts w:ascii="Times New Roman" w:hAnsi="Times New Roman"/>
                <w:b/>
              </w:rPr>
              <w:t>Modality of Completion</w:t>
            </w:r>
          </w:p>
        </w:tc>
        <w:tc>
          <w:tcPr>
            <w:tcW w:w="1620" w:type="dxa"/>
          </w:tcPr>
          <w:p w:rsidR="00197AE4" w:rsidRPr="00197AE4" w:rsidRDefault="00197AE4" w:rsidP="00D24CAA">
            <w:pPr>
              <w:rPr>
                <w:rFonts w:ascii="Times New Roman" w:hAnsi="Times New Roman"/>
                <w:b/>
              </w:rPr>
            </w:pPr>
            <w:r w:rsidRPr="00197AE4">
              <w:rPr>
                <w:rFonts w:ascii="Times New Roman" w:hAnsi="Times New Roman"/>
                <w:b/>
              </w:rPr>
              <w:t>Number of Respondents</w:t>
            </w:r>
          </w:p>
        </w:tc>
        <w:tc>
          <w:tcPr>
            <w:tcW w:w="1530" w:type="dxa"/>
          </w:tcPr>
          <w:p w:rsidR="00197AE4" w:rsidRPr="00197AE4" w:rsidRDefault="00197AE4" w:rsidP="00D24CAA">
            <w:pPr>
              <w:rPr>
                <w:rFonts w:ascii="Times New Roman" w:hAnsi="Times New Roman"/>
                <w:b/>
              </w:rPr>
            </w:pPr>
            <w:r w:rsidRPr="00197AE4">
              <w:rPr>
                <w:rFonts w:ascii="Times New Roman" w:hAnsi="Times New Roman"/>
                <w:b/>
              </w:rPr>
              <w:t>Frequency of Response</w:t>
            </w:r>
          </w:p>
        </w:tc>
        <w:tc>
          <w:tcPr>
            <w:tcW w:w="1530" w:type="dxa"/>
          </w:tcPr>
          <w:p w:rsidR="00197AE4" w:rsidRPr="00197AE4" w:rsidRDefault="00197AE4" w:rsidP="00D24CAA">
            <w:pPr>
              <w:rPr>
                <w:rFonts w:ascii="Times New Roman" w:hAnsi="Times New Roman"/>
                <w:b/>
              </w:rPr>
            </w:pPr>
            <w:r w:rsidRPr="00197AE4">
              <w:rPr>
                <w:rFonts w:ascii="Times New Roman" w:hAnsi="Times New Roman"/>
                <w:b/>
              </w:rPr>
              <w:t>Average Burden per Response (minutes)</w:t>
            </w:r>
          </w:p>
        </w:tc>
        <w:tc>
          <w:tcPr>
            <w:tcW w:w="1620" w:type="dxa"/>
          </w:tcPr>
          <w:p w:rsidR="00197AE4" w:rsidRPr="00197AE4" w:rsidRDefault="00197AE4" w:rsidP="00D24CAA">
            <w:pPr>
              <w:rPr>
                <w:rFonts w:ascii="Times New Roman" w:hAnsi="Times New Roman"/>
                <w:b/>
              </w:rPr>
            </w:pPr>
            <w:r w:rsidRPr="00197AE4">
              <w:rPr>
                <w:rFonts w:ascii="Times New Roman" w:hAnsi="Times New Roman"/>
                <w:b/>
              </w:rPr>
              <w:t>Total Annual Burden (hours)</w:t>
            </w:r>
          </w:p>
        </w:tc>
      </w:tr>
      <w:tr w:rsidR="00313236" w:rsidRPr="00067650" w:rsidTr="00197AE4">
        <w:tc>
          <w:tcPr>
            <w:tcW w:w="1980" w:type="dxa"/>
          </w:tcPr>
          <w:p w:rsidR="00313236" w:rsidRDefault="00313236" w:rsidP="00313236">
            <w:pPr>
              <w:rPr>
                <w:rFonts w:ascii="Times New Roman" w:hAnsi="Times New Roman"/>
              </w:rPr>
            </w:pPr>
            <w:r w:rsidRPr="00197AE4">
              <w:rPr>
                <w:rFonts w:ascii="Times New Roman" w:hAnsi="Times New Roman"/>
              </w:rPr>
              <w:t xml:space="preserve">New Respondents </w:t>
            </w:r>
            <w:r>
              <w:rPr>
                <w:rFonts w:ascii="Times New Roman" w:hAnsi="Times New Roman"/>
              </w:rPr>
              <w:t>–</w:t>
            </w:r>
            <w:r w:rsidRPr="00197AE4">
              <w:rPr>
                <w:rFonts w:ascii="Times New Roman" w:hAnsi="Times New Roman"/>
              </w:rPr>
              <w:t xml:space="preserve"> </w:t>
            </w:r>
            <w:r>
              <w:rPr>
                <w:rFonts w:ascii="Times New Roman" w:hAnsi="Times New Roman"/>
              </w:rPr>
              <w:t xml:space="preserve">Paper </w:t>
            </w:r>
            <w:r w:rsidRPr="00197AE4">
              <w:rPr>
                <w:rFonts w:ascii="Times New Roman" w:hAnsi="Times New Roman"/>
              </w:rPr>
              <w:t xml:space="preserve">Application </w:t>
            </w:r>
            <w:r>
              <w:rPr>
                <w:rFonts w:ascii="Times New Roman" w:hAnsi="Times New Roman"/>
              </w:rPr>
              <w:t>(complete and submit)</w:t>
            </w:r>
            <w:r w:rsidR="00FD7D47">
              <w:rPr>
                <w:rFonts w:ascii="Times New Roman" w:hAnsi="Times New Roman"/>
              </w:rPr>
              <w:t xml:space="preserve"> – 404.1717(b)&amp;(c)</w:t>
            </w:r>
            <w:bookmarkStart w:id="0" w:name="_GoBack"/>
            <w:bookmarkEnd w:id="0"/>
            <w:r w:rsidR="00FD7D47">
              <w:rPr>
                <w:rFonts w:ascii="Times New Roman" w:hAnsi="Times New Roman"/>
              </w:rPr>
              <w:t>;</w:t>
            </w:r>
          </w:p>
          <w:p w:rsidR="00FD7D47" w:rsidRPr="00197AE4" w:rsidRDefault="00FD7D47" w:rsidP="00313236">
            <w:pPr>
              <w:rPr>
                <w:rFonts w:ascii="Times New Roman" w:hAnsi="Times New Roman"/>
              </w:rPr>
            </w:pPr>
            <w:r>
              <w:rPr>
                <w:rFonts w:ascii="Times New Roman" w:hAnsi="Times New Roman"/>
              </w:rPr>
              <w:t>416.1517(b)&amp;(c)</w:t>
            </w:r>
          </w:p>
        </w:tc>
        <w:tc>
          <w:tcPr>
            <w:tcW w:w="1620" w:type="dxa"/>
          </w:tcPr>
          <w:p w:rsidR="00313236" w:rsidRDefault="00313236" w:rsidP="00D24CAA">
            <w:pPr>
              <w:jc w:val="right"/>
              <w:rPr>
                <w:rFonts w:ascii="Times New Roman" w:hAnsi="Times New Roman"/>
              </w:rPr>
            </w:pPr>
            <w:r>
              <w:rPr>
                <w:rFonts w:ascii="Times New Roman" w:hAnsi="Times New Roman"/>
              </w:rPr>
              <w:t>20</w:t>
            </w:r>
            <w:r w:rsidR="000177AF">
              <w:rPr>
                <w:rFonts w:ascii="Times New Roman" w:hAnsi="Times New Roman"/>
              </w:rPr>
              <w:t>0</w:t>
            </w:r>
          </w:p>
        </w:tc>
        <w:tc>
          <w:tcPr>
            <w:tcW w:w="1530" w:type="dxa"/>
          </w:tcPr>
          <w:p w:rsidR="00313236" w:rsidRPr="00197AE4" w:rsidRDefault="00313236" w:rsidP="00D24CAA">
            <w:pPr>
              <w:jc w:val="right"/>
              <w:rPr>
                <w:rFonts w:ascii="Times New Roman" w:hAnsi="Times New Roman"/>
              </w:rPr>
            </w:pPr>
            <w:r>
              <w:rPr>
                <w:rFonts w:ascii="Times New Roman" w:hAnsi="Times New Roman"/>
              </w:rPr>
              <w:t>1</w:t>
            </w:r>
          </w:p>
        </w:tc>
        <w:tc>
          <w:tcPr>
            <w:tcW w:w="1530" w:type="dxa"/>
          </w:tcPr>
          <w:p w:rsidR="00313236" w:rsidRPr="00197AE4" w:rsidRDefault="00313236" w:rsidP="00D24CAA">
            <w:pPr>
              <w:jc w:val="right"/>
              <w:rPr>
                <w:rFonts w:ascii="Times New Roman" w:hAnsi="Times New Roman"/>
              </w:rPr>
            </w:pPr>
            <w:r>
              <w:rPr>
                <w:rFonts w:ascii="Times New Roman" w:hAnsi="Times New Roman"/>
              </w:rPr>
              <w:t>45</w:t>
            </w:r>
          </w:p>
        </w:tc>
        <w:tc>
          <w:tcPr>
            <w:tcW w:w="1620" w:type="dxa"/>
          </w:tcPr>
          <w:p w:rsidR="00313236" w:rsidRDefault="00313236" w:rsidP="00D24CAA">
            <w:pPr>
              <w:jc w:val="right"/>
              <w:rPr>
                <w:rFonts w:ascii="Times New Roman" w:hAnsi="Times New Roman"/>
              </w:rPr>
            </w:pPr>
            <w:r>
              <w:rPr>
                <w:rFonts w:ascii="Times New Roman" w:hAnsi="Times New Roman"/>
              </w:rPr>
              <w:t>15</w:t>
            </w:r>
            <w:r w:rsidR="000177AF">
              <w:rPr>
                <w:rFonts w:ascii="Times New Roman" w:hAnsi="Times New Roman"/>
              </w:rPr>
              <w:t>0</w:t>
            </w:r>
          </w:p>
        </w:tc>
      </w:tr>
      <w:tr w:rsidR="00197AE4" w:rsidRPr="00067650" w:rsidTr="00197AE4">
        <w:tc>
          <w:tcPr>
            <w:tcW w:w="1980" w:type="dxa"/>
          </w:tcPr>
          <w:p w:rsidR="00197AE4" w:rsidRPr="00197AE4" w:rsidRDefault="00197AE4" w:rsidP="00D24CAA">
            <w:pPr>
              <w:rPr>
                <w:rFonts w:ascii="Times New Roman" w:hAnsi="Times New Roman"/>
              </w:rPr>
            </w:pPr>
            <w:r w:rsidRPr="00197AE4">
              <w:rPr>
                <w:rFonts w:ascii="Times New Roman" w:hAnsi="Times New Roman"/>
              </w:rPr>
              <w:t xml:space="preserve">New Respondents Examination </w:t>
            </w:r>
            <w:r w:rsidR="00FD7D47">
              <w:rPr>
                <w:rFonts w:ascii="Times New Roman" w:hAnsi="Times New Roman"/>
              </w:rPr>
              <w:t>– 404.1717(a)(5); 416.1517(a)(5)</w:t>
            </w:r>
          </w:p>
        </w:tc>
        <w:tc>
          <w:tcPr>
            <w:tcW w:w="1620" w:type="dxa"/>
          </w:tcPr>
          <w:p w:rsidR="00197AE4" w:rsidRPr="00197AE4" w:rsidRDefault="00197AE4" w:rsidP="00D24CAA">
            <w:pPr>
              <w:jc w:val="right"/>
              <w:rPr>
                <w:rFonts w:ascii="Times New Roman" w:hAnsi="Times New Roman"/>
              </w:rPr>
            </w:pPr>
            <w:r w:rsidRPr="00197AE4">
              <w:rPr>
                <w:rFonts w:ascii="Times New Roman" w:hAnsi="Times New Roman"/>
              </w:rPr>
              <w:t>200</w:t>
            </w:r>
          </w:p>
        </w:tc>
        <w:tc>
          <w:tcPr>
            <w:tcW w:w="1530" w:type="dxa"/>
          </w:tcPr>
          <w:p w:rsidR="00197AE4" w:rsidRPr="00197AE4" w:rsidRDefault="00197AE4" w:rsidP="00D24CAA">
            <w:pPr>
              <w:jc w:val="right"/>
              <w:rPr>
                <w:rFonts w:ascii="Times New Roman" w:hAnsi="Times New Roman"/>
              </w:rPr>
            </w:pPr>
            <w:r w:rsidRPr="00197AE4">
              <w:rPr>
                <w:rFonts w:ascii="Times New Roman" w:hAnsi="Times New Roman"/>
              </w:rPr>
              <w:t>1</w:t>
            </w:r>
          </w:p>
        </w:tc>
        <w:tc>
          <w:tcPr>
            <w:tcW w:w="1530" w:type="dxa"/>
          </w:tcPr>
          <w:p w:rsidR="00197AE4" w:rsidRPr="00197AE4" w:rsidRDefault="00197AE4" w:rsidP="00D24CAA">
            <w:pPr>
              <w:jc w:val="right"/>
              <w:rPr>
                <w:rFonts w:ascii="Times New Roman" w:hAnsi="Times New Roman"/>
              </w:rPr>
            </w:pPr>
            <w:r w:rsidRPr="00197AE4">
              <w:rPr>
                <w:rFonts w:ascii="Times New Roman" w:hAnsi="Times New Roman"/>
              </w:rPr>
              <w:t>120</w:t>
            </w:r>
          </w:p>
        </w:tc>
        <w:tc>
          <w:tcPr>
            <w:tcW w:w="1620" w:type="dxa"/>
          </w:tcPr>
          <w:p w:rsidR="00197AE4" w:rsidRPr="00197AE4" w:rsidRDefault="00197AE4" w:rsidP="00D24CAA">
            <w:pPr>
              <w:jc w:val="right"/>
              <w:rPr>
                <w:rFonts w:ascii="Times New Roman" w:hAnsi="Times New Roman"/>
              </w:rPr>
            </w:pPr>
            <w:r w:rsidRPr="00197AE4">
              <w:rPr>
                <w:rFonts w:ascii="Times New Roman" w:hAnsi="Times New Roman"/>
              </w:rPr>
              <w:t>400</w:t>
            </w:r>
          </w:p>
        </w:tc>
      </w:tr>
      <w:tr w:rsidR="00197AE4" w:rsidTr="00197AE4">
        <w:tc>
          <w:tcPr>
            <w:tcW w:w="1980" w:type="dxa"/>
          </w:tcPr>
          <w:p w:rsidR="00FD7D47" w:rsidRDefault="00197AE4" w:rsidP="00D24CAA">
            <w:pPr>
              <w:rPr>
                <w:rFonts w:ascii="Times New Roman" w:hAnsi="Times New Roman"/>
              </w:rPr>
            </w:pPr>
            <w:r w:rsidRPr="00197AE4">
              <w:rPr>
                <w:rFonts w:ascii="Times New Roman" w:hAnsi="Times New Roman"/>
              </w:rPr>
              <w:t xml:space="preserve">New Respondents  -  Submission of proof of Bachelor’s Degree or Equivalent Qualifications </w:t>
            </w:r>
            <w:r w:rsidR="00FD7D47">
              <w:rPr>
                <w:rFonts w:ascii="Times New Roman" w:hAnsi="Times New Roman"/>
              </w:rPr>
              <w:t>– 404.1717(a)(3);</w:t>
            </w:r>
          </w:p>
          <w:p w:rsidR="00FD7D47" w:rsidRPr="00197AE4" w:rsidRDefault="00FD7D47" w:rsidP="00D24CAA">
            <w:pPr>
              <w:rPr>
                <w:rFonts w:ascii="Times New Roman" w:hAnsi="Times New Roman"/>
              </w:rPr>
            </w:pPr>
            <w:r>
              <w:rPr>
                <w:rFonts w:ascii="Times New Roman" w:hAnsi="Times New Roman"/>
              </w:rPr>
              <w:t>416.1517(a)(3)</w:t>
            </w:r>
          </w:p>
        </w:tc>
        <w:tc>
          <w:tcPr>
            <w:tcW w:w="1620" w:type="dxa"/>
          </w:tcPr>
          <w:p w:rsidR="00197AE4" w:rsidRPr="00197AE4" w:rsidRDefault="00197AE4" w:rsidP="00D24CAA">
            <w:pPr>
              <w:jc w:val="right"/>
              <w:rPr>
                <w:rFonts w:ascii="Times New Roman" w:hAnsi="Times New Roman"/>
              </w:rPr>
            </w:pPr>
            <w:r w:rsidRPr="00197AE4">
              <w:rPr>
                <w:rFonts w:ascii="Times New Roman" w:hAnsi="Times New Roman"/>
              </w:rPr>
              <w:t>200</w:t>
            </w:r>
          </w:p>
        </w:tc>
        <w:tc>
          <w:tcPr>
            <w:tcW w:w="1530" w:type="dxa"/>
          </w:tcPr>
          <w:p w:rsidR="00197AE4" w:rsidRPr="00197AE4" w:rsidRDefault="00197AE4" w:rsidP="00D24CAA">
            <w:pPr>
              <w:jc w:val="right"/>
              <w:rPr>
                <w:rFonts w:ascii="Times New Roman" w:hAnsi="Times New Roman"/>
              </w:rPr>
            </w:pPr>
            <w:r w:rsidRPr="00197AE4">
              <w:rPr>
                <w:rFonts w:ascii="Times New Roman" w:hAnsi="Times New Roman"/>
              </w:rPr>
              <w:t>1</w:t>
            </w:r>
          </w:p>
        </w:tc>
        <w:tc>
          <w:tcPr>
            <w:tcW w:w="1530" w:type="dxa"/>
          </w:tcPr>
          <w:p w:rsidR="00197AE4" w:rsidRPr="00197AE4" w:rsidRDefault="00197AE4" w:rsidP="00D24CAA">
            <w:pPr>
              <w:jc w:val="right"/>
              <w:rPr>
                <w:rFonts w:ascii="Times New Roman" w:hAnsi="Times New Roman"/>
              </w:rPr>
            </w:pPr>
            <w:r w:rsidRPr="00197AE4">
              <w:rPr>
                <w:rFonts w:ascii="Times New Roman" w:hAnsi="Times New Roman"/>
              </w:rPr>
              <w:t>10</w:t>
            </w:r>
          </w:p>
        </w:tc>
        <w:tc>
          <w:tcPr>
            <w:tcW w:w="1620" w:type="dxa"/>
          </w:tcPr>
          <w:p w:rsidR="00197AE4" w:rsidRPr="00197AE4" w:rsidRDefault="00197AE4" w:rsidP="00D24CAA">
            <w:pPr>
              <w:jc w:val="right"/>
              <w:rPr>
                <w:rFonts w:ascii="Times New Roman" w:hAnsi="Times New Roman"/>
              </w:rPr>
            </w:pPr>
            <w:r w:rsidRPr="00197AE4">
              <w:rPr>
                <w:rFonts w:ascii="Times New Roman" w:hAnsi="Times New Roman"/>
              </w:rPr>
              <w:t>33</w:t>
            </w:r>
          </w:p>
        </w:tc>
      </w:tr>
      <w:tr w:rsidR="00197AE4" w:rsidRPr="00067650" w:rsidTr="00197AE4">
        <w:tc>
          <w:tcPr>
            <w:tcW w:w="1980" w:type="dxa"/>
          </w:tcPr>
          <w:p w:rsidR="00197AE4" w:rsidRPr="00197AE4" w:rsidRDefault="00197AE4" w:rsidP="00D24CAA">
            <w:pPr>
              <w:rPr>
                <w:rFonts w:ascii="Times New Roman" w:hAnsi="Times New Roman"/>
              </w:rPr>
            </w:pPr>
            <w:r w:rsidRPr="00197AE4">
              <w:rPr>
                <w:rFonts w:ascii="Times New Roman" w:hAnsi="Times New Roman"/>
              </w:rPr>
              <w:t xml:space="preserve">New and Existing Respondents - CE Submission via email/mail/or FAX of training courses taken as  prescribed by SSA </w:t>
            </w:r>
            <w:r w:rsidR="00FD7D47">
              <w:rPr>
                <w:rFonts w:ascii="Times New Roman" w:hAnsi="Times New Roman"/>
              </w:rPr>
              <w:t>– 404.1717(a)(7); 416.1517(a)(7)</w:t>
            </w:r>
          </w:p>
        </w:tc>
        <w:tc>
          <w:tcPr>
            <w:tcW w:w="1620" w:type="dxa"/>
          </w:tcPr>
          <w:p w:rsidR="00197AE4" w:rsidRPr="00197AE4" w:rsidRDefault="00304EDC" w:rsidP="00D24CAA">
            <w:pPr>
              <w:jc w:val="right"/>
              <w:rPr>
                <w:rFonts w:ascii="Times New Roman" w:hAnsi="Times New Roman"/>
              </w:rPr>
            </w:pPr>
            <w:r>
              <w:rPr>
                <w:rFonts w:ascii="Times New Roman" w:hAnsi="Times New Roman"/>
              </w:rPr>
              <w:t>710</w:t>
            </w:r>
          </w:p>
        </w:tc>
        <w:tc>
          <w:tcPr>
            <w:tcW w:w="1530" w:type="dxa"/>
          </w:tcPr>
          <w:p w:rsidR="00197AE4" w:rsidRPr="00197AE4" w:rsidRDefault="00197AE4" w:rsidP="00D24CAA">
            <w:pPr>
              <w:jc w:val="right"/>
              <w:rPr>
                <w:rFonts w:ascii="Times New Roman" w:hAnsi="Times New Roman"/>
              </w:rPr>
            </w:pPr>
            <w:r w:rsidRPr="00197AE4">
              <w:rPr>
                <w:rFonts w:ascii="Times New Roman" w:hAnsi="Times New Roman"/>
              </w:rPr>
              <w:t>1</w:t>
            </w:r>
          </w:p>
        </w:tc>
        <w:tc>
          <w:tcPr>
            <w:tcW w:w="1530" w:type="dxa"/>
          </w:tcPr>
          <w:p w:rsidR="00197AE4" w:rsidRPr="00197AE4" w:rsidRDefault="00197AE4" w:rsidP="00D24CAA">
            <w:pPr>
              <w:jc w:val="right"/>
              <w:rPr>
                <w:rFonts w:ascii="Times New Roman" w:hAnsi="Times New Roman"/>
              </w:rPr>
            </w:pPr>
            <w:r w:rsidRPr="00197AE4">
              <w:rPr>
                <w:rFonts w:ascii="Times New Roman" w:hAnsi="Times New Roman"/>
              </w:rPr>
              <w:t>20</w:t>
            </w:r>
          </w:p>
        </w:tc>
        <w:tc>
          <w:tcPr>
            <w:tcW w:w="1620" w:type="dxa"/>
          </w:tcPr>
          <w:p w:rsidR="00197AE4" w:rsidRPr="00197AE4" w:rsidRDefault="00304EDC" w:rsidP="00D24CAA">
            <w:pPr>
              <w:jc w:val="right"/>
              <w:rPr>
                <w:rFonts w:ascii="Times New Roman" w:hAnsi="Times New Roman"/>
              </w:rPr>
            </w:pPr>
            <w:r>
              <w:rPr>
                <w:rFonts w:ascii="Times New Roman" w:hAnsi="Times New Roman"/>
              </w:rPr>
              <w:t>237</w:t>
            </w:r>
          </w:p>
        </w:tc>
      </w:tr>
      <w:tr w:rsidR="00197AE4" w:rsidRPr="00D35C1A" w:rsidTr="00197AE4">
        <w:tc>
          <w:tcPr>
            <w:tcW w:w="1980" w:type="dxa"/>
          </w:tcPr>
          <w:p w:rsidR="00197AE4" w:rsidRPr="00197AE4" w:rsidRDefault="00197AE4" w:rsidP="00D24CAA">
            <w:pPr>
              <w:rPr>
                <w:rFonts w:ascii="Times New Roman" w:hAnsi="Times New Roman"/>
              </w:rPr>
            </w:pPr>
            <w:r w:rsidRPr="00197AE4">
              <w:rPr>
                <w:rFonts w:ascii="Times New Roman" w:hAnsi="Times New Roman"/>
              </w:rPr>
              <w:t>New and Existing Respondents - Proof of Continuous Professional or Business Liability Insurance Coverage (Scan and  Email)</w:t>
            </w:r>
            <w:r w:rsidR="00FD7D47">
              <w:rPr>
                <w:rFonts w:ascii="Times New Roman" w:hAnsi="Times New Roman"/>
              </w:rPr>
              <w:t xml:space="preserve"> – 404.1717(a)(6); 416.1517(a)(6)</w:t>
            </w:r>
          </w:p>
        </w:tc>
        <w:tc>
          <w:tcPr>
            <w:tcW w:w="1620" w:type="dxa"/>
          </w:tcPr>
          <w:p w:rsidR="00197AE4" w:rsidRPr="00197AE4" w:rsidRDefault="00304EDC" w:rsidP="00D24CAA">
            <w:pPr>
              <w:jc w:val="right"/>
              <w:rPr>
                <w:rFonts w:ascii="Times New Roman" w:hAnsi="Times New Roman"/>
              </w:rPr>
            </w:pPr>
            <w:r>
              <w:rPr>
                <w:rFonts w:ascii="Times New Roman" w:hAnsi="Times New Roman"/>
              </w:rPr>
              <w:t>672</w:t>
            </w:r>
          </w:p>
        </w:tc>
        <w:tc>
          <w:tcPr>
            <w:tcW w:w="1530" w:type="dxa"/>
          </w:tcPr>
          <w:p w:rsidR="00197AE4" w:rsidRPr="00197AE4" w:rsidRDefault="00197AE4" w:rsidP="00D24CAA">
            <w:pPr>
              <w:jc w:val="right"/>
              <w:rPr>
                <w:rFonts w:ascii="Times New Roman" w:hAnsi="Times New Roman"/>
              </w:rPr>
            </w:pPr>
            <w:r w:rsidRPr="00197AE4">
              <w:rPr>
                <w:rFonts w:ascii="Times New Roman" w:hAnsi="Times New Roman"/>
              </w:rPr>
              <w:t>1</w:t>
            </w:r>
          </w:p>
        </w:tc>
        <w:tc>
          <w:tcPr>
            <w:tcW w:w="1530" w:type="dxa"/>
          </w:tcPr>
          <w:p w:rsidR="00197AE4" w:rsidRPr="00197AE4" w:rsidRDefault="00197AE4" w:rsidP="00D24CAA">
            <w:pPr>
              <w:jc w:val="right"/>
              <w:rPr>
                <w:rFonts w:ascii="Times New Roman" w:hAnsi="Times New Roman"/>
              </w:rPr>
            </w:pPr>
            <w:r w:rsidRPr="00197AE4">
              <w:rPr>
                <w:rFonts w:ascii="Times New Roman" w:hAnsi="Times New Roman"/>
              </w:rPr>
              <w:t>10</w:t>
            </w:r>
          </w:p>
        </w:tc>
        <w:tc>
          <w:tcPr>
            <w:tcW w:w="1620" w:type="dxa"/>
          </w:tcPr>
          <w:p w:rsidR="00197AE4" w:rsidRPr="00197AE4" w:rsidRDefault="00197AE4" w:rsidP="00D24CAA">
            <w:pPr>
              <w:jc w:val="right"/>
              <w:rPr>
                <w:rFonts w:ascii="Times New Roman" w:hAnsi="Times New Roman"/>
              </w:rPr>
            </w:pPr>
            <w:r w:rsidRPr="00197AE4">
              <w:rPr>
                <w:rFonts w:ascii="Times New Roman" w:hAnsi="Times New Roman"/>
              </w:rPr>
              <w:t>1</w:t>
            </w:r>
            <w:r w:rsidR="00304EDC">
              <w:rPr>
                <w:rFonts w:ascii="Times New Roman" w:hAnsi="Times New Roman"/>
              </w:rPr>
              <w:t>1</w:t>
            </w:r>
            <w:r w:rsidRPr="00197AE4">
              <w:rPr>
                <w:rFonts w:ascii="Times New Roman" w:hAnsi="Times New Roman"/>
              </w:rPr>
              <w:t>2</w:t>
            </w:r>
          </w:p>
        </w:tc>
      </w:tr>
      <w:tr w:rsidR="00197AE4" w:rsidRPr="00D35C1A" w:rsidTr="00197AE4">
        <w:tc>
          <w:tcPr>
            <w:tcW w:w="1980" w:type="dxa"/>
            <w:shd w:val="clear" w:color="auto" w:fill="FFFFFF"/>
          </w:tcPr>
          <w:p w:rsidR="00197AE4" w:rsidRPr="00197AE4" w:rsidRDefault="00197AE4" w:rsidP="00D24CAA">
            <w:pPr>
              <w:rPr>
                <w:rFonts w:ascii="Times New Roman" w:hAnsi="Times New Roman"/>
              </w:rPr>
            </w:pPr>
            <w:r w:rsidRPr="00197AE4">
              <w:rPr>
                <w:rFonts w:ascii="Times New Roman" w:hAnsi="Times New Roman"/>
              </w:rPr>
              <w:t>New and Existing Respondents - Proof of Continuous Professional or Business Liability Insurance Coverage (Copy and Mail)</w:t>
            </w:r>
            <w:r w:rsidR="00FD7D47">
              <w:rPr>
                <w:rFonts w:ascii="Times New Roman" w:hAnsi="Times New Roman"/>
              </w:rPr>
              <w:t xml:space="preserve"> - 404.1717(a)(6); 416.1517(a)(6)</w:t>
            </w:r>
          </w:p>
        </w:tc>
        <w:tc>
          <w:tcPr>
            <w:tcW w:w="1620" w:type="dxa"/>
            <w:shd w:val="clear" w:color="auto" w:fill="FFFFFF"/>
          </w:tcPr>
          <w:p w:rsidR="00197AE4" w:rsidRPr="00197AE4" w:rsidRDefault="00197AE4" w:rsidP="00D24CAA">
            <w:pPr>
              <w:jc w:val="right"/>
              <w:rPr>
                <w:rFonts w:ascii="Times New Roman" w:hAnsi="Times New Roman"/>
              </w:rPr>
            </w:pPr>
            <w:r w:rsidRPr="00197AE4">
              <w:rPr>
                <w:rFonts w:ascii="Times New Roman" w:hAnsi="Times New Roman"/>
              </w:rPr>
              <w:t>38</w:t>
            </w:r>
          </w:p>
        </w:tc>
        <w:tc>
          <w:tcPr>
            <w:tcW w:w="1530" w:type="dxa"/>
            <w:shd w:val="clear" w:color="auto" w:fill="FFFFFF"/>
          </w:tcPr>
          <w:p w:rsidR="00197AE4" w:rsidRPr="00197AE4" w:rsidRDefault="00197AE4" w:rsidP="00D24CAA">
            <w:pPr>
              <w:jc w:val="right"/>
              <w:rPr>
                <w:rFonts w:ascii="Times New Roman" w:hAnsi="Times New Roman"/>
              </w:rPr>
            </w:pPr>
            <w:r w:rsidRPr="00197AE4">
              <w:rPr>
                <w:rFonts w:ascii="Times New Roman" w:hAnsi="Times New Roman"/>
              </w:rPr>
              <w:t>1</w:t>
            </w:r>
          </w:p>
        </w:tc>
        <w:tc>
          <w:tcPr>
            <w:tcW w:w="1530" w:type="dxa"/>
            <w:shd w:val="clear" w:color="auto" w:fill="FFFFFF"/>
          </w:tcPr>
          <w:p w:rsidR="00197AE4" w:rsidRPr="00197AE4" w:rsidRDefault="00197AE4" w:rsidP="00D24CAA">
            <w:pPr>
              <w:jc w:val="right"/>
              <w:rPr>
                <w:rFonts w:ascii="Times New Roman" w:hAnsi="Times New Roman"/>
              </w:rPr>
            </w:pPr>
            <w:r w:rsidRPr="00197AE4">
              <w:rPr>
                <w:rFonts w:ascii="Times New Roman" w:hAnsi="Times New Roman"/>
              </w:rPr>
              <w:t>15</w:t>
            </w:r>
          </w:p>
        </w:tc>
        <w:tc>
          <w:tcPr>
            <w:tcW w:w="1620" w:type="dxa"/>
            <w:shd w:val="clear" w:color="auto" w:fill="FFFFFF"/>
          </w:tcPr>
          <w:p w:rsidR="00197AE4" w:rsidRPr="00197AE4" w:rsidRDefault="00197AE4" w:rsidP="00D24CAA">
            <w:pPr>
              <w:jc w:val="right"/>
              <w:rPr>
                <w:rFonts w:ascii="Times New Roman" w:hAnsi="Times New Roman"/>
              </w:rPr>
            </w:pPr>
            <w:r w:rsidRPr="00197AE4">
              <w:rPr>
                <w:rFonts w:ascii="Times New Roman" w:hAnsi="Times New Roman"/>
              </w:rPr>
              <w:t>10</w:t>
            </w:r>
          </w:p>
        </w:tc>
      </w:tr>
      <w:tr w:rsidR="00197AE4" w:rsidRPr="00D35C1A" w:rsidTr="00197AE4">
        <w:tc>
          <w:tcPr>
            <w:tcW w:w="1980" w:type="dxa"/>
          </w:tcPr>
          <w:p w:rsidR="00FD7D47" w:rsidRPr="00197AE4" w:rsidRDefault="00197AE4" w:rsidP="00D24CAA">
            <w:pPr>
              <w:rPr>
                <w:rFonts w:ascii="Times New Roman" w:hAnsi="Times New Roman"/>
              </w:rPr>
            </w:pPr>
            <w:r w:rsidRPr="00197AE4">
              <w:rPr>
                <w:rFonts w:ascii="Times New Roman" w:hAnsi="Times New Roman"/>
              </w:rPr>
              <w:t>New and Existing Respondents - Written Protests</w:t>
            </w:r>
            <w:r w:rsidR="00FD7D47">
              <w:rPr>
                <w:rFonts w:ascii="Times New Roman" w:hAnsi="Times New Roman"/>
              </w:rPr>
              <w:t xml:space="preserve"> – 404.1717(d); 416.1517(d)</w:t>
            </w:r>
          </w:p>
        </w:tc>
        <w:tc>
          <w:tcPr>
            <w:tcW w:w="1620" w:type="dxa"/>
          </w:tcPr>
          <w:p w:rsidR="00197AE4" w:rsidRPr="00197AE4" w:rsidRDefault="00197AE4" w:rsidP="00D24CAA">
            <w:pPr>
              <w:jc w:val="right"/>
              <w:rPr>
                <w:rFonts w:ascii="Times New Roman" w:hAnsi="Times New Roman"/>
              </w:rPr>
            </w:pPr>
            <w:r w:rsidRPr="00197AE4">
              <w:rPr>
                <w:rFonts w:ascii="Times New Roman" w:hAnsi="Times New Roman"/>
              </w:rPr>
              <w:t>45</w:t>
            </w:r>
          </w:p>
        </w:tc>
        <w:tc>
          <w:tcPr>
            <w:tcW w:w="1530" w:type="dxa"/>
          </w:tcPr>
          <w:p w:rsidR="00197AE4" w:rsidRPr="00197AE4" w:rsidRDefault="00197AE4" w:rsidP="00D24CAA">
            <w:pPr>
              <w:jc w:val="right"/>
              <w:rPr>
                <w:rFonts w:ascii="Times New Roman" w:hAnsi="Times New Roman"/>
              </w:rPr>
            </w:pPr>
            <w:r w:rsidRPr="00197AE4">
              <w:rPr>
                <w:rFonts w:ascii="Times New Roman" w:hAnsi="Times New Roman"/>
              </w:rPr>
              <w:t>1</w:t>
            </w:r>
          </w:p>
        </w:tc>
        <w:tc>
          <w:tcPr>
            <w:tcW w:w="1530" w:type="dxa"/>
          </w:tcPr>
          <w:p w:rsidR="00197AE4" w:rsidRPr="00197AE4" w:rsidRDefault="00197AE4" w:rsidP="00D24CAA">
            <w:pPr>
              <w:jc w:val="right"/>
              <w:rPr>
                <w:rFonts w:ascii="Times New Roman" w:hAnsi="Times New Roman"/>
              </w:rPr>
            </w:pPr>
            <w:r w:rsidRPr="00197AE4">
              <w:rPr>
                <w:rFonts w:ascii="Times New Roman" w:hAnsi="Times New Roman"/>
              </w:rPr>
              <w:t>45</w:t>
            </w:r>
          </w:p>
        </w:tc>
        <w:tc>
          <w:tcPr>
            <w:tcW w:w="1620" w:type="dxa"/>
          </w:tcPr>
          <w:p w:rsidR="00197AE4" w:rsidRPr="00197AE4" w:rsidRDefault="00197AE4" w:rsidP="00D24CAA">
            <w:pPr>
              <w:jc w:val="right"/>
              <w:rPr>
                <w:rFonts w:ascii="Times New Roman" w:hAnsi="Times New Roman"/>
              </w:rPr>
            </w:pPr>
            <w:r w:rsidRPr="00197AE4">
              <w:rPr>
                <w:rFonts w:ascii="Times New Roman" w:hAnsi="Times New Roman"/>
              </w:rPr>
              <w:t>34</w:t>
            </w:r>
          </w:p>
        </w:tc>
      </w:tr>
      <w:tr w:rsidR="00197AE4" w:rsidRPr="00067650" w:rsidTr="00197AE4">
        <w:tc>
          <w:tcPr>
            <w:tcW w:w="1980" w:type="dxa"/>
          </w:tcPr>
          <w:p w:rsidR="00197AE4" w:rsidRPr="00197AE4" w:rsidRDefault="00197AE4" w:rsidP="00D24CAA">
            <w:pPr>
              <w:rPr>
                <w:rFonts w:ascii="Times New Roman" w:hAnsi="Times New Roman"/>
                <w:b/>
              </w:rPr>
            </w:pPr>
            <w:r w:rsidRPr="00197AE4">
              <w:rPr>
                <w:rFonts w:ascii="Times New Roman" w:hAnsi="Times New Roman"/>
                <w:b/>
              </w:rPr>
              <w:t>Totals</w:t>
            </w:r>
          </w:p>
        </w:tc>
        <w:tc>
          <w:tcPr>
            <w:tcW w:w="1620" w:type="dxa"/>
          </w:tcPr>
          <w:p w:rsidR="00197AE4" w:rsidRPr="00197AE4" w:rsidRDefault="00197AE4" w:rsidP="00D24CAA">
            <w:pPr>
              <w:jc w:val="right"/>
              <w:rPr>
                <w:rFonts w:ascii="Times New Roman" w:hAnsi="Times New Roman"/>
                <w:b/>
              </w:rPr>
            </w:pPr>
            <w:r w:rsidRPr="00197AE4">
              <w:rPr>
                <w:rFonts w:ascii="Times New Roman" w:hAnsi="Times New Roman"/>
                <w:b/>
              </w:rPr>
              <w:t>2,0</w:t>
            </w:r>
            <w:r w:rsidR="00BE450D">
              <w:rPr>
                <w:rFonts w:ascii="Times New Roman" w:hAnsi="Times New Roman"/>
                <w:b/>
              </w:rPr>
              <w:t>65</w:t>
            </w:r>
          </w:p>
        </w:tc>
        <w:tc>
          <w:tcPr>
            <w:tcW w:w="1530" w:type="dxa"/>
          </w:tcPr>
          <w:p w:rsidR="00197AE4" w:rsidRPr="00197AE4" w:rsidRDefault="00197AE4" w:rsidP="00D24CAA">
            <w:pPr>
              <w:jc w:val="right"/>
              <w:rPr>
                <w:rFonts w:ascii="Times New Roman" w:hAnsi="Times New Roman"/>
                <w:b/>
              </w:rPr>
            </w:pPr>
          </w:p>
        </w:tc>
        <w:tc>
          <w:tcPr>
            <w:tcW w:w="1530" w:type="dxa"/>
          </w:tcPr>
          <w:p w:rsidR="00197AE4" w:rsidRPr="00197AE4" w:rsidRDefault="00197AE4" w:rsidP="00D24CAA">
            <w:pPr>
              <w:jc w:val="right"/>
              <w:rPr>
                <w:rFonts w:ascii="Times New Roman" w:hAnsi="Times New Roman"/>
                <w:b/>
              </w:rPr>
            </w:pPr>
          </w:p>
        </w:tc>
        <w:tc>
          <w:tcPr>
            <w:tcW w:w="1620" w:type="dxa"/>
          </w:tcPr>
          <w:p w:rsidR="00197AE4" w:rsidRPr="00197AE4" w:rsidRDefault="00197AE4" w:rsidP="00D24CAA">
            <w:pPr>
              <w:jc w:val="right"/>
              <w:rPr>
                <w:rFonts w:ascii="Times New Roman" w:hAnsi="Times New Roman"/>
                <w:b/>
              </w:rPr>
            </w:pPr>
            <w:r w:rsidRPr="00197AE4">
              <w:rPr>
                <w:rFonts w:ascii="Times New Roman" w:hAnsi="Times New Roman"/>
                <w:b/>
              </w:rPr>
              <w:t>9</w:t>
            </w:r>
            <w:r w:rsidR="00BE450D">
              <w:rPr>
                <w:rFonts w:ascii="Times New Roman" w:hAnsi="Times New Roman"/>
                <w:b/>
              </w:rPr>
              <w:t>76</w:t>
            </w:r>
          </w:p>
        </w:tc>
      </w:tr>
    </w:tbl>
    <w:p w:rsidR="0050197F" w:rsidRDefault="00133C3A" w:rsidP="00133C3A">
      <w:pPr>
        <w:tabs>
          <w:tab w:val="left" w:pos="360"/>
        </w:tabs>
        <w:ind w:left="720"/>
        <w:rPr>
          <w:rFonts w:ascii="Times New Roman" w:hAnsi="Times New Roman"/>
        </w:rPr>
      </w:pPr>
      <w:r>
        <w:rPr>
          <w:rFonts w:ascii="Times New Roman" w:hAnsi="Times New Roman"/>
          <w:bCs/>
        </w:rPr>
        <w:t xml:space="preserve">The total burden for this ICR is </w:t>
      </w:r>
      <w:r w:rsidR="008A5076">
        <w:rPr>
          <w:rFonts w:ascii="Times New Roman" w:hAnsi="Times New Roman"/>
          <w:bCs/>
        </w:rPr>
        <w:t>976</w:t>
      </w:r>
      <w:r>
        <w:rPr>
          <w:rFonts w:ascii="Times New Roman" w:hAnsi="Times New Roman"/>
          <w:bCs/>
        </w:rPr>
        <w:t xml:space="preserve"> hours</w:t>
      </w:r>
      <w:r w:rsidR="006018D5">
        <w:rPr>
          <w:rFonts w:ascii="Times New Roman" w:hAnsi="Times New Roman"/>
          <w:bCs/>
        </w:rPr>
        <w:t xml:space="preserve">. </w:t>
      </w:r>
      <w:r w:rsidR="00197AE4">
        <w:rPr>
          <w:rFonts w:ascii="Times New Roman" w:hAnsi="Times New Roman"/>
          <w:bCs/>
        </w:rPr>
        <w:t xml:space="preserve"> </w:t>
      </w:r>
      <w:r>
        <w:rPr>
          <w:rFonts w:ascii="Times New Roman" w:hAnsi="Times New Roman"/>
          <w:bCs/>
        </w:rPr>
        <w:t>This figure represents burden hours and we did not calculate a separate cost burden.</w:t>
      </w:r>
    </w:p>
    <w:p w:rsidR="00133C3A" w:rsidRDefault="00133C3A" w:rsidP="00133C3A">
      <w:pPr>
        <w:tabs>
          <w:tab w:val="left" w:pos="360"/>
        </w:tabs>
        <w:rPr>
          <w:rFonts w:ascii="Times New Roman" w:hAnsi="Times New Roman"/>
        </w:rPr>
      </w:pPr>
    </w:p>
    <w:p w:rsidR="00597AA5" w:rsidRPr="00597AA5" w:rsidRDefault="00A45D82" w:rsidP="0024269D">
      <w:pPr>
        <w:numPr>
          <w:ilvl w:val="0"/>
          <w:numId w:val="18"/>
        </w:numPr>
        <w:rPr>
          <w:rFonts w:ascii="Times New Roman" w:hAnsi="Times New Roman"/>
        </w:rPr>
      </w:pPr>
      <w:r w:rsidRPr="00E215A9">
        <w:rPr>
          <w:rFonts w:ascii="Times New Roman" w:hAnsi="Times New Roman"/>
          <w:b/>
        </w:rPr>
        <w:t>Annual</w:t>
      </w:r>
      <w:r w:rsidRPr="00E215A9">
        <w:rPr>
          <w:rFonts w:ascii="Times New Roman" w:hAnsi="Times New Roman"/>
        </w:rPr>
        <w:t xml:space="preserve"> </w:t>
      </w:r>
      <w:r w:rsidRPr="00E215A9">
        <w:rPr>
          <w:rFonts w:ascii="Times New Roman" w:hAnsi="Times New Roman"/>
          <w:b/>
        </w:rPr>
        <w:t>Cost to the Respondents</w:t>
      </w:r>
    </w:p>
    <w:p w:rsidR="00A45D82" w:rsidRDefault="00121032" w:rsidP="00597AA5">
      <w:pPr>
        <w:ind w:left="720"/>
        <w:rPr>
          <w:rFonts w:ascii="Times New Roman" w:hAnsi="Times New Roman"/>
        </w:rPr>
      </w:pPr>
      <w:r w:rsidRPr="00E215A9">
        <w:rPr>
          <w:rFonts w:ascii="Times New Roman" w:hAnsi="Times New Roman"/>
        </w:rPr>
        <w:t>This collection impose</w:t>
      </w:r>
      <w:r w:rsidR="00133C3A">
        <w:rPr>
          <w:rFonts w:ascii="Times New Roman" w:hAnsi="Times New Roman"/>
        </w:rPr>
        <w:t>s</w:t>
      </w:r>
      <w:r w:rsidRPr="00E215A9">
        <w:rPr>
          <w:rFonts w:ascii="Times New Roman" w:hAnsi="Times New Roman"/>
        </w:rPr>
        <w:t xml:space="preserve"> a</w:t>
      </w:r>
      <w:r w:rsidR="0024269D">
        <w:rPr>
          <w:rFonts w:ascii="Times New Roman" w:hAnsi="Times New Roman"/>
        </w:rPr>
        <w:t xml:space="preserve"> one-time application fee of $1000 per applicant</w:t>
      </w:r>
      <w:r w:rsidR="00112DA1">
        <w:rPr>
          <w:rFonts w:ascii="Times New Roman" w:hAnsi="Times New Roman"/>
        </w:rPr>
        <w:t xml:space="preserve">.  </w:t>
      </w:r>
      <w:r w:rsidR="0024269D">
        <w:rPr>
          <w:rFonts w:ascii="Times New Roman" w:hAnsi="Times New Roman"/>
        </w:rPr>
        <w:t>Since we estimate approximately 200 applicants per year, the total annual cost to the applicants is</w:t>
      </w:r>
      <w:r w:rsidRPr="00E215A9">
        <w:rPr>
          <w:rFonts w:ascii="Times New Roman" w:hAnsi="Times New Roman"/>
        </w:rPr>
        <w:t xml:space="preserve"> </w:t>
      </w:r>
      <w:r w:rsidR="0024269D">
        <w:rPr>
          <w:rFonts w:ascii="Times New Roman" w:hAnsi="Times New Roman"/>
        </w:rPr>
        <w:t>$200,000.</w:t>
      </w:r>
      <w:r w:rsidRPr="00E215A9">
        <w:rPr>
          <w:rFonts w:ascii="Times New Roman" w:hAnsi="Times New Roman"/>
        </w:rPr>
        <w:t xml:space="preserve"> </w:t>
      </w:r>
      <w:r w:rsidR="00A45D82" w:rsidRPr="00E215A9">
        <w:rPr>
          <w:rFonts w:ascii="Times New Roman" w:hAnsi="Times New Roman"/>
        </w:rPr>
        <w:t xml:space="preserve">  </w:t>
      </w:r>
    </w:p>
    <w:p w:rsidR="00B8600E" w:rsidRDefault="00B8600E" w:rsidP="00B8600E">
      <w:pPr>
        <w:rPr>
          <w:rFonts w:ascii="Times New Roman" w:hAnsi="Times New Roman"/>
          <w:b/>
        </w:rPr>
      </w:pPr>
    </w:p>
    <w:p w:rsidR="0024269D" w:rsidRDefault="00A45D82" w:rsidP="007E5C64">
      <w:pPr>
        <w:numPr>
          <w:ilvl w:val="0"/>
          <w:numId w:val="16"/>
        </w:numPr>
        <w:tabs>
          <w:tab w:val="clear" w:pos="360"/>
          <w:tab w:val="left" w:pos="720"/>
        </w:tabs>
        <w:ind w:left="720" w:hanging="720"/>
        <w:rPr>
          <w:rFonts w:ascii="Times New Roman" w:hAnsi="Times New Roman"/>
          <w:b/>
        </w:rPr>
      </w:pPr>
      <w:r w:rsidRPr="00BC7F42">
        <w:rPr>
          <w:rFonts w:ascii="Times New Roman" w:hAnsi="Times New Roman"/>
          <w:b/>
        </w:rPr>
        <w:t>Annual Cost To Federal Government</w:t>
      </w:r>
    </w:p>
    <w:p w:rsidR="00F50D0B" w:rsidRPr="007E5C64" w:rsidRDefault="00E215A9" w:rsidP="0024269D">
      <w:pPr>
        <w:tabs>
          <w:tab w:val="left" w:pos="720"/>
        </w:tabs>
        <w:ind w:left="720"/>
        <w:rPr>
          <w:rFonts w:ascii="Times New Roman" w:hAnsi="Times New Roman"/>
          <w:b/>
        </w:rPr>
      </w:pPr>
      <w:r>
        <w:rPr>
          <w:rFonts w:ascii="Times New Roman" w:hAnsi="Times New Roman"/>
        </w:rPr>
        <w:t xml:space="preserve">The </w:t>
      </w:r>
      <w:r w:rsidR="00520E67">
        <w:rPr>
          <w:rFonts w:ascii="Times New Roman" w:hAnsi="Times New Roman"/>
        </w:rPr>
        <w:t>annual cost to t</w:t>
      </w:r>
      <w:r w:rsidR="007C112D">
        <w:rPr>
          <w:rFonts w:ascii="Times New Roman" w:hAnsi="Times New Roman"/>
        </w:rPr>
        <w:t>he Feder</w:t>
      </w:r>
      <w:r w:rsidR="00B8600E">
        <w:rPr>
          <w:rFonts w:ascii="Times New Roman" w:hAnsi="Times New Roman"/>
        </w:rPr>
        <w:t>al G</w:t>
      </w:r>
      <w:r w:rsidR="00E9209F">
        <w:rPr>
          <w:rFonts w:ascii="Times New Roman" w:hAnsi="Times New Roman"/>
        </w:rPr>
        <w:t xml:space="preserve">overnment </w:t>
      </w:r>
      <w:r w:rsidR="007C112D">
        <w:rPr>
          <w:rFonts w:ascii="Times New Roman" w:hAnsi="Times New Roman"/>
        </w:rPr>
        <w:t>is</w:t>
      </w:r>
      <w:r w:rsidR="0024269D">
        <w:rPr>
          <w:rFonts w:ascii="Times New Roman" w:hAnsi="Times New Roman"/>
        </w:rPr>
        <w:t xml:space="preserve"> approximately</w:t>
      </w:r>
      <w:r w:rsidR="007C112D">
        <w:rPr>
          <w:rFonts w:ascii="Times New Roman" w:hAnsi="Times New Roman"/>
        </w:rPr>
        <w:t xml:space="preserve"> $500,000</w:t>
      </w:r>
      <w:r w:rsidR="00112DA1">
        <w:rPr>
          <w:rFonts w:ascii="Times New Roman" w:hAnsi="Times New Roman"/>
        </w:rPr>
        <w:t xml:space="preserve">.  </w:t>
      </w:r>
      <w:r w:rsidR="00520E67">
        <w:rPr>
          <w:rFonts w:ascii="Times New Roman" w:hAnsi="Times New Roman"/>
        </w:rPr>
        <w:t xml:space="preserve">This estimate is a projection of the cost of paying the contractor who is responsible for </w:t>
      </w:r>
      <w:r w:rsidR="0043706D">
        <w:rPr>
          <w:rFonts w:ascii="Times New Roman" w:hAnsi="Times New Roman"/>
        </w:rPr>
        <w:t>collecting the</w:t>
      </w:r>
      <w:r w:rsidR="00520E67">
        <w:rPr>
          <w:rFonts w:ascii="Times New Roman" w:hAnsi="Times New Roman"/>
        </w:rPr>
        <w:t xml:space="preserve"> information</w:t>
      </w:r>
      <w:r>
        <w:rPr>
          <w:rFonts w:ascii="Times New Roman" w:hAnsi="Times New Roman"/>
        </w:rPr>
        <w:t xml:space="preserve"> </w:t>
      </w:r>
      <w:r w:rsidR="00B8600E">
        <w:rPr>
          <w:rFonts w:ascii="Times New Roman" w:hAnsi="Times New Roman"/>
        </w:rPr>
        <w:t>and verifying respondent</w:t>
      </w:r>
      <w:r w:rsidR="00F50D0B">
        <w:rPr>
          <w:rFonts w:ascii="Times New Roman" w:hAnsi="Times New Roman"/>
        </w:rPr>
        <w:t>s</w:t>
      </w:r>
      <w:r w:rsidR="00B8600E">
        <w:rPr>
          <w:rFonts w:ascii="Times New Roman" w:hAnsi="Times New Roman"/>
        </w:rPr>
        <w:t>’</w:t>
      </w:r>
      <w:r w:rsidR="00F50D0B">
        <w:rPr>
          <w:rFonts w:ascii="Times New Roman" w:hAnsi="Times New Roman"/>
        </w:rPr>
        <w:t xml:space="preserve"> </w:t>
      </w:r>
      <w:r>
        <w:rPr>
          <w:rFonts w:ascii="Times New Roman" w:hAnsi="Times New Roman"/>
        </w:rPr>
        <w:t>e</w:t>
      </w:r>
      <w:r w:rsidR="00F50D0B">
        <w:rPr>
          <w:rFonts w:ascii="Times New Roman" w:hAnsi="Times New Roman"/>
        </w:rPr>
        <w:t>ligibility</w:t>
      </w:r>
      <w:r w:rsidR="0043706D">
        <w:rPr>
          <w:rFonts w:ascii="Times New Roman" w:hAnsi="Times New Roman"/>
        </w:rPr>
        <w:t xml:space="preserve"> for</w:t>
      </w:r>
      <w:r w:rsidR="00AB54D8">
        <w:rPr>
          <w:rFonts w:ascii="Times New Roman" w:hAnsi="Times New Roman"/>
        </w:rPr>
        <w:t xml:space="preserve"> the demonstration project.  </w:t>
      </w:r>
    </w:p>
    <w:p w:rsidR="007E5C64" w:rsidRDefault="007E5C64" w:rsidP="007E5C64">
      <w:pPr>
        <w:tabs>
          <w:tab w:val="left" w:pos="720"/>
        </w:tabs>
        <w:rPr>
          <w:rFonts w:ascii="Times New Roman" w:hAnsi="Times New Roman"/>
          <w:b/>
        </w:rPr>
      </w:pPr>
    </w:p>
    <w:p w:rsidR="00A45D82" w:rsidRPr="00BC7F42" w:rsidRDefault="00A45D82" w:rsidP="00F221E7">
      <w:pPr>
        <w:ind w:left="720" w:hanging="720"/>
        <w:rPr>
          <w:rFonts w:ascii="Times New Roman" w:hAnsi="Times New Roman"/>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w:t>
      </w:r>
      <w:r w:rsidR="002B1445">
        <w:rPr>
          <w:rFonts w:ascii="Times New Roman" w:hAnsi="Times New Roman"/>
          <w:b/>
        </w:rPr>
        <w:t>t</w:t>
      </w:r>
      <w:r w:rsidR="00516EFE">
        <w:rPr>
          <w:rFonts w:ascii="Times New Roman" w:hAnsi="Times New Roman"/>
          <w:b/>
        </w:rPr>
        <w:t xml:space="preserve"> – </w:t>
      </w:r>
      <w:r w:rsidR="009A71AD">
        <w:rPr>
          <w:rFonts w:ascii="Times New Roman" w:hAnsi="Times New Roman"/>
        </w:rPr>
        <w:t>The burden increase</w:t>
      </w:r>
      <w:r w:rsidR="006018D5">
        <w:rPr>
          <w:rFonts w:ascii="Times New Roman" w:hAnsi="Times New Roman"/>
        </w:rPr>
        <w:t xml:space="preserve"> stems from the increase in the number of </w:t>
      </w:r>
      <w:r w:rsidR="00546E0B">
        <w:rPr>
          <w:rFonts w:ascii="Times New Roman" w:hAnsi="Times New Roman"/>
        </w:rPr>
        <w:t>existing respondents and</w:t>
      </w:r>
      <w:r w:rsidR="00313236">
        <w:rPr>
          <w:rFonts w:ascii="Times New Roman" w:hAnsi="Times New Roman"/>
        </w:rPr>
        <w:t xml:space="preserve"> of</w:t>
      </w:r>
      <w:r w:rsidR="00546E0B">
        <w:rPr>
          <w:rFonts w:ascii="Times New Roman" w:hAnsi="Times New Roman"/>
        </w:rPr>
        <w:t xml:space="preserve"> the inclusion activities associated with the application process and continued eligibility for direct payment as a non-attorney representative. </w:t>
      </w:r>
      <w:r w:rsidR="0081182C">
        <w:rPr>
          <w:rFonts w:ascii="Times New Roman" w:hAnsi="Times New Roman"/>
        </w:rPr>
        <w:t xml:space="preserve"> </w:t>
      </w:r>
      <w:r w:rsidR="002D7BEC" w:rsidRPr="002D7BEC">
        <w:rPr>
          <w:rFonts w:ascii="Times New Roman" w:hAnsi="Times New Roman"/>
        </w:rPr>
        <w:t>In addition, we will no longer collect the application electronically.</w:t>
      </w:r>
      <w:r w:rsidR="002D7BEC">
        <w:rPr>
          <w:rFonts w:ascii="Times New Roman" w:hAnsi="Times New Roman"/>
        </w:rPr>
        <w:t xml:space="preserve">  </w:t>
      </w:r>
      <w:r w:rsidR="00546E0B">
        <w:rPr>
          <w:rFonts w:ascii="Times New Roman" w:hAnsi="Times New Roman"/>
        </w:rPr>
        <w:t xml:space="preserve">The addendum provides detailed explanation about the change in the burden hours. </w:t>
      </w:r>
    </w:p>
    <w:p w:rsidR="00F50D0B" w:rsidRDefault="00F50D0B" w:rsidP="002B1445">
      <w:pPr>
        <w:ind w:left="720" w:hanging="720"/>
        <w:rPr>
          <w:rFonts w:ascii="Times New Roman" w:hAnsi="Times New Roman"/>
          <w:b/>
        </w:rPr>
      </w:pPr>
    </w:p>
    <w:p w:rsidR="0024269D" w:rsidRDefault="00A45D82" w:rsidP="002B1445">
      <w:pPr>
        <w:ind w:left="720" w:hanging="720"/>
        <w:rPr>
          <w:rFonts w:ascii="Times New Roman" w:hAnsi="Times New Roman"/>
          <w:b/>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RPr="002B1445" w:rsidRDefault="003B30B4" w:rsidP="0024269D">
      <w:pPr>
        <w:ind w:left="720"/>
        <w:rPr>
          <w:rFonts w:ascii="Times New Roman" w:hAnsi="Times New Roman"/>
        </w:rPr>
      </w:pPr>
      <w:r w:rsidRPr="002B1445">
        <w:rPr>
          <w:rFonts w:ascii="Times New Roman" w:hAnsi="Times New Roman"/>
        </w:rPr>
        <w:t>SSA will not publish the results of the information collection.</w:t>
      </w:r>
    </w:p>
    <w:p w:rsidR="00A45D82" w:rsidRPr="00BC7F42" w:rsidRDefault="00A45D82" w:rsidP="00A45D82">
      <w:pPr>
        <w:pStyle w:val="Header"/>
        <w:tabs>
          <w:tab w:val="clear" w:pos="4320"/>
          <w:tab w:val="clear" w:pos="8640"/>
        </w:tabs>
        <w:rPr>
          <w:rFonts w:ascii="Times New Roman" w:hAnsi="Times New Roman"/>
        </w:rPr>
      </w:pPr>
    </w:p>
    <w:p w:rsidR="0024269D" w:rsidRDefault="00A45D82" w:rsidP="002B1445">
      <w:pPr>
        <w:ind w:left="720" w:hanging="720"/>
        <w:rPr>
          <w:rFonts w:ascii="Times New Roman" w:hAnsi="Times New Roman"/>
          <w:b/>
        </w:rPr>
      </w:pPr>
      <w:r w:rsidRPr="003B30B4">
        <w:rPr>
          <w:rFonts w:ascii="Times New Roman" w:hAnsi="Times New Roman"/>
          <w:b/>
        </w:rPr>
        <w:t>17.</w:t>
      </w:r>
      <w:r w:rsidRPr="00BC7F42">
        <w:rPr>
          <w:rFonts w:ascii="Times New Roman" w:hAnsi="Times New Roman"/>
        </w:rPr>
        <w:tab/>
      </w:r>
      <w:r w:rsidR="003B30B4">
        <w:rPr>
          <w:rFonts w:ascii="Times New Roman" w:hAnsi="Times New Roman"/>
          <w:b/>
        </w:rPr>
        <w:t>Displaying the OMB Approval Expiration Date</w:t>
      </w:r>
    </w:p>
    <w:p w:rsidR="003B30B4" w:rsidRPr="002B1445" w:rsidRDefault="003B30B4" w:rsidP="0024269D">
      <w:pPr>
        <w:ind w:left="720"/>
        <w:rPr>
          <w:rFonts w:ascii="Times New Roman" w:hAnsi="Times New Roman"/>
        </w:rPr>
      </w:pPr>
      <w:r w:rsidRPr="002B1445">
        <w:rPr>
          <w:rFonts w:ascii="Times New Roman" w:hAnsi="Times New Roman"/>
        </w:rPr>
        <w:t>SSA is not requesting an exception to the requirement to display an expiration date</w:t>
      </w:r>
      <w:r w:rsidRPr="002B1445">
        <w:rPr>
          <w:rFonts w:ascii="Times New Roman" w:hAnsi="Times New Roman"/>
          <w:vanish/>
        </w:rPr>
        <w:t> </w:t>
      </w:r>
      <w:r w:rsidRPr="002B1445">
        <w:rPr>
          <w:rFonts w:ascii="Times New Roman" w:hAnsi="Times New Roman"/>
        </w:rPr>
        <w:t>.</w:t>
      </w:r>
    </w:p>
    <w:p w:rsidR="00A45D82" w:rsidRPr="00BC7F42" w:rsidRDefault="00A45D82"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0024269D" w:rsidRDefault="00A45D82" w:rsidP="0024269D">
      <w:pPr>
        <w:numPr>
          <w:ilvl w:val="0"/>
          <w:numId w:val="22"/>
        </w:numPr>
        <w:rPr>
          <w:rFonts w:ascii="Times New Roman" w:hAnsi="Times New Roman"/>
          <w:b/>
        </w:rPr>
      </w:pPr>
      <w:r w:rsidRPr="002B1445">
        <w:rPr>
          <w:rFonts w:ascii="Times New Roman" w:hAnsi="Times New Roman"/>
          <w:b/>
        </w:rPr>
        <w:t>Exceptions to Certification Statement</w:t>
      </w:r>
    </w:p>
    <w:p w:rsidR="0041131C" w:rsidRPr="002B1445" w:rsidRDefault="0041131C" w:rsidP="0024269D">
      <w:pPr>
        <w:ind w:left="720"/>
        <w:rPr>
          <w:rFonts w:ascii="Times New Roman" w:hAnsi="Times New Roman"/>
          <w:b/>
        </w:rPr>
      </w:pPr>
      <w:r w:rsidRPr="002B1445">
        <w:rPr>
          <w:rFonts w:ascii="Times New Roman" w:hAnsi="Times New Roman"/>
        </w:rPr>
        <w:t xml:space="preserve">SSA is not requesting an exception to the certification requirements at </w:t>
      </w:r>
      <w:r w:rsidRPr="0024269D">
        <w:rPr>
          <w:rFonts w:ascii="Times New Roman" w:hAnsi="Times New Roman"/>
          <w:i/>
        </w:rPr>
        <w:t>5 CFR 1320.9</w:t>
      </w:r>
      <w:r w:rsidRPr="002B1445">
        <w:rPr>
          <w:rFonts w:ascii="Times New Roman" w:hAnsi="Times New Roman"/>
        </w:rPr>
        <w:t xml:space="preserve"> and related provisions at </w:t>
      </w:r>
      <w:r w:rsidRPr="0024269D">
        <w:rPr>
          <w:rFonts w:ascii="Times New Roman" w:hAnsi="Times New Roman"/>
          <w:i/>
        </w:rPr>
        <w:t>5 CFR 1320.8(b</w:t>
      </w:r>
      <w:r w:rsidR="0054114B" w:rsidRPr="0024269D">
        <w:rPr>
          <w:rFonts w:ascii="Times New Roman" w:hAnsi="Times New Roman"/>
          <w:i/>
        </w:rPr>
        <w:t>) (</w:t>
      </w:r>
      <w:r w:rsidRPr="0024269D">
        <w:rPr>
          <w:rFonts w:ascii="Times New Roman" w:hAnsi="Times New Roman"/>
          <w:i/>
        </w:rPr>
        <w:t>3)</w:t>
      </w:r>
      <w:r w:rsidRPr="002B1445">
        <w:rPr>
          <w:rFonts w:ascii="Times New Roman" w:hAnsi="Times New Roman"/>
        </w:rPr>
        <w:t xml:space="preserve">. </w:t>
      </w:r>
    </w:p>
    <w:p w:rsidR="00A45D82" w:rsidRPr="00BC7F42" w:rsidRDefault="00A45D82" w:rsidP="00A45D82">
      <w:pPr>
        <w:rPr>
          <w:rFonts w:ascii="Times New Roman" w:hAnsi="Times New Roman"/>
        </w:rPr>
      </w:pPr>
    </w:p>
    <w:p w:rsidR="006E1496" w:rsidRPr="0024269D" w:rsidRDefault="00A45D82" w:rsidP="0024269D">
      <w:pPr>
        <w:tabs>
          <w:tab w:val="left" w:pos="720"/>
        </w:tabs>
        <w:rPr>
          <w:rFonts w:ascii="Times New Roman" w:hAnsi="Times New Roman"/>
          <w:b/>
          <w:u w:val="single"/>
        </w:rPr>
      </w:pPr>
      <w:r w:rsidRPr="0024269D">
        <w:rPr>
          <w:rFonts w:ascii="Times New Roman" w:hAnsi="Times New Roman"/>
          <w:b/>
        </w:rPr>
        <w:t xml:space="preserve">B. </w:t>
      </w:r>
      <w:r w:rsidR="0024269D">
        <w:rPr>
          <w:rFonts w:ascii="Times New Roman" w:hAnsi="Times New Roman"/>
          <w:b/>
        </w:rPr>
        <w:tab/>
      </w:r>
      <w:r w:rsidRPr="0024269D">
        <w:rPr>
          <w:rFonts w:ascii="Times New Roman" w:hAnsi="Times New Roman"/>
          <w:b/>
          <w:u w:val="single"/>
        </w:rPr>
        <w:t>Collections of Information Employing Statistical Methods</w:t>
      </w:r>
      <w:r w:rsidR="002B1445" w:rsidRPr="0024269D">
        <w:rPr>
          <w:rFonts w:ascii="Times New Roman" w:hAnsi="Times New Roman"/>
          <w:b/>
          <w:u w:val="single"/>
        </w:rPr>
        <w:t xml:space="preserve">  </w:t>
      </w:r>
    </w:p>
    <w:p w:rsidR="006E1496" w:rsidRDefault="006E1496" w:rsidP="002B1445">
      <w:pPr>
        <w:rPr>
          <w:rFonts w:ascii="Times New Roman" w:hAnsi="Times New Roman"/>
          <w:b/>
          <w:u w:val="single"/>
        </w:rPr>
      </w:pPr>
    </w:p>
    <w:p w:rsidR="0041131C" w:rsidRPr="002B1445" w:rsidRDefault="0041131C" w:rsidP="006E1496">
      <w:pPr>
        <w:ind w:firstLine="720"/>
        <w:rPr>
          <w:rFonts w:ascii="Times New Roman" w:hAnsi="Times New Roman"/>
          <w:b/>
          <w:u w:val="single"/>
        </w:rPr>
      </w:pPr>
      <w:r w:rsidRPr="002B1445">
        <w:rPr>
          <w:rFonts w:ascii="Times New Roman" w:hAnsi="Times New Roman"/>
        </w:rPr>
        <w:t>SSA does not use statistical methods for this information collection.</w:t>
      </w:r>
      <w:r w:rsidRPr="00BC7F42">
        <w:t xml:space="preserve"> </w:t>
      </w:r>
    </w:p>
    <w:p w:rsidR="0041131C" w:rsidRPr="002830AA" w:rsidRDefault="0041131C" w:rsidP="0041131C">
      <w:pPr>
        <w:ind w:left="720"/>
        <w:rPr>
          <w:rFonts w:ascii="Times New Roman" w:hAnsi="Times New Roman"/>
        </w:rPr>
      </w:pPr>
    </w:p>
    <w:p w:rsidR="00A45D82" w:rsidRDefault="00A45D82" w:rsidP="00287C37">
      <w:pPr>
        <w:pStyle w:val="Heading6"/>
        <w:jc w:val="left"/>
        <w:rPr>
          <w:rFonts w:ascii="Times New Roman" w:hAnsi="Times New Roman"/>
          <w:color w:val="FF0000"/>
        </w:rPr>
      </w:pPr>
    </w:p>
    <w:p w:rsidR="00A45D82" w:rsidRPr="007C112D" w:rsidRDefault="00A45D82" w:rsidP="00A45D82"/>
    <w:p w:rsidR="00A45D82" w:rsidRPr="00BC7F42" w:rsidRDefault="00A45D82" w:rsidP="00A45D82">
      <w:pPr>
        <w:pStyle w:val="BodyText3"/>
        <w:rPr>
          <w:rFonts w:ascii="Times New Roman" w:hAnsi="Times New Roman"/>
          <w:i w:val="0"/>
        </w:rPr>
      </w:pPr>
    </w:p>
    <w:p w:rsidR="000B2B68" w:rsidRDefault="000B2B68" w:rsidP="00A45D82">
      <w:pPr>
        <w:rPr>
          <w:rFonts w:ascii="Times New Roman" w:hAnsi="Times New Roman"/>
        </w:rPr>
      </w:pPr>
    </w:p>
    <w:sectPr w:rsidR="000B2B68" w:rsidSect="001D4A2C">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746" w:rsidRDefault="00B40746">
      <w:r>
        <w:separator/>
      </w:r>
    </w:p>
  </w:endnote>
  <w:endnote w:type="continuationSeparator" w:id="0">
    <w:p w:rsidR="00B40746" w:rsidRDefault="00B407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F9D" w:rsidRPr="00A124A5" w:rsidRDefault="00EB6F9D">
    <w:pPr>
      <w:pStyle w:val="Footer"/>
      <w:jc w:val="right"/>
      <w:rPr>
        <w:rFonts w:ascii="Times New Roman" w:hAnsi="Times New Roman"/>
        <w:sz w:val="20"/>
      </w:rPr>
    </w:pPr>
    <w:r>
      <w:rPr>
        <w:rFonts w:ascii="Times New Roman" w:hAnsi="Times New Roman"/>
        <w:sz w:val="20"/>
      </w:rPr>
      <w:t xml:space="preserve">   </w:t>
    </w:r>
    <w:r w:rsidR="0026037E" w:rsidRPr="00A124A5">
      <w:rPr>
        <w:rFonts w:ascii="Times New Roman" w:hAnsi="Times New Roman"/>
        <w:sz w:val="20"/>
      </w:rPr>
      <w:fldChar w:fldCharType="begin"/>
    </w:r>
    <w:r w:rsidRPr="00A124A5">
      <w:rPr>
        <w:rFonts w:ascii="Times New Roman" w:hAnsi="Times New Roman"/>
        <w:sz w:val="20"/>
      </w:rPr>
      <w:instrText xml:space="preserve"> PAGE   \* MERGEFORMAT </w:instrText>
    </w:r>
    <w:r w:rsidR="0026037E" w:rsidRPr="00A124A5">
      <w:rPr>
        <w:rFonts w:ascii="Times New Roman" w:hAnsi="Times New Roman"/>
        <w:sz w:val="20"/>
      </w:rPr>
      <w:fldChar w:fldCharType="separate"/>
    </w:r>
    <w:r w:rsidR="005E76EF">
      <w:rPr>
        <w:rFonts w:ascii="Times New Roman" w:hAnsi="Times New Roman"/>
        <w:noProof/>
        <w:sz w:val="20"/>
      </w:rPr>
      <w:t>3</w:t>
    </w:r>
    <w:r w:rsidR="0026037E" w:rsidRPr="00A124A5">
      <w:rPr>
        <w:rFonts w:ascii="Times New Roman" w:hAnsi="Times New Roman"/>
        <w:sz w:val="20"/>
      </w:rPr>
      <w:fldChar w:fldCharType="end"/>
    </w:r>
  </w:p>
  <w:p w:rsidR="00EB6F9D" w:rsidRPr="00110EE9" w:rsidRDefault="00EB6F9D" w:rsidP="00A124A5">
    <w:pPr>
      <w:pStyle w:val="Footer"/>
      <w:tabs>
        <w:tab w:val="clear" w:pos="8640"/>
      </w:tabs>
      <w:rPr>
        <w:rFonts w:ascii="Times New Roman" w:hAnsi="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746" w:rsidRDefault="00B40746">
      <w:r>
        <w:separator/>
      </w:r>
    </w:p>
  </w:footnote>
  <w:footnote w:type="continuationSeparator" w:id="0">
    <w:p w:rsidR="00B40746" w:rsidRDefault="00B407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5">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6">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5E940AD"/>
    <w:multiLevelType w:val="hybridMultilevel"/>
    <w:tmpl w:val="02246038"/>
    <w:lvl w:ilvl="0" w:tplc="6F989E1E">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15">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51087652"/>
    <w:multiLevelType w:val="hybridMultilevel"/>
    <w:tmpl w:val="56743062"/>
    <w:lvl w:ilvl="0" w:tplc="FED28D6E">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52292F21"/>
    <w:multiLevelType w:val="hybridMultilevel"/>
    <w:tmpl w:val="8A4AC0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1">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16F329C"/>
    <w:multiLevelType w:val="hybridMultilevel"/>
    <w:tmpl w:val="D94E1988"/>
    <w:lvl w:ilvl="0" w:tplc="B7D273E2">
      <w:start w:val="1"/>
      <w:numFmt w:val="decimal"/>
      <w:lvlText w:val="%1."/>
      <w:lvlJc w:val="left"/>
      <w:pPr>
        <w:tabs>
          <w:tab w:val="num" w:pos="720"/>
        </w:tabs>
        <w:ind w:left="720" w:hanging="720"/>
      </w:pPr>
      <w:rPr>
        <w:rFonts w:hint="default"/>
        <w:b/>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62B516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319737F"/>
    <w:multiLevelType w:val="hybridMultilevel"/>
    <w:tmpl w:val="FBE40676"/>
    <w:lvl w:ilvl="0" w:tplc="96FCE680">
      <w:start w:val="12"/>
      <w:numFmt w:val="decimal"/>
      <w:lvlText w:val="%1."/>
      <w:lvlJc w:val="left"/>
      <w:pPr>
        <w:tabs>
          <w:tab w:val="num" w:pos="72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28">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7BE7C9D"/>
    <w:multiLevelType w:val="hybridMultilevel"/>
    <w:tmpl w:val="CADE2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31">
    <w:nsid w:val="7CAF17FD"/>
    <w:multiLevelType w:val="singleLevel"/>
    <w:tmpl w:val="45A88F74"/>
    <w:lvl w:ilvl="0">
      <w:start w:val="1"/>
      <w:numFmt w:val="decimal"/>
      <w:lvlText w:val="%1."/>
      <w:lvlJc w:val="left"/>
      <w:pPr>
        <w:tabs>
          <w:tab w:val="num" w:pos="1440"/>
        </w:tabs>
        <w:ind w:left="1440" w:hanging="720"/>
      </w:pPr>
      <w:rPr>
        <w:rFonts w:hint="default"/>
      </w:rPr>
    </w:lvl>
  </w:abstractNum>
  <w:num w:numId="1">
    <w:abstractNumId w:val="9"/>
  </w:num>
  <w:num w:numId="2">
    <w:abstractNumId w:val="15"/>
  </w:num>
  <w:num w:numId="3">
    <w:abstractNumId w:val="2"/>
  </w:num>
  <w:num w:numId="4">
    <w:abstractNumId w:val="11"/>
  </w:num>
  <w:num w:numId="5">
    <w:abstractNumId w:val="6"/>
  </w:num>
  <w:num w:numId="6">
    <w:abstractNumId w:val="16"/>
  </w:num>
  <w:num w:numId="7">
    <w:abstractNumId w:val="23"/>
  </w:num>
  <w:num w:numId="8">
    <w:abstractNumId w:val="26"/>
  </w:num>
  <w:num w:numId="9">
    <w:abstractNumId w:val="3"/>
  </w:num>
  <w:num w:numId="10">
    <w:abstractNumId w:val="1"/>
  </w:num>
  <w:num w:numId="11">
    <w:abstractNumId w:val="10"/>
  </w:num>
  <w:num w:numId="12">
    <w:abstractNumId w:val="12"/>
  </w:num>
  <w:num w:numId="13">
    <w:abstractNumId w:val="30"/>
  </w:num>
  <w:num w:numId="14">
    <w:abstractNumId w:val="5"/>
  </w:num>
  <w:num w:numId="15">
    <w:abstractNumId w:val="4"/>
  </w:num>
  <w:num w:numId="16">
    <w:abstractNumId w:val="27"/>
  </w:num>
  <w:num w:numId="17">
    <w:abstractNumId w:val="20"/>
  </w:num>
  <w:num w:numId="18">
    <w:abstractNumId w:val="22"/>
  </w:num>
  <w:num w:numId="19">
    <w:abstractNumId w:val="25"/>
  </w:num>
  <w:num w:numId="20">
    <w:abstractNumId w:val="17"/>
  </w:num>
  <w:num w:numId="21">
    <w:abstractNumId w:val="7"/>
  </w:num>
  <w:num w:numId="22">
    <w:abstractNumId w:val="0"/>
  </w:num>
  <w:num w:numId="23">
    <w:abstractNumId w:val="8"/>
  </w:num>
  <w:num w:numId="24">
    <w:abstractNumId w:val="28"/>
  </w:num>
  <w:num w:numId="25">
    <w:abstractNumId w:val="13"/>
  </w:num>
  <w:num w:numId="26">
    <w:abstractNumId w:val="21"/>
  </w:num>
  <w:num w:numId="27">
    <w:abstractNumId w:val="18"/>
  </w:num>
  <w:num w:numId="28">
    <w:abstractNumId w:val="31"/>
  </w:num>
  <w:num w:numId="29">
    <w:abstractNumId w:val="24"/>
  </w:num>
  <w:num w:numId="30">
    <w:abstractNumId w:val="29"/>
  </w:num>
  <w:num w:numId="31">
    <w:abstractNumId w:val="19"/>
  </w:num>
  <w:num w:numId="3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proofState w:spelling="clean" w:grammar="clean"/>
  <w:stylePaneFormatFilter w:val="3F01"/>
  <w:defaultTabStop w:val="720"/>
  <w:noPunctuationKerning/>
  <w:characterSpacingControl w:val="doNotCompress"/>
  <w:footnotePr>
    <w:footnote w:id="-1"/>
    <w:footnote w:id="0"/>
  </w:footnotePr>
  <w:endnotePr>
    <w:endnote w:id="-1"/>
    <w:endnote w:id="0"/>
  </w:endnotePr>
  <w:compat>
    <w:applyBreakingRules/>
    <w:useFELayout/>
  </w:compat>
  <w:rsids>
    <w:rsidRoot w:val="00A45D82"/>
    <w:rsid w:val="00003DEF"/>
    <w:rsid w:val="0000657B"/>
    <w:rsid w:val="00006B96"/>
    <w:rsid w:val="00006EEB"/>
    <w:rsid w:val="00016770"/>
    <w:rsid w:val="000177AF"/>
    <w:rsid w:val="000222A7"/>
    <w:rsid w:val="00023725"/>
    <w:rsid w:val="00025216"/>
    <w:rsid w:val="0002677F"/>
    <w:rsid w:val="00031842"/>
    <w:rsid w:val="00032A65"/>
    <w:rsid w:val="00043B52"/>
    <w:rsid w:val="00050686"/>
    <w:rsid w:val="00062449"/>
    <w:rsid w:val="00063A05"/>
    <w:rsid w:val="0006715D"/>
    <w:rsid w:val="00067227"/>
    <w:rsid w:val="00067885"/>
    <w:rsid w:val="0007189E"/>
    <w:rsid w:val="00075BD2"/>
    <w:rsid w:val="00077720"/>
    <w:rsid w:val="00077E0E"/>
    <w:rsid w:val="00077F1E"/>
    <w:rsid w:val="00077FE3"/>
    <w:rsid w:val="00081734"/>
    <w:rsid w:val="00082FBD"/>
    <w:rsid w:val="00086E84"/>
    <w:rsid w:val="000951FC"/>
    <w:rsid w:val="000958AA"/>
    <w:rsid w:val="00095F52"/>
    <w:rsid w:val="00096AE2"/>
    <w:rsid w:val="000A17FE"/>
    <w:rsid w:val="000A62DB"/>
    <w:rsid w:val="000A6655"/>
    <w:rsid w:val="000A6A11"/>
    <w:rsid w:val="000A6AE3"/>
    <w:rsid w:val="000B1F48"/>
    <w:rsid w:val="000B2B68"/>
    <w:rsid w:val="000B32C0"/>
    <w:rsid w:val="000B3B12"/>
    <w:rsid w:val="000C1D18"/>
    <w:rsid w:val="000D5F5C"/>
    <w:rsid w:val="000E28D5"/>
    <w:rsid w:val="000E2902"/>
    <w:rsid w:val="000E2EB1"/>
    <w:rsid w:val="000F715C"/>
    <w:rsid w:val="00110EE9"/>
    <w:rsid w:val="00112429"/>
    <w:rsid w:val="00112DA1"/>
    <w:rsid w:val="0011640A"/>
    <w:rsid w:val="00116C89"/>
    <w:rsid w:val="00121032"/>
    <w:rsid w:val="00122EE2"/>
    <w:rsid w:val="00127980"/>
    <w:rsid w:val="00133C3A"/>
    <w:rsid w:val="001400F0"/>
    <w:rsid w:val="00142946"/>
    <w:rsid w:val="00146275"/>
    <w:rsid w:val="001476E1"/>
    <w:rsid w:val="00153159"/>
    <w:rsid w:val="0015576E"/>
    <w:rsid w:val="00177240"/>
    <w:rsid w:val="001804EB"/>
    <w:rsid w:val="00181088"/>
    <w:rsid w:val="00187CA0"/>
    <w:rsid w:val="00190654"/>
    <w:rsid w:val="00192897"/>
    <w:rsid w:val="00197AE4"/>
    <w:rsid w:val="001A3317"/>
    <w:rsid w:val="001B0DD5"/>
    <w:rsid w:val="001B79D1"/>
    <w:rsid w:val="001B7CF4"/>
    <w:rsid w:val="001C4BEB"/>
    <w:rsid w:val="001C6D3A"/>
    <w:rsid w:val="001C7C5E"/>
    <w:rsid w:val="001D0E07"/>
    <w:rsid w:val="001D4A2C"/>
    <w:rsid w:val="001D5806"/>
    <w:rsid w:val="001D6BD8"/>
    <w:rsid w:val="001E1076"/>
    <w:rsid w:val="001E4878"/>
    <w:rsid w:val="00200FF6"/>
    <w:rsid w:val="002150F7"/>
    <w:rsid w:val="0022033D"/>
    <w:rsid w:val="002321B0"/>
    <w:rsid w:val="00234EA9"/>
    <w:rsid w:val="0024269D"/>
    <w:rsid w:val="00242E78"/>
    <w:rsid w:val="002462E1"/>
    <w:rsid w:val="00257A11"/>
    <w:rsid w:val="0026037E"/>
    <w:rsid w:val="0026052B"/>
    <w:rsid w:val="002654CE"/>
    <w:rsid w:val="002749BE"/>
    <w:rsid w:val="00276AAF"/>
    <w:rsid w:val="00281B0D"/>
    <w:rsid w:val="002828ED"/>
    <w:rsid w:val="00284BB8"/>
    <w:rsid w:val="00287628"/>
    <w:rsid w:val="00287C37"/>
    <w:rsid w:val="00290A96"/>
    <w:rsid w:val="002921B2"/>
    <w:rsid w:val="00292C5F"/>
    <w:rsid w:val="002A3A4D"/>
    <w:rsid w:val="002A4C30"/>
    <w:rsid w:val="002A51DD"/>
    <w:rsid w:val="002B0820"/>
    <w:rsid w:val="002B0A02"/>
    <w:rsid w:val="002B1445"/>
    <w:rsid w:val="002B5578"/>
    <w:rsid w:val="002D1C17"/>
    <w:rsid w:val="002D719D"/>
    <w:rsid w:val="002D7BEC"/>
    <w:rsid w:val="002E012F"/>
    <w:rsid w:val="002E18CF"/>
    <w:rsid w:val="002E5B39"/>
    <w:rsid w:val="002F1C11"/>
    <w:rsid w:val="002F3494"/>
    <w:rsid w:val="002F5989"/>
    <w:rsid w:val="002F6701"/>
    <w:rsid w:val="00302545"/>
    <w:rsid w:val="00304EDC"/>
    <w:rsid w:val="003071C5"/>
    <w:rsid w:val="003072F0"/>
    <w:rsid w:val="00313236"/>
    <w:rsid w:val="00321207"/>
    <w:rsid w:val="00337F97"/>
    <w:rsid w:val="003465DC"/>
    <w:rsid w:val="003469CA"/>
    <w:rsid w:val="00351C89"/>
    <w:rsid w:val="003603AF"/>
    <w:rsid w:val="00365809"/>
    <w:rsid w:val="0036696D"/>
    <w:rsid w:val="00375729"/>
    <w:rsid w:val="00375903"/>
    <w:rsid w:val="0038050B"/>
    <w:rsid w:val="00383639"/>
    <w:rsid w:val="00387F0C"/>
    <w:rsid w:val="00391764"/>
    <w:rsid w:val="003B15EC"/>
    <w:rsid w:val="003B30B4"/>
    <w:rsid w:val="003B65E8"/>
    <w:rsid w:val="003C10BD"/>
    <w:rsid w:val="003C6A8B"/>
    <w:rsid w:val="003E145C"/>
    <w:rsid w:val="003E4C2F"/>
    <w:rsid w:val="003F71F6"/>
    <w:rsid w:val="004022E5"/>
    <w:rsid w:val="00403A08"/>
    <w:rsid w:val="00404048"/>
    <w:rsid w:val="00405548"/>
    <w:rsid w:val="00410BA3"/>
    <w:rsid w:val="0041131C"/>
    <w:rsid w:val="00417CE8"/>
    <w:rsid w:val="00422207"/>
    <w:rsid w:val="004226C1"/>
    <w:rsid w:val="00435EC3"/>
    <w:rsid w:val="0043706D"/>
    <w:rsid w:val="00437F9C"/>
    <w:rsid w:val="004402C5"/>
    <w:rsid w:val="00447EE9"/>
    <w:rsid w:val="0045065A"/>
    <w:rsid w:val="004509AD"/>
    <w:rsid w:val="00467DC3"/>
    <w:rsid w:val="00475350"/>
    <w:rsid w:val="00476D0C"/>
    <w:rsid w:val="00481B44"/>
    <w:rsid w:val="00482405"/>
    <w:rsid w:val="00484662"/>
    <w:rsid w:val="004915B5"/>
    <w:rsid w:val="004A36D9"/>
    <w:rsid w:val="004B1734"/>
    <w:rsid w:val="004B7020"/>
    <w:rsid w:val="004B7F0C"/>
    <w:rsid w:val="004C5C1D"/>
    <w:rsid w:val="004D2B89"/>
    <w:rsid w:val="004E146D"/>
    <w:rsid w:val="004E224B"/>
    <w:rsid w:val="004E4BE1"/>
    <w:rsid w:val="004F0935"/>
    <w:rsid w:val="004F4358"/>
    <w:rsid w:val="004F4D71"/>
    <w:rsid w:val="0050197F"/>
    <w:rsid w:val="005040EC"/>
    <w:rsid w:val="00506486"/>
    <w:rsid w:val="00510224"/>
    <w:rsid w:val="00511ABE"/>
    <w:rsid w:val="0051326B"/>
    <w:rsid w:val="00516EFE"/>
    <w:rsid w:val="00520E67"/>
    <w:rsid w:val="00532009"/>
    <w:rsid w:val="00534C1B"/>
    <w:rsid w:val="0054114B"/>
    <w:rsid w:val="0054460A"/>
    <w:rsid w:val="00546E0B"/>
    <w:rsid w:val="00551744"/>
    <w:rsid w:val="00557B53"/>
    <w:rsid w:val="00560144"/>
    <w:rsid w:val="0056026D"/>
    <w:rsid w:val="0056163C"/>
    <w:rsid w:val="005721D4"/>
    <w:rsid w:val="005768A8"/>
    <w:rsid w:val="00577EC1"/>
    <w:rsid w:val="005816B4"/>
    <w:rsid w:val="00581E9E"/>
    <w:rsid w:val="00587B0A"/>
    <w:rsid w:val="005904EB"/>
    <w:rsid w:val="005908DC"/>
    <w:rsid w:val="005909FC"/>
    <w:rsid w:val="005916AF"/>
    <w:rsid w:val="00593A36"/>
    <w:rsid w:val="00597AA5"/>
    <w:rsid w:val="005A1198"/>
    <w:rsid w:val="005A36B1"/>
    <w:rsid w:val="005A7EDC"/>
    <w:rsid w:val="005B101E"/>
    <w:rsid w:val="005B15E5"/>
    <w:rsid w:val="005B35E2"/>
    <w:rsid w:val="005B4FC9"/>
    <w:rsid w:val="005C2C39"/>
    <w:rsid w:val="005C6603"/>
    <w:rsid w:val="005D4107"/>
    <w:rsid w:val="005D75E3"/>
    <w:rsid w:val="005E0856"/>
    <w:rsid w:val="005E0F75"/>
    <w:rsid w:val="005E1702"/>
    <w:rsid w:val="005E39B5"/>
    <w:rsid w:val="005E3B93"/>
    <w:rsid w:val="005E571E"/>
    <w:rsid w:val="005E6BF5"/>
    <w:rsid w:val="005E76EF"/>
    <w:rsid w:val="005F208A"/>
    <w:rsid w:val="005F240A"/>
    <w:rsid w:val="006002DD"/>
    <w:rsid w:val="006013A3"/>
    <w:rsid w:val="006018D5"/>
    <w:rsid w:val="0060428D"/>
    <w:rsid w:val="00604526"/>
    <w:rsid w:val="006160ED"/>
    <w:rsid w:val="0062412A"/>
    <w:rsid w:val="00624A4D"/>
    <w:rsid w:val="00626C22"/>
    <w:rsid w:val="00631FA5"/>
    <w:rsid w:val="0063304D"/>
    <w:rsid w:val="00635E39"/>
    <w:rsid w:val="00637AF5"/>
    <w:rsid w:val="00640A26"/>
    <w:rsid w:val="006430D3"/>
    <w:rsid w:val="00661379"/>
    <w:rsid w:val="006637FB"/>
    <w:rsid w:val="00663881"/>
    <w:rsid w:val="00664553"/>
    <w:rsid w:val="00677667"/>
    <w:rsid w:val="006806E1"/>
    <w:rsid w:val="00680DCE"/>
    <w:rsid w:val="00682861"/>
    <w:rsid w:val="00684D24"/>
    <w:rsid w:val="00693AE5"/>
    <w:rsid w:val="00695C1A"/>
    <w:rsid w:val="0069667B"/>
    <w:rsid w:val="006A5805"/>
    <w:rsid w:val="006A78BE"/>
    <w:rsid w:val="006B173F"/>
    <w:rsid w:val="006B17EF"/>
    <w:rsid w:val="006B297F"/>
    <w:rsid w:val="006B60C9"/>
    <w:rsid w:val="006D003A"/>
    <w:rsid w:val="006D3090"/>
    <w:rsid w:val="006E1496"/>
    <w:rsid w:val="006E7409"/>
    <w:rsid w:val="006F229D"/>
    <w:rsid w:val="006F4D0F"/>
    <w:rsid w:val="006F524C"/>
    <w:rsid w:val="006F587E"/>
    <w:rsid w:val="006F7170"/>
    <w:rsid w:val="00703DF7"/>
    <w:rsid w:val="00710A45"/>
    <w:rsid w:val="0071271B"/>
    <w:rsid w:val="00712F1B"/>
    <w:rsid w:val="007245C9"/>
    <w:rsid w:val="007256B3"/>
    <w:rsid w:val="00727A9E"/>
    <w:rsid w:val="00730835"/>
    <w:rsid w:val="00733384"/>
    <w:rsid w:val="00735A5B"/>
    <w:rsid w:val="00742B56"/>
    <w:rsid w:val="00745462"/>
    <w:rsid w:val="00757FCC"/>
    <w:rsid w:val="007617CC"/>
    <w:rsid w:val="00763762"/>
    <w:rsid w:val="00777D41"/>
    <w:rsid w:val="00791378"/>
    <w:rsid w:val="00795BAB"/>
    <w:rsid w:val="007A08D1"/>
    <w:rsid w:val="007A2DEE"/>
    <w:rsid w:val="007A532A"/>
    <w:rsid w:val="007A7F62"/>
    <w:rsid w:val="007B6DFA"/>
    <w:rsid w:val="007C112D"/>
    <w:rsid w:val="007C2862"/>
    <w:rsid w:val="007C4D22"/>
    <w:rsid w:val="007D061D"/>
    <w:rsid w:val="007D174E"/>
    <w:rsid w:val="007D37DB"/>
    <w:rsid w:val="007D79F1"/>
    <w:rsid w:val="007E17BD"/>
    <w:rsid w:val="007E5C64"/>
    <w:rsid w:val="00801C18"/>
    <w:rsid w:val="00805E31"/>
    <w:rsid w:val="00806660"/>
    <w:rsid w:val="00806984"/>
    <w:rsid w:val="00806A4A"/>
    <w:rsid w:val="00810485"/>
    <w:rsid w:val="0081182C"/>
    <w:rsid w:val="00814772"/>
    <w:rsid w:val="00823C78"/>
    <w:rsid w:val="00824D72"/>
    <w:rsid w:val="00825B97"/>
    <w:rsid w:val="00832B63"/>
    <w:rsid w:val="00840D86"/>
    <w:rsid w:val="008468E1"/>
    <w:rsid w:val="0084775D"/>
    <w:rsid w:val="00860DDF"/>
    <w:rsid w:val="00863BA4"/>
    <w:rsid w:val="0086463A"/>
    <w:rsid w:val="00872E94"/>
    <w:rsid w:val="008754ED"/>
    <w:rsid w:val="00891CA8"/>
    <w:rsid w:val="00892E12"/>
    <w:rsid w:val="008A5076"/>
    <w:rsid w:val="008B2911"/>
    <w:rsid w:val="008B3695"/>
    <w:rsid w:val="008B4DC6"/>
    <w:rsid w:val="008B6774"/>
    <w:rsid w:val="008E3A3A"/>
    <w:rsid w:val="008E465F"/>
    <w:rsid w:val="008E598A"/>
    <w:rsid w:val="008E7A66"/>
    <w:rsid w:val="008F66A8"/>
    <w:rsid w:val="009006EF"/>
    <w:rsid w:val="00906892"/>
    <w:rsid w:val="00907E2F"/>
    <w:rsid w:val="00912109"/>
    <w:rsid w:val="0092214B"/>
    <w:rsid w:val="00931EC7"/>
    <w:rsid w:val="009323FA"/>
    <w:rsid w:val="0093637C"/>
    <w:rsid w:val="00951258"/>
    <w:rsid w:val="00952C5B"/>
    <w:rsid w:val="00955EC4"/>
    <w:rsid w:val="00973A9A"/>
    <w:rsid w:val="009748B6"/>
    <w:rsid w:val="00975DD8"/>
    <w:rsid w:val="00990097"/>
    <w:rsid w:val="00995351"/>
    <w:rsid w:val="00995452"/>
    <w:rsid w:val="009A0B16"/>
    <w:rsid w:val="009A71AD"/>
    <w:rsid w:val="009B2948"/>
    <w:rsid w:val="009D11A8"/>
    <w:rsid w:val="009E162D"/>
    <w:rsid w:val="009E3C50"/>
    <w:rsid w:val="009E4730"/>
    <w:rsid w:val="009E7560"/>
    <w:rsid w:val="009F23D6"/>
    <w:rsid w:val="009F4A52"/>
    <w:rsid w:val="009F7B2A"/>
    <w:rsid w:val="009F7BB3"/>
    <w:rsid w:val="00A01D15"/>
    <w:rsid w:val="00A03A61"/>
    <w:rsid w:val="00A11169"/>
    <w:rsid w:val="00A124A5"/>
    <w:rsid w:val="00A15771"/>
    <w:rsid w:val="00A171A7"/>
    <w:rsid w:val="00A337E4"/>
    <w:rsid w:val="00A33C65"/>
    <w:rsid w:val="00A34222"/>
    <w:rsid w:val="00A45D82"/>
    <w:rsid w:val="00A470F5"/>
    <w:rsid w:val="00A604CA"/>
    <w:rsid w:val="00A651A7"/>
    <w:rsid w:val="00A665C8"/>
    <w:rsid w:val="00A67D76"/>
    <w:rsid w:val="00A71ABB"/>
    <w:rsid w:val="00A80DBB"/>
    <w:rsid w:val="00A86F72"/>
    <w:rsid w:val="00AA06A4"/>
    <w:rsid w:val="00AA0858"/>
    <w:rsid w:val="00AA0C27"/>
    <w:rsid w:val="00AB0CA7"/>
    <w:rsid w:val="00AB54D8"/>
    <w:rsid w:val="00AB5AE0"/>
    <w:rsid w:val="00AB7DF7"/>
    <w:rsid w:val="00AC0707"/>
    <w:rsid w:val="00AC20A4"/>
    <w:rsid w:val="00AD0977"/>
    <w:rsid w:val="00AD3A1C"/>
    <w:rsid w:val="00AE0527"/>
    <w:rsid w:val="00AE6658"/>
    <w:rsid w:val="00B007C5"/>
    <w:rsid w:val="00B00C28"/>
    <w:rsid w:val="00B01D57"/>
    <w:rsid w:val="00B14AC0"/>
    <w:rsid w:val="00B26C3F"/>
    <w:rsid w:val="00B31698"/>
    <w:rsid w:val="00B3255B"/>
    <w:rsid w:val="00B40746"/>
    <w:rsid w:val="00B46656"/>
    <w:rsid w:val="00B66E65"/>
    <w:rsid w:val="00B71F10"/>
    <w:rsid w:val="00B7414A"/>
    <w:rsid w:val="00B741F6"/>
    <w:rsid w:val="00B7425C"/>
    <w:rsid w:val="00B84DF1"/>
    <w:rsid w:val="00B8600E"/>
    <w:rsid w:val="00B92550"/>
    <w:rsid w:val="00B949AA"/>
    <w:rsid w:val="00B9519E"/>
    <w:rsid w:val="00B97B3A"/>
    <w:rsid w:val="00BA04EA"/>
    <w:rsid w:val="00BA1653"/>
    <w:rsid w:val="00BA1A63"/>
    <w:rsid w:val="00BA401A"/>
    <w:rsid w:val="00BA42D5"/>
    <w:rsid w:val="00BB132F"/>
    <w:rsid w:val="00BB5C37"/>
    <w:rsid w:val="00BC05B7"/>
    <w:rsid w:val="00BC0E42"/>
    <w:rsid w:val="00BC23CE"/>
    <w:rsid w:val="00BC5531"/>
    <w:rsid w:val="00BC7F42"/>
    <w:rsid w:val="00BD1D75"/>
    <w:rsid w:val="00BD5A03"/>
    <w:rsid w:val="00BD5C0C"/>
    <w:rsid w:val="00BE450D"/>
    <w:rsid w:val="00BF026F"/>
    <w:rsid w:val="00C0290B"/>
    <w:rsid w:val="00C03679"/>
    <w:rsid w:val="00C11C4E"/>
    <w:rsid w:val="00C218B2"/>
    <w:rsid w:val="00C22097"/>
    <w:rsid w:val="00C232DB"/>
    <w:rsid w:val="00C239AB"/>
    <w:rsid w:val="00C25FDC"/>
    <w:rsid w:val="00C311D3"/>
    <w:rsid w:val="00C31430"/>
    <w:rsid w:val="00C34A91"/>
    <w:rsid w:val="00C377BC"/>
    <w:rsid w:val="00C5104E"/>
    <w:rsid w:val="00C60E61"/>
    <w:rsid w:val="00C67C8A"/>
    <w:rsid w:val="00C67F83"/>
    <w:rsid w:val="00C923F2"/>
    <w:rsid w:val="00C96A6E"/>
    <w:rsid w:val="00CA0660"/>
    <w:rsid w:val="00CA0905"/>
    <w:rsid w:val="00CA0B15"/>
    <w:rsid w:val="00CA5F75"/>
    <w:rsid w:val="00CA6CAE"/>
    <w:rsid w:val="00CB10E3"/>
    <w:rsid w:val="00CB4C83"/>
    <w:rsid w:val="00CB7253"/>
    <w:rsid w:val="00CB7557"/>
    <w:rsid w:val="00CD5798"/>
    <w:rsid w:val="00CD667A"/>
    <w:rsid w:val="00CD7D57"/>
    <w:rsid w:val="00CE5100"/>
    <w:rsid w:val="00CF2EC9"/>
    <w:rsid w:val="00D0011E"/>
    <w:rsid w:val="00D013A3"/>
    <w:rsid w:val="00D01982"/>
    <w:rsid w:val="00D0264C"/>
    <w:rsid w:val="00D03E8A"/>
    <w:rsid w:val="00D1043A"/>
    <w:rsid w:val="00D3365B"/>
    <w:rsid w:val="00D404E1"/>
    <w:rsid w:val="00D42EFE"/>
    <w:rsid w:val="00D44900"/>
    <w:rsid w:val="00D46F5E"/>
    <w:rsid w:val="00D5531A"/>
    <w:rsid w:val="00D65EC2"/>
    <w:rsid w:val="00D818B9"/>
    <w:rsid w:val="00D847C7"/>
    <w:rsid w:val="00D96C5B"/>
    <w:rsid w:val="00D96E1C"/>
    <w:rsid w:val="00DB1DB4"/>
    <w:rsid w:val="00DB55DC"/>
    <w:rsid w:val="00DB5884"/>
    <w:rsid w:val="00DC39A0"/>
    <w:rsid w:val="00DC5211"/>
    <w:rsid w:val="00DC6B52"/>
    <w:rsid w:val="00DD04CE"/>
    <w:rsid w:val="00DD494D"/>
    <w:rsid w:val="00DE6186"/>
    <w:rsid w:val="00DE70E4"/>
    <w:rsid w:val="00DF7E26"/>
    <w:rsid w:val="00E0137B"/>
    <w:rsid w:val="00E047B5"/>
    <w:rsid w:val="00E05CF7"/>
    <w:rsid w:val="00E2034C"/>
    <w:rsid w:val="00E215A9"/>
    <w:rsid w:val="00E27E4D"/>
    <w:rsid w:val="00E302F8"/>
    <w:rsid w:val="00E30C0B"/>
    <w:rsid w:val="00E32031"/>
    <w:rsid w:val="00E3217C"/>
    <w:rsid w:val="00E357AC"/>
    <w:rsid w:val="00E432F3"/>
    <w:rsid w:val="00E437C5"/>
    <w:rsid w:val="00E44931"/>
    <w:rsid w:val="00E515B0"/>
    <w:rsid w:val="00E5169F"/>
    <w:rsid w:val="00E51939"/>
    <w:rsid w:val="00E51E99"/>
    <w:rsid w:val="00E5205F"/>
    <w:rsid w:val="00E53716"/>
    <w:rsid w:val="00E7381E"/>
    <w:rsid w:val="00E75DB0"/>
    <w:rsid w:val="00E76E17"/>
    <w:rsid w:val="00E80456"/>
    <w:rsid w:val="00E9209F"/>
    <w:rsid w:val="00E956F3"/>
    <w:rsid w:val="00EA2A07"/>
    <w:rsid w:val="00EA30E1"/>
    <w:rsid w:val="00EB1C7A"/>
    <w:rsid w:val="00EB6F9D"/>
    <w:rsid w:val="00EC4676"/>
    <w:rsid w:val="00EC53F5"/>
    <w:rsid w:val="00EC7EFD"/>
    <w:rsid w:val="00ED0460"/>
    <w:rsid w:val="00ED36D8"/>
    <w:rsid w:val="00EE011A"/>
    <w:rsid w:val="00EE2B61"/>
    <w:rsid w:val="00EE53E3"/>
    <w:rsid w:val="00EE6086"/>
    <w:rsid w:val="00EF257F"/>
    <w:rsid w:val="00EF3DF7"/>
    <w:rsid w:val="00EF4071"/>
    <w:rsid w:val="00EF6F64"/>
    <w:rsid w:val="00EF704F"/>
    <w:rsid w:val="00EF765F"/>
    <w:rsid w:val="00F028DE"/>
    <w:rsid w:val="00F0585C"/>
    <w:rsid w:val="00F107B7"/>
    <w:rsid w:val="00F11F57"/>
    <w:rsid w:val="00F145D1"/>
    <w:rsid w:val="00F221E7"/>
    <w:rsid w:val="00F30FE6"/>
    <w:rsid w:val="00F36E53"/>
    <w:rsid w:val="00F46176"/>
    <w:rsid w:val="00F50350"/>
    <w:rsid w:val="00F50D0B"/>
    <w:rsid w:val="00F5149E"/>
    <w:rsid w:val="00F52123"/>
    <w:rsid w:val="00F56A74"/>
    <w:rsid w:val="00F57AD9"/>
    <w:rsid w:val="00F61479"/>
    <w:rsid w:val="00F65606"/>
    <w:rsid w:val="00F70D0B"/>
    <w:rsid w:val="00F73680"/>
    <w:rsid w:val="00F74B45"/>
    <w:rsid w:val="00F832E5"/>
    <w:rsid w:val="00F870A3"/>
    <w:rsid w:val="00F91762"/>
    <w:rsid w:val="00F9405B"/>
    <w:rsid w:val="00F962E8"/>
    <w:rsid w:val="00FA34E8"/>
    <w:rsid w:val="00FC5261"/>
    <w:rsid w:val="00FC6229"/>
    <w:rsid w:val="00FD398E"/>
    <w:rsid w:val="00FD549D"/>
    <w:rsid w:val="00FD6374"/>
    <w:rsid w:val="00FD7D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BodyTextIndent">
    <w:name w:val="Body Text Indent"/>
    <w:basedOn w:val="Normal"/>
    <w:rsid w:val="00A11169"/>
    <w:pPr>
      <w:spacing w:after="120"/>
      <w:ind w:left="360"/>
    </w:pPr>
  </w:style>
  <w:style w:type="paragraph" w:styleId="EndnoteText">
    <w:name w:val="endnote text"/>
    <w:basedOn w:val="Normal"/>
    <w:semiHidden/>
    <w:rsid w:val="005904EB"/>
    <w:pPr>
      <w:tabs>
        <w:tab w:val="left" w:pos="-720"/>
      </w:tabs>
      <w:suppressAutoHyphens/>
    </w:pPr>
    <w:rPr>
      <w:rFonts w:ascii="Courier New" w:hAnsi="Courier New" w:cs="Courier New"/>
      <w:snapToGrid/>
    </w:rPr>
  </w:style>
  <w:style w:type="paragraph" w:styleId="Revision">
    <w:name w:val="Revision"/>
    <w:hidden/>
    <w:uiPriority w:val="99"/>
    <w:semiHidden/>
    <w:rsid w:val="007D79F1"/>
    <w:rPr>
      <w:rFonts w:ascii="Courier" w:eastAsia="Times New Roman" w:hAnsi="Courier"/>
      <w:snapToGrid w:val="0"/>
      <w:sz w:val="24"/>
      <w:szCs w:val="24"/>
    </w:rPr>
  </w:style>
  <w:style w:type="character" w:customStyle="1" w:styleId="FooterChar">
    <w:name w:val="Footer Char"/>
    <w:basedOn w:val="DefaultParagraphFont"/>
    <w:link w:val="Footer"/>
    <w:uiPriority w:val="99"/>
    <w:rsid w:val="00EE2B61"/>
    <w:rPr>
      <w:rFonts w:ascii="Courier" w:eastAsia="Times New Roman" w:hAnsi="Courier"/>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BodyTextIndent">
    <w:name w:val="Body Text Indent"/>
    <w:basedOn w:val="Normal"/>
    <w:rsid w:val="00A11169"/>
    <w:pPr>
      <w:spacing w:after="120"/>
      <w:ind w:left="360"/>
    </w:pPr>
  </w:style>
  <w:style w:type="paragraph" w:styleId="EndnoteText">
    <w:name w:val="endnote text"/>
    <w:basedOn w:val="Normal"/>
    <w:semiHidden/>
    <w:rsid w:val="005904EB"/>
    <w:pPr>
      <w:tabs>
        <w:tab w:val="left" w:pos="-720"/>
      </w:tabs>
      <w:suppressAutoHyphens/>
    </w:pPr>
    <w:rPr>
      <w:rFonts w:ascii="Courier New" w:hAnsi="Courier New" w:cs="Courier New"/>
      <w:snapToGrid/>
    </w:rPr>
  </w:style>
  <w:style w:type="paragraph" w:styleId="Revision">
    <w:name w:val="Revision"/>
    <w:hidden/>
    <w:uiPriority w:val="99"/>
    <w:semiHidden/>
    <w:rsid w:val="007D79F1"/>
    <w:rPr>
      <w:rFonts w:ascii="Courier" w:eastAsia="Times New Roman" w:hAnsi="Courier"/>
      <w:snapToGrid w:val="0"/>
      <w:sz w:val="24"/>
      <w:szCs w:val="24"/>
    </w:rPr>
  </w:style>
  <w:style w:type="character" w:customStyle="1" w:styleId="FooterChar">
    <w:name w:val="Footer Char"/>
    <w:basedOn w:val="DefaultParagraphFont"/>
    <w:link w:val="Footer"/>
    <w:uiPriority w:val="99"/>
    <w:rsid w:val="00EE2B61"/>
    <w:rPr>
      <w:rFonts w:ascii="Courier" w:eastAsia="Times New Roman" w:hAnsi="Courier"/>
      <w:snapToGrid w:val="0"/>
      <w:sz w:val="24"/>
      <w:szCs w:val="24"/>
    </w:rPr>
  </w:style>
</w:styles>
</file>

<file path=word/webSettings.xml><?xml version="1.0" encoding="utf-8"?>
<w:webSettings xmlns:r="http://schemas.openxmlformats.org/officeDocument/2006/relationships" xmlns:w="http://schemas.openxmlformats.org/wordprocessingml/2006/main">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B29ED-0E45-48AF-AC57-FB0190415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1495</Words>
  <Characters>8641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10116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889123</cp:lastModifiedBy>
  <cp:revision>3</cp:revision>
  <cp:lastPrinted>2010-10-15T12:58:00Z</cp:lastPrinted>
  <dcterms:created xsi:type="dcterms:W3CDTF">2011-06-16T17:23:00Z</dcterms:created>
  <dcterms:modified xsi:type="dcterms:W3CDTF">2011-07-28T15:13:00Z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32132722</vt:i4>
  </property>
  <property fmtid="{D5CDD505-2E9C-101B-9397-08002B2CF9AE}" pid="4" name="_EmailSubject">
    <vt:lpwstr>Social Security Administration Eligible Non-Attorney Representative Application - OMB Number 0960-0699</vt:lpwstr>
  </property>
  <property fmtid="{D5CDD505-2E9C-101B-9397-08002B2CF9AE}" pid="5" name="_AuthorEmail">
    <vt:lpwstr>Alicia.Wood@ssa.gov</vt:lpwstr>
  </property>
  <property fmtid="{D5CDD505-2E9C-101B-9397-08002B2CF9AE}" pid="6" name="_AuthorEmailDisplayName">
    <vt:lpwstr>Wood, Alicia</vt:lpwstr>
  </property>
  <property fmtid="{D5CDD505-2E9C-101B-9397-08002B2CF9AE}" pid="7" name="_ReviewingToolsShownOnce">
    <vt:lpwstr/>
  </property>
</Properties>
</file>