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33" w:rsidRDefault="009F2633" w:rsidP="009F2633">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RDefault="009F2633" w:rsidP="00BB78AB">
      <w:pPr>
        <w:keepNext/>
        <w:numPr>
          <w:ilvl w:val="12"/>
          <w:numId w:val="0"/>
        </w:numPr>
        <w:ind w:left="360"/>
      </w:pPr>
    </w:p>
    <w:p w:rsidR="004B7902" w:rsidRDefault="00B94280" w:rsidP="00BB78AB">
      <w:pPr>
        <w:numPr>
          <w:ilvl w:val="12"/>
          <w:numId w:val="0"/>
        </w:numPr>
        <w:ind w:left="360"/>
      </w:pPr>
      <w:r>
        <w:t>Under the Aviation and Transportation Security Act (ATSA</w:t>
      </w:r>
      <w:r w:rsidR="009516AE">
        <w:t xml:space="preserve">) </w:t>
      </w:r>
      <w:r w:rsidR="003B5661">
        <w:t>(Pub. L. 107-71, 115 Stat.</w:t>
      </w:r>
      <w:r w:rsidR="004B7902">
        <w:t xml:space="preserve"> </w:t>
      </w:r>
      <w:r w:rsidR="003B5661">
        <w:t>597</w:t>
      </w:r>
      <w:r w:rsidR="00B5796A">
        <w:t xml:space="preserve"> </w:t>
      </w:r>
      <w:r w:rsidR="003B5661">
        <w:t>(November 19</w:t>
      </w:r>
      <w:r w:rsidR="00323088">
        <w:t>, 2001</w:t>
      </w:r>
      <w:r w:rsidR="003B5661">
        <w:t xml:space="preserve">)) and delegated authority from the Secretary of Homeland Security, TSA has broad responsibility and authority for “security in all modes of transportation…including security </w:t>
      </w:r>
      <w:r w:rsidR="00323088">
        <w:t>responsibilities</w:t>
      </w:r>
      <w:r w:rsidR="003B5661">
        <w:t>…</w:t>
      </w:r>
      <w:r w:rsidR="00B5796A">
        <w:t>.</w:t>
      </w:r>
      <w:r w:rsidR="003B5661">
        <w:t xml:space="preserve">over modes of transportation that are exercised by the Department of Transportation.” </w:t>
      </w:r>
    </w:p>
    <w:p w:rsidR="0011067F" w:rsidRDefault="0011067F" w:rsidP="00BB78AB">
      <w:pPr>
        <w:numPr>
          <w:ilvl w:val="12"/>
          <w:numId w:val="0"/>
        </w:numPr>
        <w:ind w:left="360"/>
      </w:pPr>
    </w:p>
    <w:p w:rsidR="004B7902" w:rsidRDefault="004B7902" w:rsidP="00BB78AB">
      <w:pPr>
        <w:numPr>
          <w:ilvl w:val="12"/>
          <w:numId w:val="0"/>
        </w:numPr>
        <w:ind w:left="360"/>
      </w:pPr>
      <w:r>
        <w:t>Section 403(2) of the Homeland Security Act (HS</w:t>
      </w:r>
      <w:r w:rsidR="001248CC">
        <w:t>A</w:t>
      </w:r>
      <w:r>
        <w:t xml:space="preserve">) of 2002 (Pub. L. 107-296, 116 Stat. 2315 (November 25,2002)) transferred all functions of TSA, including those of the </w:t>
      </w:r>
      <w:r w:rsidR="00323088">
        <w:t>Secretary</w:t>
      </w:r>
      <w:r>
        <w:t xml:space="preserve"> of </w:t>
      </w:r>
      <w:r w:rsidR="00323088">
        <w:t>Transportation</w:t>
      </w:r>
      <w:r>
        <w:t xml:space="preserve"> and Under </w:t>
      </w:r>
      <w:r w:rsidR="00323088">
        <w:t>Secretary</w:t>
      </w:r>
      <w:r>
        <w:t xml:space="preserve"> of </w:t>
      </w:r>
      <w:r w:rsidR="00323088">
        <w:t>Transportation</w:t>
      </w:r>
      <w:r>
        <w:t xml:space="preserve"> related to TSA, to the </w:t>
      </w:r>
      <w:r w:rsidR="00323088">
        <w:t>Secretary</w:t>
      </w:r>
      <w:r>
        <w:t xml:space="preserve"> of Homeland Security. </w:t>
      </w:r>
      <w:r w:rsidR="00323088">
        <w:t>Pursuant</w:t>
      </w:r>
      <w:r>
        <w:t xml:space="preserve"> to DHS Delegation Number 7060.2, the </w:t>
      </w:r>
      <w:r w:rsidR="00323088">
        <w:t>Secretary</w:t>
      </w:r>
      <w:r>
        <w:t xml:space="preserve"> delegated to the Assistant </w:t>
      </w:r>
      <w:r w:rsidR="00323088">
        <w:t>Secretary</w:t>
      </w:r>
      <w:r>
        <w:t xml:space="preserve"> </w:t>
      </w:r>
      <w:r w:rsidR="001248CC">
        <w:t xml:space="preserve">for TSA </w:t>
      </w:r>
      <w:r>
        <w:t>(</w:t>
      </w:r>
      <w:r w:rsidR="001248CC">
        <w:t xml:space="preserve">also called </w:t>
      </w:r>
      <w:r>
        <w:t xml:space="preserve">the </w:t>
      </w:r>
      <w:r w:rsidR="00323088">
        <w:t>Administrator</w:t>
      </w:r>
      <w:r w:rsidR="00B5796A">
        <w:t xml:space="preserve"> of TSA)</w:t>
      </w:r>
      <w:r>
        <w:t xml:space="preserve">, subject to the </w:t>
      </w:r>
      <w:r w:rsidR="00323088">
        <w:t>Secretary’s</w:t>
      </w:r>
      <w:r>
        <w:t xml:space="preserve"> guidance and control, the authority vested in the Secretary with respect to TSA, including that section in 403(2) of the HS</w:t>
      </w:r>
      <w:r w:rsidR="001248CC">
        <w:t>A</w:t>
      </w:r>
      <w:r>
        <w:t xml:space="preserve">. </w:t>
      </w:r>
    </w:p>
    <w:p w:rsidR="004B7902" w:rsidRDefault="004B7902" w:rsidP="00BB78AB">
      <w:pPr>
        <w:numPr>
          <w:ilvl w:val="12"/>
          <w:numId w:val="0"/>
        </w:numPr>
        <w:ind w:left="360"/>
      </w:pPr>
    </w:p>
    <w:p w:rsidR="009F2633" w:rsidRDefault="004B7902" w:rsidP="00BB78AB">
      <w:pPr>
        <w:numPr>
          <w:ilvl w:val="12"/>
          <w:numId w:val="0"/>
        </w:numPr>
        <w:ind w:left="360"/>
      </w:pPr>
      <w:r>
        <w:t>Pipeline transportation is a mode of transportation over which TSA has jurisdiction</w:t>
      </w:r>
      <w:r w:rsidR="00312258">
        <w:t xml:space="preserve"> under ATSA and under sections 1557 and 1558 of the Implementing Recommendations of the 9/11 Commission Act of 2007 (Pub. L. 110-53)</w:t>
      </w:r>
      <w:r w:rsidR="001120AD">
        <w:t xml:space="preserve"> (9/11 Act</w:t>
      </w:r>
      <w:r w:rsidR="0011067F">
        <w:t xml:space="preserve">).  </w:t>
      </w:r>
      <w:r>
        <w:t xml:space="preserve">The Pipeline Security Division within the Office of Transportation Sector Network Management </w:t>
      </w:r>
      <w:r w:rsidR="00CD57D8">
        <w:t xml:space="preserve">(TSNM) has the lead within the TSA for pipeline matters. In order to execute its security </w:t>
      </w:r>
      <w:r w:rsidR="00323088">
        <w:t>responsibilities</w:t>
      </w:r>
      <w:r w:rsidR="00CD57D8">
        <w:t xml:space="preserve"> within the pipeline industry, it is necessary for TSNM Pipeline</w:t>
      </w:r>
      <w:r w:rsidR="00B5796A">
        <w:t xml:space="preserve"> Security Division</w:t>
      </w:r>
      <w:r w:rsidR="00CD57D8">
        <w:t xml:space="preserve"> to </w:t>
      </w:r>
      <w:r w:rsidR="005F783B">
        <w:t xml:space="preserve">assess current industry security practices by way of its Pipeline Corporate Security Review (PCSR) program.  The PCSR encompasses interviews </w:t>
      </w:r>
      <w:r w:rsidR="00CD57D8">
        <w:t>and site visits with pipeline operators regarding company security planning and implementation</w:t>
      </w:r>
      <w:r w:rsidR="00D75BDE">
        <w:t xml:space="preserve">. </w:t>
      </w:r>
      <w:r w:rsidR="005F783B">
        <w:t>TSA is seeking OMB approval for this information collection so that TSA can</w:t>
      </w:r>
      <w:r w:rsidR="00A86A6A">
        <w:t xml:space="preserve"> </w:t>
      </w:r>
      <w:r w:rsidR="0011067F">
        <w:t xml:space="preserve">continue </w:t>
      </w:r>
      <w:r w:rsidR="00A86A6A">
        <w:t>review</w:t>
      </w:r>
      <w:r w:rsidR="0011067F">
        <w:t>ing</w:t>
      </w:r>
      <w:r w:rsidR="00A86A6A">
        <w:t xml:space="preserve"> pipeline operator security planning and implementation, </w:t>
      </w:r>
      <w:r w:rsidR="00F81CF8">
        <w:t>determine baseline s</w:t>
      </w:r>
      <w:r w:rsidR="005F783B">
        <w:t>ecurity standards</w:t>
      </w:r>
      <w:r w:rsidR="00A86A6A">
        <w:t xml:space="preserve"> for the industry, </w:t>
      </w:r>
      <w:r w:rsidR="00F81CF8">
        <w:t xml:space="preserve">and </w:t>
      </w:r>
      <w:r w:rsidR="00A86A6A">
        <w:t xml:space="preserve">identify </w:t>
      </w:r>
      <w:r w:rsidR="00F81CF8">
        <w:t xml:space="preserve">areas of security weakness </w:t>
      </w:r>
      <w:r w:rsidR="00D75BDE">
        <w:t>in</w:t>
      </w:r>
      <w:r w:rsidR="00F81CF8">
        <w:t xml:space="preserve"> the pipeline mode</w:t>
      </w:r>
      <w:r w:rsidR="005F783B">
        <w:t xml:space="preserve">. </w:t>
      </w:r>
    </w:p>
    <w:p w:rsidR="009F2633" w:rsidRDefault="009F2633" w:rsidP="00BB78AB">
      <w:pPr>
        <w:pStyle w:val="IndexHeading"/>
        <w:keepNext w:val="0"/>
        <w:tabs>
          <w:tab w:val="left" w:pos="360"/>
        </w:tabs>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RDefault="009F2633" w:rsidP="00BB78AB">
      <w:pPr>
        <w:keepNext/>
        <w:numPr>
          <w:ilvl w:val="12"/>
          <w:numId w:val="0"/>
        </w:numPr>
        <w:ind w:left="360"/>
      </w:pPr>
    </w:p>
    <w:p w:rsidR="009F2633" w:rsidRDefault="00F81CF8" w:rsidP="00BB78AB">
      <w:pPr>
        <w:numPr>
          <w:ilvl w:val="12"/>
          <w:numId w:val="0"/>
        </w:numPr>
        <w:ind w:left="360"/>
      </w:pPr>
      <w:r>
        <w:t>TSA will use the i</w:t>
      </w:r>
      <w:r w:rsidR="00272AE2">
        <w:t xml:space="preserve">nformation collected during the PCSR process to </w:t>
      </w:r>
      <w:r>
        <w:t>determine</w:t>
      </w:r>
      <w:r w:rsidR="00272AE2">
        <w:t xml:space="preserve"> </w:t>
      </w:r>
      <w:r>
        <w:t>baseline</w:t>
      </w:r>
      <w:r w:rsidR="00272AE2">
        <w:t xml:space="preserve"> security standards and </w:t>
      </w:r>
      <w:r>
        <w:t>areas of security weakness</w:t>
      </w:r>
      <w:r w:rsidR="00272AE2">
        <w:t xml:space="preserve"> in the pipeline mode. This information </w:t>
      </w:r>
      <w:r w:rsidR="00312258">
        <w:t>is</w:t>
      </w:r>
      <w:r w:rsidR="00272AE2">
        <w:t xml:space="preserve"> collected during a voluntary, face-to-face visit with the pipeline operator, during which TSA will discuss the operator’s security p</w:t>
      </w:r>
      <w:r>
        <w:t xml:space="preserve">lan and also complete the PCSR Form. The PCSR Form </w:t>
      </w:r>
      <w:r w:rsidR="00272AE2">
        <w:t xml:space="preserve">asks </w:t>
      </w:r>
      <w:r>
        <w:t xml:space="preserve">approximately </w:t>
      </w:r>
      <w:r w:rsidR="00AE74A9">
        <w:t>89</w:t>
      </w:r>
      <w:r>
        <w:t xml:space="preserve"> </w:t>
      </w:r>
      <w:r w:rsidR="00272AE2">
        <w:t xml:space="preserve">questions concerning </w:t>
      </w:r>
      <w:r>
        <w:t xml:space="preserve">the operator’s security planning and program, covering </w:t>
      </w:r>
      <w:r w:rsidR="00272AE2">
        <w:t xml:space="preserve">security topics such as threat assessments, criticality, vulnerability, credentialing, training, physical security countermeasures, and exercises and drills.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9F2633" w:rsidRDefault="009F2633" w:rsidP="00BB78AB">
      <w:pPr>
        <w:keepNext/>
        <w:numPr>
          <w:ilvl w:val="12"/>
          <w:numId w:val="0"/>
        </w:numPr>
        <w:ind w:left="360"/>
      </w:pPr>
    </w:p>
    <w:p w:rsidR="009F2633" w:rsidRDefault="006128B5" w:rsidP="00BB78AB">
      <w:pPr>
        <w:numPr>
          <w:ilvl w:val="12"/>
          <w:numId w:val="0"/>
        </w:numPr>
        <w:ind w:left="360"/>
      </w:pPr>
      <w:r>
        <w:t xml:space="preserve">The collection </w:t>
      </w:r>
      <w:r w:rsidR="00436323">
        <w:t>is</w:t>
      </w:r>
      <w:r>
        <w:t xml:space="preserve"> </w:t>
      </w:r>
      <w:r w:rsidR="0043723F">
        <w:t xml:space="preserve">conducted </w:t>
      </w:r>
      <w:r>
        <w:t xml:space="preserve">by means of a site visit to a pipeline operator’s headquarters location. During the site visit, TSA </w:t>
      </w:r>
      <w:r w:rsidR="0043723F">
        <w:t xml:space="preserve"> </w:t>
      </w:r>
      <w:r>
        <w:t>discuss</w:t>
      </w:r>
      <w:r w:rsidR="0011067F">
        <w:t>es</w:t>
      </w:r>
      <w:r>
        <w:t xml:space="preserve"> the operator’s security planning, observe</w:t>
      </w:r>
      <w:r w:rsidR="00A6613C">
        <w:t>s</w:t>
      </w:r>
      <w:r>
        <w:t xml:space="preserve"> implemented security measures, and all information </w:t>
      </w:r>
      <w:r w:rsidR="00EB2EAC">
        <w:t xml:space="preserve">captured during the visit </w:t>
      </w:r>
      <w:r w:rsidR="00436323">
        <w:t>is</w:t>
      </w:r>
      <w:r>
        <w:t xml:space="preserve"> </w:t>
      </w:r>
      <w:r w:rsidR="00EB2EAC">
        <w:t xml:space="preserve">later </w:t>
      </w:r>
      <w:r>
        <w:t xml:space="preserve">recorded </w:t>
      </w:r>
      <w:r w:rsidR="00EB2EAC">
        <w:t xml:space="preserve">electronically </w:t>
      </w:r>
      <w:r>
        <w:t xml:space="preserve">onto a collection form. The collection form </w:t>
      </w:r>
      <w:r w:rsidR="0011067F">
        <w:t>is</w:t>
      </w:r>
      <w:r>
        <w:t xml:space="preserve"> </w:t>
      </w:r>
      <w:r w:rsidR="00EB2EAC">
        <w:t xml:space="preserve">secured and </w:t>
      </w:r>
      <w:r>
        <w:t xml:space="preserve">retained electronically </w:t>
      </w:r>
      <w:r w:rsidR="00EB2EAC">
        <w:t xml:space="preserve">upon completion </w:t>
      </w:r>
      <w:r>
        <w:t>within TSA’s Pipeline Security Division</w:t>
      </w:r>
      <w:r w:rsidR="00EB2EAC">
        <w:t xml:space="preserve">. </w:t>
      </w:r>
      <w:r w:rsidR="00AE74A9">
        <w:t>An electronic reporting option is not practical for this collection. The PCSR program intent is to verify that the operator is implementing its security program</w:t>
      </w:r>
      <w:r w:rsidR="00166937">
        <w:t xml:space="preserve">. </w:t>
      </w:r>
      <w:r w:rsidR="00AE74A9">
        <w:t xml:space="preserve">The PCSR program is </w:t>
      </w:r>
      <w:r w:rsidR="00B5796A">
        <w:t xml:space="preserve">also </w:t>
      </w:r>
      <w:r w:rsidR="00AE74A9">
        <w:t xml:space="preserve">a means for the TSA Pipeline </w:t>
      </w:r>
      <w:r w:rsidR="00323088">
        <w:t>Security</w:t>
      </w:r>
      <w:r w:rsidR="00AE74A9">
        <w:t xml:space="preserve"> Division to build stakeholder relations through a face-to-face exchange of security information, a goal which </w:t>
      </w:r>
      <w:r w:rsidR="001F52F3">
        <w:t>is not readily</w:t>
      </w:r>
      <w:r w:rsidR="00AE74A9">
        <w:t xml:space="preserve"> achievable or practicable if an electronic reporting option were available. </w:t>
      </w:r>
    </w:p>
    <w:p w:rsidR="009F2633" w:rsidRDefault="009F2633" w:rsidP="0043723F">
      <w:pPr>
        <w:numPr>
          <w:ilvl w:val="12"/>
          <w:numId w:val="0"/>
        </w:numPr>
        <w:ind w:left="360"/>
      </w:pPr>
    </w:p>
    <w:p w:rsidR="009F2633" w:rsidRDefault="009F2633" w:rsidP="009F2633">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RDefault="009F2633" w:rsidP="00BB78AB">
      <w:pPr>
        <w:keepNext/>
        <w:numPr>
          <w:ilvl w:val="12"/>
          <w:numId w:val="0"/>
        </w:numPr>
        <w:ind w:left="360"/>
      </w:pPr>
    </w:p>
    <w:p w:rsidR="009F2633" w:rsidRDefault="00E01CC5" w:rsidP="00BB78AB">
      <w:pPr>
        <w:numPr>
          <w:ilvl w:val="12"/>
          <w:numId w:val="0"/>
        </w:numPr>
        <w:ind w:left="360"/>
      </w:pPr>
      <w:r>
        <w:t xml:space="preserve">There is no other similar information collection currently that specifically targets the security planning and implementation of the pipeline mode.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RDefault="009F2633" w:rsidP="00BB78AB">
      <w:pPr>
        <w:keepNext/>
        <w:numPr>
          <w:ilvl w:val="12"/>
          <w:numId w:val="0"/>
        </w:numPr>
        <w:ind w:left="360"/>
      </w:pPr>
    </w:p>
    <w:p w:rsidR="009F2633" w:rsidRDefault="00DD16FF" w:rsidP="00BB78AB">
      <w:pPr>
        <w:numPr>
          <w:ilvl w:val="12"/>
          <w:numId w:val="0"/>
        </w:numPr>
        <w:ind w:left="360"/>
      </w:pPr>
      <w:r>
        <w:t xml:space="preserve">This information collection should not have a significant impact on small businesses or </w:t>
      </w:r>
      <w:r w:rsidR="007D7A62">
        <w:t xml:space="preserve">other </w:t>
      </w:r>
      <w:r>
        <w:t>small entities.</w:t>
      </w:r>
      <w:r w:rsidR="00166937">
        <w:t xml:space="preserve">The PCSR primarily focuses on the nation’s top 100 pipeline systems, as determined by energy throughput. It is possible that TSA will visit pipeline systems outside the top 100, but only as circumstances dictate (e.g. intell determines a smaller system is the target of a credible threat).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RDefault="009F2633" w:rsidP="00BB78AB">
      <w:pPr>
        <w:keepNext/>
        <w:numPr>
          <w:ilvl w:val="12"/>
          <w:numId w:val="0"/>
        </w:numPr>
        <w:ind w:left="360"/>
      </w:pPr>
    </w:p>
    <w:p w:rsidR="009F2633" w:rsidRDefault="006E160F" w:rsidP="00BB78AB">
      <w:pPr>
        <w:numPr>
          <w:ilvl w:val="12"/>
          <w:numId w:val="0"/>
        </w:numPr>
        <w:ind w:left="360"/>
      </w:pPr>
      <w:r>
        <w:t>If t</w:t>
      </w:r>
      <w:r w:rsidR="00A0594F">
        <w:t>he PCSR collection</w:t>
      </w:r>
      <w:r>
        <w:t xml:space="preserve"> is </w:t>
      </w:r>
      <w:r w:rsidR="00166937">
        <w:t>discontinued, this w</w:t>
      </w:r>
      <w:r w:rsidR="002616CD">
        <w:t>ould</w:t>
      </w:r>
      <w:r w:rsidR="00A0594F">
        <w:t xml:space="preserve"> impede</w:t>
      </w:r>
      <w:r w:rsidR="007D7A62">
        <w:t xml:space="preserve"> </w:t>
      </w:r>
      <w:r w:rsidR="00A0594F">
        <w:t>TSA’s</w:t>
      </w:r>
      <w:r w:rsidR="007D7A62">
        <w:t xml:space="preserve"> ability to </w:t>
      </w:r>
      <w:r w:rsidR="00E01CC5">
        <w:t xml:space="preserve">determine </w:t>
      </w:r>
      <w:r w:rsidR="007D7A62">
        <w:t>minimum</w:t>
      </w:r>
      <w:r w:rsidR="00A0594F">
        <w:t xml:space="preserve"> </w:t>
      </w:r>
      <w:r w:rsidR="007D7A62">
        <w:t xml:space="preserve">security standards and identify coverage gaps, </w:t>
      </w:r>
      <w:r w:rsidR="00A0594F">
        <w:t xml:space="preserve">two </w:t>
      </w:r>
      <w:r w:rsidR="00323088">
        <w:t>activities</w:t>
      </w:r>
      <w:r w:rsidR="007D7A62">
        <w:t xml:space="preserve"> that are critical to </w:t>
      </w:r>
      <w:r w:rsidR="00A0594F">
        <w:t>the agency</w:t>
      </w:r>
      <w:r w:rsidR="001120AD">
        <w:t>’s</w:t>
      </w:r>
      <w:r w:rsidR="00A0594F">
        <w:t xml:space="preserve"> </w:t>
      </w:r>
      <w:r w:rsidR="007D7A62">
        <w:t xml:space="preserve">carrying out its transportation security mission. Without means of collection </w:t>
      </w:r>
      <w:r w:rsidR="00A0594F">
        <w:t xml:space="preserve">this </w:t>
      </w:r>
      <w:r w:rsidR="00A0594F">
        <w:lastRenderedPageBreak/>
        <w:t xml:space="preserve">information, </w:t>
      </w:r>
      <w:r w:rsidR="007D7A62">
        <w:t>TSA will be unable to confidently identify security gaps and weakness in the mode and</w:t>
      </w:r>
      <w:r w:rsidR="00B5796A">
        <w:t>,</w:t>
      </w:r>
      <w:r w:rsidR="007D7A62">
        <w:t xml:space="preserve"> as a consequence, will not be able to effectively identify areas to develop programs to better </w:t>
      </w:r>
      <w:r w:rsidR="00323088">
        <w:t>strengthen</w:t>
      </w:r>
      <w:r w:rsidR="007D7A62">
        <w:t xml:space="preserve"> </w:t>
      </w:r>
      <w:r w:rsidR="00CC37D5">
        <w:t xml:space="preserve">modal </w:t>
      </w:r>
      <w:r w:rsidR="00323088">
        <w:t>security</w:t>
      </w:r>
      <w:r w:rsidR="007D7A62">
        <w:t xml:space="preserve">. </w:t>
      </w:r>
      <w:r w:rsidR="001120AD">
        <w:t>Moreover, TSA would not be able to discharge specific obligations under the 9/11 Act, including a review of the industry’s implementation of 2002 security guidance issued by the Department of Transportation and a determination whether to issue security regulations.  See 9/11 Act section 1557.</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w:t>
      </w:r>
      <w:r w:rsidR="00323088">
        <w:rPr>
          <w:b/>
          <w:i/>
        </w:rPr>
        <w:t>) (</w:t>
      </w:r>
      <w:r>
        <w:rPr>
          <w:b/>
          <w:i/>
        </w:rPr>
        <w:t>2).</w:t>
      </w:r>
    </w:p>
    <w:p w:rsidR="009F2633" w:rsidRDefault="009F2633" w:rsidP="00BB78AB">
      <w:pPr>
        <w:keepNext/>
        <w:numPr>
          <w:ilvl w:val="12"/>
          <w:numId w:val="0"/>
        </w:numPr>
        <w:ind w:left="360"/>
      </w:pPr>
    </w:p>
    <w:p w:rsidR="009F2633" w:rsidRDefault="00954644" w:rsidP="00BB78AB">
      <w:pPr>
        <w:numPr>
          <w:ilvl w:val="12"/>
          <w:numId w:val="0"/>
        </w:numPr>
        <w:ind w:left="360"/>
      </w:pPr>
      <w:r>
        <w:t>There are no special circumstances that would require the collection to be conducted in</w:t>
      </w:r>
      <w:r w:rsidR="001F52F3">
        <w:t xml:space="preserve"> </w:t>
      </w:r>
      <w:r>
        <w:t xml:space="preserve">a manner inconsistent with general information collection guidelines.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RDefault="009F2633" w:rsidP="00BB78AB">
      <w:pPr>
        <w:keepNext/>
        <w:numPr>
          <w:ilvl w:val="12"/>
          <w:numId w:val="0"/>
        </w:numPr>
        <w:ind w:left="360"/>
      </w:pPr>
    </w:p>
    <w:p w:rsidR="009F2633" w:rsidRDefault="00CC37D5" w:rsidP="00BB78AB">
      <w:pPr>
        <w:numPr>
          <w:ilvl w:val="12"/>
          <w:numId w:val="0"/>
        </w:numPr>
        <w:ind w:left="360"/>
      </w:pPr>
      <w:r>
        <w:t xml:space="preserve">TSA published a </w:t>
      </w:r>
      <w:r w:rsidRPr="00CC37D5">
        <w:rPr>
          <w:u w:val="single"/>
        </w:rPr>
        <w:t>Federal Register</w:t>
      </w:r>
      <w:r>
        <w:t xml:space="preserve"> notice, with a 60-day comment period soliciting comments, of th</w:t>
      </w:r>
      <w:r w:rsidR="0043723F">
        <w:t>is</w:t>
      </w:r>
      <w:r>
        <w:t xml:space="preserve"> collection of information on August 20, 2009, 74</w:t>
      </w:r>
      <w:r w:rsidR="00CC5B46">
        <w:t>FR 42086-42087</w:t>
      </w:r>
      <w:r>
        <w:t>.</w:t>
      </w:r>
      <w:r w:rsidR="00D95493">
        <w:t xml:space="preserve"> </w:t>
      </w:r>
      <w:r w:rsidR="00295A9D">
        <w:t>A 30-day notice was published on November 29, 1010, 75FR 73117.</w:t>
      </w:r>
      <w:r w:rsidR="00CC5B46">
        <w:t xml:space="preserve"> No c</w:t>
      </w:r>
      <w:r w:rsidR="00D95493">
        <w:t xml:space="preserve">omments </w:t>
      </w:r>
      <w:r w:rsidR="00CC5B46">
        <w:t>were received in response to the notice</w:t>
      </w:r>
      <w:r w:rsidR="00890BBB">
        <w:t>s</w:t>
      </w:r>
      <w:r w:rsidR="00CC5B46">
        <w:t xml:space="preserve">. </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RDefault="009F2633" w:rsidP="00BB78AB">
      <w:pPr>
        <w:keepNext/>
        <w:numPr>
          <w:ilvl w:val="12"/>
          <w:numId w:val="0"/>
        </w:numPr>
        <w:ind w:left="360"/>
      </w:pPr>
    </w:p>
    <w:p w:rsidR="009F2633" w:rsidRDefault="00B5796A" w:rsidP="00BB78AB">
      <w:pPr>
        <w:numPr>
          <w:ilvl w:val="12"/>
          <w:numId w:val="0"/>
        </w:numPr>
        <w:ind w:left="360"/>
      </w:pPr>
      <w:r>
        <w:t>No payment or</w:t>
      </w:r>
      <w:r w:rsidR="00745010">
        <w:t xml:space="preserve"> gift will be provided to respondents. </w:t>
      </w:r>
    </w:p>
    <w:p w:rsidR="009F2633" w:rsidRDefault="009F2633" w:rsidP="00BB78AB">
      <w:pPr>
        <w:numPr>
          <w:ilvl w:val="12"/>
          <w:numId w:val="0"/>
        </w:numPr>
      </w:pPr>
    </w:p>
    <w:p w:rsidR="009F2633" w:rsidRDefault="009F2633" w:rsidP="0016693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RDefault="009F2633" w:rsidP="00166937">
      <w:pPr>
        <w:keepNext/>
        <w:numPr>
          <w:ilvl w:val="12"/>
          <w:numId w:val="0"/>
        </w:numPr>
        <w:ind w:left="360"/>
      </w:pPr>
    </w:p>
    <w:p w:rsidR="009F2633" w:rsidRDefault="00EC71C5" w:rsidP="00BB78AB">
      <w:pPr>
        <w:numPr>
          <w:ilvl w:val="12"/>
          <w:numId w:val="0"/>
        </w:numPr>
        <w:ind w:left="360"/>
      </w:pPr>
      <w:r>
        <w:t>T</w:t>
      </w:r>
      <w:r w:rsidR="00745010">
        <w:t xml:space="preserve">he portion of the collection that is deemed Sensitive Security Information </w:t>
      </w:r>
      <w:r w:rsidR="00B5796A">
        <w:t>(SSI)</w:t>
      </w:r>
      <w:r w:rsidR="00745010">
        <w:t xml:space="preserve"> will be handled as </w:t>
      </w:r>
      <w:r w:rsidR="006E160F">
        <w:t xml:space="preserve">required by </w:t>
      </w:r>
      <w:r w:rsidR="00745010">
        <w:t xml:space="preserve">49 CFR Parts 15 and 1520.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RDefault="009F2633" w:rsidP="001F0623">
      <w:pPr>
        <w:keepNext/>
        <w:numPr>
          <w:ilvl w:val="12"/>
          <w:numId w:val="0"/>
        </w:numPr>
        <w:ind w:left="360"/>
      </w:pPr>
    </w:p>
    <w:p w:rsidR="009F2633" w:rsidRDefault="00745010" w:rsidP="00BB78AB">
      <w:pPr>
        <w:numPr>
          <w:ilvl w:val="12"/>
          <w:numId w:val="0"/>
        </w:numPr>
        <w:ind w:left="360"/>
      </w:pPr>
      <w:r>
        <w:t xml:space="preserve">No personal questions of a sensitive nature will be posed during the information collection. </w:t>
      </w:r>
    </w:p>
    <w:p w:rsidR="009F2633" w:rsidRDefault="009F2633" w:rsidP="00BB78AB">
      <w:pPr>
        <w:numPr>
          <w:ilvl w:val="12"/>
          <w:numId w:val="0"/>
        </w:numPr>
      </w:pPr>
    </w:p>
    <w:p w:rsidR="009F2633" w:rsidRDefault="009F2633" w:rsidP="004A62EB">
      <w:pPr>
        <w:keepNext/>
        <w:numPr>
          <w:ilvl w:val="0"/>
          <w:numId w:val="11"/>
        </w:numPr>
        <w:tabs>
          <w:tab w:val="left" w:pos="360"/>
        </w:tabs>
        <w:rPr>
          <w:b/>
          <w:i/>
        </w:rPr>
      </w:pPr>
      <w:r>
        <w:rPr>
          <w:b/>
          <w:i/>
        </w:rPr>
        <w:lastRenderedPageBreak/>
        <w:t>Provide estimates of hour burden of the collection of information.</w:t>
      </w:r>
    </w:p>
    <w:p w:rsidR="009F2633" w:rsidRDefault="009F2633" w:rsidP="00BB78AB">
      <w:pPr>
        <w:keepNext/>
        <w:numPr>
          <w:ilvl w:val="12"/>
          <w:numId w:val="0"/>
        </w:numPr>
        <w:ind w:left="360"/>
      </w:pPr>
    </w:p>
    <w:p w:rsidR="009F2633" w:rsidRDefault="00745010" w:rsidP="00DB070F">
      <w:pPr>
        <w:ind w:left="360"/>
      </w:pPr>
      <w:r>
        <w:t xml:space="preserve">There are approximately </w:t>
      </w:r>
      <w:r w:rsidR="00172F66">
        <w:t>2200</w:t>
      </w:r>
      <w:r>
        <w:t xml:space="preserve"> pipeline companies in the United States. TSA estimates that pipeline operators will require a maximum of 8 hours to participate in the PCSR process.  </w:t>
      </w:r>
      <w:r w:rsidR="00D25F44">
        <w:t xml:space="preserve">Assuming that TSA is able to visit every company in the pipeline mode, the potential burden is </w:t>
      </w:r>
      <w:r w:rsidR="00172F66">
        <w:t>17,600</w:t>
      </w:r>
      <w:r w:rsidR="00D25F44">
        <w:t xml:space="preserve"> hours (</w:t>
      </w:r>
      <w:r w:rsidR="00172F66">
        <w:t>2200</w:t>
      </w:r>
      <w:r w:rsidR="00D25F44">
        <w:t xml:space="preserve"> companies X 8 hours= </w:t>
      </w:r>
      <w:r w:rsidR="00172F66">
        <w:t>17,600</w:t>
      </w:r>
      <w:r w:rsidR="00D25F44">
        <w:t xml:space="preserve"> hours). </w:t>
      </w:r>
      <w:r>
        <w:t xml:space="preserve">However, TSA is normally able to complete </w:t>
      </w:r>
      <w:r w:rsidR="00D25F44">
        <w:t xml:space="preserve">only </w:t>
      </w:r>
      <w:r w:rsidR="00B5796A">
        <w:t>12 PCSR</w:t>
      </w:r>
      <w:r>
        <w:t>s</w:t>
      </w:r>
      <w:r w:rsidR="00D25F44">
        <w:t>, given time and staffing constraints, in any one year</w:t>
      </w:r>
      <w:r>
        <w:t xml:space="preserve">. </w:t>
      </w:r>
      <w:r w:rsidR="00D25F44">
        <w:t xml:space="preserve">Thus, the potential burden to the public is estimated to be close to 100 hours a year (12 companies X 8 hours= 96 hours). </w:t>
      </w:r>
    </w:p>
    <w:p w:rsidR="00D25F44" w:rsidRDefault="00D25F44" w:rsidP="00BB78AB">
      <w:pPr>
        <w:numPr>
          <w:ilvl w:val="12"/>
          <w:numId w:val="0"/>
        </w:numPr>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2"/>
        <w:gridCol w:w="2560"/>
        <w:gridCol w:w="2394"/>
        <w:gridCol w:w="1580"/>
      </w:tblGrid>
      <w:tr w:rsidR="001F52F3" w:rsidTr="00D91D0B">
        <w:tc>
          <w:tcPr>
            <w:tcW w:w="2682" w:type="dxa"/>
            <w:shd w:val="clear" w:color="auto" w:fill="FFFF99"/>
          </w:tcPr>
          <w:p w:rsidR="001F52F3" w:rsidRPr="00D91D0B" w:rsidRDefault="001F52F3" w:rsidP="00DB070F">
            <w:pPr>
              <w:ind w:left="360"/>
              <w:rPr>
                <w:rFonts w:ascii="Arial" w:hAnsi="Arial"/>
                <w:b/>
                <w:sz w:val="20"/>
              </w:rPr>
            </w:pPr>
            <w:r w:rsidRPr="00D91D0B">
              <w:rPr>
                <w:rFonts w:ascii="Arial" w:hAnsi="Arial"/>
                <w:b/>
                <w:sz w:val="20"/>
              </w:rPr>
              <w:t>Collection</w:t>
            </w:r>
          </w:p>
        </w:tc>
        <w:tc>
          <w:tcPr>
            <w:tcW w:w="2560" w:type="dxa"/>
            <w:shd w:val="clear" w:color="auto" w:fill="FFFF99"/>
          </w:tcPr>
          <w:p w:rsidR="001F52F3" w:rsidRPr="00D91D0B" w:rsidRDefault="001F52F3" w:rsidP="00DB070F">
            <w:pPr>
              <w:ind w:left="360"/>
              <w:rPr>
                <w:rFonts w:ascii="Arial" w:hAnsi="Arial"/>
                <w:b/>
                <w:sz w:val="20"/>
              </w:rPr>
            </w:pPr>
            <w:r w:rsidRPr="00D91D0B">
              <w:rPr>
                <w:rFonts w:ascii="Arial" w:hAnsi="Arial"/>
                <w:b/>
                <w:sz w:val="20"/>
              </w:rPr>
              <w:t>Number of Respondents</w:t>
            </w:r>
          </w:p>
        </w:tc>
        <w:tc>
          <w:tcPr>
            <w:tcW w:w="2394" w:type="dxa"/>
            <w:shd w:val="clear" w:color="auto" w:fill="FFFF99"/>
          </w:tcPr>
          <w:p w:rsidR="001F52F3" w:rsidRPr="00D91D0B" w:rsidRDefault="001F52F3" w:rsidP="00DB070F">
            <w:pPr>
              <w:ind w:left="360"/>
              <w:rPr>
                <w:rFonts w:ascii="Arial" w:hAnsi="Arial"/>
                <w:b/>
                <w:sz w:val="20"/>
              </w:rPr>
            </w:pPr>
            <w:r w:rsidRPr="00D91D0B">
              <w:rPr>
                <w:rFonts w:ascii="Arial" w:hAnsi="Arial"/>
                <w:b/>
                <w:sz w:val="20"/>
              </w:rPr>
              <w:t xml:space="preserve">Hour Burden for Collection </w:t>
            </w:r>
          </w:p>
        </w:tc>
        <w:tc>
          <w:tcPr>
            <w:tcW w:w="1580" w:type="dxa"/>
            <w:shd w:val="clear" w:color="auto" w:fill="FFFF99"/>
          </w:tcPr>
          <w:p w:rsidR="001F52F3" w:rsidRPr="00D91D0B" w:rsidRDefault="001F52F3" w:rsidP="00DB070F">
            <w:pPr>
              <w:ind w:left="360"/>
              <w:rPr>
                <w:rFonts w:ascii="Arial" w:hAnsi="Arial"/>
                <w:b/>
                <w:sz w:val="20"/>
              </w:rPr>
            </w:pPr>
            <w:r w:rsidRPr="00D91D0B">
              <w:rPr>
                <w:rFonts w:ascii="Arial" w:hAnsi="Arial"/>
                <w:b/>
                <w:sz w:val="20"/>
              </w:rPr>
              <w:t>Total Burden</w:t>
            </w:r>
          </w:p>
        </w:tc>
      </w:tr>
      <w:tr w:rsidR="001F52F3" w:rsidTr="001F52F3">
        <w:tc>
          <w:tcPr>
            <w:tcW w:w="2682" w:type="dxa"/>
          </w:tcPr>
          <w:p w:rsidR="001F52F3" w:rsidRDefault="001F52F3" w:rsidP="00DB070F">
            <w:pPr>
              <w:ind w:left="360"/>
            </w:pPr>
            <w:r>
              <w:t>PCSR (universe)</w:t>
            </w:r>
          </w:p>
        </w:tc>
        <w:tc>
          <w:tcPr>
            <w:tcW w:w="2560" w:type="dxa"/>
          </w:tcPr>
          <w:p w:rsidR="001F52F3" w:rsidRDefault="00172F66" w:rsidP="00DB070F">
            <w:pPr>
              <w:ind w:left="360"/>
            </w:pPr>
            <w:r>
              <w:t>2200</w:t>
            </w:r>
          </w:p>
        </w:tc>
        <w:tc>
          <w:tcPr>
            <w:tcW w:w="2394" w:type="dxa"/>
          </w:tcPr>
          <w:p w:rsidR="001F52F3" w:rsidRDefault="001F52F3" w:rsidP="00DB070F">
            <w:pPr>
              <w:ind w:left="360"/>
            </w:pPr>
            <w:r>
              <w:t>8</w:t>
            </w:r>
          </w:p>
        </w:tc>
        <w:tc>
          <w:tcPr>
            <w:tcW w:w="1580" w:type="dxa"/>
          </w:tcPr>
          <w:p w:rsidR="001F52F3" w:rsidRDefault="00172F66" w:rsidP="00DB070F">
            <w:pPr>
              <w:ind w:left="360"/>
            </w:pPr>
            <w:r>
              <w:t>17,600</w:t>
            </w:r>
            <w:r w:rsidR="001F52F3">
              <w:t xml:space="preserve"> hours</w:t>
            </w:r>
          </w:p>
        </w:tc>
      </w:tr>
      <w:tr w:rsidR="001F52F3" w:rsidTr="001F52F3">
        <w:tc>
          <w:tcPr>
            <w:tcW w:w="2682" w:type="dxa"/>
          </w:tcPr>
          <w:p w:rsidR="001F52F3" w:rsidRDefault="001F52F3" w:rsidP="00DB070F">
            <w:pPr>
              <w:ind w:left="360"/>
            </w:pPr>
            <w:r>
              <w:t xml:space="preserve">PCSR </w:t>
            </w:r>
            <w:r w:rsidR="00263F3D">
              <w:t>(annual)</w:t>
            </w:r>
          </w:p>
        </w:tc>
        <w:tc>
          <w:tcPr>
            <w:tcW w:w="2560" w:type="dxa"/>
          </w:tcPr>
          <w:p w:rsidR="001F52F3" w:rsidRDefault="001F52F3" w:rsidP="00DB070F">
            <w:pPr>
              <w:ind w:left="360"/>
            </w:pPr>
            <w:r>
              <w:t>12</w:t>
            </w:r>
          </w:p>
        </w:tc>
        <w:tc>
          <w:tcPr>
            <w:tcW w:w="2394" w:type="dxa"/>
          </w:tcPr>
          <w:p w:rsidR="001F52F3" w:rsidRDefault="001F52F3" w:rsidP="00DB070F">
            <w:pPr>
              <w:ind w:left="360"/>
            </w:pPr>
            <w:r>
              <w:t>8</w:t>
            </w:r>
          </w:p>
        </w:tc>
        <w:tc>
          <w:tcPr>
            <w:tcW w:w="1580" w:type="dxa"/>
          </w:tcPr>
          <w:p w:rsidR="001F52F3" w:rsidRDefault="0068239D" w:rsidP="0068239D">
            <w:pPr>
              <w:ind w:left="360"/>
            </w:pPr>
            <w:r>
              <w:t>96</w:t>
            </w:r>
            <w:r w:rsidR="00263F3D">
              <w:t xml:space="preserve"> hours</w:t>
            </w:r>
          </w:p>
        </w:tc>
      </w:tr>
    </w:tbl>
    <w:p w:rsidR="00D25F44" w:rsidRDefault="00D25F44" w:rsidP="00BB78AB">
      <w:pPr>
        <w:numPr>
          <w:ilvl w:val="12"/>
          <w:numId w:val="0"/>
        </w:numPr>
        <w:ind w:left="360"/>
      </w:pPr>
    </w:p>
    <w:p w:rsidR="00D25F44" w:rsidRDefault="00D25F44" w:rsidP="00BB78AB">
      <w:pPr>
        <w:numPr>
          <w:ilvl w:val="12"/>
          <w:numId w:val="0"/>
        </w:numPr>
        <w:ind w:left="360"/>
      </w:pPr>
    </w:p>
    <w:p w:rsidR="009F2633" w:rsidRDefault="009F2633" w:rsidP="004A62EB">
      <w:pPr>
        <w:numPr>
          <w:ilvl w:val="0"/>
          <w:numId w:val="11"/>
        </w:numPr>
        <w:rPr>
          <w:b/>
          <w:i/>
        </w:rPr>
      </w:pPr>
      <w:r>
        <w:rPr>
          <w:b/>
          <w:i/>
        </w:rPr>
        <w:t>Provide an estimate of the total annual cost burden to respondents or recordkeepers resulting from the collection of information.</w:t>
      </w:r>
      <w:r w:rsidR="005623A8">
        <w:rPr>
          <w:b/>
          <w:i/>
        </w:rPr>
        <w:t xml:space="preserve">  </w:t>
      </w:r>
      <w:r w:rsidR="005623A8" w:rsidRPr="005623A8">
        <w:rPr>
          <w:b/>
          <w:i/>
        </w:rPr>
        <w:t>(Do not include the cost of any hour burden shown in Items 12 and 14).</w:t>
      </w:r>
    </w:p>
    <w:p w:rsidR="009F2633" w:rsidRDefault="009F2633" w:rsidP="00BB78AB">
      <w:pPr>
        <w:keepNext/>
        <w:numPr>
          <w:ilvl w:val="12"/>
          <w:numId w:val="0"/>
        </w:numPr>
        <w:ind w:left="360"/>
      </w:pPr>
    </w:p>
    <w:p w:rsidR="001F0E83" w:rsidRDefault="001F0E83" w:rsidP="001F0E83">
      <w:pPr>
        <w:ind w:left="360"/>
      </w:pPr>
      <w:r>
        <w:t>When a Corporate Security Review takes place, the operator's security operations manager is the usual participant.  A security operations manager at a pipeline company makes a median hourly salary of $53.88/hr (U.S. Department of Labor, Bureau of Labor Statistics, North American Industry Classification System</w:t>
      </w:r>
      <w:r w:rsidR="00FF542B">
        <w:t xml:space="preserve"> (NAICS)</w:t>
      </w:r>
      <w:r>
        <w:t>, 486000-Pipeline Transportation, May 2009</w:t>
      </w:r>
      <w:r w:rsidR="00FF542B">
        <w:t>)</w:t>
      </w:r>
      <w:r>
        <w:t xml:space="preserve">. </w:t>
      </w:r>
    </w:p>
    <w:p w:rsidR="001F0E83" w:rsidRDefault="001F0E83" w:rsidP="001F0E83"/>
    <w:p w:rsidR="001F0E83" w:rsidRDefault="001F0E83" w:rsidP="001F0E83">
      <w:pPr>
        <w:ind w:left="360"/>
      </w:pPr>
      <w:r>
        <w:t xml:space="preserve">As such, the opportunity costs associated with the collection for a pipeline operator participating in a CSR equals the following: </w:t>
      </w:r>
    </w:p>
    <w:p w:rsidR="001F0E83" w:rsidRDefault="001F0E83" w:rsidP="001F0E83"/>
    <w:p w:rsidR="001F0E83" w:rsidRDefault="001F0E83" w:rsidP="001F0E83">
      <w:pPr>
        <w:ind w:firstLine="360"/>
      </w:pPr>
      <w:r>
        <w:t>$44.55 x 8.33 hours= $923.04 in opportunity cost associated with each CSR collection.</w:t>
      </w:r>
    </w:p>
    <w:p w:rsidR="001F0E83" w:rsidRDefault="001F0E83" w:rsidP="001F0E83">
      <w:pPr>
        <w:ind w:firstLine="360"/>
      </w:pPr>
    </w:p>
    <w:p w:rsidR="001F0E83" w:rsidRDefault="001F0E83" w:rsidP="001F0E83">
      <w:pPr>
        <w:ind w:firstLine="360"/>
      </w:pPr>
      <w:r>
        <w:t>Total Annual Cost: $923.04 X 12=</w:t>
      </w:r>
      <w:r w:rsidR="00FA4D84">
        <w:t>$11,076.48.</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CB065A">
      <w:pPr>
        <w:keepNext/>
        <w:numPr>
          <w:ilvl w:val="0"/>
          <w:numId w:val="25"/>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65606" w:rsidRDefault="00965606" w:rsidP="00965606">
      <w:pPr>
        <w:ind w:left="360"/>
      </w:pPr>
    </w:p>
    <w:p w:rsidR="00965606" w:rsidRDefault="00965606" w:rsidP="00965606">
      <w:pPr>
        <w:ind w:left="360"/>
      </w:pPr>
      <w:r>
        <w:t xml:space="preserve">A Pipeline Corporate Security Review is conducted by 3 representatives from TSA- 1 government manager and 2 government analysts.  Each review takes approximately 8 man hours. This totals 24 total labor hours across all three government employees. </w:t>
      </w:r>
    </w:p>
    <w:p w:rsidR="00965606" w:rsidRDefault="00965606" w:rsidP="00965606"/>
    <w:p w:rsidR="00965606" w:rsidRDefault="00965606" w:rsidP="00965606">
      <w:pPr>
        <w:ind w:left="360"/>
      </w:pPr>
      <w:r>
        <w:t xml:space="preserve">Once the review is conducted, an additional 4 days of labor  is devoted to completing the form. This labor is split fairly equally between the government manager and the 2 government analysts. This accounts for another 32 labor hours across all three government employees. </w:t>
      </w:r>
    </w:p>
    <w:p w:rsidR="00965606" w:rsidRDefault="00965606" w:rsidP="00965606"/>
    <w:p w:rsidR="00965606" w:rsidRDefault="00965606" w:rsidP="00965606">
      <w:pPr>
        <w:ind w:left="360"/>
      </w:pPr>
      <w:r>
        <w:lastRenderedPageBreak/>
        <w:t xml:space="preserve">According to U.S. Department of Labor, Bureau of Labor Statistics, NAICS, 999000 - Federal, State, and Local Government, May 2009,  the average median hourly salary of each of the following occupations is as follows: </w:t>
      </w:r>
    </w:p>
    <w:p w:rsidR="00965606" w:rsidRDefault="00965606" w:rsidP="00965606"/>
    <w:p w:rsidR="00965606" w:rsidRDefault="00965606" w:rsidP="00965606">
      <w:pPr>
        <w:ind w:firstLine="360"/>
      </w:pPr>
      <w:r>
        <w:t>Government Analysts= $36.18</w:t>
      </w:r>
    </w:p>
    <w:p w:rsidR="00965606" w:rsidRDefault="00965606" w:rsidP="00965606">
      <w:pPr>
        <w:ind w:firstLine="360"/>
      </w:pPr>
      <w:r>
        <w:t>Government Manager-$44.55</w:t>
      </w:r>
    </w:p>
    <w:p w:rsidR="00965606" w:rsidRDefault="00965606" w:rsidP="00965606"/>
    <w:p w:rsidR="00965606" w:rsidRDefault="00965606" w:rsidP="00965606">
      <w:pPr>
        <w:ind w:left="360"/>
      </w:pPr>
      <w:r>
        <w:t xml:space="preserve">Additionally, there travel costs to account for in the conduct of each review. Approximately $1200.00 is allocated for each review, per each employee. </w:t>
      </w:r>
    </w:p>
    <w:p w:rsidR="00965606" w:rsidRDefault="00965606" w:rsidP="00965606"/>
    <w:p w:rsidR="00965606" w:rsidRDefault="00965606" w:rsidP="00965606">
      <w:pPr>
        <w:ind w:firstLine="360"/>
      </w:pPr>
      <w:r>
        <w:t xml:space="preserve">Total opportunity costs to the government equal the following: </w:t>
      </w:r>
    </w:p>
    <w:p w:rsidR="00965606" w:rsidRDefault="00965606" w:rsidP="00965606"/>
    <w:p w:rsidR="00965606" w:rsidRDefault="00965606" w:rsidP="00FF542B">
      <w:pPr>
        <w:numPr>
          <w:ilvl w:val="0"/>
          <w:numId w:val="28"/>
        </w:numPr>
      </w:pPr>
      <w:r>
        <w:t>$1200 travel cost x 3 TSA employees= $3600 in travel/per review</w:t>
      </w:r>
    </w:p>
    <w:p w:rsidR="00965606" w:rsidRDefault="00965606" w:rsidP="00FF542B">
      <w:pPr>
        <w:numPr>
          <w:ilvl w:val="0"/>
          <w:numId w:val="28"/>
        </w:numPr>
      </w:pPr>
      <w:r>
        <w:t xml:space="preserve">Total labor hours devoted to each review = 56 government labor hours </w:t>
      </w:r>
    </w:p>
    <w:p w:rsidR="00965606" w:rsidRDefault="00965606" w:rsidP="00FF542B">
      <w:pPr>
        <w:numPr>
          <w:ilvl w:val="0"/>
          <w:numId w:val="28"/>
        </w:numPr>
      </w:pPr>
      <w:r>
        <w:t>18.66 government</w:t>
      </w:r>
      <w:r w:rsidR="00FF542B">
        <w:t xml:space="preserve"> management</w:t>
      </w:r>
      <w:r>
        <w:t xml:space="preserve"> labor hours x $44.55= $831.30 in opportunity costs associated with each  CSR</w:t>
      </w:r>
    </w:p>
    <w:p w:rsidR="00965606" w:rsidRDefault="00965606" w:rsidP="00FF542B">
      <w:pPr>
        <w:numPr>
          <w:ilvl w:val="0"/>
          <w:numId w:val="28"/>
        </w:numPr>
      </w:pPr>
      <w:r>
        <w:t>37.33 -government analysts labor hours x $36.18= $1350.60 in opportunity costs associated with each CSR</w:t>
      </w:r>
    </w:p>
    <w:p w:rsidR="00965606" w:rsidRDefault="00965606" w:rsidP="00965606">
      <w:pPr>
        <w:ind w:left="360"/>
      </w:pPr>
    </w:p>
    <w:p w:rsidR="00965606" w:rsidRDefault="00965606" w:rsidP="007F0914">
      <w:pPr>
        <w:ind w:left="360"/>
      </w:pPr>
      <w:r>
        <w:t>Travel-</w:t>
      </w:r>
      <w:r w:rsidR="007F0914">
        <w:tab/>
      </w:r>
      <w:r w:rsidR="007F0914">
        <w:tab/>
        <w:t xml:space="preserve">      </w:t>
      </w:r>
      <w:r w:rsidR="007F0914">
        <w:tab/>
        <w:t xml:space="preserve"> $</w:t>
      </w:r>
      <w:r>
        <w:t xml:space="preserve"> </w:t>
      </w:r>
      <w:r w:rsidR="00FF542B">
        <w:t xml:space="preserve">3600 </w:t>
      </w:r>
      <w:r>
        <w:t>X 12</w:t>
      </w:r>
      <w:r w:rsidR="007F0914">
        <w:t>=    $</w:t>
      </w:r>
      <w:r w:rsidR="00FF542B">
        <w:t>43,200.00</w:t>
      </w:r>
    </w:p>
    <w:p w:rsidR="007F0914" w:rsidRDefault="007F0914" w:rsidP="00965606">
      <w:pPr>
        <w:ind w:left="360"/>
      </w:pPr>
      <w:r>
        <w:t>Government Manager-</w:t>
      </w:r>
      <w:r>
        <w:tab/>
        <w:t xml:space="preserve"> $831.30 X12=   $9,975.6</w:t>
      </w:r>
      <w:r w:rsidR="00FF542B">
        <w:t>0</w:t>
      </w:r>
    </w:p>
    <w:p w:rsidR="007F0914" w:rsidRDefault="007F0914" w:rsidP="007F0914">
      <w:pPr>
        <w:ind w:firstLine="360"/>
      </w:pPr>
      <w:r>
        <w:t>2 Government Analysts -</w:t>
      </w:r>
      <w:r>
        <w:tab/>
        <w:t xml:space="preserve"> $1350.60 X12= $16,207.2</w:t>
      </w:r>
      <w:r w:rsidR="00FF542B">
        <w:t>0</w:t>
      </w:r>
    </w:p>
    <w:p w:rsidR="007F0914" w:rsidRDefault="007F0914" w:rsidP="00965606">
      <w:pPr>
        <w:ind w:left="360"/>
      </w:pPr>
    </w:p>
    <w:p w:rsidR="009F2633" w:rsidRDefault="007F0914" w:rsidP="00BB78AB">
      <w:pPr>
        <w:keepNext/>
        <w:numPr>
          <w:ilvl w:val="12"/>
          <w:numId w:val="0"/>
        </w:numPr>
        <w:ind w:left="360"/>
      </w:pPr>
      <w:r>
        <w:t>Total Government Annual Government Cost- $</w:t>
      </w:r>
      <w:r w:rsidR="00FF542B">
        <w:t>69,389.80</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CB065A">
      <w:pPr>
        <w:keepNext/>
        <w:numPr>
          <w:ilvl w:val="0"/>
          <w:numId w:val="25"/>
        </w:numPr>
        <w:tabs>
          <w:tab w:val="left" w:pos="360"/>
        </w:tabs>
        <w:rPr>
          <w:b/>
          <w:i/>
        </w:rPr>
      </w:pPr>
      <w:r>
        <w:rPr>
          <w:b/>
          <w:i/>
        </w:rPr>
        <w:t>Explain the reasons for any program changes or adjustments reported in Items 13 or 14 of the OMB Form 83-I.</w:t>
      </w:r>
    </w:p>
    <w:p w:rsidR="009F2633" w:rsidRDefault="009F2633" w:rsidP="00BB78AB">
      <w:pPr>
        <w:keepNext/>
        <w:numPr>
          <w:ilvl w:val="12"/>
          <w:numId w:val="0"/>
        </w:numPr>
        <w:ind w:left="360"/>
      </w:pPr>
    </w:p>
    <w:p w:rsidR="009F2633" w:rsidRDefault="00597505" w:rsidP="00BB78AB">
      <w:pPr>
        <w:numPr>
          <w:ilvl w:val="12"/>
          <w:numId w:val="0"/>
        </w:numPr>
        <w:ind w:left="360"/>
      </w:pPr>
      <w:r>
        <w:t xml:space="preserve">This is a new collection. </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CB065A">
      <w:pPr>
        <w:keepNext/>
        <w:numPr>
          <w:ilvl w:val="0"/>
          <w:numId w:val="25"/>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RDefault="009F2633" w:rsidP="00BB78AB">
      <w:pPr>
        <w:keepNext/>
        <w:numPr>
          <w:ilvl w:val="12"/>
          <w:numId w:val="0"/>
        </w:numPr>
        <w:ind w:left="360"/>
      </w:pPr>
    </w:p>
    <w:p w:rsidR="009F2633" w:rsidRDefault="00597505" w:rsidP="00BB78AB">
      <w:pPr>
        <w:numPr>
          <w:ilvl w:val="12"/>
          <w:numId w:val="0"/>
        </w:numPr>
        <w:ind w:left="360"/>
      </w:pPr>
      <w:r>
        <w:t>Operator security information collected during the PCSR will not be published</w:t>
      </w:r>
      <w:r w:rsidR="00263F3D">
        <w:t xml:space="preserve"> or shared</w:t>
      </w:r>
      <w:r>
        <w:t xml:space="preserve">. </w:t>
      </w:r>
      <w:r w:rsidR="0043723F">
        <w:t>To the extent i</w:t>
      </w:r>
      <w:r>
        <w:t xml:space="preserve">nformation collected via the PCSR process is considered to be </w:t>
      </w:r>
      <w:r w:rsidR="0043723F">
        <w:t>S</w:t>
      </w:r>
      <w:r>
        <w:t>SI,</w:t>
      </w:r>
      <w:r w:rsidR="0043723F">
        <w:t xml:space="preserve"> it will be</w:t>
      </w:r>
      <w:r>
        <w:t xml:space="preserve"> protected from disclosure and publication, and will be handled as described in 49 CFR Parts 15 and 1520. </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CB065A">
      <w:pPr>
        <w:keepNext/>
        <w:numPr>
          <w:ilvl w:val="0"/>
          <w:numId w:val="25"/>
        </w:numPr>
        <w:tabs>
          <w:tab w:val="left" w:pos="360"/>
        </w:tabs>
        <w:rPr>
          <w:b/>
          <w:i/>
        </w:rPr>
      </w:pPr>
      <w:r>
        <w:rPr>
          <w:b/>
          <w:i/>
        </w:rPr>
        <w:t>If seeking approval to not display the expiration date for OMB approval of the information collection, explain the reasons that display would be inappropriate.</w:t>
      </w:r>
    </w:p>
    <w:p w:rsidR="009F2633" w:rsidRDefault="009F2633" w:rsidP="00BB78AB">
      <w:pPr>
        <w:keepNext/>
        <w:numPr>
          <w:ilvl w:val="12"/>
          <w:numId w:val="0"/>
        </w:numPr>
        <w:ind w:left="360"/>
      </w:pPr>
    </w:p>
    <w:p w:rsidR="009F2633" w:rsidRDefault="00597505" w:rsidP="00BB78AB">
      <w:pPr>
        <w:numPr>
          <w:ilvl w:val="12"/>
          <w:numId w:val="0"/>
        </w:numPr>
        <w:ind w:left="360"/>
      </w:pPr>
      <w:r>
        <w:t>Not applicable.</w:t>
      </w:r>
    </w:p>
    <w:p w:rsidR="009F2633" w:rsidRDefault="009F2633" w:rsidP="00BB78AB">
      <w:pPr>
        <w:numPr>
          <w:ilvl w:val="12"/>
          <w:numId w:val="0"/>
        </w:numPr>
        <w:tabs>
          <w:tab w:val="left" w:pos="360"/>
        </w:tabs>
      </w:pPr>
    </w:p>
    <w:p w:rsidR="009F2633" w:rsidRDefault="009F2633" w:rsidP="00CB065A">
      <w:pPr>
        <w:keepNext/>
        <w:numPr>
          <w:ilvl w:val="0"/>
          <w:numId w:val="25"/>
        </w:numPr>
        <w:tabs>
          <w:tab w:val="left" w:pos="360"/>
        </w:tabs>
        <w:rPr>
          <w:b/>
          <w:i/>
        </w:rPr>
      </w:pPr>
      <w:r>
        <w:rPr>
          <w:b/>
          <w:i/>
        </w:rPr>
        <w:lastRenderedPageBreak/>
        <w:t>Explain each exception to the certification statement identified in Item 19, “Certification for Paperwork Reduction Act Submissions,” of OMB Form 83-I.</w:t>
      </w:r>
    </w:p>
    <w:p w:rsidR="009F2633" w:rsidRDefault="009F2633" w:rsidP="00BB78AB">
      <w:pPr>
        <w:keepNext/>
        <w:numPr>
          <w:ilvl w:val="12"/>
          <w:numId w:val="0"/>
        </w:numPr>
        <w:ind w:left="360"/>
      </w:pPr>
    </w:p>
    <w:p w:rsidR="009F2633" w:rsidRDefault="00597505" w:rsidP="00BB78AB">
      <w:pPr>
        <w:numPr>
          <w:ilvl w:val="12"/>
          <w:numId w:val="0"/>
        </w:numPr>
        <w:ind w:left="360"/>
      </w:pPr>
      <w:r>
        <w:t xml:space="preserve">No exceptions noted. </w:t>
      </w:r>
    </w:p>
    <w:p w:rsidR="009F2633" w:rsidRPr="008167AF" w:rsidRDefault="009F2633" w:rsidP="008167AF"/>
    <w:sectPr w:rsidR="009F2633" w:rsidRPr="008167AF" w:rsidSect="009F263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614" w:rsidRDefault="00733614">
      <w:r>
        <w:separator/>
      </w:r>
    </w:p>
  </w:endnote>
  <w:endnote w:type="continuationSeparator" w:id="0">
    <w:p w:rsidR="00733614" w:rsidRDefault="007336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4D" w:rsidRDefault="00B67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0AD" w:rsidRPr="009F2633" w:rsidRDefault="001120AD">
    <w:pPr>
      <w:pStyle w:val="Foote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0AD" w:rsidRPr="00B55414" w:rsidRDefault="001120AD">
    <w:pPr>
      <w:tabs>
        <w:tab w:val="left" w:pos="0"/>
        <w:tab w:val="right" w:pos="6984"/>
        <w:tab w:val="left" w:pos="7034"/>
      </w:tabs>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614" w:rsidRDefault="00733614">
      <w:r>
        <w:separator/>
      </w:r>
    </w:p>
  </w:footnote>
  <w:footnote w:type="continuationSeparator" w:id="0">
    <w:p w:rsidR="00733614" w:rsidRDefault="007336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4D" w:rsidRDefault="00B673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0AD" w:rsidRDefault="004804F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1120AD">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34BA3">
      <w:rPr>
        <w:rStyle w:val="PageNumber"/>
        <w:rFonts w:ascii="Times New Roman" w:hAnsi="Times New Roman"/>
        <w:noProof/>
        <w:sz w:val="24"/>
      </w:rPr>
      <w:t>5</w:t>
    </w:r>
    <w:r>
      <w:rPr>
        <w:rStyle w:val="PageNumber"/>
        <w:rFonts w:ascii="Times New Roman" w:hAnsi="Times New Roman"/>
        <w:sz w:val="24"/>
      </w:rPr>
      <w:fldChar w:fldCharType="end"/>
    </w:r>
  </w:p>
  <w:p w:rsidR="001120AD" w:rsidRPr="00320387" w:rsidRDefault="001120AD">
    <w:pPr>
      <w:pStyle w:val="Header"/>
      <w:keepLines w:val="0"/>
      <w:spacing w:line="240" w:lineRule="auto"/>
      <w:ind w:left="0"/>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0AD" w:rsidRDefault="001120AD">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1120AD" w:rsidRDefault="001120AD">
    <w:pPr>
      <w:jc w:val="center"/>
      <w:rPr>
        <w:rFonts w:cs="Times New Roman"/>
        <w:b/>
        <w:sz w:val="28"/>
      </w:rPr>
    </w:pPr>
  </w:p>
  <w:p w:rsidR="001120AD" w:rsidRDefault="001120AD">
    <w:pPr>
      <w:jc w:val="center"/>
      <w:rPr>
        <w:rFonts w:cs="Times New Roman"/>
        <w:b/>
        <w:sz w:val="28"/>
      </w:rPr>
    </w:pPr>
    <w:r>
      <w:rPr>
        <w:rFonts w:cs="Times New Roman"/>
        <w:b/>
        <w:sz w:val="28"/>
      </w:rPr>
      <w:t xml:space="preserve">Pipeline Corporate Security Review (PCSR) </w:t>
    </w:r>
  </w:p>
  <w:p w:rsidR="001120AD" w:rsidRDefault="001120AD">
    <w:pPr>
      <w:jc w:val="center"/>
      <w:rPr>
        <w:rFonts w:cs="Times New Roman"/>
        <w:b/>
        <w:sz w:val="28"/>
      </w:rPr>
    </w:pPr>
  </w:p>
  <w:p w:rsidR="001120AD" w:rsidRDefault="001120AD" w:rsidP="009F2633">
    <w:pPr>
      <w:pStyle w:val="Header"/>
      <w:keepLines w:val="0"/>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AF86D66"/>
    <w:multiLevelType w:val="hybridMultilevel"/>
    <w:tmpl w:val="7F40376E"/>
    <w:lvl w:ilvl="0" w:tplc="3A867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227F19AE"/>
    <w:multiLevelType w:val="hybridMultilevel"/>
    <w:tmpl w:val="DD42C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858F5"/>
    <w:multiLevelType w:val="hybridMultilevel"/>
    <w:tmpl w:val="CEE475D0"/>
    <w:lvl w:ilvl="0" w:tplc="7306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3420E8"/>
    <w:multiLevelType w:val="hybridMultilevel"/>
    <w:tmpl w:val="260AB058"/>
    <w:lvl w:ilvl="0" w:tplc="E14496F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4885BFE"/>
    <w:multiLevelType w:val="hybridMultilevel"/>
    <w:tmpl w:val="C912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4D5620BC"/>
    <w:multiLevelType w:val="singleLevel"/>
    <w:tmpl w:val="0409000F"/>
    <w:lvl w:ilvl="0">
      <w:start w:val="1"/>
      <w:numFmt w:val="decimal"/>
      <w:lvlText w:val="%1."/>
      <w:lvlJc w:val="left"/>
      <w:pPr>
        <w:tabs>
          <w:tab w:val="num" w:pos="360"/>
        </w:tabs>
        <w:ind w:left="360" w:hanging="360"/>
      </w:pPr>
    </w:lvl>
  </w:abstractNum>
  <w:abstractNum w:abstractNumId="20">
    <w:nsid w:val="4F9B37B6"/>
    <w:multiLevelType w:val="singleLevel"/>
    <w:tmpl w:val="0409000F"/>
    <w:lvl w:ilvl="0">
      <w:start w:val="1"/>
      <w:numFmt w:val="decimal"/>
      <w:lvlText w:val="%1."/>
      <w:lvlJc w:val="left"/>
      <w:pPr>
        <w:tabs>
          <w:tab w:val="num" w:pos="360"/>
        </w:tabs>
        <w:ind w:left="360" w:hanging="360"/>
      </w:pPr>
    </w:lvl>
  </w:abstractNum>
  <w:abstractNum w:abstractNumId="21">
    <w:nsid w:val="64A9756E"/>
    <w:multiLevelType w:val="hybridMultilevel"/>
    <w:tmpl w:val="8DF4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3">
    <w:nsid w:val="7A5C6986"/>
    <w:multiLevelType w:val="singleLevel"/>
    <w:tmpl w:val="0409000F"/>
    <w:lvl w:ilvl="0">
      <w:start w:val="1"/>
      <w:numFmt w:val="decimal"/>
      <w:lvlText w:val="%1."/>
      <w:lvlJc w:val="left"/>
      <w:pPr>
        <w:tabs>
          <w:tab w:val="num" w:pos="360"/>
        </w:tabs>
        <w:ind w:left="360" w:hanging="360"/>
      </w:pPr>
    </w:lvl>
  </w:abstractNum>
  <w:abstractNum w:abstractNumId="24">
    <w:nsid w:val="7AA85F46"/>
    <w:multiLevelType w:val="singleLevel"/>
    <w:tmpl w:val="0409001B"/>
    <w:lvl w:ilvl="0">
      <w:start w:val="1"/>
      <w:numFmt w:val="lowerRoman"/>
      <w:lvlText w:val="%1."/>
      <w:lvlJc w:val="right"/>
      <w:pPr>
        <w:tabs>
          <w:tab w:val="num" w:pos="504"/>
        </w:tabs>
        <w:ind w:left="504" w:hanging="216"/>
      </w:pPr>
    </w:lvl>
  </w:abstractNum>
  <w:abstractNum w:abstractNumId="25">
    <w:nsid w:val="7BBB0034"/>
    <w:multiLevelType w:val="singleLevel"/>
    <w:tmpl w:val="01AA2A8A"/>
    <w:lvl w:ilvl="0">
      <w:numFmt w:val="decimal"/>
      <w:lvlText w:val="%1"/>
      <w:legacy w:legacy="1" w:legacySpace="0" w:legacyIndent="0"/>
      <w:lvlJc w:val="left"/>
    </w:lvl>
  </w:abstractNum>
  <w:abstractNum w:abstractNumId="26">
    <w:nsid w:val="7C7019C5"/>
    <w:multiLevelType w:val="multilevel"/>
    <w:tmpl w:val="8AC2963C"/>
    <w:lvl w:ilvl="0">
      <w:start w:val="37"/>
      <w:numFmt w:val="decimal"/>
      <w:lvlText w:val="%1"/>
      <w:lvlJc w:val="left"/>
      <w:pPr>
        <w:ind w:left="480" w:hanging="480"/>
      </w:pPr>
    </w:lvl>
    <w:lvl w:ilvl="1">
      <w:start w:val="3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5"/>
  </w:num>
  <w:num w:numId="13">
    <w:abstractNumId w:val="24"/>
  </w:num>
  <w:num w:numId="14">
    <w:abstractNumId w:val="12"/>
  </w:num>
  <w:num w:numId="15">
    <w:abstractNumId w:val="16"/>
  </w:num>
  <w:num w:numId="16">
    <w:abstractNumId w:val="18"/>
  </w:num>
  <w:num w:numId="17">
    <w:abstractNumId w:val="22"/>
  </w:num>
  <w:num w:numId="18">
    <w:abstractNumId w:val="19"/>
  </w:num>
  <w:num w:numId="19">
    <w:abstractNumId w:val="27"/>
  </w:num>
  <w:num w:numId="20">
    <w:abstractNumId w:val="20"/>
  </w:num>
  <w:num w:numId="21">
    <w:abstractNumId w:val="23"/>
  </w:num>
  <w:num w:numId="22">
    <w:abstractNumId w:val="14"/>
  </w:num>
  <w:num w:numId="23">
    <w:abstractNumId w:val="21"/>
  </w:num>
  <w:num w:numId="24">
    <w:abstractNumId w:val="13"/>
  </w:num>
  <w:num w:numId="25">
    <w:abstractNumId w:val="15"/>
  </w:num>
  <w:num w:numId="26">
    <w:abstractNumId w:val="10"/>
  </w:num>
  <w:num w:numId="27">
    <w:abstractNumId w:val="26"/>
    <w:lvlOverride w:ilvl="0">
      <w:startOverride w:val="37"/>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rawingGridHorizontalSpacing w:val="120"/>
  <w:displayHorizontalDrawingGridEvery w:val="2"/>
  <w:displayVertic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A22ED4"/>
    <w:rsid w:val="00004608"/>
    <w:rsid w:val="00035DBD"/>
    <w:rsid w:val="00052A07"/>
    <w:rsid w:val="00070451"/>
    <w:rsid w:val="000F0CC5"/>
    <w:rsid w:val="0011067F"/>
    <w:rsid w:val="001120AD"/>
    <w:rsid w:val="001248CC"/>
    <w:rsid w:val="00132DB6"/>
    <w:rsid w:val="00166937"/>
    <w:rsid w:val="00172F66"/>
    <w:rsid w:val="0017334A"/>
    <w:rsid w:val="0018363D"/>
    <w:rsid w:val="001E357A"/>
    <w:rsid w:val="001F0623"/>
    <w:rsid w:val="001F0E83"/>
    <w:rsid w:val="001F52F3"/>
    <w:rsid w:val="00242FEB"/>
    <w:rsid w:val="002616CD"/>
    <w:rsid w:val="00263F3D"/>
    <w:rsid w:val="00272AE2"/>
    <w:rsid w:val="00295A9D"/>
    <w:rsid w:val="00312258"/>
    <w:rsid w:val="00323088"/>
    <w:rsid w:val="003A3950"/>
    <w:rsid w:val="003B5661"/>
    <w:rsid w:val="003C0E45"/>
    <w:rsid w:val="003F493E"/>
    <w:rsid w:val="00436323"/>
    <w:rsid w:val="0043723F"/>
    <w:rsid w:val="00446AC8"/>
    <w:rsid w:val="004804FE"/>
    <w:rsid w:val="004A2391"/>
    <w:rsid w:val="004A62EB"/>
    <w:rsid w:val="004B7902"/>
    <w:rsid w:val="004D71EC"/>
    <w:rsid w:val="004F38D9"/>
    <w:rsid w:val="004F5BF9"/>
    <w:rsid w:val="00515651"/>
    <w:rsid w:val="005623A8"/>
    <w:rsid w:val="00597505"/>
    <w:rsid w:val="005F783B"/>
    <w:rsid w:val="006128B5"/>
    <w:rsid w:val="00653F33"/>
    <w:rsid w:val="00666347"/>
    <w:rsid w:val="0068239D"/>
    <w:rsid w:val="006835A3"/>
    <w:rsid w:val="006B41E6"/>
    <w:rsid w:val="006E160F"/>
    <w:rsid w:val="0072330F"/>
    <w:rsid w:val="00733614"/>
    <w:rsid w:val="007349CF"/>
    <w:rsid w:val="00745010"/>
    <w:rsid w:val="007631FC"/>
    <w:rsid w:val="00780D1E"/>
    <w:rsid w:val="007D7A62"/>
    <w:rsid w:val="007E7433"/>
    <w:rsid w:val="007F0914"/>
    <w:rsid w:val="008167AF"/>
    <w:rsid w:val="00867BB8"/>
    <w:rsid w:val="008744FD"/>
    <w:rsid w:val="00890BBB"/>
    <w:rsid w:val="008C46C0"/>
    <w:rsid w:val="009107A4"/>
    <w:rsid w:val="009516AE"/>
    <w:rsid w:val="00954644"/>
    <w:rsid w:val="00955937"/>
    <w:rsid w:val="00965606"/>
    <w:rsid w:val="009B1911"/>
    <w:rsid w:val="009E04A6"/>
    <w:rsid w:val="009F2633"/>
    <w:rsid w:val="00A0594F"/>
    <w:rsid w:val="00A22ED4"/>
    <w:rsid w:val="00A25C8F"/>
    <w:rsid w:val="00A3312A"/>
    <w:rsid w:val="00A6613C"/>
    <w:rsid w:val="00A75ED2"/>
    <w:rsid w:val="00A86A6A"/>
    <w:rsid w:val="00AC28AB"/>
    <w:rsid w:val="00AE74A9"/>
    <w:rsid w:val="00B471A4"/>
    <w:rsid w:val="00B545FC"/>
    <w:rsid w:val="00B55414"/>
    <w:rsid w:val="00B5796A"/>
    <w:rsid w:val="00B6734D"/>
    <w:rsid w:val="00B94280"/>
    <w:rsid w:val="00BB78AB"/>
    <w:rsid w:val="00BF4FEE"/>
    <w:rsid w:val="00C359B0"/>
    <w:rsid w:val="00C6698A"/>
    <w:rsid w:val="00CB065A"/>
    <w:rsid w:val="00CC37D5"/>
    <w:rsid w:val="00CC5B46"/>
    <w:rsid w:val="00CD57D8"/>
    <w:rsid w:val="00D00E97"/>
    <w:rsid w:val="00D25F44"/>
    <w:rsid w:val="00D34BA3"/>
    <w:rsid w:val="00D3603A"/>
    <w:rsid w:val="00D50A1B"/>
    <w:rsid w:val="00D53B20"/>
    <w:rsid w:val="00D542A4"/>
    <w:rsid w:val="00D54B77"/>
    <w:rsid w:val="00D60E67"/>
    <w:rsid w:val="00D75BDE"/>
    <w:rsid w:val="00D91D0B"/>
    <w:rsid w:val="00D950CE"/>
    <w:rsid w:val="00D95493"/>
    <w:rsid w:val="00DA0674"/>
    <w:rsid w:val="00DB070F"/>
    <w:rsid w:val="00DC2F31"/>
    <w:rsid w:val="00DD16FF"/>
    <w:rsid w:val="00E01CC5"/>
    <w:rsid w:val="00E1746F"/>
    <w:rsid w:val="00EA6B42"/>
    <w:rsid w:val="00EB2EAC"/>
    <w:rsid w:val="00EC3BCD"/>
    <w:rsid w:val="00EC71C5"/>
    <w:rsid w:val="00F5369B"/>
    <w:rsid w:val="00F56744"/>
    <w:rsid w:val="00F81CF8"/>
    <w:rsid w:val="00FA4D84"/>
    <w:rsid w:val="00FB27E9"/>
    <w:rsid w:val="00FF5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03A"/>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D3603A"/>
    <w:pPr>
      <w:spacing w:after="240"/>
    </w:pPr>
    <w:rPr>
      <w:szCs w:val="24"/>
    </w:rPr>
  </w:style>
  <w:style w:type="paragraph" w:customStyle="1" w:styleId="Address">
    <w:name w:val="Address"/>
    <w:basedOn w:val="Normal"/>
    <w:next w:val="Normal"/>
    <w:rsid w:val="00D3603A"/>
    <w:pPr>
      <w:keepLines/>
      <w:tabs>
        <w:tab w:val="left" w:pos="2160"/>
      </w:tabs>
    </w:pPr>
  </w:style>
  <w:style w:type="paragraph" w:styleId="Salutation">
    <w:name w:val="Salutation"/>
    <w:basedOn w:val="Normal"/>
    <w:next w:val="Normal"/>
    <w:rsid w:val="00D3603A"/>
    <w:pPr>
      <w:spacing w:after="240" w:line="240" w:lineRule="atLeast"/>
    </w:pPr>
  </w:style>
  <w:style w:type="paragraph" w:styleId="Footer">
    <w:name w:val="footer"/>
    <w:basedOn w:val="Normal"/>
    <w:rsid w:val="00D3603A"/>
    <w:pPr>
      <w:tabs>
        <w:tab w:val="center" w:pos="4320"/>
        <w:tab w:val="right" w:pos="8640"/>
      </w:tabs>
    </w:pPr>
  </w:style>
  <w:style w:type="paragraph" w:customStyle="1" w:styleId="TOCBase">
    <w:name w:val="TOC Base"/>
    <w:basedOn w:val="Normal"/>
    <w:rsid w:val="00D3603A"/>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D3603A"/>
    <w:pPr>
      <w:spacing w:before="60"/>
    </w:pPr>
    <w:rPr>
      <w:rFonts w:ascii="Arial" w:hAnsi="Arial" w:cs="Times New Roman"/>
      <w:color w:val="auto"/>
      <w:spacing w:val="-5"/>
      <w:sz w:val="16"/>
    </w:rPr>
  </w:style>
  <w:style w:type="paragraph" w:styleId="BodyText">
    <w:name w:val="Body Text"/>
    <w:basedOn w:val="Normal"/>
    <w:rsid w:val="00D3603A"/>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D3603A"/>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D3603A"/>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D3603A"/>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D3603A"/>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D3603A"/>
  </w:style>
  <w:style w:type="paragraph" w:customStyle="1" w:styleId="IndexBase">
    <w:name w:val="Index Base"/>
    <w:basedOn w:val="Normal"/>
    <w:rsid w:val="00D3603A"/>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D3603A"/>
    <w:rPr>
      <w:rFonts w:ascii="Arial Black" w:hAnsi="Arial Black"/>
      <w:spacing w:val="-10"/>
      <w:sz w:val="18"/>
    </w:rPr>
  </w:style>
  <w:style w:type="paragraph" w:styleId="Header">
    <w:name w:val="header"/>
    <w:basedOn w:val="HeaderBase"/>
    <w:rsid w:val="00D3603A"/>
  </w:style>
  <w:style w:type="paragraph" w:customStyle="1" w:styleId="HeaderBase">
    <w:name w:val="Header Base"/>
    <w:basedOn w:val="Normal"/>
    <w:rsid w:val="00D3603A"/>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basedOn w:val="DefaultParagraphFont"/>
    <w:link w:val="BalloonText"/>
    <w:rsid w:val="00DD16FF"/>
    <w:rPr>
      <w:rFonts w:ascii="Tahoma" w:hAnsi="Tahoma" w:cs="Tahoma"/>
      <w:color w:val="000000"/>
      <w:sz w:val="16"/>
      <w:szCs w:val="16"/>
    </w:rPr>
  </w:style>
  <w:style w:type="paragraph" w:styleId="FootnoteText">
    <w:name w:val="footnote text"/>
    <w:basedOn w:val="Normal"/>
    <w:link w:val="FootnoteTextChar"/>
    <w:rsid w:val="00B94280"/>
    <w:rPr>
      <w:sz w:val="20"/>
    </w:rPr>
  </w:style>
  <w:style w:type="character" w:customStyle="1" w:styleId="FootnoteTextChar">
    <w:name w:val="Footnote Text Char"/>
    <w:basedOn w:val="DefaultParagraphFont"/>
    <w:link w:val="FootnoteText"/>
    <w:rsid w:val="00B94280"/>
    <w:rPr>
      <w:rFonts w:cs="Arial"/>
      <w:color w:val="000000"/>
    </w:rPr>
  </w:style>
  <w:style w:type="character" w:styleId="FootnoteReference">
    <w:name w:val="footnote reference"/>
    <w:basedOn w:val="DefaultParagraphFont"/>
    <w:rsid w:val="00B94280"/>
    <w:rPr>
      <w:vertAlign w:val="superscript"/>
    </w:rPr>
  </w:style>
  <w:style w:type="table" w:styleId="TableGrid">
    <w:name w:val="Table Grid"/>
    <w:basedOn w:val="TableNormal"/>
    <w:rsid w:val="00D25F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rsid w:val="003B5661"/>
    <w:rPr>
      <w:sz w:val="20"/>
    </w:rPr>
  </w:style>
  <w:style w:type="character" w:customStyle="1" w:styleId="EndnoteTextChar">
    <w:name w:val="Endnote Text Char"/>
    <w:basedOn w:val="DefaultParagraphFont"/>
    <w:link w:val="EndnoteText"/>
    <w:rsid w:val="003B5661"/>
    <w:rPr>
      <w:rFonts w:cs="Arial"/>
      <w:color w:val="000000"/>
    </w:rPr>
  </w:style>
  <w:style w:type="character" w:styleId="EndnoteReference">
    <w:name w:val="endnote reference"/>
    <w:basedOn w:val="DefaultParagraphFont"/>
    <w:rsid w:val="003B5661"/>
    <w:rPr>
      <w:vertAlign w:val="superscript"/>
    </w:rPr>
  </w:style>
  <w:style w:type="character" w:styleId="CommentReference">
    <w:name w:val="annotation reference"/>
    <w:basedOn w:val="DefaultParagraphFont"/>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basedOn w:val="DefaultParagraphFont"/>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basedOn w:val="CommentTextChar"/>
    <w:link w:val="CommentSubject"/>
    <w:rsid w:val="00052A07"/>
    <w:rPr>
      <w:b/>
      <w:bCs/>
    </w:rPr>
  </w:style>
  <w:style w:type="paragraph" w:styleId="ListParagraph">
    <w:name w:val="List Paragraph"/>
    <w:basedOn w:val="Normal"/>
    <w:uiPriority w:val="34"/>
    <w:qFormat/>
    <w:rsid w:val="00965606"/>
    <w:pPr>
      <w:ind w:left="720"/>
    </w:pPr>
    <w:rPr>
      <w:rFonts w:ascii="Calibri" w:eastAsia="Calibri" w:hAnsi="Calibri" w:cs="Times New Roman"/>
      <w:color w:val="auto"/>
      <w:sz w:val="22"/>
      <w:szCs w:val="22"/>
    </w:rPr>
  </w:style>
</w:styles>
</file>

<file path=word/webSettings.xml><?xml version="1.0" encoding="utf-8"?>
<w:webSettings xmlns:r="http://schemas.openxmlformats.org/officeDocument/2006/relationships" xmlns:w="http://schemas.openxmlformats.org/wordprocessingml/2006/main">
  <w:divs>
    <w:div w:id="1356150337">
      <w:bodyDiv w:val="1"/>
      <w:marLeft w:val="0"/>
      <w:marRight w:val="0"/>
      <w:marTop w:val="0"/>
      <w:marBottom w:val="0"/>
      <w:divBdr>
        <w:top w:val="none" w:sz="0" w:space="0" w:color="auto"/>
        <w:left w:val="none" w:sz="0" w:space="0" w:color="auto"/>
        <w:bottom w:val="none" w:sz="0" w:space="0" w:color="auto"/>
        <w:right w:val="none" w:sz="0" w:space="0" w:color="auto"/>
      </w:divBdr>
    </w:div>
    <w:div w:id="18544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Status xmlns="289388A8-1A67-4FDA-90AF-C1B905177F43">Draft</Status>
    <Owner xmlns="289388A8-1A67-4FDA-90AF-C1B905177F43">
      <UserInfo xmlns="289388A8-1A67-4FDA-90AF-C1B905177F43">
        <DisplayName xmlns="289388A8-1A67-4FDA-90AF-C1B905177F43"/>
        <AccountId xmlns="289388A8-1A67-4FDA-90AF-C1B905177F43" xsi:nil="true"/>
        <AccountType xmlns="289388A8-1A67-4FDA-90AF-C1B905177F43"/>
      </UserInfo>
    </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D60E-A6D3-4589-9CF4-A0A432AC4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3.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4.xml><?xml version="1.0" encoding="utf-8"?>
<ds:datastoreItem xmlns:ds="http://schemas.openxmlformats.org/officeDocument/2006/customXml" ds:itemID="{8FBCCEB6-EAD9-4FF6-B9E6-7BD3FEBB1BD3}">
  <ds:schemaRefs>
    <ds:schemaRef ds:uri="http://schemas.microsoft.com/office/2006/metadata/properties"/>
    <ds:schemaRef ds:uri="289388A8-1A67-4FDA-90AF-C1B905177F43"/>
  </ds:schemaRefs>
</ds:datastoreItem>
</file>

<file path=customXml/itemProps5.xml><?xml version="1.0" encoding="utf-8"?>
<ds:datastoreItem xmlns:ds="http://schemas.openxmlformats.org/officeDocument/2006/customXml" ds:itemID="{AF75A491-3E9A-4FDF-8E09-8C3CF026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subject/>
  <dc:creator>Marisa.Mullen</dc:creator>
  <cp:keywords/>
  <dc:description/>
  <cp:lastModifiedBy>joanna.johnson</cp:lastModifiedBy>
  <cp:revision>2</cp:revision>
  <dcterms:created xsi:type="dcterms:W3CDTF">2011-01-11T13:58:00Z</dcterms:created>
  <dcterms:modified xsi:type="dcterms:W3CDTF">2011-01-11T13:58:00Z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1710406290</vt:i4>
  </property>
  <property fmtid="{D5CDD505-2E9C-101B-9397-08002B2CF9AE}" pid="3" name="_NewReviewCycle">
    <vt:lpwstr/>
  </property>
  <property fmtid="{D5CDD505-2E9C-101B-9397-08002B2CF9AE}" pid="4" name="_EmailSubject">
    <vt:lpwstr>ICR 1652-NEW (Pipeline Corporate Security Review)</vt:lpwstr>
  </property>
  <property fmtid="{D5CDD505-2E9C-101B-9397-08002B2CF9AE}" pid="5" name="_AuthorEmail">
    <vt:lpwstr>Jennifer.Mischel@tsa.dhs.gov</vt:lpwstr>
  </property>
  <property fmtid="{D5CDD505-2E9C-101B-9397-08002B2CF9AE}" pid="6" name="_AuthorEmailDisplayName">
    <vt:lpwstr>Mischel, Jennifer</vt:lpwstr>
  </property>
  <property fmtid="{D5CDD505-2E9C-101B-9397-08002B2CF9AE}" pid="7" name="Links">
    <vt:lpwstr/>
  </property>
  <property fmtid="{D5CDD505-2E9C-101B-9397-08002B2CF9AE}" pid="8" name="_PreviousAdHocReviewCycleID">
    <vt:i4>732093636</vt:i4>
  </property>
  <property fmtid="{D5CDD505-2E9C-101B-9397-08002B2CF9AE}" pid="9" name="ContentType">
    <vt:lpwstr>Project Workspace Document</vt:lpwstr>
  </property>
</Properties>
</file>