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86D" w:rsidRPr="005C4D4F" w:rsidRDefault="0097186D" w:rsidP="0097186D">
      <w:pPr>
        <w:jc w:val="center"/>
        <w:rPr>
          <w:b/>
          <w:sz w:val="32"/>
          <w:szCs w:val="32"/>
          <w:u w:val="single"/>
        </w:rPr>
      </w:pPr>
      <w:r w:rsidRPr="005C4D4F">
        <w:rPr>
          <w:b/>
          <w:sz w:val="32"/>
          <w:szCs w:val="32"/>
          <w:u w:val="single"/>
        </w:rPr>
        <w:t>Changes to Collection OMB No. 1660-00</w:t>
      </w:r>
      <w:r>
        <w:rPr>
          <w:b/>
          <w:sz w:val="32"/>
          <w:szCs w:val="32"/>
          <w:u w:val="single"/>
        </w:rPr>
        <w:t>47</w:t>
      </w:r>
    </w:p>
    <w:p w:rsidR="0097186D" w:rsidRPr="005D5E3F" w:rsidRDefault="0097186D" w:rsidP="0097186D">
      <w:pPr>
        <w:jc w:val="center"/>
        <w:rPr>
          <w:b/>
          <w:sz w:val="28"/>
          <w:szCs w:val="28"/>
        </w:rPr>
      </w:pPr>
    </w:p>
    <w:p w:rsidR="0097186D" w:rsidRPr="005D5E3F" w:rsidRDefault="0097186D" w:rsidP="0097186D">
      <w:r w:rsidRPr="005D5E3F">
        <w:t>The following questions have been updated since the last OMB Approval:</w:t>
      </w:r>
    </w:p>
    <w:p w:rsidR="0097186D" w:rsidRDefault="0097186D" w:rsidP="0097186D">
      <w:pPr>
        <w:rPr>
          <w:sz w:val="22"/>
          <w:szCs w:val="22"/>
        </w:rPr>
      </w:pPr>
    </w:p>
    <w:p w:rsidR="0097186D" w:rsidRDefault="0097186D" w:rsidP="0097186D">
      <w:pPr>
        <w:rPr>
          <w:sz w:val="22"/>
          <w:szCs w:val="22"/>
        </w:rPr>
      </w:pPr>
      <w:r>
        <w:rPr>
          <w:sz w:val="22"/>
          <w:szCs w:val="22"/>
        </w:rPr>
        <w:t xml:space="preserve">FEMA Form Numbers Changed from: FEMA Forms </w:t>
      </w:r>
      <w:r w:rsidR="007F2D41">
        <w:rPr>
          <w:sz w:val="22"/>
          <w:szCs w:val="22"/>
        </w:rPr>
        <w:t>90-129 and 90-136</w:t>
      </w:r>
      <w:r>
        <w:rPr>
          <w:sz w:val="22"/>
          <w:szCs w:val="22"/>
        </w:rPr>
        <w:t xml:space="preserve"> </w:t>
      </w:r>
    </w:p>
    <w:p w:rsidR="0097186D" w:rsidRDefault="0097186D" w:rsidP="0097186D">
      <w:pPr>
        <w:rPr>
          <w:b/>
          <w:color w:val="FF0000"/>
          <w:sz w:val="22"/>
          <w:szCs w:val="22"/>
        </w:rPr>
      </w:pPr>
      <w:r>
        <w:rPr>
          <w:b/>
          <w:color w:val="FF0000"/>
          <w:sz w:val="22"/>
          <w:szCs w:val="22"/>
        </w:rPr>
        <w:t xml:space="preserve">To: FEMA Form Numbers </w:t>
      </w:r>
      <w:r w:rsidR="007F2D41">
        <w:rPr>
          <w:b/>
          <w:color w:val="FF0000"/>
          <w:sz w:val="22"/>
          <w:szCs w:val="22"/>
        </w:rPr>
        <w:t xml:space="preserve">010-0-8 and 010-0-7 </w:t>
      </w:r>
      <w:r w:rsidRPr="005C4D4F">
        <w:rPr>
          <w:b/>
          <w:color w:val="FF0000"/>
          <w:sz w:val="22"/>
          <w:szCs w:val="22"/>
        </w:rPr>
        <w:t xml:space="preserve">Note: Same forms with new form numbers using </w:t>
      </w:r>
      <w:r>
        <w:rPr>
          <w:b/>
          <w:color w:val="FF0000"/>
          <w:sz w:val="22"/>
          <w:szCs w:val="22"/>
        </w:rPr>
        <w:t xml:space="preserve">FEMA’s </w:t>
      </w:r>
      <w:r w:rsidRPr="005C4D4F">
        <w:rPr>
          <w:b/>
          <w:color w:val="FF0000"/>
          <w:sz w:val="22"/>
          <w:szCs w:val="22"/>
        </w:rPr>
        <w:t>new numbering system.</w:t>
      </w:r>
    </w:p>
    <w:p w:rsidR="007F2D41" w:rsidRDefault="007F2D41" w:rsidP="0097186D">
      <w:pPr>
        <w:rPr>
          <w:b/>
          <w:color w:val="FF0000"/>
          <w:sz w:val="22"/>
          <w:szCs w:val="22"/>
        </w:rPr>
      </w:pPr>
    </w:p>
    <w:p w:rsidR="00162CD7" w:rsidRDefault="00162CD7" w:rsidP="00162CD7">
      <w:pPr>
        <w:tabs>
          <w:tab w:val="left" w:pos="360"/>
        </w:tabs>
        <w:rPr>
          <w:b/>
          <w:bCs/>
        </w:rPr>
      </w:pPr>
      <w:r>
        <w:rPr>
          <w:b/>
          <w:bCs/>
        </w:rPr>
        <w:t>8 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167820">
        <w:rPr>
          <w:b/>
          <w:bCs/>
        </w:rPr>
        <w:t xml:space="preserve"> </w:t>
      </w:r>
      <w:r w:rsidR="00167820" w:rsidRPr="008270E2">
        <w:rPr>
          <w:b/>
          <w:bCs/>
          <w:color w:val="FF0000"/>
        </w:rPr>
        <w:t>Please note change in 8 b and c.</w:t>
      </w:r>
    </w:p>
    <w:p w:rsidR="00162CD7" w:rsidRDefault="00162CD7" w:rsidP="00162CD7">
      <w:pPr>
        <w:tabs>
          <w:tab w:val="left" w:pos="-720"/>
        </w:tabs>
        <w:suppressAutoHyphens/>
        <w:rPr>
          <w:sz w:val="26"/>
        </w:rPr>
      </w:pPr>
    </w:p>
    <w:p w:rsidR="00162CD7" w:rsidRDefault="00162CD7" w:rsidP="00162CD7">
      <w:pPr>
        <w:tabs>
          <w:tab w:val="left" w:pos="-720"/>
        </w:tabs>
        <w:suppressAutoHyphens/>
      </w:pPr>
      <w:r>
        <w:t>The Emergency Support Functions Leadership Group (ESFLG) comprised of other Federal agencies meets quarterly throughout the year to discuss the resources necessary and available to meet the needs of states during times of disasters. Discussions regarding the mission assignment function are routinely occurring during these meetings.</w:t>
      </w:r>
    </w:p>
    <w:p w:rsidR="00162CD7" w:rsidRDefault="00162CD7" w:rsidP="00162CD7">
      <w:pPr>
        <w:tabs>
          <w:tab w:val="left" w:pos="360"/>
        </w:tabs>
        <w:rPr>
          <w:b/>
          <w:bCs/>
        </w:rPr>
      </w:pPr>
    </w:p>
    <w:p w:rsidR="00162CD7" w:rsidRDefault="00162CD7" w:rsidP="00162CD7">
      <w:pPr>
        <w:tabs>
          <w:tab w:val="left" w:pos="360"/>
        </w:tabs>
        <w:rPr>
          <w:b/>
          <w:bCs/>
        </w:rPr>
      </w:pPr>
      <w:r>
        <w:rPr>
          <w:b/>
          <w:bCs/>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62CD7" w:rsidRPr="00C601EC" w:rsidRDefault="00162CD7" w:rsidP="00162CD7">
      <w:r w:rsidRPr="00C601EC">
        <w:t xml:space="preserve">        </w:t>
      </w:r>
    </w:p>
    <w:p w:rsidR="00162CD7" w:rsidRPr="00C601EC" w:rsidRDefault="00162CD7" w:rsidP="00162CD7">
      <w:r w:rsidRPr="00C601EC">
        <w:t>The Mission Assignment Manager Monthly conference call provides an open forum among Regional Mission Assignment Managers and program office</w:t>
      </w:r>
      <w:r>
        <w:t>s</w:t>
      </w:r>
      <w:r w:rsidRPr="00C601EC">
        <w:t>.  This forum provides ample opportunities for feedback on internal items such as the Mission Assignment Standard Operating Procedures and the overall mission assignment process.</w:t>
      </w:r>
    </w:p>
    <w:p w:rsidR="007F2D41" w:rsidRDefault="007F2D41" w:rsidP="0097186D">
      <w:pPr>
        <w:rPr>
          <w:b/>
          <w:bCs/>
        </w:rPr>
      </w:pPr>
    </w:p>
    <w:p w:rsidR="00162CD7" w:rsidRDefault="00162CD7" w:rsidP="00162CD7">
      <w:pPr>
        <w:rPr>
          <w:b/>
          <w:bCs/>
        </w:rPr>
      </w:pPr>
      <w:r>
        <w:rPr>
          <w:b/>
          <w:bCs/>
        </w:rPr>
        <w:t>12. Provide estimates of the hour burden of the collection of information.  The statement should:</w:t>
      </w:r>
    </w:p>
    <w:p w:rsidR="00162CD7" w:rsidRDefault="00245551" w:rsidP="00162CD7">
      <w:pPr>
        <w:rPr>
          <w:b/>
          <w:bCs/>
          <w:color w:val="FF0000"/>
        </w:rPr>
      </w:pPr>
      <w:r>
        <w:rPr>
          <w:b/>
          <w:bCs/>
        </w:rPr>
        <w:fldChar w:fldCharType="begin"/>
      </w:r>
      <w:r w:rsidR="00162CD7">
        <w:rPr>
          <w:b/>
          <w:bCs/>
        </w:rPr>
        <w:instrText>ADVANCE \R 0.95</w:instrText>
      </w:r>
      <w:r>
        <w:rPr>
          <w:b/>
          <w:bCs/>
        </w:rPr>
        <w:fldChar w:fldCharType="end"/>
      </w:r>
      <w:r w:rsidR="00162CD7">
        <w:rPr>
          <w:b/>
          <w:bCs/>
        </w:rPr>
        <w:t xml:space="preserve">                                             </w:t>
      </w:r>
    </w:p>
    <w:p w:rsidR="00162CD7" w:rsidRDefault="00245551" w:rsidP="00162CD7">
      <w:pPr>
        <w:rPr>
          <w:b/>
          <w:bCs/>
        </w:rPr>
      </w:pPr>
      <w:r>
        <w:rPr>
          <w:b/>
          <w:bCs/>
        </w:rPr>
        <w:fldChar w:fldCharType="begin"/>
      </w:r>
      <w:r w:rsidR="00162CD7">
        <w:rPr>
          <w:b/>
          <w:bCs/>
        </w:rPr>
        <w:instrText>ADVANCE \R 0.95</w:instrText>
      </w:r>
      <w:r>
        <w:rPr>
          <w:b/>
          <w:bCs/>
        </w:rPr>
        <w:fldChar w:fldCharType="end"/>
      </w:r>
      <w:r w:rsidR="00162CD7">
        <w:rPr>
          <w:b/>
          <w:bCs/>
        </w:rPr>
        <w:tab/>
      </w:r>
      <w:proofErr w:type="gramStart"/>
      <w:r w:rsidR="00162CD7">
        <w:rPr>
          <w:b/>
          <w:bCs/>
        </w:rPr>
        <w:t>a.  Indicate</w:t>
      </w:r>
      <w:proofErr w:type="gramEnd"/>
      <w:r w:rsidR="00162CD7">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162CD7" w:rsidRDefault="00162CD7" w:rsidP="00162CD7"/>
    <w:p w:rsidR="00162CD7" w:rsidRDefault="00162CD7" w:rsidP="00162CD7">
      <w:r>
        <w:t>FEMA has estimated that approximately 10 States will complete the FEMA Form 010-0-7 (Action Request Form). Each form is estimated to take 20 minutes to complete. The total annual burden is estimated to be 10 x 640 = 6,400 x 20 minutes per response = 2,133 burden hours.</w:t>
      </w:r>
    </w:p>
    <w:p w:rsidR="00162CD7" w:rsidRDefault="00162CD7" w:rsidP="00162CD7"/>
    <w:p w:rsidR="00162CD7" w:rsidRDefault="00162CD7" w:rsidP="00162CD7">
      <w:r>
        <w:lastRenderedPageBreak/>
        <w:t>FEMA has estimated that approximately 10 States will complete the FEMA Form 010-0-7 (Mission Assignment). Each form is estimated to take 3 minutes to complete. The total annual burden is estimated to be 10 x 320 = 3,200 x 3 minutes per response = 160 burden hours.</w:t>
      </w:r>
    </w:p>
    <w:p w:rsidR="00162CD7" w:rsidRDefault="00162CD7" w:rsidP="00162CD7"/>
    <w:p w:rsidR="00162CD7" w:rsidRDefault="00162CD7" w:rsidP="00162CD7">
      <w:pPr>
        <w:tabs>
          <w:tab w:val="left" w:pos="-720"/>
        </w:tabs>
        <w:suppressAutoHyphens/>
      </w:pPr>
      <w:r>
        <w:t xml:space="preserve">Training – It is </w:t>
      </w:r>
      <w:r w:rsidRPr="00CD29FE">
        <w:t xml:space="preserve">estimated that 10 Financial Managers will attend 2 training sessions a year, and that each session will last for 8 hours. </w:t>
      </w:r>
      <w:r>
        <w:t>The a</w:t>
      </w:r>
      <w:r w:rsidRPr="00CD29FE">
        <w:t xml:space="preserve">nnual </w:t>
      </w:r>
      <w:r>
        <w:t>h</w:t>
      </w:r>
      <w:r w:rsidRPr="00CD29FE">
        <w:t xml:space="preserve">our </w:t>
      </w:r>
      <w:r>
        <w:t>b</w:t>
      </w:r>
      <w:r w:rsidRPr="00CD29FE">
        <w:t xml:space="preserve">urden for training will be 10 x 2 x 8 hours = 160 </w:t>
      </w:r>
      <w:r>
        <w:t xml:space="preserve">burden </w:t>
      </w:r>
      <w:r w:rsidRPr="00CD29FE">
        <w:t>hours.</w:t>
      </w:r>
    </w:p>
    <w:p w:rsidR="00162CD7" w:rsidRDefault="00162CD7" w:rsidP="00162CD7">
      <w:pPr>
        <w:pStyle w:val="FootnoteText"/>
      </w:pPr>
    </w:p>
    <w:p w:rsidR="00162CD7" w:rsidRDefault="00245551" w:rsidP="00162CD7">
      <w:pPr>
        <w:rPr>
          <w:b/>
          <w:bCs/>
        </w:rPr>
      </w:pPr>
      <w:r>
        <w:fldChar w:fldCharType="begin"/>
      </w:r>
      <w:r w:rsidR="00162CD7">
        <w:instrText>ADVANCE \R 0.95</w:instrText>
      </w:r>
      <w:r>
        <w:fldChar w:fldCharType="end"/>
      </w:r>
      <w:r w:rsidR="00162CD7">
        <w:tab/>
      </w:r>
      <w:r w:rsidR="00162CD7">
        <w:rPr>
          <w:b/>
          <w:bCs/>
        </w:rPr>
        <w:t>b.  If this request for approval covers more than one form, provide separate hour burden estimates for each form and aggregate the hour burdens in Item 13 of OMB Form 83-I.</w:t>
      </w:r>
    </w:p>
    <w:p w:rsidR="00162CD7" w:rsidRDefault="00162CD7" w:rsidP="00162CD7">
      <w:pPr>
        <w:rPr>
          <w:b/>
          <w:bCs/>
        </w:rPr>
      </w:pPr>
    </w:p>
    <w:p w:rsidR="00162CD7" w:rsidRDefault="00162CD7" w:rsidP="00162CD7">
      <w:pPr>
        <w:rPr>
          <w:b/>
          <w:bCs/>
        </w:rPr>
      </w:pPr>
      <w:r>
        <w:rPr>
          <w:b/>
          <w:bCs/>
        </w:rPr>
        <w:tab/>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162CD7" w:rsidRDefault="00162CD7" w:rsidP="00162CD7">
      <w:pPr>
        <w:rPr>
          <w:b/>
          <w:bCs/>
        </w:rPr>
      </w:pPr>
    </w:p>
    <w:p w:rsidR="00162CD7" w:rsidRDefault="00162CD7" w:rsidP="00162CD7">
      <w:pPr>
        <w:rPr>
          <w:b/>
          <w:bCs/>
        </w:rPr>
      </w:pPr>
    </w:p>
    <w:tbl>
      <w:tblPr>
        <w:tblW w:w="10448" w:type="dxa"/>
        <w:tblInd w:w="-972" w:type="dxa"/>
        <w:tblLayout w:type="fixed"/>
        <w:tblLook w:val="04A0"/>
      </w:tblPr>
      <w:tblGrid>
        <w:gridCol w:w="1350"/>
        <w:gridCol w:w="1170"/>
        <w:gridCol w:w="984"/>
        <w:gridCol w:w="936"/>
        <w:gridCol w:w="1177"/>
        <w:gridCol w:w="1321"/>
        <w:gridCol w:w="990"/>
        <w:gridCol w:w="1080"/>
        <w:gridCol w:w="1440"/>
      </w:tblGrid>
      <w:tr w:rsidR="00162CD7" w:rsidRPr="000F0E33" w:rsidTr="00727590">
        <w:trPr>
          <w:trHeight w:val="315"/>
        </w:trPr>
        <w:tc>
          <w:tcPr>
            <w:tcW w:w="10448" w:type="dxa"/>
            <w:gridSpan w:val="9"/>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162CD7" w:rsidRPr="000F0E33" w:rsidRDefault="00162CD7" w:rsidP="00727590">
            <w:pPr>
              <w:jc w:val="center"/>
              <w:rPr>
                <w:rFonts w:ascii="Arial" w:hAnsi="Arial" w:cs="Arial"/>
                <w:color w:val="000000"/>
                <w:sz w:val="18"/>
                <w:szCs w:val="18"/>
              </w:rPr>
            </w:pPr>
            <w:r w:rsidRPr="000F0E33">
              <w:rPr>
                <w:rFonts w:ascii="Arial" w:hAnsi="Arial" w:cs="Arial"/>
                <w:color w:val="000000"/>
                <w:sz w:val="18"/>
                <w:szCs w:val="18"/>
              </w:rPr>
              <w:t>Estimated Annualized Burden Hours and Costs</w:t>
            </w:r>
          </w:p>
        </w:tc>
      </w:tr>
      <w:tr w:rsidR="00162CD7" w:rsidRPr="000F0E33" w:rsidTr="00727590">
        <w:trPr>
          <w:trHeight w:val="1230"/>
        </w:trPr>
        <w:tc>
          <w:tcPr>
            <w:tcW w:w="1350" w:type="dxa"/>
            <w:tcBorders>
              <w:top w:val="nil"/>
              <w:left w:val="single" w:sz="8" w:space="0" w:color="auto"/>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Type of Respondent</w:t>
            </w:r>
          </w:p>
        </w:tc>
        <w:tc>
          <w:tcPr>
            <w:tcW w:w="1170"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Form Name / Form Number</w:t>
            </w:r>
          </w:p>
        </w:tc>
        <w:tc>
          <w:tcPr>
            <w:tcW w:w="984"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No. of Respon-dents</w:t>
            </w:r>
          </w:p>
        </w:tc>
        <w:tc>
          <w:tcPr>
            <w:tcW w:w="936"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No. of Respon-ses per Respon-dent</w:t>
            </w:r>
          </w:p>
        </w:tc>
        <w:tc>
          <w:tcPr>
            <w:tcW w:w="1177"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Total No. of Responses</w:t>
            </w:r>
          </w:p>
        </w:tc>
        <w:tc>
          <w:tcPr>
            <w:tcW w:w="1321"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Total Annual Burden (in hours)</w:t>
            </w:r>
          </w:p>
        </w:tc>
        <w:tc>
          <w:tcPr>
            <w:tcW w:w="1080"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Avg. Hourly Wage Rate</w:t>
            </w:r>
          </w:p>
        </w:tc>
        <w:tc>
          <w:tcPr>
            <w:tcW w:w="1440" w:type="dxa"/>
            <w:tcBorders>
              <w:top w:val="nil"/>
              <w:left w:val="nil"/>
              <w:bottom w:val="single" w:sz="8" w:space="0" w:color="auto"/>
              <w:right w:val="single" w:sz="8" w:space="0" w:color="auto"/>
            </w:tcBorders>
            <w:shd w:val="clear" w:color="000000" w:fill="C0C0C0"/>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Total Annual Respondent Cost</w:t>
            </w:r>
          </w:p>
        </w:tc>
      </w:tr>
      <w:tr w:rsidR="00162CD7" w:rsidRPr="000F0E33" w:rsidTr="00727590">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State, local or Tribal Government</w:t>
            </w:r>
          </w:p>
        </w:tc>
        <w:tc>
          <w:tcPr>
            <w:tcW w:w="117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FEMA Form 010-0-7 / Action Request Form </w:t>
            </w:r>
          </w:p>
        </w:tc>
        <w:tc>
          <w:tcPr>
            <w:tcW w:w="984"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w:t>
            </w:r>
            <w:r w:rsidRPr="000F0E33">
              <w:rPr>
                <w:rFonts w:ascii="Arial" w:hAnsi="Arial" w:cs="Arial"/>
                <w:color w:val="000000"/>
                <w:sz w:val="18"/>
                <w:szCs w:val="18"/>
              </w:rPr>
              <w:t> </w:t>
            </w:r>
            <w:r>
              <w:rPr>
                <w:rFonts w:ascii="Arial" w:hAnsi="Arial" w:cs="Arial"/>
                <w:color w:val="000000"/>
                <w:sz w:val="18"/>
                <w:szCs w:val="18"/>
              </w:rPr>
              <w:t>10</w:t>
            </w:r>
          </w:p>
        </w:tc>
        <w:tc>
          <w:tcPr>
            <w:tcW w:w="936"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 640</w:t>
            </w:r>
          </w:p>
        </w:tc>
        <w:tc>
          <w:tcPr>
            <w:tcW w:w="1177"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6,400</w:t>
            </w:r>
          </w:p>
        </w:tc>
        <w:tc>
          <w:tcPr>
            <w:tcW w:w="1321" w:type="dxa"/>
            <w:tcBorders>
              <w:top w:val="nil"/>
              <w:left w:val="nil"/>
              <w:bottom w:val="single" w:sz="8" w:space="0" w:color="auto"/>
              <w:right w:val="single" w:sz="8" w:space="0" w:color="auto"/>
            </w:tcBorders>
            <w:shd w:val="clear" w:color="auto" w:fill="auto"/>
            <w:vAlign w:val="bottom"/>
            <w:hideMark/>
          </w:tcPr>
          <w:p w:rsidR="00162CD7"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   </w:t>
            </w:r>
          </w:p>
          <w:p w:rsidR="00162CD7" w:rsidRDefault="00162CD7" w:rsidP="00727590">
            <w:pPr>
              <w:rPr>
                <w:rFonts w:ascii="Arial" w:hAnsi="Arial" w:cs="Arial"/>
                <w:sz w:val="18"/>
                <w:szCs w:val="18"/>
              </w:rPr>
            </w:pPr>
          </w:p>
          <w:p w:rsidR="00162CD7" w:rsidRPr="000F0E33" w:rsidRDefault="00162CD7" w:rsidP="00727590">
            <w:pPr>
              <w:rPr>
                <w:rFonts w:ascii="Arial" w:hAnsi="Arial" w:cs="Arial"/>
                <w:color w:val="000000"/>
                <w:sz w:val="18"/>
                <w:szCs w:val="18"/>
              </w:rPr>
            </w:pPr>
            <w:r>
              <w:rPr>
                <w:rFonts w:ascii="Arial" w:hAnsi="Arial" w:cs="Arial"/>
                <w:sz w:val="18"/>
                <w:szCs w:val="18"/>
              </w:rPr>
              <w:t>20 minutes</w:t>
            </w:r>
          </w:p>
        </w:tc>
        <w:tc>
          <w:tcPr>
            <w:tcW w:w="99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w:t>
            </w:r>
            <w:r w:rsidRPr="000F0E33">
              <w:rPr>
                <w:rFonts w:ascii="Arial" w:hAnsi="Arial" w:cs="Arial"/>
                <w:color w:val="000000"/>
                <w:sz w:val="18"/>
                <w:szCs w:val="18"/>
              </w:rPr>
              <w:t> </w:t>
            </w:r>
            <w:r>
              <w:rPr>
                <w:rFonts w:ascii="Arial" w:hAnsi="Arial" w:cs="Arial"/>
                <w:color w:val="000000"/>
                <w:sz w:val="18"/>
                <w:szCs w:val="18"/>
              </w:rPr>
              <w:t>2,133</w:t>
            </w:r>
          </w:p>
        </w:tc>
        <w:tc>
          <w:tcPr>
            <w:tcW w:w="108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$56.69</w:t>
            </w:r>
          </w:p>
        </w:tc>
        <w:tc>
          <w:tcPr>
            <w:tcW w:w="144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$120,919.77</w:t>
            </w:r>
          </w:p>
        </w:tc>
      </w:tr>
      <w:tr w:rsidR="00162CD7" w:rsidRPr="000F0E33" w:rsidTr="00727590">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State, local or Tribal Government</w:t>
            </w:r>
          </w:p>
        </w:tc>
        <w:tc>
          <w:tcPr>
            <w:tcW w:w="117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FEMA Form 010-0-8 / Mission Assignment </w:t>
            </w:r>
          </w:p>
        </w:tc>
        <w:tc>
          <w:tcPr>
            <w:tcW w:w="984"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10</w:t>
            </w:r>
          </w:p>
        </w:tc>
        <w:tc>
          <w:tcPr>
            <w:tcW w:w="936"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w:t>
            </w:r>
            <w:r w:rsidRPr="000F0E33">
              <w:rPr>
                <w:rFonts w:ascii="Arial" w:hAnsi="Arial" w:cs="Arial"/>
                <w:color w:val="000000"/>
                <w:sz w:val="18"/>
                <w:szCs w:val="18"/>
              </w:rPr>
              <w:t> </w:t>
            </w:r>
            <w:r>
              <w:rPr>
                <w:rFonts w:ascii="Arial" w:hAnsi="Arial" w:cs="Arial"/>
                <w:color w:val="000000"/>
                <w:sz w:val="18"/>
                <w:szCs w:val="18"/>
              </w:rPr>
              <w:t>320</w:t>
            </w:r>
          </w:p>
        </w:tc>
        <w:tc>
          <w:tcPr>
            <w:tcW w:w="1177"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   3,200</w:t>
            </w:r>
          </w:p>
        </w:tc>
        <w:tc>
          <w:tcPr>
            <w:tcW w:w="1321" w:type="dxa"/>
            <w:tcBorders>
              <w:top w:val="nil"/>
              <w:left w:val="nil"/>
              <w:bottom w:val="single" w:sz="8" w:space="0" w:color="auto"/>
              <w:right w:val="single" w:sz="8" w:space="0" w:color="auto"/>
            </w:tcBorders>
            <w:shd w:val="clear" w:color="auto" w:fill="auto"/>
            <w:vAlign w:val="bottom"/>
            <w:hideMark/>
          </w:tcPr>
          <w:p w:rsidR="00162CD7"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 </w:t>
            </w:r>
          </w:p>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3 minutes</w:t>
            </w:r>
          </w:p>
        </w:tc>
        <w:tc>
          <w:tcPr>
            <w:tcW w:w="99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160</w:t>
            </w:r>
          </w:p>
        </w:tc>
        <w:tc>
          <w:tcPr>
            <w:tcW w:w="108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$56.69</w:t>
            </w:r>
          </w:p>
        </w:tc>
        <w:tc>
          <w:tcPr>
            <w:tcW w:w="144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$9,070.40</w:t>
            </w:r>
          </w:p>
        </w:tc>
      </w:tr>
      <w:tr w:rsidR="00162CD7" w:rsidRPr="000F0E33" w:rsidTr="00727590">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State, local or Tribal Government</w:t>
            </w:r>
          </w:p>
        </w:tc>
        <w:tc>
          <w:tcPr>
            <w:tcW w:w="117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Training / No Form</w:t>
            </w:r>
          </w:p>
        </w:tc>
        <w:tc>
          <w:tcPr>
            <w:tcW w:w="984"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10</w:t>
            </w:r>
          </w:p>
        </w:tc>
        <w:tc>
          <w:tcPr>
            <w:tcW w:w="936"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2</w:t>
            </w:r>
          </w:p>
        </w:tc>
        <w:tc>
          <w:tcPr>
            <w:tcW w:w="1177"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20</w:t>
            </w:r>
          </w:p>
        </w:tc>
        <w:tc>
          <w:tcPr>
            <w:tcW w:w="1321"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 xml:space="preserve">     8 hours</w:t>
            </w:r>
          </w:p>
        </w:tc>
        <w:tc>
          <w:tcPr>
            <w:tcW w:w="99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  160</w:t>
            </w:r>
          </w:p>
        </w:tc>
        <w:tc>
          <w:tcPr>
            <w:tcW w:w="108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$56.69</w:t>
            </w:r>
          </w:p>
        </w:tc>
        <w:tc>
          <w:tcPr>
            <w:tcW w:w="144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color w:val="000000"/>
                <w:sz w:val="18"/>
                <w:szCs w:val="18"/>
              </w:rPr>
            </w:pPr>
            <w:r>
              <w:rPr>
                <w:rFonts w:ascii="Arial" w:hAnsi="Arial" w:cs="Arial"/>
                <w:color w:val="000000"/>
                <w:sz w:val="18"/>
                <w:szCs w:val="18"/>
              </w:rPr>
              <w:t>$9,070.40</w:t>
            </w:r>
          </w:p>
        </w:tc>
      </w:tr>
      <w:tr w:rsidR="00162CD7" w:rsidRPr="000F0E33" w:rsidTr="00727590">
        <w:trPr>
          <w:trHeight w:val="315"/>
        </w:trPr>
        <w:tc>
          <w:tcPr>
            <w:tcW w:w="1350" w:type="dxa"/>
            <w:tcBorders>
              <w:top w:val="nil"/>
              <w:left w:val="single" w:sz="8" w:space="0" w:color="auto"/>
              <w:bottom w:val="single" w:sz="8" w:space="0" w:color="auto"/>
              <w:right w:val="single" w:sz="8" w:space="0" w:color="auto"/>
            </w:tcBorders>
            <w:shd w:val="clear" w:color="auto" w:fill="auto"/>
            <w:vAlign w:val="bottom"/>
            <w:hideMark/>
          </w:tcPr>
          <w:p w:rsidR="00162CD7" w:rsidRPr="000F0E33" w:rsidRDefault="00162CD7" w:rsidP="00727590">
            <w:pPr>
              <w:jc w:val="center"/>
              <w:rPr>
                <w:rFonts w:ascii="Arial" w:hAnsi="Arial" w:cs="Arial"/>
                <w:b/>
                <w:bCs/>
                <w:color w:val="000000"/>
                <w:sz w:val="18"/>
                <w:szCs w:val="18"/>
              </w:rPr>
            </w:pPr>
            <w:r w:rsidRPr="000F0E33">
              <w:rPr>
                <w:rFonts w:ascii="Arial" w:hAnsi="Arial" w:cs="Arial"/>
                <w:b/>
                <w:bCs/>
                <w:color w:val="000000"/>
                <w:sz w:val="18"/>
                <w:szCs w:val="18"/>
              </w:rPr>
              <w:t>Total</w:t>
            </w:r>
          </w:p>
        </w:tc>
        <w:tc>
          <w:tcPr>
            <w:tcW w:w="1170" w:type="dxa"/>
            <w:tcBorders>
              <w:top w:val="nil"/>
              <w:left w:val="nil"/>
              <w:bottom w:val="single" w:sz="8" w:space="0" w:color="auto"/>
              <w:right w:val="single" w:sz="8" w:space="0" w:color="auto"/>
            </w:tcBorders>
            <w:shd w:val="clear" w:color="000000" w:fill="000000"/>
            <w:vAlign w:val="bottom"/>
            <w:hideMark/>
          </w:tcPr>
          <w:p w:rsidR="00162CD7" w:rsidRPr="000F0E33" w:rsidRDefault="00162CD7" w:rsidP="00727590">
            <w:pPr>
              <w:jc w:val="center"/>
              <w:rPr>
                <w:rFonts w:ascii="Arial" w:hAnsi="Arial" w:cs="Arial"/>
                <w:color w:val="000000"/>
                <w:sz w:val="18"/>
                <w:szCs w:val="18"/>
              </w:rPr>
            </w:pPr>
            <w:r w:rsidRPr="000F0E33">
              <w:rPr>
                <w:rFonts w:ascii="Arial" w:hAnsi="Arial" w:cs="Arial"/>
                <w:color w:val="000000"/>
                <w:sz w:val="18"/>
                <w:szCs w:val="18"/>
              </w:rPr>
              <w:t> </w:t>
            </w:r>
          </w:p>
        </w:tc>
        <w:tc>
          <w:tcPr>
            <w:tcW w:w="984"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b/>
                <w:bCs/>
                <w:color w:val="000000"/>
                <w:sz w:val="18"/>
                <w:szCs w:val="18"/>
              </w:rPr>
            </w:pPr>
            <w:r>
              <w:rPr>
                <w:rFonts w:ascii="Arial" w:hAnsi="Arial" w:cs="Arial"/>
                <w:b/>
                <w:bCs/>
                <w:color w:val="000000"/>
                <w:sz w:val="18"/>
                <w:szCs w:val="18"/>
              </w:rPr>
              <w:t xml:space="preserve">    10</w:t>
            </w:r>
            <w:r w:rsidRPr="000F0E33">
              <w:rPr>
                <w:rFonts w:ascii="Arial" w:hAnsi="Arial" w:cs="Arial"/>
                <w:b/>
                <w:bCs/>
                <w:color w:val="000000"/>
                <w:sz w:val="18"/>
                <w:szCs w:val="18"/>
              </w:rPr>
              <w:t> </w:t>
            </w:r>
          </w:p>
        </w:tc>
        <w:tc>
          <w:tcPr>
            <w:tcW w:w="936" w:type="dxa"/>
            <w:tcBorders>
              <w:top w:val="nil"/>
              <w:left w:val="nil"/>
              <w:bottom w:val="single" w:sz="8" w:space="0" w:color="auto"/>
              <w:right w:val="single" w:sz="8" w:space="0" w:color="auto"/>
            </w:tcBorders>
            <w:shd w:val="clear" w:color="000000" w:fill="000000"/>
            <w:vAlign w:val="bottom"/>
            <w:hideMark/>
          </w:tcPr>
          <w:p w:rsidR="00162CD7" w:rsidRPr="000F0E33" w:rsidRDefault="00162CD7" w:rsidP="00727590">
            <w:pPr>
              <w:jc w:val="center"/>
              <w:rPr>
                <w:rFonts w:ascii="Arial" w:hAnsi="Arial" w:cs="Arial"/>
                <w:color w:val="000000"/>
                <w:sz w:val="18"/>
                <w:szCs w:val="18"/>
              </w:rPr>
            </w:pPr>
            <w:r w:rsidRPr="000F0E33">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bottom"/>
            <w:hideMark/>
          </w:tcPr>
          <w:p w:rsidR="00162CD7" w:rsidRPr="00B872CC" w:rsidRDefault="00162CD7" w:rsidP="00727590">
            <w:pPr>
              <w:jc w:val="center"/>
              <w:rPr>
                <w:rFonts w:ascii="Arial" w:hAnsi="Arial" w:cs="Arial"/>
                <w:b/>
                <w:color w:val="000000"/>
                <w:sz w:val="18"/>
                <w:szCs w:val="18"/>
              </w:rPr>
            </w:pPr>
            <w:r w:rsidRPr="00B872CC">
              <w:rPr>
                <w:rFonts w:ascii="Arial" w:hAnsi="Arial" w:cs="Arial"/>
                <w:b/>
                <w:color w:val="000000"/>
                <w:sz w:val="18"/>
                <w:szCs w:val="18"/>
              </w:rPr>
              <w:t> </w:t>
            </w:r>
            <w:r>
              <w:rPr>
                <w:rFonts w:ascii="Arial" w:hAnsi="Arial" w:cs="Arial"/>
                <w:b/>
                <w:color w:val="000000"/>
                <w:sz w:val="18"/>
                <w:szCs w:val="18"/>
              </w:rPr>
              <w:t>9,620</w:t>
            </w:r>
          </w:p>
        </w:tc>
        <w:tc>
          <w:tcPr>
            <w:tcW w:w="1321" w:type="dxa"/>
            <w:tcBorders>
              <w:top w:val="nil"/>
              <w:left w:val="nil"/>
              <w:bottom w:val="single" w:sz="8" w:space="0" w:color="auto"/>
              <w:right w:val="single" w:sz="8" w:space="0" w:color="auto"/>
            </w:tcBorders>
            <w:shd w:val="clear" w:color="000000" w:fill="000000"/>
            <w:vAlign w:val="bottom"/>
            <w:hideMark/>
          </w:tcPr>
          <w:p w:rsidR="00162CD7" w:rsidRPr="000F0E33" w:rsidRDefault="00162CD7" w:rsidP="00727590">
            <w:pPr>
              <w:jc w:val="center"/>
              <w:rPr>
                <w:rFonts w:ascii="Arial" w:hAnsi="Arial" w:cs="Arial"/>
                <w:color w:val="000000"/>
                <w:sz w:val="18"/>
                <w:szCs w:val="18"/>
              </w:rPr>
            </w:pPr>
            <w:r w:rsidRPr="000F0E33">
              <w:rPr>
                <w:rFonts w:ascii="Arial"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jc w:val="center"/>
              <w:rPr>
                <w:rFonts w:ascii="Arial" w:hAnsi="Arial" w:cs="Arial"/>
                <w:b/>
                <w:bCs/>
                <w:color w:val="000000"/>
                <w:sz w:val="18"/>
                <w:szCs w:val="18"/>
              </w:rPr>
            </w:pPr>
            <w:r>
              <w:rPr>
                <w:rFonts w:ascii="Arial" w:hAnsi="Arial" w:cs="Arial"/>
                <w:b/>
                <w:bCs/>
                <w:color w:val="000000"/>
                <w:sz w:val="18"/>
                <w:szCs w:val="18"/>
              </w:rPr>
              <w:t>2,453</w:t>
            </w:r>
            <w:r w:rsidRPr="000F0E33">
              <w:rPr>
                <w:rFonts w:ascii="Arial" w:hAnsi="Arial" w:cs="Arial"/>
                <w:b/>
                <w:bCs/>
                <w:color w:val="000000"/>
                <w:sz w:val="18"/>
                <w:szCs w:val="18"/>
              </w:rPr>
              <w:t> </w:t>
            </w:r>
          </w:p>
        </w:tc>
        <w:tc>
          <w:tcPr>
            <w:tcW w:w="1080" w:type="dxa"/>
            <w:tcBorders>
              <w:top w:val="nil"/>
              <w:left w:val="nil"/>
              <w:bottom w:val="single" w:sz="8" w:space="0" w:color="auto"/>
              <w:right w:val="single" w:sz="8" w:space="0" w:color="auto"/>
            </w:tcBorders>
            <w:shd w:val="clear" w:color="000000" w:fill="000000"/>
            <w:vAlign w:val="bottom"/>
            <w:hideMark/>
          </w:tcPr>
          <w:p w:rsidR="00162CD7" w:rsidRPr="000F0E33" w:rsidRDefault="00162CD7" w:rsidP="00727590">
            <w:pPr>
              <w:jc w:val="center"/>
              <w:rPr>
                <w:rFonts w:ascii="Arial" w:hAnsi="Arial" w:cs="Arial"/>
                <w:color w:val="000000"/>
                <w:sz w:val="18"/>
                <w:szCs w:val="18"/>
              </w:rPr>
            </w:pPr>
            <w:r w:rsidRPr="000F0E33">
              <w:rPr>
                <w:rFonts w:ascii="Arial" w:hAnsi="Arial" w:cs="Arial"/>
                <w:color w:val="000000"/>
                <w:sz w:val="18"/>
                <w:szCs w:val="18"/>
              </w:rPr>
              <w:t> </w:t>
            </w:r>
          </w:p>
        </w:tc>
        <w:tc>
          <w:tcPr>
            <w:tcW w:w="1440" w:type="dxa"/>
            <w:tcBorders>
              <w:top w:val="nil"/>
              <w:left w:val="nil"/>
              <w:bottom w:val="single" w:sz="8" w:space="0" w:color="auto"/>
              <w:right w:val="single" w:sz="8" w:space="0" w:color="auto"/>
            </w:tcBorders>
            <w:shd w:val="clear" w:color="auto" w:fill="auto"/>
            <w:vAlign w:val="bottom"/>
            <w:hideMark/>
          </w:tcPr>
          <w:p w:rsidR="00162CD7" w:rsidRPr="000F0E33" w:rsidRDefault="00162CD7" w:rsidP="00727590">
            <w:pPr>
              <w:rPr>
                <w:rFonts w:ascii="Arial" w:hAnsi="Arial" w:cs="Arial"/>
                <w:b/>
                <w:bCs/>
                <w:color w:val="000000"/>
                <w:sz w:val="18"/>
                <w:szCs w:val="18"/>
              </w:rPr>
            </w:pPr>
            <w:r>
              <w:rPr>
                <w:rFonts w:ascii="Arial" w:hAnsi="Arial" w:cs="Arial"/>
                <w:b/>
                <w:bCs/>
                <w:color w:val="000000"/>
                <w:sz w:val="18"/>
                <w:szCs w:val="18"/>
              </w:rPr>
              <w:t>$139,060.57</w:t>
            </w:r>
          </w:p>
        </w:tc>
      </w:tr>
    </w:tbl>
    <w:p w:rsidR="00162CD7" w:rsidRDefault="00162CD7" w:rsidP="00162CD7">
      <w:pPr>
        <w:tabs>
          <w:tab w:val="left" w:pos="-720"/>
        </w:tabs>
        <w:suppressAutoHyphens/>
        <w:ind w:left="720"/>
        <w:rPr>
          <w:sz w:val="16"/>
          <w:szCs w:val="16"/>
        </w:rPr>
      </w:pPr>
      <w:r w:rsidRPr="00397F81">
        <w:rPr>
          <w:b/>
          <w:sz w:val="16"/>
          <w:szCs w:val="16"/>
        </w:rPr>
        <w:t>Note:</w:t>
      </w:r>
      <w:r w:rsidRPr="009B69D3">
        <w:rPr>
          <w:sz w:val="16"/>
          <w:szCs w:val="16"/>
        </w:rPr>
        <w:t xml:space="preserve"> The “Avg. Hourly Wage Rate” for each respondent includes a 1.4 multiplier to reflect a fully-loaded wage rate.</w:t>
      </w:r>
    </w:p>
    <w:p w:rsidR="00162CD7" w:rsidRDefault="00162CD7" w:rsidP="00162CD7">
      <w:pPr>
        <w:shd w:val="clear" w:color="auto" w:fill="FFFFFF"/>
        <w:tabs>
          <w:tab w:val="left" w:pos="-720"/>
        </w:tabs>
        <w:suppressAutoHyphens/>
      </w:pPr>
    </w:p>
    <w:p w:rsidR="00162CD7" w:rsidRDefault="00162CD7" w:rsidP="00162CD7">
      <w:pPr>
        <w:tabs>
          <w:tab w:val="left" w:pos="-720"/>
        </w:tabs>
        <w:suppressAutoHyphens/>
      </w:pPr>
      <w:r>
        <w:t>According to the U.S. Department of Labor, Bureau of Labor Statistics website (</w:t>
      </w:r>
      <w:hyperlink r:id="rId4" w:history="1">
        <w:r w:rsidRPr="00140445">
          <w:rPr>
            <w:rStyle w:val="Hyperlink"/>
          </w:rPr>
          <w:t>www.bls.gov</w:t>
        </w:r>
      </w:hyperlink>
      <w:r>
        <w:t>) the wage rate category for State Financial Managers</w:t>
      </w:r>
      <w:r w:rsidRPr="0052542F">
        <w:t xml:space="preserve"> is estimated to be ($</w:t>
      </w:r>
      <w:r>
        <w:t>40.09 x 1.4 =)</w:t>
      </w:r>
      <w:r w:rsidRPr="0052542F">
        <w:t xml:space="preserve"> $</w:t>
      </w:r>
      <w:r>
        <w:t>56.59</w:t>
      </w:r>
      <w:r w:rsidRPr="0052542F">
        <w:t xml:space="preserve"> per hour includi</w:t>
      </w:r>
      <w:r>
        <w:t>ng the wage rate multiplier, therefore, the estimated burden hour cost to respondents State Financial Managers is estimated to $139,060.57</w:t>
      </w:r>
      <w:r w:rsidRPr="00456EAA">
        <w:t xml:space="preserve">  annually.</w:t>
      </w:r>
    </w:p>
    <w:p w:rsidR="00162CD7" w:rsidRDefault="00162CD7" w:rsidP="00162CD7">
      <w:pPr>
        <w:shd w:val="clear" w:color="auto" w:fill="FFFFFF"/>
        <w:tabs>
          <w:tab w:val="left" w:pos="-720"/>
        </w:tabs>
        <w:suppressAutoHyphens/>
        <w:rPr>
          <w:sz w:val="26"/>
        </w:rPr>
      </w:pPr>
    </w:p>
    <w:p w:rsidR="00162CD7" w:rsidRDefault="00162CD7" w:rsidP="00162CD7">
      <w:pPr>
        <w:shd w:val="clear" w:color="auto" w:fill="FFFFFF"/>
        <w:tabs>
          <w:tab w:val="left" w:pos="-720"/>
        </w:tabs>
        <w:suppressAutoHyphens/>
        <w:rPr>
          <w:sz w:val="26"/>
        </w:rPr>
      </w:pPr>
    </w:p>
    <w:p w:rsidR="00162CD7" w:rsidRDefault="00162CD7" w:rsidP="00162CD7">
      <w:pPr>
        <w:shd w:val="clear" w:color="auto" w:fill="FFFFFF"/>
        <w:tabs>
          <w:tab w:val="left" w:pos="-720"/>
        </w:tabs>
        <w:suppressAutoHyphens/>
        <w:rPr>
          <w:sz w:val="26"/>
        </w:rPr>
      </w:pPr>
    </w:p>
    <w:p w:rsidR="00162CD7" w:rsidRDefault="00162CD7" w:rsidP="00162CD7">
      <w:pPr>
        <w:shd w:val="clear" w:color="auto" w:fill="FFFFFF"/>
        <w:tabs>
          <w:tab w:val="left" w:pos="-720"/>
        </w:tabs>
        <w:suppressAutoHyphens/>
        <w:rPr>
          <w:sz w:val="26"/>
        </w:rPr>
      </w:pPr>
    </w:p>
    <w:p w:rsidR="00162CD7" w:rsidRDefault="00245551" w:rsidP="00162CD7">
      <w:pPr>
        <w:rPr>
          <w:b/>
          <w:bCs/>
        </w:rPr>
      </w:pPr>
      <w:r>
        <w:lastRenderedPageBreak/>
        <w:fldChar w:fldCharType="begin"/>
      </w:r>
      <w:r w:rsidR="00162CD7">
        <w:instrText>ADVANCE \R 0.95</w:instrText>
      </w:r>
      <w:r>
        <w:fldChar w:fldCharType="end"/>
      </w:r>
      <w:r w:rsidR="00162CD7">
        <w:rPr>
          <w:b/>
          <w:bCs/>
        </w:rPr>
        <w:t>13.   Provide an estimate of the total annual cost burden to respondents or recordkeepers resulting from the collection of information.  (Do not include the cost of any hour burden shown in Items 12 and 14.)</w:t>
      </w:r>
    </w:p>
    <w:p w:rsidR="00162CD7" w:rsidRDefault="00162CD7" w:rsidP="00162CD7"/>
    <w:p w:rsidR="00162CD7" w:rsidRDefault="00162CD7" w:rsidP="00162CD7">
      <w:pPr>
        <w:rPr>
          <w:color w:val="000000"/>
        </w:rPr>
      </w:pPr>
      <w:r w:rsidRPr="00D335C9">
        <w:rPr>
          <w:color w:val="000000"/>
        </w:rPr>
        <w:t xml:space="preserve">There are no </w:t>
      </w:r>
      <w:r>
        <w:rPr>
          <w:color w:val="000000"/>
        </w:rPr>
        <w:t>operation and maintenance, or capital and start-up costs associated with this</w:t>
      </w:r>
      <w:r w:rsidRPr="00D335C9">
        <w:rPr>
          <w:color w:val="000000"/>
        </w:rPr>
        <w:t xml:space="preserve"> the collection of informa</w:t>
      </w:r>
      <w:r>
        <w:rPr>
          <w:color w:val="000000"/>
        </w:rPr>
        <w:t>tion.</w:t>
      </w:r>
    </w:p>
    <w:p w:rsidR="0097186D" w:rsidRDefault="0097186D" w:rsidP="0097186D">
      <w:pPr>
        <w:rPr>
          <w:b/>
          <w:bCs/>
        </w:rPr>
      </w:pPr>
    </w:p>
    <w:p w:rsidR="00A802B0" w:rsidRDefault="00A802B0" w:rsidP="00A802B0">
      <w:pPr>
        <w:tabs>
          <w:tab w:val="left" w:pos="360"/>
        </w:tabs>
        <w:rPr>
          <w:b/>
          <w:bCs/>
        </w:rPr>
      </w:pPr>
      <w:r>
        <w:rPr>
          <w:b/>
          <w:bCs/>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252BFD" w:rsidRPr="000A4AC6" w:rsidRDefault="00252BFD" w:rsidP="00252BFD">
      <w:pPr>
        <w:rPr>
          <w:color w:val="000000"/>
        </w:rPr>
      </w:pPr>
      <w:r w:rsidRPr="00156852">
        <w:rPr>
          <w:b/>
          <w:bCs/>
          <w:color w:val="FF0000"/>
        </w:rPr>
        <w:t>Note change to cost to the</w:t>
      </w:r>
      <w:r>
        <w:rPr>
          <w:b/>
          <w:bCs/>
          <w:color w:val="FF0000"/>
        </w:rPr>
        <w:t xml:space="preserve"> Federal Government below.</w:t>
      </w:r>
    </w:p>
    <w:p w:rsidR="00A802B0" w:rsidRDefault="00245551" w:rsidP="00A802B0">
      <w:r>
        <w:fldChar w:fldCharType="begin"/>
      </w:r>
      <w:r w:rsidR="00A802B0">
        <w:instrText>ADVANCE \R 0.95</w:instrText>
      </w:r>
      <w:r>
        <w:fldChar w:fldCharType="end"/>
      </w:r>
    </w:p>
    <w:p w:rsidR="00A802B0" w:rsidRDefault="00A802B0" w:rsidP="00A802B0">
      <w:pPr>
        <w:tabs>
          <w:tab w:val="left" w:pos="360"/>
        </w:tabs>
        <w:jc w:val="center"/>
        <w:rPr>
          <w:b/>
          <w:bCs/>
        </w:rPr>
      </w:pPr>
      <w:r w:rsidRPr="00877531">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960"/>
      </w:tblGrid>
      <w:tr w:rsidR="00A802B0" w:rsidRPr="00D7007C" w:rsidTr="00727590">
        <w:trPr>
          <w:trHeight w:val="70"/>
        </w:trPr>
        <w:tc>
          <w:tcPr>
            <w:tcW w:w="7680" w:type="dxa"/>
            <w:shd w:val="clear" w:color="auto" w:fill="D9D9D9"/>
            <w:noWrap/>
            <w:vAlign w:val="center"/>
          </w:tcPr>
          <w:p w:rsidR="00A802B0" w:rsidRPr="00D7007C" w:rsidRDefault="00A802B0" w:rsidP="00727590">
            <w:pPr>
              <w:jc w:val="center"/>
              <w:rPr>
                <w:rFonts w:ascii="Arial" w:hAnsi="Arial" w:cs="Arial"/>
                <w:b/>
                <w:bCs/>
                <w:sz w:val="20"/>
                <w:szCs w:val="20"/>
              </w:rPr>
            </w:pPr>
            <w:r w:rsidRPr="00D7007C">
              <w:rPr>
                <w:rFonts w:ascii="Arial" w:hAnsi="Arial" w:cs="Arial"/>
                <w:b/>
                <w:bCs/>
                <w:sz w:val="20"/>
                <w:szCs w:val="20"/>
              </w:rPr>
              <w:t>Item</w:t>
            </w:r>
          </w:p>
        </w:tc>
        <w:tc>
          <w:tcPr>
            <w:tcW w:w="960" w:type="dxa"/>
            <w:shd w:val="clear" w:color="auto" w:fill="D9D9D9"/>
            <w:noWrap/>
          </w:tcPr>
          <w:p w:rsidR="00A802B0" w:rsidRPr="00D7007C" w:rsidRDefault="00A802B0" w:rsidP="00727590">
            <w:pPr>
              <w:jc w:val="center"/>
              <w:rPr>
                <w:rFonts w:ascii="Arial" w:hAnsi="Arial" w:cs="Arial"/>
                <w:b/>
                <w:bCs/>
                <w:sz w:val="20"/>
                <w:szCs w:val="20"/>
              </w:rPr>
            </w:pPr>
            <w:r w:rsidRPr="00D7007C">
              <w:rPr>
                <w:rFonts w:ascii="Arial" w:hAnsi="Arial" w:cs="Arial"/>
                <w:b/>
                <w:bCs/>
                <w:sz w:val="20"/>
                <w:szCs w:val="20"/>
              </w:rPr>
              <w:t>Cost ($)</w:t>
            </w:r>
          </w:p>
        </w:tc>
      </w:tr>
      <w:tr w:rsidR="00A802B0" w:rsidRPr="00D7007C" w:rsidTr="00727590">
        <w:trPr>
          <w:trHeight w:val="495"/>
        </w:trPr>
        <w:tc>
          <w:tcPr>
            <w:tcW w:w="7680" w:type="dxa"/>
          </w:tcPr>
          <w:p w:rsidR="00A802B0" w:rsidRPr="00D951D4" w:rsidRDefault="00A802B0" w:rsidP="00727590">
            <w:r w:rsidRPr="00D951D4">
              <w:t xml:space="preserve">Contract Costs </w:t>
            </w:r>
            <w:r w:rsidRPr="00D7007C">
              <w:rPr>
                <w:b/>
                <w:sz w:val="18"/>
                <w:szCs w:val="18"/>
              </w:rPr>
              <w:t>[Describe]</w:t>
            </w:r>
            <w:r>
              <w:t xml:space="preserve"> </w:t>
            </w:r>
          </w:p>
        </w:tc>
        <w:tc>
          <w:tcPr>
            <w:tcW w:w="960" w:type="dxa"/>
          </w:tcPr>
          <w:p w:rsidR="00A802B0" w:rsidRPr="00D7007C" w:rsidRDefault="00A802B0" w:rsidP="00727590">
            <w:pPr>
              <w:rPr>
                <w:rFonts w:ascii="Arial" w:hAnsi="Arial" w:cs="Arial"/>
                <w:sz w:val="20"/>
                <w:szCs w:val="20"/>
              </w:rPr>
            </w:pPr>
            <w:r w:rsidRPr="00D7007C">
              <w:rPr>
                <w:rFonts w:ascii="Arial" w:hAnsi="Arial" w:cs="Arial"/>
                <w:sz w:val="20"/>
                <w:szCs w:val="20"/>
              </w:rPr>
              <w:t> N/A</w:t>
            </w:r>
          </w:p>
        </w:tc>
      </w:tr>
      <w:tr w:rsidR="00A802B0" w:rsidRPr="00D7007C" w:rsidTr="00727590">
        <w:trPr>
          <w:trHeight w:val="510"/>
        </w:trPr>
        <w:tc>
          <w:tcPr>
            <w:tcW w:w="7680" w:type="dxa"/>
          </w:tcPr>
          <w:p w:rsidR="00A802B0" w:rsidRPr="00D951D4" w:rsidRDefault="00A802B0" w:rsidP="00727590">
            <w:r w:rsidRPr="00D951D4">
              <w:t xml:space="preserve">Staff Salaries </w:t>
            </w:r>
            <w:r w:rsidRPr="00D7007C">
              <w:rPr>
                <w:b/>
                <w:bCs/>
                <w:sz w:val="18"/>
                <w:szCs w:val="18"/>
              </w:rPr>
              <w:t xml:space="preserve">[ Four GS </w:t>
            </w:r>
            <w:r w:rsidRPr="00D7007C">
              <w:rPr>
                <w:b/>
                <w:bCs/>
                <w:sz w:val="18"/>
                <w:szCs w:val="18"/>
                <w:u w:val="single"/>
              </w:rPr>
              <w:t>12</w:t>
            </w:r>
            <w:r w:rsidRPr="00D7007C">
              <w:rPr>
                <w:b/>
                <w:bCs/>
                <w:sz w:val="18"/>
                <w:szCs w:val="18"/>
              </w:rPr>
              <w:t xml:space="preserve"> </w:t>
            </w:r>
            <w:r>
              <w:rPr>
                <w:b/>
                <w:bCs/>
                <w:sz w:val="18"/>
                <w:szCs w:val="18"/>
              </w:rPr>
              <w:t xml:space="preserve">step 1 </w:t>
            </w:r>
            <w:r w:rsidRPr="00D7007C">
              <w:rPr>
                <w:b/>
                <w:bCs/>
                <w:sz w:val="18"/>
                <w:szCs w:val="18"/>
              </w:rPr>
              <w:t>employees spending approximately 5 % of time annually processing information for this data collection]</w:t>
            </w:r>
            <w:r>
              <w:rPr>
                <w:b/>
                <w:bCs/>
                <w:sz w:val="18"/>
                <w:szCs w:val="18"/>
              </w:rPr>
              <w:t xml:space="preserve"> $74,872 x 5% x 1.4 x 5 employees = $14,974</w:t>
            </w:r>
          </w:p>
        </w:tc>
        <w:tc>
          <w:tcPr>
            <w:tcW w:w="960" w:type="dxa"/>
            <w:noWrap/>
          </w:tcPr>
          <w:p w:rsidR="00A802B0" w:rsidRPr="00D7007C" w:rsidRDefault="00A802B0" w:rsidP="00727590">
            <w:pPr>
              <w:rPr>
                <w:rFonts w:ascii="Arial" w:hAnsi="Arial" w:cs="Arial"/>
                <w:sz w:val="20"/>
                <w:szCs w:val="20"/>
              </w:rPr>
            </w:pPr>
            <w:r>
              <w:rPr>
                <w:rFonts w:ascii="Arial" w:hAnsi="Arial" w:cs="Arial"/>
                <w:sz w:val="20"/>
                <w:szCs w:val="20"/>
              </w:rPr>
              <w:t>$14,974</w:t>
            </w:r>
          </w:p>
        </w:tc>
      </w:tr>
      <w:tr w:rsidR="00A802B0" w:rsidRPr="00D7007C" w:rsidTr="00727590">
        <w:trPr>
          <w:trHeight w:val="270"/>
        </w:trPr>
        <w:tc>
          <w:tcPr>
            <w:tcW w:w="7680" w:type="dxa"/>
            <w:noWrap/>
          </w:tcPr>
          <w:p w:rsidR="00A802B0" w:rsidRPr="00D951D4" w:rsidRDefault="00A802B0" w:rsidP="00727590">
            <w:r w:rsidRPr="00D951D4">
              <w:t>Facilities</w:t>
            </w:r>
            <w:r>
              <w:t xml:space="preserve"> </w:t>
            </w:r>
            <w:r w:rsidRPr="00D7007C">
              <w:rPr>
                <w:b/>
                <w:sz w:val="18"/>
                <w:szCs w:val="18"/>
              </w:rPr>
              <w:t>[cost for renting, overhead, ect. for data collection activity]</w:t>
            </w:r>
          </w:p>
        </w:tc>
        <w:tc>
          <w:tcPr>
            <w:tcW w:w="960" w:type="dxa"/>
            <w:noWrap/>
          </w:tcPr>
          <w:p w:rsidR="00A802B0" w:rsidRPr="00D7007C" w:rsidRDefault="00A802B0" w:rsidP="00727590">
            <w:pPr>
              <w:rPr>
                <w:rFonts w:ascii="Arial" w:hAnsi="Arial" w:cs="Arial"/>
                <w:sz w:val="20"/>
                <w:szCs w:val="20"/>
              </w:rPr>
            </w:pPr>
            <w:r w:rsidRPr="00D7007C">
              <w:rPr>
                <w:rFonts w:ascii="Arial" w:hAnsi="Arial" w:cs="Arial"/>
                <w:sz w:val="20"/>
                <w:szCs w:val="20"/>
              </w:rPr>
              <w:t>N/A</w:t>
            </w:r>
          </w:p>
        </w:tc>
      </w:tr>
      <w:tr w:rsidR="00A802B0" w:rsidRPr="00D7007C" w:rsidTr="00727590">
        <w:trPr>
          <w:trHeight w:val="240"/>
        </w:trPr>
        <w:tc>
          <w:tcPr>
            <w:tcW w:w="7680" w:type="dxa"/>
            <w:noWrap/>
          </w:tcPr>
          <w:p w:rsidR="00A802B0" w:rsidRPr="00D951D4" w:rsidRDefault="00A802B0" w:rsidP="00727590">
            <w:r w:rsidRPr="00D951D4">
              <w:t>Computer Hardware and Software</w:t>
            </w:r>
            <w:r>
              <w:t xml:space="preserve"> </w:t>
            </w:r>
            <w:r w:rsidRPr="00D7007C">
              <w:rPr>
                <w:b/>
                <w:sz w:val="18"/>
                <w:szCs w:val="18"/>
              </w:rPr>
              <w:t>[cost of equipment annual lifecycle]</w:t>
            </w:r>
          </w:p>
        </w:tc>
        <w:tc>
          <w:tcPr>
            <w:tcW w:w="960" w:type="dxa"/>
            <w:noWrap/>
          </w:tcPr>
          <w:p w:rsidR="00A802B0" w:rsidRPr="00D7007C" w:rsidRDefault="00A802B0" w:rsidP="00727590">
            <w:pPr>
              <w:rPr>
                <w:rFonts w:ascii="Arial" w:hAnsi="Arial" w:cs="Arial"/>
                <w:sz w:val="20"/>
                <w:szCs w:val="20"/>
              </w:rPr>
            </w:pPr>
            <w:r w:rsidRPr="00D7007C">
              <w:rPr>
                <w:rFonts w:ascii="Arial" w:hAnsi="Arial" w:cs="Arial"/>
                <w:sz w:val="20"/>
                <w:szCs w:val="20"/>
              </w:rPr>
              <w:t> N/A</w:t>
            </w:r>
          </w:p>
        </w:tc>
      </w:tr>
      <w:tr w:rsidR="00A802B0" w:rsidRPr="00D7007C" w:rsidTr="00727590">
        <w:trPr>
          <w:trHeight w:val="255"/>
        </w:trPr>
        <w:tc>
          <w:tcPr>
            <w:tcW w:w="7680" w:type="dxa"/>
            <w:noWrap/>
          </w:tcPr>
          <w:p w:rsidR="00A802B0" w:rsidRPr="00D951D4" w:rsidRDefault="00A802B0" w:rsidP="00727590">
            <w:r w:rsidRPr="00D951D4">
              <w:t>Equipment Maintenance</w:t>
            </w:r>
            <w:r>
              <w:t xml:space="preserve"> </w:t>
            </w:r>
            <w:r w:rsidRPr="00D7007C">
              <w:rPr>
                <w:b/>
                <w:sz w:val="18"/>
                <w:szCs w:val="18"/>
              </w:rPr>
              <w:t>[cost of annual maintenance/service agreements for equipment]</w:t>
            </w:r>
          </w:p>
        </w:tc>
        <w:tc>
          <w:tcPr>
            <w:tcW w:w="960" w:type="dxa"/>
            <w:noWrap/>
          </w:tcPr>
          <w:p w:rsidR="00A802B0" w:rsidRPr="00D7007C" w:rsidRDefault="00A802B0" w:rsidP="00727590">
            <w:pPr>
              <w:rPr>
                <w:rFonts w:ascii="Arial" w:hAnsi="Arial" w:cs="Arial"/>
                <w:sz w:val="20"/>
                <w:szCs w:val="20"/>
              </w:rPr>
            </w:pPr>
            <w:r w:rsidRPr="00D7007C">
              <w:rPr>
                <w:rFonts w:ascii="Arial" w:hAnsi="Arial" w:cs="Arial"/>
                <w:sz w:val="20"/>
                <w:szCs w:val="20"/>
              </w:rPr>
              <w:t> N/A</w:t>
            </w:r>
          </w:p>
        </w:tc>
      </w:tr>
      <w:tr w:rsidR="00A802B0" w:rsidRPr="00D7007C" w:rsidTr="00727590">
        <w:trPr>
          <w:trHeight w:val="255"/>
        </w:trPr>
        <w:tc>
          <w:tcPr>
            <w:tcW w:w="7680" w:type="dxa"/>
            <w:noWrap/>
          </w:tcPr>
          <w:p w:rsidR="00A802B0" w:rsidRPr="00D951D4" w:rsidRDefault="00A802B0" w:rsidP="00727590">
            <w:r w:rsidRPr="00D951D4">
              <w:t xml:space="preserve">Travel </w:t>
            </w:r>
            <w:r>
              <w:t>3 persons traveling 3 times a year = $1,500 x 3 = $4,500</w:t>
            </w:r>
          </w:p>
        </w:tc>
        <w:tc>
          <w:tcPr>
            <w:tcW w:w="960" w:type="dxa"/>
            <w:noWrap/>
          </w:tcPr>
          <w:p w:rsidR="00A802B0" w:rsidRPr="00D7007C" w:rsidRDefault="00A802B0" w:rsidP="00727590">
            <w:pPr>
              <w:rPr>
                <w:rFonts w:ascii="Arial" w:hAnsi="Arial" w:cs="Arial"/>
                <w:sz w:val="20"/>
                <w:szCs w:val="20"/>
              </w:rPr>
            </w:pPr>
            <w:r>
              <w:rPr>
                <w:rFonts w:ascii="Arial" w:hAnsi="Arial" w:cs="Arial"/>
                <w:sz w:val="20"/>
                <w:szCs w:val="20"/>
              </w:rPr>
              <w:t>$4</w:t>
            </w:r>
            <w:r w:rsidRPr="00D7007C">
              <w:rPr>
                <w:rFonts w:ascii="Arial" w:hAnsi="Arial" w:cs="Arial"/>
                <w:sz w:val="20"/>
                <w:szCs w:val="20"/>
              </w:rPr>
              <w:t>,500</w:t>
            </w:r>
          </w:p>
        </w:tc>
      </w:tr>
      <w:tr w:rsidR="00A802B0" w:rsidRPr="00D7007C" w:rsidTr="00727590">
        <w:trPr>
          <w:trHeight w:val="255"/>
        </w:trPr>
        <w:tc>
          <w:tcPr>
            <w:tcW w:w="7680" w:type="dxa"/>
            <w:noWrap/>
          </w:tcPr>
          <w:p w:rsidR="00A802B0" w:rsidRPr="00D951D4" w:rsidRDefault="00A802B0" w:rsidP="00727590">
            <w:r w:rsidRPr="00D951D4">
              <w:t xml:space="preserve">Printing </w:t>
            </w:r>
            <w:r w:rsidRPr="00D7007C">
              <w:rPr>
                <w:b/>
                <w:sz w:val="18"/>
                <w:szCs w:val="18"/>
              </w:rPr>
              <w:t>[number of data collection instruments annually]</w:t>
            </w:r>
          </w:p>
        </w:tc>
        <w:tc>
          <w:tcPr>
            <w:tcW w:w="960" w:type="dxa"/>
            <w:noWrap/>
          </w:tcPr>
          <w:p w:rsidR="00A802B0" w:rsidRPr="00D7007C" w:rsidRDefault="00A802B0" w:rsidP="00727590">
            <w:pPr>
              <w:rPr>
                <w:rFonts w:ascii="Arial" w:hAnsi="Arial" w:cs="Arial"/>
                <w:sz w:val="20"/>
                <w:szCs w:val="20"/>
              </w:rPr>
            </w:pPr>
            <w:r w:rsidRPr="00D7007C">
              <w:rPr>
                <w:rFonts w:ascii="Arial" w:hAnsi="Arial" w:cs="Arial"/>
                <w:sz w:val="20"/>
                <w:szCs w:val="20"/>
              </w:rPr>
              <w:t xml:space="preserve"> N/A</w:t>
            </w:r>
          </w:p>
        </w:tc>
      </w:tr>
      <w:tr w:rsidR="00A802B0" w:rsidRPr="00D7007C" w:rsidTr="00727590">
        <w:trPr>
          <w:trHeight w:val="255"/>
        </w:trPr>
        <w:tc>
          <w:tcPr>
            <w:tcW w:w="7680" w:type="dxa"/>
            <w:noWrap/>
          </w:tcPr>
          <w:p w:rsidR="00A802B0" w:rsidRPr="00D7007C" w:rsidRDefault="00A802B0" w:rsidP="00727590">
            <w:pPr>
              <w:rPr>
                <w:rFonts w:ascii="Arial" w:hAnsi="Arial" w:cs="Arial"/>
                <w:sz w:val="20"/>
                <w:szCs w:val="20"/>
              </w:rPr>
            </w:pPr>
            <w:r w:rsidRPr="00D7007C">
              <w:rPr>
                <w:rFonts w:ascii="Arial" w:hAnsi="Arial" w:cs="Arial"/>
                <w:sz w:val="20"/>
                <w:szCs w:val="20"/>
              </w:rPr>
              <w:t xml:space="preserve">Postage </w:t>
            </w:r>
            <w:r w:rsidRPr="00D7007C">
              <w:rPr>
                <w:b/>
                <w:sz w:val="18"/>
                <w:szCs w:val="18"/>
              </w:rPr>
              <w:t>[annual number of data collection instruments x postage]</w:t>
            </w:r>
          </w:p>
        </w:tc>
        <w:tc>
          <w:tcPr>
            <w:tcW w:w="960" w:type="dxa"/>
            <w:noWrap/>
          </w:tcPr>
          <w:p w:rsidR="00A802B0" w:rsidRPr="00D7007C" w:rsidRDefault="00A802B0" w:rsidP="00727590">
            <w:pPr>
              <w:rPr>
                <w:rFonts w:ascii="Arial" w:hAnsi="Arial" w:cs="Arial"/>
                <w:sz w:val="20"/>
                <w:szCs w:val="20"/>
              </w:rPr>
            </w:pPr>
            <w:r w:rsidRPr="00D7007C">
              <w:rPr>
                <w:rFonts w:ascii="Arial" w:hAnsi="Arial" w:cs="Arial"/>
                <w:sz w:val="20"/>
                <w:szCs w:val="20"/>
              </w:rPr>
              <w:t> N/A</w:t>
            </w:r>
          </w:p>
        </w:tc>
      </w:tr>
      <w:tr w:rsidR="00A802B0" w:rsidRPr="00D7007C" w:rsidTr="00727590">
        <w:trPr>
          <w:trHeight w:val="255"/>
        </w:trPr>
        <w:tc>
          <w:tcPr>
            <w:tcW w:w="7680" w:type="dxa"/>
            <w:noWrap/>
          </w:tcPr>
          <w:p w:rsidR="00A802B0" w:rsidRPr="00D7007C" w:rsidRDefault="00A802B0" w:rsidP="00727590">
            <w:pPr>
              <w:rPr>
                <w:rFonts w:ascii="Arial" w:hAnsi="Arial" w:cs="Arial"/>
                <w:sz w:val="20"/>
                <w:szCs w:val="20"/>
              </w:rPr>
            </w:pPr>
            <w:r w:rsidRPr="00D7007C">
              <w:rPr>
                <w:rFonts w:ascii="Arial" w:hAnsi="Arial" w:cs="Arial"/>
                <w:sz w:val="20"/>
                <w:szCs w:val="20"/>
              </w:rPr>
              <w:t>Other</w:t>
            </w:r>
            <w:r w:rsidRPr="00D7007C">
              <w:rPr>
                <w:rFonts w:ascii="Arial" w:hAnsi="Arial" w:cs="Arial"/>
                <w:b/>
                <w:sz w:val="20"/>
                <w:szCs w:val="20"/>
              </w:rPr>
              <w:t xml:space="preserve"> [</w:t>
            </w:r>
            <w:r w:rsidRPr="00D7007C">
              <w:rPr>
                <w:b/>
                <w:sz w:val="20"/>
                <w:szCs w:val="20"/>
              </w:rPr>
              <w:t>Training</w:t>
            </w:r>
            <w:r>
              <w:rPr>
                <w:b/>
                <w:sz w:val="20"/>
                <w:szCs w:val="20"/>
              </w:rPr>
              <w:t xml:space="preserve"> conducted in regions on the mission assignment process</w:t>
            </w:r>
            <w:r w:rsidRPr="00D7007C">
              <w:rPr>
                <w:b/>
                <w:sz w:val="20"/>
                <w:szCs w:val="20"/>
              </w:rPr>
              <w:t>]</w:t>
            </w:r>
            <w:r>
              <w:rPr>
                <w:b/>
                <w:sz w:val="20"/>
                <w:szCs w:val="20"/>
              </w:rPr>
              <w:t xml:space="preserve"> 3 GS 12 Step 1 employees spending 2% of their time conducting the training: $74,872 x 2% x 1.4 x 3 employees = $6,289</w:t>
            </w:r>
          </w:p>
        </w:tc>
        <w:tc>
          <w:tcPr>
            <w:tcW w:w="960" w:type="dxa"/>
            <w:noWrap/>
          </w:tcPr>
          <w:p w:rsidR="00A802B0" w:rsidRPr="00D7007C" w:rsidRDefault="00A802B0" w:rsidP="00727590">
            <w:pPr>
              <w:rPr>
                <w:rFonts w:ascii="Arial" w:hAnsi="Arial" w:cs="Arial"/>
                <w:sz w:val="20"/>
                <w:szCs w:val="20"/>
              </w:rPr>
            </w:pPr>
            <w:r>
              <w:rPr>
                <w:rFonts w:ascii="Arial" w:hAnsi="Arial" w:cs="Arial"/>
                <w:sz w:val="20"/>
                <w:szCs w:val="20"/>
              </w:rPr>
              <w:t>$6,289</w:t>
            </w:r>
          </w:p>
        </w:tc>
      </w:tr>
      <w:tr w:rsidR="00A802B0" w:rsidRPr="00D7007C" w:rsidTr="00727590">
        <w:trPr>
          <w:trHeight w:val="270"/>
        </w:trPr>
        <w:tc>
          <w:tcPr>
            <w:tcW w:w="7680" w:type="dxa"/>
            <w:noWrap/>
          </w:tcPr>
          <w:p w:rsidR="00A802B0" w:rsidRPr="00D7007C" w:rsidRDefault="00A802B0" w:rsidP="00727590">
            <w:pPr>
              <w:rPr>
                <w:rFonts w:ascii="Arial" w:hAnsi="Arial" w:cs="Arial"/>
                <w:b/>
                <w:bCs/>
                <w:sz w:val="20"/>
                <w:szCs w:val="20"/>
              </w:rPr>
            </w:pPr>
            <w:r w:rsidRPr="00D7007C">
              <w:rPr>
                <w:rFonts w:ascii="Arial" w:hAnsi="Arial" w:cs="Arial"/>
                <w:b/>
                <w:bCs/>
                <w:sz w:val="20"/>
                <w:szCs w:val="20"/>
              </w:rPr>
              <w:t>Total</w:t>
            </w:r>
          </w:p>
        </w:tc>
        <w:tc>
          <w:tcPr>
            <w:tcW w:w="960" w:type="dxa"/>
            <w:noWrap/>
          </w:tcPr>
          <w:p w:rsidR="00A802B0" w:rsidRPr="00D7007C" w:rsidRDefault="00A802B0" w:rsidP="00727590">
            <w:pPr>
              <w:rPr>
                <w:rFonts w:ascii="Arial" w:hAnsi="Arial" w:cs="Arial"/>
                <w:b/>
                <w:bCs/>
                <w:sz w:val="20"/>
                <w:szCs w:val="20"/>
              </w:rPr>
            </w:pPr>
            <w:r>
              <w:rPr>
                <w:rFonts w:ascii="Arial" w:hAnsi="Arial" w:cs="Arial"/>
                <w:b/>
                <w:bCs/>
                <w:sz w:val="20"/>
                <w:szCs w:val="20"/>
              </w:rPr>
              <w:t>$25,763</w:t>
            </w:r>
          </w:p>
        </w:tc>
      </w:tr>
    </w:tbl>
    <w:p w:rsidR="00A802B0" w:rsidRDefault="00A802B0" w:rsidP="00A802B0"/>
    <w:p w:rsidR="005A08CD" w:rsidRDefault="00245551" w:rsidP="005A08CD">
      <w:pPr>
        <w:rPr>
          <w:b/>
          <w:color w:val="FF0000"/>
        </w:rPr>
      </w:pPr>
      <w:r>
        <w:fldChar w:fldCharType="begin"/>
      </w:r>
      <w:r w:rsidR="00A802B0">
        <w:instrText>ADVANCE \R 0.95</w:instrText>
      </w:r>
      <w:r>
        <w:fldChar w:fldCharType="end"/>
      </w:r>
      <w:r w:rsidR="00A802B0">
        <w:rPr>
          <w:b/>
          <w:bCs/>
        </w:rPr>
        <w:t>15.  Explain the reasons for any program changes or adjustments reported in Items 13 or 14 of the OMB Form 83-I.  Changes in hour burden, i.e., program changes or adjustments made to annual reporting and recordkeeping hour and cost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w:t>
      </w:r>
      <w:r w:rsidR="00A802B0">
        <w:t xml:space="preserve">. </w:t>
      </w:r>
      <w:r w:rsidR="005A08CD">
        <w:rPr>
          <w:b/>
          <w:color w:val="FF0000"/>
        </w:rPr>
        <w:t>See descriptions below each chart for changes.</w:t>
      </w:r>
    </w:p>
    <w:p w:rsidR="00A802B0" w:rsidRPr="003B1C2C" w:rsidRDefault="00245551" w:rsidP="00A802B0">
      <w:pPr>
        <w:pStyle w:val="NormalWeb"/>
        <w:rPr>
          <w:i/>
          <w:sz w:val="20"/>
          <w:szCs w:val="20"/>
        </w:rPr>
      </w:pPr>
      <w:r>
        <w:fldChar w:fldCharType="begin"/>
      </w:r>
      <w:r w:rsidR="00A802B0">
        <w:instrText>ADVANCE \R 0.95</w:instrText>
      </w:r>
      <w:r>
        <w:fldChar w:fldCharType="end"/>
      </w:r>
      <w:r w:rsidR="00A802B0" w:rsidRPr="00731D80">
        <w:rPr>
          <w:i/>
        </w:rPr>
        <w:t xml:space="preserve"> </w:t>
      </w:r>
      <w:r w:rsidR="00A802B0" w:rsidRPr="003B1C2C">
        <w:rPr>
          <w:i/>
          <w:sz w:val="20"/>
          <w:szCs w:val="20"/>
        </w:rPr>
        <w:t xml:space="preserve">A </w:t>
      </w:r>
      <w:r w:rsidR="00A802B0" w:rsidRPr="003B1C2C">
        <w:rPr>
          <w:b/>
          <w:bCs/>
          <w:i/>
          <w:sz w:val="20"/>
          <w:szCs w:val="20"/>
        </w:rPr>
        <w:t>"Program increase"</w:t>
      </w:r>
      <w:r w:rsidR="00A802B0" w:rsidRPr="003B1C2C">
        <w:rPr>
          <w:i/>
          <w:sz w:val="20"/>
          <w:szCs w:val="20"/>
        </w:rPr>
        <w:t xml:space="preserve"> is an additional burden resulting from </w:t>
      </w:r>
      <w:proofErr w:type="gramStart"/>
      <w:r w:rsidR="00A802B0" w:rsidRPr="003B1C2C">
        <w:rPr>
          <w:i/>
          <w:sz w:val="20"/>
          <w:szCs w:val="20"/>
        </w:rPr>
        <w:t>a</w:t>
      </w:r>
      <w:r w:rsidR="00A802B0">
        <w:rPr>
          <w:i/>
          <w:sz w:val="20"/>
          <w:szCs w:val="20"/>
        </w:rPr>
        <w:t>n</w:t>
      </w:r>
      <w:proofErr w:type="gramEnd"/>
      <w:r w:rsidR="00A802B0">
        <w:rPr>
          <w:i/>
          <w:sz w:val="20"/>
          <w:szCs w:val="20"/>
        </w:rPr>
        <w:t xml:space="preserve"> federal government regulatory</w:t>
      </w:r>
      <w:r w:rsidR="00A802B0" w:rsidRPr="003B1C2C">
        <w:rPr>
          <w:i/>
          <w:sz w:val="20"/>
          <w:szCs w:val="20"/>
        </w:rPr>
        <w:t xml:space="preserve"> action or directive</w:t>
      </w:r>
      <w:r w:rsidR="00A802B0">
        <w:rPr>
          <w:i/>
          <w:sz w:val="20"/>
          <w:szCs w:val="20"/>
        </w:rPr>
        <w:t>.</w:t>
      </w:r>
      <w:r w:rsidR="00A802B0" w:rsidRPr="003B1C2C">
        <w:rPr>
          <w:i/>
          <w:sz w:val="20"/>
          <w:szCs w:val="20"/>
        </w:rPr>
        <w:t xml:space="preserve"> (e.g., an increase in sample size or coverage, amount of information, reporting frequency, or expanded use of an</w:t>
      </w:r>
      <w:r w:rsidR="00A802B0">
        <w:rPr>
          <w:i/>
          <w:sz w:val="20"/>
          <w:szCs w:val="20"/>
        </w:rPr>
        <w:t xml:space="preserve"> </w:t>
      </w:r>
      <w:r w:rsidR="00A802B0" w:rsidRPr="003B1C2C">
        <w:rPr>
          <w:i/>
          <w:sz w:val="20"/>
          <w:szCs w:val="20"/>
        </w:rPr>
        <w:t>existing form). This also includes previously in-use</w:t>
      </w:r>
      <w:r w:rsidR="00A802B0">
        <w:rPr>
          <w:i/>
          <w:sz w:val="20"/>
          <w:szCs w:val="20"/>
        </w:rPr>
        <w:t xml:space="preserve"> </w:t>
      </w:r>
      <w:r w:rsidR="00A802B0" w:rsidRPr="003B1C2C">
        <w:rPr>
          <w:i/>
          <w:sz w:val="20"/>
          <w:szCs w:val="20"/>
        </w:rPr>
        <w:t>and unapproved information</w:t>
      </w:r>
      <w:r w:rsidR="00A802B0">
        <w:rPr>
          <w:i/>
          <w:sz w:val="20"/>
          <w:szCs w:val="20"/>
        </w:rPr>
        <w:t xml:space="preserve"> </w:t>
      </w:r>
      <w:r w:rsidR="00A802B0" w:rsidRPr="003B1C2C">
        <w:rPr>
          <w:i/>
          <w:sz w:val="20"/>
          <w:szCs w:val="20"/>
        </w:rPr>
        <w:t>collections discovered during the ICB process, or during the fiscal</w:t>
      </w:r>
      <w:r w:rsidR="00A802B0">
        <w:rPr>
          <w:i/>
          <w:sz w:val="20"/>
          <w:szCs w:val="20"/>
        </w:rPr>
        <w:t xml:space="preserve"> y</w:t>
      </w:r>
      <w:r w:rsidR="00A802B0" w:rsidRPr="003B1C2C">
        <w:rPr>
          <w:i/>
          <w:sz w:val="20"/>
          <w:szCs w:val="20"/>
        </w:rPr>
        <w:t>ear, which</w:t>
      </w:r>
      <w:r w:rsidR="00A802B0">
        <w:rPr>
          <w:i/>
          <w:sz w:val="20"/>
          <w:szCs w:val="20"/>
        </w:rPr>
        <w:t xml:space="preserve"> </w:t>
      </w:r>
      <w:r w:rsidR="00A802B0" w:rsidRPr="003B1C2C">
        <w:rPr>
          <w:i/>
          <w:sz w:val="20"/>
          <w:szCs w:val="20"/>
        </w:rPr>
        <w:t xml:space="preserve">will be in use during the next fiscal year. </w:t>
      </w:r>
    </w:p>
    <w:p w:rsidR="00A802B0" w:rsidRPr="003B1C2C" w:rsidRDefault="00A802B0" w:rsidP="00A802B0">
      <w:pPr>
        <w:pStyle w:val="NormalWeb"/>
        <w:rPr>
          <w:i/>
          <w:sz w:val="20"/>
          <w:szCs w:val="20"/>
        </w:rPr>
      </w:pPr>
      <w:r w:rsidRPr="003B1C2C">
        <w:rPr>
          <w:i/>
          <w:sz w:val="20"/>
          <w:szCs w:val="20"/>
        </w:rPr>
        <w:lastRenderedPageBreak/>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discontinuation of an </w:t>
      </w:r>
      <w:r w:rsidRPr="003B1C2C">
        <w:rPr>
          <w:i/>
          <w:sz w:val="20"/>
          <w:szCs w:val="20"/>
        </w:rPr>
        <w:t>information collection; or (2) a change in an existing</w:t>
      </w:r>
      <w:r>
        <w:rPr>
          <w:i/>
          <w:sz w:val="20"/>
          <w:szCs w:val="20"/>
        </w:rPr>
        <w:t xml:space="preserve"> </w:t>
      </w:r>
      <w:r w:rsidRPr="003B1C2C">
        <w:rPr>
          <w:i/>
          <w:sz w:val="20"/>
          <w:szCs w:val="20"/>
        </w:rPr>
        <w:t>information collection by a Federal agency</w:t>
      </w:r>
      <w:r>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A802B0" w:rsidRDefault="00A802B0" w:rsidP="00A802B0">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Ind w:w="93" w:type="dxa"/>
        <w:tblLook w:val="0000"/>
      </w:tblPr>
      <w:tblGrid>
        <w:gridCol w:w="2340"/>
        <w:gridCol w:w="1240"/>
        <w:gridCol w:w="960"/>
        <w:gridCol w:w="1260"/>
        <w:gridCol w:w="1400"/>
        <w:gridCol w:w="1420"/>
        <w:gridCol w:w="1740"/>
      </w:tblGrid>
      <w:tr w:rsidR="00A802B0" w:rsidTr="0072759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A802B0" w:rsidRDefault="00A802B0" w:rsidP="00727590">
            <w:pPr>
              <w:jc w:val="center"/>
              <w:rPr>
                <w:b/>
                <w:bCs/>
                <w:sz w:val="18"/>
                <w:szCs w:val="18"/>
              </w:rPr>
            </w:pPr>
            <w:r>
              <w:rPr>
                <w:b/>
                <w:bCs/>
                <w:sz w:val="18"/>
                <w:szCs w:val="18"/>
              </w:rPr>
              <w:t>Itemized Changes in Annual Burden Hours</w:t>
            </w:r>
          </w:p>
        </w:tc>
      </w:tr>
      <w:tr w:rsidR="00A802B0" w:rsidTr="00727590">
        <w:trPr>
          <w:trHeight w:val="145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Difference</w:t>
            </w:r>
          </w:p>
        </w:tc>
      </w:tr>
      <w:tr w:rsidR="00A802B0" w:rsidTr="0072759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Pr="000F0E33" w:rsidRDefault="00A802B0"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Action Request Form / FEMA Form 010-0-7</w:t>
            </w:r>
          </w:p>
        </w:tc>
        <w:tc>
          <w:tcPr>
            <w:tcW w:w="12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196 </w:t>
            </w:r>
          </w:p>
        </w:tc>
        <w:tc>
          <w:tcPr>
            <w:tcW w:w="142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2,133</w:t>
            </w:r>
          </w:p>
        </w:tc>
        <w:tc>
          <w:tcPr>
            <w:tcW w:w="17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+1,937</w:t>
            </w:r>
          </w:p>
        </w:tc>
      </w:tr>
      <w:tr w:rsidR="00A802B0" w:rsidTr="0072759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Pr="000F0E33" w:rsidRDefault="00A802B0"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FEMA Form 010-0-8 / Mission Assignment </w:t>
            </w:r>
          </w:p>
        </w:tc>
        <w:tc>
          <w:tcPr>
            <w:tcW w:w="12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653</w:t>
            </w:r>
          </w:p>
        </w:tc>
        <w:tc>
          <w:tcPr>
            <w:tcW w:w="142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160</w:t>
            </w:r>
          </w:p>
        </w:tc>
        <w:tc>
          <w:tcPr>
            <w:tcW w:w="17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 -493</w:t>
            </w:r>
          </w:p>
        </w:tc>
      </w:tr>
      <w:tr w:rsidR="00A802B0" w:rsidTr="0072759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Pr="000F0E33" w:rsidRDefault="00A802B0" w:rsidP="00727590">
            <w:pPr>
              <w:rPr>
                <w:rFonts w:ascii="Arial" w:hAnsi="Arial" w:cs="Arial"/>
                <w:color w:val="000000"/>
                <w:sz w:val="18"/>
                <w:szCs w:val="18"/>
              </w:rPr>
            </w:pPr>
            <w:r>
              <w:rPr>
                <w:rFonts w:ascii="Arial" w:hAnsi="Arial" w:cs="Arial"/>
                <w:color w:val="000000"/>
                <w:sz w:val="18"/>
                <w:szCs w:val="18"/>
              </w:rPr>
              <w:t>Training / No Form</w:t>
            </w:r>
          </w:p>
        </w:tc>
        <w:tc>
          <w:tcPr>
            <w:tcW w:w="12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896</w:t>
            </w:r>
          </w:p>
        </w:tc>
        <w:tc>
          <w:tcPr>
            <w:tcW w:w="142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160</w:t>
            </w:r>
          </w:p>
        </w:tc>
        <w:tc>
          <w:tcPr>
            <w:tcW w:w="17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sz w:val="18"/>
                <w:szCs w:val="18"/>
              </w:rPr>
            </w:pPr>
            <w:r>
              <w:rPr>
                <w:sz w:val="18"/>
                <w:szCs w:val="18"/>
              </w:rPr>
              <w:t>-736</w:t>
            </w:r>
          </w:p>
        </w:tc>
      </w:tr>
      <w:tr w:rsidR="00A802B0" w:rsidTr="0072759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Default="00A802B0" w:rsidP="00727590">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b/>
                <w:bCs/>
                <w:sz w:val="18"/>
                <w:szCs w:val="18"/>
              </w:rPr>
            </w:pPr>
            <w:r>
              <w:rPr>
                <w:b/>
                <w:bCs/>
                <w:sz w:val="18"/>
                <w:szCs w:val="18"/>
              </w:rPr>
              <w:t>1,745 </w:t>
            </w:r>
          </w:p>
        </w:tc>
        <w:tc>
          <w:tcPr>
            <w:tcW w:w="142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b/>
                <w:bCs/>
                <w:sz w:val="18"/>
                <w:szCs w:val="18"/>
              </w:rPr>
            </w:pPr>
            <w:r>
              <w:rPr>
                <w:b/>
                <w:bCs/>
                <w:sz w:val="18"/>
                <w:szCs w:val="18"/>
              </w:rPr>
              <w:t>2,453</w:t>
            </w:r>
          </w:p>
        </w:tc>
        <w:tc>
          <w:tcPr>
            <w:tcW w:w="1740" w:type="dxa"/>
            <w:tcBorders>
              <w:top w:val="nil"/>
              <w:left w:val="nil"/>
              <w:bottom w:val="single" w:sz="8" w:space="0" w:color="auto"/>
              <w:right w:val="single" w:sz="8" w:space="0" w:color="auto"/>
            </w:tcBorders>
            <w:shd w:val="clear" w:color="auto" w:fill="auto"/>
            <w:vAlign w:val="bottom"/>
          </w:tcPr>
          <w:p w:rsidR="00A802B0" w:rsidRDefault="00A802B0" w:rsidP="00727590">
            <w:pPr>
              <w:jc w:val="center"/>
              <w:rPr>
                <w:b/>
                <w:bCs/>
                <w:sz w:val="18"/>
                <w:szCs w:val="18"/>
              </w:rPr>
            </w:pPr>
            <w:r>
              <w:rPr>
                <w:b/>
                <w:bCs/>
                <w:sz w:val="18"/>
                <w:szCs w:val="18"/>
              </w:rPr>
              <w:t>+708</w:t>
            </w:r>
          </w:p>
        </w:tc>
      </w:tr>
    </w:tbl>
    <w:p w:rsidR="00A802B0" w:rsidRDefault="00A802B0" w:rsidP="00A802B0">
      <w:pPr>
        <w:pStyle w:val="NormalWeb"/>
        <w:spacing w:before="0" w:beforeAutospacing="0" w:after="0" w:afterAutospacing="0"/>
        <w:rPr>
          <w:b/>
          <w:i/>
        </w:rPr>
      </w:pPr>
    </w:p>
    <w:p w:rsidR="00A802B0" w:rsidRDefault="00A802B0" w:rsidP="00A802B0">
      <w:pPr>
        <w:pStyle w:val="NormalWeb"/>
        <w:spacing w:before="0" w:beforeAutospacing="0" w:after="0" w:afterAutospacing="0"/>
      </w:pPr>
      <w:r w:rsidRPr="009D1896">
        <w:rPr>
          <w:b/>
          <w:i/>
        </w:rPr>
        <w:t>Explain:</w:t>
      </w:r>
    </w:p>
    <w:p w:rsidR="00A802B0" w:rsidRDefault="00A802B0" w:rsidP="00A802B0">
      <w:pPr>
        <w:pStyle w:val="NormalWeb"/>
        <w:spacing w:before="0" w:beforeAutospacing="0" w:after="0" w:afterAutospacing="0"/>
      </w:pPr>
    </w:p>
    <w:p w:rsidR="00A802B0" w:rsidRDefault="00A802B0" w:rsidP="00A802B0">
      <w:pPr>
        <w:pStyle w:val="NormalWeb"/>
        <w:spacing w:before="0" w:beforeAutospacing="0" w:after="0" w:afterAutospacing="0"/>
      </w:pPr>
      <w:r w:rsidRPr="00315FD0">
        <w:t xml:space="preserve">FEMA Form 010-0-7 has an </w:t>
      </w:r>
      <w:r>
        <w:t xml:space="preserve">adjustment </w:t>
      </w:r>
      <w:r w:rsidRPr="00315FD0">
        <w:t>increase in the number of annual hours burden due to the increased in estimate of the number of Action Request Forms received</w:t>
      </w:r>
      <w:r>
        <w:t xml:space="preserve"> during disaster annually</w:t>
      </w:r>
      <w:r w:rsidRPr="00315FD0">
        <w:t>. T</w:t>
      </w:r>
      <w:r>
        <w:t>his increase has resulted from St</w:t>
      </w:r>
      <w:r w:rsidRPr="00315FD0">
        <w:t xml:space="preserve">ate’s filing more requests to issues that arise from a disaster. The prior hour burden was 196 hours, and the new hour burden is </w:t>
      </w:r>
      <w:r>
        <w:t>2,133</w:t>
      </w:r>
      <w:r w:rsidRPr="00315FD0">
        <w:t xml:space="preserve"> for a</w:t>
      </w:r>
      <w:r>
        <w:t>n</w:t>
      </w:r>
      <w:r w:rsidRPr="00315FD0">
        <w:t xml:space="preserve"> increase of </w:t>
      </w:r>
      <w:r>
        <w:t>1,937</w:t>
      </w:r>
      <w:r w:rsidRPr="00315FD0">
        <w:t xml:space="preserve"> hours.</w:t>
      </w:r>
    </w:p>
    <w:p w:rsidR="00A802B0" w:rsidRDefault="00A802B0" w:rsidP="00A802B0">
      <w:pPr>
        <w:pStyle w:val="NormalWeb"/>
        <w:spacing w:before="0" w:beforeAutospacing="0" w:after="0" w:afterAutospacing="0"/>
      </w:pPr>
    </w:p>
    <w:p w:rsidR="00A802B0" w:rsidRDefault="00A802B0" w:rsidP="00A802B0">
      <w:pPr>
        <w:pStyle w:val="NormalWeb"/>
        <w:spacing w:before="0" w:beforeAutospacing="0" w:after="0" w:afterAutospacing="0"/>
      </w:pPr>
      <w:r>
        <w:t>FEMA Form 010-0-8 has an adjustment decrease due to the better estimation of the number of Action Request Forms that actually result in an approval for a Mission Assignment during a disaster.  The prior annual hour burden was 653 hours; the requested annual hour burden is 160 hours resulting in a decrease of 493 hours.</w:t>
      </w:r>
    </w:p>
    <w:p w:rsidR="00A802B0" w:rsidRDefault="00A802B0" w:rsidP="00A802B0">
      <w:pPr>
        <w:pStyle w:val="NormalWeb"/>
        <w:spacing w:before="0" w:beforeAutospacing="0" w:after="0" w:afterAutospacing="0"/>
      </w:pPr>
    </w:p>
    <w:p w:rsidR="00A802B0" w:rsidRDefault="00A802B0" w:rsidP="00A802B0">
      <w:pPr>
        <w:pStyle w:val="NormalWeb"/>
        <w:spacing w:before="0" w:beforeAutospacing="0" w:after="0" w:afterAutospacing="0"/>
        <w:rPr>
          <w:b/>
          <w:sz w:val="20"/>
          <w:szCs w:val="20"/>
        </w:rPr>
      </w:pPr>
      <w:r>
        <w:t>The training has also had an adjustment decrease due to the better estimation of the number of States affected by disaster declarations in a year. The new estimate is 160 hours and the previous estimate was 896 hours, a decrease of 736 hours.</w:t>
      </w:r>
    </w:p>
    <w:p w:rsidR="00A802B0" w:rsidRDefault="00A802B0" w:rsidP="00A802B0">
      <w:pPr>
        <w:pStyle w:val="NormalWeb"/>
        <w:spacing w:before="0" w:beforeAutospacing="0" w:after="0" w:afterAutospacing="0"/>
        <w:rPr>
          <w:b/>
          <w:sz w:val="20"/>
          <w:szCs w:val="20"/>
        </w:rPr>
      </w:pPr>
    </w:p>
    <w:p w:rsidR="00CC0E79" w:rsidRPr="003B3AAB" w:rsidRDefault="00CC0E79" w:rsidP="00CC0E79">
      <w:pPr>
        <w:pStyle w:val="NormalWeb"/>
        <w:spacing w:before="0" w:beforeAutospacing="0" w:after="0" w:afterAutospacing="0"/>
      </w:pPr>
      <w:r w:rsidRPr="003B3AAB">
        <w:t>Th</w:t>
      </w:r>
      <w:r>
        <w:t>ere has been no change to the information being collected.</w:t>
      </w: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Default="00A802B0" w:rsidP="00A802B0">
      <w:pPr>
        <w:pStyle w:val="NormalWeb"/>
        <w:spacing w:before="0" w:beforeAutospacing="0" w:after="0" w:afterAutospacing="0"/>
        <w:rPr>
          <w:b/>
          <w:sz w:val="20"/>
          <w:szCs w:val="20"/>
        </w:rPr>
      </w:pPr>
    </w:p>
    <w:p w:rsidR="00A802B0" w:rsidRPr="007D70BC" w:rsidRDefault="00A802B0" w:rsidP="00A802B0">
      <w:pPr>
        <w:pStyle w:val="NormalWeb"/>
        <w:spacing w:before="0" w:beforeAutospacing="0" w:after="0" w:afterAutospacing="0"/>
        <w:rPr>
          <w:b/>
          <w:sz w:val="20"/>
          <w:szCs w:val="20"/>
        </w:rPr>
      </w:pPr>
    </w:p>
    <w:tbl>
      <w:tblPr>
        <w:tblW w:w="10360" w:type="dxa"/>
        <w:jc w:val="center"/>
        <w:tblInd w:w="93" w:type="dxa"/>
        <w:tblLook w:val="0000"/>
      </w:tblPr>
      <w:tblGrid>
        <w:gridCol w:w="2340"/>
        <w:gridCol w:w="1240"/>
        <w:gridCol w:w="960"/>
        <w:gridCol w:w="1260"/>
        <w:gridCol w:w="1400"/>
        <w:gridCol w:w="1420"/>
        <w:gridCol w:w="1740"/>
      </w:tblGrid>
      <w:tr w:rsidR="00A802B0" w:rsidTr="00727590">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A802B0" w:rsidRDefault="00A802B0" w:rsidP="00727590">
            <w:pPr>
              <w:jc w:val="center"/>
              <w:rPr>
                <w:b/>
                <w:bCs/>
                <w:sz w:val="18"/>
                <w:szCs w:val="18"/>
              </w:rPr>
            </w:pPr>
            <w:r>
              <w:rPr>
                <w:b/>
                <w:bCs/>
                <w:sz w:val="18"/>
                <w:szCs w:val="18"/>
              </w:rPr>
              <w:t>Itemized Changes in Annual Cost Burden</w:t>
            </w:r>
          </w:p>
        </w:tc>
      </w:tr>
      <w:tr w:rsidR="00A802B0" w:rsidTr="00727590">
        <w:trPr>
          <w:trHeight w:val="1215"/>
          <w:jc w:val="center"/>
        </w:trPr>
        <w:tc>
          <w:tcPr>
            <w:tcW w:w="2340" w:type="dxa"/>
            <w:tcBorders>
              <w:top w:val="nil"/>
              <w:left w:val="single" w:sz="8" w:space="0" w:color="auto"/>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 xml:space="preserve">Program Change (cost currently on OMB Inventory) </w:t>
            </w:r>
          </w:p>
        </w:tc>
        <w:tc>
          <w:tcPr>
            <w:tcW w:w="96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C0C0C0"/>
            <w:vAlign w:val="bottom"/>
          </w:tcPr>
          <w:p w:rsidR="00A802B0" w:rsidRDefault="00A802B0" w:rsidP="00727590">
            <w:pPr>
              <w:jc w:val="center"/>
              <w:rPr>
                <w:b/>
                <w:bCs/>
                <w:sz w:val="18"/>
                <w:szCs w:val="18"/>
              </w:rPr>
            </w:pPr>
            <w:r>
              <w:rPr>
                <w:b/>
                <w:bCs/>
                <w:sz w:val="18"/>
                <w:szCs w:val="18"/>
              </w:rPr>
              <w:t>Difference</w:t>
            </w:r>
          </w:p>
        </w:tc>
      </w:tr>
      <w:tr w:rsidR="00A802B0" w:rsidTr="00727590">
        <w:trPr>
          <w:trHeight w:val="52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Pr="000F0E33" w:rsidRDefault="00A802B0"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FEMA Form 010-0-7 / Action Request Form</w:t>
            </w:r>
          </w:p>
        </w:tc>
        <w:tc>
          <w:tcPr>
            <w:tcW w:w="124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$22,979</w:t>
            </w:r>
          </w:p>
        </w:tc>
        <w:tc>
          <w:tcPr>
            <w:tcW w:w="142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$120,919.77</w:t>
            </w:r>
          </w:p>
        </w:tc>
        <w:tc>
          <w:tcPr>
            <w:tcW w:w="174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+$97,940.77</w:t>
            </w:r>
          </w:p>
        </w:tc>
      </w:tr>
      <w:tr w:rsidR="00A802B0" w:rsidTr="0072759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Pr="000F0E33" w:rsidRDefault="00A802B0" w:rsidP="00727590">
            <w:pPr>
              <w:rPr>
                <w:rFonts w:ascii="Arial" w:hAnsi="Arial" w:cs="Arial"/>
                <w:color w:val="000000"/>
                <w:sz w:val="18"/>
                <w:szCs w:val="18"/>
              </w:rPr>
            </w:pPr>
            <w:r w:rsidRPr="000F0E33">
              <w:rPr>
                <w:rFonts w:ascii="Arial" w:hAnsi="Arial" w:cs="Arial"/>
                <w:color w:val="000000"/>
                <w:sz w:val="18"/>
                <w:szCs w:val="18"/>
              </w:rPr>
              <w:t> </w:t>
            </w:r>
            <w:r>
              <w:rPr>
                <w:rFonts w:ascii="Arial" w:hAnsi="Arial" w:cs="Arial"/>
                <w:color w:val="000000"/>
                <w:sz w:val="18"/>
                <w:szCs w:val="18"/>
              </w:rPr>
              <w:t xml:space="preserve">FEMA Form 010-0-8 / Mission Assignment  </w:t>
            </w:r>
          </w:p>
        </w:tc>
        <w:tc>
          <w:tcPr>
            <w:tcW w:w="124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$6,897</w:t>
            </w:r>
          </w:p>
        </w:tc>
        <w:tc>
          <w:tcPr>
            <w:tcW w:w="142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p w:rsidR="00A802B0" w:rsidRDefault="00A802B0" w:rsidP="00727590">
            <w:pPr>
              <w:jc w:val="center"/>
              <w:rPr>
                <w:rFonts w:ascii="Arial" w:hAnsi="Arial" w:cs="Arial"/>
                <w:sz w:val="18"/>
                <w:szCs w:val="18"/>
              </w:rPr>
            </w:pPr>
            <w:r>
              <w:rPr>
                <w:rFonts w:ascii="Arial" w:hAnsi="Arial" w:cs="Arial"/>
                <w:sz w:val="18"/>
                <w:szCs w:val="18"/>
              </w:rPr>
              <w:t>$9,070.40</w:t>
            </w:r>
          </w:p>
        </w:tc>
        <w:tc>
          <w:tcPr>
            <w:tcW w:w="174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+$2,173.40</w:t>
            </w:r>
          </w:p>
        </w:tc>
      </w:tr>
      <w:tr w:rsidR="00A802B0" w:rsidTr="0072759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Default="00A802B0" w:rsidP="00727590">
            <w:pPr>
              <w:jc w:val="center"/>
              <w:rPr>
                <w:rFonts w:ascii="Arial" w:hAnsi="Arial" w:cs="Arial"/>
                <w:sz w:val="18"/>
                <w:szCs w:val="18"/>
              </w:rPr>
            </w:pPr>
            <w:r>
              <w:rPr>
                <w:rFonts w:ascii="Arial" w:hAnsi="Arial" w:cs="Arial"/>
                <w:color w:val="000000"/>
                <w:sz w:val="18"/>
                <w:szCs w:val="18"/>
              </w:rPr>
              <w:t>Training / No Form</w:t>
            </w:r>
            <w:r>
              <w:rPr>
                <w:rFonts w:ascii="Arial" w:hAnsi="Arial" w:cs="Arial"/>
                <w:sz w:val="18"/>
                <w:szCs w:val="18"/>
              </w:rPr>
              <w:t> </w:t>
            </w:r>
          </w:p>
        </w:tc>
        <w:tc>
          <w:tcPr>
            <w:tcW w:w="124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$31,530.55</w:t>
            </w:r>
          </w:p>
        </w:tc>
        <w:tc>
          <w:tcPr>
            <w:tcW w:w="142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$9,070.40</w:t>
            </w:r>
          </w:p>
        </w:tc>
        <w:tc>
          <w:tcPr>
            <w:tcW w:w="1740" w:type="dxa"/>
            <w:tcBorders>
              <w:top w:val="nil"/>
              <w:left w:val="nil"/>
              <w:bottom w:val="single" w:sz="8" w:space="0" w:color="auto"/>
              <w:right w:val="single" w:sz="8" w:space="0" w:color="auto"/>
            </w:tcBorders>
            <w:shd w:val="clear" w:color="auto" w:fill="auto"/>
            <w:noWrap/>
            <w:vAlign w:val="bottom"/>
          </w:tcPr>
          <w:p w:rsidR="00A802B0" w:rsidRDefault="00A802B0" w:rsidP="00727590">
            <w:pPr>
              <w:jc w:val="center"/>
              <w:rPr>
                <w:rFonts w:ascii="Arial" w:hAnsi="Arial" w:cs="Arial"/>
                <w:sz w:val="18"/>
                <w:szCs w:val="18"/>
              </w:rPr>
            </w:pPr>
            <w:r>
              <w:rPr>
                <w:rFonts w:ascii="Arial" w:hAnsi="Arial" w:cs="Arial"/>
                <w:sz w:val="18"/>
                <w:szCs w:val="18"/>
              </w:rPr>
              <w:t> -$22,460.15</w:t>
            </w:r>
          </w:p>
        </w:tc>
      </w:tr>
      <w:tr w:rsidR="00A802B0" w:rsidTr="00727590">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A802B0" w:rsidRPr="00295EC6" w:rsidRDefault="00A802B0" w:rsidP="00727590">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A802B0" w:rsidRPr="00295EC6" w:rsidRDefault="00A802B0" w:rsidP="00727590">
            <w:pPr>
              <w:jc w:val="center"/>
              <w:rPr>
                <w:rFonts w:ascii="Arial" w:hAnsi="Arial" w:cs="Arial"/>
                <w:b/>
                <w:sz w:val="18"/>
                <w:szCs w:val="18"/>
              </w:rPr>
            </w:pPr>
            <w:r w:rsidRPr="00295EC6">
              <w:rPr>
                <w:rFonts w:ascii="Arial" w:hAnsi="Arial" w:cs="Arial"/>
                <w:b/>
                <w:sz w:val="18"/>
                <w:szCs w:val="18"/>
              </w:rPr>
              <w:t> </w:t>
            </w:r>
          </w:p>
        </w:tc>
        <w:tc>
          <w:tcPr>
            <w:tcW w:w="960" w:type="dxa"/>
            <w:tcBorders>
              <w:top w:val="nil"/>
              <w:left w:val="nil"/>
              <w:bottom w:val="single" w:sz="8" w:space="0" w:color="auto"/>
              <w:right w:val="single" w:sz="8" w:space="0" w:color="auto"/>
            </w:tcBorders>
            <w:shd w:val="clear" w:color="auto" w:fill="auto"/>
            <w:noWrap/>
            <w:vAlign w:val="bottom"/>
          </w:tcPr>
          <w:p w:rsidR="00A802B0" w:rsidRPr="00295EC6" w:rsidRDefault="00A802B0" w:rsidP="00727590">
            <w:pPr>
              <w:jc w:val="center"/>
              <w:rPr>
                <w:rFonts w:ascii="Arial" w:hAnsi="Arial" w:cs="Arial"/>
                <w:b/>
                <w:sz w:val="18"/>
                <w:szCs w:val="18"/>
              </w:rPr>
            </w:pPr>
            <w:r w:rsidRPr="00295EC6">
              <w:rPr>
                <w:rFonts w:ascii="Arial" w:hAnsi="Arial" w:cs="Arial"/>
                <w:b/>
                <w:sz w:val="18"/>
                <w:szCs w:val="18"/>
              </w:rPr>
              <w:t> </w:t>
            </w:r>
          </w:p>
        </w:tc>
        <w:tc>
          <w:tcPr>
            <w:tcW w:w="1260" w:type="dxa"/>
            <w:tcBorders>
              <w:top w:val="nil"/>
              <w:left w:val="nil"/>
              <w:bottom w:val="single" w:sz="8" w:space="0" w:color="auto"/>
              <w:right w:val="single" w:sz="8" w:space="0" w:color="auto"/>
            </w:tcBorders>
            <w:shd w:val="clear" w:color="auto" w:fill="auto"/>
            <w:noWrap/>
            <w:vAlign w:val="bottom"/>
          </w:tcPr>
          <w:p w:rsidR="00A802B0" w:rsidRPr="00295EC6" w:rsidRDefault="00A802B0" w:rsidP="00727590">
            <w:pPr>
              <w:jc w:val="center"/>
              <w:rPr>
                <w:rFonts w:ascii="Arial" w:hAnsi="Arial" w:cs="Arial"/>
                <w:b/>
                <w:sz w:val="18"/>
                <w:szCs w:val="18"/>
              </w:rPr>
            </w:pPr>
            <w:r w:rsidRPr="00295EC6">
              <w:rPr>
                <w:rFonts w:ascii="Arial" w:hAnsi="Arial" w:cs="Arial"/>
                <w:b/>
                <w:sz w:val="18"/>
                <w:szCs w:val="18"/>
              </w:rPr>
              <w:t> </w:t>
            </w:r>
          </w:p>
        </w:tc>
        <w:tc>
          <w:tcPr>
            <w:tcW w:w="1400" w:type="dxa"/>
            <w:tcBorders>
              <w:top w:val="nil"/>
              <w:left w:val="nil"/>
              <w:bottom w:val="single" w:sz="8" w:space="0" w:color="auto"/>
              <w:right w:val="single" w:sz="8" w:space="0" w:color="auto"/>
            </w:tcBorders>
            <w:shd w:val="clear" w:color="auto" w:fill="auto"/>
            <w:noWrap/>
            <w:vAlign w:val="bottom"/>
          </w:tcPr>
          <w:p w:rsidR="00A802B0" w:rsidRPr="00295EC6" w:rsidRDefault="00A802B0" w:rsidP="00727590">
            <w:pPr>
              <w:jc w:val="center"/>
              <w:rPr>
                <w:rFonts w:ascii="Arial" w:hAnsi="Arial" w:cs="Arial"/>
                <w:b/>
                <w:sz w:val="18"/>
                <w:szCs w:val="18"/>
              </w:rPr>
            </w:pPr>
            <w:r w:rsidRPr="00295EC6">
              <w:rPr>
                <w:rFonts w:ascii="Arial" w:hAnsi="Arial" w:cs="Arial"/>
                <w:b/>
                <w:sz w:val="18"/>
                <w:szCs w:val="18"/>
              </w:rPr>
              <w:t> </w:t>
            </w:r>
            <w:r>
              <w:rPr>
                <w:rFonts w:ascii="Arial" w:hAnsi="Arial" w:cs="Arial"/>
                <w:b/>
                <w:sz w:val="18"/>
                <w:szCs w:val="18"/>
              </w:rPr>
              <w:t>$61,406.55</w:t>
            </w:r>
          </w:p>
        </w:tc>
        <w:tc>
          <w:tcPr>
            <w:tcW w:w="1420" w:type="dxa"/>
            <w:tcBorders>
              <w:top w:val="nil"/>
              <w:left w:val="nil"/>
              <w:bottom w:val="single" w:sz="8" w:space="0" w:color="auto"/>
              <w:right w:val="single" w:sz="8" w:space="0" w:color="auto"/>
            </w:tcBorders>
            <w:shd w:val="clear" w:color="auto" w:fill="auto"/>
            <w:noWrap/>
            <w:vAlign w:val="bottom"/>
          </w:tcPr>
          <w:p w:rsidR="00A802B0" w:rsidRPr="00295EC6" w:rsidRDefault="00A802B0" w:rsidP="00727590">
            <w:pPr>
              <w:jc w:val="center"/>
              <w:rPr>
                <w:rFonts w:ascii="Arial" w:hAnsi="Arial" w:cs="Arial"/>
                <w:b/>
                <w:sz w:val="18"/>
                <w:szCs w:val="18"/>
              </w:rPr>
            </w:pPr>
            <w:r w:rsidRPr="00295EC6">
              <w:rPr>
                <w:rFonts w:ascii="Arial" w:hAnsi="Arial" w:cs="Arial"/>
                <w:b/>
                <w:sz w:val="18"/>
                <w:szCs w:val="18"/>
              </w:rPr>
              <w:t> </w:t>
            </w:r>
            <w:r>
              <w:rPr>
                <w:rFonts w:ascii="Arial" w:hAnsi="Arial" w:cs="Arial"/>
                <w:b/>
                <w:sz w:val="18"/>
                <w:szCs w:val="18"/>
              </w:rPr>
              <w:t>$139,060.57</w:t>
            </w:r>
          </w:p>
        </w:tc>
        <w:tc>
          <w:tcPr>
            <w:tcW w:w="1740" w:type="dxa"/>
            <w:tcBorders>
              <w:top w:val="nil"/>
              <w:left w:val="nil"/>
              <w:bottom w:val="single" w:sz="8" w:space="0" w:color="auto"/>
              <w:right w:val="single" w:sz="8" w:space="0" w:color="auto"/>
            </w:tcBorders>
            <w:shd w:val="clear" w:color="auto" w:fill="auto"/>
            <w:noWrap/>
            <w:vAlign w:val="bottom"/>
          </w:tcPr>
          <w:p w:rsidR="00A802B0" w:rsidRPr="00295EC6" w:rsidRDefault="00A802B0" w:rsidP="00727590">
            <w:pPr>
              <w:jc w:val="center"/>
              <w:rPr>
                <w:rFonts w:ascii="Arial" w:hAnsi="Arial" w:cs="Arial"/>
                <w:b/>
                <w:sz w:val="18"/>
                <w:szCs w:val="18"/>
              </w:rPr>
            </w:pPr>
            <w:r>
              <w:rPr>
                <w:rFonts w:ascii="Arial" w:hAnsi="Arial" w:cs="Arial"/>
                <w:b/>
                <w:sz w:val="18"/>
                <w:szCs w:val="18"/>
              </w:rPr>
              <w:t>+$77,654.02</w:t>
            </w:r>
            <w:r w:rsidRPr="00295EC6">
              <w:rPr>
                <w:rFonts w:ascii="Arial" w:hAnsi="Arial" w:cs="Arial"/>
                <w:b/>
                <w:sz w:val="18"/>
                <w:szCs w:val="18"/>
              </w:rPr>
              <w:t> </w:t>
            </w:r>
          </w:p>
        </w:tc>
      </w:tr>
    </w:tbl>
    <w:p w:rsidR="00A802B0" w:rsidRPr="00B05348" w:rsidRDefault="00A802B0" w:rsidP="00A802B0">
      <w:pPr>
        <w:rPr>
          <w:bCs/>
        </w:rPr>
      </w:pPr>
    </w:p>
    <w:p w:rsidR="00A802B0" w:rsidRDefault="00A802B0" w:rsidP="00A802B0">
      <w:pPr>
        <w:rPr>
          <w:bCs/>
          <w:i/>
        </w:rPr>
      </w:pPr>
      <w:r w:rsidRPr="00DA72BA">
        <w:rPr>
          <w:b/>
          <w:bCs/>
          <w:i/>
        </w:rPr>
        <w:t>Explain:</w:t>
      </w:r>
      <w:r w:rsidRPr="00DB084D">
        <w:rPr>
          <w:bCs/>
          <w:i/>
        </w:rPr>
        <w:t xml:space="preserve"> </w:t>
      </w:r>
    </w:p>
    <w:p w:rsidR="00A802B0" w:rsidRDefault="00A802B0" w:rsidP="00A802B0">
      <w:pPr>
        <w:rPr>
          <w:bCs/>
          <w:i/>
        </w:rPr>
      </w:pPr>
    </w:p>
    <w:p w:rsidR="00A802B0" w:rsidRDefault="00A802B0" w:rsidP="00A802B0">
      <w:pPr>
        <w:rPr>
          <w:bCs/>
        </w:rPr>
      </w:pPr>
      <w:r>
        <w:rPr>
          <w:bCs/>
        </w:rPr>
        <w:t>For FEMA Form 010-0-7, there is an adjustment increase in the annual cost burden due to the application of the 1.4 multiplier to the wage rate and due to the increase in the number of responses.  The current approved cost is $22,979; the requested cost is $120,919.77 resulting in an increase of $97,940.77.</w:t>
      </w:r>
    </w:p>
    <w:p w:rsidR="00A802B0" w:rsidRDefault="00A802B0" w:rsidP="00A802B0">
      <w:pPr>
        <w:rPr>
          <w:bCs/>
        </w:rPr>
      </w:pPr>
    </w:p>
    <w:p w:rsidR="00A802B0" w:rsidRDefault="00A802B0" w:rsidP="00A802B0">
      <w:pPr>
        <w:rPr>
          <w:bCs/>
        </w:rPr>
      </w:pPr>
      <w:r>
        <w:rPr>
          <w:bCs/>
        </w:rPr>
        <w:t>For FEMA Form 010-0-8, there is an adjustment increase in the annual cost burden due to the application of the 1.4 multiplier to the wage rate and a decrease due to the reduction in the number of responses.  The current approved cost is $6,897; the requested cost is $9,070.40 resulting in an increase of $2,173.40.</w:t>
      </w:r>
    </w:p>
    <w:p w:rsidR="00A802B0" w:rsidRDefault="00A802B0" w:rsidP="00A802B0">
      <w:pPr>
        <w:rPr>
          <w:bCs/>
        </w:rPr>
      </w:pPr>
    </w:p>
    <w:p w:rsidR="00A802B0" w:rsidRDefault="00A802B0" w:rsidP="00A802B0">
      <w:pPr>
        <w:rPr>
          <w:bCs/>
        </w:rPr>
      </w:pPr>
      <w:r>
        <w:rPr>
          <w:bCs/>
        </w:rPr>
        <w:t>The training, there is an adjustment decrease in the annual cost burden due to the lower estimate of the number of state respondents participating in the training even after taking into account the application of the 1.4 multiplier.  The current approved cost is $31,530.55; the requested cost is $9,070.40 resulting in a decrease of $22,460.15.</w:t>
      </w:r>
    </w:p>
    <w:p w:rsidR="00162CD7" w:rsidRDefault="00162CD7" w:rsidP="0097186D">
      <w:pPr>
        <w:rPr>
          <w:b/>
          <w:bCs/>
        </w:rPr>
      </w:pPr>
    </w:p>
    <w:p w:rsidR="005C42F7" w:rsidRDefault="00CC0E79"/>
    <w:sectPr w:rsidR="005C42F7" w:rsidSect="004B2D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7186D"/>
    <w:rsid w:val="00162CD7"/>
    <w:rsid w:val="00167820"/>
    <w:rsid w:val="00245551"/>
    <w:rsid w:val="00252BFD"/>
    <w:rsid w:val="003131E7"/>
    <w:rsid w:val="004B2D46"/>
    <w:rsid w:val="005A08CD"/>
    <w:rsid w:val="00712D04"/>
    <w:rsid w:val="007F2D41"/>
    <w:rsid w:val="0097186D"/>
    <w:rsid w:val="00A802B0"/>
    <w:rsid w:val="00BB43F8"/>
    <w:rsid w:val="00CC0E79"/>
    <w:rsid w:val="00F770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8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62CD7"/>
    <w:rPr>
      <w:color w:val="0000FF"/>
      <w:u w:val="single"/>
    </w:rPr>
  </w:style>
  <w:style w:type="paragraph" w:styleId="FootnoteText">
    <w:name w:val="footnote text"/>
    <w:basedOn w:val="Normal"/>
    <w:link w:val="FootnoteTextChar"/>
    <w:semiHidden/>
    <w:rsid w:val="00162CD7"/>
    <w:rPr>
      <w:rFonts w:ascii="CG Times (W1)" w:hAnsi="CG Times (W1)"/>
      <w:sz w:val="20"/>
      <w:szCs w:val="20"/>
    </w:rPr>
  </w:style>
  <w:style w:type="character" w:customStyle="1" w:styleId="FootnoteTextChar">
    <w:name w:val="Footnote Text Char"/>
    <w:basedOn w:val="DefaultParagraphFont"/>
    <w:link w:val="FootnoteText"/>
    <w:semiHidden/>
    <w:rsid w:val="00162CD7"/>
    <w:rPr>
      <w:rFonts w:ascii="CG Times (W1)" w:eastAsia="Times New Roman" w:hAnsi="CG Times (W1)" w:cs="Times New Roman"/>
      <w:sz w:val="20"/>
      <w:szCs w:val="20"/>
    </w:rPr>
  </w:style>
  <w:style w:type="paragraph" w:styleId="NormalWeb">
    <w:name w:val="Normal (Web)"/>
    <w:basedOn w:val="Normal"/>
    <w:rsid w:val="00A802B0"/>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1742</Words>
  <Characters>9934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11653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sgreene3</dc:creator>
  <cp:keywords/>
  <dc:description/>
  <cp:lastModifiedBy>sgreene3</cp:lastModifiedBy>
  <cp:revision>8</cp:revision>
  <dcterms:created xsi:type="dcterms:W3CDTF">2010-12-07T14:33:00Z</dcterms:created>
  <dcterms:modified xsi:type="dcterms:W3CDTF">2010-12-10T16:54:00Z</dcterms:modified>
</cp:coreProperties>
</file>