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85" w:rsidRDefault="00EA0285" w:rsidP="00EA0285">
      <w:pPr>
        <w:pStyle w:val="Heading1"/>
      </w:pPr>
      <w:r>
        <w:t>Appendix A: Criteria for the Selection of States; Study of School Turnaround</w:t>
      </w:r>
    </w:p>
    <w:tbl>
      <w:tblPr>
        <w:tblStyle w:val="TableGrid"/>
        <w:tblW w:w="5163" w:type="pct"/>
        <w:tblInd w:w="-432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932"/>
        <w:gridCol w:w="793"/>
        <w:gridCol w:w="1196"/>
        <w:gridCol w:w="872"/>
        <w:gridCol w:w="733"/>
        <w:gridCol w:w="1359"/>
        <w:gridCol w:w="1321"/>
        <w:gridCol w:w="733"/>
        <w:gridCol w:w="1111"/>
        <w:gridCol w:w="983"/>
        <w:gridCol w:w="1160"/>
        <w:gridCol w:w="1427"/>
      </w:tblGrid>
      <w:tr w:rsidR="00284135" w:rsidRPr="00E1706D" w:rsidTr="00806C14">
        <w:trPr>
          <w:cantSplit/>
          <w:trHeight w:val="503"/>
          <w:tblHeader/>
        </w:trPr>
        <w:tc>
          <w:tcPr>
            <w:tcW w:w="709" w:type="pct"/>
            <w:vMerge w:val="restar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State</w:t>
            </w:r>
          </w:p>
        </w:tc>
        <w:tc>
          <w:tcPr>
            <w:tcW w:w="291" w:type="pct"/>
            <w:vMerge w:val="restar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Right to Work</w:t>
            </w:r>
          </w:p>
        </w:tc>
        <w:tc>
          <w:tcPr>
            <w:tcW w:w="439" w:type="pct"/>
            <w:vMerge w:val="restar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Level of Spending</w:t>
            </w:r>
            <w:r w:rsidRPr="002B37D5">
              <w:rPr>
                <w:vertAlign w:val="superscript"/>
              </w:rPr>
              <w:t>1</w:t>
            </w:r>
          </w:p>
        </w:tc>
        <w:tc>
          <w:tcPr>
            <w:tcW w:w="589" w:type="pct"/>
            <w:gridSpan w:val="2"/>
            <w:shd w:val="clear" w:color="auto" w:fill="DDDDDD"/>
            <w:vAlign w:val="bottom"/>
          </w:tcPr>
          <w:p w:rsidR="00BD113D" w:rsidRDefault="00160C44" w:rsidP="00284135">
            <w:pPr>
              <w:pStyle w:val="ExhibitHeading"/>
              <w:jc w:val="center"/>
            </w:pPr>
            <w:r>
              <w:t>SIG Eligible</w:t>
            </w:r>
            <w:r w:rsidR="00BD113D" w:rsidRPr="002B37D5">
              <w:rPr>
                <w:vertAlign w:val="superscript"/>
              </w:rPr>
              <w:t>2</w:t>
            </w:r>
          </w:p>
        </w:tc>
        <w:tc>
          <w:tcPr>
            <w:tcW w:w="499" w:type="pct"/>
            <w:vMerge w:val="restar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Total Enrollment</w:t>
            </w:r>
            <w:r w:rsidRPr="002B37D5">
              <w:rPr>
                <w:vertAlign w:val="superscript"/>
              </w:rPr>
              <w:t>3</w:t>
            </w:r>
          </w:p>
        </w:tc>
        <w:tc>
          <w:tcPr>
            <w:tcW w:w="485" w:type="pct"/>
            <w:vMerge w:val="restar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Geographic Region</w:t>
            </w:r>
            <w:r w:rsidRPr="002B37D5">
              <w:rPr>
                <w:vertAlign w:val="superscript"/>
              </w:rPr>
              <w:t>4</w:t>
            </w:r>
          </w:p>
        </w:tc>
        <w:tc>
          <w:tcPr>
            <w:tcW w:w="269" w:type="pct"/>
            <w:vMerge w:val="restar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Race to the Top</w:t>
            </w:r>
          </w:p>
        </w:tc>
        <w:tc>
          <w:tcPr>
            <w:tcW w:w="769" w:type="pct"/>
            <w:gridSpan w:val="2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Data Use and State Data Infrastructure</w:t>
            </w:r>
            <w:r w:rsidRPr="002B37D5">
              <w:rPr>
                <w:vertAlign w:val="superscript"/>
              </w:rPr>
              <w:t>5</w:t>
            </w:r>
          </w:p>
        </w:tc>
        <w:tc>
          <w:tcPr>
            <w:tcW w:w="950" w:type="pct"/>
            <w:gridSpan w:val="2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Vertically Equated Assessments</w:t>
            </w:r>
            <w:r w:rsidRPr="002B37D5">
              <w:rPr>
                <w:vertAlign w:val="superscript"/>
              </w:rPr>
              <w:t>6</w:t>
            </w:r>
          </w:p>
        </w:tc>
      </w:tr>
      <w:tr w:rsidR="00284135" w:rsidRPr="00E1706D" w:rsidTr="00806C14">
        <w:trPr>
          <w:cantSplit/>
          <w:trHeight w:val="502"/>
          <w:tblHeader/>
        </w:trPr>
        <w:tc>
          <w:tcPr>
            <w:tcW w:w="709" w:type="pct"/>
            <w:vMerge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</w:p>
        </w:tc>
        <w:tc>
          <w:tcPr>
            <w:tcW w:w="291" w:type="pct"/>
            <w:vMerge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</w:p>
        </w:tc>
        <w:tc>
          <w:tcPr>
            <w:tcW w:w="439" w:type="pct"/>
            <w:vMerge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</w:p>
        </w:tc>
        <w:tc>
          <w:tcPr>
            <w:tcW w:w="320" w:type="pc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#</w:t>
            </w:r>
          </w:p>
        </w:tc>
        <w:tc>
          <w:tcPr>
            <w:tcW w:w="269" w:type="pc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%</w:t>
            </w:r>
          </w:p>
        </w:tc>
        <w:tc>
          <w:tcPr>
            <w:tcW w:w="499" w:type="pct"/>
            <w:vMerge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</w:p>
        </w:tc>
        <w:tc>
          <w:tcPr>
            <w:tcW w:w="485" w:type="pct"/>
            <w:vMerge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</w:p>
        </w:tc>
        <w:tc>
          <w:tcPr>
            <w:tcW w:w="269" w:type="pct"/>
            <w:vMerge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</w:p>
        </w:tc>
        <w:tc>
          <w:tcPr>
            <w:tcW w:w="408" w:type="pc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# of Essential Elements Met</w:t>
            </w:r>
          </w:p>
        </w:tc>
        <w:tc>
          <w:tcPr>
            <w:tcW w:w="361" w:type="pc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# of Actions Met</w:t>
            </w:r>
          </w:p>
        </w:tc>
        <w:tc>
          <w:tcPr>
            <w:tcW w:w="426" w:type="pc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English/ Language Arts</w:t>
            </w:r>
          </w:p>
        </w:tc>
        <w:tc>
          <w:tcPr>
            <w:tcW w:w="524" w:type="pct"/>
            <w:shd w:val="clear" w:color="auto" w:fill="DDDDDD"/>
            <w:vAlign w:val="bottom"/>
          </w:tcPr>
          <w:p w:rsidR="00BD113D" w:rsidRDefault="00BD113D" w:rsidP="00284135">
            <w:pPr>
              <w:pStyle w:val="ExhibitHeading"/>
              <w:jc w:val="center"/>
            </w:pPr>
            <w:r w:rsidRPr="002B37D5">
              <w:t>Mathematics</w:t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Alabama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$8,769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263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16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744,865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0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Alaska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$12,090</w:t>
            </w:r>
          </w:p>
        </w:tc>
        <w:tc>
          <w:tcPr>
            <w:tcW w:w="320" w:type="pct"/>
          </w:tcPr>
          <w:p w:rsidR="00F03A0A" w:rsidRPr="00284135" w:rsidRDefault="00F03A0A" w:rsidP="00FE0B54">
            <w:pPr>
              <w:pStyle w:val="ExhibitText"/>
              <w:jc w:val="center"/>
            </w:pPr>
            <w:r>
              <w:t>139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27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131,029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Arizona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$7,112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305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1,087,447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Arkansas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$9,756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279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24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479,016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California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rPr>
                <w:bCs/>
              </w:rPr>
              <w:t>$7,571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2,720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27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6,343,471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0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Colorado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$8,514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280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15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801,867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Connecticut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$11,885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234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20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570,626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Delaware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$11,426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28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11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122,572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F0668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District of Columbia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$11,193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128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48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78,422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</w:pPr>
            <w:r w:rsidRPr="00A41EB6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0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Florida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$8,437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829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20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2,666,811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</w:pPr>
            <w:r w:rsidRPr="00A41EB6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5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Georgia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$8,754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217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1,649,589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</w:pPr>
            <w:r w:rsidRPr="00A41EB6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Hawaii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$10,426</w:t>
            </w:r>
          </w:p>
        </w:tc>
        <w:tc>
          <w:tcPr>
            <w:tcW w:w="320" w:type="pct"/>
          </w:tcPr>
          <w:p w:rsidR="00BD113D" w:rsidRPr="00284135" w:rsidRDefault="00BD113D" w:rsidP="00FE0B54">
            <w:pPr>
              <w:pStyle w:val="ExhibitText"/>
              <w:jc w:val="center"/>
            </w:pPr>
          </w:p>
        </w:tc>
        <w:tc>
          <w:tcPr>
            <w:tcW w:w="269" w:type="pct"/>
          </w:tcPr>
          <w:p w:rsidR="00BD113D" w:rsidRPr="00284135" w:rsidRDefault="00BD113D" w:rsidP="00FE0B54">
            <w:pPr>
              <w:pStyle w:val="ExhibitText"/>
              <w:jc w:val="center"/>
            </w:pP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179,897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</w:pPr>
            <w:r w:rsidRPr="00A41EB6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Idaho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$8,034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165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22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272,119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0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Illinois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$8,829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738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17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2,112,805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Indiana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$10,053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290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15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1,046,766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Iowa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$9,977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130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9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485,115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Kansas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$10,216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49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468,295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Kentucky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$8,681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109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7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666,225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Louisiana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$9,787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295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18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681,038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Maine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$12,985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54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196,245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Maryland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$10,088</w:t>
            </w:r>
          </w:p>
        </w:tc>
        <w:tc>
          <w:tcPr>
            <w:tcW w:w="320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72</w:t>
            </w:r>
          </w:p>
        </w:tc>
        <w:tc>
          <w:tcPr>
            <w:tcW w:w="269" w:type="pct"/>
          </w:tcPr>
          <w:p w:rsidR="00BD113D" w:rsidRPr="00284135" w:rsidRDefault="00F03A0A" w:rsidP="00FE0B54">
            <w:pPr>
              <w:pStyle w:val="ExhibitText"/>
              <w:jc w:val="center"/>
            </w:pPr>
            <w:r>
              <w:t>5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845,700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</w:pPr>
            <w:r w:rsidRPr="00A41EB6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Massachusetts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$11,545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676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36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962,958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</w:pPr>
            <w:r w:rsidRPr="00A41EB6"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Michigan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$9,809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228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5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1,692,739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Minnesota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$9,476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294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11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837,578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Mississippi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$8,635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225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21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494,122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Missouri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$9,146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459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19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917,188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Montana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$11,660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130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15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142,823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0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lastRenderedPageBreak/>
              <w:t>Nebraska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$11,023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52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291,244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Nevada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$7,213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139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22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429,362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New Hampshire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$11,169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158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32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200,772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New Jersey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$13,238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206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1,382,348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New Mexico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$9,525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32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329,040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New York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$13,064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438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9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2,765,435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EB6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North Carolina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$7,835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769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30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1,489,492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EB6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North Dakota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$10,885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72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95,059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Ohio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$10,119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786</w:t>
            </w:r>
          </w:p>
        </w:tc>
        <w:tc>
          <w:tcPr>
            <w:tcW w:w="269" w:type="pct"/>
          </w:tcPr>
          <w:p w:rsidR="00BD113D" w:rsidRPr="009C61DB" w:rsidRDefault="009C61DB" w:rsidP="00FE0B54">
            <w:pPr>
              <w:pStyle w:val="ExhibitText"/>
              <w:jc w:val="center"/>
              <w:rPr>
                <w:bCs/>
              </w:rPr>
            </w:pPr>
            <w:r w:rsidRPr="009C61DB">
              <w:rPr>
                <w:bCs/>
              </w:rPr>
              <w:t>20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  <w:rPr>
                <w:b/>
                <w:bCs/>
              </w:rPr>
            </w:pPr>
            <w:r w:rsidRPr="00284135">
              <w:t>1,827,184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  <w:rPr>
                <w:b/>
                <w:bCs/>
              </w:rPr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EB6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Oklahoma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$8,255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44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642,065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Oregon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$9,460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75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565,586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Pennsylvania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$11,252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431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1,801,971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Rhode Island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$12,478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43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147,629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A41EB6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1EB6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South Carolina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$9,008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28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712,317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South Dakota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$10 223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61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121,606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Tennessee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$7,620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118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7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964,259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Texas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$7,561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1,644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18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4,674,832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Utah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$5,964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60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576,244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Vermont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$15,139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69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21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94,038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Northeast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Virginia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$8,725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65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1,230,857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5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Washington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$7,688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480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20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1,030,247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West Virginia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$11,150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33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4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282,535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South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9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2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Wisconsin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$10,529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62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3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874,633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Midwest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7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4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  <w:tr w:rsidR="00284135" w:rsidRPr="00E1706D" w:rsidTr="00284135">
        <w:trPr>
          <w:cantSplit/>
          <w:trHeight w:hRule="exact" w:val="288"/>
        </w:trPr>
        <w:tc>
          <w:tcPr>
            <w:tcW w:w="709" w:type="pct"/>
          </w:tcPr>
          <w:p w:rsidR="00BD113D" w:rsidRDefault="00BD113D" w:rsidP="00284135">
            <w:pPr>
              <w:pStyle w:val="ExhibitText"/>
            </w:pPr>
            <w:r w:rsidRPr="00E1706D">
              <w:t>Wyoming</w:t>
            </w:r>
          </w:p>
        </w:tc>
        <w:tc>
          <w:tcPr>
            <w:tcW w:w="291" w:type="pct"/>
            <w:vAlign w:val="center"/>
          </w:tcPr>
          <w:p w:rsidR="00BD113D" w:rsidRDefault="00BD113D" w:rsidP="00FE0B54">
            <w:pPr>
              <w:pStyle w:val="ExhibitText"/>
              <w:jc w:val="center"/>
            </w:pPr>
            <w:r w:rsidRPr="00E1706D">
              <w:sym w:font="Wingdings" w:char="F0FC"/>
            </w:r>
          </w:p>
        </w:tc>
        <w:tc>
          <w:tcPr>
            <w:tcW w:w="43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$14,126</w:t>
            </w:r>
          </w:p>
        </w:tc>
        <w:tc>
          <w:tcPr>
            <w:tcW w:w="320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52</w:t>
            </w:r>
          </w:p>
        </w:tc>
        <w:tc>
          <w:tcPr>
            <w:tcW w:w="269" w:type="pct"/>
          </w:tcPr>
          <w:p w:rsidR="00BD113D" w:rsidRPr="00284135" w:rsidRDefault="009C61DB" w:rsidP="00FE0B54">
            <w:pPr>
              <w:pStyle w:val="ExhibitText"/>
              <w:jc w:val="center"/>
            </w:pPr>
            <w:r>
              <w:t>14</w:t>
            </w:r>
          </w:p>
        </w:tc>
        <w:tc>
          <w:tcPr>
            <w:tcW w:w="499" w:type="pct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86,422</w:t>
            </w:r>
          </w:p>
        </w:tc>
        <w:tc>
          <w:tcPr>
            <w:tcW w:w="485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West</w:t>
            </w:r>
          </w:p>
        </w:tc>
        <w:tc>
          <w:tcPr>
            <w:tcW w:w="269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8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10</w:t>
            </w:r>
          </w:p>
        </w:tc>
        <w:tc>
          <w:tcPr>
            <w:tcW w:w="361" w:type="pct"/>
            <w:vAlign w:val="center"/>
          </w:tcPr>
          <w:p w:rsidR="00BD113D" w:rsidRPr="00284135" w:rsidRDefault="00BD113D" w:rsidP="00FE0B54">
            <w:pPr>
              <w:pStyle w:val="ExhibitText"/>
              <w:jc w:val="center"/>
            </w:pPr>
            <w:r w:rsidRPr="00284135">
              <w:t>3</w:t>
            </w:r>
          </w:p>
        </w:tc>
        <w:tc>
          <w:tcPr>
            <w:tcW w:w="426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  <w:tc>
          <w:tcPr>
            <w:tcW w:w="524" w:type="pct"/>
            <w:vAlign w:val="center"/>
          </w:tcPr>
          <w:p w:rsidR="00BD113D" w:rsidRDefault="00BD113D" w:rsidP="00FE0B54">
            <w:pPr>
              <w:pStyle w:val="ExhibitTex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706D">
              <w:rPr>
                <w:rFonts w:ascii="Times New Roman" w:hAnsi="Times New Roman"/>
                <w:sz w:val="18"/>
                <w:szCs w:val="18"/>
              </w:rPr>
              <w:sym w:font="Wingdings" w:char="F0FC"/>
            </w:r>
          </w:p>
        </w:tc>
      </w:tr>
    </w:tbl>
    <w:p w:rsidR="00BD113D" w:rsidRPr="004521E8" w:rsidRDefault="00BD113D" w:rsidP="00EA0285">
      <w:pPr>
        <w:pStyle w:val="ExhibitNotes"/>
        <w:spacing w:after="0"/>
        <w:ind w:hanging="1159"/>
      </w:pPr>
      <w:proofErr w:type="gramStart"/>
      <w:r w:rsidRPr="004521E8">
        <w:rPr>
          <w:vertAlign w:val="superscript"/>
        </w:rPr>
        <w:t>1</w:t>
      </w:r>
      <w:r w:rsidR="00284135">
        <w:t xml:space="preserve"> 2006–</w:t>
      </w:r>
      <w:r w:rsidRPr="004521E8">
        <w:t>07 per-pupil expenditures</w:t>
      </w:r>
      <w:proofErr w:type="gramEnd"/>
      <w:r w:rsidRPr="004521E8">
        <w:t xml:space="preserve">. </w:t>
      </w:r>
      <w:proofErr w:type="gramStart"/>
      <w:r w:rsidRPr="004521E8">
        <w:rPr>
          <w:i/>
        </w:rPr>
        <w:t xml:space="preserve">Education Week Quality Counts, </w:t>
      </w:r>
      <w:r w:rsidRPr="004521E8">
        <w:t>2009.</w:t>
      </w:r>
      <w:proofErr w:type="gramEnd"/>
      <w:r w:rsidRPr="004521E8">
        <w:rPr>
          <w:i/>
        </w:rPr>
        <w:t xml:space="preserve"> </w:t>
      </w:r>
    </w:p>
    <w:p w:rsidR="00BD113D" w:rsidRPr="004521E8" w:rsidRDefault="00BD113D" w:rsidP="00EA0285">
      <w:pPr>
        <w:pStyle w:val="ExhibitNotes"/>
        <w:spacing w:after="0"/>
        <w:ind w:hanging="1159"/>
      </w:pPr>
      <w:r w:rsidRPr="004521E8">
        <w:rPr>
          <w:vertAlign w:val="superscript"/>
        </w:rPr>
        <w:t>2</w:t>
      </w:r>
      <w:r w:rsidRPr="004521E8">
        <w:t xml:space="preserve"> </w:t>
      </w:r>
      <w:r w:rsidR="00160C44">
        <w:t xml:space="preserve">Percentages of SIG eligible schools </w:t>
      </w:r>
      <w:r w:rsidR="0080195E">
        <w:t xml:space="preserve">from state SIG applications </w:t>
      </w:r>
      <w:r w:rsidR="00C643A1">
        <w:t xml:space="preserve">are </w:t>
      </w:r>
      <w:r w:rsidR="00160C44">
        <w:t xml:space="preserve">based on </w:t>
      </w:r>
      <w:r w:rsidR="00C643A1">
        <w:t xml:space="preserve">the </w:t>
      </w:r>
      <w:r w:rsidR="00160C44">
        <w:t>total number of schools in C</w:t>
      </w:r>
      <w:r w:rsidR="009D0107">
        <w:t xml:space="preserve">ommon </w:t>
      </w:r>
      <w:r w:rsidR="00160C44">
        <w:t>C</w:t>
      </w:r>
      <w:r w:rsidR="009D0107">
        <w:t xml:space="preserve">ore of </w:t>
      </w:r>
      <w:r w:rsidR="00160C44">
        <w:t>D</w:t>
      </w:r>
      <w:r w:rsidR="009D0107">
        <w:t>ata</w:t>
      </w:r>
      <w:r w:rsidR="00C643A1">
        <w:t>, 2008-09</w:t>
      </w:r>
      <w:r w:rsidR="00160C44">
        <w:t>.</w:t>
      </w:r>
    </w:p>
    <w:p w:rsidR="00284135" w:rsidRDefault="00BD113D" w:rsidP="00EA0285">
      <w:pPr>
        <w:pStyle w:val="ExhibitNotes"/>
        <w:spacing w:after="0"/>
        <w:ind w:hanging="1159"/>
      </w:pPr>
      <w:r w:rsidRPr="004521E8">
        <w:rPr>
          <w:vertAlign w:val="superscript"/>
        </w:rPr>
        <w:t>3</w:t>
      </w:r>
      <w:r w:rsidR="00284135">
        <w:t xml:space="preserve"> 2007–</w:t>
      </w:r>
      <w:r w:rsidRPr="004521E8">
        <w:t>08 total enrollment. Common Core of Data, 2007-08.</w:t>
      </w:r>
    </w:p>
    <w:p w:rsidR="00BD113D" w:rsidRPr="004521E8" w:rsidRDefault="00BD113D" w:rsidP="00EA0285">
      <w:pPr>
        <w:pStyle w:val="ExhibitNotes"/>
        <w:spacing w:after="0"/>
        <w:ind w:hanging="1159"/>
      </w:pPr>
      <w:r w:rsidRPr="004521E8">
        <w:rPr>
          <w:vertAlign w:val="superscript"/>
        </w:rPr>
        <w:t>4</w:t>
      </w:r>
      <w:r w:rsidRPr="004521E8">
        <w:t xml:space="preserve"> US Census Bureau Population Regions. </w:t>
      </w:r>
    </w:p>
    <w:p w:rsidR="00BD113D" w:rsidRPr="004521E8" w:rsidRDefault="00BD113D" w:rsidP="00EA0285">
      <w:pPr>
        <w:pStyle w:val="ExhibitNotes"/>
        <w:spacing w:after="0"/>
        <w:ind w:hanging="1159"/>
      </w:pPr>
      <w:r w:rsidRPr="004521E8">
        <w:rPr>
          <w:vertAlign w:val="superscript"/>
        </w:rPr>
        <w:t>5</w:t>
      </w:r>
      <w:r w:rsidRPr="004521E8">
        <w:t xml:space="preserve"> The Data Quality Campaign (DQC) has identified 10 elements and 10 state actions related to data use and longitudinal data syste</w:t>
      </w:r>
      <w:r w:rsidR="00284135">
        <w:t>ms. Data Quality Campaign, 2009–</w:t>
      </w:r>
      <w:r w:rsidRPr="004521E8">
        <w:t>10 State Survey.</w:t>
      </w:r>
    </w:p>
    <w:p w:rsidR="00BD113D" w:rsidRPr="004521E8" w:rsidRDefault="00BD113D" w:rsidP="00EA0285">
      <w:pPr>
        <w:pStyle w:val="ExhibitNotes"/>
        <w:tabs>
          <w:tab w:val="clear" w:pos="576"/>
          <w:tab w:val="left" w:pos="-540"/>
        </w:tabs>
        <w:spacing w:after="0"/>
        <w:ind w:left="-540" w:firstLine="0"/>
      </w:pPr>
      <w:r w:rsidRPr="004521E8">
        <w:rPr>
          <w:vertAlign w:val="superscript"/>
        </w:rPr>
        <w:t>6</w:t>
      </w:r>
      <w:r w:rsidRPr="004521E8">
        <w:t xml:space="preserve"> State English/language arts and mathematics assessments for the 2009-10 school </w:t>
      </w:r>
      <w:proofErr w:type="gramStart"/>
      <w:r w:rsidRPr="004521E8">
        <w:t>year</w:t>
      </w:r>
      <w:proofErr w:type="gramEnd"/>
      <w:r w:rsidRPr="004521E8">
        <w:t xml:space="preserve"> have been</w:t>
      </w:r>
      <w:r w:rsidR="00284135">
        <w:t xml:space="preserve"> vertically equated in grades 3–</w:t>
      </w:r>
      <w:r w:rsidRPr="004521E8">
        <w:t xml:space="preserve">8 so that scores for each grade have been placed on a common metric. </w:t>
      </w:r>
      <w:proofErr w:type="gramStart"/>
      <w:r w:rsidRPr="004521E8">
        <w:rPr>
          <w:i/>
        </w:rPr>
        <w:t xml:space="preserve">Education Week Quality Counts, </w:t>
      </w:r>
      <w:r w:rsidRPr="004521E8">
        <w:t>2010.</w:t>
      </w:r>
      <w:proofErr w:type="gramEnd"/>
      <w:r w:rsidRPr="004521E8">
        <w:t xml:space="preserve"> </w:t>
      </w:r>
    </w:p>
    <w:sectPr w:rsidR="00BD113D" w:rsidRPr="004521E8" w:rsidSect="00284135">
      <w:footerReference w:type="default" r:id="rId9"/>
      <w:pgSz w:w="15840" w:h="12240" w:orient="landscape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DEE" w:rsidRPr="00575A82" w:rsidRDefault="00AF4DEE" w:rsidP="00B06E89">
      <w:pPr>
        <w:spacing w:after="0" w:line="240" w:lineRule="auto"/>
        <w:rPr>
          <w:color w:val="000000"/>
          <w:sz w:val="24"/>
        </w:rPr>
      </w:pPr>
      <w:r>
        <w:separator/>
      </w:r>
    </w:p>
  </w:endnote>
  <w:endnote w:type="continuationSeparator" w:id="0">
    <w:p w:rsidR="00AF4DEE" w:rsidRPr="00575A82" w:rsidRDefault="00AF4DEE" w:rsidP="00B06E89">
      <w:pPr>
        <w:spacing w:after="0" w:line="240" w:lineRule="auto"/>
        <w:rPr>
          <w:color w:val="000000"/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3A1" w:rsidRDefault="00C643A1" w:rsidP="00284135">
    <w:pPr>
      <w:pStyle w:val="Footer"/>
    </w:pPr>
    <w:r>
      <w:t>A–</w:t>
    </w:r>
    <w:fldSimple w:instr=" PAGE   \* MERGEFORMAT ">
      <w:r w:rsidR="00323450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DEE" w:rsidRPr="00575A82" w:rsidRDefault="00AF4DEE" w:rsidP="00B06E89">
      <w:pPr>
        <w:spacing w:after="0" w:line="240" w:lineRule="auto"/>
        <w:rPr>
          <w:color w:val="000000"/>
          <w:sz w:val="24"/>
        </w:rPr>
      </w:pPr>
      <w:r>
        <w:separator/>
      </w:r>
    </w:p>
  </w:footnote>
  <w:footnote w:type="continuationSeparator" w:id="0">
    <w:p w:rsidR="00AF4DEE" w:rsidRPr="00575A82" w:rsidRDefault="00AF4DEE" w:rsidP="00B06E89">
      <w:pPr>
        <w:spacing w:after="0" w:line="240" w:lineRule="auto"/>
        <w:rPr>
          <w:color w:val="000000"/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32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3D"/>
    <w:rsid w:val="0004348A"/>
    <w:rsid w:val="00102AEF"/>
    <w:rsid w:val="00137DE4"/>
    <w:rsid w:val="00160C44"/>
    <w:rsid w:val="001708E2"/>
    <w:rsid w:val="00284135"/>
    <w:rsid w:val="00285E23"/>
    <w:rsid w:val="00323450"/>
    <w:rsid w:val="00334A64"/>
    <w:rsid w:val="00375439"/>
    <w:rsid w:val="003D0D7F"/>
    <w:rsid w:val="00436D6A"/>
    <w:rsid w:val="00482096"/>
    <w:rsid w:val="004A73BD"/>
    <w:rsid w:val="00521D41"/>
    <w:rsid w:val="00621A5B"/>
    <w:rsid w:val="00624059"/>
    <w:rsid w:val="00666C4C"/>
    <w:rsid w:val="00690E2E"/>
    <w:rsid w:val="00691FA2"/>
    <w:rsid w:val="006B088F"/>
    <w:rsid w:val="006E1227"/>
    <w:rsid w:val="007119FC"/>
    <w:rsid w:val="00734934"/>
    <w:rsid w:val="00766EAC"/>
    <w:rsid w:val="0079612F"/>
    <w:rsid w:val="007B764E"/>
    <w:rsid w:val="007E0A7B"/>
    <w:rsid w:val="0080195E"/>
    <w:rsid w:val="00806C14"/>
    <w:rsid w:val="00812EB5"/>
    <w:rsid w:val="008356E7"/>
    <w:rsid w:val="00836A2B"/>
    <w:rsid w:val="009C61DB"/>
    <w:rsid w:val="009D0107"/>
    <w:rsid w:val="00A41EB6"/>
    <w:rsid w:val="00A91162"/>
    <w:rsid w:val="00AE53A7"/>
    <w:rsid w:val="00AF4DEE"/>
    <w:rsid w:val="00B06E89"/>
    <w:rsid w:val="00B5788C"/>
    <w:rsid w:val="00B93178"/>
    <w:rsid w:val="00BD09C2"/>
    <w:rsid w:val="00BD113D"/>
    <w:rsid w:val="00C643A1"/>
    <w:rsid w:val="00C709C0"/>
    <w:rsid w:val="00C8169E"/>
    <w:rsid w:val="00D0568F"/>
    <w:rsid w:val="00D20BC8"/>
    <w:rsid w:val="00D30636"/>
    <w:rsid w:val="00D555B7"/>
    <w:rsid w:val="00D66D35"/>
    <w:rsid w:val="00DC0C89"/>
    <w:rsid w:val="00DC15B5"/>
    <w:rsid w:val="00DD6085"/>
    <w:rsid w:val="00E021F8"/>
    <w:rsid w:val="00E25FAE"/>
    <w:rsid w:val="00EA0285"/>
    <w:rsid w:val="00EC6244"/>
    <w:rsid w:val="00EE5160"/>
    <w:rsid w:val="00F03A0A"/>
    <w:rsid w:val="00F06685"/>
    <w:rsid w:val="00F74FBE"/>
    <w:rsid w:val="00FA7995"/>
    <w:rsid w:val="00FE0B54"/>
    <w:rsid w:val="00FF5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C14"/>
    <w:pPr>
      <w:spacing w:after="200" w:line="276" w:lineRule="auto"/>
    </w:pPr>
    <w:rPr>
      <w:rFonts w:ascii="Calibri" w:eastAsia="Calibri" w:hAnsi="Calibri"/>
    </w:rPr>
  </w:style>
  <w:style w:type="paragraph" w:styleId="Heading1">
    <w:name w:val="heading 1"/>
    <w:next w:val="Normal"/>
    <w:link w:val="Heading1Char"/>
    <w:qFormat/>
    <w:rsid w:val="00EA0285"/>
    <w:pPr>
      <w:keepNext/>
      <w:keepLines/>
      <w:spacing w:after="240"/>
      <w:jc w:val="center"/>
      <w:outlineLvl w:val="0"/>
    </w:pPr>
    <w:rPr>
      <w:rFonts w:ascii="Arial" w:eastAsia="Times New Roman" w:hAnsi="Arial"/>
      <w:b/>
      <w:bCs/>
      <w:color w:val="00206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D113D"/>
    <w:pPr>
      <w:tabs>
        <w:tab w:val="center" w:pos="4680"/>
        <w:tab w:val="right" w:pos="9360"/>
      </w:tabs>
      <w:spacing w:after="0" w:line="240" w:lineRule="auto"/>
      <w:jc w:val="right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D113D"/>
    <w:rPr>
      <w:rFonts w:ascii="Times New Roman" w:eastAsia="Calibri" w:hAnsi="Times New Roman"/>
    </w:rPr>
  </w:style>
  <w:style w:type="table" w:styleId="TableGrid">
    <w:name w:val="Table Grid"/>
    <w:basedOn w:val="TableNormal"/>
    <w:uiPriority w:val="59"/>
    <w:rsid w:val="00BD113D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hibitHeading">
    <w:name w:val="Exhibit Heading"/>
    <w:basedOn w:val="Normal"/>
    <w:next w:val="BodyText"/>
    <w:rsid w:val="00284135"/>
    <w:pPr>
      <w:spacing w:after="0" w:line="240" w:lineRule="auto"/>
    </w:pPr>
    <w:rPr>
      <w:rFonts w:ascii="Franklin Gothic Book" w:hAnsi="Franklin Gothic Book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28413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135"/>
    <w:rPr>
      <w:rFonts w:ascii="Calibri" w:eastAsia="Calibri" w:hAnsi="Calibri"/>
    </w:rPr>
  </w:style>
  <w:style w:type="paragraph" w:customStyle="1" w:styleId="ExhibitNotes">
    <w:name w:val="Exhibit Notes"/>
    <w:rsid w:val="00284135"/>
    <w:pPr>
      <w:tabs>
        <w:tab w:val="left" w:pos="576"/>
      </w:tabs>
      <w:spacing w:after="80"/>
      <w:ind w:left="619" w:right="43" w:hanging="576"/>
    </w:pPr>
    <w:rPr>
      <w:rFonts w:ascii="Calibri" w:eastAsia="Times New Roman" w:hAnsi="Calibri"/>
      <w:bCs/>
      <w:sz w:val="18"/>
      <w:szCs w:val="23"/>
    </w:rPr>
  </w:style>
  <w:style w:type="paragraph" w:customStyle="1" w:styleId="ExhibitReads">
    <w:name w:val="Exhibit Reads"/>
    <w:rsid w:val="00284135"/>
    <w:pPr>
      <w:shd w:val="clear" w:color="auto" w:fill="FFFFFF"/>
      <w:spacing w:before="40" w:after="80"/>
      <w:ind w:right="43"/>
    </w:pPr>
    <w:rPr>
      <w:rFonts w:ascii="Calibri" w:eastAsia="Times New Roman" w:hAnsi="Calibri"/>
      <w:bCs/>
      <w:sz w:val="20"/>
      <w:szCs w:val="23"/>
    </w:rPr>
  </w:style>
  <w:style w:type="paragraph" w:customStyle="1" w:styleId="ExhibitSource">
    <w:name w:val="Exhibit Source"/>
    <w:rsid w:val="00284135"/>
    <w:pPr>
      <w:spacing w:after="80"/>
      <w:ind w:left="43" w:right="43"/>
    </w:pPr>
    <w:rPr>
      <w:rFonts w:ascii="Calibri" w:eastAsia="Times New Roman" w:hAnsi="Calibri"/>
      <w:bCs/>
      <w:sz w:val="18"/>
      <w:szCs w:val="18"/>
    </w:rPr>
  </w:style>
  <w:style w:type="paragraph" w:customStyle="1" w:styleId="ExhibitText">
    <w:name w:val="Exhibit Text"/>
    <w:rsid w:val="00284135"/>
    <w:pPr>
      <w:widowControl w:val="0"/>
      <w:spacing w:before="20" w:after="20"/>
    </w:pPr>
    <w:rPr>
      <w:rFonts w:ascii="Franklin Gothic Book" w:eastAsia="Times New Roman" w:hAnsi="Franklin Gothic Book"/>
      <w:snapToGrid w:val="0"/>
      <w:color w:val="000000"/>
      <w:sz w:val="20"/>
      <w:szCs w:val="20"/>
    </w:rPr>
  </w:style>
  <w:style w:type="paragraph" w:customStyle="1" w:styleId="ExhibitTextCentered">
    <w:name w:val="Exhibit Text Centered"/>
    <w:basedOn w:val="ExhibitText"/>
    <w:qFormat/>
    <w:rsid w:val="00284135"/>
    <w:pPr>
      <w:jc w:val="center"/>
    </w:pPr>
  </w:style>
  <w:style w:type="paragraph" w:customStyle="1" w:styleId="ExhibitTextSmall">
    <w:name w:val="Exhibit Text Small"/>
    <w:basedOn w:val="Normal"/>
    <w:qFormat/>
    <w:rsid w:val="00284135"/>
    <w:pPr>
      <w:spacing w:after="0" w:line="240" w:lineRule="auto"/>
    </w:pPr>
    <w:rPr>
      <w:sz w:val="20"/>
      <w:szCs w:val="20"/>
    </w:rPr>
  </w:style>
  <w:style w:type="paragraph" w:customStyle="1" w:styleId="ExhibitTitle">
    <w:name w:val="Exhibit Title"/>
    <w:next w:val="Normal"/>
    <w:rsid w:val="00284135"/>
    <w:pPr>
      <w:keepNext/>
      <w:spacing w:before="120" w:after="120"/>
      <w:jc w:val="center"/>
    </w:pPr>
    <w:rPr>
      <w:rFonts w:ascii="Franklin Gothic Heavy" w:eastAsia="Times New Roman" w:hAnsi="Franklin Gothic Heavy" w:cs="Arial"/>
    </w:rPr>
  </w:style>
  <w:style w:type="paragraph" w:customStyle="1" w:styleId="ExhibitTitleNOTOC">
    <w:name w:val="Exhibit Title NO TOC"/>
    <w:basedOn w:val="ExhibitTitle"/>
    <w:rsid w:val="00284135"/>
  </w:style>
  <w:style w:type="paragraph" w:styleId="Header">
    <w:name w:val="header"/>
    <w:basedOn w:val="Normal"/>
    <w:link w:val="HeaderChar"/>
    <w:uiPriority w:val="99"/>
    <w:semiHidden/>
    <w:unhideWhenUsed/>
    <w:rsid w:val="00284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135"/>
    <w:rPr>
      <w:rFonts w:ascii="Calibri" w:eastAsia="Calibri" w:hAnsi="Calibri"/>
    </w:rPr>
  </w:style>
  <w:style w:type="character" w:customStyle="1" w:styleId="Heading1Char">
    <w:name w:val="Heading 1 Char"/>
    <w:basedOn w:val="DefaultParagraphFont"/>
    <w:link w:val="Heading1"/>
    <w:rsid w:val="00EA0285"/>
    <w:rPr>
      <w:rFonts w:ascii="Arial" w:eastAsia="Times New Roman" w:hAnsi="Arial"/>
      <w:b/>
      <w:bCs/>
      <w:color w:val="002060"/>
      <w:kern w:val="32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B8571C8B60CC46BC9BE39E1E5B0697" ma:contentTypeVersion="0" ma:contentTypeDescription="Create a new document." ma:contentTypeScope="" ma:versionID="503134cf3fce84cdc1bd3ce59a50bc0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FDF0315-55D5-449D-AA68-97BBF5B7329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BD6A568-92D5-4A1C-97A2-BAD4850972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40CFC-590E-4A6F-9A6B-ED343210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Hurlburt</dc:creator>
  <cp:keywords/>
  <dc:description/>
  <cp:lastModifiedBy>Information Technology Group</cp:lastModifiedBy>
  <cp:revision>2</cp:revision>
  <cp:lastPrinted>2010-08-23T18:30:00Z</cp:lastPrinted>
  <dcterms:created xsi:type="dcterms:W3CDTF">2010-11-17T15:41:00Z</dcterms:created>
  <dcterms:modified xsi:type="dcterms:W3CDTF">2010-11-17T15:41:00Z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0x01010029B8571C8B60CC46BC9BE39E1E5B0697</vt:lpwstr>
  </property>
</Properties>
</file>