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C77" w:rsidRPr="001C3085" w:rsidRDefault="00273C77" w:rsidP="00B004A6">
      <w:pPr>
        <w:pStyle w:val="PCoverHead1"/>
        <w:spacing w:before="3860"/>
      </w:pPr>
      <w:r>
        <w:t>School Improvement Status and Outcomes for Students with Disabilities Study</w:t>
      </w:r>
    </w:p>
    <w:p w:rsidR="00273C77" w:rsidRPr="00EF78E5" w:rsidRDefault="00273C77" w:rsidP="001C3085">
      <w:pPr>
        <w:pStyle w:val="PCoverHead2"/>
      </w:pPr>
      <w:r>
        <w:t>Part A (Justification)</w:t>
      </w:r>
    </w:p>
    <w:p w:rsidR="00273C77" w:rsidRDefault="00273C77" w:rsidP="00D84DC5">
      <w:pPr>
        <w:pStyle w:val="PCoverHead4"/>
        <w:spacing w:after="0"/>
      </w:pPr>
      <w:r>
        <w:t>OMB CLEARANCE REQUEST</w:t>
      </w:r>
    </w:p>
    <w:p w:rsidR="00273C77" w:rsidRPr="00536264" w:rsidRDefault="00273C77" w:rsidP="00D84DC5">
      <w:pPr>
        <w:pStyle w:val="PCoverHead2"/>
        <w:ind w:left="-540"/>
        <w:rPr>
          <w:b w:val="0"/>
        </w:rPr>
      </w:pPr>
      <w:r w:rsidRPr="00D84DC5">
        <w:rPr>
          <w:b w:val="0"/>
        </w:rPr>
        <w:t xml:space="preserve">For </w:t>
      </w:r>
      <w:r w:rsidRPr="00536264">
        <w:rPr>
          <w:b w:val="0"/>
        </w:rPr>
        <w:t>Data Collection Instruments</w:t>
      </w:r>
    </w:p>
    <w:p w:rsidR="00273C77" w:rsidRPr="001C3085" w:rsidRDefault="00273C77" w:rsidP="001C3085">
      <w:pPr>
        <w:pStyle w:val="PCoverHead3"/>
      </w:pPr>
      <w:r w:rsidRPr="00536264">
        <w:t xml:space="preserve">December </w:t>
      </w:r>
      <w:r>
        <w:t>17</w:t>
      </w:r>
      <w:r w:rsidRPr="00536264">
        <w:t>, 2010</w:t>
      </w:r>
      <w:r>
        <w:t>, updated March 15, 2011</w:t>
      </w:r>
    </w:p>
    <w:p w:rsidR="00273C77" w:rsidRPr="00E6369C" w:rsidRDefault="00273C77" w:rsidP="001C3085">
      <w:pPr>
        <w:pStyle w:val="PCoverHead3"/>
      </w:pPr>
    </w:p>
    <w:p w:rsidR="00273C77" w:rsidRPr="001C3085" w:rsidRDefault="00273C77" w:rsidP="001C3085">
      <w:pPr>
        <w:pStyle w:val="PCoverHead3Italic"/>
      </w:pPr>
      <w:r>
        <w:t>Prepared for</w:t>
      </w:r>
      <w:r w:rsidRPr="001C3085">
        <w:t>:</w:t>
      </w:r>
    </w:p>
    <w:p w:rsidR="00273C77" w:rsidRDefault="00273C77" w:rsidP="001C3085">
      <w:pPr>
        <w:pStyle w:val="PCoverHead3"/>
      </w:pPr>
      <w:r>
        <w:t>United States Department of Education</w:t>
      </w:r>
    </w:p>
    <w:p w:rsidR="00273C77" w:rsidRPr="00E6369C" w:rsidRDefault="00273C77" w:rsidP="001C3085">
      <w:pPr>
        <w:pStyle w:val="PCoverHead3"/>
      </w:pPr>
      <w:r>
        <w:t>Contract No. ED-04-CO-0025/0013</w:t>
      </w:r>
    </w:p>
    <w:p w:rsidR="00273C77" w:rsidRPr="00E6369C" w:rsidRDefault="00273C77" w:rsidP="001C3085">
      <w:pPr>
        <w:pStyle w:val="PCoverHead3"/>
      </w:pPr>
    </w:p>
    <w:p w:rsidR="00273C77" w:rsidRPr="00E6369C" w:rsidRDefault="00273C77" w:rsidP="001C3085">
      <w:pPr>
        <w:pStyle w:val="PCoverHead3Italic"/>
      </w:pPr>
      <w:r>
        <w:t>Prepared by</w:t>
      </w:r>
      <w:r w:rsidRPr="00E6369C">
        <w:t>:</w:t>
      </w:r>
    </w:p>
    <w:p w:rsidR="00273C77" w:rsidRPr="00E6369C" w:rsidRDefault="00273C77" w:rsidP="001C3085">
      <w:pPr>
        <w:pStyle w:val="PCoverHead3"/>
      </w:pPr>
      <w:r w:rsidRPr="00E6369C">
        <w:t>American Institutes for Research</w:t>
      </w:r>
    </w:p>
    <w:p w:rsidR="00273C77" w:rsidRPr="009254FA" w:rsidRDefault="00273C77" w:rsidP="009254FA"/>
    <w:p w:rsidR="00273C77" w:rsidRPr="00771387" w:rsidRDefault="00273C77" w:rsidP="00036C09">
      <w:pPr>
        <w:sectPr w:rsidR="00273C77" w:rsidRPr="00771387" w:rsidSect="001B59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sectPr>
      </w:pPr>
    </w:p>
    <w:p w:rsidR="00273C77" w:rsidRDefault="00273C77" w:rsidP="001C3085">
      <w:pPr>
        <w:pStyle w:val="PContentsTitle"/>
      </w:pPr>
      <w:r>
        <w:t>Contents</w:t>
      </w:r>
    </w:p>
    <w:p w:rsidR="00273C77" w:rsidRDefault="00273C77">
      <w:pPr>
        <w:pStyle w:val="TOC1"/>
        <w:rPr>
          <w:rFonts w:ascii="Calibri" w:hAnsi="Calibri" w:cs="Times New Roman"/>
          <w:b w:val="0"/>
          <w:bCs w:val="0"/>
          <w:noProof/>
          <w:sz w:val="22"/>
          <w:szCs w:val="22"/>
        </w:rPr>
      </w:pPr>
      <w:r>
        <w:rPr>
          <w:b w:val="0"/>
          <w:bCs w:val="0"/>
        </w:rPr>
        <w:fldChar w:fldCharType="begin"/>
      </w:r>
      <w:r>
        <w:rPr>
          <w:b w:val="0"/>
          <w:bCs w:val="0"/>
        </w:rPr>
        <w:instrText xml:space="preserve"> TOC \o "2-3" \t "Heading 1,1" </w:instrText>
      </w:r>
      <w:r>
        <w:rPr>
          <w:b w:val="0"/>
          <w:bCs w:val="0"/>
        </w:rPr>
        <w:fldChar w:fldCharType="separate"/>
      </w:r>
      <w:r>
        <w:rPr>
          <w:noProof/>
        </w:rPr>
        <w:t>Introduction</w:t>
      </w:r>
      <w:r>
        <w:rPr>
          <w:noProof/>
        </w:rPr>
        <w:tab/>
      </w:r>
      <w:r>
        <w:rPr>
          <w:noProof/>
        </w:rPr>
        <w:fldChar w:fldCharType="begin"/>
      </w:r>
      <w:r>
        <w:rPr>
          <w:noProof/>
        </w:rPr>
        <w:instrText xml:space="preserve"> PAGEREF _Toc280106377 \h </w:instrText>
      </w:r>
      <w:r>
        <w:rPr>
          <w:noProof/>
        </w:rPr>
      </w:r>
      <w:r>
        <w:rPr>
          <w:noProof/>
        </w:rPr>
        <w:fldChar w:fldCharType="separate"/>
      </w:r>
      <w:r>
        <w:rPr>
          <w:noProof/>
        </w:rPr>
        <w:t>1</w:t>
      </w:r>
      <w:r>
        <w:rPr>
          <w:noProof/>
        </w:rPr>
        <w:fldChar w:fldCharType="end"/>
      </w:r>
    </w:p>
    <w:p w:rsidR="00273C77" w:rsidRDefault="00273C77">
      <w:pPr>
        <w:pStyle w:val="TOC1"/>
        <w:rPr>
          <w:rFonts w:ascii="Calibri" w:hAnsi="Calibri" w:cs="Times New Roman"/>
          <w:b w:val="0"/>
          <w:bCs w:val="0"/>
          <w:noProof/>
          <w:sz w:val="22"/>
          <w:szCs w:val="22"/>
        </w:rPr>
      </w:pPr>
      <w:r>
        <w:rPr>
          <w:noProof/>
        </w:rPr>
        <w:t>School Improvement Status and Outcomes for Students with Disabilities Study</w:t>
      </w:r>
      <w:r>
        <w:rPr>
          <w:noProof/>
        </w:rPr>
        <w:tab/>
      </w:r>
      <w:r>
        <w:rPr>
          <w:noProof/>
        </w:rPr>
        <w:fldChar w:fldCharType="begin"/>
      </w:r>
      <w:r>
        <w:rPr>
          <w:noProof/>
        </w:rPr>
        <w:instrText xml:space="preserve"> PAGEREF _Toc280106378 \h </w:instrText>
      </w:r>
      <w:r>
        <w:rPr>
          <w:noProof/>
        </w:rPr>
      </w:r>
      <w:r>
        <w:rPr>
          <w:noProof/>
        </w:rPr>
        <w:fldChar w:fldCharType="separate"/>
      </w:r>
      <w:r>
        <w:rPr>
          <w:noProof/>
        </w:rPr>
        <w:t>2</w:t>
      </w:r>
      <w:r>
        <w:rPr>
          <w:noProof/>
        </w:rPr>
        <w:fldChar w:fldCharType="end"/>
      </w:r>
    </w:p>
    <w:p w:rsidR="00273C77" w:rsidRDefault="00273C77">
      <w:pPr>
        <w:pStyle w:val="TOC2"/>
        <w:rPr>
          <w:rFonts w:ascii="Calibri" w:hAnsi="Calibri" w:cs="Times New Roman"/>
          <w:sz w:val="22"/>
          <w:szCs w:val="22"/>
        </w:rPr>
      </w:pPr>
      <w:r>
        <w:t>Overview</w:t>
      </w:r>
      <w:r>
        <w:tab/>
      </w:r>
      <w:r>
        <w:fldChar w:fldCharType="begin"/>
      </w:r>
      <w:r>
        <w:instrText xml:space="preserve"> PAGEREF _Toc280106379 \h </w:instrText>
      </w:r>
      <w:r>
        <w:fldChar w:fldCharType="separate"/>
      </w:r>
      <w:r>
        <w:t>2</w:t>
      </w:r>
      <w:r>
        <w:fldChar w:fldCharType="end"/>
      </w:r>
    </w:p>
    <w:p w:rsidR="00273C77" w:rsidRDefault="00273C77">
      <w:pPr>
        <w:pStyle w:val="TOC2"/>
        <w:rPr>
          <w:rFonts w:ascii="Calibri" w:hAnsi="Calibri" w:cs="Times New Roman"/>
          <w:sz w:val="22"/>
          <w:szCs w:val="22"/>
        </w:rPr>
      </w:pPr>
      <w:r w:rsidRPr="007B32F7">
        <w:rPr>
          <w:rFonts w:cs="Times New Roman"/>
        </w:rPr>
        <w:t>Theory of Action</w:t>
      </w:r>
      <w:r>
        <w:tab/>
      </w:r>
      <w:r>
        <w:fldChar w:fldCharType="begin"/>
      </w:r>
      <w:r>
        <w:instrText xml:space="preserve"> PAGEREF _Toc280106380 \h </w:instrText>
      </w:r>
      <w:r>
        <w:fldChar w:fldCharType="separate"/>
      </w:r>
      <w:r>
        <w:t>3</w:t>
      </w:r>
      <w:r>
        <w:fldChar w:fldCharType="end"/>
      </w:r>
    </w:p>
    <w:p w:rsidR="00273C77" w:rsidRDefault="00273C77">
      <w:pPr>
        <w:pStyle w:val="TOC2"/>
        <w:rPr>
          <w:rFonts w:ascii="Calibri" w:hAnsi="Calibri" w:cs="Times New Roman"/>
          <w:sz w:val="22"/>
          <w:szCs w:val="22"/>
        </w:rPr>
      </w:pPr>
      <w:r>
        <w:t>Evaluation Questions</w:t>
      </w:r>
      <w:r>
        <w:tab/>
      </w:r>
      <w:r>
        <w:fldChar w:fldCharType="begin"/>
      </w:r>
      <w:r>
        <w:instrText xml:space="preserve"> PAGEREF _Toc280106381 \h </w:instrText>
      </w:r>
      <w:r>
        <w:fldChar w:fldCharType="separate"/>
      </w:r>
      <w:r>
        <w:t>5</w:t>
      </w:r>
      <w:r>
        <w:fldChar w:fldCharType="end"/>
      </w:r>
    </w:p>
    <w:p w:rsidR="00273C77" w:rsidRDefault="00273C77">
      <w:pPr>
        <w:pStyle w:val="TOC3"/>
        <w:rPr>
          <w:rFonts w:ascii="Calibri" w:hAnsi="Calibri" w:cs="Times New Roman"/>
          <w:noProof/>
          <w:sz w:val="22"/>
          <w:szCs w:val="22"/>
        </w:rPr>
      </w:pPr>
      <w:r>
        <w:rPr>
          <w:noProof/>
        </w:rPr>
        <w:t>Research Question 1: Inclusion of SWDs in the School Accountability System and AYP Performance of Schools Accountable for SWDs</w:t>
      </w:r>
      <w:r>
        <w:rPr>
          <w:noProof/>
        </w:rPr>
        <w:tab/>
      </w:r>
      <w:r>
        <w:rPr>
          <w:noProof/>
        </w:rPr>
        <w:fldChar w:fldCharType="begin"/>
      </w:r>
      <w:r>
        <w:rPr>
          <w:noProof/>
        </w:rPr>
        <w:instrText xml:space="preserve"> PAGEREF _Toc280106382 \h </w:instrText>
      </w:r>
      <w:r>
        <w:rPr>
          <w:noProof/>
        </w:rPr>
      </w:r>
      <w:r>
        <w:rPr>
          <w:noProof/>
        </w:rPr>
        <w:fldChar w:fldCharType="separate"/>
      </w:r>
      <w:r>
        <w:rPr>
          <w:noProof/>
        </w:rPr>
        <w:t>5</w:t>
      </w:r>
      <w:r>
        <w:rPr>
          <w:noProof/>
        </w:rPr>
        <w:fldChar w:fldCharType="end"/>
      </w:r>
    </w:p>
    <w:p w:rsidR="00273C77" w:rsidRDefault="00273C77">
      <w:pPr>
        <w:pStyle w:val="TOC3"/>
        <w:rPr>
          <w:rFonts w:ascii="Calibri" w:hAnsi="Calibri" w:cs="Times New Roman"/>
          <w:noProof/>
          <w:sz w:val="22"/>
          <w:szCs w:val="22"/>
        </w:rPr>
      </w:pPr>
      <w:r>
        <w:rPr>
          <w:noProof/>
        </w:rPr>
        <w:t>Research Question 2: School Practices</w:t>
      </w:r>
      <w:r>
        <w:rPr>
          <w:noProof/>
        </w:rPr>
        <w:tab/>
      </w:r>
      <w:r>
        <w:rPr>
          <w:noProof/>
        </w:rPr>
        <w:fldChar w:fldCharType="begin"/>
      </w:r>
      <w:r>
        <w:rPr>
          <w:noProof/>
        </w:rPr>
        <w:instrText xml:space="preserve"> PAGEREF _Toc280106383 \h </w:instrText>
      </w:r>
      <w:r>
        <w:rPr>
          <w:noProof/>
        </w:rPr>
      </w:r>
      <w:r>
        <w:rPr>
          <w:noProof/>
        </w:rPr>
        <w:fldChar w:fldCharType="separate"/>
      </w:r>
      <w:r>
        <w:rPr>
          <w:noProof/>
        </w:rPr>
        <w:t>5</w:t>
      </w:r>
      <w:r>
        <w:rPr>
          <w:noProof/>
        </w:rPr>
        <w:fldChar w:fldCharType="end"/>
      </w:r>
    </w:p>
    <w:p w:rsidR="00273C77" w:rsidRDefault="00273C77">
      <w:pPr>
        <w:pStyle w:val="TOC3"/>
        <w:rPr>
          <w:rFonts w:ascii="Calibri" w:hAnsi="Calibri" w:cs="Times New Roman"/>
          <w:noProof/>
          <w:sz w:val="22"/>
          <w:szCs w:val="22"/>
        </w:rPr>
      </w:pPr>
      <w:r>
        <w:rPr>
          <w:noProof/>
        </w:rPr>
        <w:t>Research Question 3: SWD Achievement Trends</w:t>
      </w:r>
      <w:r>
        <w:rPr>
          <w:noProof/>
        </w:rPr>
        <w:tab/>
      </w:r>
      <w:r>
        <w:rPr>
          <w:noProof/>
        </w:rPr>
        <w:fldChar w:fldCharType="begin"/>
      </w:r>
      <w:r>
        <w:rPr>
          <w:noProof/>
        </w:rPr>
        <w:instrText xml:space="preserve"> PAGEREF _Toc280106384 \h </w:instrText>
      </w:r>
      <w:r>
        <w:rPr>
          <w:noProof/>
        </w:rPr>
      </w:r>
      <w:r>
        <w:rPr>
          <w:noProof/>
        </w:rPr>
        <w:fldChar w:fldCharType="separate"/>
      </w:r>
      <w:r>
        <w:rPr>
          <w:noProof/>
        </w:rPr>
        <w:t>5</w:t>
      </w:r>
      <w:r>
        <w:rPr>
          <w:noProof/>
        </w:rPr>
        <w:fldChar w:fldCharType="end"/>
      </w:r>
    </w:p>
    <w:p w:rsidR="00273C77" w:rsidRDefault="00273C77">
      <w:pPr>
        <w:pStyle w:val="TOC2"/>
        <w:rPr>
          <w:rFonts w:ascii="Calibri" w:hAnsi="Calibri" w:cs="Times New Roman"/>
          <w:sz w:val="22"/>
          <w:szCs w:val="22"/>
        </w:rPr>
      </w:pPr>
      <w:r>
        <w:t>Sampling Design</w:t>
      </w:r>
      <w:r>
        <w:tab/>
      </w:r>
      <w:r>
        <w:fldChar w:fldCharType="begin"/>
      </w:r>
      <w:r>
        <w:instrText xml:space="preserve"> PAGEREF _Toc280106385 \h </w:instrText>
      </w:r>
      <w:r>
        <w:fldChar w:fldCharType="separate"/>
      </w:r>
      <w:r>
        <w:t>6</w:t>
      </w:r>
      <w:r>
        <w:fldChar w:fldCharType="end"/>
      </w:r>
    </w:p>
    <w:p w:rsidR="00273C77" w:rsidRDefault="00273C77">
      <w:pPr>
        <w:pStyle w:val="TOC2"/>
        <w:rPr>
          <w:rFonts w:ascii="Calibri" w:hAnsi="Calibri" w:cs="Times New Roman"/>
          <w:sz w:val="22"/>
          <w:szCs w:val="22"/>
        </w:rPr>
      </w:pPr>
      <w:r>
        <w:t>Data Collection Procedures</w:t>
      </w:r>
      <w:r>
        <w:tab/>
      </w:r>
      <w:r>
        <w:fldChar w:fldCharType="begin"/>
      </w:r>
      <w:r>
        <w:instrText xml:space="preserve"> PAGEREF _Toc280106386 \h </w:instrText>
      </w:r>
      <w:r>
        <w:fldChar w:fldCharType="separate"/>
      </w:r>
      <w:r>
        <w:t>7</w:t>
      </w:r>
      <w:r>
        <w:fldChar w:fldCharType="end"/>
      </w:r>
    </w:p>
    <w:p w:rsidR="00273C77" w:rsidRDefault="00273C77">
      <w:pPr>
        <w:pStyle w:val="TOC2"/>
        <w:rPr>
          <w:rFonts w:ascii="Calibri" w:hAnsi="Calibri" w:cs="Times New Roman"/>
          <w:sz w:val="22"/>
          <w:szCs w:val="22"/>
        </w:rPr>
      </w:pPr>
      <w:r>
        <w:t>Analytic Approach</w:t>
      </w:r>
      <w:r>
        <w:tab/>
      </w:r>
      <w:r>
        <w:fldChar w:fldCharType="begin"/>
      </w:r>
      <w:r>
        <w:instrText xml:space="preserve"> PAGEREF _Toc280106387 \h </w:instrText>
      </w:r>
      <w:r>
        <w:fldChar w:fldCharType="separate"/>
      </w:r>
      <w:r>
        <w:t>8</w:t>
      </w:r>
      <w:r>
        <w:fldChar w:fldCharType="end"/>
      </w:r>
    </w:p>
    <w:p w:rsidR="00273C77" w:rsidRDefault="00273C77">
      <w:pPr>
        <w:pStyle w:val="TOC3"/>
        <w:rPr>
          <w:rFonts w:ascii="Calibri" w:hAnsi="Calibri" w:cs="Times New Roman"/>
          <w:noProof/>
          <w:sz w:val="22"/>
          <w:szCs w:val="22"/>
        </w:rPr>
      </w:pPr>
      <w:r>
        <w:rPr>
          <w:noProof/>
        </w:rPr>
        <w:t>Analytic Methods for Research Question 1 (Inclusion of SWDs in Accountability and School AYP Performance)</w:t>
      </w:r>
      <w:r>
        <w:rPr>
          <w:noProof/>
        </w:rPr>
        <w:tab/>
      </w:r>
      <w:r>
        <w:rPr>
          <w:noProof/>
        </w:rPr>
        <w:fldChar w:fldCharType="begin"/>
      </w:r>
      <w:r>
        <w:rPr>
          <w:noProof/>
        </w:rPr>
        <w:instrText xml:space="preserve"> PAGEREF _Toc280106388 \h </w:instrText>
      </w:r>
      <w:r>
        <w:rPr>
          <w:noProof/>
        </w:rPr>
      </w:r>
      <w:r>
        <w:rPr>
          <w:noProof/>
        </w:rPr>
        <w:fldChar w:fldCharType="separate"/>
      </w:r>
      <w:r>
        <w:rPr>
          <w:noProof/>
        </w:rPr>
        <w:t>8</w:t>
      </w:r>
      <w:r>
        <w:rPr>
          <w:noProof/>
        </w:rPr>
        <w:fldChar w:fldCharType="end"/>
      </w:r>
    </w:p>
    <w:p w:rsidR="00273C77" w:rsidRDefault="00273C77">
      <w:pPr>
        <w:pStyle w:val="TOC3"/>
        <w:rPr>
          <w:rFonts w:ascii="Calibri" w:hAnsi="Calibri" w:cs="Times New Roman"/>
          <w:noProof/>
          <w:sz w:val="22"/>
          <w:szCs w:val="22"/>
        </w:rPr>
      </w:pPr>
      <w:r>
        <w:rPr>
          <w:noProof/>
        </w:rPr>
        <w:t>Analytic Methods for Research Question 2 (School Practices)</w:t>
      </w:r>
      <w:r>
        <w:rPr>
          <w:noProof/>
        </w:rPr>
        <w:tab/>
      </w:r>
      <w:r>
        <w:rPr>
          <w:noProof/>
        </w:rPr>
        <w:fldChar w:fldCharType="begin"/>
      </w:r>
      <w:r>
        <w:rPr>
          <w:noProof/>
        </w:rPr>
        <w:instrText xml:space="preserve"> PAGEREF _Toc280106389 \h </w:instrText>
      </w:r>
      <w:r>
        <w:rPr>
          <w:noProof/>
        </w:rPr>
      </w:r>
      <w:r>
        <w:rPr>
          <w:noProof/>
        </w:rPr>
        <w:fldChar w:fldCharType="separate"/>
      </w:r>
      <w:r>
        <w:rPr>
          <w:noProof/>
        </w:rPr>
        <w:t>9</w:t>
      </w:r>
      <w:r>
        <w:rPr>
          <w:noProof/>
        </w:rPr>
        <w:fldChar w:fldCharType="end"/>
      </w:r>
    </w:p>
    <w:p w:rsidR="00273C77" w:rsidRDefault="00273C77">
      <w:pPr>
        <w:pStyle w:val="TOC3"/>
        <w:rPr>
          <w:rFonts w:ascii="Calibri" w:hAnsi="Calibri" w:cs="Times New Roman"/>
          <w:noProof/>
          <w:sz w:val="22"/>
          <w:szCs w:val="22"/>
        </w:rPr>
      </w:pPr>
      <w:r>
        <w:rPr>
          <w:noProof/>
        </w:rPr>
        <w:t>Analytic Methods for Research Question 3 (SWD Achievement Trends)</w:t>
      </w:r>
      <w:r>
        <w:rPr>
          <w:noProof/>
        </w:rPr>
        <w:tab/>
      </w:r>
      <w:r>
        <w:rPr>
          <w:noProof/>
        </w:rPr>
        <w:fldChar w:fldCharType="begin"/>
      </w:r>
      <w:r>
        <w:rPr>
          <w:noProof/>
        </w:rPr>
        <w:instrText xml:space="preserve"> PAGEREF _Toc280106390 \h </w:instrText>
      </w:r>
      <w:r>
        <w:rPr>
          <w:noProof/>
        </w:rPr>
      </w:r>
      <w:r>
        <w:rPr>
          <w:noProof/>
        </w:rPr>
        <w:fldChar w:fldCharType="separate"/>
      </w:r>
      <w:r>
        <w:rPr>
          <w:noProof/>
        </w:rPr>
        <w:t>10</w:t>
      </w:r>
      <w:r>
        <w:rPr>
          <w:noProof/>
        </w:rPr>
        <w:fldChar w:fldCharType="end"/>
      </w:r>
    </w:p>
    <w:p w:rsidR="00273C77" w:rsidRDefault="00273C77">
      <w:pPr>
        <w:pStyle w:val="TOC1"/>
        <w:rPr>
          <w:rFonts w:ascii="Calibri" w:hAnsi="Calibri" w:cs="Times New Roman"/>
          <w:b w:val="0"/>
          <w:bCs w:val="0"/>
          <w:noProof/>
          <w:sz w:val="22"/>
          <w:szCs w:val="22"/>
        </w:rPr>
      </w:pPr>
      <w:r>
        <w:rPr>
          <w:noProof/>
        </w:rPr>
        <w:t>Supporting Statement for Paperwork Reduction Act Submission</w:t>
      </w:r>
      <w:r>
        <w:rPr>
          <w:noProof/>
        </w:rPr>
        <w:tab/>
      </w:r>
      <w:r>
        <w:rPr>
          <w:noProof/>
        </w:rPr>
        <w:fldChar w:fldCharType="begin"/>
      </w:r>
      <w:r>
        <w:rPr>
          <w:noProof/>
        </w:rPr>
        <w:instrText xml:space="preserve"> PAGEREF _Toc280106391 \h </w:instrText>
      </w:r>
      <w:r>
        <w:rPr>
          <w:noProof/>
        </w:rPr>
      </w:r>
      <w:r>
        <w:rPr>
          <w:noProof/>
        </w:rPr>
        <w:fldChar w:fldCharType="separate"/>
      </w:r>
      <w:r>
        <w:rPr>
          <w:noProof/>
        </w:rPr>
        <w:t>13</w:t>
      </w:r>
      <w:r>
        <w:rPr>
          <w:noProof/>
        </w:rPr>
        <w:fldChar w:fldCharType="end"/>
      </w:r>
    </w:p>
    <w:p w:rsidR="00273C77" w:rsidRDefault="00273C77">
      <w:pPr>
        <w:pStyle w:val="TOC2"/>
        <w:rPr>
          <w:rFonts w:ascii="Calibri" w:hAnsi="Calibri" w:cs="Times New Roman"/>
          <w:sz w:val="22"/>
          <w:szCs w:val="22"/>
        </w:rPr>
      </w:pPr>
      <w:r>
        <w:t>Justification (Part A)</w:t>
      </w:r>
      <w:r>
        <w:tab/>
      </w:r>
      <w:r>
        <w:fldChar w:fldCharType="begin"/>
      </w:r>
      <w:r>
        <w:instrText xml:space="preserve"> PAGEREF _Toc280106392 \h </w:instrText>
      </w:r>
      <w:r>
        <w:fldChar w:fldCharType="separate"/>
      </w:r>
      <w:r>
        <w:t>13</w:t>
      </w:r>
      <w:r>
        <w:fldChar w:fldCharType="end"/>
      </w:r>
    </w:p>
    <w:p w:rsidR="00273C77" w:rsidRDefault="00273C77">
      <w:pPr>
        <w:pStyle w:val="TOC3"/>
        <w:rPr>
          <w:rFonts w:ascii="Calibri" w:hAnsi="Calibri" w:cs="Times New Roman"/>
          <w:noProof/>
          <w:sz w:val="22"/>
          <w:szCs w:val="22"/>
        </w:rPr>
      </w:pPr>
      <w:r>
        <w:rPr>
          <w:noProof/>
        </w:rPr>
        <w:t>1. Circumstances Making Collection of Information Necessary</w:t>
      </w:r>
      <w:r>
        <w:rPr>
          <w:noProof/>
        </w:rPr>
        <w:tab/>
      </w:r>
      <w:r>
        <w:rPr>
          <w:noProof/>
        </w:rPr>
        <w:fldChar w:fldCharType="begin"/>
      </w:r>
      <w:r>
        <w:rPr>
          <w:noProof/>
        </w:rPr>
        <w:instrText xml:space="preserve"> PAGEREF _Toc280106393 \h </w:instrText>
      </w:r>
      <w:r>
        <w:rPr>
          <w:noProof/>
        </w:rPr>
      </w:r>
      <w:r>
        <w:rPr>
          <w:noProof/>
        </w:rPr>
        <w:fldChar w:fldCharType="separate"/>
      </w:r>
      <w:r>
        <w:rPr>
          <w:noProof/>
        </w:rPr>
        <w:t>13</w:t>
      </w:r>
      <w:r>
        <w:rPr>
          <w:noProof/>
        </w:rPr>
        <w:fldChar w:fldCharType="end"/>
      </w:r>
    </w:p>
    <w:p w:rsidR="00273C77" w:rsidRDefault="00273C77">
      <w:pPr>
        <w:pStyle w:val="TOC3"/>
        <w:rPr>
          <w:rFonts w:ascii="Calibri" w:hAnsi="Calibri" w:cs="Times New Roman"/>
          <w:noProof/>
          <w:sz w:val="22"/>
          <w:szCs w:val="22"/>
        </w:rPr>
      </w:pPr>
      <w:r>
        <w:rPr>
          <w:noProof/>
        </w:rPr>
        <w:t>2. Purpose and Uses of the Data</w:t>
      </w:r>
      <w:r>
        <w:rPr>
          <w:noProof/>
        </w:rPr>
        <w:tab/>
      </w:r>
      <w:r>
        <w:rPr>
          <w:noProof/>
        </w:rPr>
        <w:fldChar w:fldCharType="begin"/>
      </w:r>
      <w:r>
        <w:rPr>
          <w:noProof/>
        </w:rPr>
        <w:instrText xml:space="preserve"> PAGEREF _Toc280106394 \h </w:instrText>
      </w:r>
      <w:r>
        <w:rPr>
          <w:noProof/>
        </w:rPr>
      </w:r>
      <w:r>
        <w:rPr>
          <w:noProof/>
        </w:rPr>
        <w:fldChar w:fldCharType="separate"/>
      </w:r>
      <w:r>
        <w:rPr>
          <w:noProof/>
        </w:rPr>
        <w:t>13</w:t>
      </w:r>
      <w:r>
        <w:rPr>
          <w:noProof/>
        </w:rPr>
        <w:fldChar w:fldCharType="end"/>
      </w:r>
    </w:p>
    <w:p w:rsidR="00273C77" w:rsidRDefault="00273C77">
      <w:pPr>
        <w:pStyle w:val="TOC3"/>
        <w:rPr>
          <w:rFonts w:ascii="Calibri" w:hAnsi="Calibri" w:cs="Times New Roman"/>
          <w:noProof/>
          <w:sz w:val="22"/>
          <w:szCs w:val="22"/>
        </w:rPr>
      </w:pPr>
      <w:r>
        <w:rPr>
          <w:noProof/>
        </w:rPr>
        <w:t>3. Use of Technology to Reduce Burden</w:t>
      </w:r>
      <w:r>
        <w:rPr>
          <w:noProof/>
        </w:rPr>
        <w:tab/>
      </w:r>
      <w:r>
        <w:rPr>
          <w:noProof/>
        </w:rPr>
        <w:fldChar w:fldCharType="begin"/>
      </w:r>
      <w:r>
        <w:rPr>
          <w:noProof/>
        </w:rPr>
        <w:instrText xml:space="preserve"> PAGEREF _Toc280106395 \h </w:instrText>
      </w:r>
      <w:r>
        <w:rPr>
          <w:noProof/>
        </w:rPr>
      </w:r>
      <w:r>
        <w:rPr>
          <w:noProof/>
        </w:rPr>
        <w:fldChar w:fldCharType="separate"/>
      </w:r>
      <w:r>
        <w:rPr>
          <w:noProof/>
        </w:rPr>
        <w:t>13</w:t>
      </w:r>
      <w:r>
        <w:rPr>
          <w:noProof/>
        </w:rPr>
        <w:fldChar w:fldCharType="end"/>
      </w:r>
    </w:p>
    <w:p w:rsidR="00273C77" w:rsidRDefault="00273C77">
      <w:pPr>
        <w:pStyle w:val="TOC3"/>
        <w:rPr>
          <w:rFonts w:ascii="Calibri" w:hAnsi="Calibri" w:cs="Times New Roman"/>
          <w:noProof/>
          <w:sz w:val="22"/>
          <w:szCs w:val="22"/>
        </w:rPr>
      </w:pPr>
      <w:r>
        <w:rPr>
          <w:noProof/>
        </w:rPr>
        <w:t>4. Efforts to Identify Duplication</w:t>
      </w:r>
      <w:r>
        <w:rPr>
          <w:noProof/>
        </w:rPr>
        <w:tab/>
      </w:r>
      <w:r>
        <w:rPr>
          <w:noProof/>
        </w:rPr>
        <w:fldChar w:fldCharType="begin"/>
      </w:r>
      <w:r>
        <w:rPr>
          <w:noProof/>
        </w:rPr>
        <w:instrText xml:space="preserve"> PAGEREF _Toc280106396 \h </w:instrText>
      </w:r>
      <w:r>
        <w:rPr>
          <w:noProof/>
        </w:rPr>
      </w:r>
      <w:r>
        <w:rPr>
          <w:noProof/>
        </w:rPr>
        <w:fldChar w:fldCharType="separate"/>
      </w:r>
      <w:r>
        <w:rPr>
          <w:noProof/>
        </w:rPr>
        <w:t>14</w:t>
      </w:r>
      <w:r>
        <w:rPr>
          <w:noProof/>
        </w:rPr>
        <w:fldChar w:fldCharType="end"/>
      </w:r>
    </w:p>
    <w:p w:rsidR="00273C77" w:rsidRDefault="00273C77">
      <w:pPr>
        <w:pStyle w:val="TOC3"/>
        <w:rPr>
          <w:rFonts w:ascii="Calibri" w:hAnsi="Calibri" w:cs="Times New Roman"/>
          <w:noProof/>
          <w:sz w:val="22"/>
          <w:szCs w:val="22"/>
        </w:rPr>
      </w:pPr>
      <w:r>
        <w:rPr>
          <w:noProof/>
        </w:rPr>
        <w:t>5. Methods to Minimize Burden on Small Entities</w:t>
      </w:r>
      <w:r>
        <w:rPr>
          <w:noProof/>
        </w:rPr>
        <w:tab/>
      </w:r>
      <w:r>
        <w:rPr>
          <w:noProof/>
        </w:rPr>
        <w:fldChar w:fldCharType="begin"/>
      </w:r>
      <w:r>
        <w:rPr>
          <w:noProof/>
        </w:rPr>
        <w:instrText xml:space="preserve"> PAGEREF _Toc280106397 \h </w:instrText>
      </w:r>
      <w:r>
        <w:rPr>
          <w:noProof/>
        </w:rPr>
      </w:r>
      <w:r>
        <w:rPr>
          <w:noProof/>
        </w:rPr>
        <w:fldChar w:fldCharType="separate"/>
      </w:r>
      <w:r>
        <w:rPr>
          <w:noProof/>
        </w:rPr>
        <w:t>14</w:t>
      </w:r>
      <w:r>
        <w:rPr>
          <w:noProof/>
        </w:rPr>
        <w:fldChar w:fldCharType="end"/>
      </w:r>
    </w:p>
    <w:p w:rsidR="00273C77" w:rsidRDefault="00273C77">
      <w:pPr>
        <w:pStyle w:val="TOC3"/>
        <w:rPr>
          <w:rFonts w:ascii="Calibri" w:hAnsi="Calibri" w:cs="Times New Roman"/>
          <w:noProof/>
          <w:sz w:val="22"/>
          <w:szCs w:val="22"/>
        </w:rPr>
      </w:pPr>
      <w:r>
        <w:rPr>
          <w:noProof/>
        </w:rPr>
        <w:t>6. Consequence of Not Collecting Data</w:t>
      </w:r>
      <w:r>
        <w:rPr>
          <w:noProof/>
        </w:rPr>
        <w:tab/>
      </w:r>
      <w:r>
        <w:rPr>
          <w:noProof/>
        </w:rPr>
        <w:fldChar w:fldCharType="begin"/>
      </w:r>
      <w:r>
        <w:rPr>
          <w:noProof/>
        </w:rPr>
        <w:instrText xml:space="preserve"> PAGEREF _Toc280106398 \h </w:instrText>
      </w:r>
      <w:r>
        <w:rPr>
          <w:noProof/>
        </w:rPr>
      </w:r>
      <w:r>
        <w:rPr>
          <w:noProof/>
        </w:rPr>
        <w:fldChar w:fldCharType="separate"/>
      </w:r>
      <w:r>
        <w:rPr>
          <w:noProof/>
        </w:rPr>
        <w:t>14</w:t>
      </w:r>
      <w:r>
        <w:rPr>
          <w:noProof/>
        </w:rPr>
        <w:fldChar w:fldCharType="end"/>
      </w:r>
    </w:p>
    <w:p w:rsidR="00273C77" w:rsidRDefault="00273C77">
      <w:pPr>
        <w:pStyle w:val="TOC3"/>
        <w:rPr>
          <w:rFonts w:ascii="Calibri" w:hAnsi="Calibri" w:cs="Times New Roman"/>
          <w:noProof/>
          <w:sz w:val="22"/>
          <w:szCs w:val="22"/>
        </w:rPr>
      </w:pPr>
      <w:r>
        <w:rPr>
          <w:noProof/>
        </w:rPr>
        <w:t>7. Special Circumstances</w:t>
      </w:r>
      <w:r>
        <w:rPr>
          <w:noProof/>
        </w:rPr>
        <w:tab/>
      </w:r>
      <w:r>
        <w:rPr>
          <w:noProof/>
        </w:rPr>
        <w:fldChar w:fldCharType="begin"/>
      </w:r>
      <w:r>
        <w:rPr>
          <w:noProof/>
        </w:rPr>
        <w:instrText xml:space="preserve"> PAGEREF _Toc280106399 \h </w:instrText>
      </w:r>
      <w:r>
        <w:rPr>
          <w:noProof/>
        </w:rPr>
      </w:r>
      <w:r>
        <w:rPr>
          <w:noProof/>
        </w:rPr>
        <w:fldChar w:fldCharType="separate"/>
      </w:r>
      <w:r>
        <w:rPr>
          <w:noProof/>
        </w:rPr>
        <w:t>14</w:t>
      </w:r>
      <w:r>
        <w:rPr>
          <w:noProof/>
        </w:rPr>
        <w:fldChar w:fldCharType="end"/>
      </w:r>
    </w:p>
    <w:p w:rsidR="00273C77" w:rsidRDefault="00273C77">
      <w:pPr>
        <w:pStyle w:val="TOC3"/>
        <w:rPr>
          <w:rFonts w:ascii="Calibri" w:hAnsi="Calibri" w:cs="Times New Roman"/>
          <w:noProof/>
          <w:sz w:val="22"/>
          <w:szCs w:val="22"/>
        </w:rPr>
      </w:pPr>
      <w:r>
        <w:rPr>
          <w:noProof/>
        </w:rPr>
        <w:t>8. Federal Register Comments and Persons Consulted Outside the Agency</w:t>
      </w:r>
      <w:r>
        <w:rPr>
          <w:noProof/>
        </w:rPr>
        <w:tab/>
      </w:r>
      <w:r>
        <w:rPr>
          <w:noProof/>
        </w:rPr>
        <w:fldChar w:fldCharType="begin"/>
      </w:r>
      <w:r>
        <w:rPr>
          <w:noProof/>
        </w:rPr>
        <w:instrText xml:space="preserve"> PAGEREF _Toc280106400 \h </w:instrText>
      </w:r>
      <w:r>
        <w:rPr>
          <w:noProof/>
        </w:rPr>
      </w:r>
      <w:r>
        <w:rPr>
          <w:noProof/>
        </w:rPr>
        <w:fldChar w:fldCharType="separate"/>
      </w:r>
      <w:r>
        <w:rPr>
          <w:noProof/>
        </w:rPr>
        <w:t>14</w:t>
      </w:r>
      <w:r>
        <w:rPr>
          <w:noProof/>
        </w:rPr>
        <w:fldChar w:fldCharType="end"/>
      </w:r>
    </w:p>
    <w:p w:rsidR="00273C77" w:rsidRDefault="00273C77">
      <w:pPr>
        <w:pStyle w:val="TOC3"/>
        <w:rPr>
          <w:rFonts w:ascii="Calibri" w:hAnsi="Calibri" w:cs="Times New Roman"/>
          <w:noProof/>
          <w:sz w:val="22"/>
          <w:szCs w:val="22"/>
        </w:rPr>
      </w:pPr>
      <w:r>
        <w:rPr>
          <w:noProof/>
        </w:rPr>
        <w:t>9. Payment or Gifts</w:t>
      </w:r>
      <w:r>
        <w:rPr>
          <w:noProof/>
        </w:rPr>
        <w:tab/>
      </w:r>
      <w:r>
        <w:rPr>
          <w:noProof/>
        </w:rPr>
        <w:fldChar w:fldCharType="begin"/>
      </w:r>
      <w:r>
        <w:rPr>
          <w:noProof/>
        </w:rPr>
        <w:instrText xml:space="preserve"> PAGEREF _Toc280106401 \h </w:instrText>
      </w:r>
      <w:r>
        <w:rPr>
          <w:noProof/>
        </w:rPr>
      </w:r>
      <w:r>
        <w:rPr>
          <w:noProof/>
        </w:rPr>
        <w:fldChar w:fldCharType="separate"/>
      </w:r>
      <w:r>
        <w:rPr>
          <w:noProof/>
        </w:rPr>
        <w:t>15</w:t>
      </w:r>
      <w:r>
        <w:rPr>
          <w:noProof/>
        </w:rPr>
        <w:fldChar w:fldCharType="end"/>
      </w:r>
    </w:p>
    <w:p w:rsidR="00273C77" w:rsidRDefault="00273C77">
      <w:pPr>
        <w:pStyle w:val="TOC3"/>
        <w:rPr>
          <w:rFonts w:ascii="Calibri" w:hAnsi="Calibri" w:cs="Times New Roman"/>
          <w:noProof/>
          <w:sz w:val="22"/>
          <w:szCs w:val="22"/>
        </w:rPr>
      </w:pPr>
      <w:r>
        <w:rPr>
          <w:noProof/>
        </w:rPr>
        <w:t>10. Assurance of Confidentiality</w:t>
      </w:r>
      <w:r>
        <w:rPr>
          <w:noProof/>
        </w:rPr>
        <w:tab/>
      </w:r>
      <w:r>
        <w:rPr>
          <w:noProof/>
        </w:rPr>
        <w:fldChar w:fldCharType="begin"/>
      </w:r>
      <w:r>
        <w:rPr>
          <w:noProof/>
        </w:rPr>
        <w:instrText xml:space="preserve"> PAGEREF _Toc280106402 \h </w:instrText>
      </w:r>
      <w:r>
        <w:rPr>
          <w:noProof/>
        </w:rPr>
      </w:r>
      <w:r>
        <w:rPr>
          <w:noProof/>
        </w:rPr>
        <w:fldChar w:fldCharType="separate"/>
      </w:r>
      <w:r>
        <w:rPr>
          <w:noProof/>
        </w:rPr>
        <w:t>16</w:t>
      </w:r>
      <w:r>
        <w:rPr>
          <w:noProof/>
        </w:rPr>
        <w:fldChar w:fldCharType="end"/>
      </w:r>
    </w:p>
    <w:p w:rsidR="00273C77" w:rsidRDefault="00273C77">
      <w:pPr>
        <w:pStyle w:val="TOC3"/>
        <w:rPr>
          <w:rFonts w:ascii="Calibri" w:hAnsi="Calibri" w:cs="Times New Roman"/>
          <w:noProof/>
          <w:sz w:val="22"/>
          <w:szCs w:val="22"/>
        </w:rPr>
      </w:pPr>
      <w:r>
        <w:rPr>
          <w:noProof/>
        </w:rPr>
        <w:t>11. Justification of Sensitive Questions</w:t>
      </w:r>
      <w:r>
        <w:rPr>
          <w:noProof/>
        </w:rPr>
        <w:tab/>
      </w:r>
      <w:r>
        <w:rPr>
          <w:noProof/>
        </w:rPr>
        <w:fldChar w:fldCharType="begin"/>
      </w:r>
      <w:r>
        <w:rPr>
          <w:noProof/>
        </w:rPr>
        <w:instrText xml:space="preserve"> PAGEREF _Toc280106403 \h </w:instrText>
      </w:r>
      <w:r>
        <w:rPr>
          <w:noProof/>
        </w:rPr>
      </w:r>
      <w:r>
        <w:rPr>
          <w:noProof/>
        </w:rPr>
        <w:fldChar w:fldCharType="separate"/>
      </w:r>
      <w:r>
        <w:rPr>
          <w:noProof/>
        </w:rPr>
        <w:t>17</w:t>
      </w:r>
      <w:r>
        <w:rPr>
          <w:noProof/>
        </w:rPr>
        <w:fldChar w:fldCharType="end"/>
      </w:r>
    </w:p>
    <w:p w:rsidR="00273C77" w:rsidRDefault="00273C77">
      <w:pPr>
        <w:pStyle w:val="TOC3"/>
        <w:rPr>
          <w:rFonts w:ascii="Calibri" w:hAnsi="Calibri" w:cs="Times New Roman"/>
          <w:noProof/>
          <w:sz w:val="22"/>
          <w:szCs w:val="22"/>
        </w:rPr>
      </w:pPr>
      <w:r>
        <w:rPr>
          <w:noProof/>
        </w:rPr>
        <w:t>12. Estimates of Hour Burden</w:t>
      </w:r>
      <w:r>
        <w:rPr>
          <w:noProof/>
        </w:rPr>
        <w:tab/>
      </w:r>
      <w:r>
        <w:rPr>
          <w:noProof/>
        </w:rPr>
        <w:fldChar w:fldCharType="begin"/>
      </w:r>
      <w:r>
        <w:rPr>
          <w:noProof/>
        </w:rPr>
        <w:instrText xml:space="preserve"> PAGEREF _Toc280106404 \h </w:instrText>
      </w:r>
      <w:r>
        <w:rPr>
          <w:noProof/>
        </w:rPr>
      </w:r>
      <w:r>
        <w:rPr>
          <w:noProof/>
        </w:rPr>
        <w:fldChar w:fldCharType="separate"/>
      </w:r>
      <w:r>
        <w:rPr>
          <w:noProof/>
        </w:rPr>
        <w:t>17</w:t>
      </w:r>
      <w:r>
        <w:rPr>
          <w:noProof/>
        </w:rPr>
        <w:fldChar w:fldCharType="end"/>
      </w:r>
    </w:p>
    <w:p w:rsidR="00273C77" w:rsidRDefault="00273C77">
      <w:pPr>
        <w:pStyle w:val="TOC3"/>
        <w:rPr>
          <w:rFonts w:ascii="Calibri" w:hAnsi="Calibri" w:cs="Times New Roman"/>
          <w:noProof/>
          <w:sz w:val="22"/>
          <w:szCs w:val="22"/>
        </w:rPr>
      </w:pPr>
      <w:r>
        <w:rPr>
          <w:noProof/>
        </w:rPr>
        <w:t>13. Estimate of Cost Burden to Respondents</w:t>
      </w:r>
      <w:r>
        <w:rPr>
          <w:noProof/>
        </w:rPr>
        <w:tab/>
      </w:r>
      <w:r>
        <w:rPr>
          <w:noProof/>
        </w:rPr>
        <w:fldChar w:fldCharType="begin"/>
      </w:r>
      <w:r>
        <w:rPr>
          <w:noProof/>
        </w:rPr>
        <w:instrText xml:space="preserve"> PAGEREF _Toc280106405 \h </w:instrText>
      </w:r>
      <w:r>
        <w:rPr>
          <w:noProof/>
        </w:rPr>
      </w:r>
      <w:r>
        <w:rPr>
          <w:noProof/>
        </w:rPr>
        <w:fldChar w:fldCharType="separate"/>
      </w:r>
      <w:r>
        <w:rPr>
          <w:noProof/>
        </w:rPr>
        <w:t>17</w:t>
      </w:r>
      <w:r>
        <w:rPr>
          <w:noProof/>
        </w:rPr>
        <w:fldChar w:fldCharType="end"/>
      </w:r>
    </w:p>
    <w:p w:rsidR="00273C77" w:rsidRDefault="00273C77">
      <w:pPr>
        <w:pStyle w:val="TOC3"/>
        <w:rPr>
          <w:rFonts w:ascii="Calibri" w:hAnsi="Calibri" w:cs="Times New Roman"/>
          <w:noProof/>
          <w:sz w:val="22"/>
          <w:szCs w:val="22"/>
        </w:rPr>
      </w:pPr>
      <w:r>
        <w:rPr>
          <w:noProof/>
        </w:rPr>
        <w:t>14. Estimate of Annual Cost to the Federal Government</w:t>
      </w:r>
      <w:r>
        <w:rPr>
          <w:noProof/>
        </w:rPr>
        <w:tab/>
      </w:r>
      <w:r>
        <w:rPr>
          <w:noProof/>
        </w:rPr>
        <w:fldChar w:fldCharType="begin"/>
      </w:r>
      <w:r>
        <w:rPr>
          <w:noProof/>
        </w:rPr>
        <w:instrText xml:space="preserve"> PAGEREF _Toc280106406 \h </w:instrText>
      </w:r>
      <w:r>
        <w:rPr>
          <w:noProof/>
        </w:rPr>
      </w:r>
      <w:r>
        <w:rPr>
          <w:noProof/>
        </w:rPr>
        <w:fldChar w:fldCharType="separate"/>
      </w:r>
      <w:r>
        <w:rPr>
          <w:noProof/>
        </w:rPr>
        <w:t>17</w:t>
      </w:r>
      <w:r>
        <w:rPr>
          <w:noProof/>
        </w:rPr>
        <w:fldChar w:fldCharType="end"/>
      </w:r>
    </w:p>
    <w:p w:rsidR="00273C77" w:rsidRDefault="00273C77">
      <w:pPr>
        <w:pStyle w:val="TOC3"/>
        <w:rPr>
          <w:rFonts w:ascii="Calibri" w:hAnsi="Calibri" w:cs="Times New Roman"/>
          <w:noProof/>
          <w:sz w:val="22"/>
          <w:szCs w:val="22"/>
        </w:rPr>
      </w:pPr>
      <w:r>
        <w:rPr>
          <w:noProof/>
        </w:rPr>
        <w:t>15. Program Changes or Adjustments</w:t>
      </w:r>
      <w:r>
        <w:rPr>
          <w:noProof/>
        </w:rPr>
        <w:tab/>
      </w:r>
      <w:r>
        <w:rPr>
          <w:noProof/>
        </w:rPr>
        <w:fldChar w:fldCharType="begin"/>
      </w:r>
      <w:r>
        <w:rPr>
          <w:noProof/>
        </w:rPr>
        <w:instrText xml:space="preserve"> PAGEREF _Toc280106407 \h </w:instrText>
      </w:r>
      <w:r>
        <w:rPr>
          <w:noProof/>
        </w:rPr>
      </w:r>
      <w:r>
        <w:rPr>
          <w:noProof/>
        </w:rPr>
        <w:fldChar w:fldCharType="separate"/>
      </w:r>
      <w:r>
        <w:rPr>
          <w:noProof/>
        </w:rPr>
        <w:t>1</w:t>
      </w:r>
      <w:r>
        <w:rPr>
          <w:noProof/>
        </w:rPr>
        <w:fldChar w:fldCharType="end"/>
      </w:r>
      <w:r>
        <w:rPr>
          <w:noProof/>
        </w:rPr>
        <w:t>7</w:t>
      </w:r>
    </w:p>
    <w:p w:rsidR="00273C77" w:rsidRDefault="00273C77">
      <w:pPr>
        <w:pStyle w:val="TOC3"/>
        <w:rPr>
          <w:rFonts w:ascii="Calibri" w:hAnsi="Calibri" w:cs="Times New Roman"/>
          <w:noProof/>
          <w:sz w:val="22"/>
          <w:szCs w:val="22"/>
        </w:rPr>
      </w:pPr>
      <w:r>
        <w:rPr>
          <w:noProof/>
        </w:rPr>
        <w:t>16. Plans for Tabulation and Publication of Results</w:t>
      </w:r>
      <w:r>
        <w:rPr>
          <w:noProof/>
        </w:rPr>
        <w:tab/>
      </w:r>
      <w:r>
        <w:rPr>
          <w:noProof/>
        </w:rPr>
        <w:fldChar w:fldCharType="begin"/>
      </w:r>
      <w:r>
        <w:rPr>
          <w:noProof/>
        </w:rPr>
        <w:instrText xml:space="preserve"> PAGEREF _Toc280106408 \h </w:instrText>
      </w:r>
      <w:r>
        <w:rPr>
          <w:noProof/>
        </w:rPr>
      </w:r>
      <w:r>
        <w:rPr>
          <w:noProof/>
        </w:rPr>
        <w:fldChar w:fldCharType="separate"/>
      </w:r>
      <w:r>
        <w:rPr>
          <w:noProof/>
        </w:rPr>
        <w:t>18</w:t>
      </w:r>
      <w:r>
        <w:rPr>
          <w:noProof/>
        </w:rPr>
        <w:fldChar w:fldCharType="end"/>
      </w:r>
    </w:p>
    <w:p w:rsidR="00273C77" w:rsidRDefault="00273C77">
      <w:pPr>
        <w:pStyle w:val="TOC3"/>
        <w:rPr>
          <w:rFonts w:ascii="Calibri" w:hAnsi="Calibri" w:cs="Times New Roman"/>
          <w:noProof/>
          <w:sz w:val="22"/>
          <w:szCs w:val="22"/>
        </w:rPr>
      </w:pPr>
      <w:r>
        <w:rPr>
          <w:noProof/>
        </w:rPr>
        <w:t>17. Approval to Not Display OMB Expiration Date</w:t>
      </w:r>
      <w:r>
        <w:rPr>
          <w:noProof/>
        </w:rPr>
        <w:tab/>
      </w:r>
      <w:r>
        <w:rPr>
          <w:noProof/>
        </w:rPr>
        <w:fldChar w:fldCharType="begin"/>
      </w:r>
      <w:r>
        <w:rPr>
          <w:noProof/>
        </w:rPr>
        <w:instrText xml:space="preserve"> PAGEREF _Toc280106409 \h </w:instrText>
      </w:r>
      <w:r>
        <w:rPr>
          <w:noProof/>
        </w:rPr>
      </w:r>
      <w:r>
        <w:rPr>
          <w:noProof/>
        </w:rPr>
        <w:fldChar w:fldCharType="separate"/>
      </w:r>
      <w:r>
        <w:rPr>
          <w:noProof/>
        </w:rPr>
        <w:t>19</w:t>
      </w:r>
      <w:r>
        <w:rPr>
          <w:noProof/>
        </w:rPr>
        <w:fldChar w:fldCharType="end"/>
      </w:r>
    </w:p>
    <w:p w:rsidR="00273C77" w:rsidRDefault="00273C77">
      <w:pPr>
        <w:pStyle w:val="TOC3"/>
        <w:rPr>
          <w:rFonts w:ascii="Calibri" w:hAnsi="Calibri" w:cs="Times New Roman"/>
          <w:noProof/>
          <w:sz w:val="22"/>
          <w:szCs w:val="22"/>
        </w:rPr>
      </w:pPr>
      <w:r>
        <w:rPr>
          <w:noProof/>
        </w:rPr>
        <w:t>18. Explanation of Exceptions</w:t>
      </w:r>
      <w:r>
        <w:rPr>
          <w:noProof/>
        </w:rPr>
        <w:tab/>
      </w:r>
      <w:r>
        <w:rPr>
          <w:noProof/>
        </w:rPr>
        <w:fldChar w:fldCharType="begin"/>
      </w:r>
      <w:r>
        <w:rPr>
          <w:noProof/>
        </w:rPr>
        <w:instrText xml:space="preserve"> PAGEREF _Toc280106410 \h </w:instrText>
      </w:r>
      <w:r>
        <w:rPr>
          <w:noProof/>
        </w:rPr>
      </w:r>
      <w:r>
        <w:rPr>
          <w:noProof/>
        </w:rPr>
        <w:fldChar w:fldCharType="separate"/>
      </w:r>
      <w:r>
        <w:rPr>
          <w:noProof/>
        </w:rPr>
        <w:t>19</w:t>
      </w:r>
      <w:r>
        <w:rPr>
          <w:noProof/>
        </w:rPr>
        <w:fldChar w:fldCharType="end"/>
      </w:r>
    </w:p>
    <w:p w:rsidR="00273C77" w:rsidRDefault="00273C77">
      <w:pPr>
        <w:pStyle w:val="TOC1"/>
        <w:rPr>
          <w:rFonts w:ascii="Calibri" w:hAnsi="Calibri" w:cs="Times New Roman"/>
          <w:b w:val="0"/>
          <w:bCs w:val="0"/>
          <w:noProof/>
          <w:sz w:val="22"/>
          <w:szCs w:val="22"/>
        </w:rPr>
      </w:pPr>
      <w:r>
        <w:rPr>
          <w:noProof/>
        </w:rPr>
        <w:t>References</w:t>
      </w:r>
      <w:r>
        <w:rPr>
          <w:noProof/>
        </w:rPr>
        <w:tab/>
      </w:r>
      <w:r>
        <w:rPr>
          <w:noProof/>
        </w:rPr>
        <w:fldChar w:fldCharType="begin"/>
      </w:r>
      <w:r>
        <w:rPr>
          <w:noProof/>
        </w:rPr>
        <w:instrText xml:space="preserve"> PAGEREF _Toc280106411 \h </w:instrText>
      </w:r>
      <w:r>
        <w:rPr>
          <w:noProof/>
        </w:rPr>
      </w:r>
      <w:r>
        <w:rPr>
          <w:noProof/>
        </w:rPr>
        <w:fldChar w:fldCharType="separate"/>
      </w:r>
      <w:r>
        <w:rPr>
          <w:noProof/>
        </w:rPr>
        <w:t>20</w:t>
      </w:r>
      <w:r>
        <w:rPr>
          <w:noProof/>
        </w:rPr>
        <w:fldChar w:fldCharType="end"/>
      </w:r>
    </w:p>
    <w:p w:rsidR="00273C77" w:rsidRDefault="00273C77">
      <w:pPr>
        <w:pStyle w:val="TOC1"/>
        <w:rPr>
          <w:rFonts w:ascii="Calibri" w:hAnsi="Calibri" w:cs="Times New Roman"/>
          <w:b w:val="0"/>
          <w:bCs w:val="0"/>
          <w:noProof/>
          <w:sz w:val="22"/>
          <w:szCs w:val="22"/>
        </w:rPr>
      </w:pPr>
      <w:r>
        <w:rPr>
          <w:noProof/>
        </w:rPr>
        <w:t>Appendix A</w:t>
      </w:r>
      <w:r>
        <w:rPr>
          <w:noProof/>
        </w:rPr>
        <w:tab/>
      </w:r>
      <w:r>
        <w:rPr>
          <w:noProof/>
        </w:rPr>
        <w:fldChar w:fldCharType="begin"/>
      </w:r>
      <w:r>
        <w:rPr>
          <w:noProof/>
        </w:rPr>
        <w:instrText xml:space="preserve"> PAGEREF _Toc280106412 \h </w:instrText>
      </w:r>
      <w:r>
        <w:rPr>
          <w:noProof/>
        </w:rPr>
      </w:r>
      <w:r>
        <w:rPr>
          <w:noProof/>
        </w:rPr>
        <w:fldChar w:fldCharType="separate"/>
      </w:r>
      <w:r>
        <w:rPr>
          <w:noProof/>
        </w:rPr>
        <w:t>21</w:t>
      </w:r>
      <w:r>
        <w:rPr>
          <w:noProof/>
        </w:rPr>
        <w:fldChar w:fldCharType="end"/>
      </w:r>
    </w:p>
    <w:p w:rsidR="00273C77" w:rsidRDefault="00273C77">
      <w:pPr>
        <w:pStyle w:val="TOC2"/>
        <w:rPr>
          <w:rFonts w:ascii="Calibri" w:hAnsi="Calibri" w:cs="Times New Roman"/>
          <w:sz w:val="22"/>
          <w:szCs w:val="22"/>
        </w:rPr>
      </w:pPr>
      <w:r>
        <w:t>Employee Agreement on Data Use and Confidentiality Procedures</w:t>
      </w:r>
      <w:r>
        <w:tab/>
      </w:r>
      <w:r>
        <w:fldChar w:fldCharType="begin"/>
      </w:r>
      <w:r>
        <w:instrText xml:space="preserve"> PAGEREF _Toc280106413 \h </w:instrText>
      </w:r>
      <w:r>
        <w:fldChar w:fldCharType="separate"/>
      </w:r>
      <w:r>
        <w:t>21</w:t>
      </w:r>
      <w:r>
        <w:fldChar w:fldCharType="end"/>
      </w:r>
    </w:p>
    <w:p w:rsidR="00273C77" w:rsidRDefault="00273C77" w:rsidP="00625543">
      <w:pPr>
        <w:pStyle w:val="PContentsTitle"/>
        <w:rPr>
          <w:b w:val="0"/>
          <w:bCs w:val="0"/>
          <w:szCs w:val="20"/>
        </w:rPr>
      </w:pPr>
      <w:r>
        <w:rPr>
          <w:b w:val="0"/>
          <w:bCs w:val="0"/>
        </w:rPr>
        <w:fldChar w:fldCharType="end"/>
      </w:r>
    </w:p>
    <w:p w:rsidR="00273C77" w:rsidRPr="00E407A1" w:rsidRDefault="00273C77" w:rsidP="00E407A1">
      <w:pPr>
        <w:pStyle w:val="PContentsTitle"/>
      </w:pPr>
      <w:r>
        <w:rPr>
          <w:b w:val="0"/>
          <w:bCs w:val="0"/>
          <w:szCs w:val="20"/>
        </w:rPr>
        <w:br w:type="page"/>
      </w:r>
      <w:r w:rsidRPr="00E407A1">
        <w:t>List of Exhibits</w:t>
      </w:r>
    </w:p>
    <w:p w:rsidR="00273C77" w:rsidRPr="00E407A1" w:rsidRDefault="00273C77" w:rsidP="00E407A1">
      <w:pPr>
        <w:jc w:val="center"/>
        <w:rPr>
          <w:b/>
        </w:rPr>
      </w:pPr>
    </w:p>
    <w:p w:rsidR="00273C77" w:rsidRDefault="00273C77">
      <w:pPr>
        <w:pStyle w:val="TableofFigures"/>
        <w:tabs>
          <w:tab w:val="right" w:leader="dot" w:pos="9350"/>
        </w:tabs>
        <w:rPr>
          <w:rFonts w:ascii="Calibri" w:hAnsi="Calibri" w:cs="Times New Roman"/>
          <w:noProof/>
          <w:sz w:val="22"/>
        </w:rPr>
      </w:pPr>
      <w:r>
        <w:fldChar w:fldCharType="begin"/>
      </w:r>
      <w:r>
        <w:instrText xml:space="preserve"> TOC \h \z \t "P.Exhibit Title" \c </w:instrText>
      </w:r>
      <w:r>
        <w:fldChar w:fldCharType="separate"/>
      </w:r>
      <w:hyperlink w:anchor="_Toc280106414" w:history="1">
        <w:r w:rsidRPr="00E66523">
          <w:rPr>
            <w:rStyle w:val="Hyperlink"/>
            <w:rFonts w:cs="Times"/>
            <w:noProof/>
          </w:rPr>
          <w:t>Exhibit 1. Theory of Action</w:t>
        </w:r>
        <w:r>
          <w:rPr>
            <w:noProof/>
            <w:webHidden/>
          </w:rPr>
          <w:tab/>
        </w:r>
        <w:r>
          <w:rPr>
            <w:noProof/>
            <w:webHidden/>
          </w:rPr>
          <w:fldChar w:fldCharType="begin"/>
        </w:r>
        <w:r>
          <w:rPr>
            <w:noProof/>
            <w:webHidden/>
          </w:rPr>
          <w:instrText xml:space="preserve"> PAGEREF _Toc280106414 \h </w:instrText>
        </w:r>
        <w:r>
          <w:rPr>
            <w:noProof/>
          </w:rPr>
        </w:r>
        <w:r>
          <w:rPr>
            <w:noProof/>
            <w:webHidden/>
          </w:rPr>
          <w:fldChar w:fldCharType="separate"/>
        </w:r>
        <w:r>
          <w:rPr>
            <w:noProof/>
            <w:webHidden/>
          </w:rPr>
          <w:t>1</w:t>
        </w:r>
        <w:r>
          <w:rPr>
            <w:noProof/>
            <w:webHidden/>
          </w:rPr>
          <w:fldChar w:fldCharType="end"/>
        </w:r>
      </w:hyperlink>
    </w:p>
    <w:p w:rsidR="00273C77" w:rsidRDefault="00273C77">
      <w:pPr>
        <w:pStyle w:val="TableofFigures"/>
        <w:tabs>
          <w:tab w:val="right" w:leader="dot" w:pos="9350"/>
        </w:tabs>
        <w:rPr>
          <w:rFonts w:ascii="Calibri" w:hAnsi="Calibri" w:cs="Times New Roman"/>
          <w:noProof/>
          <w:sz w:val="22"/>
        </w:rPr>
      </w:pPr>
      <w:hyperlink w:anchor="_Toc280106415" w:history="1">
        <w:r w:rsidRPr="00E66523">
          <w:rPr>
            <w:rStyle w:val="Hyperlink"/>
            <w:rFonts w:cs="Times"/>
            <w:noProof/>
          </w:rPr>
          <w:t>Exhibit 2. Main Study Components and Proposed Sample</w:t>
        </w:r>
        <w:r>
          <w:rPr>
            <w:noProof/>
            <w:webHidden/>
          </w:rPr>
          <w:tab/>
        </w:r>
        <w:r>
          <w:rPr>
            <w:noProof/>
            <w:webHidden/>
          </w:rPr>
          <w:fldChar w:fldCharType="begin"/>
        </w:r>
        <w:r>
          <w:rPr>
            <w:noProof/>
            <w:webHidden/>
          </w:rPr>
          <w:instrText xml:space="preserve"> PAGEREF _Toc280106415 \h </w:instrText>
        </w:r>
        <w:r>
          <w:rPr>
            <w:noProof/>
          </w:rPr>
        </w:r>
        <w:r>
          <w:rPr>
            <w:noProof/>
            <w:webHidden/>
          </w:rPr>
          <w:fldChar w:fldCharType="separate"/>
        </w:r>
        <w:r>
          <w:rPr>
            <w:noProof/>
            <w:webHidden/>
          </w:rPr>
          <w:t>1</w:t>
        </w:r>
        <w:r>
          <w:rPr>
            <w:noProof/>
            <w:webHidden/>
          </w:rPr>
          <w:fldChar w:fldCharType="end"/>
        </w:r>
      </w:hyperlink>
    </w:p>
    <w:p w:rsidR="00273C77" w:rsidRDefault="00273C77">
      <w:pPr>
        <w:pStyle w:val="TableofFigures"/>
        <w:tabs>
          <w:tab w:val="right" w:leader="dot" w:pos="9350"/>
        </w:tabs>
        <w:rPr>
          <w:rFonts w:ascii="Calibri" w:hAnsi="Calibri" w:cs="Times New Roman"/>
          <w:noProof/>
          <w:sz w:val="22"/>
        </w:rPr>
      </w:pPr>
      <w:hyperlink w:anchor="_Toc280106416" w:history="1">
        <w:r w:rsidRPr="00E66523">
          <w:rPr>
            <w:rStyle w:val="Hyperlink"/>
            <w:rFonts w:cs="Times"/>
            <w:noProof/>
          </w:rPr>
          <w:t>Exhibit 3. Summary of Data Collection Procedures</w:t>
        </w:r>
        <w:r>
          <w:rPr>
            <w:noProof/>
            <w:webHidden/>
          </w:rPr>
          <w:tab/>
        </w:r>
        <w:r>
          <w:rPr>
            <w:noProof/>
            <w:webHidden/>
          </w:rPr>
          <w:fldChar w:fldCharType="begin"/>
        </w:r>
        <w:r>
          <w:rPr>
            <w:noProof/>
            <w:webHidden/>
          </w:rPr>
          <w:instrText xml:space="preserve"> PAGEREF _Toc280106416 \h </w:instrText>
        </w:r>
        <w:r>
          <w:rPr>
            <w:noProof/>
          </w:rPr>
        </w:r>
        <w:r>
          <w:rPr>
            <w:noProof/>
            <w:webHidden/>
          </w:rPr>
          <w:fldChar w:fldCharType="separate"/>
        </w:r>
        <w:r>
          <w:rPr>
            <w:noProof/>
            <w:webHidden/>
          </w:rPr>
          <w:t>1</w:t>
        </w:r>
        <w:r>
          <w:rPr>
            <w:noProof/>
            <w:webHidden/>
          </w:rPr>
          <w:fldChar w:fldCharType="end"/>
        </w:r>
      </w:hyperlink>
    </w:p>
    <w:p w:rsidR="00273C77" w:rsidRDefault="00273C77">
      <w:pPr>
        <w:pStyle w:val="TableofFigures"/>
        <w:tabs>
          <w:tab w:val="right" w:leader="dot" w:pos="9350"/>
        </w:tabs>
        <w:rPr>
          <w:rFonts w:ascii="Calibri" w:hAnsi="Calibri" w:cs="Times New Roman"/>
          <w:noProof/>
          <w:sz w:val="22"/>
        </w:rPr>
      </w:pPr>
      <w:hyperlink w:anchor="_Toc280106417" w:history="1">
        <w:r w:rsidRPr="00E66523">
          <w:rPr>
            <w:rStyle w:val="Hyperlink"/>
            <w:rFonts w:cs="Times"/>
            <w:noProof/>
          </w:rPr>
          <w:t>Exhibit 4. Technical Work Group Members</w:t>
        </w:r>
        <w:r>
          <w:rPr>
            <w:noProof/>
            <w:webHidden/>
          </w:rPr>
          <w:tab/>
        </w:r>
        <w:r>
          <w:rPr>
            <w:noProof/>
            <w:webHidden/>
          </w:rPr>
          <w:fldChar w:fldCharType="begin"/>
        </w:r>
        <w:r>
          <w:rPr>
            <w:noProof/>
            <w:webHidden/>
          </w:rPr>
          <w:instrText xml:space="preserve"> PAGEREF _Toc280106417 \h </w:instrText>
        </w:r>
        <w:r>
          <w:rPr>
            <w:noProof/>
          </w:rPr>
        </w:r>
        <w:r>
          <w:rPr>
            <w:noProof/>
            <w:webHidden/>
          </w:rPr>
          <w:fldChar w:fldCharType="separate"/>
        </w:r>
        <w:r>
          <w:rPr>
            <w:noProof/>
            <w:webHidden/>
          </w:rPr>
          <w:t>1</w:t>
        </w:r>
        <w:r>
          <w:rPr>
            <w:noProof/>
            <w:webHidden/>
          </w:rPr>
          <w:fldChar w:fldCharType="end"/>
        </w:r>
      </w:hyperlink>
    </w:p>
    <w:p w:rsidR="00273C77" w:rsidRDefault="00273C77">
      <w:pPr>
        <w:pStyle w:val="TableofFigures"/>
        <w:tabs>
          <w:tab w:val="right" w:leader="dot" w:pos="9350"/>
        </w:tabs>
        <w:rPr>
          <w:rFonts w:ascii="Calibri" w:hAnsi="Calibri" w:cs="Times New Roman"/>
          <w:noProof/>
          <w:sz w:val="22"/>
        </w:rPr>
      </w:pPr>
      <w:hyperlink w:anchor="_Toc280106418" w:history="1">
        <w:r w:rsidRPr="00E66523">
          <w:rPr>
            <w:rStyle w:val="Hyperlink"/>
            <w:rFonts w:cs="Times"/>
            <w:noProof/>
          </w:rPr>
          <w:t>Exhibit 5. Summary of Estimates of Hour Burden</w:t>
        </w:r>
        <w:r>
          <w:rPr>
            <w:noProof/>
            <w:webHidden/>
          </w:rPr>
          <w:tab/>
        </w:r>
        <w:r>
          <w:rPr>
            <w:noProof/>
            <w:webHidden/>
          </w:rPr>
          <w:fldChar w:fldCharType="begin"/>
        </w:r>
        <w:r>
          <w:rPr>
            <w:noProof/>
            <w:webHidden/>
          </w:rPr>
          <w:instrText xml:space="preserve"> PAGEREF _Toc280106418 \h </w:instrText>
        </w:r>
        <w:r>
          <w:rPr>
            <w:noProof/>
          </w:rPr>
        </w:r>
        <w:r>
          <w:rPr>
            <w:noProof/>
            <w:webHidden/>
          </w:rPr>
          <w:fldChar w:fldCharType="separate"/>
        </w:r>
        <w:r>
          <w:rPr>
            <w:noProof/>
            <w:webHidden/>
          </w:rPr>
          <w:t>1</w:t>
        </w:r>
        <w:r>
          <w:rPr>
            <w:noProof/>
            <w:webHidden/>
          </w:rPr>
          <w:fldChar w:fldCharType="end"/>
        </w:r>
      </w:hyperlink>
    </w:p>
    <w:p w:rsidR="00273C77" w:rsidRDefault="00273C77">
      <w:pPr>
        <w:pStyle w:val="TableofFigures"/>
        <w:tabs>
          <w:tab w:val="right" w:leader="dot" w:pos="9350"/>
        </w:tabs>
        <w:rPr>
          <w:rFonts w:ascii="Calibri" w:hAnsi="Calibri" w:cs="Times New Roman"/>
          <w:noProof/>
          <w:sz w:val="22"/>
        </w:rPr>
      </w:pPr>
      <w:hyperlink w:anchor="_Toc280106419" w:history="1">
        <w:r w:rsidRPr="00E66523">
          <w:rPr>
            <w:rStyle w:val="Hyperlink"/>
            <w:rFonts w:cs="Times"/>
            <w:noProof/>
          </w:rPr>
          <w:t>Exhibit 6. Schedule for Dissemination of Study Results</w:t>
        </w:r>
        <w:r>
          <w:rPr>
            <w:noProof/>
            <w:webHidden/>
          </w:rPr>
          <w:tab/>
        </w:r>
        <w:r>
          <w:rPr>
            <w:noProof/>
            <w:webHidden/>
          </w:rPr>
          <w:fldChar w:fldCharType="begin"/>
        </w:r>
        <w:r>
          <w:rPr>
            <w:noProof/>
            <w:webHidden/>
          </w:rPr>
          <w:instrText xml:space="preserve"> PAGEREF _Toc280106419 \h </w:instrText>
        </w:r>
        <w:r>
          <w:rPr>
            <w:noProof/>
          </w:rPr>
        </w:r>
        <w:r>
          <w:rPr>
            <w:noProof/>
            <w:webHidden/>
          </w:rPr>
          <w:fldChar w:fldCharType="separate"/>
        </w:r>
        <w:r>
          <w:rPr>
            <w:noProof/>
            <w:webHidden/>
          </w:rPr>
          <w:t>1</w:t>
        </w:r>
        <w:r>
          <w:rPr>
            <w:noProof/>
            <w:webHidden/>
          </w:rPr>
          <w:fldChar w:fldCharType="end"/>
        </w:r>
      </w:hyperlink>
    </w:p>
    <w:p w:rsidR="00273C77" w:rsidRDefault="00273C77">
      <w:pPr>
        <w:pStyle w:val="TableofFigures"/>
        <w:tabs>
          <w:tab w:val="right" w:leader="dot" w:pos="9350"/>
        </w:tabs>
        <w:rPr>
          <w:rFonts w:ascii="Calibri" w:hAnsi="Calibri" w:cs="Times New Roman"/>
          <w:noProof/>
          <w:sz w:val="22"/>
        </w:rPr>
      </w:pPr>
      <w:hyperlink w:anchor="_Toc280106420" w:history="1">
        <w:r w:rsidRPr="00E66523">
          <w:rPr>
            <w:rStyle w:val="Hyperlink"/>
            <w:rFonts w:cs="Times"/>
            <w:noProof/>
          </w:rPr>
          <w:t>Exhibit 7. Example Table Shell: Percentage of Schools Engaging in Different Types of Special Education Practices in 2010–11 Across Selected States, by Accountability Status and Grade Level</w:t>
        </w:r>
        <w:r>
          <w:rPr>
            <w:noProof/>
            <w:webHidden/>
          </w:rPr>
          <w:tab/>
        </w:r>
        <w:r>
          <w:rPr>
            <w:noProof/>
            <w:webHidden/>
          </w:rPr>
          <w:fldChar w:fldCharType="begin"/>
        </w:r>
        <w:r>
          <w:rPr>
            <w:noProof/>
            <w:webHidden/>
          </w:rPr>
          <w:instrText xml:space="preserve"> PAGEREF _Toc280106420 \h </w:instrText>
        </w:r>
        <w:r>
          <w:rPr>
            <w:noProof/>
          </w:rPr>
        </w:r>
        <w:r>
          <w:rPr>
            <w:noProof/>
            <w:webHidden/>
          </w:rPr>
          <w:fldChar w:fldCharType="separate"/>
        </w:r>
        <w:r>
          <w:rPr>
            <w:noProof/>
            <w:webHidden/>
          </w:rPr>
          <w:t>1</w:t>
        </w:r>
        <w:r>
          <w:rPr>
            <w:noProof/>
            <w:webHidden/>
          </w:rPr>
          <w:fldChar w:fldCharType="end"/>
        </w:r>
      </w:hyperlink>
    </w:p>
    <w:p w:rsidR="00273C77" w:rsidRDefault="00273C77">
      <w:pPr>
        <w:pStyle w:val="TableofFigures"/>
        <w:tabs>
          <w:tab w:val="right" w:leader="dot" w:pos="9350"/>
        </w:tabs>
        <w:rPr>
          <w:rFonts w:ascii="Calibri" w:hAnsi="Calibri" w:cs="Times New Roman"/>
          <w:noProof/>
          <w:sz w:val="22"/>
        </w:rPr>
      </w:pPr>
      <w:hyperlink w:anchor="_Toc280106421" w:history="1">
        <w:r w:rsidRPr="00E66523">
          <w:rPr>
            <w:rStyle w:val="Hyperlink"/>
            <w:rFonts w:cs="Times"/>
            <w:noProof/>
          </w:rPr>
          <w:t>Exhibit 8. Example Table Shell: Percentage of SWDs Scoring Proficient or Above in Accountable Schools Between 2005–06 and 2009–10, by Year, State, and Grade Level</w:t>
        </w:r>
        <w:r>
          <w:rPr>
            <w:noProof/>
            <w:webHidden/>
          </w:rPr>
          <w:tab/>
        </w:r>
        <w:r>
          <w:rPr>
            <w:noProof/>
            <w:webHidden/>
          </w:rPr>
          <w:fldChar w:fldCharType="begin"/>
        </w:r>
        <w:r>
          <w:rPr>
            <w:noProof/>
            <w:webHidden/>
          </w:rPr>
          <w:instrText xml:space="preserve"> PAGEREF _Toc280106421 \h </w:instrText>
        </w:r>
        <w:r>
          <w:rPr>
            <w:noProof/>
          </w:rPr>
        </w:r>
        <w:r>
          <w:rPr>
            <w:noProof/>
            <w:webHidden/>
          </w:rPr>
          <w:fldChar w:fldCharType="separate"/>
        </w:r>
        <w:r>
          <w:rPr>
            <w:noProof/>
            <w:webHidden/>
          </w:rPr>
          <w:t>1</w:t>
        </w:r>
        <w:r>
          <w:rPr>
            <w:noProof/>
            <w:webHidden/>
          </w:rPr>
          <w:fldChar w:fldCharType="end"/>
        </w:r>
      </w:hyperlink>
    </w:p>
    <w:p w:rsidR="00273C77" w:rsidRPr="001635F4" w:rsidRDefault="00273C77" w:rsidP="005617B5">
      <w:pPr>
        <w:pStyle w:val="PBodyText"/>
      </w:pPr>
      <w:r>
        <w:fldChar w:fldCharType="end"/>
      </w:r>
    </w:p>
    <w:p w:rsidR="00273C77" w:rsidRDefault="00273C77">
      <w:pPr>
        <w:rPr>
          <w:rFonts w:cs="Times New Roman"/>
        </w:rPr>
        <w:sectPr w:rsidR="00273C77" w:rsidSect="001B59A6">
          <w:headerReference w:type="default" r:id="rId13"/>
          <w:footerReference w:type="default" r:id="rId14"/>
          <w:headerReference w:type="first" r:id="rId15"/>
          <w:footerReference w:type="first" r:id="rId16"/>
          <w:type w:val="oddPage"/>
          <w:pgSz w:w="12240" w:h="15840" w:code="1"/>
          <w:pgMar w:top="1440" w:right="1440" w:bottom="1440" w:left="1440" w:header="720" w:footer="720" w:gutter="0"/>
          <w:pgNumType w:fmt="lowerRoman" w:start="1"/>
          <w:cols w:space="720"/>
        </w:sectPr>
      </w:pPr>
    </w:p>
    <w:p w:rsidR="00273C77" w:rsidRPr="00DB4A18" w:rsidRDefault="00273C77" w:rsidP="00DB4A18">
      <w:pPr>
        <w:pStyle w:val="Heading1"/>
      </w:pPr>
      <w:bookmarkStart w:id="0" w:name="_Toc280106377"/>
      <w:bookmarkStart w:id="1" w:name="_Toc222469863"/>
      <w:bookmarkStart w:id="2" w:name="_Toc222469935"/>
      <w:bookmarkStart w:id="3" w:name="_Toc222480602"/>
      <w:r>
        <w:t>Introduction</w:t>
      </w:r>
      <w:bookmarkEnd w:id="0"/>
    </w:p>
    <w:p w:rsidR="00273C77" w:rsidRDefault="00273C77" w:rsidP="005325E0">
      <w:pPr>
        <w:pStyle w:val="PBodyText"/>
      </w:pPr>
      <w:r>
        <w:t xml:space="preserve">The Institute of Education Sciences (IES) of the U.S. Department of Education (ED) requests clearance for the data collection part of the School Improvement Status and Outcomes for Students with Disabilities Study. The purpose of the study is to provide policy-relevant information about the education of students with disabilities (SWDs) by examining what school practices are occurring that may affect the education outcomes of SWDs and what the achievement trends of SWDs are in selected states. Where appropriate, the study team will compare school practices and SWD achievement trends between schools accountable and schools not accountable for SWD subgroup performance under the accountability provisions of the Elementary and Secondary Education Act (ESEA) as reauthorized in 2001. The study team will also compare school practices and SWD achievement trends between schools with different histories of school improvement status among schools accountable for SWD subgroup performance. Clearance is requested for the study’s data collection instruments. </w:t>
      </w:r>
    </w:p>
    <w:p w:rsidR="00273C77" w:rsidRDefault="00273C77" w:rsidP="005325E0">
      <w:pPr>
        <w:pStyle w:val="PBodyText"/>
      </w:pPr>
      <w:r>
        <w:t>This document contains two major sections with multiple subsections and an appendix:</w:t>
      </w:r>
    </w:p>
    <w:p w:rsidR="00273C77" w:rsidRDefault="00273C77" w:rsidP="005325E0">
      <w:pPr>
        <w:pStyle w:val="PBullet"/>
      </w:pPr>
      <w:r>
        <w:t xml:space="preserve">School Improvement Status and Outcomes for Students with Disabilities Study </w:t>
      </w:r>
    </w:p>
    <w:p w:rsidR="00273C77" w:rsidRDefault="00273C77" w:rsidP="005325E0">
      <w:pPr>
        <w:pStyle w:val="PBullet-2"/>
      </w:pPr>
      <w:r>
        <w:t xml:space="preserve">Overview </w:t>
      </w:r>
    </w:p>
    <w:p w:rsidR="00273C77" w:rsidRDefault="00273C77" w:rsidP="005325E0">
      <w:pPr>
        <w:pStyle w:val="PBullet-2"/>
      </w:pPr>
      <w:r>
        <w:t>Theory of action</w:t>
      </w:r>
    </w:p>
    <w:p w:rsidR="00273C77" w:rsidRDefault="00273C77" w:rsidP="005325E0">
      <w:pPr>
        <w:pStyle w:val="PBullet-2"/>
      </w:pPr>
      <w:r>
        <w:t>Evaluation questions</w:t>
      </w:r>
    </w:p>
    <w:p w:rsidR="00273C77" w:rsidRDefault="00273C77" w:rsidP="005325E0">
      <w:pPr>
        <w:pStyle w:val="PBullet-2"/>
      </w:pPr>
      <w:r>
        <w:t>Sampling design</w:t>
      </w:r>
    </w:p>
    <w:p w:rsidR="00273C77" w:rsidRDefault="00273C77" w:rsidP="005325E0">
      <w:pPr>
        <w:pStyle w:val="PBullet-2"/>
      </w:pPr>
      <w:r>
        <w:t xml:space="preserve">Data collection procedures </w:t>
      </w:r>
    </w:p>
    <w:p w:rsidR="00273C77" w:rsidRDefault="00273C77" w:rsidP="005325E0">
      <w:pPr>
        <w:pStyle w:val="PBullet-2"/>
      </w:pPr>
      <w:r>
        <w:t>Analytic approach</w:t>
      </w:r>
    </w:p>
    <w:p w:rsidR="00273C77" w:rsidRDefault="00273C77" w:rsidP="005325E0">
      <w:pPr>
        <w:pStyle w:val="PBullet"/>
      </w:pPr>
      <w:r>
        <w:t>Supporting Statement for Paperwork Reduction Act Submission</w:t>
      </w:r>
    </w:p>
    <w:p w:rsidR="00273C77" w:rsidRDefault="00273C77" w:rsidP="001D23BA">
      <w:pPr>
        <w:pStyle w:val="PBullet-2"/>
      </w:pPr>
      <w:r>
        <w:t>Justification (Part A)</w:t>
      </w:r>
    </w:p>
    <w:p w:rsidR="00273C77" w:rsidRDefault="00273C77" w:rsidP="00E276B3">
      <w:pPr>
        <w:pStyle w:val="PBullet"/>
      </w:pPr>
      <w:r>
        <w:t>Appendix A (Employee Agreement on Data Use and Confidentiality Procedures)</w:t>
      </w:r>
    </w:p>
    <w:p w:rsidR="00273C77" w:rsidRDefault="00273C77" w:rsidP="005325E0">
      <w:pPr>
        <w:pStyle w:val="PBodyText"/>
      </w:pPr>
    </w:p>
    <w:p w:rsidR="00273C77" w:rsidRDefault="00273C77" w:rsidP="005325E0">
      <w:pPr>
        <w:pStyle w:val="PBodyText"/>
      </w:pPr>
      <w:r>
        <w:t>A separate document contains Part B (Description of Statistical Methods) of the Supporting Statement for Paperwork Reduction Act Submission. Copies of the survey instruments for which we are requesting clearance are included as separate documents in this OMB package.</w:t>
      </w:r>
    </w:p>
    <w:p w:rsidR="00273C77" w:rsidRPr="00CA70F1" w:rsidRDefault="00273C77" w:rsidP="00CA70F1">
      <w:bookmarkStart w:id="4" w:name="_Toc222469864"/>
      <w:bookmarkStart w:id="5" w:name="_Toc222469936"/>
      <w:bookmarkStart w:id="6" w:name="_Toc222480603"/>
      <w:bookmarkEnd w:id="1"/>
      <w:bookmarkEnd w:id="2"/>
      <w:bookmarkEnd w:id="3"/>
      <w:r>
        <w:br w:type="page"/>
      </w:r>
    </w:p>
    <w:p w:rsidR="00273C77" w:rsidRPr="002B49E2" w:rsidRDefault="00273C77" w:rsidP="00DC67B0">
      <w:pPr>
        <w:pStyle w:val="Heading1"/>
      </w:pPr>
      <w:bookmarkStart w:id="7" w:name="_Toc271899429"/>
      <w:bookmarkStart w:id="8" w:name="_Toc280106378"/>
      <w:r w:rsidRPr="002B49E2">
        <w:t xml:space="preserve">School </w:t>
      </w:r>
      <w:r w:rsidRPr="00DC67B0">
        <w:t>Improvement</w:t>
      </w:r>
      <w:r w:rsidRPr="002B49E2">
        <w:t xml:space="preserve"> Status and Outcomes for Students with Disabilities </w:t>
      </w:r>
      <w:bookmarkStart w:id="9" w:name="_Toc232397522"/>
      <w:r w:rsidRPr="002B49E2">
        <w:t>Study</w:t>
      </w:r>
      <w:bookmarkEnd w:id="7"/>
      <w:bookmarkEnd w:id="8"/>
    </w:p>
    <w:p w:rsidR="00273C77" w:rsidRPr="00DC67B0" w:rsidRDefault="00273C77" w:rsidP="00DC67B0">
      <w:pPr>
        <w:pStyle w:val="Heading2"/>
      </w:pPr>
      <w:bookmarkStart w:id="10" w:name="_Toc271899430"/>
      <w:bookmarkStart w:id="11" w:name="_Toc280106379"/>
      <w:r w:rsidRPr="002B49E2">
        <w:t>Overview</w:t>
      </w:r>
      <w:bookmarkEnd w:id="9"/>
      <w:bookmarkEnd w:id="10"/>
      <w:bookmarkEnd w:id="11"/>
    </w:p>
    <w:p w:rsidR="00273C77" w:rsidRPr="00DC67B0" w:rsidRDefault="00273C77" w:rsidP="00DC67B0">
      <w:pPr>
        <w:pStyle w:val="PBodyText"/>
      </w:pPr>
      <w:r>
        <w:t>IES</w:t>
      </w:r>
      <w:r w:rsidRPr="00762BC7">
        <w:t xml:space="preserve"> has been congressionally mandated (20 USC §664(b)) to conduct a national assessment of how well the </w:t>
      </w:r>
      <w:r w:rsidRPr="000D69B0">
        <w:rPr>
          <w:i/>
        </w:rPr>
        <w:t>Individuals with Disabilities Education Act of 2004</w:t>
      </w:r>
      <w:r w:rsidRPr="00762BC7">
        <w:t xml:space="preserve"> (</w:t>
      </w:r>
      <w:r w:rsidRPr="000D69B0">
        <w:rPr>
          <w:i/>
        </w:rPr>
        <w:t>IDEA</w:t>
      </w:r>
      <w:r w:rsidRPr="00762BC7">
        <w:t>) is achieving its purposes. These purposes include some of the highest priorities for those concerned with special education reform</w:t>
      </w:r>
      <w:r>
        <w:t>:</w:t>
      </w:r>
      <w:r w:rsidRPr="00762BC7">
        <w:t xml:space="preserve"> improved achievement, access to the </w:t>
      </w:r>
      <w:r>
        <w:t>regular education</w:t>
      </w:r>
      <w:r w:rsidRPr="00762BC7">
        <w:t xml:space="preserve"> curriculum, </w:t>
      </w:r>
      <w:r>
        <w:t>grade</w:t>
      </w:r>
      <w:r w:rsidRPr="00762BC7">
        <w:t xml:space="preserve"> transitions, and dropout prevention. The 2004 reauthorization of </w:t>
      </w:r>
      <w:r w:rsidRPr="000D69B0">
        <w:rPr>
          <w:i/>
        </w:rPr>
        <w:t>IDEA</w:t>
      </w:r>
      <w:r w:rsidRPr="00762BC7">
        <w:t xml:space="preserve"> brought the nation</w:t>
      </w:r>
      <w:r>
        <w:t>’</w:t>
      </w:r>
      <w:r w:rsidRPr="00762BC7">
        <w:t xml:space="preserve">s special education laws into closer alignment with the provisions of </w:t>
      </w:r>
      <w:r w:rsidRPr="000D69B0">
        <w:rPr>
          <w:i/>
        </w:rPr>
        <w:t>ESEA</w:t>
      </w:r>
      <w:r w:rsidRPr="00762BC7">
        <w:t xml:space="preserve">, including provisions regarding accountability for student progress. Therefore, the National Center for Education Evaluation (NCEE) has </w:t>
      </w:r>
      <w:r>
        <w:t>recommended</w:t>
      </w:r>
      <w:r w:rsidRPr="00762BC7">
        <w:t xml:space="preserve"> that the National Assessment of </w:t>
      </w:r>
      <w:r w:rsidRPr="000D69B0">
        <w:rPr>
          <w:i/>
        </w:rPr>
        <w:t>IDEA</w:t>
      </w:r>
      <w:r w:rsidRPr="00762BC7">
        <w:t xml:space="preserve"> include a study of the </w:t>
      </w:r>
      <w:r>
        <w:t xml:space="preserve">relationship between </w:t>
      </w:r>
      <w:r w:rsidRPr="00762BC7">
        <w:t xml:space="preserve">school improvement status </w:t>
      </w:r>
      <w:r>
        <w:t xml:space="preserve">and </w:t>
      </w:r>
      <w:r w:rsidRPr="00762BC7">
        <w:t>the educational outcomes of SWDs</w:t>
      </w:r>
      <w:r w:rsidRPr="00DC67B0">
        <w:t xml:space="preserve">. </w:t>
      </w:r>
    </w:p>
    <w:p w:rsidR="00273C77" w:rsidRDefault="00273C77" w:rsidP="00DC67B0">
      <w:pPr>
        <w:pStyle w:val="PBodyText"/>
      </w:pPr>
      <w:r w:rsidRPr="000C7968">
        <w:t xml:space="preserve">The first phase of the </w:t>
      </w:r>
      <w:r>
        <w:t>s</w:t>
      </w:r>
      <w:r w:rsidRPr="000C7968">
        <w:t xml:space="preserve">tudy was a feasibility study conducted between March 2008 and January 2009 by a team of researchers from the American Institutes for Research (AIR) and Northwestern University. After careful consideration of a variety of feasibility criteria, the feasibility team concluded that </w:t>
      </w:r>
      <w:r>
        <w:t>i</w:t>
      </w:r>
      <w:r w:rsidRPr="000C7968">
        <w:t>t was unlikely that</w:t>
      </w:r>
      <w:r>
        <w:t xml:space="preserve"> a rigorous impact study could be carried out that would generate </w:t>
      </w:r>
      <w:r w:rsidRPr="000C7968">
        <w:t xml:space="preserve">strong causal </w:t>
      </w:r>
      <w:r>
        <w:t xml:space="preserve">conclusions </w:t>
      </w:r>
      <w:r w:rsidRPr="000C7968">
        <w:t>about the impact of school improvement status on SWDs</w:t>
      </w:r>
      <w:r>
        <w:t xml:space="preserve">. Therefore, </w:t>
      </w:r>
      <w:r w:rsidRPr="00DC5EEA">
        <w:t xml:space="preserve">the AIR research team, in consultation with NCEE, explored new directions for the study that </w:t>
      </w:r>
      <w:r>
        <w:t>would be</w:t>
      </w:r>
      <w:r w:rsidRPr="00DC5EEA">
        <w:t xml:space="preserve"> feasible</w:t>
      </w:r>
      <w:r>
        <w:t>,</w:t>
      </w:r>
      <w:r w:rsidRPr="00DC5EEA">
        <w:t xml:space="preserve"> meaningful</w:t>
      </w:r>
      <w:r>
        <w:t>, and responsive to the mandate</w:t>
      </w:r>
      <w:r w:rsidRPr="00DC5EEA">
        <w:t xml:space="preserve">. </w:t>
      </w:r>
      <w:r>
        <w:t>The</w:t>
      </w:r>
      <w:r w:rsidRPr="00DC5EEA">
        <w:t xml:space="preserve"> original </w:t>
      </w:r>
      <w:r>
        <w:t>s</w:t>
      </w:r>
      <w:r w:rsidRPr="00DC5EEA">
        <w:t>tudy</w:t>
      </w:r>
      <w:r>
        <w:t>,</w:t>
      </w:r>
      <w:r w:rsidRPr="00DC5EEA">
        <w:t xml:space="preserve"> </w:t>
      </w:r>
      <w:r>
        <w:t>which was intended to be an impact study, has been</w:t>
      </w:r>
      <w:r w:rsidRPr="00DC5EEA">
        <w:t xml:space="preserve"> reframed </w:t>
      </w:r>
      <w:r>
        <w:t xml:space="preserve">as a descriptive study </w:t>
      </w:r>
      <w:r w:rsidRPr="00DC5EEA">
        <w:t>address</w:t>
      </w:r>
      <w:r>
        <w:t>ing</w:t>
      </w:r>
      <w:r w:rsidRPr="00DC5EEA">
        <w:t xml:space="preserve"> </w:t>
      </w:r>
      <w:r>
        <w:t>three</w:t>
      </w:r>
      <w:r w:rsidRPr="00DC5EEA">
        <w:t xml:space="preserve"> sets of research questions that may provide useful information to both policymakers and practitioners. </w:t>
      </w:r>
      <w:r>
        <w:t xml:space="preserve">The first set of questions establishes the context for the study by examining the inclusion of SWDs in the school accountability system and the AYP performance of schools accountable for the SWD subgroup. </w:t>
      </w:r>
      <w:r w:rsidRPr="00DC5EEA">
        <w:t xml:space="preserve">The </w:t>
      </w:r>
      <w:r>
        <w:t>second</w:t>
      </w:r>
      <w:r w:rsidRPr="00DC5EEA">
        <w:t xml:space="preserve"> set of questions concerns school practices that </w:t>
      </w:r>
      <w:r>
        <w:t>may affect the outcomes of SWDs,</w:t>
      </w:r>
      <w:r w:rsidRPr="00DC5EEA">
        <w:t xml:space="preserve"> and </w:t>
      </w:r>
      <w:r>
        <w:t>the third</w:t>
      </w:r>
      <w:r w:rsidRPr="00DC5EEA">
        <w:t xml:space="preserve"> set of questions examines the </w:t>
      </w:r>
      <w:r>
        <w:t xml:space="preserve">achievement </w:t>
      </w:r>
      <w:r w:rsidRPr="00DC5EEA">
        <w:t xml:space="preserve">trends of SWDs over time. </w:t>
      </w:r>
    </w:p>
    <w:p w:rsidR="00273C77" w:rsidRDefault="00273C77" w:rsidP="00DC67B0">
      <w:pPr>
        <w:pStyle w:val="PBodyText"/>
      </w:pPr>
      <w:r w:rsidRPr="005E1A5E">
        <w:t xml:space="preserve">The study design emphasizes the integration and analysis of multiple sources of data. </w:t>
      </w:r>
      <w:r>
        <w:t xml:space="preserve">Research questions about the inclusion of SWDs in the school accountability system and the AYP performance of schools accountable for the performance of SWDs will rely primarily on extant school-level data from the </w:t>
      </w:r>
      <w:r w:rsidRPr="00853D25">
        <w:t>ED</w:t>
      </w:r>
      <w:r w:rsidRPr="00226D67">
        <w:rPr>
          <w:i/>
        </w:rPr>
        <w:t>Facts</w:t>
      </w:r>
      <w:r w:rsidRPr="00853D25">
        <w:t xml:space="preserve"> </w:t>
      </w:r>
      <w:r>
        <w:t xml:space="preserve">system maintained by ED, which will be supplemented with the National Adequate Yearly Progress and Identification (NAYPI) database created by AIR. School-level </w:t>
      </w:r>
      <w:r w:rsidRPr="00853D25">
        <w:t>ED</w:t>
      </w:r>
      <w:r w:rsidRPr="00226D67">
        <w:rPr>
          <w:i/>
        </w:rPr>
        <w:t>Facts</w:t>
      </w:r>
      <w:r w:rsidRPr="00853D25">
        <w:t xml:space="preserve"> </w:t>
      </w:r>
      <w:r>
        <w:t>data and the NAYPI data will also be used to address research questions related to the achievement trends of SWDs. L</w:t>
      </w:r>
      <w:r w:rsidRPr="005E1A5E">
        <w:t>ongitudinally</w:t>
      </w:r>
      <w:r>
        <w:t xml:space="preserve"> </w:t>
      </w:r>
      <w:r w:rsidRPr="005E1A5E">
        <w:t xml:space="preserve">linked student-level achievement </w:t>
      </w:r>
      <w:r>
        <w:t xml:space="preserve">data, requested </w:t>
      </w:r>
      <w:r w:rsidRPr="005E1A5E">
        <w:t xml:space="preserve">from </w:t>
      </w:r>
      <w:r>
        <w:t>up to two</w:t>
      </w:r>
      <w:r w:rsidRPr="005E1A5E">
        <w:t xml:space="preserve"> states</w:t>
      </w:r>
      <w:r>
        <w:t>, will provide an additional source of extant data for SWD achievement trend analyses.</w:t>
      </w:r>
      <w:r w:rsidRPr="00EF0B23">
        <w:t xml:space="preserve"> </w:t>
      </w:r>
      <w:r>
        <w:t>Findings based on analyses of these extant data will be presented in both the interim study report and the final study report.</w:t>
      </w:r>
    </w:p>
    <w:p w:rsidR="00273C77" w:rsidRDefault="00273C77" w:rsidP="00DC67B0">
      <w:pPr>
        <w:pStyle w:val="PBodyText"/>
      </w:pPr>
      <w:r>
        <w:t>Data for addressing research questions about</w:t>
      </w:r>
      <w:r w:rsidRPr="005E1A5E">
        <w:t xml:space="preserve"> school practices related to SWDs</w:t>
      </w:r>
      <w:r>
        <w:t xml:space="preserve"> will come primarily from a principal survey and a special education designee survey to be a</w:t>
      </w:r>
      <w:r w:rsidRPr="005E1A5E">
        <w:t>dminister</w:t>
      </w:r>
      <w:r>
        <w:t xml:space="preserve">ed </w:t>
      </w:r>
      <w:r w:rsidRPr="000C7968">
        <w:t xml:space="preserve">in </w:t>
      </w:r>
      <w:r w:rsidRPr="00177725">
        <w:t>spring 2011 to 6,638 schools</w:t>
      </w:r>
      <w:r w:rsidRPr="00FD0EC2">
        <w:t xml:space="preserve"> supported by </w:t>
      </w:r>
      <w:r w:rsidRPr="000D69B0">
        <w:rPr>
          <w:i/>
        </w:rPr>
        <w:t>IDEA</w:t>
      </w:r>
      <w:r w:rsidRPr="000C7968">
        <w:t>.</w:t>
      </w:r>
      <w:r>
        <w:t xml:space="preserve"> </w:t>
      </w:r>
      <w:r w:rsidRPr="000C7968">
        <w:t>The survey will focus on school practices that occurred during the 2010–11 school year and will</w:t>
      </w:r>
      <w:r w:rsidRPr="005E1A5E">
        <w:t xml:space="preserve"> inform </w:t>
      </w:r>
      <w:r>
        <w:t xml:space="preserve">the </w:t>
      </w:r>
      <w:r w:rsidRPr="005E1A5E">
        <w:t xml:space="preserve">final </w:t>
      </w:r>
      <w:r>
        <w:t xml:space="preserve">study </w:t>
      </w:r>
      <w:r w:rsidRPr="005E1A5E">
        <w:t xml:space="preserve">report. </w:t>
      </w:r>
    </w:p>
    <w:p w:rsidR="00273C77" w:rsidRDefault="00273C77" w:rsidP="00DC67B0">
      <w:pPr>
        <w:pStyle w:val="Heading2"/>
        <w:rPr>
          <w:rFonts w:cs="Times New Roman"/>
        </w:rPr>
      </w:pPr>
      <w:bookmarkStart w:id="12" w:name="_Toc232397523"/>
      <w:bookmarkStart w:id="13" w:name="_Toc271899431"/>
      <w:bookmarkStart w:id="14" w:name="_Toc280106380"/>
      <w:r>
        <w:rPr>
          <w:rFonts w:cs="Times New Roman"/>
        </w:rPr>
        <w:t>Theory of Action</w:t>
      </w:r>
      <w:bookmarkEnd w:id="12"/>
      <w:bookmarkEnd w:id="13"/>
      <w:bookmarkEnd w:id="14"/>
    </w:p>
    <w:p w:rsidR="00273C77" w:rsidRDefault="00273C77" w:rsidP="00DC67B0">
      <w:pPr>
        <w:pStyle w:val="PBodyText"/>
      </w:pPr>
      <w:r>
        <w:t xml:space="preserve">Under the </w:t>
      </w:r>
      <w:r w:rsidRPr="000D69B0">
        <w:rPr>
          <w:i/>
        </w:rPr>
        <w:t>ESEA</w:t>
      </w:r>
      <w:r>
        <w:t xml:space="preserve"> accountability provisions, schools are held accountable for the performance of defined student subgroups and are required to include the performance of each subgroup in their AYP determination if the size of the subgroup meets a certain threshold as set by each state. Schools repeatedly failing to make AYP over time will be identified for improvement with increasingly intensive sanctions and will be required to develop and implement school improvement plans to improve student achievement. </w:t>
      </w:r>
      <w:r w:rsidRPr="00853D25">
        <w:t xml:space="preserve">The fundamental assumption underlying </w:t>
      </w:r>
      <w:r>
        <w:t xml:space="preserve">this </w:t>
      </w:r>
      <w:r w:rsidRPr="00853D25">
        <w:t xml:space="preserve">study is that </w:t>
      </w:r>
      <w:r>
        <w:t>being explicitly held accountable for the performance of SWDs, or being i</w:t>
      </w:r>
      <w:r w:rsidRPr="00853D25">
        <w:t>dentified as being in need of improvement for reasons includ</w:t>
      </w:r>
      <w:r>
        <w:t>ing</w:t>
      </w:r>
      <w:r w:rsidRPr="00853D25">
        <w:t xml:space="preserve"> the </w:t>
      </w:r>
      <w:r>
        <w:t>performance</w:t>
      </w:r>
      <w:r w:rsidRPr="00853D25">
        <w:t xml:space="preserve"> of </w:t>
      </w:r>
      <w:r>
        <w:t>SWDs,</w:t>
      </w:r>
      <w:r w:rsidRPr="00853D25">
        <w:t xml:space="preserve"> </w:t>
      </w:r>
      <w:r>
        <w:t xml:space="preserve">will affect the practices that </w:t>
      </w:r>
      <w:r w:rsidRPr="00853D25">
        <w:t>school</w:t>
      </w:r>
      <w:r>
        <w:t xml:space="preserve">s engage in with respect to the education of their SWDs, which will in turn affect </w:t>
      </w:r>
      <w:r w:rsidRPr="00853D25">
        <w:t xml:space="preserve">a variety of student </w:t>
      </w:r>
      <w:r>
        <w:t xml:space="preserve">outcomes as shown by the following chain of events and elaborated in Exhibit 1. </w:t>
      </w:r>
    </w:p>
    <w:p w:rsidR="00273C77" w:rsidRDefault="00273C77" w:rsidP="00DC67B0">
      <w:pPr>
        <w:pStyle w:val="PBodyText"/>
      </w:pPr>
      <w:r>
        <w:t>Accountability/</w:t>
      </w:r>
      <w:r w:rsidRPr="00853D25">
        <w:t xml:space="preserve">Identification for improvement (IFI) </w:t>
      </w:r>
      <w:r w:rsidRPr="00853D25">
        <w:rPr>
          <w:szCs w:val="24"/>
        </w:rPr>
        <w:sym w:font="Wingdings" w:char="F0E0"/>
      </w:r>
      <w:r w:rsidRPr="00853D25">
        <w:t xml:space="preserve"> School </w:t>
      </w:r>
      <w:r>
        <w:t>practices</w:t>
      </w:r>
      <w:r w:rsidRPr="00853D25">
        <w:t xml:space="preserve"> </w:t>
      </w:r>
      <w:r w:rsidRPr="00853D25">
        <w:rPr>
          <w:szCs w:val="24"/>
        </w:rPr>
        <w:sym w:font="Wingdings" w:char="F0E0"/>
      </w:r>
      <w:r w:rsidRPr="00853D25">
        <w:t xml:space="preserve"> </w:t>
      </w:r>
      <w:r>
        <w:t>S</w:t>
      </w:r>
      <w:r w:rsidRPr="00853D25">
        <w:t xml:space="preserve">tudent </w:t>
      </w:r>
      <w:r>
        <w:t>outcomes</w:t>
      </w:r>
      <w:r w:rsidRPr="00853D25">
        <w:t xml:space="preserve"> </w:t>
      </w:r>
    </w:p>
    <w:p w:rsidR="00273C77" w:rsidRDefault="00273C77" w:rsidP="003A546C">
      <w:pPr>
        <w:pStyle w:val="PTableText"/>
      </w:pPr>
    </w:p>
    <w:bookmarkEnd w:id="4"/>
    <w:bookmarkEnd w:id="5"/>
    <w:bookmarkEnd w:id="6"/>
    <w:p w:rsidR="00273C77" w:rsidRDefault="00273C77" w:rsidP="0059101D">
      <w:pPr>
        <w:pStyle w:val="PReference"/>
        <w:sectPr w:rsidR="00273C77" w:rsidSect="001B59A6">
          <w:headerReference w:type="default" r:id="rId17"/>
          <w:footerReference w:type="default" r:id="rId18"/>
          <w:pgSz w:w="12240" w:h="15840" w:code="1"/>
          <w:pgMar w:top="1440" w:right="1440" w:bottom="1440" w:left="1440" w:header="720" w:footer="720" w:gutter="0"/>
          <w:pgNumType w:start="1"/>
          <w:cols w:space="720"/>
          <w:docGrid w:linePitch="360"/>
        </w:sectPr>
      </w:pPr>
    </w:p>
    <w:p w:rsidR="00273C77" w:rsidRDefault="00273C77" w:rsidP="00E43F63">
      <w:pPr>
        <w:pStyle w:val="PExhibitTitle"/>
      </w:pPr>
      <w:bookmarkStart w:id="15" w:name="_Toc280106414"/>
      <w:r>
        <w:t>Exhibit 1. Theory of Action</w:t>
      </w:r>
      <w:bookmarkEnd w:id="15"/>
    </w:p>
    <w:p w:rsidR="00273C77" w:rsidRDefault="00273C77" w:rsidP="00625543">
      <w:pPr>
        <w:pStyle w:val="PTableText"/>
        <w:jc w:val="center"/>
        <w:sectPr w:rsidR="00273C77" w:rsidSect="001B59A6">
          <w:headerReference w:type="default" r:id="rId19"/>
          <w:footerReference w:type="default" r:id="rId20"/>
          <w:pgSz w:w="15840" w:h="12240" w:orient="landscape" w:code="1"/>
          <w:pgMar w:top="1440" w:right="1440" w:bottom="1440" w:left="1440" w:header="720" w:footer="720" w:gutter="0"/>
          <w:cols w:space="720"/>
          <w:docGrid w:linePitch="360"/>
        </w:sectPr>
      </w:pPr>
      <w:r>
        <w:rPr>
          <w:noProof/>
        </w:rPr>
      </w:r>
      <w:r>
        <w:pict>
          <v:group id="_x0000_s1028" editas="canvas" style="width:642.05pt;height:420.85pt;mso-position-horizontal-relative:char;mso-position-vertical-relative:line" coordorigin="1440,1716" coordsize="12841,841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440;top:1716;width:12841;height:841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0" type="#_x0000_t202" style="position:absolute;left:12005;top:5856;width:1558;height:2567">
              <v:textbox style="mso-next-textbox:#_x0000_s1030">
                <w:txbxContent>
                  <w:p w:rsidR="00273C77" w:rsidRDefault="00273C77" w:rsidP="0088468D">
                    <w:pPr>
                      <w:pStyle w:val="PTableText"/>
                    </w:pPr>
                    <w:r>
                      <w:t>Placement in the least restrictive environment</w:t>
                    </w:r>
                  </w:p>
                  <w:p w:rsidR="00273C77" w:rsidRDefault="00273C77" w:rsidP="0088468D">
                    <w:pPr>
                      <w:pStyle w:val="PTableText"/>
                    </w:pPr>
                  </w:p>
                  <w:p w:rsidR="00273C77" w:rsidRDefault="00273C77" w:rsidP="0088468D">
                    <w:pPr>
                      <w:pStyle w:val="PTableText"/>
                    </w:pPr>
                    <w:r>
                      <w:t>Grade transitions</w:t>
                    </w:r>
                  </w:p>
                  <w:p w:rsidR="00273C77" w:rsidRDefault="00273C77" w:rsidP="0088468D">
                    <w:pPr>
                      <w:pStyle w:val="PTableText"/>
                    </w:pPr>
                  </w:p>
                  <w:p w:rsidR="00273C77" w:rsidRPr="00C951D8" w:rsidRDefault="00273C77" w:rsidP="0088468D">
                    <w:pPr>
                      <w:pStyle w:val="PTableText"/>
                    </w:pPr>
                    <w:r>
                      <w:t xml:space="preserve">Graduation/ dropout </w:t>
                    </w:r>
                  </w:p>
                </w:txbxContent>
              </v:textbox>
            </v:shape>
            <v:shape id="_x0000_s1031" type="#_x0000_t202" style="position:absolute;left:12004;top:3589;width:1559;height:1097">
              <v:textbox style="mso-next-textbox:#_x0000_s1031">
                <w:txbxContent>
                  <w:p w:rsidR="00273C77" w:rsidRPr="00C951D8" w:rsidRDefault="00273C77" w:rsidP="0088468D">
                    <w:pPr>
                      <w:pStyle w:val="PTableText"/>
                    </w:pPr>
                    <w:r>
                      <w:t>Achievement gain in reading and mathematics</w:t>
                    </w:r>
                  </w:p>
                </w:txbxContent>
              </v:textbox>
            </v:shape>
            <v:shape id="_x0000_s1032" type="#_x0000_t202" style="position:absolute;left:1680;top:1896;width:1440;height:539" stroked="f">
              <v:textbox style="mso-next-textbox:#_x0000_s1032">
                <w:txbxContent>
                  <w:p w:rsidR="00273C77" w:rsidRPr="001D52DD" w:rsidRDefault="00273C77" w:rsidP="0088468D">
                    <w:pPr>
                      <w:rPr>
                        <w:b/>
                      </w:rPr>
                    </w:pPr>
                  </w:p>
                </w:txbxContent>
              </v:textbox>
            </v:shape>
            <v:shape id="_x0000_s1033" type="#_x0000_t202" style="position:absolute;left:5184;top:1954;width:4350;height:481" stroked="f">
              <v:textbox style="mso-next-textbox:#_x0000_s1033">
                <w:txbxContent>
                  <w:p w:rsidR="00273C77" w:rsidRPr="00965A9B" w:rsidRDefault="00273C77" w:rsidP="0088468D">
                    <w:pPr>
                      <w:pStyle w:val="PTableHeading"/>
                      <w:rPr>
                        <w:color w:val="000000"/>
                      </w:rPr>
                    </w:pPr>
                    <w:r w:rsidRPr="00965A9B">
                      <w:rPr>
                        <w:color w:val="000000"/>
                      </w:rPr>
                      <w:t>School practices with respect to SWDs</w:t>
                    </w:r>
                  </w:p>
                </w:txbxContent>
              </v:textbox>
            </v:shape>
            <v:shape id="_x0000_s1034" type="#_x0000_t202" style="position:absolute;left:11523;top:1954;width:2040;height:481" stroked="f">
              <v:textbox style="mso-next-textbox:#_x0000_s1034">
                <w:txbxContent>
                  <w:p w:rsidR="00273C77" w:rsidRPr="00965A9B" w:rsidRDefault="00273C77" w:rsidP="0088468D">
                    <w:pPr>
                      <w:pStyle w:val="PTableHeading"/>
                      <w:rPr>
                        <w:color w:val="000000"/>
                      </w:rPr>
                    </w:pPr>
                    <w:r w:rsidRPr="00965A9B">
                      <w:rPr>
                        <w:color w:val="000000"/>
                      </w:rPr>
                      <w:t>SWD outcomes</w:t>
                    </w:r>
                  </w:p>
                </w:txbxContent>
              </v:textbox>
            </v:shape>
            <v:line id="_x0000_s1035" style="position:absolute" from="11284,4183" to="12004,4184">
              <v:stroke endarrow="block"/>
            </v:line>
            <v:shape id="_x0000_s1036" type="#_x0000_t202" style="position:absolute;left:1440;top:5692;width:1525;height:858">
              <v:textbox style="mso-next-textbox:#_x0000_s1036">
                <w:txbxContent>
                  <w:p w:rsidR="00273C77" w:rsidRPr="00055778" w:rsidRDefault="00273C77" w:rsidP="0088468D">
                    <w:pPr>
                      <w:pStyle w:val="PTableText"/>
                      <w:rPr>
                        <w:b/>
                      </w:rPr>
                    </w:pPr>
                    <w:r w:rsidRPr="00055778">
                      <w:rPr>
                        <w:b/>
                      </w:rPr>
                      <w:t>Accountability/</w:t>
                    </w:r>
                  </w:p>
                  <w:p w:rsidR="00273C77" w:rsidRPr="00055778" w:rsidRDefault="00273C77" w:rsidP="0088468D">
                    <w:pPr>
                      <w:pStyle w:val="PTableText"/>
                      <w:rPr>
                        <w:b/>
                      </w:rPr>
                    </w:pPr>
                    <w:r w:rsidRPr="00055778">
                      <w:rPr>
                        <w:b/>
                      </w:rPr>
                      <w:t xml:space="preserve">IFI for SWD performance </w:t>
                    </w:r>
                  </w:p>
                </w:txbxContent>
              </v:textbox>
            </v:shape>
            <v:shape id="_x0000_s1037" type="#_x0000_t202" style="position:absolute;left:3715;top:2580;width:7570;height:7086">
              <v:textbox style="mso-next-textbox:#_x0000_s1037">
                <w:txbxContent>
                  <w:p w:rsidR="00273C77" w:rsidRPr="002C371E" w:rsidRDefault="00273C77" w:rsidP="0088468D">
                    <w:pPr>
                      <w:pStyle w:val="PTableHeading2"/>
                    </w:pPr>
                    <w:r w:rsidRPr="002C371E">
                      <w:t>Staff</w:t>
                    </w:r>
                  </w:p>
                  <w:p w:rsidR="00273C77" w:rsidRDefault="00273C77" w:rsidP="0088468D">
                    <w:pPr>
                      <w:pStyle w:val="PTableBullet1"/>
                    </w:pPr>
                    <w:r>
                      <w:t>Q</w:t>
                    </w:r>
                    <w:r w:rsidRPr="00C15C08">
                      <w:t xml:space="preserve">uantity of staff serving SWDs </w:t>
                    </w:r>
                  </w:p>
                  <w:p w:rsidR="00273C77" w:rsidRPr="00C15C08" w:rsidRDefault="00273C77" w:rsidP="0088468D">
                    <w:pPr>
                      <w:pStyle w:val="PTableHeading2"/>
                    </w:pPr>
                    <w:r w:rsidRPr="00C15C08">
                      <w:t>Professional Development</w:t>
                    </w:r>
                  </w:p>
                  <w:p w:rsidR="00273C77" w:rsidRDefault="00273C77" w:rsidP="0088468D">
                    <w:pPr>
                      <w:pStyle w:val="PTableBullet1"/>
                    </w:pPr>
                    <w:r w:rsidRPr="00C15C08">
                      <w:t>Content</w:t>
                    </w:r>
                    <w:r>
                      <w:t xml:space="preserve"> and</w:t>
                    </w:r>
                    <w:r w:rsidRPr="00C15C08">
                      <w:t xml:space="preserve"> amount</w:t>
                    </w:r>
                    <w:r>
                      <w:t xml:space="preserve"> of</w:t>
                    </w:r>
                    <w:r w:rsidRPr="00C15C08">
                      <w:t xml:space="preserve"> professional development received by special education and </w:t>
                    </w:r>
                    <w:r>
                      <w:t>regular education</w:t>
                    </w:r>
                    <w:r w:rsidRPr="00C15C08">
                      <w:t xml:space="preserve"> teachers</w:t>
                    </w:r>
                  </w:p>
                  <w:p w:rsidR="00273C77" w:rsidRPr="00C15C08" w:rsidRDefault="00273C77" w:rsidP="0088468D">
                    <w:pPr>
                      <w:pStyle w:val="PTableHeading2"/>
                    </w:pPr>
                    <w:r w:rsidRPr="00C15C08">
                      <w:t xml:space="preserve">Access to the </w:t>
                    </w:r>
                    <w:r>
                      <w:t>Regular</w:t>
                    </w:r>
                    <w:r w:rsidRPr="00C15C08">
                      <w:t xml:space="preserve"> Education Curriculum</w:t>
                    </w:r>
                  </w:p>
                  <w:p w:rsidR="00273C77" w:rsidRDefault="00273C77" w:rsidP="0088468D">
                    <w:pPr>
                      <w:pStyle w:val="PTableBullet1"/>
                    </w:pPr>
                    <w:r>
                      <w:t>Educational placements for SWDs</w:t>
                    </w:r>
                  </w:p>
                  <w:p w:rsidR="00273C77" w:rsidRPr="00C15C08" w:rsidRDefault="00273C77" w:rsidP="0088468D">
                    <w:pPr>
                      <w:pStyle w:val="PTableBullet1"/>
                    </w:pPr>
                    <w:r>
                      <w:t>I</w:t>
                    </w:r>
                    <w:r w:rsidRPr="00E622A6">
                      <w:t>nstruction</w:t>
                    </w:r>
                    <w:r>
                      <w:t xml:space="preserve">al practices for SWDs (e.g., </w:t>
                    </w:r>
                    <w:r w:rsidRPr="00C15C08">
                      <w:t>grouping strategies, behavior management, tutoring, test prep)</w:t>
                    </w:r>
                  </w:p>
                  <w:p w:rsidR="00273C77" w:rsidRPr="00C15C08" w:rsidRDefault="00273C77" w:rsidP="0088468D">
                    <w:pPr>
                      <w:pStyle w:val="PTableBullet1"/>
                    </w:pPr>
                    <w:r>
                      <w:t>C</w:t>
                    </w:r>
                    <w:r w:rsidRPr="00C15C08">
                      <w:t xml:space="preserve">ollaborative teaching and planning among special education and </w:t>
                    </w:r>
                    <w:r>
                      <w:t>regular education</w:t>
                    </w:r>
                    <w:r w:rsidRPr="00C15C08">
                      <w:t xml:space="preserve"> teachers (</w:t>
                    </w:r>
                    <w:r>
                      <w:t xml:space="preserve">e.g., </w:t>
                    </w:r>
                    <w:r w:rsidRPr="00C15C08">
                      <w:t>co-teaching model, common planning)</w:t>
                    </w:r>
                  </w:p>
                  <w:p w:rsidR="00273C77" w:rsidRDefault="00273C77" w:rsidP="0088468D">
                    <w:pPr>
                      <w:pStyle w:val="PTableBullet1"/>
                    </w:pPr>
                    <w:r>
                      <w:t>Development of standards-based Individualized Education Programs (IEPs)</w:t>
                    </w:r>
                  </w:p>
                  <w:p w:rsidR="00273C77" w:rsidRPr="00C15C08" w:rsidRDefault="00273C77" w:rsidP="0088468D">
                    <w:pPr>
                      <w:pStyle w:val="PTableHeading2"/>
                    </w:pPr>
                    <w:r w:rsidRPr="00C15C08">
                      <w:t>Assessment of SWDs</w:t>
                    </w:r>
                  </w:p>
                  <w:p w:rsidR="00273C77" w:rsidRPr="00C15C08" w:rsidRDefault="00273C77" w:rsidP="0088468D">
                    <w:pPr>
                      <w:pStyle w:val="PTableBullet1"/>
                    </w:pPr>
                    <w:r>
                      <w:t>N</w:t>
                    </w:r>
                    <w:r w:rsidRPr="00C15C08">
                      <w:t>umber of SWDs taking regular assessments, regular assessments with accommodations, or alternate assessment</w:t>
                    </w:r>
                    <w:r>
                      <w:t>s</w:t>
                    </w:r>
                  </w:p>
                  <w:p w:rsidR="00273C77" w:rsidRDefault="00273C77" w:rsidP="0088468D">
                    <w:pPr>
                      <w:pStyle w:val="PTableBullet1"/>
                    </w:pPr>
                    <w:r>
                      <w:t>A</w:t>
                    </w:r>
                    <w:r w:rsidRPr="00C15C08">
                      <w:t>vailabil</w:t>
                    </w:r>
                    <w:r>
                      <w:t>ity of test preparation</w:t>
                    </w:r>
                  </w:p>
                  <w:p w:rsidR="00273C77" w:rsidRPr="000B5D18" w:rsidRDefault="00273C77" w:rsidP="0088468D">
                    <w:pPr>
                      <w:pStyle w:val="PTableHeading2"/>
                    </w:pPr>
                    <w:r w:rsidRPr="000B5D18">
                      <w:t>Identification of SWDs</w:t>
                    </w:r>
                  </w:p>
                  <w:p w:rsidR="00273C77" w:rsidRDefault="00273C77" w:rsidP="0088468D">
                    <w:pPr>
                      <w:pStyle w:val="PTableBullet1"/>
                    </w:pPr>
                    <w:r w:rsidRPr="00C15C08">
                      <w:t xml:space="preserve">Composition of students who are </w:t>
                    </w:r>
                    <w:r>
                      <w:t>identified</w:t>
                    </w:r>
                    <w:r w:rsidRPr="00C15C08">
                      <w:t xml:space="preserve"> as SWDs</w:t>
                    </w:r>
                  </w:p>
                  <w:p w:rsidR="00273C77" w:rsidRPr="00C15C08" w:rsidRDefault="00273C77" w:rsidP="0088468D">
                    <w:pPr>
                      <w:pStyle w:val="PTableHeading2"/>
                    </w:pPr>
                    <w:r w:rsidRPr="00C15C08">
                      <w:t>Schoolwide Programs and Polic</w:t>
                    </w:r>
                    <w:r>
                      <w:t>i</w:t>
                    </w:r>
                    <w:r w:rsidRPr="00C15C08">
                      <w:t>es</w:t>
                    </w:r>
                  </w:p>
                  <w:p w:rsidR="00273C77" w:rsidRPr="00C15C08" w:rsidRDefault="00273C77" w:rsidP="0088468D">
                    <w:pPr>
                      <w:pStyle w:val="PTableBullet1"/>
                    </w:pPr>
                    <w:r w:rsidRPr="00C15C08">
                      <w:t>Implementation of schoolwide initiatives including:</w:t>
                    </w:r>
                  </w:p>
                  <w:p w:rsidR="00273C77" w:rsidRDefault="00273C77" w:rsidP="0088468D">
                    <w:pPr>
                      <w:pStyle w:val="PTableBullet1"/>
                      <w:numPr>
                        <w:ilvl w:val="1"/>
                        <w:numId w:val="4"/>
                      </w:numPr>
                      <w:tabs>
                        <w:tab w:val="clear" w:pos="1440"/>
                      </w:tabs>
                      <w:ind w:left="540"/>
                    </w:pPr>
                    <w:r w:rsidRPr="00C15C08">
                      <w:t>Response-to-Intervention (RTI)/pre-referral</w:t>
                    </w:r>
                  </w:p>
                  <w:p w:rsidR="00273C77" w:rsidRDefault="00273C77" w:rsidP="0088468D">
                    <w:pPr>
                      <w:pStyle w:val="PTableBullet1"/>
                      <w:numPr>
                        <w:ilvl w:val="1"/>
                        <w:numId w:val="4"/>
                      </w:numPr>
                      <w:tabs>
                        <w:tab w:val="clear" w:pos="1440"/>
                      </w:tabs>
                      <w:ind w:left="540"/>
                    </w:pPr>
                    <w:r w:rsidRPr="00C15C08">
                      <w:t>Positive Behavior Interventions and Supports (PBIS)</w:t>
                    </w:r>
                  </w:p>
                  <w:p w:rsidR="00273C77" w:rsidRDefault="00273C77" w:rsidP="0088468D">
                    <w:pPr>
                      <w:pStyle w:val="PTableBullet1"/>
                      <w:numPr>
                        <w:ilvl w:val="1"/>
                        <w:numId w:val="4"/>
                      </w:numPr>
                      <w:tabs>
                        <w:tab w:val="clear" w:pos="1440"/>
                      </w:tabs>
                      <w:ind w:left="540"/>
                    </w:pPr>
                    <w:r>
                      <w:t>Use of data to inform instruction</w:t>
                    </w:r>
                  </w:p>
                  <w:p w:rsidR="00273C77" w:rsidRDefault="00273C77" w:rsidP="0088468D">
                    <w:pPr>
                      <w:pStyle w:val="PTableBullet1"/>
                      <w:numPr>
                        <w:ilvl w:val="1"/>
                        <w:numId w:val="4"/>
                      </w:numPr>
                      <w:tabs>
                        <w:tab w:val="clear" w:pos="1440"/>
                      </w:tabs>
                      <w:ind w:left="540"/>
                    </w:pPr>
                    <w:r w:rsidRPr="00841FD9">
                      <w:t xml:space="preserve">Changes in the amount of instructional time </w:t>
                    </w:r>
                  </w:p>
                  <w:p w:rsidR="00273C77" w:rsidRDefault="00273C77" w:rsidP="0088468D">
                    <w:pPr>
                      <w:pStyle w:val="PTableBullet1"/>
                      <w:numPr>
                        <w:ilvl w:val="1"/>
                        <w:numId w:val="4"/>
                      </w:numPr>
                      <w:tabs>
                        <w:tab w:val="clear" w:pos="1440"/>
                      </w:tabs>
                      <w:ind w:left="540"/>
                    </w:pPr>
                    <w:r w:rsidRPr="00841FD9">
                      <w:t>New curricular or instructional programs</w:t>
                    </w:r>
                  </w:p>
                  <w:p w:rsidR="00273C77" w:rsidRDefault="00273C77" w:rsidP="0088468D">
                    <w:pPr>
                      <w:pStyle w:val="PTableBullet1"/>
                      <w:numPr>
                        <w:ilvl w:val="1"/>
                        <w:numId w:val="4"/>
                      </w:numPr>
                      <w:tabs>
                        <w:tab w:val="clear" w:pos="1440"/>
                      </w:tabs>
                      <w:ind w:left="540"/>
                    </w:pPr>
                    <w:r w:rsidRPr="00C15C08">
                      <w:t>Ability grouping</w:t>
                    </w:r>
                  </w:p>
                  <w:p w:rsidR="00273C77" w:rsidRDefault="00273C77" w:rsidP="0088468D">
                    <w:pPr>
                      <w:pStyle w:val="PTableBullet1"/>
                      <w:numPr>
                        <w:ilvl w:val="1"/>
                        <w:numId w:val="4"/>
                      </w:numPr>
                      <w:tabs>
                        <w:tab w:val="clear" w:pos="1440"/>
                      </w:tabs>
                      <w:ind w:left="540"/>
                    </w:pPr>
                    <w:r w:rsidRPr="000B5D18">
                      <w:t>Technology</w:t>
                    </w:r>
                  </w:p>
                </w:txbxContent>
              </v:textbox>
            </v:shape>
            <v:shapetype id="_x0000_t32" coordsize="21600,21600" o:spt="32" o:oned="t" path="m,l21600,21600e" filled="f">
              <v:path arrowok="t" fillok="f" o:connecttype="none"/>
              <o:lock v:ext="edit" shapetype="t"/>
            </v:shapetype>
            <v:shape id="_x0000_s1038" type="#_x0000_t32" style="position:absolute;left:2965;top:6121;width:750;height:2" o:connectortype="straight">
              <v:stroke endarrow="block"/>
            </v:shape>
            <v:line id="_x0000_s1039" style="position:absolute" from="11285,7047" to="12005,7048">
              <v:stroke endarrow="block"/>
            </v:line>
            <w10:anchorlock/>
          </v:group>
        </w:pict>
      </w:r>
    </w:p>
    <w:p w:rsidR="00273C77" w:rsidRDefault="00273C77" w:rsidP="003070F9">
      <w:pPr>
        <w:pStyle w:val="Heading2"/>
      </w:pPr>
      <w:bookmarkStart w:id="16" w:name="_Toc271899432"/>
      <w:bookmarkStart w:id="17" w:name="_Toc280106381"/>
      <w:r w:rsidRPr="002B49E2">
        <w:t>Evaluation Questions</w:t>
      </w:r>
      <w:bookmarkEnd w:id="16"/>
      <w:bookmarkEnd w:id="17"/>
    </w:p>
    <w:p w:rsidR="00273C77" w:rsidRDefault="00273C77" w:rsidP="003070F9">
      <w:pPr>
        <w:pStyle w:val="PBodyText"/>
      </w:pPr>
      <w:bookmarkStart w:id="18" w:name="_Toc232397525"/>
      <w:r w:rsidRPr="001C0F35">
        <w:t>The first set of questions concern</w:t>
      </w:r>
      <w:r>
        <w:t>s</w:t>
      </w:r>
      <w:r w:rsidRPr="001C0F35">
        <w:t xml:space="preserve"> the inclusion of SWDs in the school accountability system and school-level AYP determination as it relates to the performance of the SWD subgroup. The second set of questions pertain</w:t>
      </w:r>
      <w:r>
        <w:t>s</w:t>
      </w:r>
      <w:r w:rsidRPr="001C0F35">
        <w:t xml:space="preserve"> </w:t>
      </w:r>
      <w:r>
        <w:t xml:space="preserve">to </w:t>
      </w:r>
      <w:r w:rsidRPr="001C0F35">
        <w:t>school practices that may affect the outcomes of SWDs, and the third set of questions examine</w:t>
      </w:r>
      <w:r>
        <w:t>s</w:t>
      </w:r>
      <w:r w:rsidRPr="001C0F35">
        <w:t xml:space="preserve"> the</w:t>
      </w:r>
      <w:r>
        <w:t xml:space="preserve"> </w:t>
      </w:r>
      <w:r w:rsidRPr="001C0F35">
        <w:t xml:space="preserve">achievement trends of SWDs over time. These questions are stated as follows: </w:t>
      </w:r>
    </w:p>
    <w:p w:rsidR="00273C77" w:rsidRDefault="00273C77" w:rsidP="003070F9">
      <w:pPr>
        <w:pStyle w:val="Heading3"/>
      </w:pPr>
      <w:bookmarkStart w:id="19" w:name="_Toc280106382"/>
      <w:bookmarkStart w:id="20" w:name="_Toc238810083"/>
      <w:r w:rsidRPr="009E658E">
        <w:t xml:space="preserve">Research Question 1: </w:t>
      </w:r>
      <w:r>
        <w:t>Inclusion of SWDs in the School Accountability System and AYP Performance of Schools Accountable for SWDs</w:t>
      </w:r>
      <w:bookmarkEnd w:id="19"/>
    </w:p>
    <w:p w:rsidR="00273C77" w:rsidRDefault="00273C77" w:rsidP="003070F9">
      <w:pPr>
        <w:pStyle w:val="PBullet"/>
      </w:pPr>
      <w:r>
        <w:t>1(a). What percentage of</w:t>
      </w:r>
      <w:r w:rsidRPr="000C2C8F">
        <w:t xml:space="preserve"> schools </w:t>
      </w:r>
      <w:r>
        <w:t xml:space="preserve">were </w:t>
      </w:r>
      <w:r w:rsidRPr="000C2C8F">
        <w:t>accountable for the performance of the SWD subgroup</w:t>
      </w:r>
      <w:r w:rsidRPr="00037C99">
        <w:t xml:space="preserve"> </w:t>
      </w:r>
      <w:r w:rsidRPr="001C2897">
        <w:t>between 2005–06 and 2009–10</w:t>
      </w:r>
      <w:r w:rsidRPr="000C2C8F">
        <w:t xml:space="preserve">? </w:t>
      </w:r>
    </w:p>
    <w:p w:rsidR="00273C77" w:rsidRPr="00952F25" w:rsidRDefault="00273C77" w:rsidP="00952F25">
      <w:pPr>
        <w:pStyle w:val="PBullet"/>
      </w:pPr>
      <w:r>
        <w:t>1(b).</w:t>
      </w:r>
      <w:r w:rsidRPr="00952F25">
        <w:t xml:space="preserve"> </w:t>
      </w:r>
      <w:r w:rsidRPr="00767F7F">
        <w:t xml:space="preserve">What percentage of </w:t>
      </w:r>
      <w:r>
        <w:t xml:space="preserve">different types of </w:t>
      </w:r>
      <w:r w:rsidRPr="00767F7F">
        <w:t xml:space="preserve">schools were held accountable for the performance of </w:t>
      </w:r>
      <w:r>
        <w:t xml:space="preserve">the </w:t>
      </w:r>
      <w:r w:rsidRPr="00767F7F">
        <w:t>SWD</w:t>
      </w:r>
      <w:r>
        <w:t xml:space="preserve"> subgroup?</w:t>
      </w:r>
      <w:r w:rsidRPr="00625543">
        <w:rPr>
          <w:rStyle w:val="FootnoteReference"/>
          <w:iCs/>
        </w:rPr>
        <w:footnoteReference w:id="2"/>
      </w:r>
    </w:p>
    <w:p w:rsidR="00273C77" w:rsidRPr="000C2C8F" w:rsidRDefault="00273C77" w:rsidP="003070F9">
      <w:pPr>
        <w:pStyle w:val="PBullet"/>
      </w:pPr>
      <w:r>
        <w:t xml:space="preserve">1(c). </w:t>
      </w:r>
      <w:r w:rsidRPr="00767F7F">
        <w:t xml:space="preserve">What percentage of </w:t>
      </w:r>
      <w:r w:rsidRPr="000C2C8F">
        <w:t xml:space="preserve">schools </w:t>
      </w:r>
      <w:r>
        <w:t>moved</w:t>
      </w:r>
      <w:r w:rsidRPr="000C2C8F">
        <w:t xml:space="preserve"> in and out of accountability for the SWD subgroup</w:t>
      </w:r>
      <w:r w:rsidRPr="00037C99">
        <w:t xml:space="preserve"> </w:t>
      </w:r>
      <w:r w:rsidRPr="001C2897">
        <w:t>between 2005–06 and 2009–10</w:t>
      </w:r>
      <w:r w:rsidRPr="000C2C8F">
        <w:t xml:space="preserve">? </w:t>
      </w:r>
    </w:p>
    <w:p w:rsidR="00273C77" w:rsidRDefault="00273C77" w:rsidP="003070F9">
      <w:pPr>
        <w:pStyle w:val="PBullet"/>
      </w:pPr>
      <w:r>
        <w:t xml:space="preserve">1(d). </w:t>
      </w:r>
      <w:r w:rsidRPr="00767F7F">
        <w:t xml:space="preserve">What percentage of </w:t>
      </w:r>
      <w:r w:rsidRPr="000C2C8F">
        <w:t>schools miss</w:t>
      </w:r>
      <w:r>
        <w:t>ed</w:t>
      </w:r>
      <w:r w:rsidRPr="000C2C8F">
        <w:t xml:space="preserve"> AYP due to the performance of the SWD subgroup</w:t>
      </w:r>
      <w:r w:rsidRPr="00037C99">
        <w:t xml:space="preserve"> </w:t>
      </w:r>
      <w:r w:rsidRPr="001C2897">
        <w:t>between 2005–06 and 2009–10</w:t>
      </w:r>
      <w:r w:rsidRPr="000C2C8F">
        <w:t xml:space="preserve">? </w:t>
      </w:r>
    </w:p>
    <w:p w:rsidR="00273C77" w:rsidRPr="0084014B" w:rsidRDefault="00273C77" w:rsidP="0084014B"/>
    <w:p w:rsidR="00273C77" w:rsidRDefault="00273C77" w:rsidP="003070F9">
      <w:pPr>
        <w:pStyle w:val="Heading3"/>
      </w:pPr>
      <w:bookmarkStart w:id="21" w:name="_Toc280106383"/>
      <w:r>
        <w:t>Research Question 2</w:t>
      </w:r>
      <w:r w:rsidRPr="009E658E">
        <w:t>: School Practices</w:t>
      </w:r>
      <w:bookmarkEnd w:id="20"/>
      <w:bookmarkEnd w:id="21"/>
    </w:p>
    <w:p w:rsidR="00273C77" w:rsidRPr="00853D25" w:rsidRDefault="00273C77" w:rsidP="003070F9">
      <w:pPr>
        <w:pStyle w:val="PBullet"/>
      </w:pPr>
      <w:r>
        <w:t>2</w:t>
      </w:r>
      <w:r w:rsidRPr="00853D25">
        <w:t xml:space="preserve">(a). What regular and special education </w:t>
      </w:r>
      <w:r w:rsidRPr="0030052B">
        <w:t>practices are occurring in 2010–11</w:t>
      </w:r>
      <w:r>
        <w:t xml:space="preserve"> </w:t>
      </w:r>
      <w:r w:rsidRPr="0030052B">
        <w:t xml:space="preserve">in schools accountable for SWD performance and </w:t>
      </w:r>
      <w:r>
        <w:t xml:space="preserve">in </w:t>
      </w:r>
      <w:r w:rsidRPr="0030052B">
        <w:t>schools not accountable for SWD performance, and how do the</w:t>
      </w:r>
      <w:r>
        <w:t>se</w:t>
      </w:r>
      <w:r w:rsidRPr="0030052B">
        <w:t xml:space="preserve"> practices differ between the two school groups?</w:t>
      </w:r>
      <w:r>
        <w:t xml:space="preserve"> </w:t>
      </w:r>
    </w:p>
    <w:p w:rsidR="00273C77" w:rsidRDefault="00273C77" w:rsidP="003070F9">
      <w:pPr>
        <w:pStyle w:val="PBulletLast"/>
      </w:pPr>
      <w:r>
        <w:t>2</w:t>
      </w:r>
      <w:r w:rsidRPr="00853D25">
        <w:t>(b). Do schools</w:t>
      </w:r>
      <w:r>
        <w:t>’</w:t>
      </w:r>
      <w:r w:rsidRPr="00853D25">
        <w:t xml:space="preserve"> regular </w:t>
      </w:r>
      <w:r w:rsidRPr="000F0A67">
        <w:t xml:space="preserve">or special education practices in 2010–11 vary by </w:t>
      </w:r>
      <w:r>
        <w:t>schools’</w:t>
      </w:r>
      <w:r w:rsidRPr="000F0A67">
        <w:t xml:space="preserve"> improvement status between 2005</w:t>
      </w:r>
      <w:r>
        <w:t>–</w:t>
      </w:r>
      <w:r w:rsidRPr="000F0A67">
        <w:t xml:space="preserve">06 and 2010–11 </w:t>
      </w:r>
      <w:r>
        <w:t>among</w:t>
      </w:r>
      <w:r w:rsidRPr="000F0A67">
        <w:t xml:space="preserve"> schools accountable for SWD performance?</w:t>
      </w:r>
    </w:p>
    <w:p w:rsidR="00273C77" w:rsidRDefault="00273C77" w:rsidP="003070F9">
      <w:pPr>
        <w:pStyle w:val="Heading3"/>
      </w:pPr>
      <w:bookmarkStart w:id="22" w:name="_Toc238810084"/>
      <w:bookmarkStart w:id="23" w:name="_Toc280106384"/>
      <w:r w:rsidRPr="009E658E">
        <w:t xml:space="preserve">Research Question </w:t>
      </w:r>
      <w:r>
        <w:t>3</w:t>
      </w:r>
      <w:r w:rsidRPr="009E658E">
        <w:t xml:space="preserve">: </w:t>
      </w:r>
      <w:r>
        <w:t xml:space="preserve">SWD Achievement </w:t>
      </w:r>
      <w:r w:rsidRPr="009E658E">
        <w:t>Trends</w:t>
      </w:r>
      <w:bookmarkEnd w:id="22"/>
      <w:bookmarkEnd w:id="23"/>
    </w:p>
    <w:p w:rsidR="00273C77" w:rsidRPr="001C2897" w:rsidRDefault="00273C77" w:rsidP="003070F9">
      <w:pPr>
        <w:pStyle w:val="PBullet"/>
      </w:pPr>
      <w:r>
        <w:t>3</w:t>
      </w:r>
      <w:r w:rsidRPr="00853D25">
        <w:t xml:space="preserve">(a). What </w:t>
      </w:r>
      <w:r>
        <w:t>were</w:t>
      </w:r>
      <w:r w:rsidRPr="00853D25">
        <w:t xml:space="preserve"> the trends of SWD </w:t>
      </w:r>
      <w:r>
        <w:t>achievement in reading and mathematics</w:t>
      </w:r>
      <w:r w:rsidRPr="00853D25">
        <w:t xml:space="preserve"> </w:t>
      </w:r>
      <w:r w:rsidRPr="001C2897">
        <w:t>between 2005–06 and 2009–10</w:t>
      </w:r>
      <w:r>
        <w:t xml:space="preserve"> </w:t>
      </w:r>
      <w:r w:rsidRPr="00853D25">
        <w:t>in schools</w:t>
      </w:r>
      <w:r>
        <w:t xml:space="preserve"> </w:t>
      </w:r>
      <w:r w:rsidRPr="001C2897">
        <w:t>accountable for SWD performance</w:t>
      </w:r>
      <w:r>
        <w:t xml:space="preserve"> in selected states</w:t>
      </w:r>
      <w:r w:rsidRPr="001C2897">
        <w:t xml:space="preserve">? </w:t>
      </w:r>
      <w:r>
        <w:t xml:space="preserve">Did similar trends occur in other schools in these states? </w:t>
      </w:r>
    </w:p>
    <w:p w:rsidR="00273C77" w:rsidRPr="001C2897" w:rsidRDefault="00273C77" w:rsidP="003070F9">
      <w:pPr>
        <w:pStyle w:val="PBullet"/>
      </w:pPr>
      <w:r>
        <w:t>3</w:t>
      </w:r>
      <w:r w:rsidRPr="001C2897">
        <w:t>(b). To what exten</w:t>
      </w:r>
      <w:r>
        <w:t>t</w:t>
      </w:r>
      <w:r w:rsidRPr="001C2897">
        <w:t xml:space="preserve"> did SWD achievement trends between 2005–06 and 2009–10 differ between schools with different levels of poverty and minority concentration among school accountable for SWD performance</w:t>
      </w:r>
      <w:r>
        <w:t xml:space="preserve"> in selected states</w:t>
      </w:r>
      <w:r w:rsidRPr="001C2897">
        <w:t xml:space="preserve">? </w:t>
      </w:r>
    </w:p>
    <w:p w:rsidR="00273C77" w:rsidRPr="001C2897" w:rsidRDefault="00273C77" w:rsidP="003070F9">
      <w:pPr>
        <w:pStyle w:val="PBullet"/>
      </w:pPr>
      <w:r>
        <w:t>3</w:t>
      </w:r>
      <w:r w:rsidRPr="001C2897">
        <w:t>(c). To what exten</w:t>
      </w:r>
      <w:r>
        <w:t>t</w:t>
      </w:r>
      <w:r w:rsidRPr="001C2897">
        <w:t xml:space="preserve"> did the achievement trends between 2005–06 and 2009–10 for SWDs differ from the corresponding trends for non-disabled students in schools </w:t>
      </w:r>
      <w:r>
        <w:t>accountable for SWD performance in selected states</w:t>
      </w:r>
      <w:r w:rsidRPr="001C2897">
        <w:t xml:space="preserve">? </w:t>
      </w:r>
    </w:p>
    <w:p w:rsidR="00273C77" w:rsidRPr="001C2897" w:rsidRDefault="00273C77" w:rsidP="003070F9">
      <w:pPr>
        <w:pStyle w:val="PBullet"/>
      </w:pPr>
      <w:r>
        <w:t>3</w:t>
      </w:r>
      <w:r w:rsidRPr="001C2897">
        <w:t xml:space="preserve">(d). To </w:t>
      </w:r>
      <w:r w:rsidRPr="003070F9">
        <w:t>what</w:t>
      </w:r>
      <w:r w:rsidRPr="001C2897">
        <w:t xml:space="preserve"> exten</w:t>
      </w:r>
      <w:r>
        <w:t>t</w:t>
      </w:r>
      <w:r w:rsidRPr="001C2897">
        <w:t xml:space="preserve"> were changes in achievement between 2005–06 and 2009–10 for SWDs associated with corresponding changes for non-disabled students in schools accountable for SWD performance</w:t>
      </w:r>
      <w:r>
        <w:t xml:space="preserve"> in selected states</w:t>
      </w:r>
      <w:r w:rsidRPr="001C2897">
        <w:t xml:space="preserve">? </w:t>
      </w:r>
    </w:p>
    <w:p w:rsidR="00273C77" w:rsidRDefault="00273C77" w:rsidP="0009086A">
      <w:pPr>
        <w:pStyle w:val="PBullet"/>
        <w:rPr>
          <w:i/>
        </w:rPr>
      </w:pPr>
      <w:r>
        <w:t>3</w:t>
      </w:r>
      <w:r w:rsidRPr="00853D25">
        <w:t>(</w:t>
      </w:r>
      <w:r>
        <w:t>e</w:t>
      </w:r>
      <w:r w:rsidRPr="00853D25">
        <w:t xml:space="preserve">). </w:t>
      </w:r>
      <w:r w:rsidRPr="0009086A">
        <w:t>What were the trends of SWD achievement in mathematics and read</w:t>
      </w:r>
      <w:r>
        <w:t xml:space="preserve">ing between </w:t>
      </w:r>
      <w:r>
        <w:br/>
        <w:t>2005–06 and 2009–10</w:t>
      </w:r>
      <w:r w:rsidRPr="0009086A">
        <w:t xml:space="preserve"> in SWD-accountable schools that were identified for school improvement and SWD-accountable schools that were never identified for improvement in selected states?</w:t>
      </w:r>
      <w:r w:rsidRPr="0009086A">
        <w:rPr>
          <w:i/>
        </w:rPr>
        <w:t xml:space="preserve"> </w:t>
      </w:r>
    </w:p>
    <w:p w:rsidR="00273C77" w:rsidRPr="0009086A" w:rsidRDefault="00273C77" w:rsidP="0009086A">
      <w:pPr>
        <w:pStyle w:val="AIRBullet1-Last"/>
        <w:numPr>
          <w:ilvl w:val="0"/>
          <w:numId w:val="41"/>
        </w:numPr>
        <w:tabs>
          <w:tab w:val="clear" w:pos="360"/>
          <w:tab w:val="left" w:pos="720"/>
        </w:tabs>
        <w:rPr>
          <w:i/>
        </w:rPr>
      </w:pPr>
      <w:r>
        <w:t xml:space="preserve">3(f). </w:t>
      </w:r>
      <w:r w:rsidRPr="0009086A">
        <w:t>To what extent did the trends of SWD achievement in mathematics and rea</w:t>
      </w:r>
      <w:r>
        <w:t>ding between 2005–06 and 2009–10</w:t>
      </w:r>
      <w:r w:rsidRPr="0009086A">
        <w:t xml:space="preserve"> in SWD-accountable schools identified for school improvement differ from corresponding trends in never-identified schools in selected states?</w:t>
      </w:r>
      <w:r w:rsidRPr="00C468DA">
        <w:rPr>
          <w:i/>
        </w:rPr>
        <w:t xml:space="preserve"> </w:t>
      </w:r>
    </w:p>
    <w:p w:rsidR="00273C77" w:rsidRDefault="00273C77" w:rsidP="003070F9">
      <w:pPr>
        <w:pStyle w:val="PBodyText"/>
      </w:pPr>
      <w:r w:rsidRPr="00853D25">
        <w:t xml:space="preserve">Data to address the research questions above will come primarily from </w:t>
      </w:r>
      <w:r>
        <w:t>the</w:t>
      </w:r>
      <w:r w:rsidRPr="00853D25">
        <w:t xml:space="preserve"> ED</w:t>
      </w:r>
      <w:r w:rsidRPr="00226D67">
        <w:rPr>
          <w:i/>
        </w:rPr>
        <w:t>Facts</w:t>
      </w:r>
      <w:r w:rsidRPr="00853D25">
        <w:t xml:space="preserve"> </w:t>
      </w:r>
      <w:r>
        <w:t xml:space="preserve">data </w:t>
      </w:r>
      <w:r w:rsidRPr="00853D25">
        <w:t>system</w:t>
      </w:r>
      <w:r>
        <w:t>, the NAYPI database created and maintained by AIR,</w:t>
      </w:r>
      <w:r w:rsidRPr="00853D25">
        <w:t xml:space="preserve"> and a school survey that has been developed specifically for this study. In addition, we will explore the possibility of obtaining student-level longitudinal data from </w:t>
      </w:r>
      <w:r>
        <w:t>up to two</w:t>
      </w:r>
      <w:r w:rsidRPr="00853D25">
        <w:t xml:space="preserve"> states for examining the trends of SWD outcomes.</w:t>
      </w:r>
      <w:r>
        <w:t xml:space="preserve"> We will analyze the data for each state in our study sample separately and will also pool data across states where appropriate. </w:t>
      </w:r>
    </w:p>
    <w:p w:rsidR="00273C77" w:rsidRPr="00853D25" w:rsidRDefault="00273C77" w:rsidP="003070F9">
      <w:pPr>
        <w:pStyle w:val="PBodyText"/>
      </w:pPr>
      <w:r w:rsidRPr="00853D25">
        <w:t xml:space="preserve">In the remainder of this document, we </w:t>
      </w:r>
      <w:r>
        <w:t>discuss</w:t>
      </w:r>
      <w:r w:rsidRPr="00853D25">
        <w:t xml:space="preserve"> our approaches to addressing the </w:t>
      </w:r>
      <w:r>
        <w:t>three</w:t>
      </w:r>
      <w:r w:rsidRPr="00853D25">
        <w:t xml:space="preserve"> sets of research questions guiding this study. We first define our study sample, then explain our data collection plan, and finally describe the types of data analyses that we will perform to address each research question. </w:t>
      </w:r>
    </w:p>
    <w:p w:rsidR="00273C77" w:rsidRDefault="00273C77" w:rsidP="003070F9">
      <w:pPr>
        <w:pStyle w:val="Heading2"/>
      </w:pPr>
      <w:bookmarkStart w:id="24" w:name="_Toc271899433"/>
      <w:bookmarkStart w:id="25" w:name="_Toc280106385"/>
      <w:r w:rsidRPr="002B49E2">
        <w:t>Sampling Design</w:t>
      </w:r>
      <w:bookmarkEnd w:id="18"/>
      <w:bookmarkEnd w:id="24"/>
      <w:bookmarkEnd w:id="25"/>
    </w:p>
    <w:p w:rsidR="00273C77" w:rsidRDefault="00273C77" w:rsidP="003070F9">
      <w:pPr>
        <w:pStyle w:val="PBodyText"/>
      </w:pPr>
      <w:r>
        <w:t xml:space="preserve">The main components of this study are presented in Exhibit 2 along with the proposed sample. A detailed discussion of our sampling design is provided in the Supporting Statement for Paperwork Reduction Act Submission, Part B section of this package. </w:t>
      </w:r>
    </w:p>
    <w:p w:rsidR="00273C77" w:rsidRPr="00CA70F1" w:rsidRDefault="00273C77" w:rsidP="00CA70F1">
      <w:r>
        <w:br w:type="page"/>
      </w:r>
    </w:p>
    <w:p w:rsidR="00273C77" w:rsidRPr="00C15C08" w:rsidRDefault="00273C77" w:rsidP="00BE15B9">
      <w:pPr>
        <w:pStyle w:val="PExhibitTitle"/>
      </w:pPr>
      <w:bookmarkStart w:id="26" w:name="_Toc280106415"/>
      <w:r>
        <w:t>Exhibit 2</w:t>
      </w:r>
      <w:r w:rsidRPr="00C15C08">
        <w:t>. Main Study Components and Proposed Sample</w:t>
      </w:r>
      <w:bookmarkEnd w:id="2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tblPr>
      <w:tblGrid>
        <w:gridCol w:w="2358"/>
        <w:gridCol w:w="7218"/>
      </w:tblGrid>
      <w:tr w:rsidR="00273C77" w:rsidRPr="003A12F2" w:rsidTr="00BE15B9">
        <w:tc>
          <w:tcPr>
            <w:tcW w:w="2358" w:type="dxa"/>
            <w:shd w:val="clear" w:color="auto" w:fill="808080"/>
            <w:vAlign w:val="center"/>
          </w:tcPr>
          <w:p w:rsidR="00273C77" w:rsidRPr="00C15C08" w:rsidRDefault="00273C77" w:rsidP="00BE15B9">
            <w:pPr>
              <w:pStyle w:val="PTableHeading"/>
            </w:pPr>
            <w:r w:rsidRPr="00C15C08">
              <w:t>Study Component</w:t>
            </w:r>
          </w:p>
        </w:tc>
        <w:tc>
          <w:tcPr>
            <w:tcW w:w="7218" w:type="dxa"/>
            <w:shd w:val="clear" w:color="auto" w:fill="808080"/>
            <w:vAlign w:val="center"/>
          </w:tcPr>
          <w:p w:rsidR="00273C77" w:rsidRPr="00C15C08" w:rsidRDefault="00273C77" w:rsidP="00BE15B9">
            <w:pPr>
              <w:pStyle w:val="PTableHeading"/>
            </w:pPr>
            <w:r w:rsidRPr="00C15C08">
              <w:t>Sample</w:t>
            </w:r>
          </w:p>
        </w:tc>
      </w:tr>
      <w:tr w:rsidR="00273C77" w:rsidRPr="003A12F2" w:rsidTr="00BE15B9">
        <w:tc>
          <w:tcPr>
            <w:tcW w:w="2358" w:type="dxa"/>
          </w:tcPr>
          <w:p w:rsidR="00273C77" w:rsidRDefault="00273C77" w:rsidP="00BE15B9">
            <w:pPr>
              <w:pStyle w:val="PTableText"/>
            </w:pPr>
            <w:r w:rsidRPr="004A2A9E">
              <w:t>School-level analyses of inclusion of SWDs in accountability system and school AYP performance</w:t>
            </w:r>
          </w:p>
          <w:p w:rsidR="00273C77" w:rsidRPr="00BE15B9" w:rsidRDefault="00273C77" w:rsidP="00BE15B9">
            <w:pPr>
              <w:pStyle w:val="PTableText"/>
            </w:pPr>
            <w:r>
              <w:t>(for both interim and final study reports)</w:t>
            </w:r>
          </w:p>
        </w:tc>
        <w:tc>
          <w:tcPr>
            <w:tcW w:w="7218" w:type="dxa"/>
          </w:tcPr>
          <w:p w:rsidR="00273C77" w:rsidRPr="00965A9B" w:rsidRDefault="00273C77" w:rsidP="00BE15B9">
            <w:pPr>
              <w:pStyle w:val="PTableHeading2"/>
            </w:pPr>
            <w:r w:rsidRPr="00965A9B">
              <w:t xml:space="preserve">For the interim study report: </w:t>
            </w:r>
          </w:p>
          <w:p w:rsidR="00273C77" w:rsidRDefault="00273C77" w:rsidP="00BE15B9">
            <w:pPr>
              <w:pStyle w:val="PTableBullet1"/>
            </w:pPr>
            <w:r w:rsidRPr="00B4407F">
              <w:t xml:space="preserve">All 67,596 public schools in 40 states that reported </w:t>
            </w:r>
            <w:r w:rsidRPr="001D014B">
              <w:t>to ED</w:t>
            </w:r>
            <w:r w:rsidRPr="001D014B">
              <w:rPr>
                <w:i/>
              </w:rPr>
              <w:t>Facts</w:t>
            </w:r>
            <w:r w:rsidRPr="00BE15B9">
              <w:t xml:space="preserve"> </w:t>
            </w:r>
            <w:r w:rsidRPr="00B4407F">
              <w:t>the relevant accountability and performance data for 2008–09</w:t>
            </w:r>
          </w:p>
          <w:p w:rsidR="00273C77" w:rsidRPr="00965A9B" w:rsidRDefault="00273C77" w:rsidP="00BE15B9">
            <w:pPr>
              <w:pStyle w:val="PTableHeading2"/>
            </w:pPr>
            <w:r w:rsidRPr="00965A9B">
              <w:t xml:space="preserve">For the final study report: </w:t>
            </w:r>
          </w:p>
          <w:p w:rsidR="00273C77" w:rsidRPr="00167F31" w:rsidRDefault="00273C77" w:rsidP="00167F31">
            <w:pPr>
              <w:pStyle w:val="PTableBullet1"/>
            </w:pPr>
            <w:r w:rsidRPr="00B4407F">
              <w:t xml:space="preserve">All public schools in states that reported to </w:t>
            </w:r>
            <w:r w:rsidRPr="001D014B">
              <w:t>ED</w:t>
            </w:r>
            <w:r w:rsidRPr="001D014B">
              <w:rPr>
                <w:i/>
              </w:rPr>
              <w:t>Facts</w:t>
            </w:r>
            <w:r w:rsidRPr="00BE15B9">
              <w:t xml:space="preserve"> </w:t>
            </w:r>
            <w:r w:rsidRPr="00B4407F">
              <w:t>the relevant accountability and performance data for 2009–10</w:t>
            </w:r>
          </w:p>
        </w:tc>
      </w:tr>
      <w:tr w:rsidR="00273C77" w:rsidRPr="003A12F2" w:rsidTr="00BE15B9">
        <w:tc>
          <w:tcPr>
            <w:tcW w:w="2358" w:type="dxa"/>
          </w:tcPr>
          <w:p w:rsidR="00273C77" w:rsidRDefault="00273C77" w:rsidP="00BE15B9">
            <w:pPr>
              <w:pStyle w:val="PTableText"/>
            </w:pPr>
            <w:r>
              <w:t xml:space="preserve">School-level achievement data analyses </w:t>
            </w:r>
          </w:p>
          <w:p w:rsidR="00273C77" w:rsidRPr="00C15C08" w:rsidRDefault="00273C77" w:rsidP="00BE15B9">
            <w:pPr>
              <w:pStyle w:val="PTableText"/>
            </w:pPr>
            <w:r>
              <w:t>(for both interim and final study reports)</w:t>
            </w:r>
          </w:p>
        </w:tc>
        <w:tc>
          <w:tcPr>
            <w:tcW w:w="7218" w:type="dxa"/>
          </w:tcPr>
          <w:p w:rsidR="00273C77" w:rsidRPr="00965A9B" w:rsidRDefault="00273C77" w:rsidP="00BE15B9">
            <w:pPr>
              <w:pStyle w:val="PTableHeading2"/>
            </w:pPr>
            <w:r w:rsidRPr="00965A9B">
              <w:t xml:space="preserve">For the interim study report: </w:t>
            </w:r>
          </w:p>
          <w:p w:rsidR="00273C77" w:rsidRPr="00BE15B9" w:rsidRDefault="00273C77" w:rsidP="00BE15B9">
            <w:pPr>
              <w:pStyle w:val="PTableBullet1"/>
            </w:pPr>
            <w:r w:rsidRPr="00BE15B9">
              <w:t xml:space="preserve">Elementary-school sample: A total of 2,553 accountable elementary schools in the </w:t>
            </w:r>
            <w:r>
              <w:t>11</w:t>
            </w:r>
            <w:r w:rsidRPr="00BE15B9">
              <w:t xml:space="preserve"> states that have at least 50 elementary schools accountable for SWD performance and that have reading achievement data and/or mathematics achievement data from 2005–06 through 2007–08 </w:t>
            </w:r>
            <w:r>
              <w:t>for grades 3–</w:t>
            </w:r>
            <w:r w:rsidRPr="00BE15B9">
              <w:t>5</w:t>
            </w:r>
          </w:p>
          <w:p w:rsidR="00273C77" w:rsidRDefault="00273C77" w:rsidP="00BE15B9">
            <w:pPr>
              <w:pStyle w:val="PTableBullet1"/>
            </w:pPr>
            <w:r>
              <w:t xml:space="preserve">Middle-school sample: </w:t>
            </w:r>
            <w:r w:rsidRPr="00E313AA">
              <w:t>A total of 1,278 accountable middle schools in the 8 states that have at least 50</w:t>
            </w:r>
            <w:r>
              <w:t> </w:t>
            </w:r>
            <w:r w:rsidRPr="00E313AA">
              <w:t xml:space="preserve">middle schools accountable for SWD performance </w:t>
            </w:r>
            <w:r>
              <w:t xml:space="preserve">and </w:t>
            </w:r>
            <w:r w:rsidRPr="00E313AA">
              <w:t xml:space="preserve">that have reading achievement data and/or mathematics achievement data from 2005–06 through 2007–08 </w:t>
            </w:r>
            <w:r>
              <w:t>for grades 6–</w:t>
            </w:r>
            <w:r w:rsidRPr="00E313AA">
              <w:t>8</w:t>
            </w:r>
          </w:p>
          <w:p w:rsidR="00273C77" w:rsidRPr="00965A9B" w:rsidRDefault="00273C77" w:rsidP="00BE15B9">
            <w:pPr>
              <w:pStyle w:val="PTableHeading2"/>
            </w:pPr>
            <w:r w:rsidRPr="00965A9B">
              <w:t xml:space="preserve">For the final study report: </w:t>
            </w:r>
          </w:p>
          <w:p w:rsidR="00273C77" w:rsidRPr="00E313AA" w:rsidRDefault="00273C77" w:rsidP="00BE15B9">
            <w:pPr>
              <w:pStyle w:val="PTableBullet1"/>
            </w:pPr>
            <w:r w:rsidRPr="00E313AA">
              <w:t xml:space="preserve">A </w:t>
            </w:r>
            <w:r>
              <w:t xml:space="preserve">subset of the schools in the </w:t>
            </w:r>
            <w:r w:rsidRPr="00E313AA">
              <w:t>elementary</w:t>
            </w:r>
            <w:r>
              <w:t>-</w:t>
            </w:r>
            <w:r w:rsidRPr="00E313AA">
              <w:t>school</w:t>
            </w:r>
            <w:r>
              <w:t xml:space="preserve"> sample for the interim report that have </w:t>
            </w:r>
            <w:r w:rsidRPr="00E313AA">
              <w:t>reading achievement data and/or mathematics achievement data from 2005–06 through 200</w:t>
            </w:r>
            <w:r>
              <w:t>9</w:t>
            </w:r>
            <w:r w:rsidRPr="00E313AA">
              <w:t>–</w:t>
            </w:r>
            <w:r>
              <w:t>10 for grades 3–</w:t>
            </w:r>
            <w:r w:rsidRPr="00E313AA">
              <w:t>5</w:t>
            </w:r>
          </w:p>
          <w:p w:rsidR="00273C77" w:rsidRPr="00BE15B9" w:rsidRDefault="00273C77" w:rsidP="00BE15B9">
            <w:pPr>
              <w:pStyle w:val="PTableBullet1"/>
            </w:pPr>
            <w:r w:rsidRPr="00996E25">
              <w:t>A subset of the schools in the middle-school sample for the interim report that have reading achievement data and/or mathematics achievement data from 2005–</w:t>
            </w:r>
            <w:r>
              <w:t>06 through 2009–10 for grades 6–</w:t>
            </w:r>
            <w:r w:rsidRPr="00996E25">
              <w:t>8</w:t>
            </w:r>
          </w:p>
        </w:tc>
      </w:tr>
      <w:tr w:rsidR="00273C77" w:rsidRPr="003A12F2" w:rsidTr="00BE15B9">
        <w:tc>
          <w:tcPr>
            <w:tcW w:w="2358" w:type="dxa"/>
          </w:tcPr>
          <w:p w:rsidR="00273C77" w:rsidRDefault="00273C77" w:rsidP="00BE15B9">
            <w:pPr>
              <w:pStyle w:val="PTableText"/>
            </w:pPr>
            <w:r>
              <w:t xml:space="preserve">Student-level achievement data analyses </w:t>
            </w:r>
          </w:p>
          <w:p w:rsidR="00273C77" w:rsidRDefault="00273C77" w:rsidP="00BE15B9">
            <w:pPr>
              <w:pStyle w:val="PTableText"/>
            </w:pPr>
            <w:r>
              <w:t>(for final study report)</w:t>
            </w:r>
          </w:p>
        </w:tc>
        <w:tc>
          <w:tcPr>
            <w:tcW w:w="7218" w:type="dxa"/>
          </w:tcPr>
          <w:p w:rsidR="00273C77" w:rsidRPr="00E313AA" w:rsidRDefault="00273C77" w:rsidP="00BE15B9">
            <w:pPr>
              <w:pStyle w:val="PTableText"/>
            </w:pPr>
            <w:r w:rsidRPr="00E313AA">
              <w:t xml:space="preserve">Grades 3–5 students in </w:t>
            </w:r>
            <w:r>
              <w:t>elementary schools and grades 6–</w:t>
            </w:r>
            <w:r w:rsidRPr="00E313AA">
              <w:t>8 students in middle schools from a purposive sample of up to two states</w:t>
            </w:r>
          </w:p>
        </w:tc>
      </w:tr>
      <w:tr w:rsidR="00273C77" w:rsidRPr="003A12F2" w:rsidTr="00BE15B9">
        <w:tc>
          <w:tcPr>
            <w:tcW w:w="2358" w:type="dxa"/>
          </w:tcPr>
          <w:p w:rsidR="00273C77" w:rsidRDefault="00273C77" w:rsidP="00BE15B9">
            <w:pPr>
              <w:pStyle w:val="PTableText"/>
            </w:pPr>
            <w:r>
              <w:t xml:space="preserve">School survey </w:t>
            </w:r>
          </w:p>
          <w:p w:rsidR="00273C77" w:rsidRDefault="00273C77" w:rsidP="00BE15B9">
            <w:pPr>
              <w:pStyle w:val="PTableText"/>
            </w:pPr>
            <w:r>
              <w:t>(for final study report)</w:t>
            </w:r>
          </w:p>
        </w:tc>
        <w:tc>
          <w:tcPr>
            <w:tcW w:w="7218" w:type="dxa"/>
          </w:tcPr>
          <w:p w:rsidR="00273C77" w:rsidRDefault="00273C77" w:rsidP="00BE15B9">
            <w:pPr>
              <w:pStyle w:val="PTableText"/>
            </w:pPr>
            <w:r>
              <w:t xml:space="preserve">A </w:t>
            </w:r>
            <w:r w:rsidRPr="001715AC">
              <w:t>sample of 4,7</w:t>
            </w:r>
            <w:r>
              <w:t>25</w:t>
            </w:r>
            <w:r w:rsidRPr="001715AC">
              <w:t xml:space="preserve"> elementary schools and </w:t>
            </w:r>
            <w:r>
              <w:t>1,9</w:t>
            </w:r>
            <w:r w:rsidRPr="001715AC">
              <w:t>1</w:t>
            </w:r>
            <w:r>
              <w:t>3</w:t>
            </w:r>
            <w:r w:rsidRPr="001715AC">
              <w:t xml:space="preserve"> middle schools</w:t>
            </w:r>
            <w:r>
              <w:t xml:space="preserve">, </w:t>
            </w:r>
            <w:r w:rsidRPr="001715AC">
              <w:t xml:space="preserve">with the goal of receiving </w:t>
            </w:r>
            <w:r>
              <w:t>7</w:t>
            </w:r>
            <w:r w:rsidRPr="001715AC">
              <w:t>,</w:t>
            </w:r>
            <w:r>
              <w:t>560</w:t>
            </w:r>
            <w:r w:rsidRPr="001715AC">
              <w:t xml:space="preserve"> completed survey responses </w:t>
            </w:r>
            <w:r>
              <w:t xml:space="preserve">(two responses per school—one from the principal and one from the special education designee) </w:t>
            </w:r>
            <w:r w:rsidRPr="001715AC">
              <w:t xml:space="preserve">from the sampled elementary schools and </w:t>
            </w:r>
            <w:r>
              <w:t>3</w:t>
            </w:r>
            <w:r w:rsidRPr="001715AC">
              <w:t>,</w:t>
            </w:r>
            <w:r>
              <w:t>060</w:t>
            </w:r>
            <w:r w:rsidRPr="001715AC">
              <w:t xml:space="preserve"> completed survey responses from the sampled middle schools</w:t>
            </w:r>
            <w:r>
              <w:t xml:space="preserve"> (a response rate of 80%)</w:t>
            </w:r>
          </w:p>
        </w:tc>
      </w:tr>
    </w:tbl>
    <w:p w:rsidR="00273C77" w:rsidRDefault="00273C77" w:rsidP="00BB7B7C">
      <w:pPr>
        <w:pStyle w:val="PTableText"/>
      </w:pPr>
    </w:p>
    <w:p w:rsidR="00273C77" w:rsidRDefault="00273C77" w:rsidP="00BE15B9">
      <w:pPr>
        <w:pStyle w:val="Heading2"/>
      </w:pPr>
      <w:bookmarkStart w:id="27" w:name="_Toc271899434"/>
      <w:bookmarkStart w:id="28" w:name="_Toc280106386"/>
      <w:r w:rsidRPr="002B49E2">
        <w:t>Data Collection Procedures</w:t>
      </w:r>
      <w:bookmarkEnd w:id="27"/>
      <w:bookmarkEnd w:id="28"/>
    </w:p>
    <w:p w:rsidR="00273C77" w:rsidRDefault="00273C77" w:rsidP="00BB7B7C">
      <w:pPr>
        <w:pStyle w:val="PBodyText"/>
        <w:rPr>
          <w:b/>
        </w:rPr>
      </w:pPr>
      <w:bookmarkStart w:id="29" w:name="_Toc239221858"/>
      <w:r>
        <w:t>T</w:t>
      </w:r>
      <w:r w:rsidRPr="00867AC3">
        <w:t xml:space="preserve">his study </w:t>
      </w:r>
      <w:r>
        <w:t xml:space="preserve">will collect extant </w:t>
      </w:r>
      <w:r w:rsidRPr="00867AC3">
        <w:t xml:space="preserve">school-level and student-level achievement data and </w:t>
      </w:r>
      <w:r>
        <w:t>administer a principal</w:t>
      </w:r>
      <w:r w:rsidRPr="00867AC3">
        <w:t xml:space="preserve"> survey</w:t>
      </w:r>
      <w:r>
        <w:t xml:space="preserve"> and a special education designee survey</w:t>
      </w:r>
      <w:r w:rsidRPr="00867AC3">
        <w:t xml:space="preserve">. </w:t>
      </w:r>
      <w:r>
        <w:t>O</w:t>
      </w:r>
      <w:r w:rsidRPr="00867AC3">
        <w:t>nly the survey</w:t>
      </w:r>
      <w:r>
        <w:t xml:space="preserve"> instruments, which are included as separate documents in this OMB package,</w:t>
      </w:r>
      <w:r w:rsidRPr="00867AC3">
        <w:t xml:space="preserve"> require </w:t>
      </w:r>
      <w:r>
        <w:t xml:space="preserve">OMB </w:t>
      </w:r>
      <w:r w:rsidRPr="00867AC3">
        <w:t>clearance. Exhibit 3 presents a summary of our data collection procedures. A more</w:t>
      </w:r>
      <w:r>
        <w:t>-</w:t>
      </w:r>
      <w:r w:rsidRPr="00867AC3">
        <w:t xml:space="preserve">detailed discussion of these procedures is provided in the Supporting Statement for Paperwork Reduction Act Submission, Part B section of this package. </w:t>
      </w:r>
    </w:p>
    <w:p w:rsidR="00273C77" w:rsidRPr="00732766" w:rsidRDefault="00273C77" w:rsidP="00BB7B7C">
      <w:pPr>
        <w:pStyle w:val="PExhibitTitle"/>
        <w:pageBreakBefore/>
      </w:pPr>
      <w:bookmarkStart w:id="30" w:name="_Toc232600286"/>
      <w:bookmarkStart w:id="31" w:name="_Toc280106416"/>
      <w:r w:rsidRPr="00732766">
        <w:t>Exhibit 3. Summary of Data Collection Procedures</w:t>
      </w:r>
      <w:bookmarkEnd w:id="30"/>
      <w:bookmarkEnd w:id="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tblPr>
      <w:tblGrid>
        <w:gridCol w:w="1853"/>
        <w:gridCol w:w="6362"/>
        <w:gridCol w:w="1375"/>
      </w:tblGrid>
      <w:tr w:rsidR="00273C77" w:rsidRPr="003A12F2" w:rsidTr="00BB7B7C">
        <w:tc>
          <w:tcPr>
            <w:tcW w:w="1853" w:type="dxa"/>
            <w:shd w:val="clear" w:color="auto" w:fill="808080"/>
            <w:vAlign w:val="center"/>
          </w:tcPr>
          <w:p w:rsidR="00273C77" w:rsidRPr="003D7740" w:rsidRDefault="00273C77" w:rsidP="00BB7B7C">
            <w:pPr>
              <w:pStyle w:val="PTableHeading"/>
            </w:pPr>
            <w:r w:rsidRPr="003D7740">
              <w:t>Study Component</w:t>
            </w:r>
          </w:p>
        </w:tc>
        <w:tc>
          <w:tcPr>
            <w:tcW w:w="6362" w:type="dxa"/>
            <w:shd w:val="clear" w:color="auto" w:fill="808080"/>
            <w:vAlign w:val="center"/>
          </w:tcPr>
          <w:p w:rsidR="00273C77" w:rsidRPr="003D7740" w:rsidRDefault="00273C77" w:rsidP="00BB7B7C">
            <w:pPr>
              <w:pStyle w:val="PTableHeading"/>
            </w:pPr>
            <w:r w:rsidRPr="003D7740">
              <w:t>Data Sources</w:t>
            </w:r>
          </w:p>
        </w:tc>
        <w:tc>
          <w:tcPr>
            <w:tcW w:w="1375" w:type="dxa"/>
            <w:shd w:val="clear" w:color="auto" w:fill="808080"/>
            <w:vAlign w:val="center"/>
          </w:tcPr>
          <w:p w:rsidR="00273C77" w:rsidRPr="003D7740" w:rsidRDefault="00273C77" w:rsidP="00BB7B7C">
            <w:pPr>
              <w:pStyle w:val="PTableHeading"/>
            </w:pPr>
            <w:r>
              <w:t xml:space="preserve">Data Collection </w:t>
            </w:r>
            <w:r w:rsidRPr="003D7740">
              <w:t>Timeline</w:t>
            </w:r>
          </w:p>
        </w:tc>
      </w:tr>
      <w:tr w:rsidR="00273C77" w:rsidRPr="003A12F2" w:rsidTr="00BB7B7C">
        <w:tc>
          <w:tcPr>
            <w:tcW w:w="1853" w:type="dxa"/>
          </w:tcPr>
          <w:p w:rsidR="00273C77" w:rsidRPr="00BB7B7C" w:rsidRDefault="00273C77" w:rsidP="00BB7B7C">
            <w:pPr>
              <w:pStyle w:val="PTableText"/>
            </w:pPr>
            <w:r w:rsidRPr="00BB7B7C">
              <w:t>School-level analyses of inclusion of SWDs in accountability system and school AYP performance</w:t>
            </w:r>
          </w:p>
        </w:tc>
        <w:tc>
          <w:tcPr>
            <w:tcW w:w="6362" w:type="dxa"/>
          </w:tcPr>
          <w:p w:rsidR="00273C77" w:rsidRPr="00BB7B7C" w:rsidRDefault="00273C77" w:rsidP="00BB7B7C">
            <w:pPr>
              <w:pStyle w:val="PTableBullet1"/>
            </w:pPr>
            <w:r w:rsidRPr="00BB7B7C">
              <w:t>ED</w:t>
            </w:r>
            <w:r w:rsidRPr="00B5552A">
              <w:rPr>
                <w:i/>
              </w:rPr>
              <w:t>Facts</w:t>
            </w:r>
            <w:r w:rsidRPr="00BB7B7C">
              <w:rPr>
                <w:i/>
              </w:rPr>
              <w:t xml:space="preserve"> </w:t>
            </w:r>
            <w:r w:rsidRPr="00BB7B7C">
              <w:t xml:space="preserve">(2005–06 </w:t>
            </w:r>
            <w:r>
              <w:t>through</w:t>
            </w:r>
            <w:r w:rsidRPr="00BB7B7C">
              <w:t xml:space="preserve"> 2009–10 school years) </w:t>
            </w:r>
            <w:r w:rsidRPr="00BB7B7C">
              <w:br/>
            </w:r>
            <w:hyperlink r:id="rId21" w:history="1">
              <w:r w:rsidRPr="00BB7B7C">
                <w:rPr>
                  <w:rStyle w:val="Hyperlink"/>
                  <w:rFonts w:cs="Arial"/>
                </w:rPr>
                <w:t>http://www.ed.gov/about/inits/ed/edfacts/index.html</w:t>
              </w:r>
            </w:hyperlink>
          </w:p>
          <w:p w:rsidR="00273C77" w:rsidRPr="00BB7B7C" w:rsidRDefault="00273C77" w:rsidP="00BB7B7C">
            <w:pPr>
              <w:pStyle w:val="PTableBullet1"/>
            </w:pPr>
            <w:r w:rsidRPr="00BB7B7C">
              <w:t>National Adequate Yearly Progress and Identification (NAYPI) data (2005–06 school year) compiled by AIR</w:t>
            </w:r>
            <w:r w:rsidRPr="00BB7B7C">
              <w:br/>
            </w:r>
            <w:hyperlink r:id="rId22" w:history="1">
              <w:r w:rsidRPr="00BB7B7C">
                <w:rPr>
                  <w:rStyle w:val="Hyperlink"/>
                  <w:rFonts w:cs="Arial"/>
                </w:rPr>
                <w:t>http://www.air.org/focus-area/education/index.cfm?fa=viewContent&amp;content_id=860</w:t>
              </w:r>
            </w:hyperlink>
          </w:p>
        </w:tc>
        <w:tc>
          <w:tcPr>
            <w:tcW w:w="1375" w:type="dxa"/>
          </w:tcPr>
          <w:p w:rsidR="00273C77" w:rsidRPr="00BB7B7C" w:rsidRDefault="00273C77" w:rsidP="00BB7B7C">
            <w:pPr>
              <w:pStyle w:val="PTableText"/>
              <w:rPr>
                <w:highlight w:val="yellow"/>
              </w:rPr>
            </w:pPr>
            <w:r w:rsidRPr="00BB7B7C">
              <w:t>Summer 2009–Summer 2011</w:t>
            </w:r>
          </w:p>
        </w:tc>
      </w:tr>
      <w:tr w:rsidR="00273C77" w:rsidRPr="003A12F2" w:rsidTr="00BB7B7C">
        <w:tc>
          <w:tcPr>
            <w:tcW w:w="1853" w:type="dxa"/>
          </w:tcPr>
          <w:p w:rsidR="00273C77" w:rsidRPr="00BB7B7C" w:rsidRDefault="00273C77" w:rsidP="00BB7B7C">
            <w:pPr>
              <w:pStyle w:val="PTableText"/>
            </w:pPr>
            <w:r w:rsidRPr="00BB7B7C">
              <w:t>School-level Achievement Data Analyses</w:t>
            </w:r>
          </w:p>
        </w:tc>
        <w:tc>
          <w:tcPr>
            <w:tcW w:w="6362" w:type="dxa"/>
          </w:tcPr>
          <w:p w:rsidR="00273C77" w:rsidRPr="00BB7B7C" w:rsidRDefault="00273C77" w:rsidP="00BB7B7C">
            <w:pPr>
              <w:pStyle w:val="PTableBullet1"/>
            </w:pPr>
            <w:r w:rsidRPr="00BB7B7C">
              <w:t>ED</w:t>
            </w:r>
            <w:r w:rsidRPr="00BB7B7C">
              <w:rPr>
                <w:i/>
              </w:rPr>
              <w:t xml:space="preserve">Facts </w:t>
            </w:r>
            <w:r w:rsidRPr="00BB7B7C">
              <w:t xml:space="preserve">(2005–06 </w:t>
            </w:r>
            <w:r>
              <w:t>through</w:t>
            </w:r>
            <w:r w:rsidRPr="00BB7B7C">
              <w:t xml:space="preserve"> 2009–10 school years) </w:t>
            </w:r>
            <w:r w:rsidRPr="00BB7B7C">
              <w:br/>
            </w:r>
            <w:r w:rsidRPr="00BB7B7C">
              <w:rPr>
                <w:rStyle w:val="Hyperlink"/>
                <w:rFonts w:cs="Arial"/>
              </w:rPr>
              <w:t>http://www.ed.gov/about/inits/ed/edfacts/index.html</w:t>
            </w:r>
          </w:p>
        </w:tc>
        <w:tc>
          <w:tcPr>
            <w:tcW w:w="1375" w:type="dxa"/>
          </w:tcPr>
          <w:p w:rsidR="00273C77" w:rsidRPr="00BB7B7C" w:rsidRDefault="00273C77" w:rsidP="00BB7B7C">
            <w:pPr>
              <w:pStyle w:val="PTableText"/>
              <w:rPr>
                <w:highlight w:val="yellow"/>
              </w:rPr>
            </w:pPr>
            <w:r w:rsidRPr="00BB7B7C">
              <w:t>Summer 2009–Summer 2011</w:t>
            </w:r>
          </w:p>
        </w:tc>
      </w:tr>
      <w:tr w:rsidR="00273C77" w:rsidRPr="003A12F2" w:rsidTr="00BB7B7C">
        <w:tc>
          <w:tcPr>
            <w:tcW w:w="1853" w:type="dxa"/>
          </w:tcPr>
          <w:p w:rsidR="00273C77" w:rsidRPr="00BB7B7C" w:rsidRDefault="00273C77" w:rsidP="00BB7B7C">
            <w:pPr>
              <w:pStyle w:val="PTableText"/>
            </w:pPr>
            <w:r w:rsidRPr="00BB7B7C">
              <w:t>Student-level Achievement Data Analyses</w:t>
            </w:r>
          </w:p>
        </w:tc>
        <w:tc>
          <w:tcPr>
            <w:tcW w:w="6362" w:type="dxa"/>
          </w:tcPr>
          <w:p w:rsidR="00273C77" w:rsidRPr="00BB7B7C" w:rsidRDefault="00273C77" w:rsidP="00BB7B7C">
            <w:pPr>
              <w:pStyle w:val="PTableBullet1"/>
            </w:pPr>
            <w:r w:rsidRPr="00BB7B7C">
              <w:t>Student-level longitudinally linked achievement data from a purposive sample of up to two states that have such data available</w:t>
            </w:r>
          </w:p>
        </w:tc>
        <w:tc>
          <w:tcPr>
            <w:tcW w:w="1375" w:type="dxa"/>
          </w:tcPr>
          <w:p w:rsidR="00273C77" w:rsidRPr="00BB7B7C" w:rsidRDefault="00273C77" w:rsidP="00BB7B7C">
            <w:pPr>
              <w:pStyle w:val="PTableText"/>
              <w:rPr>
                <w:highlight w:val="yellow"/>
              </w:rPr>
            </w:pPr>
            <w:r w:rsidRPr="00BB7B7C">
              <w:t>Fall 2011</w:t>
            </w:r>
          </w:p>
        </w:tc>
      </w:tr>
      <w:tr w:rsidR="00273C77" w:rsidRPr="003A12F2" w:rsidTr="00BB7B7C">
        <w:tc>
          <w:tcPr>
            <w:tcW w:w="1853" w:type="dxa"/>
          </w:tcPr>
          <w:p w:rsidR="00273C77" w:rsidRPr="00BB7B7C" w:rsidRDefault="00273C77" w:rsidP="00BB7B7C">
            <w:pPr>
              <w:pStyle w:val="PTableText"/>
            </w:pPr>
            <w:r w:rsidRPr="00BB7B7C">
              <w:t>School survey</w:t>
            </w:r>
          </w:p>
        </w:tc>
        <w:tc>
          <w:tcPr>
            <w:tcW w:w="6362" w:type="dxa"/>
          </w:tcPr>
          <w:p w:rsidR="00273C77" w:rsidRPr="00BB7B7C" w:rsidRDefault="00273C77" w:rsidP="00BB7B7C">
            <w:pPr>
              <w:pStyle w:val="PTableBullet1"/>
            </w:pPr>
            <w:r w:rsidRPr="00BB7B7C">
              <w:t xml:space="preserve">Web-based survey with paper-based follow-up administered to principals and special education designees </w:t>
            </w:r>
          </w:p>
        </w:tc>
        <w:tc>
          <w:tcPr>
            <w:tcW w:w="1375" w:type="dxa"/>
          </w:tcPr>
          <w:p w:rsidR="00273C77" w:rsidRPr="00BB7B7C" w:rsidRDefault="00273C77" w:rsidP="00BB7B7C">
            <w:pPr>
              <w:pStyle w:val="PTableText"/>
              <w:rPr>
                <w:highlight w:val="yellow"/>
              </w:rPr>
            </w:pPr>
            <w:r w:rsidRPr="00BB7B7C">
              <w:t>Spring 2011</w:t>
            </w:r>
          </w:p>
        </w:tc>
      </w:tr>
    </w:tbl>
    <w:p w:rsidR="00273C77" w:rsidRDefault="00273C77" w:rsidP="00BB7B7C">
      <w:pPr>
        <w:pStyle w:val="PTableText"/>
      </w:pPr>
      <w:bookmarkStart w:id="32" w:name="_Toc232397527"/>
      <w:bookmarkEnd w:id="29"/>
    </w:p>
    <w:p w:rsidR="00273C77" w:rsidRDefault="00273C77" w:rsidP="00BE15B9">
      <w:pPr>
        <w:pStyle w:val="Heading2"/>
      </w:pPr>
      <w:bookmarkStart w:id="33" w:name="_Toc271899435"/>
      <w:bookmarkStart w:id="34" w:name="_Toc280106387"/>
      <w:r w:rsidRPr="00C15C08">
        <w:t>Analytic Approach</w:t>
      </w:r>
      <w:bookmarkEnd w:id="32"/>
      <w:bookmarkEnd w:id="33"/>
      <w:bookmarkEnd w:id="34"/>
    </w:p>
    <w:p w:rsidR="00273C77" w:rsidRPr="00C15C08" w:rsidRDefault="00273C77" w:rsidP="00BB7B7C">
      <w:pPr>
        <w:pStyle w:val="PBodyText"/>
      </w:pPr>
      <w:r>
        <w:t>T</w:t>
      </w:r>
      <w:r w:rsidRPr="00C15C08">
        <w:t xml:space="preserve">his section </w:t>
      </w:r>
      <w:r>
        <w:t xml:space="preserve">discusses </w:t>
      </w:r>
      <w:r w:rsidRPr="00C15C08">
        <w:t>how we will analyze the data collected to address the research questions for this study</w:t>
      </w:r>
      <w:r>
        <w:t>, focusing primarily on Research Question 2 about school practices based on survey data</w:t>
      </w:r>
      <w:r w:rsidRPr="00C15C08">
        <w:t>.</w:t>
      </w:r>
      <w:r>
        <w:t xml:space="preserve"> The other two research questions will rely exclusively on extant data</w:t>
      </w:r>
      <w:r w:rsidRPr="00C15C08">
        <w:t xml:space="preserve">. </w:t>
      </w:r>
    </w:p>
    <w:p w:rsidR="00273C77" w:rsidRDefault="00273C77" w:rsidP="00BE15B9">
      <w:pPr>
        <w:pStyle w:val="Heading3"/>
      </w:pPr>
      <w:bookmarkStart w:id="35" w:name="_Toc271899436"/>
      <w:bookmarkStart w:id="36" w:name="_Toc280106388"/>
      <w:bookmarkStart w:id="37" w:name="_Toc239221863"/>
      <w:r w:rsidRPr="00A87F3A">
        <w:t>Analytic Methods for Research Question 1 (</w:t>
      </w:r>
      <w:r>
        <w:t>Inclusion of SWDs in Accountability and School AYP Performance</w:t>
      </w:r>
      <w:r w:rsidRPr="00A87F3A">
        <w:t>)</w:t>
      </w:r>
      <w:bookmarkEnd w:id="35"/>
      <w:bookmarkEnd w:id="36"/>
    </w:p>
    <w:p w:rsidR="00273C77" w:rsidRDefault="00273C77" w:rsidP="00BB7B7C">
      <w:pPr>
        <w:pStyle w:val="PBodyText"/>
      </w:pPr>
      <w:r>
        <w:t>The first set of research questions examines the inclusion of SWDs in the school accountability system and the school-level AYP determination as it relates to the performance of the SWD subgroup. These questions will rely exclusively on extant data from the ED</w:t>
      </w:r>
      <w:r w:rsidRPr="009C7E63">
        <w:rPr>
          <w:i/>
        </w:rPr>
        <w:t>Facts</w:t>
      </w:r>
      <w:r>
        <w:t xml:space="preserve"> system and the NAYPI database and will be addressed with descriptive analyses. </w:t>
      </w:r>
    </w:p>
    <w:p w:rsidR="00273C77" w:rsidRDefault="00273C77" w:rsidP="00BB7B7C">
      <w:pPr>
        <w:pStyle w:val="PBodyText"/>
      </w:pPr>
      <w:r>
        <w:t xml:space="preserve">Specifically, we will examine the percentage of public schools accountable for the performance of the SWD subgroup and the percentage of tested SWDs represented by these schools (Research Question 1(a)). We will also examine the percentage of different types of public schools (i.e., regular public schools, charter schools, special education schools, and vocational/alternative schools) that were held accountable for the performance of the SWD subgroup and the percentage of tested SWDs represented by these schools (Research Question 1(b)). In addition, we will assess the stability of schools’ accountability status over time by examining the distribution of schools that were accountable for the SWD subgroup for different numbers of years during the time period studied and by examining the percentage of schools accountable for SWDs in a given year that remained accountable in subsequent years (Research Question 1(c)). Finally,  we will calculate the percentage of public schools that missed AYP due to the performance of the SWD subgroup (either as the sole reason or one of multiple reasons) and the percentage of tested SWDs represented by these schools (Research Question 1(d)). </w:t>
      </w:r>
    </w:p>
    <w:p w:rsidR="00273C77" w:rsidRDefault="00273C77" w:rsidP="00BB7B7C">
      <w:pPr>
        <w:pStyle w:val="PBodyText"/>
      </w:pPr>
      <w:r>
        <w:t>For the interim study report, we will address the above research questions using extant data from ED</w:t>
      </w:r>
      <w:r w:rsidRPr="009C7E63">
        <w:rPr>
          <w:i/>
        </w:rPr>
        <w:t>Facts</w:t>
      </w:r>
      <w:r>
        <w:t xml:space="preserve"> and the NAYPI database between 2005–06 and 2008–09. For the final study report, we will address the research questions using data between 2005–06 and 2009–10. Depending on data availability and the specific research question addressed, the number of schools and states included in the analytic sample for a particular analysis will differ across analyses (see Part B for details about the “school accountability sample”). We will conduct each analysis both within the individual states included in the analytic sample and across all states in the analytic sample. </w:t>
      </w:r>
    </w:p>
    <w:p w:rsidR="00273C77" w:rsidRDefault="00273C77" w:rsidP="00BE15B9">
      <w:pPr>
        <w:pStyle w:val="Heading3"/>
      </w:pPr>
      <w:bookmarkStart w:id="38" w:name="_Toc271899437"/>
      <w:bookmarkStart w:id="39" w:name="_Toc280106389"/>
      <w:r w:rsidRPr="00A87F3A">
        <w:t>Analytic</w:t>
      </w:r>
      <w:r>
        <w:t xml:space="preserve"> Methods for Research Question 2</w:t>
      </w:r>
      <w:r w:rsidRPr="00A87F3A">
        <w:t xml:space="preserve"> (School Practices)</w:t>
      </w:r>
      <w:bookmarkEnd w:id="37"/>
      <w:bookmarkEnd w:id="38"/>
      <w:bookmarkEnd w:id="39"/>
    </w:p>
    <w:p w:rsidR="00273C77" w:rsidRDefault="00273C77" w:rsidP="00BB7B7C">
      <w:pPr>
        <w:pStyle w:val="Heading4"/>
      </w:pPr>
      <w:r w:rsidRPr="00732766">
        <w:t xml:space="preserve">RQ </w:t>
      </w:r>
      <w:r>
        <w:t>2</w:t>
      </w:r>
      <w:r w:rsidRPr="00732766">
        <w:t xml:space="preserve">(a). </w:t>
      </w:r>
      <w:r w:rsidRPr="009020CF">
        <w:t xml:space="preserve">What regular and special education </w:t>
      </w:r>
      <w:r w:rsidRPr="002A3FE3">
        <w:t xml:space="preserve">practices are occurring in 2010–11 in schools accountable for SWD performance and </w:t>
      </w:r>
      <w:r>
        <w:t xml:space="preserve">in </w:t>
      </w:r>
      <w:r w:rsidRPr="002A3FE3">
        <w:t xml:space="preserve">schools not accountable for SWD performance, and how to </w:t>
      </w:r>
      <w:r>
        <w:t>d</w:t>
      </w:r>
      <w:r w:rsidRPr="002A3FE3">
        <w:t>o the</w:t>
      </w:r>
      <w:r>
        <w:t>se</w:t>
      </w:r>
      <w:r w:rsidRPr="002A3FE3">
        <w:t xml:space="preserve"> practices differ between these two school groups?</w:t>
      </w:r>
    </w:p>
    <w:p w:rsidR="00273C77" w:rsidRDefault="00273C77" w:rsidP="00BB7B7C">
      <w:pPr>
        <w:pStyle w:val="PBodyText"/>
      </w:pPr>
      <w:r w:rsidRPr="00732766">
        <w:t>Exhibit</w:t>
      </w:r>
      <w:r>
        <w:t xml:space="preserve"> 11,</w:t>
      </w:r>
      <w:r w:rsidRPr="00732766">
        <w:t xml:space="preserve"> presented in the Supporting Statement for Paperwork Reduction Act Submission, Part B section of this package</w:t>
      </w:r>
      <w:r>
        <w:t>,</w:t>
      </w:r>
      <w:r w:rsidRPr="00732766">
        <w:t xml:space="preserve"> lists the </w:t>
      </w:r>
      <w:r w:rsidRPr="0081611D">
        <w:t xml:space="preserve">various types of school practices that may be associated with </w:t>
      </w:r>
      <w:r>
        <w:t xml:space="preserve">positive </w:t>
      </w:r>
      <w:r w:rsidRPr="0081611D">
        <w:t>SWD outcomes</w:t>
      </w:r>
      <w:r>
        <w:t xml:space="preserve"> based on existing research and expert opinions</w:t>
      </w:r>
      <w:r w:rsidRPr="0081611D">
        <w:t xml:space="preserve">. Under RQ </w:t>
      </w:r>
      <w:r>
        <w:t>2</w:t>
      </w:r>
      <w:r w:rsidRPr="0081611D">
        <w:t xml:space="preserve">(a), we will examine the extent to which practices are occurring in a sample of </w:t>
      </w:r>
      <w:r>
        <w:t>4,725</w:t>
      </w:r>
      <w:r w:rsidRPr="0081611D">
        <w:t xml:space="preserve"> elementary schools and </w:t>
      </w:r>
      <w:r>
        <w:t>1,913</w:t>
      </w:r>
      <w:r w:rsidRPr="0081611D">
        <w:t xml:space="preserve"> middle schools</w:t>
      </w:r>
      <w:r w:rsidRPr="00C15C08">
        <w:t xml:space="preserve"> </w:t>
      </w:r>
      <w:r>
        <w:t>accountable and not accountable for SWD subgroup performance</w:t>
      </w:r>
      <w:r w:rsidRPr="00C15C08">
        <w:t>, using data from the school survey described earlier.</w:t>
      </w:r>
      <w:r>
        <w:t xml:space="preserve"> </w:t>
      </w:r>
    </w:p>
    <w:p w:rsidR="00273C77" w:rsidRDefault="00273C77" w:rsidP="00BB7B7C">
      <w:pPr>
        <w:pStyle w:val="PBodyText"/>
      </w:pPr>
      <w:r w:rsidRPr="00C15C08">
        <w:t>Based on the school survey data, we will create measures for each type of school</w:t>
      </w:r>
      <w:r>
        <w:t xml:space="preserve"> practice presented in Exhibit 11</w:t>
      </w:r>
      <w:r w:rsidRPr="00C15C08">
        <w:t xml:space="preserve">. Using exploratory and confirmatory factor analyses, we will also create </w:t>
      </w:r>
      <w:r>
        <w:t xml:space="preserve">composite </w:t>
      </w:r>
      <w:r w:rsidRPr="00C15C08">
        <w:t>scales</w:t>
      </w:r>
      <w:r>
        <w:t xml:space="preserve"> </w:t>
      </w:r>
      <w:r w:rsidRPr="00C15C08">
        <w:t>of school practices based on relevant survey items.</w:t>
      </w:r>
      <w:r>
        <w:t xml:space="preserve"> F</w:t>
      </w:r>
      <w:r w:rsidRPr="00C15C08">
        <w:t xml:space="preserve">or example, </w:t>
      </w:r>
      <w:r>
        <w:t>we will</w:t>
      </w:r>
      <w:r w:rsidRPr="00C15C08">
        <w:t xml:space="preserve"> create a scale for </w:t>
      </w:r>
      <w:r>
        <w:t>“</w:t>
      </w:r>
      <w:r w:rsidRPr="00C15C08">
        <w:t xml:space="preserve">Access to the </w:t>
      </w:r>
      <w:r>
        <w:t>Regular</w:t>
      </w:r>
      <w:r w:rsidRPr="00C15C08">
        <w:t xml:space="preserve"> Education Curriculum,</w:t>
      </w:r>
      <w:r>
        <w:t>”</w:t>
      </w:r>
      <w:r w:rsidRPr="00C15C08">
        <w:t xml:space="preserve"> which we hypothesize may affect SWD outcomes. Items from our school survey that are potentially relevant to this scale include the following: </w:t>
      </w:r>
    </w:p>
    <w:p w:rsidR="00273C77" w:rsidRDefault="00273C77" w:rsidP="00BB7B7C">
      <w:pPr>
        <w:pStyle w:val="PBullet"/>
      </w:pPr>
      <w:r w:rsidRPr="008625AD">
        <w:t xml:space="preserve">Percentage of students with disabilities in the school who spend 80 percent or more of </w:t>
      </w:r>
      <w:r>
        <w:t xml:space="preserve">their </w:t>
      </w:r>
      <w:r w:rsidRPr="008625AD">
        <w:t>time per week in a regular education classroom (</w:t>
      </w:r>
      <w:r>
        <w:t>Sped Designee Survey, Question 6</w:t>
      </w:r>
      <w:r w:rsidRPr="008625AD">
        <w:t>)</w:t>
      </w:r>
    </w:p>
    <w:p w:rsidR="00273C77" w:rsidRDefault="00273C77" w:rsidP="00BB7B7C">
      <w:pPr>
        <w:pStyle w:val="PBullet"/>
      </w:pPr>
      <w:r w:rsidRPr="008625AD">
        <w:t>Percentage of students with disabilities receiving the m</w:t>
      </w:r>
      <w:r>
        <w:t xml:space="preserve">ajority of their instruction in </w:t>
      </w:r>
      <w:r w:rsidRPr="008625AD">
        <w:t xml:space="preserve">mathematics and English/language </w:t>
      </w:r>
      <w:r>
        <w:t>arts, respectively, in regular education</w:t>
      </w:r>
      <w:r w:rsidRPr="008625AD">
        <w:t xml:space="preserve"> classrooms (Sped Desi</w:t>
      </w:r>
      <w:r>
        <w:t xml:space="preserve">gnee </w:t>
      </w:r>
      <w:r w:rsidRPr="008625AD">
        <w:t>Survey, Question 1</w:t>
      </w:r>
      <w:r>
        <w:t>4</w:t>
      </w:r>
      <w:r w:rsidRPr="008625AD">
        <w:t>)</w:t>
      </w:r>
    </w:p>
    <w:p w:rsidR="00273C77" w:rsidRPr="008625AD" w:rsidRDefault="00273C77" w:rsidP="00BB7B7C">
      <w:pPr>
        <w:pStyle w:val="PBullet"/>
      </w:pPr>
      <w:r>
        <w:t>School is engaged in a deliberate strategy to move students from self-contained classrooms to the regular education classrooms (Sped Designee Survey, Question 9p)</w:t>
      </w:r>
    </w:p>
    <w:p w:rsidR="00273C77" w:rsidRPr="008625AD" w:rsidRDefault="00273C77" w:rsidP="00BB7B7C">
      <w:pPr>
        <w:pStyle w:val="PBullet"/>
      </w:pPr>
      <w:r w:rsidRPr="008625AD">
        <w:t>School has included special education teachers in content-related professional development opportunities (</w:t>
      </w:r>
      <w:r>
        <w:t>Sped Designee Survey, Questions 12 and 13</w:t>
      </w:r>
      <w:r w:rsidRPr="008625AD">
        <w:t>)</w:t>
      </w:r>
    </w:p>
    <w:p w:rsidR="00273C77" w:rsidRPr="008625AD" w:rsidRDefault="00273C77" w:rsidP="00BB7B7C">
      <w:pPr>
        <w:pStyle w:val="PBullet"/>
      </w:pPr>
      <w:r>
        <w:t>S</w:t>
      </w:r>
      <w:r w:rsidRPr="008625AD">
        <w:t xml:space="preserve">pecial and </w:t>
      </w:r>
      <w:r>
        <w:t>regular education</w:t>
      </w:r>
      <w:r w:rsidRPr="008625AD">
        <w:t xml:space="preserve"> teachers</w:t>
      </w:r>
      <w:r>
        <w:t xml:space="preserve"> collaborate through common planning time</w:t>
      </w:r>
      <w:r w:rsidRPr="008625AD">
        <w:t xml:space="preserve"> (Sped Designee Survey, Question </w:t>
      </w:r>
      <w:r>
        <w:t>8k</w:t>
      </w:r>
      <w:r w:rsidRPr="008625AD">
        <w:t>)</w:t>
      </w:r>
    </w:p>
    <w:p w:rsidR="00273C77" w:rsidRDefault="00273C77" w:rsidP="00BB7B7C">
      <w:pPr>
        <w:pStyle w:val="PBullet"/>
      </w:pPr>
      <w:r>
        <w:t>Regular</w:t>
      </w:r>
      <w:r w:rsidRPr="008625AD">
        <w:t xml:space="preserve"> and sp</w:t>
      </w:r>
      <w:r>
        <w:t>ecial education teachers engage in team-teaching model (</w:t>
      </w:r>
      <w:r w:rsidRPr="008625AD">
        <w:t xml:space="preserve">Sped Designee Survey, Question </w:t>
      </w:r>
      <w:r>
        <w:t>8j</w:t>
      </w:r>
      <w:r w:rsidRPr="008625AD">
        <w:t>)</w:t>
      </w:r>
    </w:p>
    <w:p w:rsidR="00273C77" w:rsidRPr="008625AD" w:rsidRDefault="00273C77" w:rsidP="00BB7B7C">
      <w:pPr>
        <w:pStyle w:val="PBullet"/>
      </w:pPr>
      <w:r w:rsidRPr="008625AD">
        <w:t>School has provided professional development to all teachers that focuses on strategies for instructing students with disabilities (</w:t>
      </w:r>
      <w:r>
        <w:t>Principal Survey, Questions 6 and 7</w:t>
      </w:r>
      <w:r w:rsidRPr="008625AD">
        <w:t>; Sped Designee Survey, Question</w:t>
      </w:r>
      <w:r>
        <w:t>s 12 and 13</w:t>
      </w:r>
      <w:r w:rsidRPr="008625AD">
        <w:t>)</w:t>
      </w:r>
    </w:p>
    <w:p w:rsidR="00273C77" w:rsidRDefault="00273C77" w:rsidP="00BB7B7C">
      <w:pPr>
        <w:pStyle w:val="PBulletLast"/>
      </w:pPr>
      <w:r>
        <w:t>School</w:t>
      </w:r>
      <w:r w:rsidRPr="008625AD">
        <w:t xml:space="preserve"> use</w:t>
      </w:r>
      <w:r>
        <w:t>s</w:t>
      </w:r>
      <w:r w:rsidRPr="008625AD">
        <w:t xml:space="preserve"> instructional and assistive technology with students with disabilities </w:t>
      </w:r>
      <w:r>
        <w:t>(Sped Designee Survey, Question 7h</w:t>
      </w:r>
      <w:r w:rsidRPr="008625AD">
        <w:t>)</w:t>
      </w:r>
    </w:p>
    <w:p w:rsidR="00273C77" w:rsidRDefault="00273C77" w:rsidP="00BB7B7C">
      <w:pPr>
        <w:pStyle w:val="PBodyText"/>
      </w:pPr>
      <w:r>
        <w:t xml:space="preserve">In addition, we will create </w:t>
      </w:r>
      <w:r w:rsidRPr="00C15C08">
        <w:t>subscales measuring constructs within the overall scale, such as placement in the least restrictive environment</w:t>
      </w:r>
      <w:r>
        <w:t xml:space="preserve"> and </w:t>
      </w:r>
      <w:r w:rsidRPr="00C15C08">
        <w:t xml:space="preserve">curriculum and instruction, and teacher collaboration. We will rely on both formal factor analyses and substantive knowledge about school practices to create scales and subscales that measure important types of school practices that may be associated with school </w:t>
      </w:r>
      <w:r>
        <w:t>accountability</w:t>
      </w:r>
      <w:r w:rsidRPr="00C15C08">
        <w:t xml:space="preserve"> and SWD outcomes. </w:t>
      </w:r>
    </w:p>
    <w:p w:rsidR="00273C77" w:rsidRDefault="00273C77" w:rsidP="00BB7B7C">
      <w:pPr>
        <w:pStyle w:val="PBodyText"/>
        <w:rPr>
          <w:u w:val="single"/>
        </w:rPr>
      </w:pPr>
      <w:r w:rsidRPr="00C15C08">
        <w:t xml:space="preserve">Using the measures that are created </w:t>
      </w:r>
      <w:r>
        <w:t>on the basis of</w:t>
      </w:r>
      <w:r w:rsidRPr="00C15C08">
        <w:t xml:space="preserve"> the survey data, we will perform descriptive analyses</w:t>
      </w:r>
      <w:r>
        <w:t xml:space="preserve"> within each </w:t>
      </w:r>
      <w:r w:rsidRPr="00C15C08">
        <w:t>selected state</w:t>
      </w:r>
      <w:r>
        <w:t xml:space="preserve"> </w:t>
      </w:r>
      <w:r w:rsidRPr="00C15C08">
        <w:t xml:space="preserve">to describe the kinds of practices that are occurring in schools </w:t>
      </w:r>
      <w:r>
        <w:t>accountable and not accountable for SWD subgroup performance, and we will pool results across states</w:t>
      </w:r>
      <w:r w:rsidRPr="00C15C08">
        <w:t xml:space="preserve">. </w:t>
      </w:r>
      <w:r>
        <w:t xml:space="preserve">To assess whether there are statistically significant differences in school practices between schools that were accountable for SWD performance and those that were not, we will </w:t>
      </w:r>
      <w:r w:rsidRPr="00C15C08">
        <w:t xml:space="preserve">perform </w:t>
      </w:r>
      <w:r>
        <w:t xml:space="preserve">independent-samples t tests for </w:t>
      </w:r>
      <w:r w:rsidRPr="00C15C08">
        <w:t xml:space="preserve">continuous measures of </w:t>
      </w:r>
      <w:r>
        <w:t xml:space="preserve">school practice and </w:t>
      </w:r>
      <w:r w:rsidRPr="00C15C08">
        <w:t xml:space="preserve">chi-square tests </w:t>
      </w:r>
      <w:r>
        <w:t>for categorical</w:t>
      </w:r>
      <w:r w:rsidRPr="00C15C08">
        <w:t xml:space="preserve"> measures of school practice.</w:t>
      </w:r>
      <w:r w:rsidRPr="00C15C08">
        <w:rPr>
          <w:rStyle w:val="FootnoteReference"/>
          <w:rFonts w:cs="Times"/>
        </w:rPr>
        <w:footnoteReference w:id="3"/>
      </w:r>
      <w:r w:rsidRPr="00C15C08">
        <w:t xml:space="preserve"> </w:t>
      </w:r>
    </w:p>
    <w:p w:rsidR="00273C77" w:rsidRDefault="00273C77" w:rsidP="00BB7B7C">
      <w:pPr>
        <w:pStyle w:val="Heading4"/>
      </w:pPr>
      <w:r w:rsidRPr="00905BF9">
        <w:t xml:space="preserve">RQ </w:t>
      </w:r>
      <w:r>
        <w:t>2</w:t>
      </w:r>
      <w:r w:rsidRPr="00905BF9">
        <w:t>(b). Do schools</w:t>
      </w:r>
      <w:r>
        <w:t>’</w:t>
      </w:r>
      <w:r w:rsidRPr="00905BF9">
        <w:t xml:space="preserve"> regular or special education practices in 2010–11 vary by schools</w:t>
      </w:r>
      <w:r>
        <w:t>’</w:t>
      </w:r>
      <w:r w:rsidRPr="00905BF9">
        <w:t xml:space="preserve"> improvement status between 2005–06 and 2010–11 among schools accountable for SWD performance?</w:t>
      </w:r>
    </w:p>
    <w:p w:rsidR="00273C77" w:rsidRDefault="00273C77" w:rsidP="00BB7B7C">
      <w:pPr>
        <w:pStyle w:val="PBodyText"/>
      </w:pPr>
      <w:r w:rsidRPr="00C15C08">
        <w:t xml:space="preserve">In </w:t>
      </w:r>
      <w:r w:rsidRPr="0092059D">
        <w:t xml:space="preserve">addition to the overall description of </w:t>
      </w:r>
      <w:r w:rsidRPr="00E4225D">
        <w:t>schools</w:t>
      </w:r>
      <w:r>
        <w:t>’</w:t>
      </w:r>
      <w:r w:rsidRPr="00E4225D">
        <w:t xml:space="preserve"> regular and special education pract</w:t>
      </w:r>
      <w:r>
        <w:t>ices, we will examine under RQ 2</w:t>
      </w:r>
      <w:r w:rsidRPr="00E4225D">
        <w:t xml:space="preserve">(b) the extent to which school practices differ among accountable schools with different identification histories. We will conduct descriptive analyses describing school practices within two school groups defined </w:t>
      </w:r>
      <w:r>
        <w:t>on the basis of</w:t>
      </w:r>
      <w:r w:rsidRPr="00E4225D">
        <w:t xml:space="preserve"> their school improvement status between 2005–06 and 2010–11</w:t>
      </w:r>
      <w:r>
        <w:t>:</w:t>
      </w:r>
      <w:r w:rsidRPr="00625543">
        <w:rPr>
          <w:rStyle w:val="FootnoteReference"/>
        </w:rPr>
        <w:footnoteReference w:id="4"/>
      </w:r>
      <w:r w:rsidRPr="00E4225D">
        <w:t xml:space="preserve"> </w:t>
      </w:r>
    </w:p>
    <w:p w:rsidR="00273C77" w:rsidRPr="00744F4D" w:rsidRDefault="00273C77" w:rsidP="00BB7B7C">
      <w:pPr>
        <w:pStyle w:val="PBullet"/>
      </w:pPr>
      <w:r w:rsidRPr="00744F4D">
        <w:rPr>
          <w:i/>
        </w:rPr>
        <w:t>Group 1 (Never Identified):</w:t>
      </w:r>
      <w:r w:rsidRPr="00744F4D">
        <w:t xml:space="preserve"> Schools that have never been identified for improvement (IFI) for any reason as of 2010–11</w:t>
      </w:r>
    </w:p>
    <w:p w:rsidR="00273C77" w:rsidRDefault="00273C77" w:rsidP="00BB7B7C">
      <w:pPr>
        <w:pStyle w:val="PBulletLast"/>
      </w:pPr>
      <w:r w:rsidRPr="00744F4D">
        <w:rPr>
          <w:i/>
        </w:rPr>
        <w:t>Group 2 (Identified):</w:t>
      </w:r>
      <w:r w:rsidRPr="00744F4D">
        <w:t xml:space="preserve"> Schools that were identified for improvement between 2005–06 and 2010–2011 </w:t>
      </w:r>
    </w:p>
    <w:p w:rsidR="00273C77" w:rsidRPr="00C15C08" w:rsidRDefault="00273C77" w:rsidP="00BB7B7C">
      <w:pPr>
        <w:pStyle w:val="PBodyText"/>
      </w:pPr>
      <w:r w:rsidRPr="00C15C08">
        <w:t xml:space="preserve">For continuous measures of school practice, we will further perform </w:t>
      </w:r>
      <w:r w:rsidRPr="00325FCF">
        <w:t>independent-samples t tests</w:t>
      </w:r>
      <w:r w:rsidRPr="00C15C08">
        <w:t xml:space="preserve"> to test whether the differences in school practice between the</w:t>
      </w:r>
      <w:r>
        <w:t xml:space="preserve"> two</w:t>
      </w:r>
      <w:r w:rsidRPr="00C15C08">
        <w:t xml:space="preserve"> school groups are statistically significant.</w:t>
      </w:r>
      <w:r w:rsidRPr="00325FCF">
        <w:rPr>
          <w:vertAlign w:val="superscript"/>
        </w:rPr>
        <w:footnoteReference w:id="5"/>
      </w:r>
      <w:r w:rsidRPr="00C15C08">
        <w:t xml:space="preserve"> For dichotomous measures of school practice, we will use chi-square tests to test for group differences. </w:t>
      </w:r>
      <w:r>
        <w:t>T</w:t>
      </w:r>
      <w:r w:rsidRPr="00C15C08">
        <w:t xml:space="preserve">he analyses for RQ </w:t>
      </w:r>
      <w:r>
        <w:t>2</w:t>
      </w:r>
      <w:r w:rsidRPr="00C15C08">
        <w:t xml:space="preserve">(b) will be conducted for elementary schools and middle schools separately. </w:t>
      </w:r>
    </w:p>
    <w:p w:rsidR="00273C77" w:rsidRDefault="00273C77" w:rsidP="00BE15B9">
      <w:pPr>
        <w:pStyle w:val="Heading3"/>
      </w:pPr>
      <w:bookmarkStart w:id="40" w:name="_Toc239221864"/>
      <w:bookmarkStart w:id="41" w:name="_Toc271899438"/>
      <w:bookmarkStart w:id="42" w:name="_Toc280106390"/>
      <w:r w:rsidRPr="00C15C08">
        <w:t xml:space="preserve">Analytic Methods for Research Question </w:t>
      </w:r>
      <w:r>
        <w:t>3</w:t>
      </w:r>
      <w:r w:rsidRPr="00C15C08">
        <w:t xml:space="preserve"> (</w:t>
      </w:r>
      <w:r>
        <w:t xml:space="preserve">SWD Achievement </w:t>
      </w:r>
      <w:r w:rsidRPr="00C15C08">
        <w:t>Trends)</w:t>
      </w:r>
      <w:bookmarkEnd w:id="40"/>
      <w:bookmarkEnd w:id="41"/>
      <w:bookmarkEnd w:id="42"/>
    </w:p>
    <w:p w:rsidR="00273C77" w:rsidRDefault="00273C77" w:rsidP="00BB7B7C">
      <w:pPr>
        <w:pStyle w:val="PBodyText"/>
      </w:pPr>
      <w:r>
        <w:t>To address t</w:t>
      </w:r>
      <w:r w:rsidRPr="00C15C08">
        <w:t xml:space="preserve">he </w:t>
      </w:r>
      <w:r>
        <w:t xml:space="preserve">third </w:t>
      </w:r>
      <w:r w:rsidRPr="00C15C08">
        <w:t>set of research questions concern</w:t>
      </w:r>
      <w:r>
        <w:t>ing</w:t>
      </w:r>
      <w:r w:rsidRPr="00C15C08">
        <w:t xml:space="preserve"> the t</w:t>
      </w:r>
      <w:r>
        <w:t>rends of SWD achievement outcomes,</w:t>
      </w:r>
      <w:r w:rsidRPr="002B0795">
        <w:t xml:space="preserve"> we will examine changes in SWD </w:t>
      </w:r>
      <w:r>
        <w:t xml:space="preserve">achievement in reading and mathematics </w:t>
      </w:r>
      <w:r w:rsidRPr="002B0795">
        <w:t>across successive grade-specific cohorts</w:t>
      </w:r>
      <w:r>
        <w:t xml:space="preserve"> between 2005–06 and 2007–08 for the interim report and between 2005–06 and 2009–10 for the final report</w:t>
      </w:r>
      <w:r w:rsidRPr="002B0795">
        <w:t>.</w:t>
      </w:r>
      <w:r>
        <w:t xml:space="preserve"> </w:t>
      </w:r>
      <w:r w:rsidRPr="003B1389">
        <w:t xml:space="preserve">We have decided to use 2005–06 as the starting year for the achievement trend analyses because we are concerned about the availability and, more important, the quality of </w:t>
      </w:r>
      <w:r>
        <w:t>extant</w:t>
      </w:r>
      <w:r w:rsidRPr="003B1389">
        <w:t xml:space="preserve"> achievement data from earlier years. </w:t>
      </w:r>
    </w:p>
    <w:p w:rsidR="00273C77" w:rsidRDefault="00273C77" w:rsidP="00122780">
      <w:pPr>
        <w:pStyle w:val="PBodyText"/>
      </w:pPr>
      <w:r>
        <w:t>The primary data source for SWD achievement trend analyses will be</w:t>
      </w:r>
      <w:r w:rsidRPr="0069657B">
        <w:t xml:space="preserve"> </w:t>
      </w:r>
      <w:r w:rsidRPr="002B0795">
        <w:t>ED</w:t>
      </w:r>
      <w:r w:rsidRPr="002B0795">
        <w:rPr>
          <w:i/>
        </w:rPr>
        <w:t>Facts</w:t>
      </w:r>
      <w:r>
        <w:rPr>
          <w:i/>
        </w:rPr>
        <w:t>.</w:t>
      </w:r>
      <w:r w:rsidRPr="002B0795">
        <w:t xml:space="preserve"> It is </w:t>
      </w:r>
      <w:r>
        <w:t xml:space="preserve">important </w:t>
      </w:r>
      <w:r w:rsidRPr="002B0795">
        <w:t xml:space="preserve">to note, however, </w:t>
      </w:r>
      <w:r>
        <w:t xml:space="preserve">that </w:t>
      </w:r>
      <w:r w:rsidRPr="002B0795">
        <w:t>changes in SWD outcomes based on school-level ED</w:t>
      </w:r>
      <w:r w:rsidRPr="002B0795">
        <w:rPr>
          <w:i/>
        </w:rPr>
        <w:t>Facts</w:t>
      </w:r>
      <w:r w:rsidRPr="002B0795">
        <w:t xml:space="preserve"> data are likely to reflect both true changes in student outcomes and shifts in student composition over time, which unfortunately cannot be separated out in analyses using school-level ED</w:t>
      </w:r>
      <w:r w:rsidRPr="002B0795">
        <w:rPr>
          <w:i/>
        </w:rPr>
        <w:t>Facts</w:t>
      </w:r>
      <w:r w:rsidRPr="002B0795">
        <w:t xml:space="preserve"> data. Therefore, we plan to supplement ED</w:t>
      </w:r>
      <w:r w:rsidRPr="002B0795">
        <w:rPr>
          <w:i/>
        </w:rPr>
        <w:t>Facts</w:t>
      </w:r>
      <w:r w:rsidRPr="002B0795">
        <w:t xml:space="preserve"> data</w:t>
      </w:r>
      <w:r>
        <w:t xml:space="preserve"> with longitudinally linked</w:t>
      </w:r>
      <w:r w:rsidRPr="002B0795">
        <w:t xml:space="preserve"> student-level data</w:t>
      </w:r>
      <w:r>
        <w:t xml:space="preserve"> from up to two states</w:t>
      </w:r>
      <w:r w:rsidRPr="002B0795">
        <w:t xml:space="preserve">, which will allow us to assess trends in </w:t>
      </w:r>
      <w:r>
        <w:t>SWD</w:t>
      </w:r>
      <w:r w:rsidRPr="002B0795">
        <w:t xml:space="preserve"> outcomes adjusted for changes in student composition across successive cohorts. Below we describe in detail our approaches to trend analyses based on school-level data and student-level data</w:t>
      </w:r>
      <w:r>
        <w:t>,</w:t>
      </w:r>
      <w:r w:rsidRPr="002B0795">
        <w:t xml:space="preserve"> respectively</w:t>
      </w:r>
      <w:r>
        <w:t xml:space="preserve">. </w:t>
      </w:r>
    </w:p>
    <w:p w:rsidR="00273C77" w:rsidRDefault="00273C77" w:rsidP="00BE15B9">
      <w:pPr>
        <w:pStyle w:val="Heading4"/>
      </w:pPr>
      <w:r>
        <w:t xml:space="preserve">SWD achievement analyses based on </w:t>
      </w:r>
      <w:r w:rsidRPr="002B0795">
        <w:t xml:space="preserve">EDFacts </w:t>
      </w:r>
      <w:r>
        <w:t>d</w:t>
      </w:r>
      <w:r w:rsidRPr="002B0795">
        <w:t>ata</w:t>
      </w:r>
    </w:p>
    <w:p w:rsidR="00273C77" w:rsidRDefault="00273C77" w:rsidP="00122780">
      <w:pPr>
        <w:pStyle w:val="PBodyText"/>
      </w:pPr>
      <w:r>
        <w:t xml:space="preserve">The outcome measures for SWD achievement trend analyses based on </w:t>
      </w:r>
      <w:r w:rsidRPr="002B0795">
        <w:t>ED</w:t>
      </w:r>
      <w:r w:rsidRPr="002B0795">
        <w:rPr>
          <w:i/>
        </w:rPr>
        <w:t>Facts</w:t>
      </w:r>
      <w:r w:rsidRPr="002B0795">
        <w:t xml:space="preserve"> </w:t>
      </w:r>
      <w:r>
        <w:t xml:space="preserve">data are the percentage of SWDs scoring proficient in each school on state tests in reading and mathematics respectively. Relying on school-level </w:t>
      </w:r>
      <w:r w:rsidRPr="002B0795">
        <w:t>ED</w:t>
      </w:r>
      <w:r w:rsidRPr="002B0795">
        <w:rPr>
          <w:i/>
        </w:rPr>
        <w:t>Facts</w:t>
      </w:r>
      <w:r>
        <w:t xml:space="preserve"> data, we will use hierarchical linear modeling (HLM) methods to assess changes in SWD achievement over time in schools accountable for SWD performance, SWD-accountable schools that were identified for improvement and SWD-accountable schools that were never identified for improvement, while taking into account the clutering of multiple year- and grade- specific cohorts within schools (Research Questions 3(a) and 3(e)). Because a substantial proportion of non-accountable schools did not report SWD performance data to </w:t>
      </w:r>
      <w:r w:rsidRPr="002B0795">
        <w:t>ED</w:t>
      </w:r>
      <w:r w:rsidRPr="002B0795">
        <w:rPr>
          <w:i/>
        </w:rPr>
        <w:t>Facts</w:t>
      </w:r>
      <w:r>
        <w:t xml:space="preserve">, we will rely on school-level </w:t>
      </w:r>
      <w:r w:rsidRPr="002B0795">
        <w:t>ED</w:t>
      </w:r>
      <w:r w:rsidRPr="002B0795">
        <w:rPr>
          <w:i/>
        </w:rPr>
        <w:t>Facts</w:t>
      </w:r>
      <w:r>
        <w:t xml:space="preserve"> data for accountable schools and state-level </w:t>
      </w:r>
      <w:r w:rsidRPr="002B0795">
        <w:t>ED</w:t>
      </w:r>
      <w:r w:rsidRPr="002B0795">
        <w:rPr>
          <w:i/>
        </w:rPr>
        <w:t>Facts</w:t>
      </w:r>
      <w:r>
        <w:t xml:space="preserve"> data for all schools to compute the proficiency rates for SWDs in schools other than the accountable schools (as defined for the purpose of this study). These analyses will be conducted separately by subject (reading and mathematics) and grade level (elementary schools and middle schools) based on data pooled across the three target grades (3–5 for elementary schools and 6–8 for middle schools). Given that achievement data and changes in achievement data are not comparable across states, analyses of the overall achievement trends of SWDs will be conducted within each selected state and not pooled across states. </w:t>
      </w:r>
    </w:p>
    <w:p w:rsidR="00273C77" w:rsidRDefault="00273C77" w:rsidP="00122780">
      <w:pPr>
        <w:pStyle w:val="PBodyText"/>
      </w:pPr>
      <w:r>
        <w:t xml:space="preserve">Two-level HLM models (cohorts nested within schools) will also be used to compare SWD achievement trends between schools with different levels of poverty and minority concentration and between schools that were identified for improvement and schools that were never identified for improvement during the time period examined (2005–06 to 2007–08 for the interim report and 2005–06 and 2009–10 for the final report) among schools accountable for SWD performance (Research Questions 3(b) and 3(f)). Relying on HLM analysis, we will further assess the differences in changes in achievement over time between SWDs and their non-disabled peers within the same school among schools accountable for SWD performance (Research Questions 3(c)).  In addition, correlations will be calculated to assess the extent to which changes in the SWD achievement were associated with corresponding changes for their non-disabled peers in the same SWD-accountable schools (Research Questions 3(d)). We will conduct all the analyses described above separately by subject and grade level within each selected state, and will also pool the data across states. Results from the SWD achievement trends analyses will be presented in both table form and graphic form where appropriate. </w:t>
      </w:r>
    </w:p>
    <w:p w:rsidR="00273C77" w:rsidRDefault="00273C77" w:rsidP="00BE15B9">
      <w:pPr>
        <w:pStyle w:val="Heading4"/>
      </w:pPr>
      <w:r>
        <w:t>SWD achievement analyses based on state longitudinal student-level</w:t>
      </w:r>
      <w:r w:rsidRPr="002B0795">
        <w:t xml:space="preserve"> </w:t>
      </w:r>
      <w:r>
        <w:t>d</w:t>
      </w:r>
      <w:r w:rsidRPr="002B0795">
        <w:t>ata</w:t>
      </w:r>
    </w:p>
    <w:p w:rsidR="00273C77" w:rsidRDefault="00273C77" w:rsidP="00122780">
      <w:pPr>
        <w:pStyle w:val="PBodyText"/>
      </w:pPr>
      <w:r>
        <w:t>The primary outcome measures for SWD achievement trend analyses based on state longitudinal student-level data are individual students’ scale scores on state tests in reading and mathematics. For the overall SWD achievement trends analyses, we will use a three-level HLM model (students nested within cohorts and cohorts nested within schools) that incorporates student background characteristics (</w:t>
      </w:r>
      <w:r w:rsidRPr="00711025">
        <w:t xml:space="preserve">e.g., gender, race, eligibility for free or reduced-price lunch, English language learner status, achievement in previous year if available, type of test taken </w:t>
      </w:r>
      <w:r>
        <w:t>[</w:t>
      </w:r>
      <w:r w:rsidRPr="00711025">
        <w:t>regular, alternate, or modified test</w:t>
      </w:r>
      <w:r>
        <w:t>])</w:t>
      </w:r>
      <w:r w:rsidRPr="00711025">
        <w:t xml:space="preserve"> </w:t>
      </w:r>
      <w:r>
        <w:t xml:space="preserve">as student-level covariates. Such a model will allow us to assess changes in SWD outcomes adjusted for potential shifts in student composition across successive cohorts of students. </w:t>
      </w:r>
    </w:p>
    <w:p w:rsidR="00273C77" w:rsidRPr="00C15C08" w:rsidRDefault="00273C77" w:rsidP="00122780">
      <w:pPr>
        <w:pStyle w:val="PBodyText"/>
      </w:pPr>
      <w:r>
        <w:t xml:space="preserve">Similarly, we will use three-level HLM models that incorporate student-level covariates to compare SWD achievement trends between different types of accountable schools and to compare the achievement trends between SWDs and their non-disabled peers in schools accountable for SWD performance. We will conduct these analyses separately by subject and grade level within each selected state. </w:t>
      </w:r>
    </w:p>
    <w:p w:rsidR="00273C77" w:rsidRPr="003F7A1F" w:rsidRDefault="00273C77" w:rsidP="00BE15B9">
      <w:r w:rsidRPr="003F7A1F">
        <w:br w:type="page"/>
      </w:r>
    </w:p>
    <w:p w:rsidR="00273C77" w:rsidRPr="00122780" w:rsidRDefault="00273C77" w:rsidP="00BE15B9">
      <w:pPr>
        <w:pStyle w:val="Heading1"/>
      </w:pPr>
      <w:bookmarkStart w:id="43" w:name="_Toc232397528"/>
      <w:bookmarkStart w:id="44" w:name="_Toc271899439"/>
      <w:bookmarkStart w:id="45" w:name="_Toc280106391"/>
      <w:r w:rsidRPr="00122780">
        <w:t>Supporting Statement for Paperwork Reduction Act Submission</w:t>
      </w:r>
      <w:bookmarkEnd w:id="43"/>
      <w:bookmarkEnd w:id="44"/>
      <w:bookmarkEnd w:id="45"/>
    </w:p>
    <w:p w:rsidR="00273C77" w:rsidRPr="002B49E2" w:rsidRDefault="00273C77" w:rsidP="00BE15B9">
      <w:pPr>
        <w:pStyle w:val="Heading2"/>
      </w:pPr>
      <w:bookmarkStart w:id="46" w:name="_Toc232397529"/>
      <w:bookmarkStart w:id="47" w:name="_Toc271899440"/>
      <w:bookmarkStart w:id="48" w:name="_Toc280106392"/>
      <w:r w:rsidRPr="002B49E2">
        <w:t>Justification (Part A)</w:t>
      </w:r>
      <w:bookmarkEnd w:id="46"/>
      <w:bookmarkEnd w:id="47"/>
      <w:bookmarkEnd w:id="48"/>
    </w:p>
    <w:p w:rsidR="00273C77" w:rsidRDefault="00273C77" w:rsidP="00BE15B9">
      <w:pPr>
        <w:pStyle w:val="Heading3"/>
      </w:pPr>
      <w:bookmarkStart w:id="49" w:name="_Toc232397530"/>
      <w:bookmarkStart w:id="50" w:name="_Toc271899441"/>
      <w:bookmarkStart w:id="51" w:name="_Toc280106393"/>
      <w:r w:rsidRPr="00FA4910">
        <w:t>1. Circumstances Making Collection of Information Necessary</w:t>
      </w:r>
      <w:bookmarkEnd w:id="49"/>
      <w:bookmarkEnd w:id="50"/>
      <w:bookmarkEnd w:id="51"/>
      <w:r w:rsidRPr="002B49E2">
        <w:t xml:space="preserve"> </w:t>
      </w:r>
    </w:p>
    <w:p w:rsidR="00273C77" w:rsidRDefault="00273C77" w:rsidP="00122780">
      <w:pPr>
        <w:pStyle w:val="PBodyText"/>
      </w:pPr>
      <w:r w:rsidRPr="00961F0C">
        <w:t xml:space="preserve">The Institute for Education Sciences (IES) has been congressionally mandated (under 20 USC §664(b)) to conduct a national assessment of how well the </w:t>
      </w:r>
      <w:r w:rsidRPr="000D69B0">
        <w:rPr>
          <w:i/>
        </w:rPr>
        <w:t>Individuals with Disabilities Education Improvement Act of 2004</w:t>
      </w:r>
      <w:r w:rsidRPr="00961F0C">
        <w:t xml:space="preserve"> (</w:t>
      </w:r>
      <w:r w:rsidRPr="000D69B0">
        <w:rPr>
          <w:i/>
        </w:rPr>
        <w:t>IDEA</w:t>
      </w:r>
      <w:r w:rsidRPr="00961F0C">
        <w:t xml:space="preserve">, </w:t>
      </w:r>
      <w:r w:rsidRPr="00961F0C">
        <w:rPr>
          <w:bCs/>
          <w:iCs/>
        </w:rPr>
        <w:t>P.L. 108-446</w:t>
      </w:r>
      <w:r w:rsidRPr="00961F0C">
        <w:t xml:space="preserve">) is achieving its purposes. These purposes include some of the highest priorities for those concerned with special education reform: improved achievement, access to the </w:t>
      </w:r>
      <w:r>
        <w:t>regular education</w:t>
      </w:r>
      <w:r w:rsidRPr="00961F0C">
        <w:t xml:space="preserve"> curriculum, better management of transitions, and dropout prevention. The 2004 reauthorization of </w:t>
      </w:r>
      <w:r w:rsidRPr="000D69B0">
        <w:rPr>
          <w:i/>
        </w:rPr>
        <w:t>IDEA</w:t>
      </w:r>
      <w:r w:rsidRPr="00961F0C">
        <w:t xml:space="preserve"> brought the nation</w:t>
      </w:r>
      <w:r>
        <w:t>’</w:t>
      </w:r>
      <w:r w:rsidRPr="00961F0C">
        <w:t>s special education laws into closer alignment with the provisions of the</w:t>
      </w:r>
      <w:r>
        <w:t xml:space="preserve"> 2001 reauthorization of the</w:t>
      </w:r>
      <w:r w:rsidRPr="00961F0C">
        <w:t xml:space="preserve"> </w:t>
      </w:r>
      <w:r w:rsidRPr="000D69B0">
        <w:rPr>
          <w:i/>
        </w:rPr>
        <w:t xml:space="preserve">Elementary and Secondary Education Act </w:t>
      </w:r>
      <w:r>
        <w:t>(</w:t>
      </w:r>
      <w:r w:rsidRPr="000D69B0">
        <w:rPr>
          <w:i/>
        </w:rPr>
        <w:t>ESEA</w:t>
      </w:r>
      <w:r w:rsidRPr="00961F0C">
        <w:t xml:space="preserve">), including provisions regarding accountability for student progress. Therefore, the National Center for Education Evaluation (NCEE) has proposed that the National Assessment of </w:t>
      </w:r>
      <w:r w:rsidRPr="000D69B0">
        <w:rPr>
          <w:i/>
        </w:rPr>
        <w:t>IDEA</w:t>
      </w:r>
      <w:r w:rsidRPr="00961F0C">
        <w:t xml:space="preserve"> include a study of </w:t>
      </w:r>
      <w:r>
        <w:t>s</w:t>
      </w:r>
      <w:r w:rsidRPr="00961F0C">
        <w:t xml:space="preserve">chool improvement status and the educational outcomes of students with disabilities (SWDs). </w:t>
      </w:r>
    </w:p>
    <w:p w:rsidR="00273C77" w:rsidRPr="00274072" w:rsidRDefault="00273C77" w:rsidP="00122780">
      <w:pPr>
        <w:pStyle w:val="PBodyText"/>
      </w:pPr>
      <w:r w:rsidRPr="00961F0C">
        <w:t>The School Improvement Status and Outcomes for Students with D</w:t>
      </w:r>
      <w:r>
        <w:t>isabilities Study will provide valuable information about</w:t>
      </w:r>
      <w:r w:rsidRPr="00961F0C">
        <w:t xml:space="preserve"> </w:t>
      </w:r>
      <w:r>
        <w:t>the inclusion of SWDs in school accountability systems,</w:t>
      </w:r>
      <w:r w:rsidRPr="007A6ACD">
        <w:t xml:space="preserve"> </w:t>
      </w:r>
      <w:r w:rsidRPr="001C0F35">
        <w:t>school</w:t>
      </w:r>
      <w:r>
        <w:t>s’</w:t>
      </w:r>
      <w:r w:rsidRPr="001C0F35">
        <w:t xml:space="preserve"> AYP de</w:t>
      </w:r>
      <w:r>
        <w:t>termination as it relates to SWD</w:t>
      </w:r>
      <w:r w:rsidRPr="001C0F35">
        <w:t xml:space="preserve"> performance</w:t>
      </w:r>
      <w:r>
        <w:t xml:space="preserve">, and the performance of </w:t>
      </w:r>
      <w:r w:rsidRPr="00961F0C">
        <w:t xml:space="preserve">SWDs </w:t>
      </w:r>
      <w:r>
        <w:t xml:space="preserve">over time </w:t>
      </w:r>
      <w:r w:rsidRPr="00961F0C">
        <w:t xml:space="preserve">on </w:t>
      </w:r>
      <w:r>
        <w:t xml:space="preserve">key </w:t>
      </w:r>
      <w:r w:rsidRPr="00961F0C">
        <w:t>academic achievement outcomes</w:t>
      </w:r>
      <w:r>
        <w:t xml:space="preserve"> in schools supported through </w:t>
      </w:r>
      <w:r w:rsidRPr="000D69B0">
        <w:rPr>
          <w:i/>
        </w:rPr>
        <w:t>IDEA</w:t>
      </w:r>
      <w:r>
        <w:t>.</w:t>
      </w:r>
      <w:r w:rsidRPr="00961F0C">
        <w:t xml:space="preserve"> </w:t>
      </w:r>
      <w:r>
        <w:t>In addition, the study will also depict a comprehensive picture about</w:t>
      </w:r>
      <w:r w:rsidRPr="00961F0C">
        <w:t xml:space="preserve"> </w:t>
      </w:r>
      <w:r>
        <w:t xml:space="preserve">what school practices are occurring that may affect the educational outcomes of SWDs and </w:t>
      </w:r>
      <w:r w:rsidRPr="00961F0C">
        <w:t xml:space="preserve">how </w:t>
      </w:r>
      <w:r>
        <w:t xml:space="preserve">school accountability and </w:t>
      </w:r>
      <w:r w:rsidRPr="00961F0C">
        <w:t xml:space="preserve">improvement status under </w:t>
      </w:r>
      <w:r w:rsidRPr="000D69B0">
        <w:rPr>
          <w:i/>
        </w:rPr>
        <w:t>ESEA</w:t>
      </w:r>
      <w:r w:rsidRPr="00961F0C">
        <w:t xml:space="preserve"> </w:t>
      </w:r>
      <w:r>
        <w:t>relate</w:t>
      </w:r>
      <w:r w:rsidRPr="00961F0C">
        <w:t xml:space="preserve"> to</w:t>
      </w:r>
      <w:r>
        <w:t xml:space="preserve"> such practices. </w:t>
      </w:r>
    </w:p>
    <w:p w:rsidR="00273C77" w:rsidRDefault="00273C77" w:rsidP="00BE15B9">
      <w:pPr>
        <w:pStyle w:val="Heading3"/>
      </w:pPr>
      <w:bookmarkStart w:id="52" w:name="_Toc271899442"/>
      <w:bookmarkStart w:id="53" w:name="_Toc280106394"/>
      <w:r w:rsidRPr="004D1B15">
        <w:t>2. Purpose and Uses of the Data</w:t>
      </w:r>
      <w:bookmarkEnd w:id="52"/>
      <w:bookmarkEnd w:id="53"/>
    </w:p>
    <w:p w:rsidR="00273C77" w:rsidRPr="005E1A5E" w:rsidRDefault="00273C77" w:rsidP="00122780">
      <w:pPr>
        <w:pStyle w:val="PBodyText"/>
      </w:pPr>
      <w:r w:rsidRPr="00961F0C">
        <w:t xml:space="preserve">Data collected by the School Improvement Status and Outcomes for Students with Disabilities Study will be of immediate interest and import for policymakers and practitioners. The U.S. Department of Education </w:t>
      </w:r>
      <w:r>
        <w:t xml:space="preserve">(ED) </w:t>
      </w:r>
      <w:r w:rsidRPr="00961F0C">
        <w:t xml:space="preserve">will use the information to assess how </w:t>
      </w:r>
      <w:r>
        <w:t xml:space="preserve">school accountability and </w:t>
      </w:r>
      <w:r w:rsidRPr="00961F0C">
        <w:t xml:space="preserve">improvement status </w:t>
      </w:r>
      <w:r>
        <w:t xml:space="preserve">under </w:t>
      </w:r>
      <w:r w:rsidRPr="000D69B0">
        <w:rPr>
          <w:i/>
        </w:rPr>
        <w:t>ESEA</w:t>
      </w:r>
      <w:r>
        <w:t xml:space="preserve"> </w:t>
      </w:r>
      <w:r w:rsidRPr="00961F0C">
        <w:t xml:space="preserve">relate to </w:t>
      </w:r>
      <w:r>
        <w:t xml:space="preserve">school practices that may be associated with the </w:t>
      </w:r>
      <w:r w:rsidRPr="00961F0C">
        <w:t xml:space="preserve">key outcomes identified by </w:t>
      </w:r>
      <w:r w:rsidRPr="000D69B0">
        <w:rPr>
          <w:i/>
        </w:rPr>
        <w:t>IDEA</w:t>
      </w:r>
      <w:r w:rsidRPr="00961F0C">
        <w:t xml:space="preserve"> 2004 as imp</w:t>
      </w:r>
      <w:r>
        <w:t>o</w:t>
      </w:r>
      <w:r w:rsidRPr="00961F0C">
        <w:t xml:space="preserve">rtant for the educational progress of </w:t>
      </w:r>
      <w:r>
        <w:t>SWDs</w:t>
      </w:r>
      <w:r w:rsidRPr="00961F0C">
        <w:t xml:space="preserve">. </w:t>
      </w:r>
      <w:r>
        <w:t xml:space="preserve">Data collected from this study will also help policymakers and practitioners understand the extent to which SWDs are represented in the school accountability system and the extent to which the achievement outcomes of SWDs are improving over time in schools supported through </w:t>
      </w:r>
      <w:r w:rsidRPr="00F91EB2">
        <w:rPr>
          <w:i/>
        </w:rPr>
        <w:t>IDEA</w:t>
      </w:r>
      <w:r>
        <w:t xml:space="preserve">. </w:t>
      </w:r>
      <w:r w:rsidRPr="00961F0C">
        <w:t xml:space="preserve">The study will </w:t>
      </w:r>
      <w:r>
        <w:t xml:space="preserve">thus </w:t>
      </w:r>
      <w:r w:rsidRPr="00961F0C">
        <w:t xml:space="preserve">contribute to the congressionally mandated National Assessment of </w:t>
      </w:r>
      <w:r w:rsidRPr="000D69B0">
        <w:rPr>
          <w:i/>
        </w:rPr>
        <w:t>IDEA</w:t>
      </w:r>
      <w:r w:rsidRPr="00961F0C">
        <w:t xml:space="preserve"> and may inform the next re</w:t>
      </w:r>
      <w:r>
        <w:t xml:space="preserve">authorization of the </w:t>
      </w:r>
      <w:r w:rsidRPr="000D69B0">
        <w:rPr>
          <w:i/>
        </w:rPr>
        <w:t>ESEA</w:t>
      </w:r>
      <w:r>
        <w:t xml:space="preserve"> </w:t>
      </w:r>
      <w:r w:rsidRPr="00961F0C">
        <w:t xml:space="preserve">and </w:t>
      </w:r>
      <w:r w:rsidRPr="000D69B0">
        <w:rPr>
          <w:i/>
        </w:rPr>
        <w:t>IDEA</w:t>
      </w:r>
      <w:r w:rsidRPr="00961F0C">
        <w:t>.</w:t>
      </w:r>
      <w:r w:rsidRPr="005E1A5E">
        <w:t xml:space="preserve"> </w:t>
      </w:r>
    </w:p>
    <w:p w:rsidR="00273C77" w:rsidRDefault="00273C77" w:rsidP="00BE15B9">
      <w:pPr>
        <w:pStyle w:val="Heading3"/>
      </w:pPr>
      <w:bookmarkStart w:id="54" w:name="_Toc271899443"/>
      <w:bookmarkStart w:id="55" w:name="_Toc280106395"/>
      <w:r w:rsidRPr="00842280">
        <w:t>3. Use of Technology to Reduce Burden</w:t>
      </w:r>
      <w:bookmarkEnd w:id="54"/>
      <w:bookmarkEnd w:id="55"/>
    </w:p>
    <w:p w:rsidR="00273C77" w:rsidRPr="003F7A1F" w:rsidRDefault="00273C77" w:rsidP="00122780">
      <w:pPr>
        <w:pStyle w:val="PBodyText"/>
      </w:pPr>
      <w:r w:rsidRPr="003F7A1F">
        <w:t xml:space="preserve">Information technologies will be used to maximize the efficiency and completeness of the information gathered for this evaluation and to minimize the burden the evaluation places on respondents: </w:t>
      </w:r>
    </w:p>
    <w:p w:rsidR="00273C77" w:rsidRPr="003F7A1F" w:rsidRDefault="00273C77" w:rsidP="00122780">
      <w:pPr>
        <w:pStyle w:val="PBullet"/>
      </w:pPr>
      <w:r w:rsidRPr="003F7A1F">
        <w:t xml:space="preserve">When possible, data will be collected through </w:t>
      </w:r>
      <w:r>
        <w:t xml:space="preserve">ED’s </w:t>
      </w:r>
      <w:r w:rsidRPr="003F7A1F">
        <w:t>and states</w:t>
      </w:r>
      <w:r>
        <w:t>’</w:t>
      </w:r>
      <w:r w:rsidRPr="003F7A1F">
        <w:t xml:space="preserve"> websites and through </w:t>
      </w:r>
      <w:r>
        <w:t xml:space="preserve">extant data </w:t>
      </w:r>
      <w:r w:rsidRPr="003F7A1F">
        <w:t>sources such as ED</w:t>
      </w:r>
      <w:r w:rsidRPr="00226D67">
        <w:rPr>
          <w:i/>
        </w:rPr>
        <w:t>Facts</w:t>
      </w:r>
      <w:r>
        <w:t>,</w:t>
      </w:r>
      <w:r w:rsidRPr="003F7A1F">
        <w:t xml:space="preserve"> the </w:t>
      </w:r>
      <w:r>
        <w:t xml:space="preserve">NAYPI database, and the </w:t>
      </w:r>
      <w:r w:rsidRPr="003F7A1F">
        <w:t>Common Core of Data.</w:t>
      </w:r>
    </w:p>
    <w:p w:rsidR="00273C77" w:rsidRPr="00122780" w:rsidRDefault="00273C77" w:rsidP="00122780">
      <w:pPr>
        <w:pStyle w:val="PBullet"/>
      </w:pPr>
      <w:r w:rsidRPr="00122780">
        <w:t xml:space="preserve">School surveys will be offered in a web-based format to alleviate burden on the respondents. We will follow up with those who do not respond to the online survey with printed surveys sent by mail. Printed surveys will contain clear instructions for completing the survey, together with a postage-paid return envelope with clear directions for its return to </w:t>
      </w:r>
      <w:r>
        <w:t>NORC at the University of Chicago</w:t>
      </w:r>
      <w:r w:rsidRPr="00122780">
        <w:t>.</w:t>
      </w:r>
      <w:r>
        <w:t xml:space="preserve"> </w:t>
      </w:r>
    </w:p>
    <w:p w:rsidR="00273C77" w:rsidRPr="003F7A1F" w:rsidRDefault="00273C77" w:rsidP="00122780">
      <w:pPr>
        <w:pStyle w:val="PBulletLast"/>
      </w:pPr>
      <w:r w:rsidRPr="003F7A1F">
        <w:t>A toll-free number will be available during the data collection process to permit respondents to contact evaluation staff with questions or to complete the survey by phone.</w:t>
      </w:r>
      <w:r>
        <w:t xml:space="preserve"> </w:t>
      </w:r>
    </w:p>
    <w:p w:rsidR="00273C77" w:rsidRDefault="00273C77" w:rsidP="00BE15B9">
      <w:pPr>
        <w:pStyle w:val="Heading3"/>
      </w:pPr>
      <w:bookmarkStart w:id="56" w:name="_Toc271899444"/>
      <w:bookmarkStart w:id="57" w:name="_Toc280106396"/>
      <w:r w:rsidRPr="00842280">
        <w:t>4. Efforts to Identify Duplication</w:t>
      </w:r>
      <w:bookmarkEnd w:id="56"/>
      <w:bookmarkEnd w:id="57"/>
    </w:p>
    <w:p w:rsidR="00273C77" w:rsidRPr="005E1A5E" w:rsidRDefault="00273C77" w:rsidP="00122780">
      <w:pPr>
        <w:pStyle w:val="PBodyText"/>
      </w:pPr>
      <w:r w:rsidRPr="005E1A5E">
        <w:t>Where possible, we will use existing data including ED</w:t>
      </w:r>
      <w:r w:rsidRPr="00226D67">
        <w:rPr>
          <w:i/>
        </w:rPr>
        <w:t>Facts</w:t>
      </w:r>
      <w:r w:rsidRPr="005E1A5E">
        <w:t xml:space="preserve">, state accountability workbooks, </w:t>
      </w:r>
      <w:r w:rsidRPr="003F7A1F">
        <w:rPr>
          <w:rFonts w:cs="Arial"/>
        </w:rPr>
        <w:t xml:space="preserve">the </w:t>
      </w:r>
      <w:r>
        <w:rPr>
          <w:rFonts w:cs="Arial"/>
        </w:rPr>
        <w:t>NAYPI database,</w:t>
      </w:r>
      <w:r w:rsidRPr="005E1A5E">
        <w:t xml:space="preserve"> and the Common Core of Data to inform our analyses, which will greatly reduce the number of questions asked on the school surveys</w:t>
      </w:r>
      <w:r>
        <w:t>,</w:t>
      </w:r>
      <w:r w:rsidRPr="005E1A5E">
        <w:t xml:space="preserve"> minimizing duplication of previous data collection efforts and information. </w:t>
      </w:r>
    </w:p>
    <w:p w:rsidR="00273C77" w:rsidRDefault="00273C77" w:rsidP="00BE15B9">
      <w:pPr>
        <w:pStyle w:val="Heading3"/>
      </w:pPr>
      <w:bookmarkStart w:id="58" w:name="_Toc271899445"/>
      <w:bookmarkStart w:id="59" w:name="_Toc280106397"/>
      <w:r>
        <w:t>5. Methods to Minimize Burden on Small Entities</w:t>
      </w:r>
      <w:bookmarkEnd w:id="58"/>
      <w:bookmarkEnd w:id="59"/>
    </w:p>
    <w:p w:rsidR="00273C77" w:rsidRPr="005E1A5E" w:rsidRDefault="00273C77" w:rsidP="00122780">
      <w:pPr>
        <w:pStyle w:val="PBodyText"/>
      </w:pPr>
      <w:r w:rsidRPr="005E1A5E">
        <w:t>No small business or entities w</w:t>
      </w:r>
      <w:r>
        <w:t>ill be involved as respondents.</w:t>
      </w:r>
    </w:p>
    <w:p w:rsidR="00273C77" w:rsidRDefault="00273C77" w:rsidP="00BE15B9">
      <w:pPr>
        <w:pStyle w:val="Heading3"/>
      </w:pPr>
      <w:bookmarkStart w:id="60" w:name="_Toc271899446"/>
      <w:bookmarkStart w:id="61" w:name="_Toc280106398"/>
      <w:r w:rsidRPr="007A5C1E">
        <w:t>6. Consequence of Not Collecting Data</w:t>
      </w:r>
      <w:bookmarkEnd w:id="60"/>
      <w:bookmarkEnd w:id="61"/>
    </w:p>
    <w:p w:rsidR="00273C77" w:rsidRPr="005E1A5E" w:rsidRDefault="00273C77" w:rsidP="00122780">
      <w:pPr>
        <w:pStyle w:val="PBodyText"/>
      </w:pPr>
      <w:r>
        <w:t xml:space="preserve">As part of </w:t>
      </w:r>
      <w:r w:rsidRPr="005E1A5E">
        <w:t>the congressionally mand</w:t>
      </w:r>
      <w:r>
        <w:t xml:space="preserve">ated National Assessment of </w:t>
      </w:r>
      <w:r w:rsidRPr="000D69B0">
        <w:rPr>
          <w:i/>
        </w:rPr>
        <w:t>IDEA</w:t>
      </w:r>
      <w:r>
        <w:t>, t</w:t>
      </w:r>
      <w:r w:rsidRPr="005E1A5E">
        <w:t xml:space="preserve">his study will collect information on </w:t>
      </w:r>
      <w:r>
        <w:t xml:space="preserve">schools’ accountability status and AYP performance with respect to SWDs, </w:t>
      </w:r>
      <w:r w:rsidRPr="005E1A5E">
        <w:t>the academic achievement of SWDs</w:t>
      </w:r>
      <w:r>
        <w:t>,</w:t>
      </w:r>
      <w:r w:rsidRPr="005E1A5E">
        <w:t xml:space="preserve"> and school practices</w:t>
      </w:r>
      <w:r>
        <w:t xml:space="preserve"> concerning SWDs </w:t>
      </w:r>
      <w:r w:rsidRPr="005E1A5E">
        <w:t xml:space="preserve">that has not been systematically acquired and analyzed to date. Failure to collect the data proposed </w:t>
      </w:r>
      <w:r>
        <w:t>for</w:t>
      </w:r>
      <w:r w:rsidRPr="005E1A5E">
        <w:t xml:space="preserve"> this study would prevent </w:t>
      </w:r>
      <w:r>
        <w:t xml:space="preserve">the </w:t>
      </w:r>
      <w:r w:rsidRPr="005E1A5E">
        <w:t xml:space="preserve">Congress and </w:t>
      </w:r>
      <w:r>
        <w:t xml:space="preserve">ED </w:t>
      </w:r>
      <w:r w:rsidRPr="005E1A5E">
        <w:t xml:space="preserve">from assessing how the </w:t>
      </w:r>
      <w:r w:rsidRPr="000D69B0">
        <w:rPr>
          <w:i/>
        </w:rPr>
        <w:t>ESEA</w:t>
      </w:r>
      <w:r w:rsidRPr="005E1A5E">
        <w:t xml:space="preserve"> </w:t>
      </w:r>
      <w:r>
        <w:t xml:space="preserve">accountability and </w:t>
      </w:r>
      <w:r w:rsidRPr="005E1A5E">
        <w:t xml:space="preserve">improvement status </w:t>
      </w:r>
      <w:r>
        <w:t xml:space="preserve">of </w:t>
      </w:r>
      <w:r w:rsidRPr="005E1A5E">
        <w:t>school</w:t>
      </w:r>
      <w:r>
        <w:t xml:space="preserve">s supported through </w:t>
      </w:r>
      <w:r w:rsidRPr="000D69B0">
        <w:rPr>
          <w:i/>
        </w:rPr>
        <w:t>IDEA</w:t>
      </w:r>
      <w:r>
        <w:t xml:space="preserve"> relate</w:t>
      </w:r>
      <w:r w:rsidRPr="005E1A5E">
        <w:t xml:space="preserve"> to </w:t>
      </w:r>
      <w:r>
        <w:t xml:space="preserve">school practices that may affect </w:t>
      </w:r>
      <w:r w:rsidRPr="005E1A5E">
        <w:t xml:space="preserve">the educational outcomes of SWDs. </w:t>
      </w:r>
      <w:r>
        <w:t xml:space="preserve">It would also prevent the Congress and ED from assessing whether key achievement outcomes of SWDs are improving in schools supported through </w:t>
      </w:r>
      <w:r w:rsidRPr="000D69B0">
        <w:rPr>
          <w:i/>
        </w:rPr>
        <w:t>IDEA</w:t>
      </w:r>
      <w:r>
        <w:t xml:space="preserve">. </w:t>
      </w:r>
    </w:p>
    <w:p w:rsidR="00273C77" w:rsidRDefault="00273C77" w:rsidP="00BE15B9">
      <w:pPr>
        <w:pStyle w:val="Heading3"/>
      </w:pPr>
      <w:bookmarkStart w:id="62" w:name="_Toc271899447"/>
      <w:bookmarkStart w:id="63" w:name="_Toc280106399"/>
      <w:r>
        <w:t>7. Special Circumstances</w:t>
      </w:r>
      <w:bookmarkEnd w:id="62"/>
      <w:bookmarkEnd w:id="63"/>
    </w:p>
    <w:p w:rsidR="00273C77" w:rsidRPr="005E1A5E" w:rsidRDefault="00273C77" w:rsidP="00122780">
      <w:pPr>
        <w:pStyle w:val="PBodyText"/>
      </w:pPr>
      <w:r w:rsidRPr="005E1A5E">
        <w:t xml:space="preserve">None of the special circumstances listed apply to this data collection. </w:t>
      </w:r>
    </w:p>
    <w:p w:rsidR="00273C77" w:rsidRDefault="00273C77" w:rsidP="00BE15B9">
      <w:pPr>
        <w:pStyle w:val="Heading3"/>
      </w:pPr>
      <w:bookmarkStart w:id="64" w:name="_Toc271899448"/>
      <w:bookmarkStart w:id="65" w:name="_Toc280106400"/>
      <w:r w:rsidRPr="00842280">
        <w:t>8. Federal Register Comments and Persons Consulted Outside the Agency</w:t>
      </w:r>
      <w:bookmarkEnd w:id="64"/>
      <w:bookmarkEnd w:id="65"/>
    </w:p>
    <w:p w:rsidR="00273C77" w:rsidRPr="003F7A1F" w:rsidRDefault="00273C77" w:rsidP="00122780">
      <w:pPr>
        <w:pStyle w:val="PBodyText"/>
      </w:pPr>
      <w:r w:rsidRPr="003F7A1F">
        <w:t>A 60</w:t>
      </w:r>
      <w:r>
        <w:t>-</w:t>
      </w:r>
      <w:r w:rsidRPr="003F7A1F">
        <w:t xml:space="preserve">day notice about the study </w:t>
      </w:r>
      <w:r>
        <w:t>was</w:t>
      </w:r>
      <w:r w:rsidRPr="003F7A1F">
        <w:t xml:space="preserve"> published in the Federal </w:t>
      </w:r>
      <w:r w:rsidRPr="00867AC3">
        <w:t>Register (</w:t>
      </w:r>
      <w:r w:rsidRPr="003A1EAF">
        <w:t>Volume 75, page 61137</w:t>
      </w:r>
      <w:r w:rsidRPr="00867AC3">
        <w:t xml:space="preserve">) on </w:t>
      </w:r>
      <w:r>
        <w:t>October 4</w:t>
      </w:r>
      <w:r w:rsidRPr="00867AC3">
        <w:t>,</w:t>
      </w:r>
      <w:r>
        <w:t xml:space="preserve"> 2010</w:t>
      </w:r>
      <w:r w:rsidRPr="00867AC3">
        <w:t>, to provide the opportunity</w:t>
      </w:r>
      <w:r w:rsidRPr="003F7A1F">
        <w:t xml:space="preserve"> for public comment. </w:t>
      </w:r>
      <w:r>
        <w:t xml:space="preserve">No public comments were received during the 60-day period. </w:t>
      </w:r>
    </w:p>
    <w:p w:rsidR="00273C77" w:rsidRPr="00274072" w:rsidRDefault="00273C77" w:rsidP="00122780">
      <w:pPr>
        <w:pStyle w:val="PBodyText"/>
      </w:pPr>
      <w:r w:rsidRPr="003F7A1F">
        <w:t>To assist with the study</w:t>
      </w:r>
      <w:r>
        <w:t>’</w:t>
      </w:r>
      <w:r w:rsidRPr="003F7A1F">
        <w:t xml:space="preserve">s complex technical and substantive issues, the study team has drawn on the experience and expertise of a technical working group (TWG) that provides a diverse range of experiences and perspectives. The members of this group, their affiliations, and their areas of expertise are listed in Exhibit </w:t>
      </w:r>
      <w:r>
        <w:t>4</w:t>
      </w:r>
      <w:r w:rsidRPr="00274072">
        <w:t xml:space="preserve">. </w:t>
      </w:r>
    </w:p>
    <w:p w:rsidR="00273C77" w:rsidRDefault="00273C77" w:rsidP="00122780">
      <w:pPr>
        <w:pStyle w:val="PExhibitTitle"/>
      </w:pPr>
      <w:bookmarkStart w:id="66" w:name="_Toc280106417"/>
      <w:r>
        <w:t>Exhibit 4</w:t>
      </w:r>
      <w:r w:rsidRPr="003F7A1F">
        <w:t>. Technical Work Group Members</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tblPr>
      <w:tblGrid>
        <w:gridCol w:w="1915"/>
        <w:gridCol w:w="4223"/>
        <w:gridCol w:w="3438"/>
      </w:tblGrid>
      <w:tr w:rsidR="00273C77" w:rsidRPr="003F7A1F" w:rsidTr="00274072">
        <w:trPr>
          <w:trHeight w:val="50"/>
          <w:tblHeader/>
        </w:trPr>
        <w:tc>
          <w:tcPr>
            <w:tcW w:w="1915" w:type="dxa"/>
            <w:shd w:val="clear" w:color="auto" w:fill="808080"/>
            <w:vAlign w:val="center"/>
          </w:tcPr>
          <w:p w:rsidR="00273C77" w:rsidRPr="003F7A1F" w:rsidRDefault="00273C77" w:rsidP="00274072">
            <w:pPr>
              <w:pStyle w:val="PTableHeading"/>
            </w:pPr>
            <w:r w:rsidRPr="003F7A1F">
              <w:t>TWG Member</w:t>
            </w:r>
          </w:p>
        </w:tc>
        <w:tc>
          <w:tcPr>
            <w:tcW w:w="4223" w:type="dxa"/>
            <w:shd w:val="clear" w:color="auto" w:fill="808080"/>
            <w:vAlign w:val="center"/>
          </w:tcPr>
          <w:p w:rsidR="00273C77" w:rsidRPr="003F7A1F" w:rsidRDefault="00273C77" w:rsidP="00274072">
            <w:pPr>
              <w:pStyle w:val="PTableHeading"/>
            </w:pPr>
            <w:r w:rsidRPr="003F7A1F">
              <w:t>Professional Affiliation</w:t>
            </w:r>
          </w:p>
        </w:tc>
        <w:tc>
          <w:tcPr>
            <w:tcW w:w="3438" w:type="dxa"/>
            <w:shd w:val="clear" w:color="auto" w:fill="808080"/>
            <w:vAlign w:val="center"/>
          </w:tcPr>
          <w:p w:rsidR="00273C77" w:rsidRPr="003F7A1F" w:rsidRDefault="00273C77" w:rsidP="00274072">
            <w:pPr>
              <w:pStyle w:val="PTableHeading"/>
            </w:pPr>
            <w:r w:rsidRPr="003F7A1F">
              <w:t>Areas of Expertise</w:t>
            </w:r>
          </w:p>
        </w:tc>
      </w:tr>
      <w:tr w:rsidR="00273C77" w:rsidRPr="003F7A1F" w:rsidTr="00EF7209">
        <w:trPr>
          <w:trHeight w:val="50"/>
        </w:trPr>
        <w:tc>
          <w:tcPr>
            <w:tcW w:w="1915" w:type="dxa"/>
          </w:tcPr>
          <w:p w:rsidR="00273C77" w:rsidRPr="003F7A1F" w:rsidRDefault="00273C77" w:rsidP="00274072">
            <w:pPr>
              <w:pStyle w:val="PTableText"/>
            </w:pPr>
            <w:r w:rsidRPr="003F7A1F">
              <w:t>Thomas Cook</w:t>
            </w:r>
          </w:p>
        </w:tc>
        <w:tc>
          <w:tcPr>
            <w:tcW w:w="4223" w:type="dxa"/>
          </w:tcPr>
          <w:p w:rsidR="00273C77" w:rsidRDefault="00273C77" w:rsidP="00274072">
            <w:pPr>
              <w:pStyle w:val="PTableText"/>
            </w:pPr>
            <w:r w:rsidRPr="003F7A1F">
              <w:t xml:space="preserve">Professor, Northwestern University </w:t>
            </w:r>
          </w:p>
        </w:tc>
        <w:tc>
          <w:tcPr>
            <w:tcW w:w="3438" w:type="dxa"/>
          </w:tcPr>
          <w:p w:rsidR="00273C77" w:rsidRDefault="00273C77" w:rsidP="00274072">
            <w:pPr>
              <w:pStyle w:val="PTableText"/>
            </w:pPr>
            <w:r>
              <w:t>Research methodology; program</w:t>
            </w:r>
            <w:r w:rsidRPr="003F7A1F">
              <w:t xml:space="preserve"> evaluation</w:t>
            </w:r>
          </w:p>
        </w:tc>
      </w:tr>
      <w:tr w:rsidR="00273C77" w:rsidRPr="003F7A1F" w:rsidTr="00EF7209">
        <w:trPr>
          <w:trHeight w:val="50"/>
        </w:trPr>
        <w:tc>
          <w:tcPr>
            <w:tcW w:w="1915" w:type="dxa"/>
          </w:tcPr>
          <w:p w:rsidR="00273C77" w:rsidRPr="003F7A1F" w:rsidRDefault="00273C77" w:rsidP="00274072">
            <w:pPr>
              <w:pStyle w:val="PTableText"/>
            </w:pPr>
            <w:r w:rsidRPr="003F7A1F">
              <w:t>Pete Goldschmidt</w:t>
            </w:r>
          </w:p>
        </w:tc>
        <w:tc>
          <w:tcPr>
            <w:tcW w:w="4223" w:type="dxa"/>
          </w:tcPr>
          <w:p w:rsidR="00273C77" w:rsidRDefault="00273C77" w:rsidP="00274072">
            <w:pPr>
              <w:pStyle w:val="PTableText"/>
            </w:pPr>
            <w:r>
              <w:t>Associate</w:t>
            </w:r>
            <w:r w:rsidRPr="003F7A1F">
              <w:t xml:space="preserve"> Professor, CRESST/UCLA</w:t>
            </w:r>
          </w:p>
        </w:tc>
        <w:tc>
          <w:tcPr>
            <w:tcW w:w="3438" w:type="dxa"/>
          </w:tcPr>
          <w:p w:rsidR="00273C77" w:rsidRDefault="00273C77" w:rsidP="00274072">
            <w:pPr>
              <w:pStyle w:val="PTableText"/>
            </w:pPr>
            <w:r w:rsidRPr="003F7A1F">
              <w:t xml:space="preserve">School accountability rules; state and district data systems </w:t>
            </w:r>
          </w:p>
        </w:tc>
      </w:tr>
      <w:tr w:rsidR="00273C77" w:rsidRPr="003F7A1F" w:rsidTr="00EF7209">
        <w:trPr>
          <w:trHeight w:val="50"/>
        </w:trPr>
        <w:tc>
          <w:tcPr>
            <w:tcW w:w="1915" w:type="dxa"/>
          </w:tcPr>
          <w:p w:rsidR="00273C77" w:rsidRPr="003F7A1F" w:rsidRDefault="00273C77" w:rsidP="00274072">
            <w:pPr>
              <w:pStyle w:val="PTableText"/>
            </w:pPr>
            <w:r w:rsidRPr="003F7A1F">
              <w:t>Brian Gong</w:t>
            </w:r>
          </w:p>
        </w:tc>
        <w:tc>
          <w:tcPr>
            <w:tcW w:w="4223" w:type="dxa"/>
          </w:tcPr>
          <w:p w:rsidR="00273C77" w:rsidRDefault="00273C77" w:rsidP="00274072">
            <w:pPr>
              <w:pStyle w:val="PTableText"/>
            </w:pPr>
            <w:r w:rsidRPr="003F7A1F">
              <w:t xml:space="preserve">Executive Director, National Center for the Improvement of Educational Assessment </w:t>
            </w:r>
          </w:p>
        </w:tc>
        <w:tc>
          <w:tcPr>
            <w:tcW w:w="3438" w:type="dxa"/>
          </w:tcPr>
          <w:p w:rsidR="00273C77" w:rsidRDefault="00273C77" w:rsidP="00274072">
            <w:pPr>
              <w:pStyle w:val="PTableText"/>
            </w:pPr>
            <w:r w:rsidRPr="003F7A1F">
              <w:t>School accountability rules; state and district data systems</w:t>
            </w:r>
          </w:p>
        </w:tc>
      </w:tr>
      <w:tr w:rsidR="00273C77" w:rsidRPr="003F7A1F" w:rsidTr="00EF7209">
        <w:trPr>
          <w:trHeight w:val="50"/>
        </w:trPr>
        <w:tc>
          <w:tcPr>
            <w:tcW w:w="1915" w:type="dxa"/>
          </w:tcPr>
          <w:p w:rsidR="00273C77" w:rsidRPr="003F7A1F" w:rsidRDefault="00273C77" w:rsidP="00274072">
            <w:pPr>
              <w:pStyle w:val="PTableText"/>
            </w:pPr>
            <w:r>
              <w:t>Douglas Fuchs</w:t>
            </w:r>
          </w:p>
        </w:tc>
        <w:tc>
          <w:tcPr>
            <w:tcW w:w="4223" w:type="dxa"/>
          </w:tcPr>
          <w:p w:rsidR="00273C77" w:rsidRDefault="00273C77" w:rsidP="00274072">
            <w:pPr>
              <w:pStyle w:val="PTableText"/>
            </w:pPr>
            <w:r>
              <w:t xml:space="preserve">Professor, </w:t>
            </w:r>
            <w:r w:rsidRPr="00B70515">
              <w:t>Vanderbilt University</w:t>
            </w:r>
          </w:p>
        </w:tc>
        <w:tc>
          <w:tcPr>
            <w:tcW w:w="3438" w:type="dxa"/>
          </w:tcPr>
          <w:p w:rsidR="00273C77" w:rsidRDefault="00273C77" w:rsidP="00274072">
            <w:pPr>
              <w:pStyle w:val="PTableText"/>
            </w:pPr>
            <w:r>
              <w:t>Special education research</w:t>
            </w:r>
          </w:p>
        </w:tc>
      </w:tr>
      <w:tr w:rsidR="00273C77" w:rsidRPr="003F7A1F" w:rsidTr="00EF7209">
        <w:trPr>
          <w:trHeight w:val="50"/>
        </w:trPr>
        <w:tc>
          <w:tcPr>
            <w:tcW w:w="1915" w:type="dxa"/>
          </w:tcPr>
          <w:p w:rsidR="00273C77" w:rsidRPr="003F7A1F" w:rsidRDefault="00273C77" w:rsidP="00274072">
            <w:pPr>
              <w:pStyle w:val="PTableText"/>
            </w:pPr>
            <w:r w:rsidRPr="003F7A1F">
              <w:t>Larry Hedges</w:t>
            </w:r>
          </w:p>
        </w:tc>
        <w:tc>
          <w:tcPr>
            <w:tcW w:w="4223" w:type="dxa"/>
          </w:tcPr>
          <w:p w:rsidR="00273C77" w:rsidRDefault="00273C77" w:rsidP="00274072">
            <w:pPr>
              <w:pStyle w:val="PTableText"/>
            </w:pPr>
            <w:r w:rsidRPr="003F7A1F">
              <w:t xml:space="preserve">Professor, Northwestern University </w:t>
            </w:r>
          </w:p>
        </w:tc>
        <w:tc>
          <w:tcPr>
            <w:tcW w:w="3438" w:type="dxa"/>
          </w:tcPr>
          <w:p w:rsidR="00273C77" w:rsidRDefault="00273C77" w:rsidP="00274072">
            <w:pPr>
              <w:pStyle w:val="PTableText"/>
            </w:pPr>
            <w:r w:rsidRPr="003F7A1F">
              <w:t>Measurements of student achievement</w:t>
            </w:r>
          </w:p>
        </w:tc>
      </w:tr>
      <w:tr w:rsidR="00273C77" w:rsidRPr="003F7A1F" w:rsidTr="00EF7209">
        <w:trPr>
          <w:trHeight w:val="50"/>
        </w:trPr>
        <w:tc>
          <w:tcPr>
            <w:tcW w:w="1915" w:type="dxa"/>
          </w:tcPr>
          <w:p w:rsidR="00273C77" w:rsidRPr="003F7A1F" w:rsidRDefault="00273C77" w:rsidP="00274072">
            <w:pPr>
              <w:pStyle w:val="PTableText"/>
            </w:pPr>
            <w:r>
              <w:t>Thomas Hehir</w:t>
            </w:r>
          </w:p>
        </w:tc>
        <w:tc>
          <w:tcPr>
            <w:tcW w:w="4223" w:type="dxa"/>
          </w:tcPr>
          <w:p w:rsidR="00273C77" w:rsidRDefault="00273C77" w:rsidP="00274072">
            <w:pPr>
              <w:pStyle w:val="PTableText"/>
            </w:pPr>
            <w:r>
              <w:t xml:space="preserve">Professor, </w:t>
            </w:r>
            <w:r w:rsidRPr="00B70515">
              <w:t>Harvard University</w:t>
            </w:r>
          </w:p>
        </w:tc>
        <w:tc>
          <w:tcPr>
            <w:tcW w:w="3438" w:type="dxa"/>
          </w:tcPr>
          <w:p w:rsidR="00273C77" w:rsidRDefault="00273C77" w:rsidP="00274072">
            <w:pPr>
              <w:pStyle w:val="PTableText"/>
            </w:pPr>
            <w:r>
              <w:t>Special education; federal education policy</w:t>
            </w:r>
          </w:p>
        </w:tc>
      </w:tr>
      <w:tr w:rsidR="00273C77" w:rsidRPr="00894CC1" w:rsidTr="00EF7209">
        <w:trPr>
          <w:trHeight w:val="50"/>
        </w:trPr>
        <w:tc>
          <w:tcPr>
            <w:tcW w:w="1915" w:type="dxa"/>
          </w:tcPr>
          <w:p w:rsidR="00273C77" w:rsidRDefault="00273C77" w:rsidP="00274072">
            <w:pPr>
              <w:pStyle w:val="PTableText"/>
            </w:pPr>
            <w:r w:rsidRPr="00894CC1">
              <w:t>Margaret McLaughlin</w:t>
            </w:r>
          </w:p>
        </w:tc>
        <w:tc>
          <w:tcPr>
            <w:tcW w:w="4223" w:type="dxa"/>
          </w:tcPr>
          <w:p w:rsidR="00273C77" w:rsidRDefault="00273C77" w:rsidP="00274072">
            <w:pPr>
              <w:pStyle w:val="PTableText"/>
            </w:pPr>
            <w:r>
              <w:t xml:space="preserve">Professor, </w:t>
            </w:r>
            <w:r w:rsidRPr="00894CC1">
              <w:t>University of Maryland</w:t>
            </w:r>
          </w:p>
        </w:tc>
        <w:tc>
          <w:tcPr>
            <w:tcW w:w="3438" w:type="dxa"/>
          </w:tcPr>
          <w:p w:rsidR="00273C77" w:rsidRDefault="00273C77" w:rsidP="00274072">
            <w:pPr>
              <w:pStyle w:val="PTableText"/>
            </w:pPr>
            <w:r>
              <w:t>Special education</w:t>
            </w:r>
          </w:p>
        </w:tc>
      </w:tr>
      <w:tr w:rsidR="00273C77" w:rsidRPr="00894CC1" w:rsidTr="00EF7209">
        <w:trPr>
          <w:trHeight w:val="50"/>
        </w:trPr>
        <w:tc>
          <w:tcPr>
            <w:tcW w:w="1915" w:type="dxa"/>
          </w:tcPr>
          <w:p w:rsidR="00273C77" w:rsidRPr="00894CC1" w:rsidRDefault="00273C77" w:rsidP="00274072">
            <w:pPr>
              <w:pStyle w:val="PTableText"/>
            </w:pPr>
            <w:r w:rsidRPr="00894CC1">
              <w:t>Martha Thurlow</w:t>
            </w:r>
          </w:p>
        </w:tc>
        <w:tc>
          <w:tcPr>
            <w:tcW w:w="4223" w:type="dxa"/>
          </w:tcPr>
          <w:p w:rsidR="00273C77" w:rsidRDefault="00273C77" w:rsidP="00274072">
            <w:pPr>
              <w:pStyle w:val="PTableText"/>
            </w:pPr>
            <w:r w:rsidRPr="00894CC1">
              <w:t>Director, National Center on Educational Outcomes</w:t>
            </w:r>
          </w:p>
        </w:tc>
        <w:tc>
          <w:tcPr>
            <w:tcW w:w="3438" w:type="dxa"/>
          </w:tcPr>
          <w:p w:rsidR="00273C77" w:rsidRDefault="00273C77" w:rsidP="00274072">
            <w:pPr>
              <w:pStyle w:val="PTableText"/>
            </w:pPr>
            <w:r>
              <w:t>Special education policy and practices at the national and state levels</w:t>
            </w:r>
          </w:p>
        </w:tc>
      </w:tr>
    </w:tbl>
    <w:p w:rsidR="00273C77" w:rsidRDefault="00273C77" w:rsidP="00274072">
      <w:pPr>
        <w:pStyle w:val="PTableText"/>
      </w:pPr>
    </w:p>
    <w:p w:rsidR="00273C77" w:rsidRPr="009E658E" w:rsidRDefault="00273C77" w:rsidP="00274072">
      <w:pPr>
        <w:pStyle w:val="PBodyText"/>
      </w:pPr>
      <w:r>
        <w:t>TWG meetings for this study will b</w:t>
      </w:r>
      <w:r w:rsidRPr="009E658E">
        <w:t xml:space="preserve">e held in </w:t>
      </w:r>
      <w:r>
        <w:t>spring 2011 and again in spring 2012</w:t>
      </w:r>
      <w:r w:rsidRPr="009E658E">
        <w:t xml:space="preserve"> to solicit feedback on the study reports. </w:t>
      </w:r>
    </w:p>
    <w:p w:rsidR="00273C77" w:rsidRDefault="00273C77" w:rsidP="00BE15B9">
      <w:pPr>
        <w:pStyle w:val="Heading3"/>
      </w:pPr>
      <w:bookmarkStart w:id="67" w:name="_Toc271899449"/>
      <w:bookmarkStart w:id="68" w:name="_Toc280106401"/>
      <w:r w:rsidRPr="00842280">
        <w:t>9. Payment or Gifts</w:t>
      </w:r>
      <w:bookmarkEnd w:id="67"/>
      <w:bookmarkEnd w:id="68"/>
    </w:p>
    <w:p w:rsidR="00273C77" w:rsidRPr="00687AFE" w:rsidRDefault="00273C77" w:rsidP="00ED0631">
      <w:pPr>
        <w:pStyle w:val="Text"/>
        <w:ind w:firstLine="0"/>
        <w:rPr>
          <w:rFonts w:ascii="Times New Roman" w:hAnsi="Times New Roman"/>
          <w:sz w:val="24"/>
          <w:szCs w:val="24"/>
        </w:rPr>
      </w:pPr>
      <w:r>
        <w:rPr>
          <w:rFonts w:ascii="Times New Roman" w:hAnsi="Times New Roman"/>
          <w:sz w:val="24"/>
          <w:szCs w:val="24"/>
        </w:rPr>
        <w:t xml:space="preserve">The </w:t>
      </w:r>
      <w:r w:rsidRPr="00D00271">
        <w:rPr>
          <w:rFonts w:ascii="Times New Roman" w:hAnsi="Times New Roman"/>
          <w:sz w:val="24"/>
          <w:szCs w:val="24"/>
        </w:rPr>
        <w:t>principal and the special education designee surveys</w:t>
      </w:r>
      <w:r>
        <w:rPr>
          <w:rFonts w:ascii="Times New Roman" w:hAnsi="Times New Roman"/>
          <w:sz w:val="24"/>
          <w:szCs w:val="24"/>
        </w:rPr>
        <w:t xml:space="preserve"> will be the sole source of data for Research Question 2; therefore it is important to achieve a high response rate. </w:t>
      </w:r>
      <w:r w:rsidRPr="00687AFE">
        <w:rPr>
          <w:rFonts w:ascii="Times New Roman" w:hAnsi="Times New Roman"/>
          <w:sz w:val="24"/>
          <w:szCs w:val="24"/>
        </w:rPr>
        <w:t>Studies have shown that when used appropriately, incentives are a cost-effective means of significantly increasing response rates (e.g., Dillman, 1978</w:t>
      </w:r>
      <w:r>
        <w:rPr>
          <w:rFonts w:ascii="Times New Roman" w:hAnsi="Times New Roman"/>
          <w:sz w:val="24"/>
          <w:szCs w:val="24"/>
        </w:rPr>
        <w:t>, 2000</w:t>
      </w:r>
      <w:r w:rsidRPr="00687AFE">
        <w:rPr>
          <w:rFonts w:ascii="Times New Roman" w:hAnsi="Times New Roman"/>
          <w:sz w:val="24"/>
          <w:szCs w:val="24"/>
        </w:rPr>
        <w:t>).</w:t>
      </w:r>
      <w:r>
        <w:rPr>
          <w:rFonts w:ascii="Times New Roman" w:hAnsi="Times New Roman"/>
          <w:sz w:val="24"/>
          <w:szCs w:val="24"/>
        </w:rPr>
        <w:t xml:space="preserve"> </w:t>
      </w:r>
      <w:r w:rsidRPr="00687AFE">
        <w:rPr>
          <w:rFonts w:ascii="Times New Roman" w:hAnsi="Times New Roman"/>
          <w:sz w:val="24"/>
          <w:szCs w:val="24"/>
        </w:rPr>
        <w:t xml:space="preserve">As Groves, Cialdini, and Couper (1992) note, people feel obligated to reward positive behavior (such as being provided with an incentive) with positive behavior in return—in the current context, such positive return behavior would be defined as </w:t>
      </w:r>
      <w:r>
        <w:rPr>
          <w:rFonts w:ascii="Times New Roman" w:hAnsi="Times New Roman"/>
          <w:sz w:val="24"/>
          <w:szCs w:val="24"/>
        </w:rPr>
        <w:t xml:space="preserve">the completion of the </w:t>
      </w:r>
      <w:r w:rsidRPr="00687AFE">
        <w:rPr>
          <w:rFonts w:ascii="Times New Roman" w:hAnsi="Times New Roman"/>
          <w:sz w:val="24"/>
          <w:szCs w:val="24"/>
        </w:rPr>
        <w:t>survey.</w:t>
      </w:r>
      <w:r>
        <w:rPr>
          <w:rFonts w:ascii="Times New Roman" w:hAnsi="Times New Roman"/>
          <w:sz w:val="24"/>
          <w:szCs w:val="24"/>
        </w:rPr>
        <w:t xml:space="preserve"> </w:t>
      </w:r>
      <w:r w:rsidRPr="00687AFE">
        <w:rPr>
          <w:rFonts w:ascii="Times New Roman" w:hAnsi="Times New Roman"/>
          <w:sz w:val="24"/>
          <w:szCs w:val="24"/>
        </w:rPr>
        <w:t>Surveys that use incentives can actually be less expensive that those that do not.</w:t>
      </w:r>
      <w:r>
        <w:rPr>
          <w:rFonts w:ascii="Times New Roman" w:hAnsi="Times New Roman"/>
          <w:sz w:val="24"/>
          <w:szCs w:val="24"/>
        </w:rPr>
        <w:t xml:space="preserve"> This is because g</w:t>
      </w:r>
      <w:r w:rsidRPr="00562B58">
        <w:rPr>
          <w:rFonts w:ascii="Times New Roman" w:hAnsi="Times New Roman"/>
          <w:sz w:val="24"/>
          <w:szCs w:val="24"/>
        </w:rPr>
        <w:t xml:space="preserve">reater up-front investment by means of incentives </w:t>
      </w:r>
      <w:r>
        <w:rPr>
          <w:rFonts w:ascii="Times New Roman" w:hAnsi="Times New Roman"/>
          <w:sz w:val="24"/>
          <w:szCs w:val="24"/>
        </w:rPr>
        <w:t>will help</w:t>
      </w:r>
      <w:r w:rsidRPr="00562B58">
        <w:rPr>
          <w:rFonts w:ascii="Times New Roman" w:hAnsi="Times New Roman"/>
          <w:sz w:val="24"/>
          <w:szCs w:val="24"/>
        </w:rPr>
        <w:t xml:space="preserve"> minimiz</w:t>
      </w:r>
      <w:r>
        <w:rPr>
          <w:rFonts w:ascii="Times New Roman" w:hAnsi="Times New Roman"/>
          <w:sz w:val="24"/>
          <w:szCs w:val="24"/>
        </w:rPr>
        <w:t>e</w:t>
      </w:r>
      <w:r w:rsidRPr="00562B58">
        <w:rPr>
          <w:rFonts w:ascii="Times New Roman" w:hAnsi="Times New Roman"/>
          <w:sz w:val="24"/>
          <w:szCs w:val="24"/>
        </w:rPr>
        <w:t xml:space="preserve"> the </w:t>
      </w:r>
      <w:r>
        <w:rPr>
          <w:rFonts w:ascii="Times New Roman" w:hAnsi="Times New Roman"/>
          <w:sz w:val="24"/>
          <w:szCs w:val="24"/>
        </w:rPr>
        <w:t xml:space="preserve">need for more </w:t>
      </w:r>
      <w:r w:rsidRPr="00562B58">
        <w:rPr>
          <w:rFonts w:ascii="Times New Roman" w:hAnsi="Times New Roman"/>
          <w:sz w:val="24"/>
          <w:szCs w:val="24"/>
        </w:rPr>
        <w:t>expensive follow</w:t>
      </w:r>
      <w:r>
        <w:rPr>
          <w:rFonts w:ascii="Times New Roman" w:hAnsi="Times New Roman"/>
          <w:sz w:val="24"/>
          <w:szCs w:val="24"/>
        </w:rPr>
        <w:t>-</w:t>
      </w:r>
      <w:r w:rsidRPr="00562B58">
        <w:rPr>
          <w:rFonts w:ascii="Times New Roman" w:hAnsi="Times New Roman"/>
          <w:sz w:val="24"/>
          <w:szCs w:val="24"/>
        </w:rPr>
        <w:t>up</w:t>
      </w:r>
      <w:r>
        <w:rPr>
          <w:rFonts w:ascii="Times New Roman" w:hAnsi="Times New Roman"/>
          <w:sz w:val="24"/>
          <w:szCs w:val="24"/>
        </w:rPr>
        <w:t>s</w:t>
      </w:r>
      <w:r w:rsidRPr="00792C0D">
        <w:rPr>
          <w:rFonts w:ascii="Times New Roman" w:hAnsi="Times New Roman"/>
          <w:sz w:val="24"/>
          <w:szCs w:val="24"/>
        </w:rPr>
        <w:t xml:space="preserve"> </w:t>
      </w:r>
      <w:r w:rsidRPr="00562B58">
        <w:rPr>
          <w:rFonts w:ascii="Times New Roman" w:hAnsi="Times New Roman"/>
          <w:sz w:val="24"/>
          <w:szCs w:val="24"/>
        </w:rPr>
        <w:t>in later stages</w:t>
      </w:r>
      <w:r>
        <w:rPr>
          <w:rFonts w:ascii="Times New Roman" w:hAnsi="Times New Roman"/>
          <w:sz w:val="24"/>
          <w:szCs w:val="24"/>
        </w:rPr>
        <w:t xml:space="preserve">, thus resulting in </w:t>
      </w:r>
      <w:r w:rsidRPr="00562B58">
        <w:rPr>
          <w:rFonts w:ascii="Times New Roman" w:hAnsi="Times New Roman"/>
          <w:sz w:val="24"/>
          <w:szCs w:val="24"/>
        </w:rPr>
        <w:t>greater cost savings</w:t>
      </w:r>
      <w:r>
        <w:rPr>
          <w:rFonts w:ascii="Times New Roman" w:hAnsi="Times New Roman"/>
          <w:sz w:val="24"/>
          <w:szCs w:val="24"/>
        </w:rPr>
        <w:t xml:space="preserve"> and lower missing data rates. </w:t>
      </w:r>
    </w:p>
    <w:p w:rsidR="00273C77" w:rsidRDefault="00273C77" w:rsidP="00274072">
      <w:pPr>
        <w:pStyle w:val="PBodyText"/>
      </w:pPr>
      <w:r>
        <w:t>To boost the survey response rate and to compensate for respondents’ time, the study team plans to provide i</w:t>
      </w:r>
      <w:r w:rsidRPr="00A15065">
        <w:t xml:space="preserve">ncentives for the </w:t>
      </w:r>
      <w:r>
        <w:t xml:space="preserve">survey of </w:t>
      </w:r>
      <w:r w:rsidRPr="00A15065">
        <w:t>special education designee</w:t>
      </w:r>
      <w:r>
        <w:t xml:space="preserve">s, who are likely to be special education teachers with teaching responsibilities during the months when data collection occurs.  This survey will </w:t>
      </w:r>
      <w:r w:rsidRPr="00A15065">
        <w:t xml:space="preserve">require </w:t>
      </w:r>
      <w:r>
        <w:t xml:space="preserve">approximately </w:t>
      </w:r>
      <w:r w:rsidRPr="00A15065">
        <w:t>30 minutes to complete</w:t>
      </w:r>
      <w:r>
        <w:t>, compared with 15 minutes for the principal survey</w:t>
      </w:r>
      <w:r w:rsidRPr="00A15065">
        <w:t>. The planned incentive amount is $20 per respondent</w:t>
      </w:r>
      <w:r>
        <w:t>,</w:t>
      </w:r>
      <w:r w:rsidRPr="00A15065">
        <w:t xml:space="preserve"> for a maximum total cost of $</w:t>
      </w:r>
      <w:r>
        <w:t>132</w:t>
      </w:r>
      <w:r w:rsidRPr="00A15065">
        <w:t>,</w:t>
      </w:r>
      <w:r>
        <w:t>76</w:t>
      </w:r>
      <w:r w:rsidRPr="00A15065">
        <w:t xml:space="preserve">0, assuming all </w:t>
      </w:r>
      <w:r>
        <w:t>6,638</w:t>
      </w:r>
      <w:r w:rsidRPr="00A15065">
        <w:t xml:space="preserve"> special education designees complete the survey</w:t>
      </w:r>
      <w:r>
        <w:t xml:space="preserve">. The amount of incentive planned for the survey respondents is consistent with that proposed in the NCEE memo </w:t>
      </w:r>
      <w:r>
        <w:rPr>
          <w:i/>
          <w:iCs/>
        </w:rPr>
        <w:t>Guidelines for Incentives for NCEE Evaluation Studies</w:t>
      </w:r>
      <w:r>
        <w:t xml:space="preserve">, dated March 22, 2005.  </w:t>
      </w:r>
    </w:p>
    <w:p w:rsidR="00273C77" w:rsidRDefault="00273C77" w:rsidP="00274072">
      <w:pPr>
        <w:pStyle w:val="PBodyText"/>
      </w:pPr>
    </w:p>
    <w:p w:rsidR="00273C77" w:rsidRDefault="00273C77" w:rsidP="00274072">
      <w:pPr>
        <w:pStyle w:val="PBodyText"/>
      </w:pPr>
    </w:p>
    <w:p w:rsidR="00273C77" w:rsidRPr="00A15065" w:rsidRDefault="00273C77" w:rsidP="00274072">
      <w:pPr>
        <w:pStyle w:val="PBodyText"/>
      </w:pPr>
    </w:p>
    <w:p w:rsidR="00273C77" w:rsidRDefault="00273C77" w:rsidP="00BE15B9">
      <w:pPr>
        <w:pStyle w:val="Heading3"/>
      </w:pPr>
      <w:bookmarkStart w:id="69" w:name="_Toc271899450"/>
      <w:bookmarkStart w:id="70" w:name="_Toc280106402"/>
      <w:r>
        <w:t>10. Assurance of Confidentiality</w:t>
      </w:r>
      <w:bookmarkEnd w:id="69"/>
      <w:bookmarkEnd w:id="70"/>
    </w:p>
    <w:p w:rsidR="00273C77" w:rsidRPr="00745162" w:rsidRDefault="00273C77" w:rsidP="00745162">
      <w:pPr>
        <w:pStyle w:val="BodyText"/>
        <w:rPr>
          <w:rFonts w:ascii="Times New Roman" w:hAnsi="Times New Roman" w:cs="Times"/>
          <w:noProof/>
          <w:sz w:val="24"/>
          <w:szCs w:val="22"/>
        </w:rPr>
      </w:pPr>
      <w:r w:rsidRPr="00745162">
        <w:rPr>
          <w:rFonts w:ascii="Times New Roman" w:hAnsi="Times New Roman" w:cs="Times"/>
          <w:noProof/>
          <w:sz w:val="24"/>
          <w:szCs w:val="22"/>
        </w:rPr>
        <w:t>The study team has established procedures to ensure the confidentiality and security of the data collected. This approach will be in accordance with all relevant regulations and requirements, in particular the Education Sciences Institute Reform Act of 2002, Title I, Subsection (c) of Section 183, which requires the director of IES to “develop and enforce standards designed to protect the confidentiality of persons in the collection, reporting, and publication of data.”</w:t>
      </w:r>
      <w:r>
        <w:rPr>
          <w:rFonts w:ascii="Times New Roman" w:hAnsi="Times New Roman" w:cs="Times"/>
          <w:noProof/>
          <w:sz w:val="24"/>
          <w:szCs w:val="22"/>
        </w:rPr>
        <w:t xml:space="preserve"> </w:t>
      </w:r>
      <w:r w:rsidRPr="00745162">
        <w:rPr>
          <w:rFonts w:ascii="Times New Roman" w:hAnsi="Times New Roman" w:cs="Times"/>
          <w:noProof/>
          <w:sz w:val="24"/>
          <w:szCs w:val="22"/>
        </w:rPr>
        <w:t>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273C77" w:rsidRDefault="00273C77" w:rsidP="00274072">
      <w:pPr>
        <w:pStyle w:val="PBodyText"/>
        <w:rPr>
          <w:szCs w:val="24"/>
        </w:rPr>
      </w:pPr>
      <w:r>
        <w:t xml:space="preserve">In compliance with all the relevant regulations, </w:t>
      </w:r>
      <w:r w:rsidRPr="005E1A5E">
        <w:t xml:space="preserve">the study team will protect the full privacy and confidentiality of the school survey respondents. No respondent names, schools, or districts will be identified in reports or findings, and if necessary, distinguishing characteristics will be masked. </w:t>
      </w:r>
      <w:r>
        <w:t xml:space="preserve">The study team </w:t>
      </w:r>
      <w:r w:rsidRPr="00932829">
        <w:rPr>
          <w:szCs w:val="24"/>
        </w:rPr>
        <w:t xml:space="preserve">will </w:t>
      </w:r>
      <w:r>
        <w:rPr>
          <w:szCs w:val="24"/>
        </w:rPr>
        <w:t xml:space="preserve">also </w:t>
      </w:r>
      <w:r w:rsidRPr="00932829">
        <w:rPr>
          <w:szCs w:val="24"/>
        </w:rPr>
        <w:t>ensure the confidentiality and security of all student-level data</w:t>
      </w:r>
      <w:r>
        <w:rPr>
          <w:szCs w:val="24"/>
        </w:rPr>
        <w:t xml:space="preserve"> collected from the states participating in the study</w:t>
      </w:r>
      <w:r w:rsidRPr="00932829">
        <w:rPr>
          <w:szCs w:val="24"/>
        </w:rPr>
        <w:t>. To prevent the disclosure of any personally identifiable information, we will have states replace their true identifiers with a replacement set of identifiers</w:t>
      </w:r>
      <w:r>
        <w:rPr>
          <w:szCs w:val="24"/>
        </w:rPr>
        <w:t xml:space="preserve">; </w:t>
      </w:r>
      <w:r w:rsidRPr="00932829">
        <w:rPr>
          <w:szCs w:val="24"/>
        </w:rPr>
        <w:t xml:space="preserve">a crosswalk </w:t>
      </w:r>
      <w:r>
        <w:rPr>
          <w:szCs w:val="24"/>
        </w:rPr>
        <w:t xml:space="preserve">will be </w:t>
      </w:r>
      <w:r w:rsidRPr="00932829">
        <w:rPr>
          <w:szCs w:val="24"/>
        </w:rPr>
        <w:t>maintained separately</w:t>
      </w:r>
      <w:r>
        <w:rPr>
          <w:szCs w:val="24"/>
        </w:rPr>
        <w:t xml:space="preserve"> in a secure location</w:t>
      </w:r>
      <w:r w:rsidRPr="00932829">
        <w:rPr>
          <w:szCs w:val="24"/>
        </w:rPr>
        <w:t xml:space="preserve">. </w:t>
      </w:r>
    </w:p>
    <w:p w:rsidR="00273C77" w:rsidRPr="001B5323" w:rsidRDefault="00273C77" w:rsidP="001B5323">
      <w:pPr>
        <w:pStyle w:val="PBodyText"/>
      </w:pPr>
      <w:r w:rsidRPr="00B8577A">
        <w:rPr>
          <w:rFonts w:cs="Times New Roman"/>
          <w:color w:val="000000"/>
          <w:szCs w:val="24"/>
        </w:rPr>
        <w:t>Responses to data collection are voluntary and will be used only for broadly descriptive and statistical purposes.</w:t>
      </w:r>
      <w:r>
        <w:rPr>
          <w:rFonts w:cs="Times New Roman"/>
          <w:color w:val="000000"/>
          <w:szCs w:val="24"/>
        </w:rPr>
        <w:t xml:space="preserve"> </w:t>
      </w:r>
      <w:r w:rsidRPr="00B8577A">
        <w:rPr>
          <w:rFonts w:cs="Times New Roman"/>
          <w:color w:val="000000"/>
          <w:szCs w:val="24"/>
        </w:rPr>
        <w:t xml:space="preserve">The reports prepared for the study will summarize findings across the sample and will not associate responses with a specific </w:t>
      </w:r>
      <w:r w:rsidRPr="00F77C7E">
        <w:rPr>
          <w:rFonts w:cs="Times New Roman"/>
          <w:color w:val="000000"/>
          <w:szCs w:val="24"/>
        </w:rPr>
        <w:t>school</w:t>
      </w:r>
      <w:r w:rsidRPr="00B8577A">
        <w:rPr>
          <w:rFonts w:cs="Times New Roman"/>
          <w:color w:val="000000"/>
          <w:szCs w:val="24"/>
        </w:rPr>
        <w:t xml:space="preserve"> or individual.</w:t>
      </w:r>
      <w:r>
        <w:rPr>
          <w:rFonts w:cs="Times New Roman"/>
          <w:color w:val="000000"/>
          <w:szCs w:val="24"/>
        </w:rPr>
        <w:t xml:space="preserve"> </w:t>
      </w:r>
      <w:r w:rsidRPr="00B8577A">
        <w:rPr>
          <w:rFonts w:cs="Times New Roman"/>
          <w:color w:val="000000"/>
          <w:szCs w:val="24"/>
        </w:rPr>
        <w:t>In no instances</w:t>
      </w:r>
      <w:r w:rsidRPr="00F77C7E">
        <w:rPr>
          <w:rFonts w:cs="Times New Roman"/>
          <w:color w:val="000000"/>
          <w:szCs w:val="24"/>
        </w:rPr>
        <w:t xml:space="preserve"> will </w:t>
      </w:r>
      <w:r w:rsidRPr="00F77C7E">
        <w:rPr>
          <w:rFonts w:cs="Times New Roman"/>
          <w:szCs w:val="24"/>
        </w:rPr>
        <w:t xml:space="preserve">data that relate to or describe identifiable characteristics of individuals or individual schools be </w:t>
      </w:r>
      <w:r w:rsidRPr="001B5323">
        <w:t>disclosed or used in identifiable form, except as required by law.</w:t>
      </w:r>
    </w:p>
    <w:p w:rsidR="00273C77" w:rsidRDefault="00273C77" w:rsidP="00274072">
      <w:pPr>
        <w:pStyle w:val="PBodyText"/>
      </w:pPr>
      <w:r w:rsidRPr="007C09DF">
        <w:t>The study team will maintain the security of the complete set of all master data files and documentation, and access to personally identifiable data will be strictly controlled. With regard to printed data, information identifying individuals will be kept separate from other research data</w:t>
      </w:r>
      <w:r>
        <w:t>,</w:t>
      </w:r>
      <w:r w:rsidRPr="007C09DF">
        <w:t xml:space="preserve"> and all printed data will be kept in locked file cabinets during non</w:t>
      </w:r>
      <w:r>
        <w:t>-</w:t>
      </w:r>
      <w:r w:rsidRPr="007C09DF">
        <w:t xml:space="preserve">working hours. </w:t>
      </w:r>
    </w:p>
    <w:p w:rsidR="00273C77" w:rsidRPr="00D44386" w:rsidRDefault="00273C77" w:rsidP="00274072">
      <w:pPr>
        <w:pStyle w:val="PBodyText"/>
      </w:pPr>
      <w:r w:rsidRPr="00D44386">
        <w:t xml:space="preserve">All electronic data will be protected using several methods. The study team will provide secure FTP services that allow encrypted transfer of large data files with clients. This added service prevents the need to break up large files into many smaller pieces, while providing a secure connection over the </w:t>
      </w:r>
      <w:r w:rsidRPr="00226D67">
        <w:t>Internet. To protect its internal network from unauthorized access, AIR uses defense-in-depth best practices that incorporate firewalls and intrusion detection and prevention systems.</w:t>
      </w:r>
      <w:r>
        <w:t xml:space="preserve"> </w:t>
      </w:r>
      <w:r w:rsidRPr="007C09DF">
        <w:t xml:space="preserve">Data are backed up using high-speed backup tape drives (SDLT) and stored off site in a secure location on a weekly rotation schedule. Servers are located in separate, secured rooms with access limited to authorized staff. </w:t>
      </w:r>
      <w:r w:rsidRPr="00226D67">
        <w:t>The</w:t>
      </w:r>
      <w:r w:rsidRPr="00D44386">
        <w:t xml:space="preserve"> network is configured so that each user has a tailored set of rights, granted by the network administrator, to files approved for access and stored on the LAN. Access to our computer systems is password protected, and network passwords must be changed on regular basis and conform to our strong password policy. </w:t>
      </w:r>
    </w:p>
    <w:p w:rsidR="00273C77" w:rsidRPr="00932829" w:rsidRDefault="00273C77" w:rsidP="00274072">
      <w:pPr>
        <w:pStyle w:val="PBodyText"/>
      </w:pPr>
      <w:r w:rsidRPr="00932829">
        <w:t>AIR assumes responsibility for ensuring that all AIR staff members (including consultants and subcontractors) who will work on the contract are in compliance with ED</w:t>
      </w:r>
      <w:r>
        <w:t>’</w:t>
      </w:r>
      <w:r w:rsidRPr="00932829">
        <w:t xml:space="preserve">s contractor security clearance process, </w:t>
      </w:r>
      <w:r>
        <w:t xml:space="preserve">relevant </w:t>
      </w:r>
      <w:r w:rsidRPr="00932829">
        <w:t xml:space="preserve">privacy laws </w:t>
      </w:r>
      <w:r>
        <w:t>and regulations</w:t>
      </w:r>
      <w:r w:rsidRPr="00932829">
        <w:t>, and AIR</w:t>
      </w:r>
      <w:r>
        <w:t>’</w:t>
      </w:r>
      <w:r w:rsidRPr="00932829">
        <w:t>s Institutional Review Board policies.</w:t>
      </w:r>
      <w:r>
        <w:t xml:space="preserve"> AIR staff members who have access to sensitive data, including school survey data and student-level education records, will be required to sign a confidentiality agreement (see Appendix A) and obtain any clearances that may be necessary. </w:t>
      </w:r>
    </w:p>
    <w:p w:rsidR="00273C77" w:rsidRDefault="00273C77" w:rsidP="00BE15B9">
      <w:pPr>
        <w:pStyle w:val="Heading3"/>
      </w:pPr>
      <w:bookmarkStart w:id="71" w:name="_Toc271899451"/>
      <w:bookmarkStart w:id="72" w:name="_Toc280106403"/>
      <w:r>
        <w:t>11. Justification of Sensitive Questions</w:t>
      </w:r>
      <w:bookmarkEnd w:id="71"/>
      <w:bookmarkEnd w:id="72"/>
    </w:p>
    <w:p w:rsidR="00273C77" w:rsidRPr="005E1A5E" w:rsidRDefault="00273C77" w:rsidP="00274072">
      <w:pPr>
        <w:pStyle w:val="PBodyText"/>
      </w:pPr>
      <w:r w:rsidRPr="005E1A5E">
        <w:t xml:space="preserve">No questions of a sensitive nature will be included in this study. </w:t>
      </w:r>
    </w:p>
    <w:p w:rsidR="00273C77" w:rsidRDefault="00273C77" w:rsidP="00BE15B9">
      <w:pPr>
        <w:pStyle w:val="Heading3"/>
      </w:pPr>
      <w:bookmarkStart w:id="73" w:name="_Toc271899452"/>
      <w:bookmarkStart w:id="74" w:name="_Toc280106404"/>
      <w:r w:rsidRPr="00842280">
        <w:t>12. Estimates of Hour Burden</w:t>
      </w:r>
      <w:bookmarkEnd w:id="73"/>
      <w:bookmarkEnd w:id="74"/>
    </w:p>
    <w:p w:rsidR="00273C77" w:rsidRPr="00ED3C55" w:rsidRDefault="00273C77" w:rsidP="00274072">
      <w:pPr>
        <w:pStyle w:val="PBodyText"/>
      </w:pPr>
      <w:r w:rsidRPr="0011621E">
        <w:t xml:space="preserve">The </w:t>
      </w:r>
      <w:r w:rsidRPr="00ED3C55">
        <w:t xml:space="preserve">estimated </w:t>
      </w:r>
      <w:r>
        <w:t xml:space="preserve">maximum </w:t>
      </w:r>
      <w:r w:rsidRPr="00ED3C55">
        <w:t xml:space="preserve">hour burden for the data collections for the study is </w:t>
      </w:r>
      <w:r>
        <w:t>4,978.5</w:t>
      </w:r>
      <w:r w:rsidRPr="00ED3C55">
        <w:t xml:space="preserve"> hours. This figure includes </w:t>
      </w:r>
    </w:p>
    <w:p w:rsidR="00273C77" w:rsidRPr="00ED3C55" w:rsidRDefault="00273C77" w:rsidP="00274072">
      <w:pPr>
        <w:pStyle w:val="PBullet"/>
      </w:pPr>
      <w:r w:rsidRPr="00ED3C55">
        <w:t xml:space="preserve">time for </w:t>
      </w:r>
      <w:r>
        <w:t>100</w:t>
      </w:r>
      <w:r w:rsidRPr="00ED3C55">
        <w:rPr>
          <w:b/>
        </w:rPr>
        <w:t xml:space="preserve"> </w:t>
      </w:r>
      <w:r w:rsidRPr="00ED3C55">
        <w:t xml:space="preserve">percent of the </w:t>
      </w:r>
      <w:r>
        <w:t>6,638</w:t>
      </w:r>
      <w:r w:rsidRPr="00ED3C55">
        <w:t xml:space="preserve"> principals to respond to a 15-minute survey and </w:t>
      </w:r>
    </w:p>
    <w:p w:rsidR="00273C77" w:rsidRPr="0011621E" w:rsidRDefault="00273C77" w:rsidP="00274072">
      <w:pPr>
        <w:pStyle w:val="PBulletLast"/>
      </w:pPr>
      <w:r w:rsidRPr="00ED3C55">
        <w:t xml:space="preserve">time for </w:t>
      </w:r>
      <w:r>
        <w:t>100</w:t>
      </w:r>
      <w:r w:rsidRPr="00ED3C55">
        <w:t xml:space="preserve"> percent of the </w:t>
      </w:r>
      <w:r>
        <w:t>6,638</w:t>
      </w:r>
      <w:r w:rsidRPr="0011621E">
        <w:t xml:space="preserve"> special education designees to respond to a 30-minute survey.</w:t>
      </w:r>
    </w:p>
    <w:p w:rsidR="00273C77" w:rsidRPr="0011621E" w:rsidRDefault="00273C77" w:rsidP="00274072">
      <w:pPr>
        <w:pStyle w:val="PBodyText"/>
      </w:pPr>
      <w:r w:rsidRPr="0011621E">
        <w:t>Based on average hourly wages for participants, this amounts to an estimated monetary cost of $</w:t>
      </w:r>
      <w:r>
        <w:t>182,545</w:t>
      </w:r>
      <w:r w:rsidRPr="0011621E">
        <w:t xml:space="preserve">. Exhibit 5 </w:t>
      </w:r>
      <w:r>
        <w:t>provides further details about th</w:t>
      </w:r>
      <w:r w:rsidRPr="0011621E">
        <w:t>e</w:t>
      </w:r>
      <w:r>
        <w:t xml:space="preserve"> e</w:t>
      </w:r>
      <w:r w:rsidRPr="0011621E">
        <w:t>stimates of respondent burden.</w:t>
      </w:r>
    </w:p>
    <w:p w:rsidR="00273C77" w:rsidRPr="0011621E" w:rsidRDefault="00273C77" w:rsidP="00274072">
      <w:pPr>
        <w:pStyle w:val="PExhibitTitle"/>
      </w:pPr>
      <w:bookmarkStart w:id="75" w:name="_Toc232600289"/>
      <w:bookmarkStart w:id="76" w:name="_Toc280106418"/>
      <w:r w:rsidRPr="0011621E">
        <w:t>Exhibit 5. Summary of Estimates of Hour Burden</w:t>
      </w:r>
      <w:bookmarkEnd w:id="75"/>
      <w:bookmarkEnd w:id="7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tblPr>
      <w:tblGrid>
        <w:gridCol w:w="1663"/>
        <w:gridCol w:w="1033"/>
        <w:gridCol w:w="1307"/>
        <w:gridCol w:w="1694"/>
        <w:gridCol w:w="1288"/>
        <w:gridCol w:w="1276"/>
        <w:gridCol w:w="1329"/>
      </w:tblGrid>
      <w:tr w:rsidR="00273C77" w:rsidRPr="0011621E" w:rsidTr="002B56E8">
        <w:trPr>
          <w:jc w:val="center"/>
        </w:trPr>
        <w:tc>
          <w:tcPr>
            <w:tcW w:w="1663" w:type="dxa"/>
            <w:shd w:val="clear" w:color="auto" w:fill="808080"/>
            <w:vAlign w:val="center"/>
          </w:tcPr>
          <w:p w:rsidR="00273C77" w:rsidRPr="0011621E" w:rsidRDefault="00273C77" w:rsidP="00274072">
            <w:pPr>
              <w:pStyle w:val="PTableHeading"/>
            </w:pPr>
            <w:r w:rsidRPr="0011621E">
              <w:t>Task</w:t>
            </w:r>
          </w:p>
        </w:tc>
        <w:tc>
          <w:tcPr>
            <w:tcW w:w="1033" w:type="dxa"/>
            <w:shd w:val="clear" w:color="auto" w:fill="808080"/>
            <w:vAlign w:val="center"/>
          </w:tcPr>
          <w:p w:rsidR="00273C77" w:rsidRPr="0011621E" w:rsidRDefault="00273C77" w:rsidP="00274072">
            <w:pPr>
              <w:pStyle w:val="PTableHeading"/>
            </w:pPr>
            <w:r w:rsidRPr="0011621E">
              <w:t>Total Sample Size</w:t>
            </w:r>
          </w:p>
        </w:tc>
        <w:tc>
          <w:tcPr>
            <w:tcW w:w="1307" w:type="dxa"/>
            <w:shd w:val="clear" w:color="auto" w:fill="808080"/>
            <w:vAlign w:val="center"/>
          </w:tcPr>
          <w:p w:rsidR="00273C77" w:rsidRPr="0011621E" w:rsidRDefault="00273C77" w:rsidP="00274072">
            <w:pPr>
              <w:pStyle w:val="PTableHeading"/>
            </w:pPr>
            <w:r w:rsidRPr="0011621E">
              <w:t>Time Estimate</w:t>
            </w:r>
          </w:p>
          <w:p w:rsidR="00273C77" w:rsidRPr="0011621E" w:rsidRDefault="00273C77" w:rsidP="00B16EF5">
            <w:pPr>
              <w:pStyle w:val="PTableHeading"/>
            </w:pPr>
            <w:r w:rsidRPr="0011621E">
              <w:t>(hours)</w:t>
            </w:r>
          </w:p>
        </w:tc>
        <w:tc>
          <w:tcPr>
            <w:tcW w:w="1694" w:type="dxa"/>
            <w:shd w:val="clear" w:color="auto" w:fill="808080"/>
            <w:vAlign w:val="center"/>
          </w:tcPr>
          <w:p w:rsidR="00273C77" w:rsidRPr="0011621E" w:rsidRDefault="00273C77" w:rsidP="00274072">
            <w:pPr>
              <w:pStyle w:val="PTableHeading"/>
            </w:pPr>
            <w:r w:rsidRPr="0011621E">
              <w:t>Number of Admini</w:t>
            </w:r>
            <w:r>
              <w:t>s</w:t>
            </w:r>
            <w:r w:rsidRPr="0011621E">
              <w:t>trations</w:t>
            </w:r>
          </w:p>
        </w:tc>
        <w:tc>
          <w:tcPr>
            <w:tcW w:w="1288" w:type="dxa"/>
            <w:shd w:val="clear" w:color="auto" w:fill="808080"/>
            <w:vAlign w:val="center"/>
          </w:tcPr>
          <w:p w:rsidR="00273C77" w:rsidRPr="0011621E" w:rsidRDefault="00273C77" w:rsidP="00274072">
            <w:pPr>
              <w:pStyle w:val="PTableHeading"/>
            </w:pPr>
            <w:r w:rsidRPr="0011621E">
              <w:t>Total Hour Burden</w:t>
            </w:r>
          </w:p>
        </w:tc>
        <w:tc>
          <w:tcPr>
            <w:tcW w:w="1276" w:type="dxa"/>
            <w:shd w:val="clear" w:color="auto" w:fill="808080"/>
            <w:vAlign w:val="center"/>
          </w:tcPr>
          <w:p w:rsidR="00273C77" w:rsidRPr="0011621E" w:rsidRDefault="00273C77" w:rsidP="00274072">
            <w:pPr>
              <w:pStyle w:val="PTableHeading"/>
            </w:pPr>
            <w:r w:rsidRPr="0011621E">
              <w:t>Hourly Rate</w:t>
            </w:r>
            <w:r>
              <w:t>*</w:t>
            </w:r>
          </w:p>
        </w:tc>
        <w:tc>
          <w:tcPr>
            <w:tcW w:w="1329" w:type="dxa"/>
            <w:shd w:val="clear" w:color="auto" w:fill="808080"/>
            <w:vAlign w:val="center"/>
          </w:tcPr>
          <w:p w:rsidR="00273C77" w:rsidRPr="0011621E" w:rsidRDefault="00273C77" w:rsidP="00274072">
            <w:pPr>
              <w:pStyle w:val="PTableHeading"/>
            </w:pPr>
            <w:r w:rsidRPr="0011621E">
              <w:t>Estimated Monetary Cost of Burden</w:t>
            </w:r>
          </w:p>
        </w:tc>
      </w:tr>
      <w:tr w:rsidR="00273C77" w:rsidRPr="0011621E" w:rsidTr="002B56E8">
        <w:trPr>
          <w:jc w:val="center"/>
        </w:trPr>
        <w:tc>
          <w:tcPr>
            <w:tcW w:w="1663" w:type="dxa"/>
          </w:tcPr>
          <w:p w:rsidR="00273C77" w:rsidRPr="0011621E" w:rsidRDefault="00273C77" w:rsidP="00274072">
            <w:pPr>
              <w:pStyle w:val="PTableText"/>
            </w:pPr>
            <w:r w:rsidRPr="0011621E">
              <w:t xml:space="preserve">Administering principal survey </w:t>
            </w:r>
          </w:p>
        </w:tc>
        <w:tc>
          <w:tcPr>
            <w:tcW w:w="1033" w:type="dxa"/>
          </w:tcPr>
          <w:p w:rsidR="00273C77" w:rsidRPr="00965A9B" w:rsidRDefault="00273C77" w:rsidP="00CA70F1">
            <w:pPr>
              <w:pStyle w:val="PTableHeading3"/>
            </w:pPr>
            <w:r w:rsidRPr="00965A9B">
              <w:t>6,638</w:t>
            </w:r>
          </w:p>
        </w:tc>
        <w:tc>
          <w:tcPr>
            <w:tcW w:w="1307" w:type="dxa"/>
          </w:tcPr>
          <w:p w:rsidR="00273C77" w:rsidRPr="0011621E" w:rsidRDefault="00273C77" w:rsidP="00274072">
            <w:pPr>
              <w:pStyle w:val="PTableText"/>
              <w:jc w:val="center"/>
            </w:pPr>
            <w:r w:rsidRPr="0011621E">
              <w:t>0.25</w:t>
            </w:r>
          </w:p>
        </w:tc>
        <w:tc>
          <w:tcPr>
            <w:tcW w:w="1694" w:type="dxa"/>
          </w:tcPr>
          <w:p w:rsidR="00273C77" w:rsidRPr="0011621E" w:rsidRDefault="00273C77" w:rsidP="00274072">
            <w:pPr>
              <w:pStyle w:val="PTableText"/>
              <w:jc w:val="center"/>
            </w:pPr>
            <w:r w:rsidRPr="0011621E">
              <w:t>1</w:t>
            </w:r>
          </w:p>
        </w:tc>
        <w:tc>
          <w:tcPr>
            <w:tcW w:w="1288" w:type="dxa"/>
          </w:tcPr>
          <w:p w:rsidR="00273C77" w:rsidRPr="00965A9B" w:rsidRDefault="00273C77" w:rsidP="00CA70F1">
            <w:pPr>
              <w:pStyle w:val="PTableHeading3"/>
            </w:pPr>
            <w:r w:rsidRPr="00965A9B">
              <w:t>1,659.50</w:t>
            </w:r>
          </w:p>
        </w:tc>
        <w:tc>
          <w:tcPr>
            <w:tcW w:w="1276" w:type="dxa"/>
          </w:tcPr>
          <w:p w:rsidR="00273C77" w:rsidRPr="0011621E" w:rsidRDefault="00273C77" w:rsidP="00724C03">
            <w:pPr>
              <w:pStyle w:val="PTableText"/>
              <w:jc w:val="center"/>
            </w:pPr>
            <w:r w:rsidRPr="0011621E">
              <w:t>$</w:t>
            </w:r>
            <w:r>
              <w:t>50</w:t>
            </w:r>
          </w:p>
        </w:tc>
        <w:tc>
          <w:tcPr>
            <w:tcW w:w="1329" w:type="dxa"/>
          </w:tcPr>
          <w:p w:rsidR="00273C77" w:rsidRPr="00965A9B" w:rsidRDefault="00273C77" w:rsidP="00CA70F1">
            <w:pPr>
              <w:pStyle w:val="PTableHeading3"/>
            </w:pPr>
            <w:r w:rsidRPr="00965A9B">
              <w:t>$82,975</w:t>
            </w:r>
          </w:p>
        </w:tc>
      </w:tr>
      <w:tr w:rsidR="00273C77" w:rsidRPr="0011621E" w:rsidTr="002B56E8">
        <w:trPr>
          <w:jc w:val="center"/>
        </w:trPr>
        <w:tc>
          <w:tcPr>
            <w:tcW w:w="1663" w:type="dxa"/>
          </w:tcPr>
          <w:p w:rsidR="00273C77" w:rsidRPr="0011621E" w:rsidRDefault="00273C77" w:rsidP="00274072">
            <w:pPr>
              <w:pStyle w:val="PTableText"/>
            </w:pPr>
            <w:r w:rsidRPr="0011621E">
              <w:t>Administering special education designee survey</w:t>
            </w:r>
          </w:p>
        </w:tc>
        <w:tc>
          <w:tcPr>
            <w:tcW w:w="1033" w:type="dxa"/>
          </w:tcPr>
          <w:p w:rsidR="00273C77" w:rsidRPr="00965A9B" w:rsidRDefault="00273C77" w:rsidP="00CA70F1">
            <w:pPr>
              <w:pStyle w:val="PTableHeading3"/>
            </w:pPr>
            <w:r w:rsidRPr="00965A9B">
              <w:t>6,638</w:t>
            </w:r>
          </w:p>
        </w:tc>
        <w:tc>
          <w:tcPr>
            <w:tcW w:w="1307" w:type="dxa"/>
          </w:tcPr>
          <w:p w:rsidR="00273C77" w:rsidRPr="0011621E" w:rsidRDefault="00273C77" w:rsidP="00274072">
            <w:pPr>
              <w:pStyle w:val="PTableText"/>
              <w:jc w:val="center"/>
            </w:pPr>
            <w:r w:rsidRPr="0011621E">
              <w:t>0.50</w:t>
            </w:r>
          </w:p>
        </w:tc>
        <w:tc>
          <w:tcPr>
            <w:tcW w:w="1694" w:type="dxa"/>
          </w:tcPr>
          <w:p w:rsidR="00273C77" w:rsidRPr="0011621E" w:rsidRDefault="00273C77" w:rsidP="00274072">
            <w:pPr>
              <w:pStyle w:val="PTableText"/>
              <w:jc w:val="center"/>
            </w:pPr>
            <w:r w:rsidRPr="0011621E">
              <w:t>1</w:t>
            </w:r>
          </w:p>
        </w:tc>
        <w:tc>
          <w:tcPr>
            <w:tcW w:w="1288" w:type="dxa"/>
          </w:tcPr>
          <w:p w:rsidR="00273C77" w:rsidRPr="00965A9B" w:rsidRDefault="00273C77" w:rsidP="00CA70F1">
            <w:pPr>
              <w:pStyle w:val="PTableHeading3"/>
            </w:pPr>
            <w:r w:rsidRPr="00965A9B">
              <w:t>3,319.00</w:t>
            </w:r>
          </w:p>
        </w:tc>
        <w:tc>
          <w:tcPr>
            <w:tcW w:w="1276" w:type="dxa"/>
          </w:tcPr>
          <w:p w:rsidR="00273C77" w:rsidRPr="0011621E" w:rsidRDefault="00273C77" w:rsidP="00724C03">
            <w:pPr>
              <w:pStyle w:val="PTableText"/>
              <w:jc w:val="center"/>
            </w:pPr>
            <w:r w:rsidRPr="0011621E">
              <w:t>$</w:t>
            </w:r>
            <w:r>
              <w:t>43</w:t>
            </w:r>
          </w:p>
        </w:tc>
        <w:tc>
          <w:tcPr>
            <w:tcW w:w="1329" w:type="dxa"/>
          </w:tcPr>
          <w:p w:rsidR="00273C77" w:rsidRPr="00965A9B" w:rsidRDefault="00273C77" w:rsidP="00CA70F1">
            <w:pPr>
              <w:pStyle w:val="PTableHeading3"/>
            </w:pPr>
            <w:r w:rsidRPr="00965A9B">
              <w:t>$99,570</w:t>
            </w:r>
          </w:p>
        </w:tc>
      </w:tr>
      <w:tr w:rsidR="00273C77" w:rsidRPr="0011621E" w:rsidTr="002B56E8">
        <w:trPr>
          <w:jc w:val="center"/>
        </w:trPr>
        <w:tc>
          <w:tcPr>
            <w:tcW w:w="1663" w:type="dxa"/>
          </w:tcPr>
          <w:p w:rsidR="00273C77" w:rsidRPr="00965A9B" w:rsidRDefault="00273C77" w:rsidP="00274072">
            <w:pPr>
              <w:pStyle w:val="PTableHeading2"/>
            </w:pPr>
            <w:r w:rsidRPr="00965A9B">
              <w:t>Total  (one year)</w:t>
            </w:r>
          </w:p>
        </w:tc>
        <w:tc>
          <w:tcPr>
            <w:tcW w:w="1033" w:type="dxa"/>
          </w:tcPr>
          <w:p w:rsidR="00273C77" w:rsidRPr="00965A9B" w:rsidRDefault="00273C77" w:rsidP="00CA70F1">
            <w:pPr>
              <w:pStyle w:val="PTableHeading3"/>
            </w:pPr>
            <w:r w:rsidRPr="00965A9B">
              <w:t>13,276</w:t>
            </w:r>
          </w:p>
        </w:tc>
        <w:tc>
          <w:tcPr>
            <w:tcW w:w="1307" w:type="dxa"/>
          </w:tcPr>
          <w:p w:rsidR="00273C77" w:rsidRPr="0011621E" w:rsidRDefault="00273C77" w:rsidP="00274072">
            <w:pPr>
              <w:pStyle w:val="PTableText"/>
              <w:jc w:val="center"/>
            </w:pPr>
            <w:r w:rsidRPr="0011621E">
              <w:t>--</w:t>
            </w:r>
          </w:p>
        </w:tc>
        <w:tc>
          <w:tcPr>
            <w:tcW w:w="1694" w:type="dxa"/>
          </w:tcPr>
          <w:p w:rsidR="00273C77" w:rsidRPr="0011621E" w:rsidRDefault="00273C77" w:rsidP="00274072">
            <w:pPr>
              <w:pStyle w:val="PTableText"/>
              <w:jc w:val="center"/>
            </w:pPr>
            <w:r w:rsidRPr="0011621E">
              <w:t>--</w:t>
            </w:r>
          </w:p>
        </w:tc>
        <w:tc>
          <w:tcPr>
            <w:tcW w:w="1288" w:type="dxa"/>
          </w:tcPr>
          <w:p w:rsidR="00273C77" w:rsidRPr="00965A9B" w:rsidRDefault="00273C77" w:rsidP="00CA70F1">
            <w:pPr>
              <w:pStyle w:val="PTableHeading3"/>
            </w:pPr>
            <w:r w:rsidRPr="00965A9B">
              <w:t>4,978.50</w:t>
            </w:r>
          </w:p>
        </w:tc>
        <w:tc>
          <w:tcPr>
            <w:tcW w:w="1276" w:type="dxa"/>
          </w:tcPr>
          <w:p w:rsidR="00273C77" w:rsidRPr="0011621E" w:rsidRDefault="00273C77" w:rsidP="00724C03">
            <w:pPr>
              <w:pStyle w:val="PTableText"/>
              <w:jc w:val="center"/>
            </w:pPr>
            <w:r w:rsidRPr="0011621E">
              <w:t>--</w:t>
            </w:r>
          </w:p>
        </w:tc>
        <w:tc>
          <w:tcPr>
            <w:tcW w:w="1329" w:type="dxa"/>
          </w:tcPr>
          <w:p w:rsidR="00273C77" w:rsidRPr="00965A9B" w:rsidRDefault="00273C77" w:rsidP="00B16EF5">
            <w:pPr>
              <w:pStyle w:val="PTableHeading3"/>
            </w:pPr>
            <w:r w:rsidRPr="00965A9B">
              <w:t>$182,545</w:t>
            </w:r>
          </w:p>
        </w:tc>
      </w:tr>
    </w:tbl>
    <w:p w:rsidR="00273C77" w:rsidRPr="008D1739" w:rsidRDefault="00273C77" w:rsidP="008D1739">
      <w:pPr>
        <w:rPr>
          <w:rFonts w:ascii="Arial Narrow" w:hAnsi="Arial Narrow"/>
          <w:sz w:val="18"/>
          <w:szCs w:val="18"/>
        </w:rPr>
      </w:pPr>
      <w:r w:rsidRPr="008D1739">
        <w:rPr>
          <w:rFonts w:ascii="Arial Narrow" w:hAnsi="Arial Narrow"/>
          <w:sz w:val="18"/>
          <w:szCs w:val="18"/>
        </w:rPr>
        <w:t>Note</w:t>
      </w:r>
      <w:r>
        <w:rPr>
          <w:rFonts w:ascii="Arial Narrow" w:hAnsi="Arial Narrow"/>
          <w:sz w:val="18"/>
          <w:szCs w:val="18"/>
        </w:rPr>
        <w:t>s</w:t>
      </w:r>
      <w:r w:rsidRPr="008D1739">
        <w:rPr>
          <w:rFonts w:ascii="Arial Narrow" w:hAnsi="Arial Narrow"/>
          <w:sz w:val="18"/>
          <w:szCs w:val="18"/>
        </w:rPr>
        <w:t xml:space="preserve">: </w:t>
      </w:r>
      <w:r>
        <w:rPr>
          <w:rFonts w:ascii="Arial Narrow" w:hAnsi="Arial Narrow"/>
          <w:sz w:val="18"/>
          <w:szCs w:val="18"/>
        </w:rPr>
        <w:t>*</w:t>
      </w:r>
      <w:r w:rsidRPr="008D1739">
        <w:rPr>
          <w:rFonts w:ascii="Arial Narrow" w:hAnsi="Arial Narrow"/>
          <w:sz w:val="18"/>
          <w:szCs w:val="18"/>
        </w:rPr>
        <w:t>Hourly rates are based on the 2009 national data from the Department of Labor, Bureau of Labor Statistics, Occupational Employment and Wages.</w:t>
      </w:r>
      <w:bookmarkStart w:id="77" w:name="_Toc271899453"/>
    </w:p>
    <w:p w:rsidR="00273C77" w:rsidRPr="008D1739" w:rsidRDefault="00273C77" w:rsidP="008D1739">
      <w:pPr>
        <w:pStyle w:val="PBodyText"/>
        <w:spacing w:after="0"/>
      </w:pPr>
    </w:p>
    <w:p w:rsidR="00273C77" w:rsidRDefault="00273C77" w:rsidP="00BE15B9">
      <w:pPr>
        <w:pStyle w:val="Heading3"/>
      </w:pPr>
      <w:bookmarkStart w:id="78" w:name="_Toc280106405"/>
      <w:r w:rsidRPr="00842280">
        <w:t>13. Estimate of Cost Burden to Respondents</w:t>
      </w:r>
      <w:bookmarkEnd w:id="77"/>
      <w:bookmarkEnd w:id="78"/>
    </w:p>
    <w:p w:rsidR="00273C77" w:rsidRPr="005E1A5E" w:rsidRDefault="00273C77" w:rsidP="008E0781">
      <w:pPr>
        <w:pStyle w:val="pbodytext0"/>
      </w:pPr>
      <w:r>
        <w:t xml:space="preserve">There are no additional respondent costs associated with this data collection beyond the hour burden estimated in Item A12 (i.e., 15 minutes for the principal survey and 30 minutes for the special education designee survey). </w:t>
      </w:r>
    </w:p>
    <w:p w:rsidR="00273C77" w:rsidRDefault="00273C77" w:rsidP="00BE15B9">
      <w:pPr>
        <w:pStyle w:val="Heading3"/>
      </w:pPr>
      <w:bookmarkStart w:id="79" w:name="_Toc271899454"/>
      <w:bookmarkStart w:id="80" w:name="_Toc280106406"/>
      <w:r w:rsidRPr="00842280">
        <w:t>14. Estimate of Annual Cost to the Federal Government</w:t>
      </w:r>
      <w:bookmarkEnd w:id="79"/>
      <w:bookmarkEnd w:id="80"/>
    </w:p>
    <w:p w:rsidR="00273C77" w:rsidRPr="00D44386" w:rsidRDefault="00273C77" w:rsidP="00855505">
      <w:pPr>
        <w:pStyle w:val="PBodyText"/>
      </w:pPr>
      <w:r w:rsidRPr="00D44386">
        <w:t xml:space="preserve">The estimated cost for this study, including development of a detailed study design, data collection instruments, justification package, data collection, data analysis, and report preparation, </w:t>
      </w:r>
      <w:r w:rsidRPr="006764C4">
        <w:t>is $3,126,425</w:t>
      </w:r>
      <w:r w:rsidRPr="00D44386">
        <w:t xml:space="preserve"> for the four years, or approximately $781,606 per year.</w:t>
      </w:r>
    </w:p>
    <w:p w:rsidR="00273C77" w:rsidRDefault="00273C77" w:rsidP="00BE15B9">
      <w:pPr>
        <w:pStyle w:val="Heading3"/>
      </w:pPr>
      <w:bookmarkStart w:id="81" w:name="_Toc271899455"/>
      <w:bookmarkStart w:id="82" w:name="_Toc280106407"/>
      <w:r w:rsidRPr="00842280">
        <w:t>15. Program Changes or Adjustments</w:t>
      </w:r>
      <w:bookmarkEnd w:id="81"/>
      <w:bookmarkEnd w:id="82"/>
    </w:p>
    <w:p w:rsidR="00273C77" w:rsidRPr="005E1A5E" w:rsidRDefault="00273C77" w:rsidP="00855505">
      <w:pPr>
        <w:pStyle w:val="PBodyText"/>
      </w:pPr>
      <w:r w:rsidRPr="005E1A5E">
        <w:t xml:space="preserve">This request is for a new information collection. </w:t>
      </w:r>
    </w:p>
    <w:p w:rsidR="00273C77" w:rsidRDefault="00273C77" w:rsidP="00BE15B9">
      <w:pPr>
        <w:pStyle w:val="Heading3"/>
      </w:pPr>
      <w:bookmarkStart w:id="83" w:name="_Toc271899456"/>
      <w:bookmarkStart w:id="84" w:name="_Toc280106408"/>
      <w:r w:rsidRPr="00842280">
        <w:t>16. Plans for Tabulation and Publication of Results</w:t>
      </w:r>
      <w:bookmarkEnd w:id="83"/>
      <w:bookmarkEnd w:id="84"/>
    </w:p>
    <w:p w:rsidR="00273C77" w:rsidRDefault="00273C77" w:rsidP="00855505">
      <w:pPr>
        <w:pStyle w:val="PBodyText"/>
      </w:pPr>
      <w:r>
        <w:t>Results based on the d</w:t>
      </w:r>
      <w:r w:rsidRPr="005E1A5E">
        <w:t>ata collect</w:t>
      </w:r>
      <w:r>
        <w:t>ed</w:t>
      </w:r>
      <w:r w:rsidRPr="005E1A5E">
        <w:t xml:space="preserve"> for the School Improvement Status and Outcomes for Students with Disabilities Study will </w:t>
      </w:r>
      <w:r w:rsidRPr="0011621E">
        <w:t>be reported to ED by AIR according to the dissemination schedule, summarized in Exhibit 6.</w:t>
      </w:r>
      <w:r w:rsidRPr="005E1A5E">
        <w:t xml:space="preserve"> </w:t>
      </w:r>
    </w:p>
    <w:p w:rsidR="00273C77" w:rsidRDefault="00273C77" w:rsidP="00855505">
      <w:pPr>
        <w:pStyle w:val="PExhibitTitle"/>
      </w:pPr>
      <w:bookmarkStart w:id="85" w:name="_Toc280106419"/>
      <w:r w:rsidRPr="009D337A">
        <w:t xml:space="preserve">Exhibit </w:t>
      </w:r>
      <w:r>
        <w:t>6</w:t>
      </w:r>
      <w:r w:rsidRPr="009D337A">
        <w:t>. Schedule for Dissemination of St</w:t>
      </w:r>
      <w:r>
        <w:t>udy Results</w:t>
      </w:r>
      <w:bookmarkEnd w:id="85"/>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tblPr>
      <w:tblGrid>
        <w:gridCol w:w="3600"/>
        <w:gridCol w:w="3600"/>
      </w:tblGrid>
      <w:tr w:rsidR="00273C77" w:rsidTr="00855505">
        <w:trPr>
          <w:jc w:val="center"/>
        </w:trPr>
        <w:tc>
          <w:tcPr>
            <w:tcW w:w="3600" w:type="dxa"/>
            <w:shd w:val="clear" w:color="auto" w:fill="808080"/>
            <w:vAlign w:val="center"/>
          </w:tcPr>
          <w:p w:rsidR="00273C77" w:rsidRPr="009D337A" w:rsidRDefault="00273C77" w:rsidP="00855505">
            <w:pPr>
              <w:pStyle w:val="PTableHeading"/>
            </w:pPr>
            <w:r w:rsidRPr="009D337A">
              <w:t>Deliverable</w:t>
            </w:r>
          </w:p>
        </w:tc>
        <w:tc>
          <w:tcPr>
            <w:tcW w:w="3600" w:type="dxa"/>
            <w:shd w:val="clear" w:color="auto" w:fill="808080"/>
            <w:vAlign w:val="center"/>
          </w:tcPr>
          <w:p w:rsidR="00273C77" w:rsidRPr="009D337A" w:rsidRDefault="00273C77" w:rsidP="00855505">
            <w:pPr>
              <w:pStyle w:val="PTableHeading"/>
            </w:pPr>
            <w:r w:rsidRPr="009D337A">
              <w:t>Date Due</w:t>
            </w:r>
          </w:p>
        </w:tc>
      </w:tr>
      <w:tr w:rsidR="00273C77" w:rsidTr="00855505">
        <w:trPr>
          <w:jc w:val="center"/>
        </w:trPr>
        <w:tc>
          <w:tcPr>
            <w:tcW w:w="3600" w:type="dxa"/>
          </w:tcPr>
          <w:p w:rsidR="00273C77" w:rsidRPr="0011621E" w:rsidRDefault="00273C77" w:rsidP="00855505">
            <w:pPr>
              <w:pStyle w:val="PTableText"/>
            </w:pPr>
            <w:r w:rsidRPr="0011621E">
              <w:t xml:space="preserve">First draft of interim report </w:t>
            </w:r>
          </w:p>
        </w:tc>
        <w:tc>
          <w:tcPr>
            <w:tcW w:w="3600" w:type="dxa"/>
          </w:tcPr>
          <w:p w:rsidR="00273C77" w:rsidRPr="0011621E" w:rsidRDefault="00273C77" w:rsidP="00855505">
            <w:pPr>
              <w:pStyle w:val="PTableText"/>
            </w:pPr>
            <w:r>
              <w:t>October 19,</w:t>
            </w:r>
            <w:r w:rsidRPr="0011621E">
              <w:t xml:space="preserve"> 2010</w:t>
            </w:r>
          </w:p>
        </w:tc>
      </w:tr>
      <w:tr w:rsidR="00273C77" w:rsidTr="00855505">
        <w:trPr>
          <w:jc w:val="center"/>
        </w:trPr>
        <w:tc>
          <w:tcPr>
            <w:tcW w:w="3600" w:type="dxa"/>
          </w:tcPr>
          <w:p w:rsidR="00273C77" w:rsidRPr="0011621E" w:rsidRDefault="00273C77" w:rsidP="00855505">
            <w:pPr>
              <w:pStyle w:val="PTableText"/>
            </w:pPr>
            <w:r w:rsidRPr="0011621E">
              <w:t>Revised draft of interim report</w:t>
            </w:r>
          </w:p>
        </w:tc>
        <w:tc>
          <w:tcPr>
            <w:tcW w:w="3600" w:type="dxa"/>
          </w:tcPr>
          <w:p w:rsidR="00273C77" w:rsidRPr="0011621E" w:rsidRDefault="00273C77" w:rsidP="00855505">
            <w:pPr>
              <w:pStyle w:val="PTableText"/>
            </w:pPr>
            <w:r>
              <w:t>December 28,</w:t>
            </w:r>
            <w:r w:rsidRPr="0011621E">
              <w:t xml:space="preserve"> 201</w:t>
            </w:r>
            <w:r>
              <w:t>0</w:t>
            </w:r>
          </w:p>
        </w:tc>
      </w:tr>
      <w:tr w:rsidR="00273C77" w:rsidTr="00855505">
        <w:trPr>
          <w:jc w:val="center"/>
        </w:trPr>
        <w:tc>
          <w:tcPr>
            <w:tcW w:w="3600" w:type="dxa"/>
          </w:tcPr>
          <w:p w:rsidR="00273C77" w:rsidRPr="0011621E" w:rsidRDefault="00273C77" w:rsidP="00855505">
            <w:pPr>
              <w:pStyle w:val="PTableText"/>
            </w:pPr>
            <w:r w:rsidRPr="0011621E">
              <w:t>Final draft of interim report</w:t>
            </w:r>
          </w:p>
        </w:tc>
        <w:tc>
          <w:tcPr>
            <w:tcW w:w="3600" w:type="dxa"/>
          </w:tcPr>
          <w:p w:rsidR="00273C77" w:rsidRPr="0011621E" w:rsidRDefault="00273C77" w:rsidP="00855505">
            <w:pPr>
              <w:pStyle w:val="PTableText"/>
            </w:pPr>
            <w:r>
              <w:t>August 28,</w:t>
            </w:r>
            <w:r w:rsidRPr="0011621E">
              <w:t xml:space="preserve"> 2011</w:t>
            </w:r>
          </w:p>
        </w:tc>
      </w:tr>
      <w:tr w:rsidR="00273C77" w:rsidTr="00855505">
        <w:trPr>
          <w:jc w:val="center"/>
        </w:trPr>
        <w:tc>
          <w:tcPr>
            <w:tcW w:w="3600" w:type="dxa"/>
          </w:tcPr>
          <w:p w:rsidR="00273C77" w:rsidRPr="0011621E" w:rsidRDefault="00273C77" w:rsidP="00855505">
            <w:pPr>
              <w:pStyle w:val="PTableText"/>
            </w:pPr>
            <w:r w:rsidRPr="0011621E">
              <w:t>First draft of final report</w:t>
            </w:r>
          </w:p>
        </w:tc>
        <w:tc>
          <w:tcPr>
            <w:tcW w:w="3600" w:type="dxa"/>
          </w:tcPr>
          <w:p w:rsidR="00273C77" w:rsidRPr="0011621E" w:rsidRDefault="00273C77" w:rsidP="00855505">
            <w:pPr>
              <w:pStyle w:val="PTableText"/>
            </w:pPr>
            <w:r w:rsidRPr="0011621E">
              <w:t xml:space="preserve">April </w:t>
            </w:r>
            <w:r>
              <w:t xml:space="preserve">27, </w:t>
            </w:r>
            <w:r w:rsidRPr="0011621E">
              <w:t>2012</w:t>
            </w:r>
          </w:p>
        </w:tc>
      </w:tr>
      <w:tr w:rsidR="00273C77" w:rsidTr="00855505">
        <w:trPr>
          <w:jc w:val="center"/>
        </w:trPr>
        <w:tc>
          <w:tcPr>
            <w:tcW w:w="3600" w:type="dxa"/>
          </w:tcPr>
          <w:p w:rsidR="00273C77" w:rsidRPr="0011621E" w:rsidRDefault="00273C77" w:rsidP="00855505">
            <w:pPr>
              <w:pStyle w:val="PTableText"/>
            </w:pPr>
            <w:r w:rsidRPr="0011621E">
              <w:t>Revised draft of final report</w:t>
            </w:r>
          </w:p>
        </w:tc>
        <w:tc>
          <w:tcPr>
            <w:tcW w:w="3600" w:type="dxa"/>
          </w:tcPr>
          <w:p w:rsidR="00273C77" w:rsidRPr="0011621E" w:rsidRDefault="00273C77" w:rsidP="00855505">
            <w:pPr>
              <w:pStyle w:val="PTableText"/>
            </w:pPr>
            <w:r w:rsidRPr="0011621E">
              <w:t xml:space="preserve">June </w:t>
            </w:r>
            <w:r>
              <w:t xml:space="preserve">28, </w:t>
            </w:r>
            <w:r w:rsidRPr="0011621E">
              <w:t>2012</w:t>
            </w:r>
          </w:p>
        </w:tc>
      </w:tr>
      <w:tr w:rsidR="00273C77" w:rsidTr="00855505">
        <w:trPr>
          <w:jc w:val="center"/>
        </w:trPr>
        <w:tc>
          <w:tcPr>
            <w:tcW w:w="3600" w:type="dxa"/>
          </w:tcPr>
          <w:p w:rsidR="00273C77" w:rsidRPr="0011621E" w:rsidRDefault="00273C77" w:rsidP="00855505">
            <w:pPr>
              <w:pStyle w:val="PTableText"/>
            </w:pPr>
            <w:r w:rsidRPr="0011621E">
              <w:t>Final draft of final report</w:t>
            </w:r>
          </w:p>
        </w:tc>
        <w:tc>
          <w:tcPr>
            <w:tcW w:w="3600" w:type="dxa"/>
          </w:tcPr>
          <w:p w:rsidR="00273C77" w:rsidRPr="0011621E" w:rsidRDefault="00273C77" w:rsidP="00855505">
            <w:pPr>
              <w:pStyle w:val="PTableText"/>
            </w:pPr>
            <w:r w:rsidRPr="0011621E">
              <w:t xml:space="preserve">February </w:t>
            </w:r>
            <w:r>
              <w:t xml:space="preserve">27, </w:t>
            </w:r>
            <w:r w:rsidRPr="0011621E">
              <w:t>2013</w:t>
            </w:r>
          </w:p>
        </w:tc>
      </w:tr>
    </w:tbl>
    <w:p w:rsidR="00273C77" w:rsidRPr="008A2916" w:rsidRDefault="00273C77" w:rsidP="00855505">
      <w:pPr>
        <w:pStyle w:val="PTableText"/>
      </w:pPr>
    </w:p>
    <w:p w:rsidR="00273C77" w:rsidRDefault="00273C77" w:rsidP="00855505">
      <w:pPr>
        <w:pStyle w:val="PBodyText"/>
      </w:pPr>
      <w:r w:rsidRPr="00755822">
        <w:t>The interim report</w:t>
      </w:r>
      <w:r>
        <w:t xml:space="preserve"> relies</w:t>
      </w:r>
      <w:r w:rsidRPr="00755822">
        <w:t xml:space="preserve"> </w:t>
      </w:r>
      <w:r>
        <w:t xml:space="preserve">exclusively </w:t>
      </w:r>
      <w:r w:rsidRPr="00755822">
        <w:t xml:space="preserve">on </w:t>
      </w:r>
      <w:r>
        <w:t xml:space="preserve">the extant </w:t>
      </w:r>
      <w:r w:rsidRPr="00755822">
        <w:t>ED</w:t>
      </w:r>
      <w:r w:rsidRPr="00755822">
        <w:rPr>
          <w:i/>
        </w:rPr>
        <w:t>Facts</w:t>
      </w:r>
      <w:r w:rsidRPr="00755822">
        <w:t xml:space="preserve"> data</w:t>
      </w:r>
      <w:r>
        <w:t xml:space="preserve"> and</w:t>
      </w:r>
      <w:r w:rsidRPr="00755822">
        <w:t xml:space="preserve">  </w:t>
      </w:r>
      <w:r>
        <w:t xml:space="preserve">was </w:t>
      </w:r>
      <w:r w:rsidRPr="00755822">
        <w:t>submitted in draft form in</w:t>
      </w:r>
      <w:r>
        <w:t xml:space="preserve"> October</w:t>
      </w:r>
      <w:r w:rsidRPr="00755822">
        <w:t xml:space="preserve">  2010</w:t>
      </w:r>
      <w:r>
        <w:t>. It will be submitted</w:t>
      </w:r>
      <w:r w:rsidRPr="00755822">
        <w:t xml:space="preserve">  in final form in June 2011. </w:t>
      </w:r>
      <w:r>
        <w:t xml:space="preserve">The interim report </w:t>
      </w:r>
      <w:r w:rsidRPr="00755822">
        <w:t xml:space="preserve"> focuses on the inclusion of SWDs in school accountability systems and the AYP performance of schools reporting on SWDs based on ED</w:t>
      </w:r>
      <w:r w:rsidRPr="00755822">
        <w:rPr>
          <w:i/>
        </w:rPr>
        <w:t>Facts</w:t>
      </w:r>
      <w:r w:rsidRPr="00755822">
        <w:t xml:space="preserve"> data between 2005–06 and 2008–09. </w:t>
      </w:r>
      <w:r>
        <w:t xml:space="preserve">It also examines </w:t>
      </w:r>
      <w:r w:rsidRPr="00755822">
        <w:t xml:space="preserve">SWD achievement trends between 2005–06 and 2007–08 in </w:t>
      </w:r>
      <w:r>
        <w:t>schools accountable for the SWD subgroup and other schools as well a s</w:t>
      </w:r>
      <w:r w:rsidRPr="00755822">
        <w:t xml:space="preserve"> SWD achievement trends  in schools with different </w:t>
      </w:r>
      <w:r>
        <w:t xml:space="preserve">school </w:t>
      </w:r>
      <w:r w:rsidRPr="00755822">
        <w:t>identification histories</w:t>
      </w:r>
      <w:r>
        <w:t xml:space="preserve"> in selected states</w:t>
      </w:r>
      <w:r w:rsidRPr="00755822">
        <w:t>. The final study report, to be submitted in draft form in April 2012 and in final form in February 2013, will be a capstone report that fully addresses all the research questions proposed for this study, integrating information from both the school surveys and extant student achievement data.</w:t>
      </w:r>
      <w:r>
        <w:t xml:space="preserve"> </w:t>
      </w:r>
    </w:p>
    <w:p w:rsidR="00273C77" w:rsidRDefault="00273C77" w:rsidP="00855505">
      <w:pPr>
        <w:pStyle w:val="PBodyText"/>
      </w:pPr>
      <w:r w:rsidRPr="00755822">
        <w:t xml:space="preserve">Findings from this study will be represented in both table form and graphic form as appropriate in the study reports. Exhibits 7 and 8 are two example table shells that we will use to present findings about school practices and SWD achievement trends respectively in our final study report. </w:t>
      </w:r>
    </w:p>
    <w:p w:rsidR="00273C77" w:rsidRPr="00CA70F1" w:rsidRDefault="00273C77" w:rsidP="00CA70F1">
      <w:r w:rsidRPr="00CA70F1">
        <w:br w:type="page"/>
      </w:r>
    </w:p>
    <w:p w:rsidR="00273C77" w:rsidRPr="00A35F97" w:rsidRDefault="00273C77" w:rsidP="00785CFC">
      <w:pPr>
        <w:pStyle w:val="PExhibitTitle"/>
      </w:pPr>
      <w:bookmarkStart w:id="86" w:name="_Toc280106420"/>
      <w:r w:rsidRPr="00177725">
        <w:t xml:space="preserve">Exhibit </w:t>
      </w:r>
      <w:r>
        <w:t>7</w:t>
      </w:r>
      <w:r w:rsidRPr="00177725">
        <w:t xml:space="preserve">. </w:t>
      </w:r>
      <w:r>
        <w:t>Example Table Shell: Percentage of Schools Engaging in Different Types of Special Education Practices in 2010–11 Across Selected States,</w:t>
      </w:r>
      <w:r>
        <w:br/>
      </w:r>
      <w:r w:rsidRPr="00A35F97">
        <w:t>by Accountability Status</w:t>
      </w:r>
      <w:r>
        <w:t xml:space="preserve"> and Grade Level</w:t>
      </w:r>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tblPr>
      <w:tblGrid>
        <w:gridCol w:w="1080"/>
        <w:gridCol w:w="1308"/>
        <w:gridCol w:w="1705"/>
        <w:gridCol w:w="1176"/>
        <w:gridCol w:w="1440"/>
        <w:gridCol w:w="1728"/>
        <w:gridCol w:w="1153"/>
      </w:tblGrid>
      <w:tr w:rsidR="00273C77" w:rsidRPr="00A35F97" w:rsidTr="001B59A6">
        <w:trPr>
          <w:trHeight w:val="70"/>
        </w:trPr>
        <w:tc>
          <w:tcPr>
            <w:tcW w:w="1095" w:type="dxa"/>
            <w:vMerge w:val="restart"/>
            <w:shd w:val="clear" w:color="auto" w:fill="808080"/>
            <w:vAlign w:val="center"/>
          </w:tcPr>
          <w:p w:rsidR="00273C77" w:rsidRPr="00A35F97" w:rsidRDefault="00273C77" w:rsidP="001B59A6">
            <w:pPr>
              <w:pStyle w:val="PTableHeading"/>
            </w:pPr>
            <w:r>
              <w:t>School practice</w:t>
            </w:r>
          </w:p>
        </w:tc>
        <w:tc>
          <w:tcPr>
            <w:tcW w:w="4253" w:type="dxa"/>
            <w:gridSpan w:val="3"/>
            <w:shd w:val="clear" w:color="auto" w:fill="808080"/>
            <w:vAlign w:val="center"/>
          </w:tcPr>
          <w:p w:rsidR="00273C77" w:rsidRPr="00A35F97" w:rsidRDefault="00273C77" w:rsidP="001B59A6">
            <w:pPr>
              <w:pStyle w:val="PTableHeading"/>
            </w:pPr>
            <w:r>
              <w:t>Elementary S</w:t>
            </w:r>
            <w:r w:rsidRPr="00A35F97">
              <w:t>chools</w:t>
            </w:r>
          </w:p>
        </w:tc>
        <w:tc>
          <w:tcPr>
            <w:tcW w:w="4387" w:type="dxa"/>
            <w:gridSpan w:val="3"/>
            <w:shd w:val="clear" w:color="auto" w:fill="808080"/>
            <w:vAlign w:val="center"/>
          </w:tcPr>
          <w:p w:rsidR="00273C77" w:rsidRPr="00A35F97" w:rsidRDefault="00273C77" w:rsidP="001B59A6">
            <w:pPr>
              <w:pStyle w:val="PTableHeading"/>
            </w:pPr>
            <w:r>
              <w:t>Middle S</w:t>
            </w:r>
            <w:r w:rsidRPr="00A35F97">
              <w:t>chools</w:t>
            </w:r>
          </w:p>
        </w:tc>
      </w:tr>
      <w:tr w:rsidR="00273C77" w:rsidRPr="00A35F97" w:rsidTr="001B59A6">
        <w:trPr>
          <w:trHeight w:val="70"/>
        </w:trPr>
        <w:tc>
          <w:tcPr>
            <w:tcW w:w="1095" w:type="dxa"/>
            <w:vMerge/>
            <w:shd w:val="clear" w:color="auto" w:fill="808080"/>
            <w:vAlign w:val="center"/>
          </w:tcPr>
          <w:p w:rsidR="00273C77" w:rsidRPr="00A35F97" w:rsidRDefault="00273C77" w:rsidP="001B59A6">
            <w:pPr>
              <w:pStyle w:val="PTableHeading"/>
            </w:pPr>
          </w:p>
        </w:tc>
        <w:tc>
          <w:tcPr>
            <w:tcW w:w="1328" w:type="dxa"/>
            <w:shd w:val="clear" w:color="auto" w:fill="D9D9D9"/>
            <w:vAlign w:val="center"/>
          </w:tcPr>
          <w:p w:rsidR="00273C77" w:rsidRPr="00965A9B" w:rsidRDefault="00273C77" w:rsidP="00CA70F1">
            <w:pPr>
              <w:pStyle w:val="PTableHeading3"/>
            </w:pPr>
            <w:r w:rsidRPr="00965A9B">
              <w:t>Accountable Schools</w:t>
            </w:r>
          </w:p>
          <w:p w:rsidR="00273C77" w:rsidRPr="00965A9B" w:rsidRDefault="00273C77" w:rsidP="00CA70F1">
            <w:pPr>
              <w:pStyle w:val="PTableHeading3"/>
            </w:pPr>
            <w:r w:rsidRPr="00965A9B">
              <w:t>(N = xxx)</w:t>
            </w:r>
          </w:p>
        </w:tc>
        <w:tc>
          <w:tcPr>
            <w:tcW w:w="1732" w:type="dxa"/>
            <w:shd w:val="clear" w:color="auto" w:fill="D9D9D9"/>
            <w:vAlign w:val="center"/>
          </w:tcPr>
          <w:p w:rsidR="00273C77" w:rsidRPr="00965A9B" w:rsidRDefault="00273C77" w:rsidP="00CA70F1">
            <w:pPr>
              <w:pStyle w:val="PTableHeading3"/>
            </w:pPr>
            <w:r w:rsidRPr="00965A9B">
              <w:t>Non-Accountable Schools</w:t>
            </w:r>
          </w:p>
          <w:p w:rsidR="00273C77" w:rsidRPr="00965A9B" w:rsidRDefault="00273C77" w:rsidP="00CA70F1">
            <w:pPr>
              <w:pStyle w:val="PTableHeading3"/>
            </w:pPr>
            <w:r w:rsidRPr="00965A9B">
              <w:t>(N = xxx)</w:t>
            </w:r>
          </w:p>
        </w:tc>
        <w:tc>
          <w:tcPr>
            <w:tcW w:w="1193" w:type="dxa"/>
            <w:shd w:val="clear" w:color="auto" w:fill="D9D9D9"/>
            <w:vAlign w:val="center"/>
          </w:tcPr>
          <w:p w:rsidR="00273C77" w:rsidRPr="00965A9B" w:rsidRDefault="00273C77" w:rsidP="00CA70F1">
            <w:pPr>
              <w:pStyle w:val="PTableHeading3"/>
            </w:pPr>
            <w:r w:rsidRPr="00965A9B">
              <w:t>Difference</w:t>
            </w:r>
          </w:p>
        </w:tc>
        <w:tc>
          <w:tcPr>
            <w:tcW w:w="1462" w:type="dxa"/>
            <w:shd w:val="clear" w:color="auto" w:fill="D9D9D9"/>
            <w:vAlign w:val="center"/>
          </w:tcPr>
          <w:p w:rsidR="00273C77" w:rsidRPr="00965A9B" w:rsidRDefault="00273C77" w:rsidP="00CA70F1">
            <w:pPr>
              <w:pStyle w:val="PTableHeading3"/>
            </w:pPr>
            <w:r w:rsidRPr="00965A9B">
              <w:t>Accountable Schools</w:t>
            </w:r>
          </w:p>
          <w:p w:rsidR="00273C77" w:rsidRPr="00965A9B" w:rsidRDefault="00273C77" w:rsidP="00CA70F1">
            <w:pPr>
              <w:pStyle w:val="PTableHeading3"/>
            </w:pPr>
            <w:r w:rsidRPr="00965A9B">
              <w:t>(N = xxx)</w:t>
            </w:r>
          </w:p>
        </w:tc>
        <w:tc>
          <w:tcPr>
            <w:tcW w:w="1755" w:type="dxa"/>
            <w:shd w:val="clear" w:color="auto" w:fill="D9D9D9"/>
            <w:vAlign w:val="center"/>
          </w:tcPr>
          <w:p w:rsidR="00273C77" w:rsidRPr="00965A9B" w:rsidRDefault="00273C77" w:rsidP="00CA70F1">
            <w:pPr>
              <w:pStyle w:val="PTableHeading3"/>
            </w:pPr>
            <w:r w:rsidRPr="00965A9B">
              <w:t>Non-Accountable Schools</w:t>
            </w:r>
          </w:p>
          <w:p w:rsidR="00273C77" w:rsidRPr="00965A9B" w:rsidRDefault="00273C77" w:rsidP="00CA70F1">
            <w:pPr>
              <w:pStyle w:val="PTableHeading3"/>
            </w:pPr>
            <w:r w:rsidRPr="00965A9B">
              <w:t>(N = xxx)</w:t>
            </w:r>
          </w:p>
        </w:tc>
        <w:tc>
          <w:tcPr>
            <w:tcW w:w="1170" w:type="dxa"/>
            <w:shd w:val="clear" w:color="auto" w:fill="D9D9D9"/>
            <w:vAlign w:val="center"/>
          </w:tcPr>
          <w:p w:rsidR="00273C77" w:rsidRPr="00965A9B" w:rsidRDefault="00273C77" w:rsidP="00CA70F1">
            <w:pPr>
              <w:pStyle w:val="PTableHeading3"/>
            </w:pPr>
            <w:r w:rsidRPr="00965A9B">
              <w:t>Difference</w:t>
            </w:r>
          </w:p>
        </w:tc>
      </w:tr>
      <w:tr w:rsidR="00273C77" w:rsidRPr="00A35F97" w:rsidTr="001B59A6">
        <w:trPr>
          <w:trHeight w:val="240"/>
        </w:trPr>
        <w:tc>
          <w:tcPr>
            <w:tcW w:w="1095" w:type="dxa"/>
            <w:noWrap/>
            <w:vAlign w:val="bottom"/>
          </w:tcPr>
          <w:p w:rsidR="00273C77" w:rsidRPr="00A35F97" w:rsidRDefault="00273C77" w:rsidP="001B59A6">
            <w:pPr>
              <w:pStyle w:val="PTableText"/>
            </w:pPr>
            <w:r>
              <w:t>Practice A</w:t>
            </w:r>
          </w:p>
        </w:tc>
        <w:tc>
          <w:tcPr>
            <w:tcW w:w="1328" w:type="dxa"/>
            <w:noWrap/>
            <w:vAlign w:val="bottom"/>
          </w:tcPr>
          <w:p w:rsidR="00273C77" w:rsidRPr="00961F0C" w:rsidRDefault="00273C77" w:rsidP="001B59A6">
            <w:pPr>
              <w:pStyle w:val="PTableText"/>
            </w:pPr>
          </w:p>
        </w:tc>
        <w:tc>
          <w:tcPr>
            <w:tcW w:w="1732" w:type="dxa"/>
            <w:noWrap/>
            <w:vAlign w:val="bottom"/>
          </w:tcPr>
          <w:p w:rsidR="00273C77" w:rsidRPr="00961F0C" w:rsidRDefault="00273C77" w:rsidP="001B59A6">
            <w:pPr>
              <w:pStyle w:val="PTableText"/>
            </w:pPr>
          </w:p>
        </w:tc>
        <w:tc>
          <w:tcPr>
            <w:tcW w:w="1193" w:type="dxa"/>
            <w:vAlign w:val="bottom"/>
          </w:tcPr>
          <w:p w:rsidR="00273C77" w:rsidRPr="00961F0C" w:rsidRDefault="00273C77" w:rsidP="001B59A6">
            <w:pPr>
              <w:pStyle w:val="PTableText"/>
            </w:pPr>
          </w:p>
        </w:tc>
        <w:tc>
          <w:tcPr>
            <w:tcW w:w="1462" w:type="dxa"/>
            <w:noWrap/>
            <w:vAlign w:val="bottom"/>
          </w:tcPr>
          <w:p w:rsidR="00273C77" w:rsidRPr="00961F0C" w:rsidRDefault="00273C77" w:rsidP="001B59A6">
            <w:pPr>
              <w:pStyle w:val="PTableText"/>
            </w:pPr>
          </w:p>
        </w:tc>
        <w:tc>
          <w:tcPr>
            <w:tcW w:w="1755" w:type="dxa"/>
            <w:noWrap/>
            <w:vAlign w:val="bottom"/>
          </w:tcPr>
          <w:p w:rsidR="00273C77" w:rsidRPr="00961F0C" w:rsidRDefault="00273C77" w:rsidP="001B59A6">
            <w:pPr>
              <w:pStyle w:val="PTableText"/>
            </w:pPr>
          </w:p>
        </w:tc>
        <w:tc>
          <w:tcPr>
            <w:tcW w:w="1170" w:type="dxa"/>
            <w:vAlign w:val="bottom"/>
          </w:tcPr>
          <w:p w:rsidR="00273C77" w:rsidRPr="00961F0C" w:rsidRDefault="00273C77" w:rsidP="001B59A6">
            <w:pPr>
              <w:pStyle w:val="PTableText"/>
            </w:pPr>
          </w:p>
        </w:tc>
      </w:tr>
      <w:tr w:rsidR="00273C77" w:rsidRPr="00A35F97" w:rsidTr="001B59A6">
        <w:trPr>
          <w:trHeight w:val="240"/>
        </w:trPr>
        <w:tc>
          <w:tcPr>
            <w:tcW w:w="1095" w:type="dxa"/>
            <w:noWrap/>
          </w:tcPr>
          <w:p w:rsidR="00273C77" w:rsidRDefault="00273C77" w:rsidP="001B59A6">
            <w:pPr>
              <w:pStyle w:val="PTableText"/>
            </w:pPr>
            <w:r w:rsidRPr="00D96639">
              <w:t xml:space="preserve">Practice </w:t>
            </w:r>
            <w:r>
              <w:t>B</w:t>
            </w:r>
          </w:p>
        </w:tc>
        <w:tc>
          <w:tcPr>
            <w:tcW w:w="1328" w:type="dxa"/>
            <w:noWrap/>
            <w:vAlign w:val="bottom"/>
          </w:tcPr>
          <w:p w:rsidR="00273C77" w:rsidRPr="00961F0C" w:rsidRDefault="00273C77" w:rsidP="001B59A6">
            <w:pPr>
              <w:pStyle w:val="PTableText"/>
            </w:pPr>
          </w:p>
        </w:tc>
        <w:tc>
          <w:tcPr>
            <w:tcW w:w="1732" w:type="dxa"/>
            <w:noWrap/>
            <w:vAlign w:val="bottom"/>
          </w:tcPr>
          <w:p w:rsidR="00273C77" w:rsidRPr="00961F0C" w:rsidRDefault="00273C77" w:rsidP="001B59A6">
            <w:pPr>
              <w:pStyle w:val="PTableText"/>
            </w:pPr>
          </w:p>
        </w:tc>
        <w:tc>
          <w:tcPr>
            <w:tcW w:w="1193" w:type="dxa"/>
            <w:vAlign w:val="bottom"/>
          </w:tcPr>
          <w:p w:rsidR="00273C77" w:rsidRPr="00961F0C" w:rsidRDefault="00273C77" w:rsidP="001B59A6">
            <w:pPr>
              <w:pStyle w:val="PTableText"/>
            </w:pPr>
          </w:p>
        </w:tc>
        <w:tc>
          <w:tcPr>
            <w:tcW w:w="1462" w:type="dxa"/>
            <w:noWrap/>
            <w:vAlign w:val="bottom"/>
          </w:tcPr>
          <w:p w:rsidR="00273C77" w:rsidRPr="00961F0C" w:rsidRDefault="00273C77" w:rsidP="001B59A6">
            <w:pPr>
              <w:pStyle w:val="PTableText"/>
            </w:pPr>
          </w:p>
        </w:tc>
        <w:tc>
          <w:tcPr>
            <w:tcW w:w="1755" w:type="dxa"/>
            <w:noWrap/>
            <w:vAlign w:val="bottom"/>
          </w:tcPr>
          <w:p w:rsidR="00273C77" w:rsidRPr="00961F0C" w:rsidRDefault="00273C77" w:rsidP="001B59A6">
            <w:pPr>
              <w:pStyle w:val="PTableText"/>
            </w:pPr>
          </w:p>
        </w:tc>
        <w:tc>
          <w:tcPr>
            <w:tcW w:w="1170" w:type="dxa"/>
            <w:vAlign w:val="bottom"/>
          </w:tcPr>
          <w:p w:rsidR="00273C77" w:rsidRPr="00961F0C" w:rsidRDefault="00273C77" w:rsidP="001B59A6">
            <w:pPr>
              <w:pStyle w:val="PTableText"/>
            </w:pPr>
          </w:p>
        </w:tc>
      </w:tr>
      <w:tr w:rsidR="00273C77" w:rsidRPr="00A35F97" w:rsidTr="001B59A6">
        <w:trPr>
          <w:trHeight w:val="240"/>
        </w:trPr>
        <w:tc>
          <w:tcPr>
            <w:tcW w:w="1095" w:type="dxa"/>
            <w:noWrap/>
          </w:tcPr>
          <w:p w:rsidR="00273C77" w:rsidRDefault="00273C77" w:rsidP="001B59A6">
            <w:pPr>
              <w:pStyle w:val="PTableText"/>
            </w:pPr>
            <w:r w:rsidRPr="00D96639">
              <w:t xml:space="preserve">Practice </w:t>
            </w:r>
            <w:r>
              <w:t>C</w:t>
            </w:r>
          </w:p>
        </w:tc>
        <w:tc>
          <w:tcPr>
            <w:tcW w:w="1328" w:type="dxa"/>
            <w:noWrap/>
            <w:vAlign w:val="bottom"/>
          </w:tcPr>
          <w:p w:rsidR="00273C77" w:rsidRPr="00961F0C" w:rsidRDefault="00273C77" w:rsidP="001B59A6">
            <w:pPr>
              <w:pStyle w:val="PTableText"/>
            </w:pPr>
          </w:p>
        </w:tc>
        <w:tc>
          <w:tcPr>
            <w:tcW w:w="1732" w:type="dxa"/>
            <w:noWrap/>
            <w:vAlign w:val="bottom"/>
          </w:tcPr>
          <w:p w:rsidR="00273C77" w:rsidRPr="00961F0C" w:rsidRDefault="00273C77" w:rsidP="001B59A6">
            <w:pPr>
              <w:pStyle w:val="PTableText"/>
            </w:pPr>
          </w:p>
        </w:tc>
        <w:tc>
          <w:tcPr>
            <w:tcW w:w="1193" w:type="dxa"/>
            <w:vAlign w:val="bottom"/>
          </w:tcPr>
          <w:p w:rsidR="00273C77" w:rsidRPr="00961F0C" w:rsidRDefault="00273C77" w:rsidP="001B59A6">
            <w:pPr>
              <w:pStyle w:val="PTableText"/>
            </w:pPr>
          </w:p>
        </w:tc>
        <w:tc>
          <w:tcPr>
            <w:tcW w:w="1462" w:type="dxa"/>
            <w:noWrap/>
            <w:vAlign w:val="bottom"/>
          </w:tcPr>
          <w:p w:rsidR="00273C77" w:rsidRPr="00961F0C" w:rsidRDefault="00273C77" w:rsidP="001B59A6">
            <w:pPr>
              <w:pStyle w:val="PTableText"/>
            </w:pPr>
          </w:p>
        </w:tc>
        <w:tc>
          <w:tcPr>
            <w:tcW w:w="1755" w:type="dxa"/>
            <w:noWrap/>
            <w:vAlign w:val="bottom"/>
          </w:tcPr>
          <w:p w:rsidR="00273C77" w:rsidRPr="00961F0C" w:rsidRDefault="00273C77" w:rsidP="001B59A6">
            <w:pPr>
              <w:pStyle w:val="PTableText"/>
            </w:pPr>
          </w:p>
        </w:tc>
        <w:tc>
          <w:tcPr>
            <w:tcW w:w="1170" w:type="dxa"/>
            <w:vAlign w:val="bottom"/>
          </w:tcPr>
          <w:p w:rsidR="00273C77" w:rsidRPr="00961F0C" w:rsidRDefault="00273C77" w:rsidP="001B59A6">
            <w:pPr>
              <w:pStyle w:val="PTableText"/>
            </w:pPr>
          </w:p>
        </w:tc>
      </w:tr>
      <w:tr w:rsidR="00273C77" w:rsidRPr="00A35F97" w:rsidTr="001B59A6">
        <w:trPr>
          <w:trHeight w:val="240"/>
        </w:trPr>
        <w:tc>
          <w:tcPr>
            <w:tcW w:w="1095" w:type="dxa"/>
            <w:noWrap/>
            <w:vAlign w:val="bottom"/>
          </w:tcPr>
          <w:p w:rsidR="00273C77" w:rsidRPr="00A35F97" w:rsidRDefault="00273C77" w:rsidP="001B59A6">
            <w:pPr>
              <w:pStyle w:val="PTableText"/>
            </w:pPr>
            <w:r>
              <w:t>…</w:t>
            </w:r>
          </w:p>
        </w:tc>
        <w:tc>
          <w:tcPr>
            <w:tcW w:w="1328" w:type="dxa"/>
            <w:noWrap/>
            <w:vAlign w:val="bottom"/>
          </w:tcPr>
          <w:p w:rsidR="00273C77" w:rsidRPr="00961F0C" w:rsidRDefault="00273C77" w:rsidP="001B59A6">
            <w:pPr>
              <w:pStyle w:val="PTableText"/>
            </w:pPr>
          </w:p>
        </w:tc>
        <w:tc>
          <w:tcPr>
            <w:tcW w:w="1732" w:type="dxa"/>
            <w:noWrap/>
            <w:vAlign w:val="bottom"/>
          </w:tcPr>
          <w:p w:rsidR="00273C77" w:rsidRPr="00961F0C" w:rsidRDefault="00273C77" w:rsidP="001B59A6">
            <w:pPr>
              <w:pStyle w:val="PTableText"/>
            </w:pPr>
          </w:p>
        </w:tc>
        <w:tc>
          <w:tcPr>
            <w:tcW w:w="1193" w:type="dxa"/>
            <w:vAlign w:val="bottom"/>
          </w:tcPr>
          <w:p w:rsidR="00273C77" w:rsidRPr="00961F0C" w:rsidRDefault="00273C77" w:rsidP="001B59A6">
            <w:pPr>
              <w:pStyle w:val="PTableText"/>
            </w:pPr>
          </w:p>
        </w:tc>
        <w:tc>
          <w:tcPr>
            <w:tcW w:w="1462" w:type="dxa"/>
            <w:noWrap/>
            <w:vAlign w:val="bottom"/>
          </w:tcPr>
          <w:p w:rsidR="00273C77" w:rsidRPr="00961F0C" w:rsidRDefault="00273C77" w:rsidP="001B59A6">
            <w:pPr>
              <w:pStyle w:val="PTableText"/>
            </w:pPr>
          </w:p>
        </w:tc>
        <w:tc>
          <w:tcPr>
            <w:tcW w:w="1755" w:type="dxa"/>
            <w:noWrap/>
            <w:vAlign w:val="bottom"/>
          </w:tcPr>
          <w:p w:rsidR="00273C77" w:rsidRPr="00961F0C" w:rsidRDefault="00273C77" w:rsidP="001B59A6">
            <w:pPr>
              <w:pStyle w:val="PTableText"/>
            </w:pPr>
          </w:p>
        </w:tc>
        <w:tc>
          <w:tcPr>
            <w:tcW w:w="1170" w:type="dxa"/>
            <w:vAlign w:val="bottom"/>
          </w:tcPr>
          <w:p w:rsidR="00273C77" w:rsidRPr="00961F0C" w:rsidRDefault="00273C77" w:rsidP="001B59A6">
            <w:pPr>
              <w:pStyle w:val="PTableText"/>
            </w:pPr>
          </w:p>
        </w:tc>
      </w:tr>
    </w:tbl>
    <w:p w:rsidR="00273C77" w:rsidRDefault="00273C77" w:rsidP="00785CFC">
      <w:pPr>
        <w:pStyle w:val="PTableSource"/>
      </w:pPr>
      <w:r w:rsidRPr="00514DC5">
        <w:t>Note. Number of states = 11 for elementary-school analyses and 8 for middle-school analyses.</w:t>
      </w:r>
    </w:p>
    <w:p w:rsidR="00273C77" w:rsidRDefault="00273C77" w:rsidP="00785CFC">
      <w:pPr>
        <w:pStyle w:val="PTableText"/>
      </w:pPr>
    </w:p>
    <w:p w:rsidR="00273C77" w:rsidRDefault="00273C77" w:rsidP="00785CFC">
      <w:pPr>
        <w:pStyle w:val="PExhibitTitle"/>
      </w:pPr>
      <w:bookmarkStart w:id="87" w:name="_Toc280106421"/>
      <w:r w:rsidRPr="00177725">
        <w:t xml:space="preserve">Exhibit </w:t>
      </w:r>
      <w:r>
        <w:t>8</w:t>
      </w:r>
      <w:r w:rsidRPr="00177725">
        <w:t xml:space="preserve">. </w:t>
      </w:r>
      <w:r>
        <w:t>Example Table Shell: Percentage of SWDs Scoring Proficient or</w:t>
      </w:r>
      <w:r>
        <w:br/>
        <w:t>Above in Accountable Schools Between 2005–06 and 2009–10,</w:t>
      </w:r>
      <w:r>
        <w:br/>
        <w:t>by Year, State, and Grade Level</w:t>
      </w:r>
      <w:bookmarkEnd w:id="87"/>
    </w:p>
    <w:tbl>
      <w:tblPr>
        <w:tblW w:w="973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tblPr>
      <w:tblGrid>
        <w:gridCol w:w="1240"/>
        <w:gridCol w:w="1213"/>
        <w:gridCol w:w="1213"/>
        <w:gridCol w:w="1214"/>
        <w:gridCol w:w="1213"/>
        <w:gridCol w:w="1214"/>
        <w:gridCol w:w="1213"/>
        <w:gridCol w:w="1214"/>
      </w:tblGrid>
      <w:tr w:rsidR="00273C77" w:rsidRPr="007677A1" w:rsidTr="001B59A6">
        <w:trPr>
          <w:trHeight w:val="423"/>
        </w:trPr>
        <w:tc>
          <w:tcPr>
            <w:tcW w:w="1240" w:type="dxa"/>
            <w:shd w:val="clear" w:color="auto" w:fill="808080"/>
            <w:vAlign w:val="center"/>
          </w:tcPr>
          <w:p w:rsidR="00273C77" w:rsidRPr="004E2AF4" w:rsidRDefault="00273C77" w:rsidP="001B59A6">
            <w:pPr>
              <w:pStyle w:val="PTableHeading"/>
            </w:pPr>
            <w:r w:rsidRPr="004E2AF4">
              <w:t>State</w:t>
            </w:r>
          </w:p>
        </w:tc>
        <w:tc>
          <w:tcPr>
            <w:tcW w:w="1213" w:type="dxa"/>
            <w:shd w:val="clear" w:color="auto" w:fill="808080"/>
            <w:vAlign w:val="center"/>
          </w:tcPr>
          <w:p w:rsidR="00273C77" w:rsidRPr="004E2AF4" w:rsidRDefault="00273C77" w:rsidP="001B59A6">
            <w:pPr>
              <w:pStyle w:val="PTableHeading"/>
            </w:pPr>
            <w:r w:rsidRPr="004E2AF4">
              <w:t>N of schools</w:t>
            </w:r>
          </w:p>
        </w:tc>
        <w:tc>
          <w:tcPr>
            <w:tcW w:w="1213" w:type="dxa"/>
            <w:shd w:val="clear" w:color="auto" w:fill="808080"/>
            <w:vAlign w:val="center"/>
          </w:tcPr>
          <w:p w:rsidR="00273C77" w:rsidRPr="004E2AF4" w:rsidRDefault="00273C77" w:rsidP="001B59A6">
            <w:pPr>
              <w:pStyle w:val="PTableHeading"/>
            </w:pPr>
            <w:r w:rsidRPr="004E2AF4">
              <w:t>2005</w:t>
            </w:r>
            <w:r w:rsidRPr="007677A1">
              <w:t>–</w:t>
            </w:r>
            <w:r w:rsidRPr="004E2AF4">
              <w:t>06</w:t>
            </w:r>
          </w:p>
        </w:tc>
        <w:tc>
          <w:tcPr>
            <w:tcW w:w="1214" w:type="dxa"/>
            <w:shd w:val="clear" w:color="auto" w:fill="808080"/>
            <w:vAlign w:val="center"/>
          </w:tcPr>
          <w:p w:rsidR="00273C77" w:rsidRPr="004E2AF4" w:rsidRDefault="00273C77" w:rsidP="001B59A6">
            <w:pPr>
              <w:pStyle w:val="PTableHeading"/>
            </w:pPr>
            <w:r w:rsidRPr="004E2AF4">
              <w:t>2006</w:t>
            </w:r>
            <w:r w:rsidRPr="007677A1">
              <w:t>–</w:t>
            </w:r>
            <w:r w:rsidRPr="004E2AF4">
              <w:t>07</w:t>
            </w:r>
          </w:p>
        </w:tc>
        <w:tc>
          <w:tcPr>
            <w:tcW w:w="1213" w:type="dxa"/>
            <w:shd w:val="clear" w:color="auto" w:fill="808080"/>
            <w:vAlign w:val="center"/>
          </w:tcPr>
          <w:p w:rsidR="00273C77" w:rsidRPr="004E2AF4" w:rsidRDefault="00273C77" w:rsidP="001B59A6">
            <w:pPr>
              <w:pStyle w:val="PTableHeading"/>
            </w:pPr>
            <w:r w:rsidRPr="004E2AF4">
              <w:t>2007</w:t>
            </w:r>
            <w:r w:rsidRPr="007677A1">
              <w:t>–</w:t>
            </w:r>
            <w:r w:rsidRPr="004E2AF4">
              <w:t>08</w:t>
            </w:r>
          </w:p>
        </w:tc>
        <w:tc>
          <w:tcPr>
            <w:tcW w:w="1214" w:type="dxa"/>
            <w:shd w:val="clear" w:color="auto" w:fill="808080"/>
            <w:vAlign w:val="center"/>
          </w:tcPr>
          <w:p w:rsidR="00273C77" w:rsidRPr="007677A1" w:rsidRDefault="00273C77" w:rsidP="001B59A6">
            <w:pPr>
              <w:pStyle w:val="PTableHeading"/>
            </w:pPr>
            <w:r w:rsidRPr="007677A1">
              <w:t>2008–09</w:t>
            </w:r>
          </w:p>
        </w:tc>
        <w:tc>
          <w:tcPr>
            <w:tcW w:w="1213" w:type="dxa"/>
            <w:shd w:val="clear" w:color="auto" w:fill="808080"/>
            <w:vAlign w:val="center"/>
          </w:tcPr>
          <w:p w:rsidR="00273C77" w:rsidRPr="007677A1" w:rsidRDefault="00273C77" w:rsidP="001B59A6">
            <w:pPr>
              <w:pStyle w:val="PTableHeading"/>
            </w:pPr>
            <w:r>
              <w:t>2009–10</w:t>
            </w:r>
          </w:p>
        </w:tc>
        <w:tc>
          <w:tcPr>
            <w:tcW w:w="1214" w:type="dxa"/>
            <w:shd w:val="clear" w:color="auto" w:fill="808080"/>
            <w:vAlign w:val="center"/>
          </w:tcPr>
          <w:p w:rsidR="00273C77" w:rsidRPr="007677A1" w:rsidRDefault="00273C77" w:rsidP="001B59A6">
            <w:pPr>
              <w:pStyle w:val="PTableHeading"/>
            </w:pPr>
            <w:r w:rsidRPr="007677A1">
              <w:t>F</w:t>
            </w:r>
            <w:r>
              <w:t>ive</w:t>
            </w:r>
            <w:r w:rsidRPr="007677A1">
              <w:t>-year change</w:t>
            </w:r>
          </w:p>
        </w:tc>
      </w:tr>
      <w:tr w:rsidR="00273C77" w:rsidRPr="007677A1" w:rsidTr="001B59A6">
        <w:trPr>
          <w:trHeight w:val="50"/>
        </w:trPr>
        <w:tc>
          <w:tcPr>
            <w:tcW w:w="9734" w:type="dxa"/>
            <w:gridSpan w:val="8"/>
            <w:shd w:val="clear" w:color="auto" w:fill="D9D9D9"/>
            <w:vAlign w:val="bottom"/>
          </w:tcPr>
          <w:p w:rsidR="00273C77" w:rsidRPr="00965A9B" w:rsidRDefault="00273C77" w:rsidP="001B59A6">
            <w:pPr>
              <w:pStyle w:val="PTableHeading2"/>
            </w:pPr>
            <w:r w:rsidRPr="00965A9B">
              <w:t>Elementary Schools</w:t>
            </w:r>
          </w:p>
        </w:tc>
      </w:tr>
      <w:tr w:rsidR="00273C77" w:rsidRPr="007677A1" w:rsidTr="001B59A6">
        <w:trPr>
          <w:trHeight w:val="50"/>
        </w:trPr>
        <w:tc>
          <w:tcPr>
            <w:tcW w:w="1240" w:type="dxa"/>
            <w:noWrap/>
            <w:vAlign w:val="bottom"/>
          </w:tcPr>
          <w:p w:rsidR="00273C77" w:rsidRPr="004E2AF4" w:rsidRDefault="00273C77" w:rsidP="001B59A6">
            <w:pPr>
              <w:pStyle w:val="PTableText"/>
            </w:pPr>
            <w:r w:rsidRPr="007677A1">
              <w:t>State A</w:t>
            </w:r>
          </w:p>
        </w:tc>
        <w:tc>
          <w:tcPr>
            <w:tcW w:w="1213"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tcPr>
          <w:p w:rsidR="00273C77" w:rsidRPr="007677A1" w:rsidRDefault="00273C77" w:rsidP="001B59A6">
            <w:pPr>
              <w:pStyle w:val="PTableText"/>
            </w:pPr>
          </w:p>
        </w:tc>
        <w:tc>
          <w:tcPr>
            <w:tcW w:w="1213" w:type="dxa"/>
          </w:tcPr>
          <w:p w:rsidR="00273C77" w:rsidRPr="007677A1" w:rsidRDefault="00273C77" w:rsidP="001B59A6">
            <w:pPr>
              <w:pStyle w:val="PTableText"/>
            </w:pPr>
          </w:p>
        </w:tc>
        <w:tc>
          <w:tcPr>
            <w:tcW w:w="1214" w:type="dxa"/>
          </w:tcPr>
          <w:p w:rsidR="00273C77" w:rsidRPr="007677A1" w:rsidRDefault="00273C77" w:rsidP="001B59A6">
            <w:pPr>
              <w:pStyle w:val="PTableText"/>
            </w:pPr>
          </w:p>
        </w:tc>
      </w:tr>
      <w:tr w:rsidR="00273C77" w:rsidRPr="007677A1" w:rsidTr="001B59A6">
        <w:trPr>
          <w:trHeight w:val="50"/>
        </w:trPr>
        <w:tc>
          <w:tcPr>
            <w:tcW w:w="1240" w:type="dxa"/>
            <w:noWrap/>
            <w:vAlign w:val="bottom"/>
          </w:tcPr>
          <w:p w:rsidR="00273C77" w:rsidRPr="004E2AF4" w:rsidRDefault="00273C77" w:rsidP="001B59A6">
            <w:pPr>
              <w:pStyle w:val="PTableText"/>
            </w:pPr>
            <w:r w:rsidRPr="007677A1">
              <w:t>State B</w:t>
            </w:r>
          </w:p>
        </w:tc>
        <w:tc>
          <w:tcPr>
            <w:tcW w:w="1213" w:type="dxa"/>
            <w:noWrap/>
            <w:vAlign w:val="bottom"/>
          </w:tcPr>
          <w:p w:rsidR="00273C77" w:rsidRPr="004E2AF4" w:rsidRDefault="00273C77" w:rsidP="001B59A6">
            <w:pPr>
              <w:pStyle w:val="PTableText"/>
            </w:pPr>
          </w:p>
        </w:tc>
        <w:tc>
          <w:tcPr>
            <w:tcW w:w="1213" w:type="dxa"/>
            <w:vAlign w:val="bottom"/>
          </w:tcPr>
          <w:p w:rsidR="00273C77" w:rsidRPr="004E2AF4" w:rsidRDefault="00273C77" w:rsidP="001B59A6">
            <w:pPr>
              <w:pStyle w:val="PTableText"/>
            </w:pPr>
          </w:p>
        </w:tc>
        <w:tc>
          <w:tcPr>
            <w:tcW w:w="1214"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tcPr>
          <w:p w:rsidR="00273C77" w:rsidRPr="007677A1" w:rsidRDefault="00273C77" w:rsidP="001B59A6">
            <w:pPr>
              <w:pStyle w:val="PTableText"/>
            </w:pPr>
          </w:p>
        </w:tc>
        <w:tc>
          <w:tcPr>
            <w:tcW w:w="1213" w:type="dxa"/>
          </w:tcPr>
          <w:p w:rsidR="00273C77" w:rsidRPr="007677A1" w:rsidRDefault="00273C77" w:rsidP="001B59A6">
            <w:pPr>
              <w:pStyle w:val="PTableText"/>
            </w:pPr>
          </w:p>
        </w:tc>
        <w:tc>
          <w:tcPr>
            <w:tcW w:w="1214" w:type="dxa"/>
          </w:tcPr>
          <w:p w:rsidR="00273C77" w:rsidRPr="007677A1" w:rsidRDefault="00273C77" w:rsidP="001B59A6">
            <w:pPr>
              <w:pStyle w:val="PTableText"/>
            </w:pPr>
          </w:p>
        </w:tc>
      </w:tr>
      <w:tr w:rsidR="00273C77" w:rsidRPr="007677A1" w:rsidTr="001B59A6">
        <w:trPr>
          <w:trHeight w:val="50"/>
        </w:trPr>
        <w:tc>
          <w:tcPr>
            <w:tcW w:w="1240" w:type="dxa"/>
            <w:noWrap/>
            <w:vAlign w:val="bottom"/>
          </w:tcPr>
          <w:p w:rsidR="00273C77" w:rsidRPr="004E2AF4" w:rsidRDefault="00273C77" w:rsidP="001B59A6">
            <w:pPr>
              <w:pStyle w:val="PTableText"/>
            </w:pPr>
            <w:r w:rsidRPr="007677A1">
              <w:t>State C</w:t>
            </w:r>
          </w:p>
        </w:tc>
        <w:tc>
          <w:tcPr>
            <w:tcW w:w="1213" w:type="dxa"/>
            <w:noWrap/>
            <w:vAlign w:val="bottom"/>
          </w:tcPr>
          <w:p w:rsidR="00273C77" w:rsidRPr="004E2AF4" w:rsidRDefault="00273C77" w:rsidP="001B59A6">
            <w:pPr>
              <w:pStyle w:val="PTableText"/>
            </w:pPr>
          </w:p>
        </w:tc>
        <w:tc>
          <w:tcPr>
            <w:tcW w:w="1213" w:type="dxa"/>
            <w:vAlign w:val="bottom"/>
          </w:tcPr>
          <w:p w:rsidR="00273C77" w:rsidRPr="004E2AF4" w:rsidRDefault="00273C77" w:rsidP="001B59A6">
            <w:pPr>
              <w:pStyle w:val="PTableText"/>
            </w:pPr>
          </w:p>
        </w:tc>
        <w:tc>
          <w:tcPr>
            <w:tcW w:w="1214"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tcPr>
          <w:p w:rsidR="00273C77" w:rsidRPr="007677A1" w:rsidRDefault="00273C77" w:rsidP="001B59A6">
            <w:pPr>
              <w:pStyle w:val="PTableText"/>
            </w:pPr>
          </w:p>
        </w:tc>
        <w:tc>
          <w:tcPr>
            <w:tcW w:w="1213" w:type="dxa"/>
          </w:tcPr>
          <w:p w:rsidR="00273C77" w:rsidRPr="007677A1" w:rsidRDefault="00273C77" w:rsidP="001B59A6">
            <w:pPr>
              <w:pStyle w:val="PTableText"/>
            </w:pPr>
          </w:p>
        </w:tc>
        <w:tc>
          <w:tcPr>
            <w:tcW w:w="1214" w:type="dxa"/>
          </w:tcPr>
          <w:p w:rsidR="00273C77" w:rsidRPr="007677A1" w:rsidRDefault="00273C77" w:rsidP="001B59A6">
            <w:pPr>
              <w:pStyle w:val="PTableText"/>
            </w:pPr>
          </w:p>
        </w:tc>
      </w:tr>
      <w:tr w:rsidR="00273C77" w:rsidRPr="007677A1" w:rsidTr="001B59A6">
        <w:trPr>
          <w:trHeight w:val="50"/>
        </w:trPr>
        <w:tc>
          <w:tcPr>
            <w:tcW w:w="1240" w:type="dxa"/>
            <w:noWrap/>
            <w:vAlign w:val="bottom"/>
          </w:tcPr>
          <w:p w:rsidR="00273C77" w:rsidRPr="004E2AF4" w:rsidRDefault="00273C77" w:rsidP="001B59A6">
            <w:pPr>
              <w:pStyle w:val="PTableText"/>
            </w:pPr>
            <w:r w:rsidRPr="007677A1">
              <w:t>...</w:t>
            </w:r>
          </w:p>
        </w:tc>
        <w:tc>
          <w:tcPr>
            <w:tcW w:w="1213" w:type="dxa"/>
            <w:noWrap/>
            <w:vAlign w:val="bottom"/>
          </w:tcPr>
          <w:p w:rsidR="00273C77" w:rsidRPr="004E2AF4" w:rsidRDefault="00273C77" w:rsidP="001B59A6">
            <w:pPr>
              <w:pStyle w:val="PTableText"/>
            </w:pPr>
          </w:p>
        </w:tc>
        <w:tc>
          <w:tcPr>
            <w:tcW w:w="1213" w:type="dxa"/>
            <w:vAlign w:val="bottom"/>
          </w:tcPr>
          <w:p w:rsidR="00273C77" w:rsidRPr="004E2AF4" w:rsidRDefault="00273C77" w:rsidP="001B59A6">
            <w:pPr>
              <w:pStyle w:val="PTableText"/>
            </w:pPr>
          </w:p>
        </w:tc>
        <w:tc>
          <w:tcPr>
            <w:tcW w:w="1214"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tcPr>
          <w:p w:rsidR="00273C77" w:rsidRPr="007677A1" w:rsidRDefault="00273C77" w:rsidP="001B59A6">
            <w:pPr>
              <w:pStyle w:val="PTableText"/>
            </w:pPr>
          </w:p>
        </w:tc>
        <w:tc>
          <w:tcPr>
            <w:tcW w:w="1213" w:type="dxa"/>
          </w:tcPr>
          <w:p w:rsidR="00273C77" w:rsidRPr="007677A1" w:rsidRDefault="00273C77" w:rsidP="001B59A6">
            <w:pPr>
              <w:pStyle w:val="PTableText"/>
            </w:pPr>
          </w:p>
        </w:tc>
        <w:tc>
          <w:tcPr>
            <w:tcW w:w="1214" w:type="dxa"/>
          </w:tcPr>
          <w:p w:rsidR="00273C77" w:rsidRPr="007677A1" w:rsidRDefault="00273C77" w:rsidP="001B59A6">
            <w:pPr>
              <w:pStyle w:val="PTableText"/>
            </w:pPr>
          </w:p>
        </w:tc>
      </w:tr>
      <w:tr w:rsidR="00273C77" w:rsidRPr="007677A1" w:rsidTr="001B59A6">
        <w:trPr>
          <w:trHeight w:val="50"/>
        </w:trPr>
        <w:tc>
          <w:tcPr>
            <w:tcW w:w="9734" w:type="dxa"/>
            <w:gridSpan w:val="8"/>
            <w:shd w:val="clear" w:color="auto" w:fill="D9D9D9"/>
            <w:noWrap/>
            <w:vAlign w:val="bottom"/>
          </w:tcPr>
          <w:p w:rsidR="00273C77" w:rsidRPr="00965A9B" w:rsidRDefault="00273C77" w:rsidP="001B59A6">
            <w:pPr>
              <w:pStyle w:val="PTableHeading2"/>
            </w:pPr>
            <w:r w:rsidRPr="00965A9B">
              <w:t>Middle Schools</w:t>
            </w:r>
          </w:p>
        </w:tc>
      </w:tr>
      <w:tr w:rsidR="00273C77" w:rsidRPr="007677A1" w:rsidTr="001B59A6">
        <w:trPr>
          <w:trHeight w:val="50"/>
        </w:trPr>
        <w:tc>
          <w:tcPr>
            <w:tcW w:w="1240" w:type="dxa"/>
            <w:noWrap/>
            <w:vAlign w:val="bottom"/>
          </w:tcPr>
          <w:p w:rsidR="00273C77" w:rsidRPr="004E2AF4" w:rsidRDefault="00273C77" w:rsidP="001B59A6">
            <w:pPr>
              <w:pStyle w:val="PTableText"/>
            </w:pPr>
            <w:r w:rsidRPr="007677A1">
              <w:t>State A</w:t>
            </w:r>
          </w:p>
        </w:tc>
        <w:tc>
          <w:tcPr>
            <w:tcW w:w="1213"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tcPr>
          <w:p w:rsidR="00273C77" w:rsidRPr="007677A1" w:rsidRDefault="00273C77" w:rsidP="001B59A6">
            <w:pPr>
              <w:pStyle w:val="PTableText"/>
            </w:pPr>
          </w:p>
        </w:tc>
        <w:tc>
          <w:tcPr>
            <w:tcW w:w="1213" w:type="dxa"/>
          </w:tcPr>
          <w:p w:rsidR="00273C77" w:rsidRPr="007677A1" w:rsidRDefault="00273C77" w:rsidP="001B59A6">
            <w:pPr>
              <w:pStyle w:val="PTableText"/>
            </w:pPr>
          </w:p>
        </w:tc>
        <w:tc>
          <w:tcPr>
            <w:tcW w:w="1214" w:type="dxa"/>
          </w:tcPr>
          <w:p w:rsidR="00273C77" w:rsidRPr="007677A1" w:rsidRDefault="00273C77" w:rsidP="001B59A6">
            <w:pPr>
              <w:pStyle w:val="PTableText"/>
            </w:pPr>
          </w:p>
        </w:tc>
      </w:tr>
      <w:tr w:rsidR="00273C77" w:rsidRPr="007677A1" w:rsidTr="001B59A6">
        <w:trPr>
          <w:trHeight w:val="50"/>
        </w:trPr>
        <w:tc>
          <w:tcPr>
            <w:tcW w:w="1240" w:type="dxa"/>
            <w:noWrap/>
            <w:vAlign w:val="bottom"/>
          </w:tcPr>
          <w:p w:rsidR="00273C77" w:rsidRPr="004E2AF4" w:rsidRDefault="00273C77" w:rsidP="001B59A6">
            <w:pPr>
              <w:pStyle w:val="PTableText"/>
            </w:pPr>
            <w:r w:rsidRPr="007677A1">
              <w:t>State B</w:t>
            </w:r>
          </w:p>
        </w:tc>
        <w:tc>
          <w:tcPr>
            <w:tcW w:w="1213"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tcPr>
          <w:p w:rsidR="00273C77" w:rsidRPr="007677A1" w:rsidRDefault="00273C77" w:rsidP="001B59A6">
            <w:pPr>
              <w:pStyle w:val="PTableText"/>
            </w:pPr>
          </w:p>
        </w:tc>
        <w:tc>
          <w:tcPr>
            <w:tcW w:w="1213" w:type="dxa"/>
          </w:tcPr>
          <w:p w:rsidR="00273C77" w:rsidRPr="007677A1" w:rsidRDefault="00273C77" w:rsidP="001B59A6">
            <w:pPr>
              <w:pStyle w:val="PTableText"/>
            </w:pPr>
          </w:p>
        </w:tc>
        <w:tc>
          <w:tcPr>
            <w:tcW w:w="1214" w:type="dxa"/>
          </w:tcPr>
          <w:p w:rsidR="00273C77" w:rsidRPr="007677A1" w:rsidRDefault="00273C77" w:rsidP="001B59A6">
            <w:pPr>
              <w:pStyle w:val="PTableText"/>
            </w:pPr>
          </w:p>
        </w:tc>
      </w:tr>
      <w:tr w:rsidR="00273C77" w:rsidRPr="007677A1" w:rsidTr="001B59A6">
        <w:trPr>
          <w:trHeight w:val="50"/>
        </w:trPr>
        <w:tc>
          <w:tcPr>
            <w:tcW w:w="1240" w:type="dxa"/>
            <w:noWrap/>
            <w:vAlign w:val="bottom"/>
          </w:tcPr>
          <w:p w:rsidR="00273C77" w:rsidRPr="004E2AF4" w:rsidRDefault="00273C77" w:rsidP="001B59A6">
            <w:pPr>
              <w:pStyle w:val="PTableText"/>
            </w:pPr>
            <w:r w:rsidRPr="007677A1">
              <w:t>State C</w:t>
            </w:r>
          </w:p>
        </w:tc>
        <w:tc>
          <w:tcPr>
            <w:tcW w:w="1213"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tcPr>
          <w:p w:rsidR="00273C77" w:rsidRPr="007677A1" w:rsidRDefault="00273C77" w:rsidP="001B59A6">
            <w:pPr>
              <w:pStyle w:val="PTableText"/>
            </w:pPr>
          </w:p>
        </w:tc>
        <w:tc>
          <w:tcPr>
            <w:tcW w:w="1213" w:type="dxa"/>
          </w:tcPr>
          <w:p w:rsidR="00273C77" w:rsidRPr="007677A1" w:rsidRDefault="00273C77" w:rsidP="001B59A6">
            <w:pPr>
              <w:pStyle w:val="PTableText"/>
            </w:pPr>
          </w:p>
        </w:tc>
        <w:tc>
          <w:tcPr>
            <w:tcW w:w="1214" w:type="dxa"/>
          </w:tcPr>
          <w:p w:rsidR="00273C77" w:rsidRPr="007677A1" w:rsidRDefault="00273C77" w:rsidP="001B59A6">
            <w:pPr>
              <w:pStyle w:val="PTableText"/>
            </w:pPr>
          </w:p>
        </w:tc>
      </w:tr>
      <w:tr w:rsidR="00273C77" w:rsidRPr="007677A1" w:rsidTr="001B59A6">
        <w:trPr>
          <w:trHeight w:val="50"/>
        </w:trPr>
        <w:tc>
          <w:tcPr>
            <w:tcW w:w="1240" w:type="dxa"/>
            <w:noWrap/>
            <w:vAlign w:val="bottom"/>
          </w:tcPr>
          <w:p w:rsidR="00273C77" w:rsidRPr="004E2AF4" w:rsidRDefault="00273C77" w:rsidP="001B59A6">
            <w:pPr>
              <w:pStyle w:val="PTableText"/>
            </w:pPr>
            <w:r w:rsidRPr="007677A1">
              <w:t>…</w:t>
            </w:r>
          </w:p>
        </w:tc>
        <w:tc>
          <w:tcPr>
            <w:tcW w:w="1213"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noWrap/>
            <w:vAlign w:val="bottom"/>
          </w:tcPr>
          <w:p w:rsidR="00273C77" w:rsidRPr="004E2AF4" w:rsidRDefault="00273C77" w:rsidP="001B59A6">
            <w:pPr>
              <w:pStyle w:val="PTableText"/>
            </w:pPr>
          </w:p>
        </w:tc>
        <w:tc>
          <w:tcPr>
            <w:tcW w:w="1213" w:type="dxa"/>
            <w:noWrap/>
            <w:vAlign w:val="bottom"/>
          </w:tcPr>
          <w:p w:rsidR="00273C77" w:rsidRPr="004E2AF4" w:rsidRDefault="00273C77" w:rsidP="001B59A6">
            <w:pPr>
              <w:pStyle w:val="PTableText"/>
            </w:pPr>
          </w:p>
        </w:tc>
        <w:tc>
          <w:tcPr>
            <w:tcW w:w="1214" w:type="dxa"/>
          </w:tcPr>
          <w:p w:rsidR="00273C77" w:rsidRPr="007677A1" w:rsidRDefault="00273C77" w:rsidP="001B59A6">
            <w:pPr>
              <w:pStyle w:val="PTableText"/>
            </w:pPr>
          </w:p>
        </w:tc>
        <w:tc>
          <w:tcPr>
            <w:tcW w:w="1213" w:type="dxa"/>
          </w:tcPr>
          <w:p w:rsidR="00273C77" w:rsidRPr="007677A1" w:rsidRDefault="00273C77" w:rsidP="001B59A6">
            <w:pPr>
              <w:pStyle w:val="PTableText"/>
            </w:pPr>
          </w:p>
        </w:tc>
        <w:tc>
          <w:tcPr>
            <w:tcW w:w="1214" w:type="dxa"/>
          </w:tcPr>
          <w:p w:rsidR="00273C77" w:rsidRPr="007677A1" w:rsidRDefault="00273C77" w:rsidP="001B59A6">
            <w:pPr>
              <w:pStyle w:val="PTableText"/>
            </w:pPr>
          </w:p>
        </w:tc>
      </w:tr>
    </w:tbl>
    <w:p w:rsidR="00273C77" w:rsidRDefault="00273C77" w:rsidP="00785CFC">
      <w:pPr>
        <w:pStyle w:val="PTableText"/>
      </w:pPr>
    </w:p>
    <w:p w:rsidR="00273C77" w:rsidRDefault="00273C77" w:rsidP="00BE15B9">
      <w:pPr>
        <w:pStyle w:val="Heading3"/>
      </w:pPr>
      <w:bookmarkStart w:id="88" w:name="_Toc271899457"/>
      <w:bookmarkStart w:id="89" w:name="_Toc280106409"/>
      <w:r w:rsidRPr="00842280">
        <w:t>17. Approval to Not Display OMB Expiration Date</w:t>
      </w:r>
      <w:bookmarkEnd w:id="88"/>
      <w:bookmarkEnd w:id="89"/>
    </w:p>
    <w:p w:rsidR="00273C77" w:rsidRDefault="00273C77" w:rsidP="00785CFC">
      <w:pPr>
        <w:pStyle w:val="PBodyText"/>
      </w:pPr>
      <w:r w:rsidRPr="005E1A5E">
        <w:t>All data collection instruments will include the OMB expiration date.</w:t>
      </w:r>
    </w:p>
    <w:p w:rsidR="00273C77" w:rsidRPr="00785CFC" w:rsidRDefault="00273C77" w:rsidP="00785CFC">
      <w:pPr>
        <w:pStyle w:val="Heading3"/>
      </w:pPr>
      <w:bookmarkStart w:id="90" w:name="_Toc271899458"/>
      <w:bookmarkStart w:id="91" w:name="_Toc280106410"/>
      <w:r w:rsidRPr="00842280">
        <w:t>18. Explanation of Exceptions</w:t>
      </w:r>
      <w:bookmarkEnd w:id="90"/>
      <w:bookmarkEnd w:id="91"/>
    </w:p>
    <w:p w:rsidR="00273C77" w:rsidRDefault="00273C77" w:rsidP="00785CFC">
      <w:pPr>
        <w:pStyle w:val="PBodyText"/>
      </w:pPr>
      <w:r>
        <w:t>No exceptions are requested.</w:t>
      </w:r>
    </w:p>
    <w:p w:rsidR="00273C77" w:rsidRDefault="00273C77" w:rsidP="00DB7B4F">
      <w:pPr>
        <w:pStyle w:val="Heading1"/>
      </w:pPr>
      <w:r>
        <w:br w:type="page"/>
      </w:r>
      <w:bookmarkStart w:id="92" w:name="_Toc280106411"/>
      <w:r>
        <w:t>References</w:t>
      </w:r>
      <w:bookmarkEnd w:id="92"/>
    </w:p>
    <w:p w:rsidR="00273C77" w:rsidRDefault="00273C77"/>
    <w:p w:rsidR="00273C77" w:rsidRDefault="00273C77" w:rsidP="0084014B">
      <w:pPr>
        <w:ind w:left="720" w:hanging="720"/>
        <w:rPr>
          <w:noProof/>
        </w:rPr>
      </w:pPr>
      <w:r>
        <w:rPr>
          <w:noProof/>
        </w:rPr>
        <w:t xml:space="preserve">Dillman, D. A. (1978). Mail and telephone surveys: The total design method. New York: John Wiley. </w:t>
      </w:r>
    </w:p>
    <w:p w:rsidR="00273C77" w:rsidRDefault="00273C77" w:rsidP="0084014B">
      <w:pPr>
        <w:ind w:left="720" w:hanging="720"/>
        <w:rPr>
          <w:noProof/>
        </w:rPr>
      </w:pPr>
    </w:p>
    <w:p w:rsidR="00273C77" w:rsidRDefault="00273C77" w:rsidP="0084014B">
      <w:pPr>
        <w:ind w:left="720" w:hanging="720"/>
        <w:rPr>
          <w:noProof/>
        </w:rPr>
      </w:pPr>
      <w:r>
        <w:rPr>
          <w:noProof/>
        </w:rPr>
        <w:t xml:space="preserve">Dillman, D. A. (2000). Mail and internet surveys: The tailored design method. New York: John Wiley. </w:t>
      </w:r>
    </w:p>
    <w:p w:rsidR="00273C77" w:rsidRDefault="00273C77" w:rsidP="0084014B">
      <w:pPr>
        <w:pStyle w:val="NormalWeb"/>
        <w:ind w:left="720" w:hanging="720"/>
        <w:rPr>
          <w:color w:val="000000"/>
        </w:rPr>
      </w:pPr>
      <w:bookmarkStart w:id="93" w:name="_Toc239221867"/>
      <w:bookmarkStart w:id="94" w:name="_Toc272264524"/>
      <w:bookmarkStart w:id="95" w:name="_Toc279830430"/>
      <w:r w:rsidRPr="008B0C51">
        <w:rPr>
          <w:color w:val="000000"/>
        </w:rPr>
        <w:t xml:space="preserve">Groves, R. M., Cialdini, R. B., &amp; Couper, M. P. (1992). Understanding the decision to participate in a survey. </w:t>
      </w:r>
      <w:r w:rsidRPr="008B0C51">
        <w:rPr>
          <w:i/>
          <w:iCs/>
          <w:color w:val="000000"/>
        </w:rPr>
        <w:t>Public Opinion Quarterly</w:t>
      </w:r>
      <w:r w:rsidRPr="008B0C51">
        <w:rPr>
          <w:color w:val="000000"/>
        </w:rPr>
        <w:t xml:space="preserve">, </w:t>
      </w:r>
      <w:r w:rsidRPr="008B0C51">
        <w:rPr>
          <w:i/>
          <w:iCs/>
          <w:color w:val="000000"/>
        </w:rPr>
        <w:t>56</w:t>
      </w:r>
      <w:r w:rsidRPr="008B0C51">
        <w:rPr>
          <w:color w:val="000000"/>
        </w:rPr>
        <w:t xml:space="preserve">, 475-495. </w:t>
      </w:r>
    </w:p>
    <w:p w:rsidR="00273C77" w:rsidRDefault="00273C77" w:rsidP="0084014B">
      <w:pPr>
        <w:ind w:left="720" w:hanging="720"/>
      </w:pPr>
      <w:r>
        <w:t xml:space="preserve">Institute of Education Sciences, U.S. Department of Education (22 March 2005). </w:t>
      </w:r>
      <w:r>
        <w:rPr>
          <w:i/>
          <w:iCs/>
        </w:rPr>
        <w:t>Guidelines for Incentives for NCEE Impact Evaluations</w:t>
      </w:r>
      <w:r>
        <w:t xml:space="preserve">. Washington, DC: Author. </w:t>
      </w:r>
    </w:p>
    <w:p w:rsidR="00273C77" w:rsidRPr="008B0C51" w:rsidRDefault="00273C77" w:rsidP="008B0C51">
      <w:pPr>
        <w:pStyle w:val="NormalWeb"/>
        <w:rPr>
          <w:color w:val="000000"/>
        </w:rPr>
      </w:pPr>
    </w:p>
    <w:p w:rsidR="00273C77" w:rsidRDefault="00273C77">
      <w:pPr>
        <w:rPr>
          <w:rFonts w:ascii="Arial Bold" w:hAnsi="Arial Bold" w:cs="Arial"/>
          <w:b/>
          <w:bCs/>
          <w:caps/>
          <w:color w:val="000000"/>
          <w:sz w:val="32"/>
          <w:szCs w:val="28"/>
        </w:rPr>
      </w:pPr>
      <w:r>
        <w:br w:type="page"/>
      </w:r>
    </w:p>
    <w:p w:rsidR="00273C77" w:rsidRDefault="00273C77" w:rsidP="00375001">
      <w:pPr>
        <w:pStyle w:val="Heading1"/>
      </w:pPr>
      <w:bookmarkStart w:id="96" w:name="_Toc280106412"/>
      <w:r w:rsidRPr="00C9564A">
        <w:t>Appendix A</w:t>
      </w:r>
      <w:bookmarkEnd w:id="93"/>
      <w:bookmarkEnd w:id="94"/>
      <w:bookmarkEnd w:id="95"/>
      <w:bookmarkEnd w:id="96"/>
    </w:p>
    <w:p w:rsidR="00273C77" w:rsidRDefault="00273C77" w:rsidP="00375001">
      <w:pPr>
        <w:pStyle w:val="Heading2"/>
      </w:pPr>
      <w:bookmarkStart w:id="97" w:name="_Toc279830431"/>
      <w:bookmarkStart w:id="98" w:name="_Toc280106413"/>
      <w:r>
        <w:t xml:space="preserve">Employee Agreement on Data Use and Confidentiality </w:t>
      </w:r>
      <w:bookmarkEnd w:id="97"/>
      <w:r>
        <w:t>Procedures</w:t>
      </w:r>
      <w:bookmarkEnd w:id="98"/>
    </w:p>
    <w:p w:rsidR="00273C77" w:rsidRPr="001D790C" w:rsidRDefault="00273C77" w:rsidP="00375001">
      <w:pPr>
        <w:rPr>
          <w:rFonts w:cs="Times New Roman"/>
          <w:szCs w:val="24"/>
        </w:rPr>
      </w:pPr>
      <w:r>
        <w:rPr>
          <w:rFonts w:cs="Times New Roman"/>
          <w:color w:val="1F497D"/>
          <w:szCs w:val="24"/>
        </w:rPr>
        <w:t xml:space="preserve"> </w:t>
      </w:r>
    </w:p>
    <w:p w:rsidR="00273C77" w:rsidRDefault="00273C77" w:rsidP="00375001">
      <w:pPr>
        <w:jc w:val="center"/>
        <w:rPr>
          <w:rFonts w:cs="Times New Roman"/>
          <w:b/>
          <w:bCs/>
          <w:szCs w:val="24"/>
        </w:rPr>
      </w:pPr>
      <w:r>
        <w:rPr>
          <w:rFonts w:cs="Times New Roman"/>
          <w:b/>
          <w:bCs/>
          <w:szCs w:val="24"/>
        </w:rPr>
        <w:t>School Improvement Status and Outcomes for Students with Disabilities Study</w:t>
      </w:r>
    </w:p>
    <w:p w:rsidR="00273C77" w:rsidRPr="001D790C" w:rsidRDefault="00273C77" w:rsidP="00375001">
      <w:pPr>
        <w:jc w:val="center"/>
        <w:rPr>
          <w:rFonts w:cs="Times New Roman"/>
          <w:szCs w:val="24"/>
        </w:rPr>
      </w:pPr>
      <w:r w:rsidRPr="001D790C">
        <w:rPr>
          <w:rFonts w:cs="Times New Roman"/>
          <w:b/>
          <w:bCs/>
          <w:szCs w:val="24"/>
        </w:rPr>
        <w:t xml:space="preserve">Data Use and Confidentiality Procedures </w:t>
      </w:r>
    </w:p>
    <w:p w:rsidR="00273C77" w:rsidRPr="001D790C" w:rsidRDefault="00273C77" w:rsidP="00375001">
      <w:pPr>
        <w:jc w:val="center"/>
        <w:rPr>
          <w:rFonts w:cs="Times New Roman"/>
          <w:szCs w:val="24"/>
        </w:rPr>
      </w:pPr>
      <w:r w:rsidRPr="001D790C">
        <w:rPr>
          <w:rFonts w:cs="Times New Roman"/>
          <w:b/>
          <w:bCs/>
          <w:szCs w:val="24"/>
        </w:rPr>
        <w:t>Employee Agreement</w:t>
      </w:r>
    </w:p>
    <w:p w:rsidR="00273C77" w:rsidRPr="001D790C" w:rsidRDefault="00273C77" w:rsidP="00375001">
      <w:pPr>
        <w:rPr>
          <w:rFonts w:cs="Times New Roman"/>
          <w:szCs w:val="24"/>
        </w:rPr>
      </w:pPr>
      <w:r w:rsidRPr="001D790C">
        <w:rPr>
          <w:rFonts w:cs="Times New Roman"/>
          <w:szCs w:val="24"/>
        </w:rPr>
        <w:t> </w:t>
      </w:r>
    </w:p>
    <w:p w:rsidR="00273C77" w:rsidRPr="001D790C" w:rsidRDefault="00273C77" w:rsidP="00375001">
      <w:pPr>
        <w:rPr>
          <w:rFonts w:cs="Times New Roman"/>
          <w:szCs w:val="24"/>
        </w:rPr>
      </w:pPr>
      <w:r w:rsidRPr="001D790C">
        <w:rPr>
          <w:rFonts w:cs="Times New Roman"/>
          <w:szCs w:val="24"/>
        </w:rPr>
        <w:t> </w:t>
      </w:r>
    </w:p>
    <w:p w:rsidR="00273C77" w:rsidRPr="001D790C" w:rsidRDefault="00273C77" w:rsidP="00375001">
      <w:pPr>
        <w:rPr>
          <w:rFonts w:cs="Times New Roman"/>
          <w:szCs w:val="24"/>
        </w:rPr>
      </w:pPr>
      <w:r w:rsidRPr="001D790C">
        <w:rPr>
          <w:rFonts w:cs="Times New Roman"/>
          <w:szCs w:val="24"/>
        </w:rPr>
        <w:t xml:space="preserve">I acknowledge that I have been granted access to confidential data, which include </w:t>
      </w:r>
      <w:r w:rsidRPr="004D1F72">
        <w:rPr>
          <w:rFonts w:cs="Times New Roman"/>
          <w:szCs w:val="24"/>
        </w:rPr>
        <w:t xml:space="preserve">school survey data and </w:t>
      </w:r>
      <w:r w:rsidRPr="001D790C">
        <w:rPr>
          <w:rFonts w:cs="Times New Roman"/>
          <w:szCs w:val="24"/>
        </w:rPr>
        <w:t>student-level education records, to facilitate the performance of my duties on the</w:t>
      </w:r>
      <w:r w:rsidRPr="004D1F72">
        <w:rPr>
          <w:rFonts w:cs="Times New Roman"/>
          <w:szCs w:val="24"/>
        </w:rPr>
        <w:t xml:space="preserve"> School Improvement Status and Outcomes for Students with Disabilities Study </w:t>
      </w:r>
      <w:r w:rsidRPr="001D790C">
        <w:rPr>
          <w:rFonts w:cs="Times New Roman"/>
          <w:szCs w:val="24"/>
        </w:rPr>
        <w:t>(or “</w:t>
      </w:r>
      <w:r w:rsidRPr="004D1F72">
        <w:rPr>
          <w:rFonts w:cs="Times New Roman"/>
          <w:szCs w:val="24"/>
        </w:rPr>
        <w:t>Students with Disabilities Study</w:t>
      </w:r>
      <w:r w:rsidRPr="001D790C">
        <w:rPr>
          <w:rFonts w:cs="Times New Roman"/>
          <w:szCs w:val="24"/>
        </w:rPr>
        <w:t>”).</w:t>
      </w:r>
      <w:r>
        <w:rPr>
          <w:rFonts w:cs="Times New Roman"/>
          <w:szCs w:val="24"/>
        </w:rPr>
        <w:t xml:space="preserve"> </w:t>
      </w:r>
      <w:r w:rsidRPr="001D790C">
        <w:rPr>
          <w:rFonts w:cs="Times New Roman"/>
          <w:szCs w:val="24"/>
        </w:rPr>
        <w:t xml:space="preserve">This Agreement confirms that I recognize and understand that my use of these data is restricted to the fulfillment of my duties on the </w:t>
      </w:r>
      <w:r w:rsidRPr="004D1F72">
        <w:rPr>
          <w:rFonts w:cs="Times New Roman"/>
          <w:szCs w:val="24"/>
        </w:rPr>
        <w:t xml:space="preserve">Students with Disabilities Study </w:t>
      </w:r>
      <w:r w:rsidRPr="001D790C">
        <w:rPr>
          <w:rFonts w:cs="Times New Roman"/>
          <w:szCs w:val="24"/>
        </w:rPr>
        <w:t>and that it is my responsibility to safeguard and maintain the confidentiality of these data.</w:t>
      </w:r>
      <w:r>
        <w:rPr>
          <w:rFonts w:cs="Times New Roman"/>
          <w:szCs w:val="24"/>
        </w:rPr>
        <w:t xml:space="preserve"> </w:t>
      </w:r>
    </w:p>
    <w:p w:rsidR="00273C77" w:rsidRPr="001D790C" w:rsidRDefault="00273C77" w:rsidP="00375001">
      <w:pPr>
        <w:rPr>
          <w:rFonts w:cs="Times New Roman"/>
          <w:szCs w:val="24"/>
        </w:rPr>
      </w:pPr>
      <w:r w:rsidRPr="001D790C">
        <w:rPr>
          <w:rFonts w:cs="Times New Roman"/>
          <w:szCs w:val="24"/>
        </w:rPr>
        <w:t> </w:t>
      </w:r>
    </w:p>
    <w:p w:rsidR="00273C77" w:rsidRPr="001D790C" w:rsidRDefault="00273C77" w:rsidP="00375001">
      <w:pPr>
        <w:rPr>
          <w:rFonts w:cs="Times New Roman"/>
          <w:szCs w:val="24"/>
        </w:rPr>
      </w:pPr>
      <w:r w:rsidRPr="001D790C">
        <w:rPr>
          <w:rFonts w:cs="Times New Roman"/>
          <w:szCs w:val="24"/>
        </w:rPr>
        <w:t xml:space="preserve">I have received a copy of the </w:t>
      </w:r>
      <w:r w:rsidRPr="004D1F72">
        <w:rPr>
          <w:rFonts w:cs="Times New Roman"/>
          <w:szCs w:val="24"/>
        </w:rPr>
        <w:t xml:space="preserve">Students with Disabilities Study </w:t>
      </w:r>
      <w:r w:rsidRPr="001D790C">
        <w:rPr>
          <w:rFonts w:cs="Times New Roman"/>
          <w:szCs w:val="24"/>
        </w:rPr>
        <w:t xml:space="preserve">Data Use </w:t>
      </w:r>
      <w:r w:rsidRPr="004D1F72">
        <w:rPr>
          <w:rFonts w:cs="Times New Roman"/>
          <w:szCs w:val="24"/>
        </w:rPr>
        <w:t>and Confidentiality Procedures</w:t>
      </w:r>
      <w:r w:rsidRPr="001D790C">
        <w:rPr>
          <w:rFonts w:cs="Times New Roman"/>
          <w:szCs w:val="24"/>
        </w:rPr>
        <w:t>.</w:t>
      </w:r>
      <w:r>
        <w:rPr>
          <w:rFonts w:cs="Times New Roman"/>
          <w:szCs w:val="24"/>
        </w:rPr>
        <w:t xml:space="preserve"> </w:t>
      </w:r>
      <w:r w:rsidRPr="001D790C">
        <w:rPr>
          <w:rFonts w:cs="Times New Roman"/>
          <w:szCs w:val="24"/>
        </w:rPr>
        <w:t>I ce</w:t>
      </w:r>
      <w:r w:rsidRPr="004D1F72">
        <w:rPr>
          <w:rFonts w:cs="Times New Roman"/>
          <w:szCs w:val="24"/>
        </w:rPr>
        <w:t>rtify that I have reviewed this</w:t>
      </w:r>
      <w:r w:rsidRPr="001D790C">
        <w:rPr>
          <w:rFonts w:cs="Times New Roman"/>
          <w:szCs w:val="24"/>
        </w:rPr>
        <w:t xml:space="preserve"> document and agree to abide by the standards set forth therein for the duration of my employment on the </w:t>
      </w:r>
      <w:r w:rsidRPr="004D1F72">
        <w:rPr>
          <w:rFonts w:cs="Times New Roman"/>
          <w:szCs w:val="24"/>
        </w:rPr>
        <w:t>Students with Disabilities Study</w:t>
      </w:r>
      <w:r w:rsidRPr="001D790C">
        <w:rPr>
          <w:rFonts w:cs="Times New Roman"/>
          <w:szCs w:val="24"/>
        </w:rPr>
        <w:t>.</w:t>
      </w:r>
      <w:r>
        <w:rPr>
          <w:rFonts w:cs="Times New Roman"/>
          <w:szCs w:val="24"/>
        </w:rPr>
        <w:t xml:space="preserve"> </w:t>
      </w:r>
      <w:r w:rsidRPr="001D790C">
        <w:rPr>
          <w:rFonts w:cs="Times New Roman"/>
          <w:szCs w:val="24"/>
        </w:rPr>
        <w:t>I understand that my e-mail and computer usage may be monitored by the company to ensure compliance with these standards.</w:t>
      </w:r>
      <w:r>
        <w:rPr>
          <w:rFonts w:cs="Times New Roman"/>
          <w:szCs w:val="24"/>
        </w:rPr>
        <w:t xml:space="preserve"> </w:t>
      </w:r>
      <w:r w:rsidRPr="001D790C">
        <w:rPr>
          <w:rFonts w:cs="Times New Roman"/>
          <w:szCs w:val="24"/>
        </w:rPr>
        <w:t>I am aware that any violations of the Data Use and Confidentiality Procedures may subject me to disciplinary action, up to and including discharge from employment.</w:t>
      </w:r>
    </w:p>
    <w:p w:rsidR="00273C77" w:rsidRPr="001D790C" w:rsidRDefault="00273C77" w:rsidP="00375001">
      <w:pPr>
        <w:rPr>
          <w:rFonts w:cs="Times New Roman"/>
          <w:szCs w:val="24"/>
        </w:rPr>
      </w:pPr>
      <w:r w:rsidRPr="001D790C">
        <w:rPr>
          <w:rFonts w:cs="Times New Roman"/>
          <w:szCs w:val="24"/>
        </w:rPr>
        <w:t> </w:t>
      </w:r>
    </w:p>
    <w:p w:rsidR="00273C77" w:rsidRPr="001D790C" w:rsidRDefault="00273C77" w:rsidP="00375001">
      <w:pPr>
        <w:rPr>
          <w:rFonts w:cs="Times New Roman"/>
          <w:szCs w:val="24"/>
        </w:rPr>
      </w:pPr>
      <w:r w:rsidRPr="001D790C">
        <w:rPr>
          <w:rFonts w:cs="Times New Roman"/>
          <w:szCs w:val="24"/>
        </w:rPr>
        <w:t> </w:t>
      </w:r>
    </w:p>
    <w:p w:rsidR="00273C77" w:rsidRPr="001D790C" w:rsidRDefault="00273C77" w:rsidP="00375001">
      <w:pPr>
        <w:rPr>
          <w:rFonts w:cs="Times New Roman"/>
          <w:szCs w:val="24"/>
        </w:rPr>
      </w:pPr>
      <w:r>
        <w:rPr>
          <w:rFonts w:cs="Times New Roman"/>
          <w:szCs w:val="24"/>
        </w:rPr>
        <w:t xml:space="preserve"> </w:t>
      </w:r>
    </w:p>
    <w:p w:rsidR="00273C77" w:rsidRPr="001D790C" w:rsidRDefault="00273C77" w:rsidP="00375001">
      <w:pPr>
        <w:rPr>
          <w:rFonts w:cs="Times New Roman"/>
          <w:szCs w:val="24"/>
        </w:rPr>
      </w:pPr>
      <w:r w:rsidRPr="001D790C">
        <w:rPr>
          <w:rFonts w:cs="Times New Roman"/>
          <w:szCs w:val="24"/>
        </w:rPr>
        <w:t> </w:t>
      </w:r>
    </w:p>
    <w:p w:rsidR="00273C77" w:rsidRPr="001D790C" w:rsidRDefault="00273C77" w:rsidP="00375001">
      <w:pPr>
        <w:rPr>
          <w:rFonts w:cs="Times New Roman"/>
          <w:szCs w:val="24"/>
        </w:rPr>
      </w:pPr>
      <w:r w:rsidRPr="001D790C">
        <w:rPr>
          <w:rFonts w:cs="Times New Roman"/>
          <w:szCs w:val="24"/>
        </w:rPr>
        <w:t>___________________________________</w:t>
      </w:r>
      <w:r>
        <w:rPr>
          <w:rFonts w:cs="Times New Roman"/>
          <w:szCs w:val="24"/>
        </w:rPr>
        <w:t xml:space="preserve">     </w:t>
      </w:r>
      <w:r w:rsidRPr="001D790C">
        <w:rPr>
          <w:rFonts w:cs="Times New Roman"/>
          <w:szCs w:val="24"/>
        </w:rPr>
        <w:t xml:space="preserve"> _______________________</w:t>
      </w:r>
    </w:p>
    <w:p w:rsidR="00273C77" w:rsidRPr="001D790C" w:rsidRDefault="00273C77" w:rsidP="00375001">
      <w:pPr>
        <w:rPr>
          <w:rFonts w:cs="Times New Roman"/>
          <w:szCs w:val="24"/>
        </w:rPr>
      </w:pPr>
      <w:r w:rsidRPr="001D790C">
        <w:rPr>
          <w:rFonts w:cs="Times New Roman"/>
          <w:szCs w:val="24"/>
        </w:rPr>
        <w:t>Employee’s Signature</w:t>
      </w:r>
      <w:r>
        <w:rPr>
          <w:rFonts w:cs="Times New Roman"/>
          <w:szCs w:val="24"/>
        </w:rPr>
        <w:t xml:space="preserve">                        </w:t>
      </w:r>
      <w:r w:rsidRPr="001D790C">
        <w:rPr>
          <w:rFonts w:cs="Times New Roman"/>
          <w:szCs w:val="24"/>
        </w:rPr>
        <w:t xml:space="preserve"> </w:t>
      </w:r>
      <w:r>
        <w:rPr>
          <w:rFonts w:cs="Times New Roman"/>
          <w:szCs w:val="24"/>
        </w:rPr>
        <w:tab/>
      </w:r>
      <w:r>
        <w:rPr>
          <w:rFonts w:cs="Times New Roman"/>
          <w:szCs w:val="24"/>
        </w:rPr>
        <w:tab/>
      </w:r>
      <w:r w:rsidRPr="001D790C">
        <w:rPr>
          <w:rFonts w:cs="Times New Roman"/>
          <w:szCs w:val="24"/>
        </w:rPr>
        <w:t>Date</w:t>
      </w:r>
    </w:p>
    <w:p w:rsidR="00273C77" w:rsidRPr="001D790C" w:rsidRDefault="00273C77" w:rsidP="00375001">
      <w:pPr>
        <w:rPr>
          <w:rFonts w:cs="Times New Roman"/>
          <w:szCs w:val="24"/>
        </w:rPr>
      </w:pPr>
      <w:r w:rsidRPr="001D790C">
        <w:rPr>
          <w:rFonts w:cs="Times New Roman"/>
          <w:szCs w:val="24"/>
        </w:rPr>
        <w:t> </w:t>
      </w:r>
    </w:p>
    <w:p w:rsidR="00273C77" w:rsidRPr="001D790C" w:rsidRDefault="00273C77" w:rsidP="00375001">
      <w:pPr>
        <w:rPr>
          <w:rFonts w:cs="Times New Roman"/>
          <w:szCs w:val="24"/>
        </w:rPr>
      </w:pPr>
      <w:r w:rsidRPr="001D790C">
        <w:rPr>
          <w:rFonts w:cs="Times New Roman"/>
          <w:szCs w:val="24"/>
        </w:rPr>
        <w:t> </w:t>
      </w:r>
    </w:p>
    <w:p w:rsidR="00273C77" w:rsidRPr="001D790C" w:rsidRDefault="00273C77" w:rsidP="00375001">
      <w:pPr>
        <w:rPr>
          <w:rFonts w:cs="Times New Roman"/>
          <w:szCs w:val="24"/>
        </w:rPr>
      </w:pPr>
      <w:r w:rsidRPr="001D790C">
        <w:rPr>
          <w:rFonts w:cs="Times New Roman"/>
          <w:szCs w:val="24"/>
        </w:rPr>
        <w:t>___________________________________</w:t>
      </w:r>
    </w:p>
    <w:p w:rsidR="00273C77" w:rsidRPr="001D790C" w:rsidRDefault="00273C77" w:rsidP="00375001">
      <w:pPr>
        <w:rPr>
          <w:rFonts w:cs="Times New Roman"/>
          <w:szCs w:val="24"/>
        </w:rPr>
      </w:pPr>
      <w:r w:rsidRPr="001D790C">
        <w:rPr>
          <w:rFonts w:cs="Times New Roman"/>
          <w:szCs w:val="24"/>
        </w:rPr>
        <w:t>Employee’s Printed Name</w:t>
      </w:r>
    </w:p>
    <w:p w:rsidR="00273C77" w:rsidRPr="001D790C" w:rsidRDefault="00273C77" w:rsidP="00375001">
      <w:pPr>
        <w:rPr>
          <w:rFonts w:cs="Times New Roman"/>
          <w:szCs w:val="24"/>
        </w:rPr>
      </w:pPr>
      <w:r w:rsidRPr="001D790C">
        <w:rPr>
          <w:rFonts w:cs="Times New Roman"/>
          <w:szCs w:val="24"/>
        </w:rPr>
        <w:t> </w:t>
      </w:r>
    </w:p>
    <w:p w:rsidR="00273C77" w:rsidRPr="004D1F72" w:rsidRDefault="00273C77" w:rsidP="00785CFC">
      <w:pPr>
        <w:pStyle w:val="PBodyText"/>
        <w:rPr>
          <w:rFonts w:cs="Times New Roman"/>
          <w:szCs w:val="24"/>
        </w:rPr>
      </w:pPr>
    </w:p>
    <w:sectPr w:rsidR="00273C77" w:rsidRPr="004D1F72" w:rsidSect="001B59A6">
      <w:headerReference w:type="default" r:id="rId23"/>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C77" w:rsidRDefault="00273C77" w:rsidP="00CB4398">
      <w:r>
        <w:separator/>
      </w:r>
    </w:p>
  </w:endnote>
  <w:endnote w:type="continuationSeparator" w:id="0">
    <w:p w:rsidR="00273C77" w:rsidRDefault="00273C77" w:rsidP="00CB43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mmonBullets">
    <w:altName w:val="Symbol"/>
    <w:panose1 w:val="00000000000000000000"/>
    <w:charset w:val="02"/>
    <w:family w:val="swiss"/>
    <w:notTrueType/>
    <w:pitch w:val="variable"/>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Default="00273C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Default="00273C77" w:rsidP="00D84DC5">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Default="00273C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Pr="00710942" w:rsidRDefault="00273C77" w:rsidP="008701F1">
    <w:pPr>
      <w:pStyle w:val="Footer"/>
      <w:tabs>
        <w:tab w:val="clear" w:pos="8640"/>
        <w:tab w:val="right" w:pos="9360"/>
      </w:tabs>
      <w:rPr>
        <w:sz w:val="18"/>
        <w:szCs w:val="18"/>
      </w:rPr>
    </w:pPr>
    <w:r>
      <w:rPr>
        <w:noProof/>
        <w:sz w:val="18"/>
        <w:szCs w:val="18"/>
      </w:rPr>
      <w:t>Contract No.</w:t>
    </w:r>
    <w:r w:rsidRPr="008701F1">
      <w:rPr>
        <w:noProof/>
        <w:sz w:val="18"/>
        <w:szCs w:val="18"/>
      </w:rPr>
      <w:t xml:space="preserve">: </w:t>
    </w:r>
    <w:r>
      <w:rPr>
        <w:noProof/>
        <w:sz w:val="18"/>
        <w:szCs w:val="18"/>
      </w:rPr>
      <w:t>ED-04-CO-0025/0013</w:t>
    </w:r>
    <w:r w:rsidRPr="00710942">
      <w:rPr>
        <w:sz w:val="18"/>
        <w:szCs w:val="18"/>
      </w:rPr>
      <w:tab/>
    </w:r>
    <w:r w:rsidRPr="00653BF3">
      <w:rPr>
        <w:sz w:val="18"/>
        <w:szCs w:val="18"/>
      </w:rPr>
      <w:fldChar w:fldCharType="begin"/>
    </w:r>
    <w:r w:rsidRPr="00653BF3">
      <w:rPr>
        <w:sz w:val="18"/>
        <w:szCs w:val="18"/>
      </w:rPr>
      <w:instrText xml:space="preserve"> PAGE   \* MERGEFORMAT </w:instrText>
    </w:r>
    <w:r w:rsidRPr="00653BF3">
      <w:rPr>
        <w:sz w:val="18"/>
        <w:szCs w:val="18"/>
      </w:rPr>
      <w:fldChar w:fldCharType="separate"/>
    </w:r>
    <w:r>
      <w:rPr>
        <w:noProof/>
        <w:sz w:val="18"/>
        <w:szCs w:val="18"/>
      </w:rPr>
      <w:t>ii</w:t>
    </w:r>
    <w:r w:rsidRPr="00653BF3">
      <w:rPr>
        <w:sz w:val="18"/>
        <w:szCs w:val="18"/>
      </w:rPr>
      <w:fldChar w:fldCharType="end"/>
    </w:r>
    <w:r>
      <w:rPr>
        <w:sz w:val="18"/>
        <w:szCs w:val="18"/>
      </w:rPr>
      <w:tab/>
      <w:t>American Institutes for Research</w:t>
    </w:r>
    <w:r w:rsidRPr="008701F1">
      <w:rPr>
        <w:sz w:val="18"/>
        <w:szCs w:val="18"/>
        <w:vertAlign w:val="superscript"/>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Pr="00710942" w:rsidRDefault="00273C77" w:rsidP="00271C2C">
    <w:pPr>
      <w:pStyle w:val="Footer"/>
      <w:rPr>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alt="AIR logo-right align stacked-RGB.png" style="position:absolute;margin-left:401.25pt;margin-top:-10.3pt;width:111.75pt;height:36pt;z-index:251662336;visibility:visible">
          <v:imagedata r:id="rId1" o:title=""/>
        </v:shape>
      </w:pict>
    </w:r>
    <w:r w:rsidRPr="00710942">
      <w:rPr>
        <w:noProof/>
        <w:sz w:val="18"/>
        <w:szCs w:val="18"/>
      </w:rPr>
      <w:t xml:space="preserve">RFP Number: </w:t>
    </w:r>
    <w:r>
      <w:rPr>
        <w:noProof/>
        <w:sz w:val="18"/>
        <w:szCs w:val="18"/>
      </w:rPr>
      <w:t>XX-XXX-XXXX</w:t>
    </w:r>
    <w:r w:rsidRPr="00710942">
      <w:rPr>
        <w:sz w:val="18"/>
        <w:szCs w:val="18"/>
      </w:rPr>
      <w:tab/>
    </w:r>
    <w:r w:rsidRPr="00653BF3">
      <w:rPr>
        <w:sz w:val="18"/>
        <w:szCs w:val="18"/>
      </w:rPr>
      <w:fldChar w:fldCharType="begin"/>
    </w:r>
    <w:r w:rsidRPr="00653BF3">
      <w:rPr>
        <w:sz w:val="18"/>
        <w:szCs w:val="18"/>
      </w:rPr>
      <w:instrText xml:space="preserve"> PAGE   \* MERGEFORMAT </w:instrText>
    </w:r>
    <w:r w:rsidRPr="00653BF3">
      <w:rPr>
        <w:sz w:val="18"/>
        <w:szCs w:val="18"/>
      </w:rPr>
      <w:fldChar w:fldCharType="separate"/>
    </w:r>
    <w:r>
      <w:rPr>
        <w:noProof/>
        <w:sz w:val="18"/>
        <w:szCs w:val="18"/>
      </w:rPr>
      <w:t>i</w:t>
    </w:r>
    <w:r w:rsidRPr="00653BF3">
      <w:rPr>
        <w:sz w:val="18"/>
        <w:szCs w:val="18"/>
      </w:rPr>
      <w:fldChar w:fldCharType="end"/>
    </w:r>
  </w:p>
  <w:p w:rsidR="00273C77" w:rsidRPr="001F6530" w:rsidRDefault="00273C77" w:rsidP="001F6530">
    <w:pPr>
      <w:pStyle w:val="Footer2"/>
    </w:pPr>
    <w:r w:rsidRPr="001F6530">
      <w:t>USE OR DISCLOSURE OF DATA CONTAINED ON THIS SHEET IS SUBJECT TO THE RESTRICTION ON THE COVER OF THIS PROPOSAL.</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Pr="00710942" w:rsidRDefault="00273C77" w:rsidP="008701F1">
    <w:pPr>
      <w:pStyle w:val="Footer"/>
      <w:tabs>
        <w:tab w:val="clear" w:pos="8640"/>
        <w:tab w:val="right" w:pos="9360"/>
      </w:tabs>
      <w:rPr>
        <w:sz w:val="18"/>
        <w:szCs w:val="18"/>
      </w:rPr>
    </w:pPr>
    <w:r>
      <w:rPr>
        <w:noProof/>
        <w:sz w:val="18"/>
        <w:szCs w:val="18"/>
      </w:rPr>
      <w:t>Contract No.</w:t>
    </w:r>
    <w:r w:rsidRPr="008701F1">
      <w:rPr>
        <w:noProof/>
        <w:sz w:val="18"/>
        <w:szCs w:val="18"/>
      </w:rPr>
      <w:t xml:space="preserve">: </w:t>
    </w:r>
    <w:r>
      <w:rPr>
        <w:noProof/>
        <w:sz w:val="18"/>
        <w:szCs w:val="18"/>
      </w:rPr>
      <w:t>ED-04-CO-0025/0013</w:t>
    </w:r>
    <w:r w:rsidRPr="00710942">
      <w:rPr>
        <w:sz w:val="18"/>
        <w:szCs w:val="18"/>
      </w:rPr>
      <w:tab/>
    </w:r>
    <w:r w:rsidRPr="00653BF3">
      <w:rPr>
        <w:sz w:val="18"/>
        <w:szCs w:val="18"/>
      </w:rPr>
      <w:fldChar w:fldCharType="begin"/>
    </w:r>
    <w:r w:rsidRPr="00653BF3">
      <w:rPr>
        <w:sz w:val="18"/>
        <w:szCs w:val="18"/>
      </w:rPr>
      <w:instrText xml:space="preserve"> PAGE   \* MERGEFORMAT </w:instrText>
    </w:r>
    <w:r w:rsidRPr="00653BF3">
      <w:rPr>
        <w:sz w:val="18"/>
        <w:szCs w:val="18"/>
      </w:rPr>
      <w:fldChar w:fldCharType="separate"/>
    </w:r>
    <w:r>
      <w:rPr>
        <w:noProof/>
        <w:sz w:val="18"/>
        <w:szCs w:val="18"/>
      </w:rPr>
      <w:t>3</w:t>
    </w:r>
    <w:r w:rsidRPr="00653BF3">
      <w:rPr>
        <w:sz w:val="18"/>
        <w:szCs w:val="18"/>
      </w:rPr>
      <w:fldChar w:fldCharType="end"/>
    </w:r>
    <w:r>
      <w:rPr>
        <w:sz w:val="18"/>
        <w:szCs w:val="18"/>
      </w:rPr>
      <w:tab/>
      <w:t>American Institutes for Research</w:t>
    </w:r>
    <w:r w:rsidRPr="008701F1">
      <w:rPr>
        <w:sz w:val="18"/>
        <w:szCs w:val="18"/>
        <w:vertAlign w:val="superscript"/>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Pr="00710942" w:rsidRDefault="00273C77" w:rsidP="00FB2877">
    <w:pPr>
      <w:pStyle w:val="Footer"/>
      <w:tabs>
        <w:tab w:val="clear" w:pos="4680"/>
        <w:tab w:val="clear" w:pos="8640"/>
        <w:tab w:val="center" w:pos="6480"/>
        <w:tab w:val="right" w:pos="12960"/>
      </w:tabs>
      <w:rPr>
        <w:sz w:val="18"/>
        <w:szCs w:val="18"/>
      </w:rPr>
    </w:pPr>
    <w:r>
      <w:rPr>
        <w:noProof/>
        <w:sz w:val="18"/>
        <w:szCs w:val="18"/>
      </w:rPr>
      <w:t>Contract No.</w:t>
    </w:r>
    <w:r w:rsidRPr="008701F1">
      <w:rPr>
        <w:noProof/>
        <w:sz w:val="18"/>
        <w:szCs w:val="18"/>
      </w:rPr>
      <w:t xml:space="preserve">: </w:t>
    </w:r>
    <w:r>
      <w:rPr>
        <w:noProof/>
        <w:sz w:val="18"/>
        <w:szCs w:val="18"/>
      </w:rPr>
      <w:t>ED-04-CO-0025/0013</w:t>
    </w:r>
    <w:r w:rsidRPr="00710942">
      <w:rPr>
        <w:sz w:val="18"/>
        <w:szCs w:val="18"/>
      </w:rPr>
      <w:tab/>
    </w:r>
    <w:r w:rsidRPr="00653BF3">
      <w:rPr>
        <w:sz w:val="18"/>
        <w:szCs w:val="18"/>
      </w:rPr>
      <w:fldChar w:fldCharType="begin"/>
    </w:r>
    <w:r w:rsidRPr="00653BF3">
      <w:rPr>
        <w:sz w:val="18"/>
        <w:szCs w:val="18"/>
      </w:rPr>
      <w:instrText xml:space="preserve"> PAGE   \* MERGEFORMAT </w:instrText>
    </w:r>
    <w:r w:rsidRPr="00653BF3">
      <w:rPr>
        <w:sz w:val="18"/>
        <w:szCs w:val="18"/>
      </w:rPr>
      <w:fldChar w:fldCharType="separate"/>
    </w:r>
    <w:r>
      <w:rPr>
        <w:noProof/>
        <w:sz w:val="18"/>
        <w:szCs w:val="18"/>
      </w:rPr>
      <w:t>4</w:t>
    </w:r>
    <w:r w:rsidRPr="00653BF3">
      <w:rPr>
        <w:sz w:val="18"/>
        <w:szCs w:val="18"/>
      </w:rPr>
      <w:fldChar w:fldCharType="end"/>
    </w:r>
    <w:r>
      <w:rPr>
        <w:sz w:val="18"/>
        <w:szCs w:val="18"/>
      </w:rPr>
      <w:tab/>
      <w:t>American Institutes for Research</w:t>
    </w:r>
    <w:r w:rsidRPr="008701F1">
      <w:rPr>
        <w:sz w:val="18"/>
        <w:szCs w:val="18"/>
        <w:vertAlign w:val="superscript"/>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Pr="00710942" w:rsidRDefault="00273C77" w:rsidP="00D84DC5">
    <w:pPr>
      <w:pStyle w:val="Footer"/>
      <w:tabs>
        <w:tab w:val="clear" w:pos="8640"/>
        <w:tab w:val="right" w:pos="9360"/>
      </w:tabs>
      <w:rPr>
        <w:sz w:val="18"/>
        <w:szCs w:val="18"/>
      </w:rPr>
    </w:pPr>
    <w:r>
      <w:rPr>
        <w:noProof/>
        <w:sz w:val="18"/>
        <w:szCs w:val="18"/>
      </w:rPr>
      <w:t>Contract No.</w:t>
    </w:r>
    <w:r w:rsidRPr="008701F1">
      <w:rPr>
        <w:noProof/>
        <w:sz w:val="18"/>
        <w:szCs w:val="18"/>
      </w:rPr>
      <w:t xml:space="preserve">: </w:t>
    </w:r>
    <w:r>
      <w:rPr>
        <w:noProof/>
        <w:sz w:val="18"/>
        <w:szCs w:val="18"/>
      </w:rPr>
      <w:t>ED-04-CO-0025/0013</w:t>
    </w:r>
    <w:r w:rsidRPr="00710942">
      <w:rPr>
        <w:sz w:val="18"/>
        <w:szCs w:val="18"/>
      </w:rPr>
      <w:tab/>
    </w:r>
    <w:r w:rsidRPr="00653BF3">
      <w:rPr>
        <w:sz w:val="18"/>
        <w:szCs w:val="18"/>
      </w:rPr>
      <w:fldChar w:fldCharType="begin"/>
    </w:r>
    <w:r w:rsidRPr="00653BF3">
      <w:rPr>
        <w:sz w:val="18"/>
        <w:szCs w:val="18"/>
      </w:rPr>
      <w:instrText xml:space="preserve"> PAGE   \* MERGEFORMAT </w:instrText>
    </w:r>
    <w:r w:rsidRPr="00653BF3">
      <w:rPr>
        <w:sz w:val="18"/>
        <w:szCs w:val="18"/>
      </w:rPr>
      <w:fldChar w:fldCharType="separate"/>
    </w:r>
    <w:r>
      <w:rPr>
        <w:noProof/>
        <w:sz w:val="18"/>
        <w:szCs w:val="18"/>
      </w:rPr>
      <w:t>21</w:t>
    </w:r>
    <w:r w:rsidRPr="00653BF3">
      <w:rPr>
        <w:sz w:val="18"/>
        <w:szCs w:val="18"/>
      </w:rPr>
      <w:fldChar w:fldCharType="end"/>
    </w:r>
    <w:r>
      <w:rPr>
        <w:sz w:val="18"/>
        <w:szCs w:val="18"/>
      </w:rPr>
      <w:tab/>
      <w:t>American Institutes for Research</w:t>
    </w:r>
    <w:r w:rsidRPr="008701F1">
      <w:rPr>
        <w:sz w:val="18"/>
        <w:szCs w:val="18"/>
        <w:vertAlign w:val="superscrip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C77" w:rsidRDefault="00273C77" w:rsidP="003070F9">
      <w:pPr>
        <w:pStyle w:val="PNumbering"/>
        <w:numPr>
          <w:ilvl w:val="0"/>
          <w:numId w:val="0"/>
        </w:numPr>
        <w:rPr>
          <w:color w:val="000000"/>
          <w:sz w:val="22"/>
          <w:szCs w:val="22"/>
        </w:rPr>
      </w:pPr>
      <w:r>
        <w:separator/>
      </w:r>
    </w:p>
  </w:footnote>
  <w:footnote w:type="continuationSeparator" w:id="0">
    <w:p w:rsidR="00273C77" w:rsidRDefault="00273C77" w:rsidP="00CB4398">
      <w:r>
        <w:continuationSeparator/>
      </w:r>
    </w:p>
  </w:footnote>
  <w:footnote w:type="continuationNotice" w:id="1">
    <w:p w:rsidR="00273C77" w:rsidRDefault="00273C77"/>
  </w:footnote>
  <w:footnote w:id="2">
    <w:p w:rsidR="00273C77" w:rsidRDefault="00273C77" w:rsidP="00952F25">
      <w:pPr>
        <w:pStyle w:val="FootnoteText"/>
      </w:pPr>
      <w:r>
        <w:rPr>
          <w:rStyle w:val="FootnoteReference"/>
          <w:rFonts w:cs="Times"/>
        </w:rPr>
        <w:footnoteRef/>
      </w:r>
      <w:r>
        <w:t xml:space="preserve"> This question examines the accountability by school type in the most recent year for which data are available rather than over multiple years due to the small number of non-regular schools. </w:t>
      </w:r>
    </w:p>
  </w:footnote>
  <w:footnote w:id="3">
    <w:p w:rsidR="00273C77" w:rsidRDefault="00273C77" w:rsidP="00BE15B9">
      <w:pPr>
        <w:pStyle w:val="FootnoteText"/>
      </w:pPr>
      <w:r w:rsidRPr="00BB7B7C">
        <w:rPr>
          <w:rStyle w:val="FootnoteReference"/>
        </w:rPr>
        <w:footnoteRef/>
      </w:r>
      <w:r w:rsidRPr="00BB7B7C">
        <w:rPr>
          <w:rFonts w:cs="Times New Roman"/>
        </w:rPr>
        <w:t xml:space="preserve"> We will report unadjusted p-values for all analyses in the study report. Where appropriate, we will also apply multiple comparison adjustment and note whether our results are robust to such adjustments. </w:t>
      </w:r>
    </w:p>
  </w:footnote>
  <w:footnote w:id="4">
    <w:p w:rsidR="00273C77" w:rsidRDefault="00273C77" w:rsidP="00BE15B9">
      <w:pPr>
        <w:pStyle w:val="FootnoteText"/>
      </w:pPr>
      <w:r w:rsidRPr="00BB7B7C">
        <w:rPr>
          <w:rStyle w:val="FootnoteReference"/>
        </w:rPr>
        <w:footnoteRef/>
      </w:r>
      <w:r w:rsidRPr="00BB7B7C">
        <w:rPr>
          <w:rFonts w:cs="Times New Roman"/>
        </w:rPr>
        <w:t xml:space="preserve"> “School improvement status in a given year” refers to school improvement status based on school adequate yearly progress (AYP) status in previous years. Schools first identified in 2010–11, for example, are schools that missed AYP for two years in a row in 2008–09 and 2009–10 and thus became identified for improvement in 2010–11. </w:t>
      </w:r>
    </w:p>
  </w:footnote>
  <w:footnote w:id="5">
    <w:p w:rsidR="00273C77" w:rsidRDefault="00273C77" w:rsidP="00BE15B9">
      <w:pPr>
        <w:pStyle w:val="FootnoteText"/>
      </w:pPr>
      <w:r w:rsidRPr="00BB7B7C">
        <w:rPr>
          <w:rStyle w:val="FootnoteReference"/>
        </w:rPr>
        <w:footnoteRef/>
      </w:r>
      <w:r w:rsidRPr="00BB7B7C">
        <w:rPr>
          <w:rFonts w:cs="Times New Roman"/>
        </w:rPr>
        <w:t xml:space="preserve"> We will report unadjusted p-values for all analyses in the study report. Where appropriate, we will also apply multiple comparison adjustment and note whether our results are robust to such adjustments.</w:t>
      </w:r>
      <w:r w:rsidRPr="00732766">
        <w:rPr>
          <w:rFonts w:ascii="Garamond" w:hAnsi="Garamond"/>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Default="00273C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Default="00273C77" w:rsidP="00FD016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Cover Shell-DC_Copy.tif" style="position:absolute;margin-left:0;margin-top:0;width:612.15pt;height:11in;z-index:-251656192;visibility:visible;mso-position-horizontal:left;mso-position-horizontal-relative:page;mso-position-vertical:top;mso-position-vertical-relative:page">
          <v:imagedata r:id="rId1" o:title=""/>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Default="00273C7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Pr="00477691" w:rsidRDefault="00273C77" w:rsidP="00B83994">
    <w:pPr>
      <w:pStyle w:val="Header"/>
    </w:pPr>
    <w:r>
      <w:t>School Improvement Status and Outcomes for Students With Disabilities Study</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Pr="00710942" w:rsidRDefault="00273C77" w:rsidP="001F6530">
    <w:pPr>
      <w:pStyle w:val="Header"/>
    </w:pPr>
    <w:r>
      <w:t>Header</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Pr="00477691" w:rsidRDefault="00273C77" w:rsidP="00B83994">
    <w:pPr>
      <w:pStyle w:val="Header"/>
    </w:pPr>
    <w:r>
      <w:t>School Improvement Status and Outcomes for Students With Disabilities Study</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Pr="00477691" w:rsidRDefault="00273C77" w:rsidP="00B83994">
    <w:pPr>
      <w:pStyle w:val="Header"/>
    </w:pPr>
    <w:r>
      <w:t>School Improvement Status and Outcomes for Students With Disabilities Study</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77" w:rsidRPr="00477691" w:rsidRDefault="00273C77" w:rsidP="00B83994">
    <w:pPr>
      <w:pStyle w:val="Header"/>
    </w:pPr>
    <w:r>
      <w:t>School Improvement Status and Outcomes for Students With Disabilities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6C8A5026"/>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29EA6B2E"/>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40BE05A6"/>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19EA91FE"/>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A406074A"/>
    <w:lvl w:ilvl="0">
      <w:start w:val="1"/>
      <w:numFmt w:val="bullet"/>
      <w:lvlText w:val=""/>
      <w:lvlJc w:val="left"/>
      <w:pPr>
        <w:tabs>
          <w:tab w:val="num" w:pos="360"/>
        </w:tabs>
        <w:ind w:left="360" w:hanging="360"/>
      </w:pPr>
      <w:rPr>
        <w:rFonts w:ascii="Symbol" w:hAnsi="Symbol" w:hint="default"/>
      </w:rPr>
    </w:lvl>
  </w:abstractNum>
  <w:abstractNum w:abstractNumId="5">
    <w:nsid w:val="03BB5DFE"/>
    <w:multiLevelType w:val="hybridMultilevel"/>
    <w:tmpl w:val="9368A39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54F55F6"/>
    <w:multiLevelType w:val="singleLevel"/>
    <w:tmpl w:val="C06EB916"/>
    <w:lvl w:ilvl="0">
      <w:start w:val="1"/>
      <w:numFmt w:val="bullet"/>
      <w:lvlText w:val=""/>
      <w:lvlJc w:val="left"/>
      <w:pPr>
        <w:tabs>
          <w:tab w:val="num" w:pos="720"/>
        </w:tabs>
        <w:ind w:left="720" w:hanging="360"/>
      </w:pPr>
      <w:rPr>
        <w:rFonts w:ascii="Symbol" w:hAnsi="Symbol" w:hint="default"/>
        <w:b/>
        <w:i w:val="0"/>
        <w:sz w:val="24"/>
      </w:rPr>
    </w:lvl>
  </w:abstractNum>
  <w:abstractNum w:abstractNumId="7">
    <w:nsid w:val="0CC50114"/>
    <w:multiLevelType w:val="hybridMultilevel"/>
    <w:tmpl w:val="F88CC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F850D7"/>
    <w:multiLevelType w:val="hybridMultilevel"/>
    <w:tmpl w:val="A3D6B2F2"/>
    <w:lvl w:ilvl="0" w:tplc="9ADA054C">
      <w:start w:val="1"/>
      <w:numFmt w:val="decimal"/>
      <w:pStyle w:val="PNumbering"/>
      <w:lvlText w:val="%1."/>
      <w:lvlJc w:val="left"/>
      <w:pPr>
        <w:tabs>
          <w:tab w:val="num" w:pos="360"/>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FFF3DFD"/>
    <w:multiLevelType w:val="hybridMultilevel"/>
    <w:tmpl w:val="A70A9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C14BF6"/>
    <w:multiLevelType w:val="hybridMultilevel"/>
    <w:tmpl w:val="D9D2DFD8"/>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1596B"/>
    <w:multiLevelType w:val="hybridMultilevel"/>
    <w:tmpl w:val="B0927E8E"/>
    <w:lvl w:ilvl="0" w:tplc="FB1C0CEE">
      <w:start w:val="1"/>
      <w:numFmt w:val="bullet"/>
      <w:pStyle w:val="PBullet-2"/>
      <w:lvlText w:val="—"/>
      <w:lvlJc w:val="left"/>
      <w:pPr>
        <w:ind w:left="1440" w:hanging="360"/>
      </w:pPr>
      <w:rPr>
        <w:rFonts w:ascii="Garamond" w:hAnsi="Garamond"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0F166C"/>
    <w:multiLevelType w:val="hybridMultilevel"/>
    <w:tmpl w:val="BD2CF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74496E"/>
    <w:multiLevelType w:val="hybridMultilevel"/>
    <w:tmpl w:val="0E3EB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70127B"/>
    <w:multiLevelType w:val="hybridMultilevel"/>
    <w:tmpl w:val="01542FCC"/>
    <w:lvl w:ilvl="0" w:tplc="25CEA658">
      <w:start w:val="2001"/>
      <w:numFmt w:val="bullet"/>
      <w:lvlText w:val=""/>
      <w:lvlJc w:val="left"/>
      <w:pPr>
        <w:tabs>
          <w:tab w:val="num" w:pos="720"/>
        </w:tabs>
        <w:ind w:left="720" w:hanging="360"/>
      </w:pPr>
      <w:rPr>
        <w:rFonts w:ascii="Symbol" w:eastAsia="Times New Roman" w:hAnsi="Symbol"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9D33553"/>
    <w:multiLevelType w:val="hybridMultilevel"/>
    <w:tmpl w:val="E82A3A52"/>
    <w:lvl w:ilvl="0" w:tplc="EFE49A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2CBA0753"/>
    <w:multiLevelType w:val="hybridMultilevel"/>
    <w:tmpl w:val="FF143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F43CBC"/>
    <w:multiLevelType w:val="hybridMultilevel"/>
    <w:tmpl w:val="506EEA02"/>
    <w:lvl w:ilvl="0" w:tplc="578612A2">
      <w:start w:val="1"/>
      <w:numFmt w:val="upperLetter"/>
      <w:pStyle w:val="PAlpha"/>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BF7077"/>
    <w:multiLevelType w:val="hybridMultilevel"/>
    <w:tmpl w:val="AD24CDF4"/>
    <w:lvl w:ilvl="0" w:tplc="9E025D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301253AF"/>
    <w:multiLevelType w:val="hybridMultilevel"/>
    <w:tmpl w:val="B950BB8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66D30A7"/>
    <w:multiLevelType w:val="hybridMultilevel"/>
    <w:tmpl w:val="8292ABEE"/>
    <w:lvl w:ilvl="0" w:tplc="9E025D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390B162F"/>
    <w:multiLevelType w:val="hybridMultilevel"/>
    <w:tmpl w:val="971A49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C2B753C"/>
    <w:multiLevelType w:val="hybridMultilevel"/>
    <w:tmpl w:val="F32A3588"/>
    <w:lvl w:ilvl="0" w:tplc="F87C5330">
      <w:start w:val="1"/>
      <w:numFmt w:val="bullet"/>
      <w:lvlText w:val=""/>
      <w:lvlJc w:val="left"/>
      <w:pPr>
        <w:tabs>
          <w:tab w:val="num" w:pos="1440"/>
        </w:tabs>
        <w:ind w:left="1440" w:hanging="360"/>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7F12EE0"/>
    <w:multiLevelType w:val="hybridMultilevel"/>
    <w:tmpl w:val="209C47DA"/>
    <w:lvl w:ilvl="0" w:tplc="11D470D8">
      <w:start w:val="1"/>
      <w:numFmt w:val="bullet"/>
      <w:lvlText w:val=""/>
      <w:lvlJc w:val="left"/>
      <w:pPr>
        <w:tabs>
          <w:tab w:val="num" w:pos="1800"/>
        </w:tabs>
        <w:ind w:left="1800" w:hanging="360"/>
      </w:pPr>
      <w:rPr>
        <w:rFonts w:ascii="CommonBullets" w:hAnsi="CommonBullets"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9FB6E34"/>
    <w:multiLevelType w:val="hybridMultilevel"/>
    <w:tmpl w:val="3698E30E"/>
    <w:lvl w:ilvl="0" w:tplc="9E025D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4BB22120"/>
    <w:multiLevelType w:val="hybridMultilevel"/>
    <w:tmpl w:val="ACDAD754"/>
    <w:lvl w:ilvl="0" w:tplc="72F6B3B4">
      <w:start w:val="1"/>
      <w:numFmt w:val="bullet"/>
      <w:lvlText w:val=""/>
      <w:lvlJc w:val="left"/>
      <w:pPr>
        <w:tabs>
          <w:tab w:val="num" w:pos="1080"/>
        </w:tabs>
        <w:ind w:left="1080" w:hanging="360"/>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4D377112"/>
    <w:multiLevelType w:val="hybridMultilevel"/>
    <w:tmpl w:val="2F36A29A"/>
    <w:lvl w:ilvl="0" w:tplc="9E025D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4FB05425"/>
    <w:multiLevelType w:val="hybridMultilevel"/>
    <w:tmpl w:val="B6A6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1D501A"/>
    <w:multiLevelType w:val="hybridMultilevel"/>
    <w:tmpl w:val="5880814A"/>
    <w:lvl w:ilvl="0" w:tplc="9E025D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542606E7"/>
    <w:multiLevelType w:val="hybridMultilevel"/>
    <w:tmpl w:val="8EBC2962"/>
    <w:lvl w:ilvl="0" w:tplc="186ADA1E">
      <w:start w:val="1"/>
      <w:numFmt w:val="bullet"/>
      <w:pStyle w:val="AIRBullet1"/>
      <w:lvlText w:val=""/>
      <w:lvlJc w:val="left"/>
      <w:pPr>
        <w:ind w:left="720" w:hanging="360"/>
      </w:pPr>
      <w:rPr>
        <w:rFonts w:ascii="Symbol" w:hAnsi="Symbol" w:hint="default"/>
        <w:color w:val="005295"/>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FE39CC"/>
    <w:multiLevelType w:val="hybridMultilevel"/>
    <w:tmpl w:val="E248A038"/>
    <w:lvl w:ilvl="0" w:tplc="35B2596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01056"/>
    <w:multiLevelType w:val="hybridMultilevel"/>
    <w:tmpl w:val="E020A694"/>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EC563B1"/>
    <w:multiLevelType w:val="hybridMultilevel"/>
    <w:tmpl w:val="B67AF448"/>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E7A0F3C"/>
    <w:multiLevelType w:val="singleLevel"/>
    <w:tmpl w:val="2966B200"/>
    <w:lvl w:ilvl="0">
      <w:start w:val="1"/>
      <w:numFmt w:val="bullet"/>
      <w:pStyle w:val="PBullet"/>
      <w:lvlText w:val=""/>
      <w:lvlJc w:val="left"/>
      <w:pPr>
        <w:tabs>
          <w:tab w:val="num" w:pos="720"/>
        </w:tabs>
        <w:ind w:left="720" w:hanging="360"/>
      </w:pPr>
      <w:rPr>
        <w:rFonts w:ascii="Symbol" w:hAnsi="Symbol" w:hint="default"/>
        <w:color w:val="auto"/>
        <w:sz w:val="20"/>
      </w:rPr>
    </w:lvl>
  </w:abstractNum>
  <w:abstractNum w:abstractNumId="35">
    <w:nsid w:val="79590E16"/>
    <w:multiLevelType w:val="hybridMultilevel"/>
    <w:tmpl w:val="03B6B062"/>
    <w:lvl w:ilvl="0" w:tplc="F2CE6DFC">
      <w:start w:val="1"/>
      <w:numFmt w:val="bullet"/>
      <w:lvlText w:val=""/>
      <w:lvlJc w:val="left"/>
      <w:pPr>
        <w:tabs>
          <w:tab w:val="num" w:pos="415"/>
        </w:tabs>
        <w:ind w:left="415" w:hanging="288"/>
      </w:pPr>
      <w:rPr>
        <w:rFonts w:ascii="Wingdings" w:hAnsi="Wingdings" w:hint="default"/>
      </w:rPr>
    </w:lvl>
    <w:lvl w:ilvl="1" w:tplc="04090003" w:tentative="1">
      <w:start w:val="1"/>
      <w:numFmt w:val="bullet"/>
      <w:lvlText w:val="o"/>
      <w:lvlJc w:val="left"/>
      <w:pPr>
        <w:tabs>
          <w:tab w:val="num" w:pos="1567"/>
        </w:tabs>
        <w:ind w:left="1567" w:hanging="360"/>
      </w:pPr>
      <w:rPr>
        <w:rFonts w:ascii="Courier New" w:hAnsi="Courier New" w:hint="default"/>
      </w:rPr>
    </w:lvl>
    <w:lvl w:ilvl="2" w:tplc="04090005" w:tentative="1">
      <w:start w:val="1"/>
      <w:numFmt w:val="bullet"/>
      <w:lvlText w:val=""/>
      <w:lvlJc w:val="left"/>
      <w:pPr>
        <w:tabs>
          <w:tab w:val="num" w:pos="2287"/>
        </w:tabs>
        <w:ind w:left="2287" w:hanging="360"/>
      </w:pPr>
      <w:rPr>
        <w:rFonts w:ascii="Wingdings" w:hAnsi="Wingdings" w:hint="default"/>
      </w:rPr>
    </w:lvl>
    <w:lvl w:ilvl="3" w:tplc="04090001" w:tentative="1">
      <w:start w:val="1"/>
      <w:numFmt w:val="bullet"/>
      <w:lvlText w:val=""/>
      <w:lvlJc w:val="left"/>
      <w:pPr>
        <w:tabs>
          <w:tab w:val="num" w:pos="3007"/>
        </w:tabs>
        <w:ind w:left="3007" w:hanging="360"/>
      </w:pPr>
      <w:rPr>
        <w:rFonts w:ascii="Symbol" w:hAnsi="Symbol" w:hint="default"/>
      </w:rPr>
    </w:lvl>
    <w:lvl w:ilvl="4" w:tplc="04090003" w:tentative="1">
      <w:start w:val="1"/>
      <w:numFmt w:val="bullet"/>
      <w:lvlText w:val="o"/>
      <w:lvlJc w:val="left"/>
      <w:pPr>
        <w:tabs>
          <w:tab w:val="num" w:pos="3727"/>
        </w:tabs>
        <w:ind w:left="3727" w:hanging="360"/>
      </w:pPr>
      <w:rPr>
        <w:rFonts w:ascii="Courier New" w:hAnsi="Courier New" w:hint="default"/>
      </w:rPr>
    </w:lvl>
    <w:lvl w:ilvl="5" w:tplc="04090005" w:tentative="1">
      <w:start w:val="1"/>
      <w:numFmt w:val="bullet"/>
      <w:lvlText w:val=""/>
      <w:lvlJc w:val="left"/>
      <w:pPr>
        <w:tabs>
          <w:tab w:val="num" w:pos="4447"/>
        </w:tabs>
        <w:ind w:left="4447" w:hanging="360"/>
      </w:pPr>
      <w:rPr>
        <w:rFonts w:ascii="Wingdings" w:hAnsi="Wingdings" w:hint="default"/>
      </w:rPr>
    </w:lvl>
    <w:lvl w:ilvl="6" w:tplc="04090001" w:tentative="1">
      <w:start w:val="1"/>
      <w:numFmt w:val="bullet"/>
      <w:lvlText w:val=""/>
      <w:lvlJc w:val="left"/>
      <w:pPr>
        <w:tabs>
          <w:tab w:val="num" w:pos="5167"/>
        </w:tabs>
        <w:ind w:left="5167" w:hanging="360"/>
      </w:pPr>
      <w:rPr>
        <w:rFonts w:ascii="Symbol" w:hAnsi="Symbol" w:hint="default"/>
      </w:rPr>
    </w:lvl>
    <w:lvl w:ilvl="7" w:tplc="04090003" w:tentative="1">
      <w:start w:val="1"/>
      <w:numFmt w:val="bullet"/>
      <w:lvlText w:val="o"/>
      <w:lvlJc w:val="left"/>
      <w:pPr>
        <w:tabs>
          <w:tab w:val="num" w:pos="5887"/>
        </w:tabs>
        <w:ind w:left="5887" w:hanging="360"/>
      </w:pPr>
      <w:rPr>
        <w:rFonts w:ascii="Courier New" w:hAnsi="Courier New" w:hint="default"/>
      </w:rPr>
    </w:lvl>
    <w:lvl w:ilvl="8" w:tplc="04090005" w:tentative="1">
      <w:start w:val="1"/>
      <w:numFmt w:val="bullet"/>
      <w:lvlText w:val=""/>
      <w:lvlJc w:val="left"/>
      <w:pPr>
        <w:tabs>
          <w:tab w:val="num" w:pos="6607"/>
        </w:tabs>
        <w:ind w:left="6607" w:hanging="360"/>
      </w:pPr>
      <w:rPr>
        <w:rFonts w:ascii="Wingdings" w:hAnsi="Wingdings" w:hint="default"/>
      </w:rPr>
    </w:lvl>
  </w:abstractNum>
  <w:abstractNum w:abstractNumId="36">
    <w:nsid w:val="7DC67450"/>
    <w:multiLevelType w:val="hybridMultilevel"/>
    <w:tmpl w:val="2BA49DAA"/>
    <w:lvl w:ilvl="0" w:tplc="26502D4E">
      <w:start w:val="1"/>
      <w:numFmt w:val="bullet"/>
      <w:pStyle w:val="PBullet-3"/>
      <w:lvlText w:val=""/>
      <w:lvlJc w:val="left"/>
      <w:pPr>
        <w:tabs>
          <w:tab w:val="num" w:pos="1440"/>
        </w:tabs>
        <w:ind w:left="144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6"/>
  </w:num>
  <w:num w:numId="3">
    <w:abstractNumId w:val="34"/>
  </w:num>
  <w:num w:numId="4">
    <w:abstractNumId w:val="33"/>
  </w:num>
  <w:num w:numId="5">
    <w:abstractNumId w:val="8"/>
  </w:num>
  <w:num w:numId="6">
    <w:abstractNumId w:val="14"/>
  </w:num>
  <w:num w:numId="7">
    <w:abstractNumId w:val="8"/>
    <w:lvlOverride w:ilvl="0">
      <w:startOverride w:val="1"/>
    </w:lvlOverride>
  </w:num>
  <w:num w:numId="8">
    <w:abstractNumId w:val="31"/>
  </w:num>
  <w:num w:numId="9">
    <w:abstractNumId w:val="5"/>
  </w:num>
  <w:num w:numId="10">
    <w:abstractNumId w:val="3"/>
  </w:num>
  <w:num w:numId="11">
    <w:abstractNumId w:val="2"/>
  </w:num>
  <w:num w:numId="12">
    <w:abstractNumId w:val="25"/>
  </w:num>
  <w:num w:numId="13">
    <w:abstractNumId w:val="22"/>
  </w:num>
  <w:num w:numId="14">
    <w:abstractNumId w:val="23"/>
  </w:num>
  <w:num w:numId="15">
    <w:abstractNumId w:val="4"/>
  </w:num>
  <w:num w:numId="16">
    <w:abstractNumId w:val="0"/>
  </w:num>
  <w:num w:numId="17">
    <w:abstractNumId w:val="1"/>
  </w:num>
  <w:num w:numId="18">
    <w:abstractNumId w:val="8"/>
    <w:lvlOverride w:ilvl="0">
      <w:startOverride w:val="1"/>
    </w:lvlOverride>
  </w:num>
  <w:num w:numId="19">
    <w:abstractNumId w:val="30"/>
  </w:num>
  <w:num w:numId="20">
    <w:abstractNumId w:val="35"/>
  </w:num>
  <w:num w:numId="21">
    <w:abstractNumId w:val="11"/>
  </w:num>
  <w:num w:numId="22">
    <w:abstractNumId w:val="8"/>
    <w:lvlOverride w:ilvl="0">
      <w:startOverride w:val="1"/>
    </w:lvlOverride>
  </w:num>
  <w:num w:numId="23">
    <w:abstractNumId w:val="8"/>
    <w:lvlOverride w:ilvl="0">
      <w:startOverride w:val="1"/>
    </w:lvlOverride>
  </w:num>
  <w:num w:numId="24">
    <w:abstractNumId w:val="17"/>
  </w:num>
  <w:num w:numId="25">
    <w:abstractNumId w:val="20"/>
  </w:num>
  <w:num w:numId="26">
    <w:abstractNumId w:val="18"/>
  </w:num>
  <w:num w:numId="27">
    <w:abstractNumId w:val="28"/>
  </w:num>
  <w:num w:numId="28">
    <w:abstractNumId w:val="26"/>
  </w:num>
  <w:num w:numId="29">
    <w:abstractNumId w:val="24"/>
  </w:num>
  <w:num w:numId="30">
    <w:abstractNumId w:val="10"/>
  </w:num>
  <w:num w:numId="31">
    <w:abstractNumId w:val="16"/>
  </w:num>
  <w:num w:numId="32">
    <w:abstractNumId w:val="21"/>
  </w:num>
  <w:num w:numId="33">
    <w:abstractNumId w:val="32"/>
  </w:num>
  <w:num w:numId="34">
    <w:abstractNumId w:val="9"/>
  </w:num>
  <w:num w:numId="35">
    <w:abstractNumId w:val="27"/>
  </w:num>
  <w:num w:numId="36">
    <w:abstractNumId w:val="19"/>
  </w:num>
  <w:num w:numId="37">
    <w:abstractNumId w:val="15"/>
  </w:num>
  <w:num w:numId="38">
    <w:abstractNumId w:val="13"/>
  </w:num>
  <w:num w:numId="39">
    <w:abstractNumId w:val="12"/>
  </w:num>
  <w:num w:numId="40">
    <w:abstractNumId w:val="7"/>
  </w:num>
  <w:num w:numId="41">
    <w:abstractNumId w:val="29"/>
  </w:num>
  <w:num w:numId="42">
    <w:abstractNumId w:val="34"/>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embedSystemFonts/>
  <w:stylePaneFormatFilter w:val="1721"/>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4BFD"/>
    <w:rsid w:val="00001F1C"/>
    <w:rsid w:val="000054AB"/>
    <w:rsid w:val="00006C8D"/>
    <w:rsid w:val="00007500"/>
    <w:rsid w:val="000112CC"/>
    <w:rsid w:val="00011879"/>
    <w:rsid w:val="00013DED"/>
    <w:rsid w:val="00016E98"/>
    <w:rsid w:val="000174BE"/>
    <w:rsid w:val="00022DC4"/>
    <w:rsid w:val="00034153"/>
    <w:rsid w:val="0003505E"/>
    <w:rsid w:val="000360C5"/>
    <w:rsid w:val="000361B9"/>
    <w:rsid w:val="00036C09"/>
    <w:rsid w:val="00037C99"/>
    <w:rsid w:val="00042086"/>
    <w:rsid w:val="00044E97"/>
    <w:rsid w:val="00045B2F"/>
    <w:rsid w:val="00046205"/>
    <w:rsid w:val="00052E4D"/>
    <w:rsid w:val="00053E8F"/>
    <w:rsid w:val="00054B6E"/>
    <w:rsid w:val="00055778"/>
    <w:rsid w:val="00061DEB"/>
    <w:rsid w:val="00062959"/>
    <w:rsid w:val="00062964"/>
    <w:rsid w:val="0006627C"/>
    <w:rsid w:val="00067040"/>
    <w:rsid w:val="00073A55"/>
    <w:rsid w:val="00075320"/>
    <w:rsid w:val="0007536E"/>
    <w:rsid w:val="000762EB"/>
    <w:rsid w:val="00081969"/>
    <w:rsid w:val="00082634"/>
    <w:rsid w:val="00086C05"/>
    <w:rsid w:val="0009086A"/>
    <w:rsid w:val="00094E9F"/>
    <w:rsid w:val="000950E4"/>
    <w:rsid w:val="00097768"/>
    <w:rsid w:val="000A1413"/>
    <w:rsid w:val="000A3857"/>
    <w:rsid w:val="000A436F"/>
    <w:rsid w:val="000A48E1"/>
    <w:rsid w:val="000A71A0"/>
    <w:rsid w:val="000B2D3B"/>
    <w:rsid w:val="000B5D18"/>
    <w:rsid w:val="000B67E3"/>
    <w:rsid w:val="000C1EA8"/>
    <w:rsid w:val="000C2198"/>
    <w:rsid w:val="000C2C8F"/>
    <w:rsid w:val="000C6CB4"/>
    <w:rsid w:val="000C7968"/>
    <w:rsid w:val="000D073C"/>
    <w:rsid w:val="000D479D"/>
    <w:rsid w:val="000D69B0"/>
    <w:rsid w:val="000D69B6"/>
    <w:rsid w:val="000E4026"/>
    <w:rsid w:val="000E5A71"/>
    <w:rsid w:val="000E7BD6"/>
    <w:rsid w:val="000F09A6"/>
    <w:rsid w:val="000F0A67"/>
    <w:rsid w:val="00100E1B"/>
    <w:rsid w:val="00101485"/>
    <w:rsid w:val="001024E2"/>
    <w:rsid w:val="001025FB"/>
    <w:rsid w:val="00102EA9"/>
    <w:rsid w:val="00103CCB"/>
    <w:rsid w:val="0010710B"/>
    <w:rsid w:val="00111B29"/>
    <w:rsid w:val="00112287"/>
    <w:rsid w:val="00113F88"/>
    <w:rsid w:val="00115DDC"/>
    <w:rsid w:val="0011621E"/>
    <w:rsid w:val="001179DB"/>
    <w:rsid w:val="00121990"/>
    <w:rsid w:val="00122780"/>
    <w:rsid w:val="0012354C"/>
    <w:rsid w:val="001259BC"/>
    <w:rsid w:val="00126CEB"/>
    <w:rsid w:val="00127263"/>
    <w:rsid w:val="00127811"/>
    <w:rsid w:val="00131C5F"/>
    <w:rsid w:val="00142DF2"/>
    <w:rsid w:val="001436A5"/>
    <w:rsid w:val="00146A02"/>
    <w:rsid w:val="00151542"/>
    <w:rsid w:val="001528CA"/>
    <w:rsid w:val="00157693"/>
    <w:rsid w:val="001617D7"/>
    <w:rsid w:val="001635F4"/>
    <w:rsid w:val="00167F31"/>
    <w:rsid w:val="001708F2"/>
    <w:rsid w:val="001715AC"/>
    <w:rsid w:val="00175282"/>
    <w:rsid w:val="001767E8"/>
    <w:rsid w:val="00176BE6"/>
    <w:rsid w:val="00177725"/>
    <w:rsid w:val="001823A3"/>
    <w:rsid w:val="00182F03"/>
    <w:rsid w:val="001845FB"/>
    <w:rsid w:val="00185B50"/>
    <w:rsid w:val="00190825"/>
    <w:rsid w:val="001A3250"/>
    <w:rsid w:val="001A7329"/>
    <w:rsid w:val="001A7668"/>
    <w:rsid w:val="001B1A40"/>
    <w:rsid w:val="001B4812"/>
    <w:rsid w:val="001B49B5"/>
    <w:rsid w:val="001B5323"/>
    <w:rsid w:val="001B5397"/>
    <w:rsid w:val="001B59A6"/>
    <w:rsid w:val="001B78D5"/>
    <w:rsid w:val="001C0F35"/>
    <w:rsid w:val="001C1A1B"/>
    <w:rsid w:val="001C2897"/>
    <w:rsid w:val="001C3085"/>
    <w:rsid w:val="001C3CD3"/>
    <w:rsid w:val="001C3D23"/>
    <w:rsid w:val="001C6A09"/>
    <w:rsid w:val="001C701D"/>
    <w:rsid w:val="001D014B"/>
    <w:rsid w:val="001D1388"/>
    <w:rsid w:val="001D1751"/>
    <w:rsid w:val="001D23BA"/>
    <w:rsid w:val="001D3BDD"/>
    <w:rsid w:val="001D3E3A"/>
    <w:rsid w:val="001D52DD"/>
    <w:rsid w:val="001D68BF"/>
    <w:rsid w:val="001D790C"/>
    <w:rsid w:val="001D7EC1"/>
    <w:rsid w:val="001E0F8B"/>
    <w:rsid w:val="001E1D3D"/>
    <w:rsid w:val="001E3BE8"/>
    <w:rsid w:val="001E4A7F"/>
    <w:rsid w:val="001E58E9"/>
    <w:rsid w:val="001F12CC"/>
    <w:rsid w:val="001F1569"/>
    <w:rsid w:val="001F6530"/>
    <w:rsid w:val="00202690"/>
    <w:rsid w:val="002073DC"/>
    <w:rsid w:val="00214E52"/>
    <w:rsid w:val="00217098"/>
    <w:rsid w:val="00224072"/>
    <w:rsid w:val="00225AEB"/>
    <w:rsid w:val="00226D67"/>
    <w:rsid w:val="00227676"/>
    <w:rsid w:val="002317AC"/>
    <w:rsid w:val="002337E1"/>
    <w:rsid w:val="0023404F"/>
    <w:rsid w:val="00235CA7"/>
    <w:rsid w:val="00235F7B"/>
    <w:rsid w:val="002371EF"/>
    <w:rsid w:val="00241404"/>
    <w:rsid w:val="002424B7"/>
    <w:rsid w:val="002445B0"/>
    <w:rsid w:val="00245915"/>
    <w:rsid w:val="00245957"/>
    <w:rsid w:val="0025070F"/>
    <w:rsid w:val="00255268"/>
    <w:rsid w:val="00257836"/>
    <w:rsid w:val="002578BE"/>
    <w:rsid w:val="0026454A"/>
    <w:rsid w:val="00264A2A"/>
    <w:rsid w:val="00264FBF"/>
    <w:rsid w:val="0026611C"/>
    <w:rsid w:val="0026770B"/>
    <w:rsid w:val="00267E54"/>
    <w:rsid w:val="00271C2C"/>
    <w:rsid w:val="00273C77"/>
    <w:rsid w:val="00273E48"/>
    <w:rsid w:val="00274072"/>
    <w:rsid w:val="00275556"/>
    <w:rsid w:val="0027659E"/>
    <w:rsid w:val="00285520"/>
    <w:rsid w:val="00286FC5"/>
    <w:rsid w:val="00291A40"/>
    <w:rsid w:val="0029478F"/>
    <w:rsid w:val="00295B37"/>
    <w:rsid w:val="00295D30"/>
    <w:rsid w:val="002A3FE3"/>
    <w:rsid w:val="002A6397"/>
    <w:rsid w:val="002A689D"/>
    <w:rsid w:val="002B0795"/>
    <w:rsid w:val="002B20FF"/>
    <w:rsid w:val="002B26A6"/>
    <w:rsid w:val="002B43A9"/>
    <w:rsid w:val="002B44F5"/>
    <w:rsid w:val="002B49E2"/>
    <w:rsid w:val="002B56E8"/>
    <w:rsid w:val="002B6DFB"/>
    <w:rsid w:val="002C371E"/>
    <w:rsid w:val="002C3E0C"/>
    <w:rsid w:val="002C4644"/>
    <w:rsid w:val="002C4F7F"/>
    <w:rsid w:val="002C5E49"/>
    <w:rsid w:val="002D0C9E"/>
    <w:rsid w:val="002D1CB1"/>
    <w:rsid w:val="002D2888"/>
    <w:rsid w:val="002D4D52"/>
    <w:rsid w:val="002D668A"/>
    <w:rsid w:val="002D6884"/>
    <w:rsid w:val="002F140E"/>
    <w:rsid w:val="002F2F52"/>
    <w:rsid w:val="002F599B"/>
    <w:rsid w:val="002F7065"/>
    <w:rsid w:val="002F7F46"/>
    <w:rsid w:val="0030052B"/>
    <w:rsid w:val="00300771"/>
    <w:rsid w:val="00300AFF"/>
    <w:rsid w:val="00302ED8"/>
    <w:rsid w:val="003035EE"/>
    <w:rsid w:val="003070F9"/>
    <w:rsid w:val="00307DBB"/>
    <w:rsid w:val="003102B1"/>
    <w:rsid w:val="003134BD"/>
    <w:rsid w:val="00316122"/>
    <w:rsid w:val="003174F8"/>
    <w:rsid w:val="00320EF6"/>
    <w:rsid w:val="0032101A"/>
    <w:rsid w:val="003237DA"/>
    <w:rsid w:val="00323B5A"/>
    <w:rsid w:val="00324920"/>
    <w:rsid w:val="00324E58"/>
    <w:rsid w:val="00325FCF"/>
    <w:rsid w:val="003267B9"/>
    <w:rsid w:val="00326A96"/>
    <w:rsid w:val="00327103"/>
    <w:rsid w:val="00327182"/>
    <w:rsid w:val="00330971"/>
    <w:rsid w:val="00332A3A"/>
    <w:rsid w:val="003351B7"/>
    <w:rsid w:val="00336FE8"/>
    <w:rsid w:val="003406EC"/>
    <w:rsid w:val="00340C0F"/>
    <w:rsid w:val="00340C72"/>
    <w:rsid w:val="00340D7F"/>
    <w:rsid w:val="00344D38"/>
    <w:rsid w:val="0034602C"/>
    <w:rsid w:val="00352317"/>
    <w:rsid w:val="00353457"/>
    <w:rsid w:val="00356335"/>
    <w:rsid w:val="00356DF0"/>
    <w:rsid w:val="00356F36"/>
    <w:rsid w:val="00362F26"/>
    <w:rsid w:val="003659CC"/>
    <w:rsid w:val="00371C64"/>
    <w:rsid w:val="00373AFC"/>
    <w:rsid w:val="00375001"/>
    <w:rsid w:val="00380179"/>
    <w:rsid w:val="00380CF2"/>
    <w:rsid w:val="00382363"/>
    <w:rsid w:val="00382D9E"/>
    <w:rsid w:val="00382E94"/>
    <w:rsid w:val="0038493D"/>
    <w:rsid w:val="00386D46"/>
    <w:rsid w:val="0038742D"/>
    <w:rsid w:val="00390818"/>
    <w:rsid w:val="00393D25"/>
    <w:rsid w:val="00393DEB"/>
    <w:rsid w:val="00394C02"/>
    <w:rsid w:val="0039506D"/>
    <w:rsid w:val="00396988"/>
    <w:rsid w:val="00397234"/>
    <w:rsid w:val="00397557"/>
    <w:rsid w:val="003A07F5"/>
    <w:rsid w:val="003A0978"/>
    <w:rsid w:val="003A12F2"/>
    <w:rsid w:val="003A1CE9"/>
    <w:rsid w:val="003A1EAF"/>
    <w:rsid w:val="003A33CA"/>
    <w:rsid w:val="003A469B"/>
    <w:rsid w:val="003A546C"/>
    <w:rsid w:val="003B1389"/>
    <w:rsid w:val="003B4AA7"/>
    <w:rsid w:val="003B574E"/>
    <w:rsid w:val="003C18D4"/>
    <w:rsid w:val="003C3E14"/>
    <w:rsid w:val="003C46EA"/>
    <w:rsid w:val="003C473E"/>
    <w:rsid w:val="003C6BA2"/>
    <w:rsid w:val="003C6C92"/>
    <w:rsid w:val="003D2273"/>
    <w:rsid w:val="003D4AED"/>
    <w:rsid w:val="003D5168"/>
    <w:rsid w:val="003D61D9"/>
    <w:rsid w:val="003D6378"/>
    <w:rsid w:val="003D669D"/>
    <w:rsid w:val="003D74CC"/>
    <w:rsid w:val="003D7740"/>
    <w:rsid w:val="003E220A"/>
    <w:rsid w:val="003E6108"/>
    <w:rsid w:val="003F2142"/>
    <w:rsid w:val="003F3D4B"/>
    <w:rsid w:val="003F51DD"/>
    <w:rsid w:val="003F5509"/>
    <w:rsid w:val="003F679E"/>
    <w:rsid w:val="003F7638"/>
    <w:rsid w:val="003F7A1F"/>
    <w:rsid w:val="003F7D5D"/>
    <w:rsid w:val="0040429C"/>
    <w:rsid w:val="00405821"/>
    <w:rsid w:val="0040660D"/>
    <w:rsid w:val="00407873"/>
    <w:rsid w:val="004110D2"/>
    <w:rsid w:val="004130EF"/>
    <w:rsid w:val="00414845"/>
    <w:rsid w:val="00416080"/>
    <w:rsid w:val="00423CAC"/>
    <w:rsid w:val="004242B1"/>
    <w:rsid w:val="00426F06"/>
    <w:rsid w:val="004271D0"/>
    <w:rsid w:val="004275C1"/>
    <w:rsid w:val="00442902"/>
    <w:rsid w:val="00443AA9"/>
    <w:rsid w:val="00446248"/>
    <w:rsid w:val="00450347"/>
    <w:rsid w:val="00452944"/>
    <w:rsid w:val="00455B16"/>
    <w:rsid w:val="00457668"/>
    <w:rsid w:val="00462578"/>
    <w:rsid w:val="004636F1"/>
    <w:rsid w:val="004654E9"/>
    <w:rsid w:val="004658D0"/>
    <w:rsid w:val="00470B70"/>
    <w:rsid w:val="00471293"/>
    <w:rsid w:val="00473173"/>
    <w:rsid w:val="0047566B"/>
    <w:rsid w:val="00477691"/>
    <w:rsid w:val="00480742"/>
    <w:rsid w:val="004837FA"/>
    <w:rsid w:val="004859E4"/>
    <w:rsid w:val="0049151A"/>
    <w:rsid w:val="00491FD8"/>
    <w:rsid w:val="00492B15"/>
    <w:rsid w:val="004949D5"/>
    <w:rsid w:val="00494BFD"/>
    <w:rsid w:val="00495C99"/>
    <w:rsid w:val="004A01F4"/>
    <w:rsid w:val="004A1776"/>
    <w:rsid w:val="004A25EE"/>
    <w:rsid w:val="004A2A9E"/>
    <w:rsid w:val="004A4A89"/>
    <w:rsid w:val="004B3BCC"/>
    <w:rsid w:val="004B6B65"/>
    <w:rsid w:val="004C0F1E"/>
    <w:rsid w:val="004C51E2"/>
    <w:rsid w:val="004C5A85"/>
    <w:rsid w:val="004D0C8C"/>
    <w:rsid w:val="004D1B15"/>
    <w:rsid w:val="004D1F72"/>
    <w:rsid w:val="004D2E72"/>
    <w:rsid w:val="004D38B4"/>
    <w:rsid w:val="004D4CE5"/>
    <w:rsid w:val="004D64FA"/>
    <w:rsid w:val="004D6A17"/>
    <w:rsid w:val="004E2850"/>
    <w:rsid w:val="004E2AF4"/>
    <w:rsid w:val="004F058F"/>
    <w:rsid w:val="004F399B"/>
    <w:rsid w:val="004F4C61"/>
    <w:rsid w:val="004F4D27"/>
    <w:rsid w:val="004F7D7D"/>
    <w:rsid w:val="00501199"/>
    <w:rsid w:val="00507A59"/>
    <w:rsid w:val="005100B2"/>
    <w:rsid w:val="00510583"/>
    <w:rsid w:val="00511E93"/>
    <w:rsid w:val="00512EBA"/>
    <w:rsid w:val="005149BF"/>
    <w:rsid w:val="00514DC5"/>
    <w:rsid w:val="00516E8F"/>
    <w:rsid w:val="00521617"/>
    <w:rsid w:val="00521800"/>
    <w:rsid w:val="00526798"/>
    <w:rsid w:val="00530051"/>
    <w:rsid w:val="00532072"/>
    <w:rsid w:val="005325E0"/>
    <w:rsid w:val="00536264"/>
    <w:rsid w:val="00540AB9"/>
    <w:rsid w:val="00541004"/>
    <w:rsid w:val="0054100C"/>
    <w:rsid w:val="0054153B"/>
    <w:rsid w:val="00543587"/>
    <w:rsid w:val="005435B0"/>
    <w:rsid w:val="00544938"/>
    <w:rsid w:val="00545BBA"/>
    <w:rsid w:val="00545D36"/>
    <w:rsid w:val="005460BD"/>
    <w:rsid w:val="00553F96"/>
    <w:rsid w:val="005577D3"/>
    <w:rsid w:val="00560EFC"/>
    <w:rsid w:val="005617B5"/>
    <w:rsid w:val="00562B58"/>
    <w:rsid w:val="0056371F"/>
    <w:rsid w:val="00571115"/>
    <w:rsid w:val="00574019"/>
    <w:rsid w:val="0057798B"/>
    <w:rsid w:val="005810FB"/>
    <w:rsid w:val="005815A8"/>
    <w:rsid w:val="00581C61"/>
    <w:rsid w:val="00582005"/>
    <w:rsid w:val="005851E1"/>
    <w:rsid w:val="00590C13"/>
    <w:rsid w:val="0059101D"/>
    <w:rsid w:val="00591C3B"/>
    <w:rsid w:val="0059270E"/>
    <w:rsid w:val="00593395"/>
    <w:rsid w:val="00593733"/>
    <w:rsid w:val="00595BB8"/>
    <w:rsid w:val="00595D0E"/>
    <w:rsid w:val="00596923"/>
    <w:rsid w:val="00597BB8"/>
    <w:rsid w:val="005A13D0"/>
    <w:rsid w:val="005A3364"/>
    <w:rsid w:val="005A4791"/>
    <w:rsid w:val="005A592F"/>
    <w:rsid w:val="005A728C"/>
    <w:rsid w:val="005A7EBF"/>
    <w:rsid w:val="005B49AF"/>
    <w:rsid w:val="005B6995"/>
    <w:rsid w:val="005B6FAB"/>
    <w:rsid w:val="005B7FAD"/>
    <w:rsid w:val="005C06C8"/>
    <w:rsid w:val="005C0C63"/>
    <w:rsid w:val="005C1937"/>
    <w:rsid w:val="005C287B"/>
    <w:rsid w:val="005C42A2"/>
    <w:rsid w:val="005C79C8"/>
    <w:rsid w:val="005D0E24"/>
    <w:rsid w:val="005D5E60"/>
    <w:rsid w:val="005E1007"/>
    <w:rsid w:val="005E1A5E"/>
    <w:rsid w:val="005E2108"/>
    <w:rsid w:val="005E234B"/>
    <w:rsid w:val="005E39AD"/>
    <w:rsid w:val="005F0584"/>
    <w:rsid w:val="005F1B46"/>
    <w:rsid w:val="005F34B8"/>
    <w:rsid w:val="005F50DE"/>
    <w:rsid w:val="005F5267"/>
    <w:rsid w:val="005F65FF"/>
    <w:rsid w:val="0060194B"/>
    <w:rsid w:val="0060233F"/>
    <w:rsid w:val="00602744"/>
    <w:rsid w:val="00606D0A"/>
    <w:rsid w:val="00607BD1"/>
    <w:rsid w:val="00610A9A"/>
    <w:rsid w:val="00611982"/>
    <w:rsid w:val="00612388"/>
    <w:rsid w:val="00613827"/>
    <w:rsid w:val="00614ACF"/>
    <w:rsid w:val="00615C50"/>
    <w:rsid w:val="00615D8A"/>
    <w:rsid w:val="006200FB"/>
    <w:rsid w:val="006219A3"/>
    <w:rsid w:val="00621DBD"/>
    <w:rsid w:val="00621DF0"/>
    <w:rsid w:val="0062489C"/>
    <w:rsid w:val="00625543"/>
    <w:rsid w:val="00625F64"/>
    <w:rsid w:val="00631F9D"/>
    <w:rsid w:val="006364CA"/>
    <w:rsid w:val="00640986"/>
    <w:rsid w:val="00643C28"/>
    <w:rsid w:val="00644CDF"/>
    <w:rsid w:val="00650D96"/>
    <w:rsid w:val="006533D8"/>
    <w:rsid w:val="00653BF3"/>
    <w:rsid w:val="006573C5"/>
    <w:rsid w:val="00660B35"/>
    <w:rsid w:val="006629D4"/>
    <w:rsid w:val="006649A6"/>
    <w:rsid w:val="00666669"/>
    <w:rsid w:val="00671356"/>
    <w:rsid w:val="00671AED"/>
    <w:rsid w:val="006725D0"/>
    <w:rsid w:val="00673EBB"/>
    <w:rsid w:val="00675661"/>
    <w:rsid w:val="006764C4"/>
    <w:rsid w:val="00677656"/>
    <w:rsid w:val="00681C75"/>
    <w:rsid w:val="0068475A"/>
    <w:rsid w:val="0068742D"/>
    <w:rsid w:val="0068783F"/>
    <w:rsid w:val="00687AFE"/>
    <w:rsid w:val="00695000"/>
    <w:rsid w:val="00695B09"/>
    <w:rsid w:val="006962ED"/>
    <w:rsid w:val="0069657B"/>
    <w:rsid w:val="006A0402"/>
    <w:rsid w:val="006A3D8A"/>
    <w:rsid w:val="006A4A7E"/>
    <w:rsid w:val="006A56FF"/>
    <w:rsid w:val="006A630B"/>
    <w:rsid w:val="006A73A3"/>
    <w:rsid w:val="006B06EC"/>
    <w:rsid w:val="006B0C88"/>
    <w:rsid w:val="006B2192"/>
    <w:rsid w:val="006B2DFA"/>
    <w:rsid w:val="006B67C7"/>
    <w:rsid w:val="006C1728"/>
    <w:rsid w:val="006C3D5B"/>
    <w:rsid w:val="006C3DC2"/>
    <w:rsid w:val="006C473C"/>
    <w:rsid w:val="006C4FEC"/>
    <w:rsid w:val="006D005C"/>
    <w:rsid w:val="006D1AEE"/>
    <w:rsid w:val="006D1D53"/>
    <w:rsid w:val="006D287E"/>
    <w:rsid w:val="006D6A15"/>
    <w:rsid w:val="006E0770"/>
    <w:rsid w:val="006E0BFB"/>
    <w:rsid w:val="006E1460"/>
    <w:rsid w:val="006E1FA0"/>
    <w:rsid w:val="006E3373"/>
    <w:rsid w:val="006E34E5"/>
    <w:rsid w:val="006E3B8D"/>
    <w:rsid w:val="006E433C"/>
    <w:rsid w:val="006E6F7E"/>
    <w:rsid w:val="006F1CB2"/>
    <w:rsid w:val="006F22DE"/>
    <w:rsid w:val="006F342B"/>
    <w:rsid w:val="006F55A1"/>
    <w:rsid w:val="00700E6F"/>
    <w:rsid w:val="00700E86"/>
    <w:rsid w:val="00701709"/>
    <w:rsid w:val="007017A2"/>
    <w:rsid w:val="00703FDF"/>
    <w:rsid w:val="00704F48"/>
    <w:rsid w:val="00705C22"/>
    <w:rsid w:val="00710942"/>
    <w:rsid w:val="00711025"/>
    <w:rsid w:val="007110FF"/>
    <w:rsid w:val="0071405F"/>
    <w:rsid w:val="00715329"/>
    <w:rsid w:val="0071657A"/>
    <w:rsid w:val="0071700B"/>
    <w:rsid w:val="00724C03"/>
    <w:rsid w:val="0072561C"/>
    <w:rsid w:val="007261DF"/>
    <w:rsid w:val="00726822"/>
    <w:rsid w:val="007268A5"/>
    <w:rsid w:val="007268C8"/>
    <w:rsid w:val="00732766"/>
    <w:rsid w:val="00733A24"/>
    <w:rsid w:val="00735391"/>
    <w:rsid w:val="00742DC0"/>
    <w:rsid w:val="00744F4D"/>
    <w:rsid w:val="00745162"/>
    <w:rsid w:val="00745920"/>
    <w:rsid w:val="007501B1"/>
    <w:rsid w:val="00752779"/>
    <w:rsid w:val="007538FE"/>
    <w:rsid w:val="00755228"/>
    <w:rsid w:val="00755822"/>
    <w:rsid w:val="007564A7"/>
    <w:rsid w:val="0075799C"/>
    <w:rsid w:val="00762BC7"/>
    <w:rsid w:val="00764047"/>
    <w:rsid w:val="0076442C"/>
    <w:rsid w:val="007673A0"/>
    <w:rsid w:val="007677A1"/>
    <w:rsid w:val="00767F7F"/>
    <w:rsid w:val="00771387"/>
    <w:rsid w:val="00775A40"/>
    <w:rsid w:val="00782073"/>
    <w:rsid w:val="0078359C"/>
    <w:rsid w:val="00785CFC"/>
    <w:rsid w:val="00790C13"/>
    <w:rsid w:val="0079172B"/>
    <w:rsid w:val="00792599"/>
    <w:rsid w:val="00792719"/>
    <w:rsid w:val="00792C0D"/>
    <w:rsid w:val="00794333"/>
    <w:rsid w:val="007A2639"/>
    <w:rsid w:val="007A5C1E"/>
    <w:rsid w:val="007A6ACD"/>
    <w:rsid w:val="007A788D"/>
    <w:rsid w:val="007B21E3"/>
    <w:rsid w:val="007B32F7"/>
    <w:rsid w:val="007B53AB"/>
    <w:rsid w:val="007B59FE"/>
    <w:rsid w:val="007C00CD"/>
    <w:rsid w:val="007C09DF"/>
    <w:rsid w:val="007C349D"/>
    <w:rsid w:val="007C5835"/>
    <w:rsid w:val="007C7DA3"/>
    <w:rsid w:val="007D1A6E"/>
    <w:rsid w:val="007D2825"/>
    <w:rsid w:val="007E0F69"/>
    <w:rsid w:val="007E1951"/>
    <w:rsid w:val="007E60DC"/>
    <w:rsid w:val="00801669"/>
    <w:rsid w:val="00802781"/>
    <w:rsid w:val="00802990"/>
    <w:rsid w:val="00803BB3"/>
    <w:rsid w:val="0080657E"/>
    <w:rsid w:val="00807526"/>
    <w:rsid w:val="00807E58"/>
    <w:rsid w:val="00811151"/>
    <w:rsid w:val="00811AD3"/>
    <w:rsid w:val="008142A2"/>
    <w:rsid w:val="0081611D"/>
    <w:rsid w:val="00823E8F"/>
    <w:rsid w:val="0082712F"/>
    <w:rsid w:val="0083278E"/>
    <w:rsid w:val="0083347A"/>
    <w:rsid w:val="00835029"/>
    <w:rsid w:val="0084014B"/>
    <w:rsid w:val="00841FD9"/>
    <w:rsid w:val="00842280"/>
    <w:rsid w:val="0084247F"/>
    <w:rsid w:val="008432B5"/>
    <w:rsid w:val="00844E7D"/>
    <w:rsid w:val="00846F44"/>
    <w:rsid w:val="00850D69"/>
    <w:rsid w:val="00850D90"/>
    <w:rsid w:val="0085306F"/>
    <w:rsid w:val="00853D25"/>
    <w:rsid w:val="00855505"/>
    <w:rsid w:val="00857FBE"/>
    <w:rsid w:val="00861B81"/>
    <w:rsid w:val="008625AD"/>
    <w:rsid w:val="008653C5"/>
    <w:rsid w:val="00867AC3"/>
    <w:rsid w:val="00867FAB"/>
    <w:rsid w:val="008701F1"/>
    <w:rsid w:val="00870434"/>
    <w:rsid w:val="008707F8"/>
    <w:rsid w:val="00870C0D"/>
    <w:rsid w:val="0087161D"/>
    <w:rsid w:val="008754C2"/>
    <w:rsid w:val="00882A50"/>
    <w:rsid w:val="0088468D"/>
    <w:rsid w:val="00892FCB"/>
    <w:rsid w:val="00893591"/>
    <w:rsid w:val="00893710"/>
    <w:rsid w:val="0089408B"/>
    <w:rsid w:val="00894CC1"/>
    <w:rsid w:val="0089640F"/>
    <w:rsid w:val="008978C2"/>
    <w:rsid w:val="008A0828"/>
    <w:rsid w:val="008A2916"/>
    <w:rsid w:val="008A2ED4"/>
    <w:rsid w:val="008A3ADF"/>
    <w:rsid w:val="008B0C51"/>
    <w:rsid w:val="008B4311"/>
    <w:rsid w:val="008B4823"/>
    <w:rsid w:val="008B48B4"/>
    <w:rsid w:val="008C05BE"/>
    <w:rsid w:val="008C1418"/>
    <w:rsid w:val="008D072F"/>
    <w:rsid w:val="008D0B2C"/>
    <w:rsid w:val="008D1527"/>
    <w:rsid w:val="008D1739"/>
    <w:rsid w:val="008D6C62"/>
    <w:rsid w:val="008D720B"/>
    <w:rsid w:val="008E0781"/>
    <w:rsid w:val="008E0A57"/>
    <w:rsid w:val="008F17FC"/>
    <w:rsid w:val="008F3D45"/>
    <w:rsid w:val="008F5D93"/>
    <w:rsid w:val="008F6AEB"/>
    <w:rsid w:val="008F6C41"/>
    <w:rsid w:val="009001DE"/>
    <w:rsid w:val="00900BDE"/>
    <w:rsid w:val="009020CF"/>
    <w:rsid w:val="009036E2"/>
    <w:rsid w:val="00903E5E"/>
    <w:rsid w:val="00905BF9"/>
    <w:rsid w:val="00907FAC"/>
    <w:rsid w:val="00911F59"/>
    <w:rsid w:val="00916ECE"/>
    <w:rsid w:val="0092059D"/>
    <w:rsid w:val="00921810"/>
    <w:rsid w:val="009242C6"/>
    <w:rsid w:val="009245AF"/>
    <w:rsid w:val="0092524F"/>
    <w:rsid w:val="009254FA"/>
    <w:rsid w:val="00930AF0"/>
    <w:rsid w:val="00931C8D"/>
    <w:rsid w:val="00932829"/>
    <w:rsid w:val="00932D2C"/>
    <w:rsid w:val="00936798"/>
    <w:rsid w:val="00937A54"/>
    <w:rsid w:val="00937EFF"/>
    <w:rsid w:val="009440DA"/>
    <w:rsid w:val="00952E95"/>
    <w:rsid w:val="00952F25"/>
    <w:rsid w:val="00954EF4"/>
    <w:rsid w:val="00954F1B"/>
    <w:rsid w:val="009576E8"/>
    <w:rsid w:val="00960E7A"/>
    <w:rsid w:val="00961F0C"/>
    <w:rsid w:val="009642D0"/>
    <w:rsid w:val="00964714"/>
    <w:rsid w:val="00964A61"/>
    <w:rsid w:val="0096527D"/>
    <w:rsid w:val="00965A9B"/>
    <w:rsid w:val="009662E5"/>
    <w:rsid w:val="00966FF9"/>
    <w:rsid w:val="00970037"/>
    <w:rsid w:val="009703EB"/>
    <w:rsid w:val="009726D5"/>
    <w:rsid w:val="00974400"/>
    <w:rsid w:val="00977D95"/>
    <w:rsid w:val="0098100A"/>
    <w:rsid w:val="00982E2E"/>
    <w:rsid w:val="00985AA2"/>
    <w:rsid w:val="00986F16"/>
    <w:rsid w:val="00987755"/>
    <w:rsid w:val="0099004A"/>
    <w:rsid w:val="00994A44"/>
    <w:rsid w:val="00995D95"/>
    <w:rsid w:val="00996840"/>
    <w:rsid w:val="00996E25"/>
    <w:rsid w:val="00997476"/>
    <w:rsid w:val="009A150F"/>
    <w:rsid w:val="009A233A"/>
    <w:rsid w:val="009A43F1"/>
    <w:rsid w:val="009A4922"/>
    <w:rsid w:val="009A5304"/>
    <w:rsid w:val="009A7494"/>
    <w:rsid w:val="009A773B"/>
    <w:rsid w:val="009B2593"/>
    <w:rsid w:val="009B2B2E"/>
    <w:rsid w:val="009B2E14"/>
    <w:rsid w:val="009B5CEA"/>
    <w:rsid w:val="009B5DFB"/>
    <w:rsid w:val="009B67B3"/>
    <w:rsid w:val="009C410A"/>
    <w:rsid w:val="009C4368"/>
    <w:rsid w:val="009C7E63"/>
    <w:rsid w:val="009D337A"/>
    <w:rsid w:val="009D7CBD"/>
    <w:rsid w:val="009E144B"/>
    <w:rsid w:val="009E3039"/>
    <w:rsid w:val="009E658E"/>
    <w:rsid w:val="009F0957"/>
    <w:rsid w:val="009F1067"/>
    <w:rsid w:val="009F13F5"/>
    <w:rsid w:val="009F25DA"/>
    <w:rsid w:val="009F31E4"/>
    <w:rsid w:val="009F5DEA"/>
    <w:rsid w:val="00A00329"/>
    <w:rsid w:val="00A01045"/>
    <w:rsid w:val="00A03714"/>
    <w:rsid w:val="00A04898"/>
    <w:rsid w:val="00A0502F"/>
    <w:rsid w:val="00A050B1"/>
    <w:rsid w:val="00A1168E"/>
    <w:rsid w:val="00A12026"/>
    <w:rsid w:val="00A1388C"/>
    <w:rsid w:val="00A15065"/>
    <w:rsid w:val="00A15F23"/>
    <w:rsid w:val="00A213D5"/>
    <w:rsid w:val="00A2586A"/>
    <w:rsid w:val="00A27B6D"/>
    <w:rsid w:val="00A32C29"/>
    <w:rsid w:val="00A35908"/>
    <w:rsid w:val="00A35F97"/>
    <w:rsid w:val="00A368EB"/>
    <w:rsid w:val="00A36E06"/>
    <w:rsid w:val="00A402C1"/>
    <w:rsid w:val="00A43287"/>
    <w:rsid w:val="00A432A3"/>
    <w:rsid w:val="00A440C0"/>
    <w:rsid w:val="00A53EED"/>
    <w:rsid w:val="00A5474C"/>
    <w:rsid w:val="00A62287"/>
    <w:rsid w:val="00A62749"/>
    <w:rsid w:val="00A62D34"/>
    <w:rsid w:val="00A64206"/>
    <w:rsid w:val="00A71B96"/>
    <w:rsid w:val="00A80F36"/>
    <w:rsid w:val="00A8263E"/>
    <w:rsid w:val="00A84772"/>
    <w:rsid w:val="00A84823"/>
    <w:rsid w:val="00A87F3A"/>
    <w:rsid w:val="00A908A8"/>
    <w:rsid w:val="00A92E65"/>
    <w:rsid w:val="00A9610E"/>
    <w:rsid w:val="00A978A6"/>
    <w:rsid w:val="00AA1151"/>
    <w:rsid w:val="00AA2EB3"/>
    <w:rsid w:val="00AB1B3D"/>
    <w:rsid w:val="00AB56DA"/>
    <w:rsid w:val="00AC0672"/>
    <w:rsid w:val="00AC377F"/>
    <w:rsid w:val="00AC5106"/>
    <w:rsid w:val="00AD086C"/>
    <w:rsid w:val="00AD1981"/>
    <w:rsid w:val="00AD3285"/>
    <w:rsid w:val="00AD3FAA"/>
    <w:rsid w:val="00AD59A0"/>
    <w:rsid w:val="00AD67FE"/>
    <w:rsid w:val="00AD7101"/>
    <w:rsid w:val="00AE02B5"/>
    <w:rsid w:val="00AE2615"/>
    <w:rsid w:val="00AE31A5"/>
    <w:rsid w:val="00AF01DB"/>
    <w:rsid w:val="00AF287D"/>
    <w:rsid w:val="00B004A6"/>
    <w:rsid w:val="00B011F6"/>
    <w:rsid w:val="00B01F7C"/>
    <w:rsid w:val="00B0273A"/>
    <w:rsid w:val="00B054CE"/>
    <w:rsid w:val="00B057CA"/>
    <w:rsid w:val="00B073B6"/>
    <w:rsid w:val="00B151C0"/>
    <w:rsid w:val="00B16EF5"/>
    <w:rsid w:val="00B201FE"/>
    <w:rsid w:val="00B21AF4"/>
    <w:rsid w:val="00B21B12"/>
    <w:rsid w:val="00B21B91"/>
    <w:rsid w:val="00B30E08"/>
    <w:rsid w:val="00B34A8F"/>
    <w:rsid w:val="00B34C60"/>
    <w:rsid w:val="00B4095F"/>
    <w:rsid w:val="00B4407F"/>
    <w:rsid w:val="00B46485"/>
    <w:rsid w:val="00B503A2"/>
    <w:rsid w:val="00B52706"/>
    <w:rsid w:val="00B55036"/>
    <w:rsid w:val="00B5552A"/>
    <w:rsid w:val="00B60F42"/>
    <w:rsid w:val="00B617A5"/>
    <w:rsid w:val="00B64F48"/>
    <w:rsid w:val="00B6597E"/>
    <w:rsid w:val="00B66115"/>
    <w:rsid w:val="00B70185"/>
    <w:rsid w:val="00B70515"/>
    <w:rsid w:val="00B708E7"/>
    <w:rsid w:val="00B7103E"/>
    <w:rsid w:val="00B7379A"/>
    <w:rsid w:val="00B74D70"/>
    <w:rsid w:val="00B80DC8"/>
    <w:rsid w:val="00B82BCB"/>
    <w:rsid w:val="00B83915"/>
    <w:rsid w:val="00B83994"/>
    <w:rsid w:val="00B83B9E"/>
    <w:rsid w:val="00B8441B"/>
    <w:rsid w:val="00B84708"/>
    <w:rsid w:val="00B8577A"/>
    <w:rsid w:val="00B87D7E"/>
    <w:rsid w:val="00B905FB"/>
    <w:rsid w:val="00B90F63"/>
    <w:rsid w:val="00B911D4"/>
    <w:rsid w:val="00B92E20"/>
    <w:rsid w:val="00B94311"/>
    <w:rsid w:val="00B94ADE"/>
    <w:rsid w:val="00B957F5"/>
    <w:rsid w:val="00BA402B"/>
    <w:rsid w:val="00BA5358"/>
    <w:rsid w:val="00BA6152"/>
    <w:rsid w:val="00BB08F7"/>
    <w:rsid w:val="00BB0B77"/>
    <w:rsid w:val="00BB32CD"/>
    <w:rsid w:val="00BB5E4D"/>
    <w:rsid w:val="00BB7B7C"/>
    <w:rsid w:val="00BC2C37"/>
    <w:rsid w:val="00BC37B0"/>
    <w:rsid w:val="00BC6310"/>
    <w:rsid w:val="00BD13F6"/>
    <w:rsid w:val="00BD1534"/>
    <w:rsid w:val="00BD38D8"/>
    <w:rsid w:val="00BD3D70"/>
    <w:rsid w:val="00BD4384"/>
    <w:rsid w:val="00BD5308"/>
    <w:rsid w:val="00BD580C"/>
    <w:rsid w:val="00BD58F2"/>
    <w:rsid w:val="00BD67D4"/>
    <w:rsid w:val="00BE15B9"/>
    <w:rsid w:val="00BE30AC"/>
    <w:rsid w:val="00BE3AB4"/>
    <w:rsid w:val="00BE3C84"/>
    <w:rsid w:val="00BE3D6F"/>
    <w:rsid w:val="00BE6EC6"/>
    <w:rsid w:val="00BE7268"/>
    <w:rsid w:val="00BF0849"/>
    <w:rsid w:val="00BF11E9"/>
    <w:rsid w:val="00BF32E5"/>
    <w:rsid w:val="00BF6B85"/>
    <w:rsid w:val="00BF79D6"/>
    <w:rsid w:val="00C029EB"/>
    <w:rsid w:val="00C04078"/>
    <w:rsid w:val="00C04669"/>
    <w:rsid w:val="00C10457"/>
    <w:rsid w:val="00C14BD3"/>
    <w:rsid w:val="00C15BC9"/>
    <w:rsid w:val="00C15C08"/>
    <w:rsid w:val="00C16C5E"/>
    <w:rsid w:val="00C20028"/>
    <w:rsid w:val="00C21836"/>
    <w:rsid w:val="00C22D22"/>
    <w:rsid w:val="00C23794"/>
    <w:rsid w:val="00C24949"/>
    <w:rsid w:val="00C27405"/>
    <w:rsid w:val="00C31214"/>
    <w:rsid w:val="00C34F30"/>
    <w:rsid w:val="00C35742"/>
    <w:rsid w:val="00C3696F"/>
    <w:rsid w:val="00C410B7"/>
    <w:rsid w:val="00C41ACF"/>
    <w:rsid w:val="00C43324"/>
    <w:rsid w:val="00C43D11"/>
    <w:rsid w:val="00C443E2"/>
    <w:rsid w:val="00C444D2"/>
    <w:rsid w:val="00C45A5B"/>
    <w:rsid w:val="00C468DA"/>
    <w:rsid w:val="00C50ABB"/>
    <w:rsid w:val="00C52D7C"/>
    <w:rsid w:val="00C535DE"/>
    <w:rsid w:val="00C56BA4"/>
    <w:rsid w:val="00C67CA8"/>
    <w:rsid w:val="00C7034D"/>
    <w:rsid w:val="00C74691"/>
    <w:rsid w:val="00C75A15"/>
    <w:rsid w:val="00C80177"/>
    <w:rsid w:val="00C815F3"/>
    <w:rsid w:val="00C83A65"/>
    <w:rsid w:val="00C8543A"/>
    <w:rsid w:val="00C91CC9"/>
    <w:rsid w:val="00C93AD0"/>
    <w:rsid w:val="00C951D8"/>
    <w:rsid w:val="00C9564A"/>
    <w:rsid w:val="00C96F8B"/>
    <w:rsid w:val="00CA1929"/>
    <w:rsid w:val="00CA5020"/>
    <w:rsid w:val="00CA5423"/>
    <w:rsid w:val="00CA70F1"/>
    <w:rsid w:val="00CB09FA"/>
    <w:rsid w:val="00CB32D4"/>
    <w:rsid w:val="00CB3E02"/>
    <w:rsid w:val="00CB4398"/>
    <w:rsid w:val="00CB4E8B"/>
    <w:rsid w:val="00CB533E"/>
    <w:rsid w:val="00CB770B"/>
    <w:rsid w:val="00CC0A2E"/>
    <w:rsid w:val="00CC0CA8"/>
    <w:rsid w:val="00CC1AE0"/>
    <w:rsid w:val="00CC43FE"/>
    <w:rsid w:val="00CC5F36"/>
    <w:rsid w:val="00CC728D"/>
    <w:rsid w:val="00CC7B8C"/>
    <w:rsid w:val="00CD191F"/>
    <w:rsid w:val="00CD4A74"/>
    <w:rsid w:val="00CD59D1"/>
    <w:rsid w:val="00CE2234"/>
    <w:rsid w:val="00CE4790"/>
    <w:rsid w:val="00CE546A"/>
    <w:rsid w:val="00CE65AF"/>
    <w:rsid w:val="00CE7C5F"/>
    <w:rsid w:val="00CF27AA"/>
    <w:rsid w:val="00CF3F35"/>
    <w:rsid w:val="00CF5237"/>
    <w:rsid w:val="00D00271"/>
    <w:rsid w:val="00D00A2B"/>
    <w:rsid w:val="00D00DAE"/>
    <w:rsid w:val="00D00DE0"/>
    <w:rsid w:val="00D02A1A"/>
    <w:rsid w:val="00D06467"/>
    <w:rsid w:val="00D06E3C"/>
    <w:rsid w:val="00D11340"/>
    <w:rsid w:val="00D12F3C"/>
    <w:rsid w:val="00D14B02"/>
    <w:rsid w:val="00D15B84"/>
    <w:rsid w:val="00D16038"/>
    <w:rsid w:val="00D16AAC"/>
    <w:rsid w:val="00D173A5"/>
    <w:rsid w:val="00D20C60"/>
    <w:rsid w:val="00D24C12"/>
    <w:rsid w:val="00D26026"/>
    <w:rsid w:val="00D304AA"/>
    <w:rsid w:val="00D30829"/>
    <w:rsid w:val="00D308C9"/>
    <w:rsid w:val="00D34853"/>
    <w:rsid w:val="00D36E8C"/>
    <w:rsid w:val="00D36EAB"/>
    <w:rsid w:val="00D41431"/>
    <w:rsid w:val="00D415CB"/>
    <w:rsid w:val="00D41BA4"/>
    <w:rsid w:val="00D43E85"/>
    <w:rsid w:val="00D44386"/>
    <w:rsid w:val="00D45F64"/>
    <w:rsid w:val="00D54620"/>
    <w:rsid w:val="00D55300"/>
    <w:rsid w:val="00D57156"/>
    <w:rsid w:val="00D57590"/>
    <w:rsid w:val="00D6446F"/>
    <w:rsid w:val="00D65726"/>
    <w:rsid w:val="00D70DC2"/>
    <w:rsid w:val="00D72682"/>
    <w:rsid w:val="00D74F79"/>
    <w:rsid w:val="00D75A58"/>
    <w:rsid w:val="00D75F2B"/>
    <w:rsid w:val="00D76575"/>
    <w:rsid w:val="00D827D0"/>
    <w:rsid w:val="00D839B6"/>
    <w:rsid w:val="00D84A70"/>
    <w:rsid w:val="00D84DC5"/>
    <w:rsid w:val="00D871E1"/>
    <w:rsid w:val="00D873BF"/>
    <w:rsid w:val="00D87C6B"/>
    <w:rsid w:val="00D92CFA"/>
    <w:rsid w:val="00D952E4"/>
    <w:rsid w:val="00D96639"/>
    <w:rsid w:val="00D96A0E"/>
    <w:rsid w:val="00DB1C33"/>
    <w:rsid w:val="00DB4A18"/>
    <w:rsid w:val="00DB7B4F"/>
    <w:rsid w:val="00DC0791"/>
    <w:rsid w:val="00DC2229"/>
    <w:rsid w:val="00DC3644"/>
    <w:rsid w:val="00DC57E8"/>
    <w:rsid w:val="00DC5EEA"/>
    <w:rsid w:val="00DC67B0"/>
    <w:rsid w:val="00DD08E5"/>
    <w:rsid w:val="00DD1323"/>
    <w:rsid w:val="00DD2EDC"/>
    <w:rsid w:val="00DD3F74"/>
    <w:rsid w:val="00DD61AD"/>
    <w:rsid w:val="00DE0126"/>
    <w:rsid w:val="00DE5312"/>
    <w:rsid w:val="00DE5E7D"/>
    <w:rsid w:val="00DE6C22"/>
    <w:rsid w:val="00DF0CD5"/>
    <w:rsid w:val="00DF1961"/>
    <w:rsid w:val="00E01EAA"/>
    <w:rsid w:val="00E02182"/>
    <w:rsid w:val="00E03C88"/>
    <w:rsid w:val="00E04A01"/>
    <w:rsid w:val="00E04B58"/>
    <w:rsid w:val="00E054E8"/>
    <w:rsid w:val="00E0638C"/>
    <w:rsid w:val="00E12B04"/>
    <w:rsid w:val="00E14512"/>
    <w:rsid w:val="00E154C5"/>
    <w:rsid w:val="00E16C76"/>
    <w:rsid w:val="00E20EB7"/>
    <w:rsid w:val="00E211EA"/>
    <w:rsid w:val="00E25BCF"/>
    <w:rsid w:val="00E26CA8"/>
    <w:rsid w:val="00E276B3"/>
    <w:rsid w:val="00E311E2"/>
    <w:rsid w:val="00E313AA"/>
    <w:rsid w:val="00E32025"/>
    <w:rsid w:val="00E355DC"/>
    <w:rsid w:val="00E366D2"/>
    <w:rsid w:val="00E407A1"/>
    <w:rsid w:val="00E4225D"/>
    <w:rsid w:val="00E4304C"/>
    <w:rsid w:val="00E43617"/>
    <w:rsid w:val="00E43F63"/>
    <w:rsid w:val="00E4437C"/>
    <w:rsid w:val="00E44575"/>
    <w:rsid w:val="00E471B2"/>
    <w:rsid w:val="00E47B86"/>
    <w:rsid w:val="00E50609"/>
    <w:rsid w:val="00E518B2"/>
    <w:rsid w:val="00E518F9"/>
    <w:rsid w:val="00E61F17"/>
    <w:rsid w:val="00E62016"/>
    <w:rsid w:val="00E622A6"/>
    <w:rsid w:val="00E622EA"/>
    <w:rsid w:val="00E63507"/>
    <w:rsid w:val="00E6369C"/>
    <w:rsid w:val="00E63D77"/>
    <w:rsid w:val="00E64D7B"/>
    <w:rsid w:val="00E66290"/>
    <w:rsid w:val="00E66523"/>
    <w:rsid w:val="00E67C23"/>
    <w:rsid w:val="00E72CD4"/>
    <w:rsid w:val="00E747B4"/>
    <w:rsid w:val="00E76AE6"/>
    <w:rsid w:val="00E77F76"/>
    <w:rsid w:val="00E80087"/>
    <w:rsid w:val="00E85CC3"/>
    <w:rsid w:val="00E86E91"/>
    <w:rsid w:val="00E91E04"/>
    <w:rsid w:val="00EA0A91"/>
    <w:rsid w:val="00EA265D"/>
    <w:rsid w:val="00EA38C7"/>
    <w:rsid w:val="00EA725E"/>
    <w:rsid w:val="00EA7C8D"/>
    <w:rsid w:val="00EB10A8"/>
    <w:rsid w:val="00EB1500"/>
    <w:rsid w:val="00EB4440"/>
    <w:rsid w:val="00EB4BBD"/>
    <w:rsid w:val="00EB6339"/>
    <w:rsid w:val="00EB6E37"/>
    <w:rsid w:val="00EC20C1"/>
    <w:rsid w:val="00EC27DF"/>
    <w:rsid w:val="00EC5094"/>
    <w:rsid w:val="00EC56D8"/>
    <w:rsid w:val="00EC60EC"/>
    <w:rsid w:val="00ED0631"/>
    <w:rsid w:val="00ED0903"/>
    <w:rsid w:val="00ED0A7B"/>
    <w:rsid w:val="00ED3C55"/>
    <w:rsid w:val="00EE0D76"/>
    <w:rsid w:val="00EE3E52"/>
    <w:rsid w:val="00EE44E7"/>
    <w:rsid w:val="00EF0B23"/>
    <w:rsid w:val="00EF1F2C"/>
    <w:rsid w:val="00EF3F2A"/>
    <w:rsid w:val="00EF47B0"/>
    <w:rsid w:val="00EF5F61"/>
    <w:rsid w:val="00EF7209"/>
    <w:rsid w:val="00EF78E5"/>
    <w:rsid w:val="00EF7B5D"/>
    <w:rsid w:val="00F006F9"/>
    <w:rsid w:val="00F00FD8"/>
    <w:rsid w:val="00F01F10"/>
    <w:rsid w:val="00F03282"/>
    <w:rsid w:val="00F06841"/>
    <w:rsid w:val="00F06C18"/>
    <w:rsid w:val="00F07BDC"/>
    <w:rsid w:val="00F11F08"/>
    <w:rsid w:val="00F134AF"/>
    <w:rsid w:val="00F16389"/>
    <w:rsid w:val="00F1660E"/>
    <w:rsid w:val="00F217CD"/>
    <w:rsid w:val="00F237E7"/>
    <w:rsid w:val="00F258AA"/>
    <w:rsid w:val="00F27058"/>
    <w:rsid w:val="00F27F58"/>
    <w:rsid w:val="00F315D2"/>
    <w:rsid w:val="00F40458"/>
    <w:rsid w:val="00F41599"/>
    <w:rsid w:val="00F41F1B"/>
    <w:rsid w:val="00F42B22"/>
    <w:rsid w:val="00F45259"/>
    <w:rsid w:val="00F46DD8"/>
    <w:rsid w:val="00F47823"/>
    <w:rsid w:val="00F524EB"/>
    <w:rsid w:val="00F55FD5"/>
    <w:rsid w:val="00F60A5E"/>
    <w:rsid w:val="00F60EFB"/>
    <w:rsid w:val="00F63803"/>
    <w:rsid w:val="00F64487"/>
    <w:rsid w:val="00F64499"/>
    <w:rsid w:val="00F646AD"/>
    <w:rsid w:val="00F649B9"/>
    <w:rsid w:val="00F65C5B"/>
    <w:rsid w:val="00F775F4"/>
    <w:rsid w:val="00F77C7E"/>
    <w:rsid w:val="00F817B4"/>
    <w:rsid w:val="00F85DB0"/>
    <w:rsid w:val="00F914F3"/>
    <w:rsid w:val="00F91EB2"/>
    <w:rsid w:val="00F923B8"/>
    <w:rsid w:val="00F92C55"/>
    <w:rsid w:val="00F93406"/>
    <w:rsid w:val="00F97E1B"/>
    <w:rsid w:val="00FA0115"/>
    <w:rsid w:val="00FA16F6"/>
    <w:rsid w:val="00FA4910"/>
    <w:rsid w:val="00FA6956"/>
    <w:rsid w:val="00FB0E52"/>
    <w:rsid w:val="00FB1A4B"/>
    <w:rsid w:val="00FB2877"/>
    <w:rsid w:val="00FB317D"/>
    <w:rsid w:val="00FB4843"/>
    <w:rsid w:val="00FB78E6"/>
    <w:rsid w:val="00FC008A"/>
    <w:rsid w:val="00FC09CB"/>
    <w:rsid w:val="00FC29E3"/>
    <w:rsid w:val="00FC3A64"/>
    <w:rsid w:val="00FC50ED"/>
    <w:rsid w:val="00FD0167"/>
    <w:rsid w:val="00FD0D05"/>
    <w:rsid w:val="00FD0EC2"/>
    <w:rsid w:val="00FD17C6"/>
    <w:rsid w:val="00FD2767"/>
    <w:rsid w:val="00FD2980"/>
    <w:rsid w:val="00FD2FE3"/>
    <w:rsid w:val="00FD4C2B"/>
    <w:rsid w:val="00FE2BF5"/>
    <w:rsid w:val="00FE5F43"/>
    <w:rsid w:val="00FE6F52"/>
    <w:rsid w:val="00FE7953"/>
    <w:rsid w:val="00FF2943"/>
    <w:rsid w:val="00FF42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F6530"/>
    <w:rPr>
      <w:rFonts w:cs="Times"/>
      <w:sz w:val="24"/>
    </w:rPr>
  </w:style>
  <w:style w:type="paragraph" w:styleId="Heading1">
    <w:name w:val="heading 1"/>
    <w:aliases w:val="P.Heading 1"/>
    <w:basedOn w:val="Normal"/>
    <w:next w:val="PBodyText"/>
    <w:link w:val="Heading1Char"/>
    <w:uiPriority w:val="99"/>
    <w:qFormat/>
    <w:rsid w:val="008701F1"/>
    <w:pPr>
      <w:keepNext/>
      <w:tabs>
        <w:tab w:val="left" w:pos="360"/>
      </w:tabs>
      <w:spacing w:after="240"/>
      <w:jc w:val="center"/>
      <w:outlineLvl w:val="0"/>
    </w:pPr>
    <w:rPr>
      <w:rFonts w:ascii="Arial Bold" w:hAnsi="Arial Bold" w:cs="Arial"/>
      <w:b/>
      <w:bCs/>
      <w:caps/>
      <w:color w:val="000000"/>
      <w:sz w:val="32"/>
      <w:szCs w:val="28"/>
    </w:rPr>
  </w:style>
  <w:style w:type="paragraph" w:styleId="Heading2">
    <w:name w:val="heading 2"/>
    <w:aliases w:val="p.Heading 2"/>
    <w:basedOn w:val="Normal"/>
    <w:next w:val="PBodyText"/>
    <w:link w:val="Heading2Char"/>
    <w:uiPriority w:val="99"/>
    <w:qFormat/>
    <w:rsid w:val="00B34A8F"/>
    <w:pPr>
      <w:keepNext/>
      <w:tabs>
        <w:tab w:val="left" w:pos="360"/>
      </w:tabs>
      <w:spacing w:after="240"/>
      <w:outlineLvl w:val="1"/>
    </w:pPr>
    <w:rPr>
      <w:rFonts w:ascii="Arial Bold" w:hAnsi="Arial Bold" w:cs="Arial"/>
      <w:b/>
      <w:bCs/>
      <w:iCs/>
      <w:sz w:val="28"/>
      <w:szCs w:val="20"/>
    </w:rPr>
  </w:style>
  <w:style w:type="paragraph" w:styleId="Heading3">
    <w:name w:val="heading 3"/>
    <w:aliases w:val="P.Heading 3"/>
    <w:basedOn w:val="Normal"/>
    <w:next w:val="PBodyText"/>
    <w:link w:val="Heading3Char"/>
    <w:uiPriority w:val="99"/>
    <w:qFormat/>
    <w:rsid w:val="008701F1"/>
    <w:pPr>
      <w:keepNext/>
      <w:tabs>
        <w:tab w:val="left" w:pos="360"/>
      </w:tabs>
      <w:spacing w:after="240"/>
      <w:outlineLvl w:val="2"/>
    </w:pPr>
    <w:rPr>
      <w:rFonts w:ascii="Arial" w:hAnsi="Arial" w:cs="Arial"/>
      <w:b/>
      <w:bCs/>
      <w:color w:val="000000"/>
    </w:rPr>
  </w:style>
  <w:style w:type="paragraph" w:styleId="Heading4">
    <w:name w:val="heading 4"/>
    <w:aliases w:val="P.Heading 4"/>
    <w:basedOn w:val="Normal"/>
    <w:next w:val="Normal"/>
    <w:link w:val="Heading4Char"/>
    <w:uiPriority w:val="99"/>
    <w:qFormat/>
    <w:rsid w:val="005C42A2"/>
    <w:pPr>
      <w:keepNext/>
      <w:spacing w:after="120"/>
      <w:outlineLvl w:val="3"/>
    </w:pPr>
    <w:rPr>
      <w:rFonts w:ascii="Arial" w:hAnsi="Arial"/>
      <w:b/>
      <w:bCs/>
      <w:i/>
      <w:iCs/>
      <w:noProof/>
      <w:color w:val="000000"/>
      <w:szCs w:val="24"/>
    </w:rPr>
  </w:style>
  <w:style w:type="paragraph" w:styleId="Heading5">
    <w:name w:val="heading 5"/>
    <w:basedOn w:val="Normal"/>
    <w:next w:val="PBodyText"/>
    <w:link w:val="Heading5Char"/>
    <w:uiPriority w:val="99"/>
    <w:qFormat/>
    <w:rsid w:val="008701F1"/>
    <w:pPr>
      <w:keepNext/>
      <w:outlineLvl w:val="4"/>
    </w:pPr>
    <w:rPr>
      <w:b/>
      <w:bCs/>
      <w:color w:val="000000"/>
      <w:szCs w:val="24"/>
    </w:rPr>
  </w:style>
  <w:style w:type="paragraph" w:styleId="Heading6">
    <w:name w:val="heading 6"/>
    <w:basedOn w:val="Normal"/>
    <w:next w:val="Normal"/>
    <w:link w:val="Heading6Char"/>
    <w:uiPriority w:val="99"/>
    <w:qFormat/>
    <w:rsid w:val="0007536E"/>
    <w:pPr>
      <w:keepNext/>
      <w:outlineLvl w:val="5"/>
    </w:pPr>
    <w:rPr>
      <w:b/>
      <w:bCs/>
      <w:szCs w:val="24"/>
    </w:rPr>
  </w:style>
  <w:style w:type="paragraph" w:styleId="Heading7">
    <w:name w:val="heading 7"/>
    <w:basedOn w:val="Normal"/>
    <w:next w:val="Normal"/>
    <w:link w:val="Heading7Char"/>
    <w:uiPriority w:val="99"/>
    <w:qFormat/>
    <w:rsid w:val="0007536E"/>
    <w:pPr>
      <w:keepNext/>
      <w:outlineLvl w:val="6"/>
    </w:pPr>
    <w:rPr>
      <w:b/>
      <w:bCs/>
      <w:szCs w:val="24"/>
    </w:rPr>
  </w:style>
  <w:style w:type="paragraph" w:styleId="Heading8">
    <w:name w:val="heading 8"/>
    <w:basedOn w:val="Normal"/>
    <w:next w:val="Normal"/>
    <w:link w:val="Heading8Char"/>
    <w:uiPriority w:val="99"/>
    <w:qFormat/>
    <w:rsid w:val="0007536E"/>
    <w:pPr>
      <w:keepNext/>
      <w:outlineLvl w:val="7"/>
    </w:pPr>
    <w:rPr>
      <w:b/>
      <w:bCs/>
    </w:rPr>
  </w:style>
  <w:style w:type="paragraph" w:styleId="Heading9">
    <w:name w:val="heading 9"/>
    <w:basedOn w:val="Normal"/>
    <w:next w:val="Normal"/>
    <w:link w:val="Heading9Char"/>
    <w:uiPriority w:val="99"/>
    <w:qFormat/>
    <w:rsid w:val="0007536E"/>
    <w:pPr>
      <w:keepNext/>
      <w:outlineLvl w:val="8"/>
    </w:pPr>
    <w:rPr>
      <w:rFonts w:ascii="Arial" w:hAnsi="Arial" w:cs="Arial"/>
      <w:b/>
      <w:b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locked/>
    <w:rsid w:val="008701F1"/>
    <w:rPr>
      <w:rFonts w:ascii="Arial Bold" w:hAnsi="Arial Bold" w:cs="Arial"/>
      <w:b/>
      <w:bCs/>
      <w:caps/>
      <w:color w:val="000000"/>
      <w:sz w:val="28"/>
      <w:szCs w:val="28"/>
      <w:lang w:val="en-US" w:eastAsia="en-US" w:bidi="ar-SA"/>
    </w:rPr>
  </w:style>
  <w:style w:type="character" w:customStyle="1" w:styleId="Heading2Char">
    <w:name w:val="Heading 2 Char"/>
    <w:aliases w:val="p.Heading 2 Char"/>
    <w:basedOn w:val="DefaultParagraphFont"/>
    <w:link w:val="Heading2"/>
    <w:uiPriority w:val="99"/>
    <w:locked/>
    <w:rsid w:val="00B34A8F"/>
    <w:rPr>
      <w:rFonts w:ascii="Arial Bold" w:hAnsi="Arial Bold" w:cs="Arial"/>
      <w:b/>
      <w:bCs/>
      <w:iCs/>
      <w:sz w:val="28"/>
      <w:lang w:val="en-US" w:eastAsia="en-US" w:bidi="ar-SA"/>
    </w:rPr>
  </w:style>
  <w:style w:type="character" w:customStyle="1" w:styleId="Heading3Char">
    <w:name w:val="Heading 3 Char"/>
    <w:aliases w:val="P.Heading 3 Char"/>
    <w:basedOn w:val="DefaultParagraphFont"/>
    <w:link w:val="Heading3"/>
    <w:uiPriority w:val="99"/>
    <w:locked/>
    <w:rsid w:val="008701F1"/>
    <w:rPr>
      <w:rFonts w:ascii="Arial" w:hAnsi="Arial" w:cs="Arial"/>
      <w:b/>
      <w:bCs/>
      <w:color w:val="000000"/>
      <w:sz w:val="22"/>
      <w:szCs w:val="22"/>
      <w:lang w:val="en-US" w:eastAsia="en-US" w:bidi="ar-SA"/>
    </w:rPr>
  </w:style>
  <w:style w:type="character" w:customStyle="1" w:styleId="Heading4Char">
    <w:name w:val="Heading 4 Char"/>
    <w:aliases w:val="P.Heading 4 Char"/>
    <w:basedOn w:val="DefaultParagraphFont"/>
    <w:link w:val="Heading4"/>
    <w:uiPriority w:val="99"/>
    <w:locked/>
    <w:rsid w:val="005C42A2"/>
    <w:rPr>
      <w:rFonts w:ascii="Arial" w:hAnsi="Arial" w:cs="Times"/>
      <w:b/>
      <w:bCs/>
      <w:i/>
      <w:iCs/>
      <w:noProof/>
      <w:color w:val="000000"/>
      <w:sz w:val="24"/>
      <w:szCs w:val="24"/>
    </w:rPr>
  </w:style>
  <w:style w:type="character" w:customStyle="1" w:styleId="Heading5Char">
    <w:name w:val="Heading 5 Char"/>
    <w:basedOn w:val="DefaultParagraphFont"/>
    <w:link w:val="Heading5"/>
    <w:uiPriority w:val="99"/>
    <w:locked/>
    <w:rsid w:val="008701F1"/>
    <w:rPr>
      <w:rFonts w:cs="Times"/>
      <w:b/>
      <w:bCs/>
      <w:color w:val="000000"/>
      <w:sz w:val="24"/>
      <w:szCs w:val="24"/>
      <w:lang w:val="en-US" w:eastAsia="en-US" w:bidi="ar-SA"/>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PBodyText">
    <w:name w:val="P.Body Text"/>
    <w:uiPriority w:val="99"/>
    <w:rsid w:val="00C96F8B"/>
    <w:pPr>
      <w:spacing w:after="240"/>
    </w:pPr>
    <w:rPr>
      <w:rFonts w:cs="Times"/>
      <w:noProof/>
      <w:sz w:val="24"/>
    </w:rPr>
  </w:style>
  <w:style w:type="paragraph" w:customStyle="1" w:styleId="PBodyText-DoubleSpaced">
    <w:name w:val="P.Body Text-Double Spaced"/>
    <w:basedOn w:val="PBodyText"/>
    <w:uiPriority w:val="99"/>
    <w:rsid w:val="00C96F8B"/>
    <w:pPr>
      <w:spacing w:after="0" w:line="480" w:lineRule="auto"/>
    </w:pPr>
  </w:style>
  <w:style w:type="paragraph" w:customStyle="1" w:styleId="PBullet-3Last">
    <w:name w:val="P.Bullet-3 Last"/>
    <w:basedOn w:val="PBullet-3"/>
    <w:uiPriority w:val="99"/>
    <w:rsid w:val="002F140E"/>
    <w:pPr>
      <w:spacing w:after="240"/>
    </w:pPr>
  </w:style>
  <w:style w:type="paragraph" w:styleId="Header">
    <w:name w:val="header"/>
    <w:basedOn w:val="Normal"/>
    <w:link w:val="HeaderChar"/>
    <w:uiPriority w:val="99"/>
    <w:rsid w:val="008701F1"/>
    <w:pPr>
      <w:pBdr>
        <w:bottom w:val="single" w:sz="4" w:space="1" w:color="auto"/>
      </w:pBdr>
      <w:tabs>
        <w:tab w:val="right" w:pos="9360"/>
      </w:tabs>
      <w:jc w:val="right"/>
    </w:pPr>
    <w:rPr>
      <w:rFonts w:ascii="Arial" w:hAnsi="Arial" w:cs="Arial"/>
      <w:i/>
      <w:iCs/>
      <w:noProof/>
      <w:color w:val="000000"/>
      <w:sz w:val="20"/>
      <w:szCs w:val="18"/>
    </w:rPr>
  </w:style>
  <w:style w:type="character" w:customStyle="1" w:styleId="HeaderChar">
    <w:name w:val="Header Char"/>
    <w:basedOn w:val="DefaultParagraphFont"/>
    <w:link w:val="Header"/>
    <w:uiPriority w:val="99"/>
    <w:locked/>
    <w:rsid w:val="008701F1"/>
    <w:rPr>
      <w:rFonts w:ascii="Arial" w:hAnsi="Arial" w:cs="Arial"/>
      <w:i/>
      <w:iCs/>
      <w:noProof/>
      <w:color w:val="000000"/>
      <w:sz w:val="18"/>
      <w:szCs w:val="18"/>
      <w:lang w:val="en-US" w:eastAsia="en-US" w:bidi="ar-SA"/>
    </w:rPr>
  </w:style>
  <w:style w:type="paragraph" w:styleId="Footer">
    <w:name w:val="footer"/>
    <w:basedOn w:val="Normal"/>
    <w:link w:val="FooterChar"/>
    <w:uiPriority w:val="99"/>
    <w:rsid w:val="00D84DC5"/>
    <w:pPr>
      <w:pBdr>
        <w:top w:val="single" w:sz="4" w:space="1" w:color="auto"/>
      </w:pBdr>
      <w:tabs>
        <w:tab w:val="center" w:pos="4680"/>
        <w:tab w:val="right" w:pos="8640"/>
      </w:tabs>
    </w:pPr>
    <w:rPr>
      <w:rFonts w:ascii="Arial" w:hAnsi="Arial" w:cs="Arial"/>
      <w:color w:val="000000"/>
      <w:sz w:val="20"/>
      <w:szCs w:val="20"/>
    </w:rPr>
  </w:style>
  <w:style w:type="character" w:customStyle="1" w:styleId="FooterChar">
    <w:name w:val="Footer Char"/>
    <w:basedOn w:val="DefaultParagraphFont"/>
    <w:link w:val="Footer"/>
    <w:uiPriority w:val="99"/>
    <w:locked/>
    <w:rsid w:val="00D84DC5"/>
    <w:rPr>
      <w:rFonts w:ascii="Arial" w:hAnsi="Arial" w:cs="Arial"/>
      <w:color w:val="000000"/>
      <w:sz w:val="20"/>
      <w:szCs w:val="20"/>
    </w:rPr>
  </w:style>
  <w:style w:type="character" w:styleId="PageNumber">
    <w:name w:val="page number"/>
    <w:basedOn w:val="DefaultParagraphFont"/>
    <w:uiPriority w:val="99"/>
    <w:rsid w:val="00BE6EC6"/>
    <w:rPr>
      <w:rFonts w:ascii="Arial" w:hAnsi="Arial" w:cs="Arial"/>
      <w:sz w:val="18"/>
      <w:szCs w:val="18"/>
    </w:rPr>
  </w:style>
  <w:style w:type="paragraph" w:customStyle="1" w:styleId="PBullet-3">
    <w:name w:val="P.Bullet-3"/>
    <w:uiPriority w:val="99"/>
    <w:rsid w:val="002F140E"/>
    <w:pPr>
      <w:numPr>
        <w:numId w:val="2"/>
      </w:numPr>
    </w:pPr>
    <w:rPr>
      <w:rFonts w:cs="Times"/>
      <w:sz w:val="24"/>
      <w:szCs w:val="24"/>
    </w:rPr>
  </w:style>
  <w:style w:type="paragraph" w:customStyle="1" w:styleId="PBullet">
    <w:name w:val="P.Bullet"/>
    <w:next w:val="Normal"/>
    <w:uiPriority w:val="99"/>
    <w:rsid w:val="003A546C"/>
    <w:pPr>
      <w:numPr>
        <w:numId w:val="3"/>
      </w:numPr>
    </w:pPr>
    <w:rPr>
      <w:rFonts w:cs="Times"/>
      <w:sz w:val="24"/>
      <w:szCs w:val="24"/>
    </w:rPr>
  </w:style>
  <w:style w:type="paragraph" w:customStyle="1" w:styleId="PNumbering">
    <w:name w:val="P.Numbering"/>
    <w:link w:val="PNumberingCharChar"/>
    <w:uiPriority w:val="99"/>
    <w:rsid w:val="00A00329"/>
    <w:pPr>
      <w:numPr>
        <w:numId w:val="7"/>
      </w:numPr>
      <w:tabs>
        <w:tab w:val="left" w:pos="720"/>
      </w:tabs>
      <w:ind w:left="720" w:hanging="360"/>
    </w:pPr>
    <w:rPr>
      <w:rFonts w:cs="Times"/>
      <w:sz w:val="24"/>
      <w:szCs w:val="24"/>
    </w:rPr>
  </w:style>
  <w:style w:type="character" w:customStyle="1" w:styleId="PNumberingCharChar">
    <w:name w:val="P.Numbering Char Char"/>
    <w:basedOn w:val="DefaultParagraphFont"/>
    <w:link w:val="PNumbering"/>
    <w:uiPriority w:val="99"/>
    <w:locked/>
    <w:rsid w:val="00A00329"/>
    <w:rPr>
      <w:rFonts w:cs="Times"/>
      <w:sz w:val="24"/>
      <w:szCs w:val="24"/>
      <w:lang w:val="en-US" w:eastAsia="en-US" w:bidi="ar-SA"/>
    </w:rPr>
  </w:style>
  <w:style w:type="character" w:styleId="FootnoteReference">
    <w:name w:val="footnote reference"/>
    <w:basedOn w:val="DefaultParagraphFont"/>
    <w:uiPriority w:val="99"/>
    <w:semiHidden/>
    <w:rsid w:val="0007536E"/>
    <w:rPr>
      <w:rFonts w:cs="Times New Roman"/>
      <w:vertAlign w:val="superscript"/>
    </w:rPr>
  </w:style>
  <w:style w:type="paragraph" w:styleId="FootnoteText">
    <w:name w:val="footnote text"/>
    <w:basedOn w:val="Normal"/>
    <w:link w:val="FootnoteTextChar"/>
    <w:uiPriority w:val="99"/>
    <w:semiHidden/>
    <w:rsid w:val="0007536E"/>
    <w:rPr>
      <w:noProof/>
      <w:sz w:val="20"/>
      <w:szCs w:val="20"/>
    </w:rPr>
  </w:style>
  <w:style w:type="character" w:customStyle="1" w:styleId="FootnoteTextChar">
    <w:name w:val="Footnote Text Char"/>
    <w:basedOn w:val="DefaultParagraphFont"/>
    <w:link w:val="FootnoteText"/>
    <w:uiPriority w:val="99"/>
    <w:semiHidden/>
    <w:locked/>
    <w:rsid w:val="00C22D22"/>
    <w:rPr>
      <w:rFonts w:ascii="Times" w:hAnsi="Times" w:cs="Times"/>
      <w:noProof/>
      <w:lang w:val="en-US" w:eastAsia="en-US"/>
    </w:rPr>
  </w:style>
  <w:style w:type="paragraph" w:styleId="TOC2">
    <w:name w:val="toc 2"/>
    <w:basedOn w:val="Normal"/>
    <w:autoRedefine/>
    <w:uiPriority w:val="99"/>
    <w:rsid w:val="00C96F8B"/>
    <w:pPr>
      <w:tabs>
        <w:tab w:val="left" w:pos="720"/>
        <w:tab w:val="right" w:leader="dot" w:pos="9360"/>
      </w:tabs>
      <w:ind w:left="360"/>
    </w:pPr>
    <w:rPr>
      <w:noProof/>
      <w:szCs w:val="20"/>
    </w:rPr>
  </w:style>
  <w:style w:type="paragraph" w:styleId="TOC1">
    <w:name w:val="toc 1"/>
    <w:basedOn w:val="Normal"/>
    <w:autoRedefine/>
    <w:uiPriority w:val="99"/>
    <w:rsid w:val="00C96F8B"/>
    <w:pPr>
      <w:tabs>
        <w:tab w:val="left" w:pos="360"/>
        <w:tab w:val="right" w:leader="dot" w:pos="9360"/>
      </w:tabs>
      <w:spacing w:before="240"/>
    </w:pPr>
    <w:rPr>
      <w:b/>
      <w:bCs/>
      <w:szCs w:val="20"/>
    </w:rPr>
  </w:style>
  <w:style w:type="paragraph" w:styleId="TOC3">
    <w:name w:val="toc 3"/>
    <w:basedOn w:val="Normal"/>
    <w:autoRedefine/>
    <w:uiPriority w:val="99"/>
    <w:rsid w:val="00C96F8B"/>
    <w:pPr>
      <w:tabs>
        <w:tab w:val="left" w:pos="1080"/>
        <w:tab w:val="right" w:leader="dot" w:pos="9360"/>
      </w:tabs>
      <w:ind w:left="720"/>
    </w:pPr>
    <w:rPr>
      <w:szCs w:val="24"/>
    </w:rPr>
  </w:style>
  <w:style w:type="paragraph" w:styleId="TOC4">
    <w:name w:val="toc 4"/>
    <w:basedOn w:val="Normal"/>
    <w:next w:val="Normal"/>
    <w:autoRedefine/>
    <w:uiPriority w:val="99"/>
    <w:rsid w:val="0068475A"/>
    <w:pPr>
      <w:tabs>
        <w:tab w:val="right" w:leader="dot" w:pos="9350"/>
      </w:tabs>
      <w:ind w:left="1008"/>
    </w:pPr>
  </w:style>
  <w:style w:type="paragraph" w:customStyle="1" w:styleId="PQuotes">
    <w:name w:val="P.Quotes"/>
    <w:uiPriority w:val="99"/>
    <w:rsid w:val="005617B5"/>
    <w:pPr>
      <w:pBdr>
        <w:top w:val="single" w:sz="4" w:space="1" w:color="auto"/>
        <w:bottom w:val="single" w:sz="4" w:space="1" w:color="auto"/>
      </w:pBdr>
      <w:spacing w:before="120" w:after="120"/>
      <w:ind w:left="144" w:right="144"/>
    </w:pPr>
    <w:rPr>
      <w:rFonts w:ascii="Arial" w:hAnsi="Arial" w:cs="Times"/>
      <w:i/>
      <w:iCs/>
      <w:sz w:val="20"/>
      <w:szCs w:val="24"/>
    </w:rPr>
  </w:style>
  <w:style w:type="paragraph" w:customStyle="1" w:styleId="PCoverHead1">
    <w:name w:val="P.Cover Head 1"/>
    <w:uiPriority w:val="99"/>
    <w:rsid w:val="001C3085"/>
    <w:pPr>
      <w:spacing w:before="3720" w:after="240"/>
      <w:ind w:left="-720" w:right="-1008"/>
    </w:pPr>
    <w:rPr>
      <w:rFonts w:ascii="Lucida Sans" w:hAnsi="Lucida Sans" w:cs="Lucida Sans"/>
      <w:b/>
      <w:bCs/>
      <w:sz w:val="30"/>
      <w:szCs w:val="30"/>
    </w:rPr>
  </w:style>
  <w:style w:type="paragraph" w:customStyle="1" w:styleId="PTableHeading">
    <w:name w:val="P.Table Heading"/>
    <w:uiPriority w:val="99"/>
    <w:rsid w:val="00BB7B7C"/>
    <w:pPr>
      <w:keepNext/>
      <w:jc w:val="center"/>
    </w:pPr>
    <w:rPr>
      <w:rFonts w:ascii="Arial Narrow" w:hAnsi="Arial Narrow" w:cs="Arial"/>
      <w:b/>
      <w:bCs/>
      <w:color w:val="FFFFFF"/>
      <w:sz w:val="20"/>
      <w:szCs w:val="20"/>
    </w:rPr>
  </w:style>
  <w:style w:type="paragraph" w:customStyle="1" w:styleId="PTableText">
    <w:name w:val="P.Table Text"/>
    <w:uiPriority w:val="99"/>
    <w:rsid w:val="00BB7B7C"/>
    <w:rPr>
      <w:rFonts w:ascii="Arial Narrow" w:hAnsi="Arial Narrow" w:cs="Arial"/>
      <w:sz w:val="20"/>
      <w:szCs w:val="20"/>
    </w:rPr>
  </w:style>
  <w:style w:type="paragraph" w:customStyle="1" w:styleId="PTableBullet1">
    <w:name w:val="P.Table Bullet 1"/>
    <w:basedOn w:val="PBullet"/>
    <w:uiPriority w:val="99"/>
    <w:rsid w:val="00BB7B7C"/>
    <w:pPr>
      <w:numPr>
        <w:numId w:val="4"/>
      </w:numPr>
      <w:spacing w:before="20" w:after="20"/>
      <w:ind w:left="187" w:hanging="187"/>
    </w:pPr>
    <w:rPr>
      <w:rFonts w:ascii="Arial Narrow" w:hAnsi="Arial Narrow" w:cs="Arial"/>
      <w:sz w:val="20"/>
      <w:szCs w:val="20"/>
    </w:rPr>
  </w:style>
  <w:style w:type="paragraph" w:customStyle="1" w:styleId="PCoverHead2">
    <w:name w:val="P.Cover Head 2"/>
    <w:basedOn w:val="PCoverHead1"/>
    <w:uiPriority w:val="99"/>
    <w:rsid w:val="001C3085"/>
    <w:pPr>
      <w:spacing w:before="120" w:after="960"/>
    </w:pPr>
  </w:style>
  <w:style w:type="paragraph" w:customStyle="1" w:styleId="PCoverHead3">
    <w:name w:val="P.Cover Head 3"/>
    <w:uiPriority w:val="99"/>
    <w:rsid w:val="008701F1"/>
    <w:pPr>
      <w:ind w:left="-576"/>
    </w:pPr>
    <w:rPr>
      <w:rFonts w:ascii="Lucida Sans" w:hAnsi="Lucida Sans" w:cs="Lucida Sans"/>
      <w:color w:val="000000"/>
    </w:rPr>
  </w:style>
  <w:style w:type="paragraph" w:customStyle="1" w:styleId="PCoverHead4">
    <w:name w:val="P.Cover Head 4"/>
    <w:uiPriority w:val="99"/>
    <w:rsid w:val="008701F1"/>
    <w:pPr>
      <w:spacing w:after="480"/>
      <w:ind w:left="-576"/>
    </w:pPr>
    <w:rPr>
      <w:rFonts w:ascii="Lucida Sans" w:hAnsi="Lucida Sans" w:cs="Lucida Sans"/>
      <w:bCs/>
      <w:color w:val="000000"/>
      <w:sz w:val="36"/>
      <w:szCs w:val="36"/>
    </w:rPr>
  </w:style>
  <w:style w:type="paragraph" w:customStyle="1" w:styleId="PContentsTitle">
    <w:name w:val="P.Contents Title"/>
    <w:uiPriority w:val="99"/>
    <w:rsid w:val="008701F1"/>
    <w:pPr>
      <w:spacing w:after="240"/>
      <w:jc w:val="center"/>
    </w:pPr>
    <w:rPr>
      <w:rFonts w:ascii="Arial" w:hAnsi="Arial" w:cs="Arial"/>
      <w:b/>
      <w:bCs/>
      <w:color w:val="000000"/>
      <w:sz w:val="32"/>
      <w:szCs w:val="28"/>
    </w:rPr>
  </w:style>
  <w:style w:type="paragraph" w:customStyle="1" w:styleId="PCoverHead3Italic">
    <w:name w:val="P.Cover Head 3 Italic"/>
    <w:basedOn w:val="PCoverHead3"/>
    <w:uiPriority w:val="99"/>
    <w:rsid w:val="001C3085"/>
    <w:rPr>
      <w:i/>
    </w:rPr>
  </w:style>
  <w:style w:type="paragraph" w:customStyle="1" w:styleId="PCoverLetterDate">
    <w:name w:val="P.Cover Letter Date"/>
    <w:uiPriority w:val="99"/>
    <w:rsid w:val="00045B2F"/>
    <w:pPr>
      <w:spacing w:after="480"/>
    </w:pPr>
    <w:rPr>
      <w:rFonts w:cs="Times"/>
      <w:noProof/>
      <w:sz w:val="24"/>
    </w:rPr>
  </w:style>
  <w:style w:type="paragraph" w:customStyle="1" w:styleId="PCoverLetterText">
    <w:name w:val="P.Cover Letter Text"/>
    <w:uiPriority w:val="99"/>
    <w:rsid w:val="00045B2F"/>
    <w:pPr>
      <w:spacing w:after="240"/>
    </w:pPr>
    <w:rPr>
      <w:rFonts w:cs="Times"/>
      <w:noProof/>
      <w:sz w:val="24"/>
    </w:rPr>
  </w:style>
  <w:style w:type="paragraph" w:customStyle="1" w:styleId="PBullet-2Last">
    <w:name w:val="P.Bullet-2 Last"/>
    <w:basedOn w:val="PBullet-2"/>
    <w:uiPriority w:val="99"/>
    <w:rsid w:val="003A546C"/>
    <w:pPr>
      <w:spacing w:after="240"/>
    </w:pPr>
  </w:style>
  <w:style w:type="paragraph" w:styleId="TOC5">
    <w:name w:val="toc 5"/>
    <w:basedOn w:val="Normal"/>
    <w:next w:val="Normal"/>
    <w:autoRedefine/>
    <w:uiPriority w:val="99"/>
    <w:semiHidden/>
    <w:rsid w:val="0007536E"/>
    <w:pPr>
      <w:ind w:left="880"/>
    </w:pPr>
  </w:style>
  <w:style w:type="paragraph" w:styleId="TOC6">
    <w:name w:val="toc 6"/>
    <w:basedOn w:val="Normal"/>
    <w:next w:val="Normal"/>
    <w:autoRedefine/>
    <w:uiPriority w:val="99"/>
    <w:semiHidden/>
    <w:rsid w:val="0007536E"/>
    <w:pPr>
      <w:ind w:left="1100"/>
    </w:pPr>
  </w:style>
  <w:style w:type="paragraph" w:styleId="TOC7">
    <w:name w:val="toc 7"/>
    <w:basedOn w:val="Normal"/>
    <w:next w:val="Normal"/>
    <w:autoRedefine/>
    <w:uiPriority w:val="99"/>
    <w:semiHidden/>
    <w:rsid w:val="0007536E"/>
    <w:pPr>
      <w:ind w:left="1320"/>
    </w:pPr>
  </w:style>
  <w:style w:type="paragraph" w:styleId="TOC8">
    <w:name w:val="toc 8"/>
    <w:basedOn w:val="Normal"/>
    <w:next w:val="Normal"/>
    <w:autoRedefine/>
    <w:uiPriority w:val="99"/>
    <w:semiHidden/>
    <w:rsid w:val="0007536E"/>
    <w:pPr>
      <w:ind w:left="1540"/>
    </w:pPr>
  </w:style>
  <w:style w:type="paragraph" w:styleId="TOC9">
    <w:name w:val="toc 9"/>
    <w:basedOn w:val="Normal"/>
    <w:next w:val="Normal"/>
    <w:autoRedefine/>
    <w:uiPriority w:val="99"/>
    <w:semiHidden/>
    <w:rsid w:val="0007536E"/>
    <w:pPr>
      <w:ind w:left="1760"/>
    </w:pPr>
  </w:style>
  <w:style w:type="character" w:styleId="Hyperlink">
    <w:name w:val="Hyperlink"/>
    <w:basedOn w:val="DefaultParagraphFont"/>
    <w:uiPriority w:val="99"/>
    <w:rsid w:val="0007536E"/>
    <w:rPr>
      <w:rFonts w:cs="Times New Roman"/>
      <w:color w:val="0000FF"/>
      <w:u w:val="single"/>
    </w:rPr>
  </w:style>
  <w:style w:type="table" w:styleId="TableGrid">
    <w:name w:val="Table Grid"/>
    <w:basedOn w:val="TableNormal"/>
    <w:uiPriority w:val="99"/>
    <w:rsid w:val="0007536E"/>
    <w:rPr>
      <w:rFonts w:ascii="Times" w:hAnsi="Times" w:cs="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Text">
    <w:name w:val="Footer Text"/>
    <w:basedOn w:val="Normal"/>
    <w:uiPriority w:val="99"/>
    <w:rsid w:val="008701F1"/>
    <w:pPr>
      <w:widowControl w:val="0"/>
      <w:pBdr>
        <w:top w:val="single" w:sz="4" w:space="1" w:color="auto"/>
      </w:pBdr>
      <w:tabs>
        <w:tab w:val="left" w:pos="0"/>
        <w:tab w:val="left" w:pos="360"/>
        <w:tab w:val="right" w:pos="1080"/>
        <w:tab w:val="left" w:pos="1800"/>
        <w:tab w:val="left" w:pos="2160"/>
        <w:tab w:val="left" w:pos="2520"/>
        <w:tab w:val="left" w:pos="3240"/>
        <w:tab w:val="left" w:pos="3960"/>
        <w:tab w:val="left" w:pos="4680"/>
        <w:tab w:val="left" w:pos="5400"/>
        <w:tab w:val="left" w:pos="6120"/>
        <w:tab w:val="left" w:pos="6840"/>
        <w:tab w:val="left" w:pos="7560"/>
        <w:tab w:val="left" w:pos="8280"/>
      </w:tabs>
      <w:jc w:val="right"/>
    </w:pPr>
    <w:rPr>
      <w:rFonts w:ascii="Arial" w:hAnsi="Arial" w:cs="Arial"/>
      <w:sz w:val="16"/>
      <w:szCs w:val="16"/>
    </w:rPr>
  </w:style>
  <w:style w:type="paragraph" w:customStyle="1" w:styleId="PTableSource">
    <w:name w:val="P.Table Source"/>
    <w:uiPriority w:val="99"/>
    <w:rsid w:val="00855505"/>
    <w:pPr>
      <w:tabs>
        <w:tab w:val="left" w:pos="-1170"/>
      </w:tabs>
      <w:spacing w:before="60"/>
    </w:pPr>
    <w:rPr>
      <w:rFonts w:ascii="Arial Narrow" w:hAnsi="Arial Narrow" w:cs="Arial"/>
      <w:sz w:val="18"/>
      <w:szCs w:val="16"/>
    </w:rPr>
  </w:style>
  <w:style w:type="paragraph" w:customStyle="1" w:styleId="PTableTextIndent">
    <w:name w:val="P.Table Text Indent"/>
    <w:basedOn w:val="PTableText"/>
    <w:uiPriority w:val="99"/>
    <w:rsid w:val="0034602C"/>
    <w:pPr>
      <w:ind w:left="389" w:right="144" w:hanging="245"/>
    </w:pPr>
  </w:style>
  <w:style w:type="paragraph" w:customStyle="1" w:styleId="PTableHeading3">
    <w:name w:val="P.Table Heading 3"/>
    <w:basedOn w:val="PTableHeading"/>
    <w:uiPriority w:val="99"/>
    <w:rsid w:val="00CA70F1"/>
    <w:rPr>
      <w:color w:val="000000"/>
    </w:rPr>
  </w:style>
  <w:style w:type="paragraph" w:customStyle="1" w:styleId="PAlpha">
    <w:name w:val="P.Alpha"/>
    <w:uiPriority w:val="99"/>
    <w:rsid w:val="00A00329"/>
    <w:pPr>
      <w:numPr>
        <w:numId w:val="24"/>
      </w:numPr>
    </w:pPr>
    <w:rPr>
      <w:rFonts w:cs="Times"/>
      <w:sz w:val="24"/>
      <w:szCs w:val="24"/>
    </w:rPr>
  </w:style>
  <w:style w:type="paragraph" w:customStyle="1" w:styleId="PReference">
    <w:name w:val="P.Reference"/>
    <w:basedOn w:val="Normal"/>
    <w:uiPriority w:val="99"/>
    <w:rsid w:val="001F6530"/>
    <w:pPr>
      <w:keepLines/>
      <w:tabs>
        <w:tab w:val="right" w:pos="9540"/>
      </w:tabs>
      <w:suppressAutoHyphens/>
      <w:spacing w:after="240"/>
      <w:ind w:left="360" w:hanging="360"/>
      <w:outlineLvl w:val="0"/>
    </w:pPr>
    <w:rPr>
      <w:szCs w:val="24"/>
    </w:rPr>
  </w:style>
  <w:style w:type="paragraph" w:customStyle="1" w:styleId="PBulletLast">
    <w:name w:val="P.Bullet Last"/>
    <w:basedOn w:val="PBullet"/>
    <w:uiPriority w:val="99"/>
    <w:rsid w:val="00E03C88"/>
    <w:pPr>
      <w:spacing w:after="240"/>
    </w:pPr>
  </w:style>
  <w:style w:type="paragraph" w:customStyle="1" w:styleId="PAlphaLast">
    <w:name w:val="P.Alpha Last"/>
    <w:basedOn w:val="PAlpha"/>
    <w:uiPriority w:val="99"/>
    <w:rsid w:val="00E03C88"/>
    <w:pPr>
      <w:spacing w:after="240"/>
    </w:pPr>
  </w:style>
  <w:style w:type="paragraph" w:customStyle="1" w:styleId="PNumberingLast">
    <w:name w:val="P.Numbering Last"/>
    <w:basedOn w:val="PNumbering"/>
    <w:uiPriority w:val="99"/>
    <w:rsid w:val="00BD1534"/>
    <w:pPr>
      <w:spacing w:after="240"/>
    </w:pPr>
  </w:style>
  <w:style w:type="paragraph" w:customStyle="1" w:styleId="PExhibitTitle">
    <w:name w:val="P.Exhibit Title"/>
    <w:uiPriority w:val="99"/>
    <w:rsid w:val="00E43F63"/>
    <w:pPr>
      <w:keepNext/>
      <w:keepLines/>
      <w:spacing w:after="120"/>
      <w:jc w:val="center"/>
    </w:pPr>
    <w:rPr>
      <w:rFonts w:ascii="Arial" w:hAnsi="Arial" w:cs="Times"/>
      <w:b/>
      <w:bCs/>
      <w:color w:val="000000"/>
      <w:sz w:val="24"/>
      <w:szCs w:val="24"/>
    </w:rPr>
  </w:style>
  <w:style w:type="paragraph" w:customStyle="1" w:styleId="PCoverLetterSignatureAddress">
    <w:name w:val="P.Cover Letter Signature &amp; Address"/>
    <w:basedOn w:val="Normal"/>
    <w:uiPriority w:val="99"/>
    <w:rsid w:val="00045B2F"/>
    <w:pPr>
      <w:autoSpaceDE w:val="0"/>
      <w:autoSpaceDN w:val="0"/>
      <w:adjustRightInd w:val="0"/>
      <w:spacing w:after="240"/>
      <w:contextualSpacing/>
    </w:pPr>
  </w:style>
  <w:style w:type="paragraph" w:styleId="Revision">
    <w:name w:val="Revision"/>
    <w:hidden/>
    <w:uiPriority w:val="99"/>
    <w:semiHidden/>
    <w:rsid w:val="003035EE"/>
    <w:rPr>
      <w:rFonts w:ascii="Times" w:hAnsi="Times" w:cs="Times"/>
    </w:rPr>
  </w:style>
  <w:style w:type="paragraph" w:customStyle="1" w:styleId="PBullet-2">
    <w:name w:val="P.Bullet-2"/>
    <w:basedOn w:val="PBullet"/>
    <w:uiPriority w:val="99"/>
    <w:rsid w:val="003A546C"/>
    <w:pPr>
      <w:numPr>
        <w:numId w:val="21"/>
      </w:numPr>
      <w:tabs>
        <w:tab w:val="left" w:pos="1080"/>
      </w:tabs>
    </w:pPr>
  </w:style>
  <w:style w:type="paragraph" w:customStyle="1" w:styleId="PAppendixBreakerTitle">
    <w:name w:val="P.Appendix Breaker Title"/>
    <w:uiPriority w:val="99"/>
    <w:rsid w:val="008701F1"/>
    <w:pPr>
      <w:jc w:val="right"/>
    </w:pPr>
    <w:rPr>
      <w:rFonts w:ascii="Arial" w:hAnsi="Arial" w:cs="Arial"/>
      <w:b/>
      <w:bCs/>
      <w:color w:val="000000"/>
      <w:kern w:val="28"/>
      <w:sz w:val="72"/>
      <w:szCs w:val="72"/>
    </w:rPr>
  </w:style>
  <w:style w:type="table" w:customStyle="1" w:styleId="AIRTable">
    <w:name w:val="AIR Table"/>
    <w:uiPriority w:val="99"/>
    <w:rsid w:val="00CF27AA"/>
    <w:rPr>
      <w:rFonts w:ascii="Arial" w:hAnsi="Arial"/>
      <w:sz w:val="20"/>
      <w:szCs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spacing w:beforeLines="0" w:beforeAutospacing="0" w:afterLines="0" w:afterAutospacing="0"/>
        <w:ind w:leftChars="0" w:left="0" w:rightChars="0" w:right="0" w:firstLineChars="0" w:firstLine="0"/>
        <w:jc w:val="center"/>
      </w:pPr>
      <w:rPr>
        <w:rFonts w:ascii="Arial" w:hAnsi="Arial" w:cs="Times New Roman"/>
        <w:color w:val="FFFFFF"/>
        <w:sz w:val="20"/>
      </w:rPr>
      <w:tblPr/>
      <w:tcPr>
        <w:tcBorders>
          <w:top w:val="nil"/>
          <w:left w:val="nil"/>
          <w:bottom w:val="nil"/>
          <w:right w:val="nil"/>
          <w:insideH w:val="nil"/>
          <w:insideV w:val="single" w:sz="4" w:space="0" w:color="FFFFFF"/>
          <w:tl2br w:val="nil"/>
          <w:tr2bl w:val="nil"/>
        </w:tcBorders>
        <w:shd w:val="clear" w:color="auto" w:fill="005295"/>
      </w:tcPr>
    </w:tblStylePr>
  </w:style>
  <w:style w:type="paragraph" w:customStyle="1" w:styleId="Footer2">
    <w:name w:val="Footer2"/>
    <w:basedOn w:val="Footer"/>
    <w:uiPriority w:val="99"/>
    <w:rsid w:val="008701F1"/>
    <w:pPr>
      <w:tabs>
        <w:tab w:val="clear" w:pos="8640"/>
        <w:tab w:val="left" w:pos="5040"/>
        <w:tab w:val="right" w:pos="10224"/>
      </w:tabs>
    </w:pPr>
    <w:rPr>
      <w:rFonts w:ascii="Arial Bold" w:hAnsi="Arial Bold"/>
      <w:b/>
      <w:sz w:val="10"/>
      <w:szCs w:val="10"/>
    </w:rPr>
  </w:style>
  <w:style w:type="paragraph" w:customStyle="1" w:styleId="PFooterCoverLetter">
    <w:name w:val="P.Footer Cover Letter"/>
    <w:basedOn w:val="Footer"/>
    <w:uiPriority w:val="99"/>
    <w:rsid w:val="00B21B12"/>
    <w:pPr>
      <w:widowControl w:val="0"/>
      <w:tabs>
        <w:tab w:val="clear" w:pos="4680"/>
        <w:tab w:val="center" w:pos="4320"/>
      </w:tabs>
      <w:ind w:left="-576" w:right="-576"/>
    </w:pPr>
    <w:rPr>
      <w:rFonts w:ascii="Palatino" w:hAnsi="Palatino" w:cs="Times New Roman"/>
      <w:sz w:val="16"/>
      <w:szCs w:val="16"/>
    </w:rPr>
  </w:style>
  <w:style w:type="paragraph" w:customStyle="1" w:styleId="PTableHeading2">
    <w:name w:val="P.Table Heading 2"/>
    <w:basedOn w:val="PTableHeading"/>
    <w:uiPriority w:val="99"/>
    <w:rsid w:val="002C371E"/>
    <w:pPr>
      <w:jc w:val="left"/>
    </w:pPr>
    <w:rPr>
      <w:color w:val="000000"/>
    </w:rPr>
  </w:style>
  <w:style w:type="character" w:styleId="CommentReference">
    <w:name w:val="annotation reference"/>
    <w:basedOn w:val="DefaultParagraphFont"/>
    <w:uiPriority w:val="99"/>
    <w:locked/>
    <w:rsid w:val="008B4311"/>
    <w:rPr>
      <w:rFonts w:cs="Times New Roman"/>
      <w:sz w:val="16"/>
      <w:szCs w:val="16"/>
    </w:rPr>
  </w:style>
  <w:style w:type="paragraph" w:styleId="CommentText">
    <w:name w:val="annotation text"/>
    <w:basedOn w:val="Normal"/>
    <w:link w:val="CommentTextChar"/>
    <w:uiPriority w:val="99"/>
    <w:locked/>
    <w:rsid w:val="008B4311"/>
    <w:rPr>
      <w:sz w:val="20"/>
      <w:szCs w:val="20"/>
    </w:rPr>
  </w:style>
  <w:style w:type="character" w:customStyle="1" w:styleId="CommentTextChar">
    <w:name w:val="Comment Text Char"/>
    <w:basedOn w:val="DefaultParagraphFont"/>
    <w:link w:val="CommentText"/>
    <w:uiPriority w:val="99"/>
    <w:locked/>
    <w:rsid w:val="008B4311"/>
    <w:rPr>
      <w:rFonts w:cs="Times"/>
      <w:sz w:val="20"/>
      <w:szCs w:val="20"/>
    </w:rPr>
  </w:style>
  <w:style w:type="paragraph" w:styleId="CommentSubject">
    <w:name w:val="annotation subject"/>
    <w:basedOn w:val="CommentText"/>
    <w:next w:val="CommentText"/>
    <w:link w:val="CommentSubjectChar"/>
    <w:uiPriority w:val="99"/>
    <w:locked/>
    <w:rsid w:val="008B4311"/>
    <w:rPr>
      <w:b/>
      <w:bCs/>
    </w:rPr>
  </w:style>
  <w:style w:type="character" w:customStyle="1" w:styleId="CommentSubjectChar">
    <w:name w:val="Comment Subject Char"/>
    <w:basedOn w:val="CommentTextChar"/>
    <w:link w:val="CommentSubject"/>
    <w:uiPriority w:val="99"/>
    <w:locked/>
    <w:rsid w:val="008B4311"/>
    <w:rPr>
      <w:b/>
      <w:bCs/>
    </w:rPr>
  </w:style>
  <w:style w:type="paragraph" w:styleId="BalloonText">
    <w:name w:val="Balloon Text"/>
    <w:basedOn w:val="Normal"/>
    <w:link w:val="BalloonTextChar"/>
    <w:uiPriority w:val="99"/>
    <w:locked/>
    <w:rsid w:val="008B4311"/>
    <w:rPr>
      <w:rFonts w:ascii="Tahoma" w:hAnsi="Tahoma" w:cs="Tahoma"/>
      <w:sz w:val="16"/>
      <w:szCs w:val="16"/>
    </w:rPr>
  </w:style>
  <w:style w:type="character" w:customStyle="1" w:styleId="BalloonTextChar">
    <w:name w:val="Balloon Text Char"/>
    <w:basedOn w:val="DefaultParagraphFont"/>
    <w:link w:val="BalloonText"/>
    <w:uiPriority w:val="99"/>
    <w:locked/>
    <w:rsid w:val="008B4311"/>
    <w:rPr>
      <w:rFonts w:ascii="Tahoma" w:hAnsi="Tahoma" w:cs="Tahoma"/>
      <w:sz w:val="16"/>
      <w:szCs w:val="16"/>
    </w:rPr>
  </w:style>
  <w:style w:type="paragraph" w:styleId="TableofFigures">
    <w:name w:val="table of figures"/>
    <w:basedOn w:val="Normal"/>
    <w:next w:val="Normal"/>
    <w:uiPriority w:val="99"/>
    <w:rsid w:val="00625543"/>
  </w:style>
  <w:style w:type="paragraph" w:customStyle="1" w:styleId="AIRBullet1">
    <w:name w:val="AIR_Bullet 1"/>
    <w:basedOn w:val="Normal"/>
    <w:uiPriority w:val="99"/>
    <w:rsid w:val="00767F7F"/>
    <w:pPr>
      <w:numPr>
        <w:numId w:val="41"/>
      </w:numPr>
      <w:tabs>
        <w:tab w:val="left" w:pos="360"/>
      </w:tabs>
      <w:spacing w:after="120"/>
      <w:ind w:left="360"/>
    </w:pPr>
    <w:rPr>
      <w:rFonts w:cs="Tahoma"/>
    </w:rPr>
  </w:style>
  <w:style w:type="paragraph" w:styleId="Quote">
    <w:name w:val="Quote"/>
    <w:basedOn w:val="Normal"/>
    <w:next w:val="Normal"/>
    <w:link w:val="QuoteChar"/>
    <w:uiPriority w:val="99"/>
    <w:qFormat/>
    <w:rsid w:val="00767F7F"/>
    <w:pPr>
      <w:spacing w:after="200" w:line="276" w:lineRule="auto"/>
    </w:pPr>
    <w:rPr>
      <w:rFonts w:ascii="Georgia" w:hAnsi="Georgia" w:cs="Georgia"/>
      <w:i/>
      <w:iCs/>
      <w:color w:val="000000"/>
      <w:sz w:val="20"/>
      <w:szCs w:val="20"/>
      <w:lang w:eastAsia="ja-JP"/>
    </w:rPr>
  </w:style>
  <w:style w:type="character" w:customStyle="1" w:styleId="QuoteChar">
    <w:name w:val="Quote Char"/>
    <w:basedOn w:val="DefaultParagraphFont"/>
    <w:link w:val="Quote"/>
    <w:uiPriority w:val="99"/>
    <w:locked/>
    <w:rsid w:val="00767F7F"/>
    <w:rPr>
      <w:rFonts w:ascii="Georgia" w:eastAsia="Times New Roman" w:hAnsi="Georgia" w:cs="Georgia"/>
      <w:i/>
      <w:iCs/>
      <w:color w:val="000000"/>
      <w:sz w:val="20"/>
      <w:szCs w:val="20"/>
      <w:lang w:eastAsia="ja-JP"/>
    </w:rPr>
  </w:style>
  <w:style w:type="paragraph" w:styleId="NoSpacing">
    <w:name w:val="No Spacing"/>
    <w:uiPriority w:val="99"/>
    <w:qFormat/>
    <w:rsid w:val="005D5E60"/>
    <w:rPr>
      <w:rFonts w:ascii="Calibri" w:hAnsi="Calibri"/>
    </w:rPr>
  </w:style>
  <w:style w:type="paragraph" w:styleId="BodyText">
    <w:name w:val="Body Text"/>
    <w:basedOn w:val="Normal"/>
    <w:link w:val="BodyTextChar"/>
    <w:uiPriority w:val="99"/>
    <w:locked/>
    <w:rsid w:val="00745162"/>
    <w:pPr>
      <w:spacing w:after="240"/>
    </w:pPr>
    <w:rPr>
      <w:rFonts w:ascii="Calibri" w:hAnsi="Calibri" w:cs="Times New Roman"/>
      <w:sz w:val="23"/>
      <w:szCs w:val="24"/>
    </w:rPr>
  </w:style>
  <w:style w:type="character" w:customStyle="1" w:styleId="BodyTextChar">
    <w:name w:val="Body Text Char"/>
    <w:basedOn w:val="DefaultParagraphFont"/>
    <w:link w:val="BodyText"/>
    <w:uiPriority w:val="99"/>
    <w:locked/>
    <w:rsid w:val="00745162"/>
    <w:rPr>
      <w:rFonts w:ascii="Calibri" w:hAnsi="Calibri" w:cs="Times New Roman"/>
      <w:sz w:val="24"/>
      <w:szCs w:val="24"/>
      <w:lang w:val="en-US" w:eastAsia="en-US" w:bidi="ar-SA"/>
    </w:rPr>
  </w:style>
  <w:style w:type="paragraph" w:customStyle="1" w:styleId="Text">
    <w:name w:val="Text"/>
    <w:basedOn w:val="Normal"/>
    <w:uiPriority w:val="99"/>
    <w:rsid w:val="00ED0631"/>
    <w:pPr>
      <w:spacing w:after="240"/>
      <w:ind w:firstLine="547"/>
    </w:pPr>
    <w:rPr>
      <w:rFonts w:ascii="Book Antiqua" w:hAnsi="Book Antiqua" w:cs="Times New Roman"/>
      <w:sz w:val="22"/>
      <w:szCs w:val="20"/>
    </w:rPr>
  </w:style>
  <w:style w:type="paragraph" w:styleId="NormalWeb">
    <w:name w:val="Normal (Web)"/>
    <w:basedOn w:val="Normal"/>
    <w:uiPriority w:val="99"/>
    <w:locked/>
    <w:rsid w:val="008B0C51"/>
    <w:pPr>
      <w:spacing w:before="100" w:beforeAutospacing="1" w:after="100" w:afterAutospacing="1"/>
    </w:pPr>
    <w:rPr>
      <w:rFonts w:cs="Times New Roman"/>
      <w:szCs w:val="24"/>
    </w:rPr>
  </w:style>
  <w:style w:type="paragraph" w:customStyle="1" w:styleId="AIRBullet1-Last">
    <w:name w:val="AIR_Bullet 1-Last"/>
    <w:basedOn w:val="AIRBullet1"/>
    <w:uiPriority w:val="99"/>
    <w:rsid w:val="0009086A"/>
    <w:pPr>
      <w:numPr>
        <w:numId w:val="0"/>
      </w:numPr>
      <w:spacing w:after="240"/>
      <w:ind w:left="720" w:hanging="360"/>
    </w:pPr>
  </w:style>
  <w:style w:type="paragraph" w:customStyle="1" w:styleId="pbodytext0">
    <w:name w:val="pbodytext"/>
    <w:basedOn w:val="Normal"/>
    <w:uiPriority w:val="99"/>
    <w:rsid w:val="008E0781"/>
    <w:pPr>
      <w:spacing w:after="240"/>
    </w:pPr>
    <w:rPr>
      <w:rFonts w:cs="Times New Roman"/>
      <w:szCs w:val="24"/>
    </w:rPr>
  </w:style>
</w:styles>
</file>

<file path=word/webSettings.xml><?xml version="1.0" encoding="utf-8"?>
<w:webSettings xmlns:r="http://schemas.openxmlformats.org/officeDocument/2006/relationships" xmlns:w="http://schemas.openxmlformats.org/wordprocessingml/2006/main">
  <w:divs>
    <w:div w:id="1316564478">
      <w:marLeft w:val="0"/>
      <w:marRight w:val="0"/>
      <w:marTop w:val="0"/>
      <w:marBottom w:val="0"/>
      <w:divBdr>
        <w:top w:val="none" w:sz="0" w:space="0" w:color="auto"/>
        <w:left w:val="none" w:sz="0" w:space="0" w:color="auto"/>
        <w:bottom w:val="none" w:sz="0" w:space="0" w:color="auto"/>
        <w:right w:val="none" w:sz="0" w:space="0" w:color="auto"/>
      </w:divBdr>
    </w:div>
    <w:div w:id="1316564479">
      <w:marLeft w:val="0"/>
      <w:marRight w:val="0"/>
      <w:marTop w:val="0"/>
      <w:marBottom w:val="0"/>
      <w:divBdr>
        <w:top w:val="none" w:sz="0" w:space="0" w:color="auto"/>
        <w:left w:val="none" w:sz="0" w:space="0" w:color="auto"/>
        <w:bottom w:val="none" w:sz="0" w:space="0" w:color="auto"/>
        <w:right w:val="none" w:sz="0" w:space="0" w:color="auto"/>
      </w:divBdr>
    </w:div>
    <w:div w:id="1316564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d.gov/about/inits/ed/edfacts/index.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air.org/focus-area/education/index.cfm?fa=viewContent&amp;content_id=860"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7490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Improvement Status and Outcomes for Students with Disabilities Study</dc:title>
  <dc:subject/>
  <dc:creator/>
  <cp:keywords/>
  <dc:description/>
  <cp:lastModifiedBy/>
  <cp:revision>2</cp:revision>
  <dcterms:created xsi:type="dcterms:W3CDTF">2011-03-16T14:46:00Z</dcterms:created>
  <dcterms:modified xsi:type="dcterms:W3CDTF">2011-03-16T14:46:00Z</dcterms:modified>
</cp:coreProperties>
</file>