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A9" w:rsidRPr="00CF7163" w:rsidRDefault="00D813A9" w:rsidP="00A84198">
      <w:pPr>
        <w:pStyle w:val="C2-CtrSglSp"/>
        <w:rPr>
          <w:sz w:val="36"/>
        </w:rPr>
      </w:pPr>
      <w:r w:rsidRPr="00CF7163">
        <w:rPr>
          <w:sz w:val="36"/>
        </w:rPr>
        <w:t>Appendix A</w:t>
      </w:r>
    </w:p>
    <w:p w:rsidR="00D813A9" w:rsidRPr="00CF7163" w:rsidRDefault="00D813A9" w:rsidP="00A84198">
      <w:pPr>
        <w:pStyle w:val="C2-CtrSglSp"/>
        <w:rPr>
          <w:sz w:val="36"/>
        </w:rPr>
      </w:pPr>
    </w:p>
    <w:p w:rsidR="00D813A9" w:rsidRPr="00CF7163" w:rsidRDefault="00D813A9" w:rsidP="00A84198">
      <w:pPr>
        <w:pStyle w:val="C2-CtrSglSp"/>
        <w:rPr>
          <w:sz w:val="36"/>
        </w:rPr>
      </w:pPr>
      <w:r w:rsidRPr="00CF7163">
        <w:rPr>
          <w:sz w:val="36"/>
        </w:rPr>
        <w:t>Findings from the NHES:2009 Pilot Study</w:t>
      </w:r>
    </w:p>
    <w:p w:rsidR="00D813A9" w:rsidRDefault="00D813A9" w:rsidP="00D626E0">
      <w:pPr>
        <w:jc w:val="center"/>
        <w:rPr>
          <w:sz w:val="36"/>
          <w:szCs w:val="36"/>
        </w:rPr>
        <w:sectPr w:rsidR="00D813A9" w:rsidSect="00A841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728" w:right="1440" w:bottom="1728" w:left="1440" w:header="720" w:footer="576" w:gutter="0"/>
          <w:pgBorders w:display="firstPage">
            <w:top w:val="single" w:sz="48" w:space="1" w:color="324162"/>
            <w:left w:val="single" w:sz="48" w:space="4" w:color="324162"/>
            <w:bottom w:val="single" w:sz="48" w:space="1" w:color="324162"/>
            <w:right w:val="single" w:sz="48" w:space="4" w:color="324162"/>
          </w:pgBorders>
          <w:cols w:space="720"/>
          <w:vAlign w:val="center"/>
          <w:titlePg/>
          <w:docGrid w:linePitch="233"/>
        </w:sectPr>
      </w:pPr>
    </w:p>
    <w:p w:rsidR="00D813A9" w:rsidRPr="00CF7163" w:rsidRDefault="00D813A9" w:rsidP="00B8569E">
      <w:pPr>
        <w:pStyle w:val="C1-CtrBoldHd"/>
      </w:pPr>
      <w:r w:rsidRPr="00CF7163">
        <w:t>Appendix A</w:t>
      </w:r>
      <w:r>
        <w:br/>
      </w:r>
      <w:r>
        <w:br/>
      </w:r>
      <w:r w:rsidRPr="00CF7163">
        <w:t>Findings from the NHES:2009 Pilot Study</w:t>
      </w:r>
    </w:p>
    <w:p w:rsidR="00D813A9" w:rsidRDefault="00D813A9" w:rsidP="00CF7163">
      <w:pPr>
        <w:pStyle w:val="SL-FlLftSgl"/>
      </w:pPr>
      <w:r w:rsidRPr="00C617DC">
        <w:t>Findings from the NHES Pilot Study were presented at the 65</w:t>
      </w:r>
      <w:r w:rsidRPr="00D55258">
        <w:t>th</w:t>
      </w:r>
      <w:r w:rsidRPr="00C617DC">
        <w:t xml:space="preserve"> Annual Conference of the American Association for Public Opinion Research (AAPOR), held May 12-16, 2010.  Copies of these presentations (in PDF format) are attached, including:</w:t>
      </w:r>
    </w:p>
    <w:p w:rsidR="00D813A9" w:rsidRPr="00C617DC" w:rsidRDefault="00D813A9" w:rsidP="00CF7163">
      <w:pPr>
        <w:pStyle w:val="SL-FlLftSgl"/>
      </w:pPr>
    </w:p>
    <w:p w:rsidR="00D813A9" w:rsidRPr="00A95E81" w:rsidRDefault="00D813A9" w:rsidP="00A95E81">
      <w:pPr>
        <w:pStyle w:val="N2-2ndBullet"/>
        <w:tabs>
          <w:tab w:val="clear" w:pos="1728"/>
          <w:tab w:val="left" w:pos="1026"/>
        </w:tabs>
        <w:ind w:left="1026"/>
        <w:rPr>
          <w:color w:val="808080"/>
        </w:rPr>
      </w:pPr>
      <w:r w:rsidRPr="00C617DC">
        <w:rPr>
          <w:i/>
        </w:rPr>
        <w:t>Maximizing Response in a Two-Phase Survey with Mail as the Primary Mode</w:t>
      </w:r>
      <w:r w:rsidRPr="00C617DC">
        <w:t>, by Jill M. Montaquila, J. Michael Brick, Mary C. Hagedorn, Douglas Williams</w:t>
      </w:r>
      <w:r>
        <w:t xml:space="preserve"> </w:t>
      </w:r>
      <w:r w:rsidRPr="00A95E81">
        <w:rPr>
          <w:color w:val="808080"/>
        </w:rPr>
        <w:t>(</w:t>
      </w:r>
      <w:r w:rsidRPr="00352A35">
        <w:rPr>
          <w:i/>
          <w:color w:val="808080"/>
        </w:rPr>
        <w:t xml:space="preserve">Appendix A NHES 2011-2012 Field Test </w:t>
      </w:r>
      <w:r w:rsidRPr="00A95E81">
        <w:rPr>
          <w:i/>
          <w:color w:val="808080"/>
        </w:rPr>
        <w:t>1 AAPOR2010.pdf</w:t>
      </w:r>
      <w:r w:rsidRPr="00A95E81">
        <w:rPr>
          <w:color w:val="808080"/>
        </w:rPr>
        <w:t>)</w:t>
      </w:r>
    </w:p>
    <w:p w:rsidR="00D813A9" w:rsidRPr="00A95E81" w:rsidRDefault="00D813A9" w:rsidP="00A95E81">
      <w:pPr>
        <w:pStyle w:val="N2-2ndBullet"/>
        <w:tabs>
          <w:tab w:val="clear" w:pos="1728"/>
          <w:tab w:val="left" w:pos="1026"/>
        </w:tabs>
        <w:ind w:left="1026"/>
        <w:rPr>
          <w:color w:val="808080"/>
        </w:rPr>
      </w:pPr>
      <w:r w:rsidRPr="00C617DC">
        <w:rPr>
          <w:i/>
        </w:rPr>
        <w:t>Screening for Specific Population Groups in Mail Surveys</w:t>
      </w:r>
      <w:r w:rsidRPr="00C617DC">
        <w:t>, by Douglas Williams, Jill M. Montaquila, J. Michael Brick, and Mary C. Hagedorn</w:t>
      </w:r>
      <w:r>
        <w:t xml:space="preserve"> </w:t>
      </w:r>
      <w:r w:rsidRPr="00A95E81">
        <w:rPr>
          <w:color w:val="808080"/>
        </w:rPr>
        <w:t>(</w:t>
      </w:r>
      <w:r w:rsidRPr="00352A35">
        <w:rPr>
          <w:i/>
          <w:color w:val="808080"/>
        </w:rPr>
        <w:t xml:space="preserve">Appendix A NHES 2011-2012 Field Test </w:t>
      </w:r>
      <w:r w:rsidRPr="00A95E81">
        <w:rPr>
          <w:i/>
          <w:color w:val="808080"/>
        </w:rPr>
        <w:t>2 AAPOR2010.pdf</w:t>
      </w:r>
      <w:r w:rsidRPr="00A95E81">
        <w:rPr>
          <w:color w:val="808080"/>
        </w:rPr>
        <w:t>)</w:t>
      </w:r>
    </w:p>
    <w:p w:rsidR="00D813A9" w:rsidRPr="00A95E81" w:rsidRDefault="00D813A9" w:rsidP="00A95E81">
      <w:pPr>
        <w:pStyle w:val="N2-2ndBullet"/>
        <w:tabs>
          <w:tab w:val="clear" w:pos="1728"/>
          <w:tab w:val="left" w:pos="1026"/>
        </w:tabs>
        <w:ind w:left="1026"/>
        <w:rPr>
          <w:color w:val="808080"/>
        </w:rPr>
      </w:pPr>
      <w:r w:rsidRPr="00C617DC">
        <w:rPr>
          <w:i/>
        </w:rPr>
        <w:t>The Effectiveness of Incentives Used in the Second Phase of a Two-phase Survey</w:t>
      </w:r>
      <w:r w:rsidRPr="00C617DC">
        <w:t xml:space="preserve">, by </w:t>
      </w:r>
      <w:r w:rsidRPr="00C617DC">
        <w:rPr>
          <w:bCs/>
        </w:rPr>
        <w:t>Charlotte Tubman and Douglas Williams</w:t>
      </w:r>
      <w:r>
        <w:rPr>
          <w:bCs/>
        </w:rPr>
        <w:t xml:space="preserve"> </w:t>
      </w:r>
      <w:r w:rsidRPr="00A95E81">
        <w:rPr>
          <w:bCs/>
          <w:color w:val="808080"/>
        </w:rPr>
        <w:t>(</w:t>
      </w:r>
      <w:r w:rsidRPr="00352A35">
        <w:rPr>
          <w:i/>
          <w:color w:val="808080"/>
        </w:rPr>
        <w:t xml:space="preserve">Appendix A NHES 2011-2012 Field Test </w:t>
      </w:r>
      <w:r w:rsidRPr="00A95E81">
        <w:rPr>
          <w:bCs/>
          <w:i/>
          <w:color w:val="808080"/>
        </w:rPr>
        <w:t>3 AAPOR2010.pdf</w:t>
      </w:r>
      <w:r w:rsidRPr="00A95E81">
        <w:rPr>
          <w:bCs/>
          <w:color w:val="808080"/>
        </w:rPr>
        <w:t>)</w:t>
      </w:r>
    </w:p>
    <w:p w:rsidR="00D813A9" w:rsidRPr="00A95E81" w:rsidRDefault="00D813A9" w:rsidP="00A95E81">
      <w:pPr>
        <w:pStyle w:val="N2-2ndBullet"/>
        <w:tabs>
          <w:tab w:val="clear" w:pos="1728"/>
          <w:tab w:val="left" w:pos="1026"/>
        </w:tabs>
        <w:ind w:left="1026"/>
        <w:rPr>
          <w:color w:val="808080"/>
        </w:rPr>
      </w:pPr>
      <w:r w:rsidRPr="00C617DC">
        <w:rPr>
          <w:bCs/>
          <w:i/>
          <w:color w:val="000000"/>
          <w:szCs w:val="22"/>
        </w:rPr>
        <w:t>Impact of Offering a Bilingual Option in a Mail Survey of Linguistically Isolated Areas: Results from the 2009 National Household Education Survey Pilot</w:t>
      </w:r>
      <w:r w:rsidRPr="00C617DC">
        <w:rPr>
          <w:bCs/>
          <w:color w:val="000000"/>
          <w:szCs w:val="22"/>
        </w:rPr>
        <w:t>, by</w:t>
      </w:r>
      <w:r w:rsidRPr="00C617DC">
        <w:rPr>
          <w:b/>
          <w:bCs/>
          <w:color w:val="000000"/>
          <w:szCs w:val="22"/>
        </w:rPr>
        <w:t xml:space="preserve"> </w:t>
      </w:r>
      <w:r w:rsidRPr="00C617DC">
        <w:rPr>
          <w:szCs w:val="22"/>
        </w:rPr>
        <w:t>Andrew Zukerberg and Daifeng Han</w:t>
      </w:r>
      <w:r>
        <w:rPr>
          <w:szCs w:val="22"/>
        </w:rPr>
        <w:t xml:space="preserve"> </w:t>
      </w:r>
      <w:r w:rsidRPr="00A95E81">
        <w:rPr>
          <w:color w:val="808080"/>
          <w:szCs w:val="22"/>
        </w:rPr>
        <w:t>(</w:t>
      </w:r>
      <w:r w:rsidRPr="00352A35">
        <w:rPr>
          <w:i/>
          <w:color w:val="808080"/>
        </w:rPr>
        <w:t xml:space="preserve">Appendix A NHES 2011-2012 Field Test </w:t>
      </w:r>
      <w:r w:rsidRPr="00A95E81">
        <w:rPr>
          <w:i/>
          <w:color w:val="808080"/>
          <w:szCs w:val="22"/>
        </w:rPr>
        <w:t>4 AAPOR2010.pdf</w:t>
      </w:r>
      <w:r w:rsidRPr="00A95E81">
        <w:rPr>
          <w:color w:val="808080"/>
          <w:szCs w:val="22"/>
        </w:rPr>
        <w:t>)</w:t>
      </w:r>
    </w:p>
    <w:sectPr w:rsidR="00D813A9" w:rsidRPr="00A95E81" w:rsidSect="00CF7163">
      <w:footerReference w:type="default" r:id="rId13"/>
      <w:headerReference w:type="first" r:id="rId14"/>
      <w:pgSz w:w="12240" w:h="15840" w:code="1"/>
      <w:pgMar w:top="1728" w:right="1440" w:bottom="1728" w:left="1440" w:header="720" w:footer="576" w:gutter="0"/>
      <w:cols w:space="720"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A9" w:rsidRDefault="00D813A9" w:rsidP="00590CBF">
      <w:pPr>
        <w:spacing w:line="240" w:lineRule="auto"/>
      </w:pPr>
      <w:r>
        <w:separator/>
      </w:r>
    </w:p>
  </w:endnote>
  <w:endnote w:type="continuationSeparator" w:id="0">
    <w:p w:rsidR="00D813A9" w:rsidRDefault="00D813A9" w:rsidP="00590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Default="00D813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Default="00D813A9" w:rsidP="00B03A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Default="00D813A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Pr="00CF7163" w:rsidRDefault="00D813A9" w:rsidP="00CF7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A9" w:rsidRDefault="00D813A9" w:rsidP="00590CBF">
      <w:pPr>
        <w:spacing w:line="240" w:lineRule="auto"/>
      </w:pPr>
      <w:r>
        <w:separator/>
      </w:r>
    </w:p>
  </w:footnote>
  <w:footnote w:type="continuationSeparator" w:id="0">
    <w:p w:rsidR="00D813A9" w:rsidRDefault="00D813A9" w:rsidP="00590C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Default="00D813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Default="00D813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Pr="00FA7BC2" w:rsidRDefault="00D813A9" w:rsidP="00FA7BC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A9" w:rsidRPr="00CF7163" w:rsidRDefault="00D813A9" w:rsidP="00CF71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83B257F"/>
    <w:multiLevelType w:val="hybridMultilevel"/>
    <w:tmpl w:val="5F362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stylePaneFormatFilter w:val="3F01"/>
  <w:defaultTabStop w:val="720"/>
  <w:drawingGridHorizontalSpacing w:val="1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63"/>
    <w:rsid w:val="00000906"/>
    <w:rsid w:val="0018666F"/>
    <w:rsid w:val="001B52F5"/>
    <w:rsid w:val="001C2000"/>
    <w:rsid w:val="001D2442"/>
    <w:rsid w:val="00203903"/>
    <w:rsid w:val="0021294A"/>
    <w:rsid w:val="00283849"/>
    <w:rsid w:val="002B6BC7"/>
    <w:rsid w:val="002C5CC6"/>
    <w:rsid w:val="002F385B"/>
    <w:rsid w:val="00352A35"/>
    <w:rsid w:val="003D6D99"/>
    <w:rsid w:val="00413904"/>
    <w:rsid w:val="00417D80"/>
    <w:rsid w:val="00564C31"/>
    <w:rsid w:val="00590CBF"/>
    <w:rsid w:val="005925B5"/>
    <w:rsid w:val="005963C0"/>
    <w:rsid w:val="005A5F2C"/>
    <w:rsid w:val="00621BB0"/>
    <w:rsid w:val="00625E68"/>
    <w:rsid w:val="006A618E"/>
    <w:rsid w:val="006F4E2B"/>
    <w:rsid w:val="00706F49"/>
    <w:rsid w:val="00725885"/>
    <w:rsid w:val="007671E4"/>
    <w:rsid w:val="00770A2B"/>
    <w:rsid w:val="007B55D1"/>
    <w:rsid w:val="007C6C90"/>
    <w:rsid w:val="00801675"/>
    <w:rsid w:val="0081080D"/>
    <w:rsid w:val="008612B2"/>
    <w:rsid w:val="00861692"/>
    <w:rsid w:val="008C738F"/>
    <w:rsid w:val="008E500A"/>
    <w:rsid w:val="008F2E1F"/>
    <w:rsid w:val="0090663C"/>
    <w:rsid w:val="00911112"/>
    <w:rsid w:val="009218BE"/>
    <w:rsid w:val="00985443"/>
    <w:rsid w:val="00993CA8"/>
    <w:rsid w:val="009B68A7"/>
    <w:rsid w:val="009D182E"/>
    <w:rsid w:val="009E4A95"/>
    <w:rsid w:val="00A33723"/>
    <w:rsid w:val="00A84198"/>
    <w:rsid w:val="00A85AB6"/>
    <w:rsid w:val="00A95228"/>
    <w:rsid w:val="00A95E81"/>
    <w:rsid w:val="00AC1A34"/>
    <w:rsid w:val="00AD1ACB"/>
    <w:rsid w:val="00AE0397"/>
    <w:rsid w:val="00AF4AF0"/>
    <w:rsid w:val="00B03AEB"/>
    <w:rsid w:val="00B063F9"/>
    <w:rsid w:val="00B06DEE"/>
    <w:rsid w:val="00B22745"/>
    <w:rsid w:val="00B57AAA"/>
    <w:rsid w:val="00B8569E"/>
    <w:rsid w:val="00B95A5F"/>
    <w:rsid w:val="00BC56CE"/>
    <w:rsid w:val="00BE5F30"/>
    <w:rsid w:val="00C01FF6"/>
    <w:rsid w:val="00C44A15"/>
    <w:rsid w:val="00C617DC"/>
    <w:rsid w:val="00C94899"/>
    <w:rsid w:val="00CA3F2F"/>
    <w:rsid w:val="00CB1928"/>
    <w:rsid w:val="00CB7B95"/>
    <w:rsid w:val="00CC0530"/>
    <w:rsid w:val="00CF7163"/>
    <w:rsid w:val="00CF78FA"/>
    <w:rsid w:val="00D24F00"/>
    <w:rsid w:val="00D55258"/>
    <w:rsid w:val="00D626E0"/>
    <w:rsid w:val="00D813A9"/>
    <w:rsid w:val="00D966F4"/>
    <w:rsid w:val="00E8277D"/>
    <w:rsid w:val="00EE16D8"/>
    <w:rsid w:val="00EF0A1C"/>
    <w:rsid w:val="00F373B1"/>
    <w:rsid w:val="00F6423F"/>
    <w:rsid w:val="00F65864"/>
    <w:rsid w:val="00F75F46"/>
    <w:rsid w:val="00F7793E"/>
    <w:rsid w:val="00F878D9"/>
    <w:rsid w:val="00FA21EE"/>
    <w:rsid w:val="00FA7BC2"/>
    <w:rsid w:val="00FB361A"/>
    <w:rsid w:val="00FD74C3"/>
    <w:rsid w:val="00FF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99"/>
    <w:pPr>
      <w:spacing w:line="240" w:lineRule="atLeast"/>
      <w:jc w:val="both"/>
    </w:pPr>
    <w:rPr>
      <w:szCs w:val="20"/>
    </w:rPr>
  </w:style>
  <w:style w:type="paragraph" w:styleId="Heading1">
    <w:name w:val="heading 1"/>
    <w:aliases w:val="H1-Sec.Head"/>
    <w:basedOn w:val="Normal"/>
    <w:next w:val="P1-StandPara"/>
    <w:link w:val="Heading1Char"/>
    <w:uiPriority w:val="99"/>
    <w:qFormat/>
    <w:rsid w:val="003D6D9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link w:val="Heading2Char"/>
    <w:uiPriority w:val="99"/>
    <w:qFormat/>
    <w:rsid w:val="003D6D99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link w:val="Heading3Char"/>
    <w:uiPriority w:val="99"/>
    <w:qFormat/>
    <w:rsid w:val="003D6D99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link w:val="Heading4Char"/>
    <w:uiPriority w:val="99"/>
    <w:qFormat/>
    <w:rsid w:val="003D6D99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6D9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D6D9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6D9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8016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semiHidden/>
    <w:locked/>
    <w:rsid w:val="008016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semiHidden/>
    <w:locked/>
    <w:rsid w:val="0080167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semiHidden/>
    <w:locked/>
    <w:rsid w:val="0080167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016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0167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01675"/>
    <w:rPr>
      <w:rFonts w:ascii="Calibri" w:hAnsi="Calibri" w:cs="Times New Roman"/>
      <w:sz w:val="24"/>
      <w:szCs w:val="24"/>
    </w:rPr>
  </w:style>
  <w:style w:type="paragraph" w:customStyle="1" w:styleId="C1-CtrBoldHd">
    <w:name w:val="C1-Ctr BoldHd"/>
    <w:uiPriority w:val="99"/>
    <w:rsid w:val="003D6D99"/>
    <w:pPr>
      <w:keepNext/>
      <w:spacing w:after="720" w:line="240" w:lineRule="atLeast"/>
      <w:jc w:val="center"/>
    </w:pPr>
    <w:rPr>
      <w:b/>
      <w:caps/>
      <w:szCs w:val="20"/>
    </w:rPr>
  </w:style>
  <w:style w:type="paragraph" w:customStyle="1" w:styleId="C2-CtrSglSp">
    <w:name w:val="C2-Ctr Sgl Sp"/>
    <w:uiPriority w:val="99"/>
    <w:rsid w:val="003D6D99"/>
    <w:pPr>
      <w:keepLines/>
      <w:spacing w:line="240" w:lineRule="atLeast"/>
      <w:jc w:val="center"/>
    </w:pPr>
    <w:rPr>
      <w:szCs w:val="20"/>
    </w:rPr>
  </w:style>
  <w:style w:type="paragraph" w:customStyle="1" w:styleId="C3-CtrSp12">
    <w:name w:val="C3-Ctr Sp&amp;1/2"/>
    <w:uiPriority w:val="99"/>
    <w:rsid w:val="003D6D99"/>
    <w:pPr>
      <w:keepLines/>
      <w:spacing w:line="360" w:lineRule="atLeast"/>
      <w:jc w:val="center"/>
    </w:pPr>
    <w:rPr>
      <w:szCs w:val="20"/>
    </w:rPr>
  </w:style>
  <w:style w:type="paragraph" w:customStyle="1" w:styleId="E1-Equation">
    <w:name w:val="E1-Equation"/>
    <w:uiPriority w:val="99"/>
    <w:rsid w:val="003D6D99"/>
    <w:pPr>
      <w:tabs>
        <w:tab w:val="center" w:pos="4680"/>
        <w:tab w:val="right" w:pos="9360"/>
      </w:tabs>
      <w:spacing w:line="240" w:lineRule="atLeast"/>
      <w:jc w:val="both"/>
    </w:pPr>
    <w:rPr>
      <w:szCs w:val="20"/>
    </w:rPr>
  </w:style>
  <w:style w:type="paragraph" w:customStyle="1" w:styleId="E2-Equation">
    <w:name w:val="E2-Equation"/>
    <w:basedOn w:val="E1-Equation"/>
    <w:uiPriority w:val="99"/>
    <w:rsid w:val="003D6D99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D2442"/>
    <w:pPr>
      <w:tabs>
        <w:tab w:val="left" w:pos="120"/>
      </w:tabs>
      <w:spacing w:line="200" w:lineRule="atLeast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801675"/>
    <w:rPr>
      <w:rFonts w:cs="Times New Roman"/>
      <w:sz w:val="20"/>
      <w:szCs w:val="20"/>
    </w:rPr>
  </w:style>
  <w:style w:type="paragraph" w:customStyle="1" w:styleId="L1-FlLSp12">
    <w:name w:val="L1-FlL Sp&amp;1/2"/>
    <w:uiPriority w:val="99"/>
    <w:rsid w:val="003D6D99"/>
    <w:pPr>
      <w:tabs>
        <w:tab w:val="left" w:pos="1152"/>
      </w:tabs>
      <w:spacing w:line="360" w:lineRule="atLeast"/>
      <w:jc w:val="both"/>
    </w:pPr>
    <w:rPr>
      <w:szCs w:val="20"/>
    </w:rPr>
  </w:style>
  <w:style w:type="paragraph" w:customStyle="1" w:styleId="N0-FlLftBullet">
    <w:name w:val="N0-Fl Lft Bullet"/>
    <w:basedOn w:val="Normal"/>
    <w:uiPriority w:val="99"/>
    <w:rsid w:val="003D6D9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3D6D99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uiPriority w:val="99"/>
    <w:rsid w:val="003D6D99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uiPriority w:val="99"/>
    <w:rsid w:val="003D6D99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uiPriority w:val="99"/>
    <w:rsid w:val="003D6D99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uiPriority w:val="99"/>
    <w:rsid w:val="003D6D9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3D6D99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uiPriority w:val="99"/>
    <w:rsid w:val="003D6D99"/>
    <w:pPr>
      <w:tabs>
        <w:tab w:val="left" w:pos="1152"/>
      </w:tabs>
      <w:ind w:left="1152" w:right="1152"/>
    </w:pPr>
  </w:style>
  <w:style w:type="paragraph" w:customStyle="1" w:styleId="N8-QxQBlock">
    <w:name w:val="N8-QxQ Block"/>
    <w:uiPriority w:val="99"/>
    <w:rsid w:val="003D6D99"/>
    <w:pPr>
      <w:tabs>
        <w:tab w:val="left" w:pos="1152"/>
      </w:tabs>
      <w:spacing w:after="360" w:line="360" w:lineRule="atLeast"/>
      <w:ind w:left="1152" w:hanging="1152"/>
      <w:jc w:val="both"/>
    </w:pPr>
    <w:rPr>
      <w:szCs w:val="20"/>
    </w:rPr>
  </w:style>
  <w:style w:type="paragraph" w:customStyle="1" w:styleId="P1-StandPara">
    <w:name w:val="P1-Stand Para"/>
    <w:uiPriority w:val="99"/>
    <w:rsid w:val="003D6D99"/>
    <w:pPr>
      <w:spacing w:line="360" w:lineRule="atLeast"/>
      <w:ind w:firstLine="1152"/>
      <w:jc w:val="both"/>
    </w:pPr>
    <w:rPr>
      <w:szCs w:val="20"/>
    </w:rPr>
  </w:style>
  <w:style w:type="paragraph" w:customStyle="1" w:styleId="Q1-BestFinQ">
    <w:name w:val="Q1-Best/Fin Q"/>
    <w:uiPriority w:val="99"/>
    <w:rsid w:val="003D6D99"/>
    <w:pPr>
      <w:tabs>
        <w:tab w:val="left" w:pos="1152"/>
      </w:tabs>
      <w:spacing w:after="360" w:line="240" w:lineRule="atLeast"/>
      <w:ind w:left="1152" w:hanging="1152"/>
      <w:jc w:val="both"/>
    </w:pPr>
    <w:rPr>
      <w:b/>
      <w:szCs w:val="20"/>
    </w:rPr>
  </w:style>
  <w:style w:type="paragraph" w:customStyle="1" w:styleId="SH-SglSpHead">
    <w:name w:val="SH-Sgl Sp Head"/>
    <w:uiPriority w:val="99"/>
    <w:rsid w:val="003D6D99"/>
    <w:pPr>
      <w:keepNext/>
      <w:tabs>
        <w:tab w:val="left" w:pos="576"/>
      </w:tabs>
      <w:spacing w:line="240" w:lineRule="atLeast"/>
      <w:ind w:left="576" w:hanging="576"/>
    </w:pPr>
    <w:rPr>
      <w:b/>
      <w:szCs w:val="20"/>
    </w:rPr>
  </w:style>
  <w:style w:type="paragraph" w:customStyle="1" w:styleId="SL-FlLftSgl">
    <w:name w:val="SL-Fl Lft Sgl"/>
    <w:uiPriority w:val="99"/>
    <w:rsid w:val="003D6D99"/>
    <w:pPr>
      <w:spacing w:line="240" w:lineRule="atLeast"/>
      <w:jc w:val="both"/>
    </w:pPr>
    <w:rPr>
      <w:szCs w:val="20"/>
    </w:rPr>
  </w:style>
  <w:style w:type="paragraph" w:customStyle="1" w:styleId="SP-SglSpPara">
    <w:name w:val="SP-Sgl Sp Para"/>
    <w:uiPriority w:val="99"/>
    <w:rsid w:val="003D6D99"/>
    <w:pPr>
      <w:tabs>
        <w:tab w:val="left" w:pos="576"/>
      </w:tabs>
      <w:spacing w:line="240" w:lineRule="atLeast"/>
      <w:ind w:firstLine="576"/>
      <w:jc w:val="both"/>
    </w:pPr>
    <w:rPr>
      <w:szCs w:val="20"/>
    </w:rPr>
  </w:style>
  <w:style w:type="paragraph" w:customStyle="1" w:styleId="T0-ChapPgHd">
    <w:name w:val="T0-Chap/Pg Hd"/>
    <w:uiPriority w:val="99"/>
    <w:rsid w:val="003D6D99"/>
    <w:pPr>
      <w:tabs>
        <w:tab w:val="left" w:pos="8640"/>
      </w:tabs>
      <w:spacing w:line="240" w:lineRule="atLeast"/>
      <w:jc w:val="both"/>
    </w:pPr>
    <w:rPr>
      <w:szCs w:val="20"/>
      <w:u w:val="words"/>
    </w:rPr>
  </w:style>
  <w:style w:type="paragraph" w:styleId="TOC1">
    <w:name w:val="toc 1"/>
    <w:basedOn w:val="Normal"/>
    <w:uiPriority w:val="99"/>
    <w:semiHidden/>
    <w:rsid w:val="003D6D99"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uiPriority w:val="99"/>
    <w:semiHidden/>
    <w:rsid w:val="003D6D99"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uiPriority w:val="99"/>
    <w:semiHidden/>
    <w:rsid w:val="003D6D99"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uiPriority w:val="99"/>
    <w:semiHidden/>
    <w:rsid w:val="003D6D99"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uiPriority w:val="99"/>
    <w:semiHidden/>
    <w:rsid w:val="003D6D99"/>
    <w:rPr>
      <w:caps w:val="0"/>
    </w:rPr>
  </w:style>
  <w:style w:type="paragraph" w:customStyle="1" w:styleId="TT-TableTitle">
    <w:name w:val="TT-Table Title"/>
    <w:uiPriority w:val="99"/>
    <w:rsid w:val="009218BE"/>
    <w:pPr>
      <w:tabs>
        <w:tab w:val="left" w:pos="1152"/>
      </w:tabs>
      <w:spacing w:line="240" w:lineRule="atLeast"/>
      <w:ind w:left="1152" w:hanging="1152"/>
    </w:pPr>
    <w:rPr>
      <w:b/>
    </w:rPr>
  </w:style>
  <w:style w:type="paragraph" w:styleId="Header">
    <w:name w:val="header"/>
    <w:basedOn w:val="Normal"/>
    <w:link w:val="HeaderChar"/>
    <w:uiPriority w:val="99"/>
    <w:rsid w:val="003D6D99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16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6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1675"/>
    <w:rPr>
      <w:rFonts w:cs="Times New Roman"/>
      <w:sz w:val="20"/>
      <w:szCs w:val="20"/>
    </w:rPr>
  </w:style>
  <w:style w:type="paragraph" w:customStyle="1" w:styleId="CT-ContractInformation">
    <w:name w:val="CT-Contract Information"/>
    <w:uiPriority w:val="99"/>
    <w:rsid w:val="003D6D99"/>
    <w:pPr>
      <w:tabs>
        <w:tab w:val="left" w:pos="1958"/>
      </w:tabs>
      <w:spacing w:line="240" w:lineRule="exact"/>
    </w:pPr>
    <w:rPr>
      <w:vanish/>
      <w:szCs w:val="20"/>
    </w:rPr>
  </w:style>
  <w:style w:type="paragraph" w:customStyle="1" w:styleId="R1-ResPara">
    <w:name w:val="R1-Res. Para"/>
    <w:uiPriority w:val="99"/>
    <w:rsid w:val="003D6D99"/>
    <w:pPr>
      <w:spacing w:line="240" w:lineRule="exact"/>
      <w:ind w:left="288"/>
      <w:jc w:val="both"/>
    </w:pPr>
    <w:rPr>
      <w:szCs w:val="20"/>
    </w:rPr>
  </w:style>
  <w:style w:type="paragraph" w:customStyle="1" w:styleId="R2-ResBullet">
    <w:name w:val="R2-Res Bullet"/>
    <w:uiPriority w:val="99"/>
    <w:rsid w:val="003D6D99"/>
    <w:pPr>
      <w:tabs>
        <w:tab w:val="left" w:pos="720"/>
      </w:tabs>
      <w:spacing w:line="240" w:lineRule="exact"/>
      <w:ind w:left="720" w:hanging="432"/>
      <w:jc w:val="both"/>
    </w:pPr>
    <w:rPr>
      <w:szCs w:val="20"/>
    </w:rPr>
  </w:style>
  <w:style w:type="paragraph" w:customStyle="1" w:styleId="RF-Reference">
    <w:name w:val="RF-Reference"/>
    <w:uiPriority w:val="99"/>
    <w:rsid w:val="003D6D99"/>
    <w:pPr>
      <w:spacing w:line="240" w:lineRule="exact"/>
      <w:ind w:left="216" w:hanging="216"/>
    </w:pPr>
    <w:rPr>
      <w:szCs w:val="20"/>
    </w:rPr>
  </w:style>
  <w:style w:type="paragraph" w:customStyle="1" w:styleId="RH-SglSpHead">
    <w:name w:val="RH-Sgl Sp Head"/>
    <w:basedOn w:val="Normal"/>
    <w:next w:val="RL-FlLftSgl"/>
    <w:uiPriority w:val="99"/>
    <w:rsid w:val="003D6D99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uiPriority w:val="99"/>
    <w:rsid w:val="003D6D99"/>
    <w:pPr>
      <w:keepNext/>
      <w:spacing w:line="240" w:lineRule="exact"/>
    </w:pPr>
    <w:rPr>
      <w:b/>
    </w:rPr>
  </w:style>
  <w:style w:type="paragraph" w:customStyle="1" w:styleId="SU-FlLftUndln">
    <w:name w:val="SU-Fl Lft Undln"/>
    <w:uiPriority w:val="99"/>
    <w:rsid w:val="003D6D99"/>
    <w:pPr>
      <w:keepNext/>
      <w:spacing w:line="240" w:lineRule="exact"/>
    </w:pPr>
    <w:rPr>
      <w:szCs w:val="20"/>
      <w:u w:val="single"/>
    </w:rPr>
  </w:style>
  <w:style w:type="character" w:styleId="FootnoteReference">
    <w:name w:val="footnote reference"/>
    <w:basedOn w:val="DefaultParagraphFont"/>
    <w:uiPriority w:val="99"/>
    <w:semiHidden/>
    <w:rsid w:val="006F4E2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B03AEB"/>
    <w:rPr>
      <w:rFonts w:cs="Times New Roman"/>
    </w:rPr>
  </w:style>
  <w:style w:type="table" w:styleId="TableGrid">
    <w:name w:val="Table Grid"/>
    <w:aliases w:val="Table NCES"/>
    <w:basedOn w:val="TableNormal"/>
    <w:uiPriority w:val="99"/>
    <w:rsid w:val="00413904"/>
    <w:pPr>
      <w:spacing w:line="240" w:lineRule="atLeast"/>
      <w:jc w:val="both"/>
    </w:pPr>
    <w:rPr>
      <w:sz w:val="20"/>
      <w:szCs w:val="20"/>
    </w:rPr>
    <w:tblPr>
      <w:tblInd w:w="0" w:type="dxa"/>
      <w:tblBorders>
        <w:top w:val="single" w:sz="24" w:space="0" w:color="auto"/>
        <w:bottom w:val="single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Footnote">
    <w:name w:val="Table-Footnote"/>
    <w:basedOn w:val="SL-FlLftSgl"/>
    <w:uiPriority w:val="99"/>
    <w:rsid w:val="005963C0"/>
    <w:pPr>
      <w:spacing w:line="240" w:lineRule="auto"/>
      <w:jc w:val="left"/>
    </w:pPr>
  </w:style>
  <w:style w:type="paragraph" w:customStyle="1" w:styleId="SL-Indented">
    <w:name w:val="SL-Indented"/>
    <w:basedOn w:val="SL-FlLftSgl"/>
    <w:uiPriority w:val="99"/>
    <w:rsid w:val="001D2442"/>
    <w:pPr>
      <w:ind w:left="230"/>
      <w:jc w:val="left"/>
    </w:pPr>
  </w:style>
  <w:style w:type="paragraph" w:styleId="ListParagraph">
    <w:name w:val="List Paragraph"/>
    <w:basedOn w:val="Normal"/>
    <w:uiPriority w:val="99"/>
    <w:qFormat/>
    <w:rsid w:val="00A84198"/>
    <w:pPr>
      <w:ind w:left="720"/>
      <w:contextualSpacing/>
      <w:jc w:val="left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84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173</Words>
  <Characters>990</Characters>
  <Application>Microsoft Office Outlook</Application>
  <DocSecurity>0</DocSecurity>
  <Lines>0</Lines>
  <Paragraphs>0</Paragraphs>
  <ScaleCrop>false</ScaleCrop>
  <Company>Westat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Markovich</dc:creator>
  <cp:keywords/>
  <dc:description/>
  <cp:lastModifiedBy>#Administrator</cp:lastModifiedBy>
  <cp:revision>2</cp:revision>
  <cp:lastPrinted>2010-06-23T18:56:00Z</cp:lastPrinted>
  <dcterms:created xsi:type="dcterms:W3CDTF">2010-09-02T19:15:00Z</dcterms:created>
  <dcterms:modified xsi:type="dcterms:W3CDTF">2010-09-02T19:15:00Z</dcterms:modified>
</cp:coreProperties>
</file>