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8E" w:rsidRDefault="0060098E" w:rsidP="0060098E">
      <w:pPr>
        <w:suppressAutoHyphens/>
        <w:rPr>
          <w:rFonts w:ascii="Times New Roman" w:hAnsi="Times New Roman"/>
        </w:rPr>
      </w:pPr>
      <w:r>
        <w:rPr>
          <w:rFonts w:ascii="Times New Roman" w:hAnsi="Times New Roman"/>
        </w:rPr>
        <w:t>SUPPORTING STATEMENT FOR NEW AND REVISED INFORMATION COLLECTIONS</w:t>
      </w:r>
      <w:r w:rsidR="00BF61F3">
        <w:rPr>
          <w:rFonts w:ascii="Times New Roman" w:hAnsi="Times New Roman"/>
        </w:rPr>
        <w:fldChar w:fldCharType="begin"/>
      </w:r>
      <w:r>
        <w:rPr>
          <w:rFonts w:ascii="Times New Roman" w:hAnsi="Times New Roman"/>
        </w:rPr>
        <w:instrText xml:space="preserve">PRIVATE </w:instrText>
      </w:r>
      <w:r w:rsidR="00BF61F3">
        <w:rPr>
          <w:rFonts w:ascii="Times New Roman" w:hAnsi="Times New Roman"/>
        </w:rPr>
        <w:fldChar w:fldCharType="end"/>
      </w:r>
    </w:p>
    <w:p w:rsidR="0060098E" w:rsidRDefault="0060098E" w:rsidP="0060098E">
      <w:pPr>
        <w:suppressAutoHyphens/>
        <w:rPr>
          <w:rFonts w:ascii="Times New Roman" w:hAnsi="Times New Roman"/>
        </w:rPr>
      </w:pPr>
    </w:p>
    <w:p w:rsidR="0063315E" w:rsidRPr="0063315E" w:rsidRDefault="0063315E" w:rsidP="0063315E">
      <w:pPr>
        <w:suppressAutoHyphens/>
        <w:jc w:val="center"/>
        <w:rPr>
          <w:rFonts w:ascii="Times New Roman" w:hAnsi="Times New Roman"/>
          <w:u w:val="single"/>
        </w:rPr>
      </w:pPr>
      <w:r>
        <w:rPr>
          <w:rFonts w:ascii="Times New Roman" w:hAnsi="Times New Roman"/>
          <w:u w:val="single"/>
        </w:rPr>
        <w:t>Registration of Foreign Boards of Trade</w:t>
      </w:r>
    </w:p>
    <w:p w:rsidR="0063315E" w:rsidRDefault="0063315E" w:rsidP="0060098E">
      <w:pPr>
        <w:suppressAutoHyphens/>
        <w:rPr>
          <w:rFonts w:ascii="Times New Roman" w:hAnsi="Times New Roman"/>
        </w:rPr>
      </w:pPr>
    </w:p>
    <w:p w:rsidR="0060098E" w:rsidRDefault="0060098E" w:rsidP="0060098E">
      <w:pPr>
        <w:tabs>
          <w:tab w:val="center" w:pos="4680"/>
        </w:tabs>
        <w:suppressAutoHyphens/>
        <w:rPr>
          <w:rFonts w:ascii="Times New Roman" w:hAnsi="Times New Roman"/>
        </w:rPr>
      </w:pPr>
      <w:r>
        <w:rPr>
          <w:rFonts w:ascii="Times New Roman" w:hAnsi="Times New Roman"/>
        </w:rPr>
        <w:tab/>
        <w:t>OMB CONTROL NUMBER 3038-NEW</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u w:val="single"/>
        </w:rPr>
        <w:t>Justification</w:t>
      </w:r>
    </w:p>
    <w:p w:rsidR="0060098E" w:rsidRDefault="0060098E" w:rsidP="0060098E">
      <w:pPr>
        <w:tabs>
          <w:tab w:val="left" w:pos="-720"/>
        </w:tabs>
        <w:suppressAutoHyphens/>
        <w:rPr>
          <w:rFonts w:ascii="Times New Roman" w:hAnsi="Times New Roman"/>
        </w:rPr>
      </w:pPr>
    </w:p>
    <w:p w:rsidR="0060098E" w:rsidRDefault="0060098E" w:rsidP="0060098E">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60098E" w:rsidRDefault="0060098E" w:rsidP="0060098E">
      <w:pPr>
        <w:tabs>
          <w:tab w:val="left" w:pos="-720"/>
          <w:tab w:val="left" w:pos="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 </w:t>
      </w:r>
      <w:r w:rsidRPr="00CF607E">
        <w:rPr>
          <w:rFonts w:ascii="Times New Roman" w:hAnsi="Times New Roman"/>
        </w:rPr>
        <w:t>Section 738 of the Dodd-Frank Act amends Section 4(b) of the C</w:t>
      </w:r>
      <w:r>
        <w:rPr>
          <w:rFonts w:ascii="Times New Roman" w:hAnsi="Times New Roman"/>
        </w:rPr>
        <w:t xml:space="preserve">ommodity Exchange </w:t>
      </w:r>
      <w:r w:rsidRPr="00CF607E">
        <w:rPr>
          <w:rFonts w:ascii="Times New Roman" w:hAnsi="Times New Roman"/>
        </w:rPr>
        <w:t>A</w:t>
      </w:r>
      <w:r>
        <w:rPr>
          <w:rFonts w:ascii="Times New Roman" w:hAnsi="Times New Roman"/>
        </w:rPr>
        <w:t>ct</w:t>
      </w:r>
      <w:r w:rsidRPr="00CF607E">
        <w:rPr>
          <w:rFonts w:ascii="Times New Roman" w:hAnsi="Times New Roman"/>
        </w:rPr>
        <w:t xml:space="preserve"> to provide that the Commission may adopt rules and regulations requiring registration with the Commission for a</w:t>
      </w:r>
      <w:r>
        <w:rPr>
          <w:rFonts w:ascii="Times New Roman" w:hAnsi="Times New Roman"/>
        </w:rPr>
        <w:t xml:space="preserve"> foreign board of trade</w:t>
      </w:r>
      <w:r w:rsidRPr="00CF607E">
        <w:rPr>
          <w:rFonts w:ascii="Times New Roman" w:hAnsi="Times New Roman"/>
        </w:rPr>
        <w:t xml:space="preserve"> </w:t>
      </w:r>
      <w:r>
        <w:rPr>
          <w:rFonts w:ascii="Times New Roman" w:hAnsi="Times New Roman"/>
        </w:rPr>
        <w:t>(“</w:t>
      </w:r>
      <w:r w:rsidRPr="00CF607E">
        <w:rPr>
          <w:rFonts w:ascii="Times New Roman" w:hAnsi="Times New Roman"/>
        </w:rPr>
        <w:t>FBOT</w:t>
      </w:r>
      <w:r>
        <w:rPr>
          <w:rFonts w:ascii="Times New Roman" w:hAnsi="Times New Roman"/>
        </w:rPr>
        <w:t>”)</w:t>
      </w:r>
      <w:r w:rsidRPr="00CF607E">
        <w:rPr>
          <w:rFonts w:ascii="Times New Roman" w:hAnsi="Times New Roman"/>
        </w:rPr>
        <w:t xml:space="preserve"> that provides the members of the FBOT or other participants located in the United States with direct access to the electronic trading and order matching system of the FBOT, including rules and regulations prescribing procedures and requirements applicable to the registration of such FBOTs.  Accordingly, Part 48 </w:t>
      </w:r>
      <w:r>
        <w:rPr>
          <w:rFonts w:ascii="Times New Roman" w:hAnsi="Times New Roman"/>
        </w:rPr>
        <w:t xml:space="preserve">of the Commission’s regulations </w:t>
      </w:r>
      <w:r w:rsidRPr="00CF607E">
        <w:rPr>
          <w:rFonts w:ascii="Times New Roman" w:hAnsi="Times New Roman"/>
        </w:rPr>
        <w:t>establish</w:t>
      </w:r>
      <w:r>
        <w:rPr>
          <w:rFonts w:ascii="Times New Roman" w:hAnsi="Times New Roman"/>
        </w:rPr>
        <w:t>es</w:t>
      </w:r>
      <w:r w:rsidRPr="00CF607E">
        <w:rPr>
          <w:rFonts w:ascii="Times New Roman" w:hAnsi="Times New Roman"/>
        </w:rPr>
        <w:t xml:space="preserve"> a registration requirement and related registration procedures and </w:t>
      </w:r>
      <w:r>
        <w:rPr>
          <w:rFonts w:ascii="Times New Roman" w:hAnsi="Times New Roman"/>
        </w:rPr>
        <w:t>c</w:t>
      </w:r>
      <w:r w:rsidRPr="00CF607E">
        <w:rPr>
          <w:rFonts w:ascii="Times New Roman" w:hAnsi="Times New Roman"/>
        </w:rPr>
        <w:t>onditions that apply to FBOTs that wish to provide their members or other participants located in the United States with direct access to their electronic trading and order matching systems.</w:t>
      </w:r>
      <w:r>
        <w:t xml:space="preserve"> </w:t>
      </w:r>
      <w:r>
        <w:rPr>
          <w:rFonts w:ascii="Times New Roman" w:hAnsi="Times New Roman"/>
        </w:rPr>
        <w:t>These FBOT registration requirements will help ensure that FBOTs meet certain regulatory standards sufficient to protect market integrity and provide consumer protection.</w:t>
      </w:r>
    </w:p>
    <w:p w:rsidR="0060098E" w:rsidRDefault="0060098E" w:rsidP="0060098E">
      <w:pPr>
        <w:tabs>
          <w:tab w:val="left" w:pos="-720"/>
        </w:tabs>
        <w:suppressAutoHyphens/>
        <w:rPr>
          <w:rFonts w:ascii="Times New Roman" w:hAnsi="Times New Roman"/>
        </w:rPr>
      </w:pPr>
      <w:r>
        <w:rPr>
          <w:rFonts w:ascii="Times New Roman" w:hAnsi="Times New Roman"/>
        </w:rPr>
        <w:t xml:space="preserve"> </w:t>
      </w:r>
    </w:p>
    <w:p w:rsidR="0060098E" w:rsidRDefault="0060098E" w:rsidP="0060098E">
      <w:pPr>
        <w:tabs>
          <w:tab w:val="left" w:pos="-720"/>
        </w:tabs>
        <w:suppressAutoHyphens/>
        <w:rPr>
          <w:rFonts w:ascii="Times New Roman" w:hAnsi="Times New Roman"/>
        </w:rPr>
      </w:pPr>
      <w:r>
        <w:rPr>
          <w:rFonts w:ascii="Times New Roman" w:hAnsi="Times New Roman"/>
        </w:rPr>
        <w:tab/>
        <w:t xml:space="preserve">Estimated numbers of respondents and projected total annual responses and average number of hours per response are provided in Attachment A.  </w:t>
      </w:r>
    </w:p>
    <w:p w:rsidR="0060098E" w:rsidRDefault="0060098E" w:rsidP="0060098E">
      <w:pPr>
        <w:tabs>
          <w:tab w:val="left" w:pos="-720"/>
        </w:tabs>
        <w:suppressAutoHyphens/>
        <w:rPr>
          <w:rFonts w:ascii="Times New Roman" w:hAnsi="Times New Roman"/>
        </w:rPr>
      </w:pPr>
      <w:r>
        <w:rPr>
          <w:rFonts w:ascii="Times New Roman" w:hAnsi="Times New Roman"/>
        </w:rPr>
        <w:tab/>
        <w:t xml:space="preserve"> </w:t>
      </w:r>
    </w:p>
    <w:p w:rsidR="0060098E" w:rsidRDefault="0060098E" w:rsidP="0060098E">
      <w:pPr>
        <w:numPr>
          <w:ilvl w:val="0"/>
          <w:numId w:val="1"/>
        </w:numPr>
        <w:tabs>
          <w:tab w:val="left" w:pos="-720"/>
        </w:tabs>
        <w:suppressAutoHyphens/>
        <w:rPr>
          <w:rFonts w:ascii="Times New Roman" w:hAnsi="Times New Roman"/>
        </w:rPr>
      </w:pPr>
      <w:r>
        <w:rPr>
          <w:rFonts w:ascii="Times New Roman" w:hAnsi="Times New Roman"/>
          <w:u w:val="single"/>
        </w:rPr>
        <w:t>Indicate how, by whom, and for what purpose the data would be used.  Except for a new collection, indicate the actual use the agency has made of the information received from the current collection</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r>
      <w:r w:rsidRPr="003E1569">
        <w:rPr>
          <w:rFonts w:ascii="Times New Roman" w:hAnsi="Times New Roman"/>
        </w:rPr>
        <w:t xml:space="preserve">The information received pursuant to </w:t>
      </w:r>
      <w:r>
        <w:rPr>
          <w:rFonts w:ascii="Times New Roman" w:hAnsi="Times New Roman"/>
        </w:rPr>
        <w:t>Part 48</w:t>
      </w:r>
      <w:r w:rsidRPr="003E1569">
        <w:rPr>
          <w:rFonts w:ascii="Times New Roman" w:hAnsi="Times New Roman"/>
        </w:rPr>
        <w:t xml:space="preserve"> would be analyzed by Commission staff and would form a basis for recommendations to the Commission concerning approval of</w:t>
      </w:r>
      <w:r>
        <w:rPr>
          <w:rFonts w:ascii="Times New Roman" w:hAnsi="Times New Roman"/>
        </w:rPr>
        <w:t xml:space="preserve"> registration for FBOTs, </w:t>
      </w:r>
      <w:r w:rsidRPr="003E1569">
        <w:rPr>
          <w:rFonts w:ascii="Times New Roman" w:hAnsi="Times New Roman"/>
        </w:rPr>
        <w:t xml:space="preserve">compliance with the </w:t>
      </w:r>
      <w:r>
        <w:rPr>
          <w:rFonts w:ascii="Times New Roman" w:hAnsi="Times New Roman"/>
        </w:rPr>
        <w:t>conditions for registration, or whether the Commission should take any action regarding lack of compliance with the conditions of registration.</w:t>
      </w:r>
      <w:r w:rsidRPr="005A1DE5">
        <w:rPr>
          <w:rFonts w:ascii="Times New Roman" w:hAnsi="Times New Roman"/>
        </w:rPr>
        <w:t xml:space="preserve"> </w:t>
      </w:r>
      <w:r>
        <w:rPr>
          <w:rFonts w:ascii="Times New Roman" w:hAnsi="Times New Roman"/>
        </w:rPr>
        <w:t xml:space="preserve"> All 16 information collections are new.    </w:t>
      </w:r>
    </w:p>
    <w:p w:rsidR="0060098E" w:rsidRDefault="0060098E" w:rsidP="0060098E">
      <w:pPr>
        <w:tabs>
          <w:tab w:val="left" w:pos="-720"/>
        </w:tabs>
        <w:suppressAutoHyphens/>
        <w:rPr>
          <w:rFonts w:ascii="Times New Roman" w:hAnsi="Times New Roman"/>
        </w:rPr>
      </w:pPr>
    </w:p>
    <w:p w:rsidR="0060098E" w:rsidRDefault="0060098E" w:rsidP="0060098E">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0098E" w:rsidRDefault="0060098E" w:rsidP="0060098E">
      <w:pPr>
        <w:tabs>
          <w:tab w:val="left" w:pos="-720"/>
          <w:tab w:val="left" w:pos="0"/>
        </w:tabs>
        <w:suppressAutoHyphens/>
        <w:rPr>
          <w:rFonts w:ascii="Times New Roman" w:hAnsi="Times New Roman"/>
          <w:u w:val="single"/>
        </w:rPr>
      </w:pPr>
    </w:p>
    <w:p w:rsidR="0060098E" w:rsidRPr="00032D9E" w:rsidRDefault="0060098E" w:rsidP="0060098E">
      <w:pPr>
        <w:tabs>
          <w:tab w:val="left" w:pos="-720"/>
          <w:tab w:val="left" w:pos="0"/>
        </w:tabs>
        <w:suppressAutoHyphens/>
        <w:ind w:left="720"/>
        <w:rPr>
          <w:rFonts w:ascii="Times New Roman" w:hAnsi="Times New Roman"/>
        </w:rPr>
      </w:pPr>
      <w:r>
        <w:rPr>
          <w:rFonts w:ascii="Times New Roman" w:hAnsi="Times New Roman"/>
        </w:rPr>
        <w:t xml:space="preserve">The information collection is required to be filed electronically.  </w:t>
      </w:r>
    </w:p>
    <w:p w:rsidR="0060098E" w:rsidRDefault="0060098E" w:rsidP="0060098E">
      <w:pPr>
        <w:tabs>
          <w:tab w:val="left" w:pos="-720"/>
        </w:tabs>
        <w:suppressAutoHyphens/>
        <w:rPr>
          <w:rFonts w:ascii="Times New Roman" w:hAnsi="Times New Roman"/>
        </w:rPr>
      </w:pPr>
    </w:p>
    <w:p w:rsidR="0060098E" w:rsidRDefault="0060098E" w:rsidP="0060098E">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60098E" w:rsidRDefault="0060098E" w:rsidP="0060098E">
      <w:pPr>
        <w:tabs>
          <w:tab w:val="left" w:pos="-720"/>
          <w:tab w:val="left" w:pos="0"/>
        </w:tabs>
        <w:suppressAutoHyphens/>
        <w:rPr>
          <w:rFonts w:ascii="Times New Roman" w:hAnsi="Times New Roman"/>
        </w:rPr>
      </w:pPr>
    </w:p>
    <w:p w:rsidR="0060098E" w:rsidRDefault="0060098E" w:rsidP="0060098E">
      <w:pPr>
        <w:tabs>
          <w:tab w:val="left" w:pos="-720"/>
          <w:tab w:val="left" w:pos="0"/>
        </w:tabs>
        <w:suppressAutoHyphens/>
        <w:rPr>
          <w:rFonts w:ascii="Times New Roman" w:hAnsi="Times New Roman"/>
        </w:rPr>
      </w:pPr>
      <w:r>
        <w:rPr>
          <w:rFonts w:ascii="Times New Roman" w:hAnsi="Times New Roman"/>
        </w:rPr>
        <w:tab/>
        <w:t xml:space="preserve">None of the information collections are specifically duplicative.  Each different type of information is needed given the purposes for which the data will be used.  </w:t>
      </w:r>
    </w:p>
    <w:p w:rsidR="0060098E" w:rsidRDefault="0060098E" w:rsidP="0060098E">
      <w:pPr>
        <w:tabs>
          <w:tab w:val="left" w:pos="-720"/>
        </w:tabs>
        <w:suppressAutoHyphens/>
        <w:rPr>
          <w:rFonts w:ascii="Times New Roman" w:hAnsi="Times New Roman"/>
        </w:rPr>
      </w:pPr>
    </w:p>
    <w:p w:rsidR="0060098E" w:rsidRDefault="0060098E" w:rsidP="0060098E">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 xml:space="preserve">.  </w:t>
      </w:r>
    </w:p>
    <w:p w:rsidR="0060098E" w:rsidRDefault="0060098E" w:rsidP="0060098E">
      <w:pPr>
        <w:tabs>
          <w:tab w:val="left" w:pos="-720"/>
          <w:tab w:val="left" w:pos="0"/>
        </w:tabs>
        <w:suppressAutoHyphens/>
        <w:rPr>
          <w:rFonts w:ascii="Times New Roman" w:hAnsi="Times New Roman"/>
        </w:rPr>
      </w:pPr>
    </w:p>
    <w:p w:rsidR="0060098E" w:rsidRDefault="0060098E" w:rsidP="0060098E">
      <w:pPr>
        <w:tabs>
          <w:tab w:val="left" w:pos="-720"/>
          <w:tab w:val="left" w:pos="0"/>
        </w:tabs>
        <w:suppressAutoHyphens/>
        <w:rPr>
          <w:rFonts w:ascii="Times New Roman" w:hAnsi="Times New Roman"/>
        </w:rPr>
      </w:pPr>
      <w:r>
        <w:rPr>
          <w:rFonts w:ascii="Times New Roman" w:hAnsi="Times New Roman"/>
        </w:rPr>
        <w:tab/>
        <w:t>T</w:t>
      </w:r>
      <w:r w:rsidRPr="0013505B">
        <w:rPr>
          <w:rFonts w:ascii="Times New Roman" w:hAnsi="Times New Roman"/>
        </w:rPr>
        <w:t>he Commission has not previously addressed the question whether FBOTs are, in fact, “small entities” for purposes of the R</w:t>
      </w:r>
      <w:r>
        <w:rPr>
          <w:rFonts w:ascii="Times New Roman" w:hAnsi="Times New Roman"/>
        </w:rPr>
        <w:t xml:space="preserve">egulatory Flexibility </w:t>
      </w:r>
      <w:r w:rsidRPr="0013505B">
        <w:rPr>
          <w:rFonts w:ascii="Times New Roman" w:hAnsi="Times New Roman"/>
        </w:rPr>
        <w:t>A</w:t>
      </w:r>
      <w:r>
        <w:rPr>
          <w:rFonts w:ascii="Times New Roman" w:hAnsi="Times New Roman"/>
        </w:rPr>
        <w:t>ct</w:t>
      </w:r>
      <w:r w:rsidRPr="0013505B">
        <w:rPr>
          <w:rFonts w:ascii="Times New Roman" w:hAnsi="Times New Roman"/>
        </w:rPr>
        <w:t xml:space="preserve"> since FBOTs are a new category of registrant created by the Dodd-Frank Act.</w:t>
      </w:r>
      <w:r>
        <w:rPr>
          <w:rFonts w:ascii="Times New Roman" w:hAnsi="Times New Roman"/>
        </w:rPr>
        <w:t xml:space="preserve">  However, as explained in the </w:t>
      </w:r>
      <w:r w:rsidRPr="009A1861">
        <w:rPr>
          <w:rFonts w:ascii="Times New Roman" w:hAnsi="Times New Roman"/>
        </w:rPr>
        <w:t>Federal Register</w:t>
      </w:r>
      <w:r>
        <w:rPr>
          <w:rFonts w:ascii="Times New Roman" w:hAnsi="Times New Roman"/>
        </w:rPr>
        <w:t xml:space="preserve"> release, the Commission proposed not to define FBOTs as small entities.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s>
        <w:spacing w:after="240"/>
        <w:rPr>
          <w:rFonts w:ascii="Times New Roman" w:hAnsi="Times New Roman"/>
        </w:rPr>
      </w:pPr>
      <w:r>
        <w:rPr>
          <w:rFonts w:ascii="Times New Roman" w:hAnsi="Times New Roman"/>
        </w:rPr>
        <w:tab/>
      </w:r>
      <w:r w:rsidRPr="003E1569">
        <w:rPr>
          <w:rFonts w:ascii="Times New Roman" w:hAnsi="Times New Roman"/>
        </w:rPr>
        <w:t xml:space="preserve">If the information required under this collection of information were not collected, </w:t>
      </w:r>
      <w:r>
        <w:rPr>
          <w:rFonts w:ascii="Times New Roman" w:hAnsi="Times New Roman"/>
        </w:rPr>
        <w:t xml:space="preserve">the Commission could not implement the proposed registration scheme for FBOTs.  Specifically, the Commission would not be able to administer a registration scheme without any information upon which the Commission could base a decision to register or deny an applicant.  Under the proposed registration scheme,  FBOTs would not be able to make their contracts available in the US through direct access (as defined in the amended section 4(b)) unless they generally meet standards comparable to domestic exchanges that are designed to ensure market integrity as well as consumer protection.  Also, limitations on the scope of information the Commission could collect from an applicant would significantly decrease the ability of the Commission to work towards the above stated goals.  </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60098E" w:rsidRDefault="0060098E" w:rsidP="0060098E">
      <w:pPr>
        <w:tabs>
          <w:tab w:val="left" w:pos="-720"/>
          <w:tab w:val="left" w:pos="0"/>
          <w:tab w:val="left" w:pos="720"/>
        </w:tabs>
        <w:suppressAutoHyphens/>
        <w:ind w:left="1440" w:hanging="1440"/>
        <w:rPr>
          <w:rFonts w:ascii="Times New Roman" w:hAnsi="Times New Roman"/>
          <w:u w:val="single"/>
        </w:rPr>
      </w:pPr>
    </w:p>
    <w:p w:rsidR="0060098E" w:rsidRDefault="0060098E" w:rsidP="0060098E">
      <w:pPr>
        <w:tabs>
          <w:tab w:val="left" w:pos="-720"/>
          <w:tab w:val="left" w:pos="0"/>
          <w:tab w:val="left" w:pos="720"/>
        </w:tabs>
        <w:suppressAutoHyphen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The proposed regulations require FBOTs with linked contracts to provide trade execution and audit trail information, large trader information, and aggregate trader position data on a daily basis.    </w:t>
      </w:r>
    </w:p>
    <w:p w:rsidR="0060098E" w:rsidRDefault="0060098E" w:rsidP="0060098E">
      <w:pPr>
        <w:tabs>
          <w:tab w:val="left" w:pos="-720"/>
          <w:tab w:val="left" w:pos="0"/>
          <w:tab w:val="left" w:pos="720"/>
        </w:tabs>
        <w:suppressAutoHyphens/>
        <w:ind w:left="1440" w:hanging="1440"/>
        <w:jc w:val="both"/>
        <w:rPr>
          <w:rFonts w:ascii="Times New Roman" w:hAnsi="Times New Roman"/>
        </w:rPr>
      </w:pPr>
    </w:p>
    <w:p w:rsidR="0060098E" w:rsidRDefault="0060098E" w:rsidP="0060098E">
      <w:pPr>
        <w:tabs>
          <w:tab w:val="left" w:pos="-720"/>
          <w:tab w:val="left" w:pos="0"/>
          <w:tab w:val="left" w:pos="720"/>
        </w:tabs>
        <w:suppressAutoHyphen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The proposed regulations also provide specific conditions on FBOTs who want to make swap contracts available for trading to U.S. entities via direct access.  Such conditions include a requirement to publically report swap transactions on a real-time basis.  The FBOT would also have to send swap transaction data to a swap data repository (“SDR”), and agree to comply with any </w:t>
      </w:r>
      <w:r>
        <w:rPr>
          <w:rFonts w:ascii="Times New Roman" w:hAnsi="Times New Roman"/>
        </w:rPr>
        <w:lastRenderedPageBreak/>
        <w:t>requirements imposed by the Commission with respect to cross market oversight issues, including surveillance, emergency actions and the monitoring of trading.  Finally, the Commission may attach any other requirements upon notice to and opportunity for the FBOT to comment.</w:t>
      </w:r>
    </w:p>
    <w:p w:rsidR="0060098E" w:rsidRDefault="0060098E" w:rsidP="0060098E">
      <w:pPr>
        <w:tabs>
          <w:tab w:val="left" w:pos="-720"/>
          <w:tab w:val="left" w:pos="0"/>
          <w:tab w:val="left" w:pos="720"/>
        </w:tabs>
        <w:suppressAutoHyphens/>
        <w:ind w:left="1440" w:hanging="1440"/>
        <w:jc w:val="both"/>
        <w:rPr>
          <w:rFonts w:ascii="Times New Roman" w:hAnsi="Times New Roman"/>
        </w:rPr>
      </w:pPr>
    </w:p>
    <w:p w:rsidR="0060098E" w:rsidRPr="00FA0BB4" w:rsidRDefault="0060098E" w:rsidP="0060098E">
      <w:pPr>
        <w:tabs>
          <w:tab w:val="left" w:pos="-720"/>
          <w:tab w:val="left" w:pos="0"/>
          <w:tab w:val="left" w:pos="720"/>
        </w:tabs>
        <w:suppressAutoHyphens/>
        <w:ind w:left="1440" w:hanging="144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Finally, the proposed regulations could potentially require FBOTs who make contracts that are economically equivalent to those of U.S. registered entities to submit additional information to the Commission, if deemed necessary by the Commission.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60098E" w:rsidRDefault="0060098E" w:rsidP="0060098E">
      <w:pPr>
        <w:tabs>
          <w:tab w:val="left" w:pos="-720"/>
          <w:tab w:val="left" w:pos="0"/>
          <w:tab w:val="left" w:pos="720"/>
        </w:tabs>
        <w:suppressAutoHyphens/>
        <w:ind w:left="1440" w:hanging="1440"/>
        <w:rPr>
          <w:rFonts w:ascii="Times New Roman" w:hAnsi="Times New Roman"/>
          <w:u w:val="single"/>
        </w:rPr>
      </w:pPr>
    </w:p>
    <w:p w:rsidR="0060098E" w:rsidRPr="00FA0BB4"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In order for the Commission to adequately assess whether an FBOT is in compliance a condition for registration, an FBOT might be required to prepare a written response to a collection of information in fewer than 30 days depending on the exigency of the situation.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1440"/>
        <w:rPr>
          <w:rFonts w:ascii="Times New Roman" w:hAnsi="Times New Roman"/>
        </w:rPr>
      </w:pPr>
      <w:r>
        <w:rPr>
          <w:rFonts w:ascii="Times New Roman" w:hAnsi="Times New Roman"/>
        </w:rPr>
        <w:tab/>
        <w:t xml:space="preserve">Respondents are not required to submit more than an original and two copies of any document.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60098E" w:rsidRDefault="0060098E" w:rsidP="0060098E">
      <w:pPr>
        <w:tabs>
          <w:tab w:val="left" w:pos="-720"/>
          <w:tab w:val="left" w:pos="0"/>
          <w:tab w:val="left" w:pos="720"/>
        </w:tabs>
        <w:suppressAutoHyphens/>
        <w:ind w:left="1440" w:hanging="1440"/>
        <w:rPr>
          <w:rFonts w:ascii="Times New Roman" w:hAnsi="Times New Roman"/>
        </w:rPr>
      </w:pPr>
    </w:p>
    <w:p w:rsidR="0060098E" w:rsidRDefault="0060098E" w:rsidP="0060098E">
      <w:pPr>
        <w:tabs>
          <w:tab w:val="left" w:pos="-720"/>
        </w:tabs>
        <w:suppressAutoHyphens/>
        <w:ind w:left="1440"/>
        <w:rPr>
          <w:rFonts w:ascii="Times New Roman" w:hAnsi="Times New Roman"/>
        </w:rPr>
      </w:pPr>
      <w:r>
        <w:rPr>
          <w:rFonts w:ascii="Times New Roman" w:hAnsi="Times New Roman"/>
        </w:rPr>
        <w:tab/>
        <w:t>For enforcement purposes, Commission Regulation 1.31 requires that all books and records required to be kept by the Commodity Exchange Act or by the regulations be kept for a period of five years from the date thereof and shall be readily accessible during the first two years of the five year period.  All such books and records are open to inspection by any representative of the Commission or the U.S. Department of Justice.</w:t>
      </w:r>
    </w:p>
    <w:p w:rsidR="0060098E" w:rsidRDefault="0060098E" w:rsidP="0060098E">
      <w:pPr>
        <w:tabs>
          <w:tab w:val="left" w:pos="-720"/>
        </w:tabs>
        <w:suppressAutoHyphens/>
        <w:ind w:left="1440"/>
        <w:rPr>
          <w:rFonts w:ascii="Times New Roman" w:hAnsi="Times New Roman"/>
        </w:rPr>
      </w:pPr>
    </w:p>
    <w:p w:rsidR="0060098E" w:rsidRDefault="0060098E" w:rsidP="0060098E">
      <w:pPr>
        <w:tabs>
          <w:tab w:val="left" w:pos="-720"/>
        </w:tabs>
        <w:suppressAutoHyphens/>
        <w:ind w:left="1440"/>
        <w:rPr>
          <w:rFonts w:ascii="Times New Roman" w:hAnsi="Times New Roman"/>
        </w:rPr>
      </w:pPr>
      <w:r>
        <w:rPr>
          <w:rFonts w:ascii="Times New Roman" w:hAnsi="Times New Roman"/>
        </w:rPr>
        <w:tab/>
      </w:r>
      <w:r w:rsidRPr="00CD4D1B">
        <w:rPr>
          <w:rFonts w:ascii="Times New Roman" w:hAnsi="Times New Roman"/>
        </w:rPr>
        <w:t>These recordkeeping requirements would allow the Commission to have ready access</w:t>
      </w:r>
      <w:r>
        <w:rPr>
          <w:rFonts w:ascii="Times New Roman" w:hAnsi="Times New Roman"/>
        </w:rPr>
        <w:t xml:space="preserve"> to records that establish whether a FBOT is in compliance with conditions on registration.  Further, the</w:t>
      </w:r>
      <w:r w:rsidRPr="00CD4D1B">
        <w:rPr>
          <w:rFonts w:ascii="Times New Roman" w:hAnsi="Times New Roman"/>
        </w:rPr>
        <w:t xml:space="preserve"> </w:t>
      </w:r>
      <w:r>
        <w:rPr>
          <w:rFonts w:ascii="Times New Roman" w:hAnsi="Times New Roman"/>
        </w:rPr>
        <w:t xml:space="preserve">data records would ensure that the Commission could audit </w:t>
      </w:r>
      <w:r w:rsidRPr="00CD4D1B">
        <w:rPr>
          <w:rFonts w:ascii="Times New Roman" w:hAnsi="Times New Roman"/>
        </w:rPr>
        <w:t xml:space="preserve">data records </w:t>
      </w:r>
      <w:r>
        <w:rPr>
          <w:rFonts w:ascii="Times New Roman" w:hAnsi="Times New Roman"/>
        </w:rPr>
        <w:t>previously sent to the Commission.</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t xml:space="preserve">The proposed rules do not involve statistical surveys.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t xml:space="preserve">The proposed rules do not involve the use of statistical data.  </w:t>
      </w:r>
    </w:p>
    <w:p w:rsidR="0060098E" w:rsidRDefault="0060098E" w:rsidP="0060098E">
      <w:pPr>
        <w:tabs>
          <w:tab w:val="left" w:pos="-720"/>
        </w:tabs>
        <w:suppressAutoHyphens/>
        <w:rPr>
          <w:rFonts w:ascii="Times New Roman" w:hAnsi="Times New Roman"/>
        </w:rPr>
      </w:pPr>
      <w:r>
        <w:rPr>
          <w:rFonts w:ascii="Times New Roman" w:hAnsi="Times New Roman"/>
        </w:rPr>
        <w:tab/>
      </w:r>
    </w:p>
    <w:p w:rsidR="0060098E" w:rsidRDefault="0060098E" w:rsidP="0060098E">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0098E" w:rsidRDefault="0060098E" w:rsidP="0060098E">
      <w:pPr>
        <w:tabs>
          <w:tab w:val="left" w:pos="-720"/>
          <w:tab w:val="left" w:pos="0"/>
          <w:tab w:val="left" w:pos="720"/>
        </w:tabs>
        <w:suppressAutoHyphens/>
        <w:ind w:left="1440" w:hanging="1440"/>
        <w:rPr>
          <w:rFonts w:ascii="Times New Roman" w:hAnsi="Times New Roman"/>
          <w:u w:val="single"/>
        </w:rPr>
      </w:pPr>
    </w:p>
    <w:p w:rsidR="0060098E" w:rsidRPr="00315019"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CD4D1B">
        <w:rPr>
          <w:rFonts w:ascii="Times New Roman" w:hAnsi="Times New Roman"/>
        </w:rPr>
        <w:t>The proposed reporting rules do not directly involve any specific pledge of confidentiality regarding the collection of data (see answer to question 10).</w:t>
      </w:r>
      <w:r>
        <w:rPr>
          <w:rFonts w:ascii="Times New Roman" w:hAnsi="Times New Roman"/>
        </w:rPr>
        <w:t xml:space="preserve">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60098E" w:rsidRDefault="0060098E" w:rsidP="0060098E">
      <w:pPr>
        <w:tabs>
          <w:tab w:val="left" w:pos="-720"/>
          <w:tab w:val="left" w:pos="0"/>
          <w:tab w:val="left" w:pos="720"/>
        </w:tabs>
        <w:suppressAutoHyphens/>
        <w:ind w:left="1440" w:hanging="1440"/>
        <w:rPr>
          <w:rFonts w:ascii="Times New Roman" w:hAnsi="Times New Roman"/>
        </w:rPr>
      </w:pPr>
    </w:p>
    <w:p w:rsidR="0060098E" w:rsidRDefault="0060098E" w:rsidP="0060098E">
      <w:pPr>
        <w:tabs>
          <w:tab w:val="left" w:pos="-720"/>
        </w:tabs>
        <w:suppressAutoHyphens/>
        <w:ind w:left="1440"/>
        <w:rPr>
          <w:rFonts w:ascii="Times New Roman" w:hAnsi="Times New Roman"/>
        </w:rPr>
      </w:pPr>
      <w:r>
        <w:rPr>
          <w:rFonts w:ascii="Times New Roman" w:hAnsi="Times New Roman"/>
          <w:szCs w:val="24"/>
        </w:rPr>
        <w:tab/>
      </w:r>
      <w:r w:rsidRPr="00CD4D1B">
        <w:rPr>
          <w:rFonts w:ascii="Times New Roman" w:hAnsi="Times New Roman"/>
          <w:szCs w:val="24"/>
        </w:rPr>
        <w:t xml:space="preserve">The Commission would protect sensitive information according to the Freedom of Information Act and 17 CFR </w:t>
      </w:r>
      <w:r>
        <w:rPr>
          <w:rFonts w:ascii="Times New Roman" w:hAnsi="Times New Roman"/>
          <w:szCs w:val="24"/>
        </w:rPr>
        <w:t>P</w:t>
      </w:r>
      <w:r w:rsidRPr="00CD4D1B">
        <w:rPr>
          <w:rFonts w:ascii="Times New Roman" w:hAnsi="Times New Roman"/>
          <w:szCs w:val="24"/>
        </w:rPr>
        <w:t>art 145, "Commission Records and Information."  In addition, the Commission fully complies with section 8(a)</w:t>
      </w:r>
      <w:r>
        <w:rPr>
          <w:rFonts w:ascii="Times New Roman" w:hAnsi="Times New Roman"/>
          <w:szCs w:val="24"/>
        </w:rPr>
        <w:t xml:space="preserve">(1) </w:t>
      </w:r>
      <w:r w:rsidRPr="00CD4D1B">
        <w:rPr>
          <w:rFonts w:ascii="Times New Roman" w:hAnsi="Times New Roman"/>
          <w:szCs w:val="24"/>
        </w:rPr>
        <w:t>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0098E" w:rsidRDefault="0060098E" w:rsidP="0060098E">
      <w:pPr>
        <w:tabs>
          <w:tab w:val="left" w:pos="-720"/>
        </w:tabs>
        <w:suppressAutoHyphens/>
        <w:rPr>
          <w:rFonts w:ascii="Times New Roman" w:hAnsi="Times New Roman"/>
        </w:rPr>
      </w:pPr>
    </w:p>
    <w:p w:rsidR="0060098E" w:rsidRPr="0063315E" w:rsidRDefault="0060098E" w:rsidP="0060098E">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szCs w:val="24"/>
        </w:rPr>
        <w:tab/>
      </w:r>
      <w:r w:rsidR="0063315E">
        <w:rPr>
          <w:rFonts w:ascii="Times New Roman" w:hAnsi="Times New Roman"/>
          <w:szCs w:val="24"/>
        </w:rPr>
        <w:t xml:space="preserve">A Federal Register Notice soliciting comments on this Collection was published in the </w:t>
      </w:r>
      <w:r w:rsidR="0063315E">
        <w:rPr>
          <w:rFonts w:ascii="Times New Roman" w:hAnsi="Times New Roman"/>
          <w:i/>
          <w:szCs w:val="24"/>
        </w:rPr>
        <w:t xml:space="preserve">Federal Register </w:t>
      </w:r>
      <w:r w:rsidR="0063315E" w:rsidRPr="00B61892">
        <w:rPr>
          <w:rFonts w:ascii="Times New Roman" w:hAnsi="Times New Roman"/>
          <w:i/>
          <w:szCs w:val="24"/>
        </w:rPr>
        <w:t>(</w:t>
      </w:r>
      <w:r w:rsidR="00B61892" w:rsidRPr="00B61892">
        <w:rPr>
          <w:rFonts w:ascii="Times New Roman" w:hAnsi="Times New Roman"/>
          <w:i/>
          <w:szCs w:val="24"/>
        </w:rPr>
        <w:t>75 FR</w:t>
      </w:r>
      <w:r w:rsidR="00B61892">
        <w:rPr>
          <w:rFonts w:ascii="Times New Roman" w:hAnsi="Times New Roman"/>
          <w:i/>
          <w:szCs w:val="24"/>
        </w:rPr>
        <w:t xml:space="preserve"> 70974 – 11/19/10</w:t>
      </w:r>
      <w:r w:rsidR="0063315E" w:rsidRPr="00B61892">
        <w:rPr>
          <w:rFonts w:ascii="Times New Roman" w:hAnsi="Times New Roman"/>
          <w:i/>
          <w:szCs w:val="24"/>
        </w:rPr>
        <w:t>).</w:t>
      </w:r>
      <w:r w:rsidR="00B556BA">
        <w:rPr>
          <w:rFonts w:ascii="Times New Roman" w:hAnsi="Times New Roman"/>
          <w:szCs w:val="24"/>
        </w:rPr>
        <w:t xml:space="preserve">  No comments received</w:t>
      </w:r>
      <w:r w:rsidR="00B61892">
        <w:rPr>
          <w:rFonts w:ascii="Times New Roman" w:hAnsi="Times New Roman"/>
          <w:szCs w:val="24"/>
        </w:rPr>
        <w:t xml:space="preserve"> as yet</w:t>
      </w:r>
      <w:r w:rsidR="00B556BA">
        <w:rPr>
          <w:rFonts w:ascii="Times New Roman" w:hAnsi="Times New Roman"/>
          <w:szCs w:val="24"/>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0098E" w:rsidRDefault="0060098E" w:rsidP="0060098E">
      <w:pPr>
        <w:tabs>
          <w:tab w:val="left" w:pos="-720"/>
        </w:tabs>
        <w:suppressAutoHyphens/>
        <w:rPr>
          <w:rFonts w:ascii="Times New Roman" w:hAnsi="Times New Roman"/>
          <w:u w:val="single"/>
        </w:rPr>
      </w:pPr>
    </w:p>
    <w:p w:rsidR="0060098E" w:rsidRPr="007B55D0" w:rsidRDefault="0060098E" w:rsidP="0060098E">
      <w:pPr>
        <w:pStyle w:val="EndnoteText"/>
        <w:tabs>
          <w:tab w:val="left" w:pos="-720"/>
        </w:tabs>
        <w:spacing w:after="240"/>
        <w:rPr>
          <w:rFonts w:ascii="Times New Roman" w:hAnsi="Times New Roman"/>
        </w:rPr>
      </w:pPr>
      <w:r>
        <w:rPr>
          <w:rFonts w:ascii="Times New Roman" w:hAnsi="Times New Roman"/>
          <w:szCs w:val="24"/>
        </w:rPr>
        <w:tab/>
        <w:t>As part of the notice of proposed rulemaking, the Commission has requested public comment with regard to all matters associated with this rulemaking.  The Commission plans to maintain contact with FBOTs on a continuous and ongoing basis to resolve issues associated with the collection of information and address concerns.</w:t>
      </w: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 xml:space="preserve">Consultation with representatives of those from whom information is to be obtained or those who must compile records should occur at least once every three years—even if the collection of information activity is the same as in prior periods.  There may be </w:t>
      </w:r>
      <w:r>
        <w:rPr>
          <w:rFonts w:ascii="Times New Roman" w:hAnsi="Times New Roman"/>
          <w:u w:val="single"/>
        </w:rPr>
        <w:lastRenderedPageBreak/>
        <w:t>circumstances that may preclude consultation in a specific situation.  These circumstances should be explained</w:t>
      </w:r>
      <w:r>
        <w:rPr>
          <w:rFonts w:ascii="Times New Roman" w:hAnsi="Times New Roman"/>
        </w:rPr>
        <w:t>.</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No such circumstances are anticipated.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60098E" w:rsidRDefault="0060098E" w:rsidP="0060098E">
      <w:pPr>
        <w:tabs>
          <w:tab w:val="left" w:pos="-720"/>
        </w:tabs>
        <w:suppressAutoHyphens/>
        <w:rPr>
          <w:rFonts w:ascii="Times New Roman" w:hAnsi="Times New Roman"/>
        </w:rPr>
      </w:pPr>
      <w:r>
        <w:rPr>
          <w:rFonts w:ascii="Times New Roman" w:hAnsi="Times New Roman"/>
        </w:rPr>
        <w:t xml:space="preserve">  </w:t>
      </w: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r>
      <w:r w:rsidRPr="00B24948">
        <w:rPr>
          <w:rFonts w:ascii="Times New Roman" w:hAnsi="Times New Roman"/>
        </w:rPr>
        <w:t xml:space="preserve">The Commission </w:t>
      </w:r>
      <w:r w:rsidR="0063315E">
        <w:rPr>
          <w:rFonts w:ascii="Times New Roman" w:hAnsi="Times New Roman"/>
        </w:rPr>
        <w:t>does not provide respondents with an assurance of confidentiality, only to the extent permitted by law.  Th</w:t>
      </w:r>
      <w:r w:rsidRPr="00B24948">
        <w:rPr>
          <w:rFonts w:ascii="Times New Roman" w:hAnsi="Times New Roman"/>
        </w:rPr>
        <w:t>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60098E" w:rsidRDefault="0060098E" w:rsidP="0060098E">
      <w:pPr>
        <w:tabs>
          <w:tab w:val="left" w:pos="-720"/>
        </w:tabs>
        <w:suppressAutoHyphens/>
        <w:ind w:left="720" w:hanging="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This question does not apply.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lastRenderedPageBreak/>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proofErr w:type="spellStart"/>
      <w:r>
        <w:rPr>
          <w:rFonts w:ascii="Times New Roman" w:hAnsi="Times New Roman"/>
        </w:rPr>
        <w:t>our</w:t>
      </w:r>
      <w:proofErr w:type="spellEnd"/>
      <w:r>
        <w:rPr>
          <w:rFonts w:ascii="Times New Roman" w:hAnsi="Times New Roman"/>
        </w:rPr>
        <w:t xml:space="preserve"> or paying outside parties for information collection activities should not be included here.  Instead, this cost should be included in Item 13.</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720"/>
        <w:rPr>
          <w:rFonts w:ascii="Times New Roman" w:hAnsi="Times New Roman"/>
        </w:rPr>
      </w:pPr>
      <w:r>
        <w:rPr>
          <w:rFonts w:ascii="Times New Roman" w:hAnsi="Times New Roman"/>
        </w:rPr>
        <w:tab/>
        <w:t xml:space="preserve">The burden figures provided below are the estimates of the Commission (See also Attachment A).  </w:t>
      </w:r>
    </w:p>
    <w:p w:rsidR="0060098E" w:rsidRDefault="0060098E" w:rsidP="0060098E">
      <w:pPr>
        <w:tabs>
          <w:tab w:val="left" w:pos="-720"/>
        </w:tabs>
        <w:suppressAutoHyphens/>
        <w:ind w:left="720"/>
        <w:rPr>
          <w:rFonts w:ascii="Times New Roman" w:hAnsi="Times New Roman"/>
        </w:rPr>
      </w:pPr>
    </w:p>
    <w:p w:rsidR="0060098E" w:rsidRDefault="0060098E" w:rsidP="0060098E">
      <w:pPr>
        <w:tabs>
          <w:tab w:val="left" w:pos="-720"/>
        </w:tabs>
        <w:suppressAutoHyphens/>
        <w:ind w:left="720"/>
        <w:rPr>
          <w:rFonts w:ascii="Times New Roman" w:hAnsi="Times New Roman"/>
        </w:rPr>
      </w:pPr>
      <w:r>
        <w:rPr>
          <w:rFonts w:ascii="Times New Roman" w:hAnsi="Times New Roman"/>
        </w:rPr>
        <w:tab/>
        <w:t xml:space="preserve">In arriving at a wage rate for the hourly costs imposed, the Commission used the Management &amp; Professional Earnings in the Securities Industry Report, published in 2010 by the Securities Industry and Financial Markets Association Report (2010 Report). </w:t>
      </w:r>
    </w:p>
    <w:p w:rsidR="0060098E" w:rsidRDefault="0060098E" w:rsidP="0060098E">
      <w:pPr>
        <w:tabs>
          <w:tab w:val="left" w:pos="-720"/>
        </w:tabs>
        <w:suppressAutoHyphens/>
        <w:ind w:left="720"/>
        <w:rPr>
          <w:rFonts w:ascii="Times New Roman" w:hAnsi="Times New Roman"/>
        </w:rPr>
      </w:pPr>
    </w:p>
    <w:p w:rsidR="0060098E" w:rsidRDefault="0060098E" w:rsidP="0060098E">
      <w:pPr>
        <w:tabs>
          <w:tab w:val="left" w:pos="-720"/>
        </w:tabs>
        <w:suppressAutoHyphens/>
        <w:ind w:left="720"/>
        <w:rPr>
          <w:rFonts w:ascii="Times New Roman" w:hAnsi="Times New Roman"/>
        </w:rPr>
      </w:pPr>
      <w:r>
        <w:rPr>
          <w:rFonts w:ascii="Times New Roman" w:hAnsi="Times New Roman"/>
        </w:rPr>
        <w:tab/>
        <w:t xml:space="preserve">Unless stated otherwise, the Commission used a composite (blended) wage by averaging the mean annual salaries of a Compliance Attorney and a Compliance Specialist (Intermediate), as published in the 2010 Report, and dividing that figure by 1,800 annual working hours to arrive at an hourly wage rate of $37.40.  The Commission chose this methodology to account for the variance in skill sets that may be used to accomplish the collections of information under the proposed regulations.  It is important to note that the hourly wage referenced above does not take bonuses into account and certain variables such as employee benefits which can increase the costs of labor. </w:t>
      </w:r>
    </w:p>
    <w:p w:rsidR="0060098E" w:rsidRDefault="0060098E" w:rsidP="0060098E">
      <w:pPr>
        <w:tabs>
          <w:tab w:val="left" w:pos="-720"/>
        </w:tabs>
        <w:suppressAutoHyphens/>
        <w:ind w:left="720"/>
        <w:rPr>
          <w:rFonts w:ascii="Times New Roman" w:hAnsi="Times New Roman"/>
        </w:rPr>
      </w:pPr>
    </w:p>
    <w:p w:rsidR="0060098E" w:rsidRDefault="0060098E" w:rsidP="0060098E">
      <w:pPr>
        <w:numPr>
          <w:ilvl w:val="0"/>
          <w:numId w:val="2"/>
        </w:numPr>
        <w:tabs>
          <w:tab w:val="left" w:pos="-720"/>
        </w:tabs>
        <w:suppressAutoHyphens/>
        <w:rPr>
          <w:rFonts w:ascii="Times New Roman" w:hAnsi="Times New Roman"/>
        </w:rPr>
      </w:pPr>
      <w:r>
        <w:rPr>
          <w:rFonts w:ascii="Times New Roman" w:hAnsi="Times New Roman"/>
        </w:rPr>
        <w:t>FBOT Registration Reporting Requirements</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For the 20 FBOTs currently operating pursuant to existing no-action relief, proposed regulation 48.6 provides for a “limited” application process.  </w:t>
      </w:r>
      <w:r w:rsidRPr="00167957">
        <w:rPr>
          <w:rFonts w:ascii="Times New Roman" w:hAnsi="Times New Roman"/>
        </w:rPr>
        <w:t>Such FBOTs would apply for registration by (1) identifying the specific requirements for registration set forth in section 48.7 or information and documentation required by the Appendix to Part 48 that are satisfied by information  previously submitted in the request for no-action relief that remain current and true and resubmitting such information and documentation, and (2) submitting any information and documentation required in a complete application for registration that was not previously provided or is no longer current.</w:t>
      </w:r>
      <w:r>
        <w:rPr>
          <w:rFonts w:ascii="Times New Roman" w:hAnsi="Times New Roman"/>
        </w:rPr>
        <w:t xml:space="preserve">  The Commission estimates that each FBOT would spend approximately 50 hours of professional time to submit the registration application.  Accordingly, the Commission estimates that the aggregate annual hourly burden would be 1,000 hours resulting in an aggregate annualized cost of $37,400.</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Proposed regulation 48.7 sets forth the registration requirements for FBOTs that do not have no-action relief from Commission staff.  Currently, six FBOT requests for no-action relief are pending with the Commission staff.  The Commission estimates that approximately one additional FBOT per year will seek to become registered with the Commission. Therefore, the Commission used a total of seven FBOTs in its calculation for the number of FBOTs that will be subject to the registration requirements under regulation 48.7.  The registration requirements are divided into the same seven general categories evaluated during the course of a review of an application for no-action relief:  membership criteria, trading system, contracts, settlement and clearing, regulatory authorities, rules and rule enforcement, and information sharing.  The Commission estimates that each FBOT would spend approximately 1,000 hours of professional </w:t>
      </w:r>
      <w:r>
        <w:rPr>
          <w:rFonts w:ascii="Times New Roman" w:hAnsi="Times New Roman"/>
        </w:rPr>
        <w:lastRenderedPageBreak/>
        <w:t xml:space="preserve">time to submit the required information.  Accordingly, the Commission estimates the aggregate annual hourly burden would be 7,000 hours resulting in an aggregate annualized cost of $261,800.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Thus, the Commission estimates that the combined total for registration reporting requirements under regulations 48.6 and 48.7 would be an aggregate hourly burden of 8,000 hours resulting in an aggregate annualized cost of $299,200.</w:t>
      </w:r>
    </w:p>
    <w:p w:rsidR="0060098E" w:rsidRDefault="0060098E" w:rsidP="0060098E">
      <w:pPr>
        <w:tabs>
          <w:tab w:val="left" w:pos="-720"/>
        </w:tabs>
        <w:suppressAutoHyphens/>
        <w:rPr>
          <w:rFonts w:ascii="Times New Roman" w:hAnsi="Times New Roman"/>
        </w:rPr>
      </w:pPr>
    </w:p>
    <w:p w:rsidR="0060098E" w:rsidRDefault="0060098E" w:rsidP="0060098E">
      <w:pPr>
        <w:numPr>
          <w:ilvl w:val="0"/>
          <w:numId w:val="2"/>
        </w:numPr>
        <w:tabs>
          <w:tab w:val="left" w:pos="-720"/>
        </w:tabs>
        <w:suppressAutoHyphens/>
        <w:rPr>
          <w:rFonts w:ascii="Times New Roman" w:hAnsi="Times New Roman"/>
        </w:rPr>
      </w:pPr>
      <w:r>
        <w:rPr>
          <w:rFonts w:ascii="Times New Roman" w:hAnsi="Times New Roman"/>
        </w:rPr>
        <w:t>Reporting Requirements for Registered FBOTs</w:t>
      </w:r>
    </w:p>
    <w:p w:rsidR="0060098E" w:rsidRDefault="0060098E" w:rsidP="0060098E">
      <w:pPr>
        <w:tabs>
          <w:tab w:val="left" w:pos="-720"/>
        </w:tabs>
        <w:suppressAutoHyphens/>
        <w:ind w:left="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The proposed regulations detail the conditions that a registered FBOT must meet to retain its registration, including general conditions, upon occurrence, and quarterly and annual reporting obligations that are necessary to provide ongoing visibility with respect to a registered FBOT’s performance.  First, pursuant to regulation 48.8(b)(1)(</w:t>
      </w:r>
      <w:proofErr w:type="spellStart"/>
      <w:r>
        <w:rPr>
          <w:rFonts w:ascii="Times New Roman" w:hAnsi="Times New Roman"/>
        </w:rPr>
        <w:t>i</w:t>
      </w:r>
      <w:proofErr w:type="spellEnd"/>
      <w:r>
        <w:rPr>
          <w:rFonts w:ascii="Times New Roman" w:hAnsi="Times New Roman"/>
        </w:rPr>
        <w:t>)(A), the FBOT would be required to maintain and provide to the Commission on at least a quarterly basis, and at any time promptly upon request, certain volume data including, among other things, data that reflects the percentage of trading originating in the U.S.  Second, regulation 48.8(b)(1)(ii)(A)-(F) would require the FBOT to promptly provide the Commission with written notice of certain material changes, including any material change in the information provided in the FBOT’s registration application.  Third, regulation 48.8(b</w:t>
      </w:r>
      <w:proofErr w:type="gramStart"/>
      <w:r>
        <w:rPr>
          <w:rFonts w:ascii="Times New Roman" w:hAnsi="Times New Roman"/>
        </w:rPr>
        <w:t>)(</w:t>
      </w:r>
      <w:proofErr w:type="gramEnd"/>
      <w:r>
        <w:rPr>
          <w:rFonts w:ascii="Times New Roman" w:hAnsi="Times New Roman"/>
        </w:rPr>
        <w:t xml:space="preserve">1)(iii)(A)-(F) would require the FBOT to provide the Commission with a certification on an annual basis concerning, among other things, the FBOT’s “good standing” as a regulated exchange.  Fourth, regulation 48.9 would require the FBOT, upon request by the Commission, to file with the Commission a written demonstration of compliance with the registration requirements or conditions for registration.  Finally, if the FBOT wishes to list additional futures, options, and swaps contracts for trading by direct access to the FBOT’s electronic trading and order matching systems from the United States, regulation 48.10 would require the FBOT to file a written request with the Commission prior to offering the contracts from within the United States.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The Commission estimates that the 27 registered FBOTs would spend approximately 36 hours of professional time to satisfy the ongoing conditions for registration.  Accordingly, the Commission estimates that the aggregate annual hourly burden would be 972 hours resulting in an aggregate annualized cost of $36,352.80.  </w:t>
      </w:r>
    </w:p>
    <w:p w:rsidR="0060098E" w:rsidRDefault="0060098E" w:rsidP="0060098E">
      <w:pPr>
        <w:tabs>
          <w:tab w:val="left" w:pos="-720"/>
        </w:tabs>
        <w:suppressAutoHyphens/>
        <w:ind w:left="720"/>
        <w:rPr>
          <w:rFonts w:ascii="Times New Roman" w:hAnsi="Times New Roman"/>
        </w:rPr>
      </w:pPr>
    </w:p>
    <w:p w:rsidR="0060098E" w:rsidRDefault="0060098E" w:rsidP="0060098E">
      <w:pPr>
        <w:numPr>
          <w:ilvl w:val="0"/>
          <w:numId w:val="2"/>
        </w:numPr>
        <w:tabs>
          <w:tab w:val="left" w:pos="-720"/>
        </w:tabs>
        <w:suppressAutoHyphens/>
        <w:rPr>
          <w:rFonts w:ascii="Times New Roman" w:hAnsi="Times New Roman"/>
        </w:rPr>
      </w:pPr>
      <w:r>
        <w:rPr>
          <w:rFonts w:ascii="Times New Roman" w:hAnsi="Times New Roman"/>
        </w:rPr>
        <w:t>Reporting Requirements for Registered FBOTs with a Linked Contract</w:t>
      </w:r>
    </w:p>
    <w:p w:rsidR="0060098E" w:rsidRDefault="0060098E" w:rsidP="0060098E">
      <w:pPr>
        <w:tabs>
          <w:tab w:val="left" w:pos="-720"/>
        </w:tabs>
        <w:suppressAutoHyphens/>
        <w:ind w:left="108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r>
      <w:r w:rsidRPr="00295D78">
        <w:rPr>
          <w:rFonts w:ascii="Times New Roman" w:hAnsi="Times New Roman"/>
        </w:rPr>
        <w:t>The proposed regulations impose additional conditions on FBOTs that desire to make a linked contract available by direct access to members of the FBOT or other participants located in the U.S.  These conditions would be required as part of the registration process and include the following:  (1) prompt notification of certain material changes to the linked contract pursuant to regulation 48.8(c)(1)(ii)(C)(1)-(4); (2) daily submission of large trader position information pursuant to regulation 48.8(c)(1)(ii)(D); (3) daily submission of aggregate trader position information pursuant to regulation 48.8(c)(1)(ii)(E); (4) submission of a quarterly report pursuant to 48.8(c)(2)(</w:t>
      </w:r>
      <w:proofErr w:type="spellStart"/>
      <w:r w:rsidRPr="00295D78">
        <w:rPr>
          <w:rFonts w:ascii="Times New Roman" w:hAnsi="Times New Roman"/>
        </w:rPr>
        <w:t>i</w:t>
      </w:r>
      <w:proofErr w:type="spellEnd"/>
      <w:r w:rsidRPr="00295D78">
        <w:rPr>
          <w:rFonts w:ascii="Times New Roman" w:hAnsi="Times New Roman"/>
        </w:rPr>
        <w:t xml:space="preserve">); (5) daily submission of trade execution and audit trail data pursuant to regulation 48.8(c)(2)(ii); (6) submission, at least one day prior to the effective date, copies of, or hyperlinks to, all rules, rule amendments, circulars and other notices published by the FBOT pursuant to </w:t>
      </w:r>
      <w:r w:rsidRPr="00295D78">
        <w:rPr>
          <w:rFonts w:ascii="Times New Roman" w:hAnsi="Times New Roman"/>
        </w:rPr>
        <w:lastRenderedPageBreak/>
        <w:t xml:space="preserve">regulation 48.8(C)(2)(iv); and (7) submission of all disciplinary notices involving linked contracts upon closure of the action pursuant to regulation 48.8(c)(2)(v).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The Commission estimates that a registered FBOT with a linked contract would spend approximately 1,812 hours to submit the information described above.  Currently, there is one FBOT with a linked contract that is subject to these conditions.  Accordingly, the Commission estimates that the aggregate annualized cost for the FBOT with a linked contract would be $67,768.80.     </w:t>
      </w:r>
    </w:p>
    <w:p w:rsidR="0060098E" w:rsidRDefault="0060098E" w:rsidP="0060098E">
      <w:pPr>
        <w:pStyle w:val="ListParagraph"/>
        <w:widowControl w:val="0"/>
        <w:ind w:left="1440"/>
      </w:pPr>
    </w:p>
    <w:p w:rsidR="0060098E" w:rsidRDefault="0060098E" w:rsidP="0060098E">
      <w:pPr>
        <w:numPr>
          <w:ilvl w:val="0"/>
          <w:numId w:val="2"/>
        </w:numPr>
        <w:tabs>
          <w:tab w:val="left" w:pos="-720"/>
        </w:tabs>
        <w:suppressAutoHyphens/>
        <w:rPr>
          <w:rFonts w:ascii="Times New Roman" w:hAnsi="Times New Roman"/>
        </w:rPr>
      </w:pPr>
      <w:r w:rsidRPr="004C070C">
        <w:rPr>
          <w:rFonts w:ascii="Times New Roman" w:hAnsi="Times New Roman"/>
        </w:rPr>
        <w:t>Reporting R</w:t>
      </w:r>
      <w:r>
        <w:rPr>
          <w:rFonts w:ascii="Times New Roman" w:hAnsi="Times New Roman"/>
        </w:rPr>
        <w:t>equirements for FBOTs that Make Swaps Available by Direct Access</w:t>
      </w:r>
    </w:p>
    <w:p w:rsidR="0060098E" w:rsidRDefault="0060098E" w:rsidP="0060098E">
      <w:pPr>
        <w:tabs>
          <w:tab w:val="left" w:pos="-720"/>
        </w:tabs>
        <w:suppressAutoHyphens/>
        <w:ind w:left="72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r>
      <w:r w:rsidRPr="002A2C03">
        <w:rPr>
          <w:rFonts w:ascii="Times New Roman" w:hAnsi="Times New Roman"/>
        </w:rPr>
        <w:t xml:space="preserve">With respect to swaps contracts, if the FBOT makes swaps contracts available by direct access, </w:t>
      </w:r>
      <w:r>
        <w:rPr>
          <w:rFonts w:ascii="Times New Roman" w:hAnsi="Times New Roman"/>
        </w:rPr>
        <w:t>regulation 48.8(a)(8)(</w:t>
      </w:r>
      <w:proofErr w:type="spellStart"/>
      <w:r>
        <w:rPr>
          <w:rFonts w:ascii="Times New Roman" w:hAnsi="Times New Roman"/>
        </w:rPr>
        <w:t>i</w:t>
      </w:r>
      <w:proofErr w:type="spellEnd"/>
      <w:r>
        <w:rPr>
          <w:rFonts w:ascii="Times New Roman" w:hAnsi="Times New Roman"/>
        </w:rPr>
        <w:t xml:space="preserve">) would require </w:t>
      </w:r>
      <w:r w:rsidRPr="002A2C03">
        <w:rPr>
          <w:rFonts w:ascii="Times New Roman" w:hAnsi="Times New Roman"/>
        </w:rPr>
        <w:t>the FBOT to report to the public, on a real-time basis, data relating to each swap transaction, including price and volume, as soon as technologically practicable after exec</w:t>
      </w:r>
      <w:r>
        <w:rPr>
          <w:rFonts w:ascii="Times New Roman" w:hAnsi="Times New Roman"/>
        </w:rPr>
        <w:t xml:space="preserve">ution of the swap transaction.  The FBOT may satisfy the public reporting requirement by posting real-time swap transaction and pricing data on the FBOT’s web site.  </w:t>
      </w:r>
      <w:r w:rsidRPr="002A2C03">
        <w:rPr>
          <w:rFonts w:ascii="Times New Roman" w:hAnsi="Times New Roman"/>
        </w:rPr>
        <w:t xml:space="preserve">In addition, </w:t>
      </w:r>
      <w:r>
        <w:rPr>
          <w:rFonts w:ascii="Times New Roman" w:hAnsi="Times New Roman"/>
        </w:rPr>
        <w:t>regulation 48.8(a</w:t>
      </w:r>
      <w:proofErr w:type="gramStart"/>
      <w:r>
        <w:rPr>
          <w:rFonts w:ascii="Times New Roman" w:hAnsi="Times New Roman"/>
        </w:rPr>
        <w:t>)(</w:t>
      </w:r>
      <w:proofErr w:type="gramEnd"/>
      <w:r>
        <w:rPr>
          <w:rFonts w:ascii="Times New Roman" w:hAnsi="Times New Roman"/>
        </w:rPr>
        <w:t xml:space="preserve">8)(ii) </w:t>
      </w:r>
      <w:r w:rsidRPr="002A2C03">
        <w:rPr>
          <w:rFonts w:ascii="Times New Roman" w:hAnsi="Times New Roman"/>
        </w:rPr>
        <w:t xml:space="preserve">would </w:t>
      </w:r>
      <w:r>
        <w:rPr>
          <w:rFonts w:ascii="Times New Roman" w:hAnsi="Times New Roman"/>
        </w:rPr>
        <w:t xml:space="preserve">require the FBOT </w:t>
      </w:r>
      <w:r w:rsidRPr="002A2C03">
        <w:rPr>
          <w:rFonts w:ascii="Times New Roman" w:hAnsi="Times New Roman"/>
        </w:rPr>
        <w:t xml:space="preserve">to ensure that all swap transaction data is timely reported to a swaps data repository.   </w:t>
      </w:r>
    </w:p>
    <w:p w:rsidR="0060098E" w:rsidRPr="004C070C" w:rsidRDefault="0060098E" w:rsidP="0060098E">
      <w:pPr>
        <w:tabs>
          <w:tab w:val="left" w:pos="-720"/>
        </w:tabs>
        <w:suppressAutoHyphens/>
        <w:ind w:left="1080"/>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Because the Commission has not previously regulated the swap market, it has limited swap data relevant to the estimate concerning the proposed regulations described above.  Therefore, the Commission requested comment on this estimate in the proposed rulemaking.  The Commission estimates that approximately four FBOTs would make swaps available by direct access and each would spend approximately 4,160 hours to comply with the information reporting requirements for all swap transactions executed on the FBOT. This calculation is based on the estimated number of trading days in a year (250) and includes all swap transactions reported on a real-time basis and to the swap data repository for each trading day.  For purposes of the determining the annualized cost for each FBOT, the Commission used a composite (blended) wage rate by averaging the mean annual salaries of a Compliance Attorney, Compliance Specialist (Intermediate), and a Computer Operations Manager from the 2010 Report.  The salary of a Computer Operations Manager was added to this calculation because the Commission recognizes that a technology professional may be appropriate for the FBOT in order to comply with the proposed regulations.  Therefore, the hourly wage used in this calculation is $45.43.  Accordingly, the Commission estimates the aggregate annual hourly burden would be 16,640 hours resulting in an aggregate annualized cost of $755,955.</w:t>
      </w:r>
    </w:p>
    <w:p w:rsidR="0060098E" w:rsidRDefault="0060098E" w:rsidP="0060098E">
      <w:pPr>
        <w:tabs>
          <w:tab w:val="left" w:pos="-720"/>
        </w:tabs>
        <w:suppressAutoHyphens/>
        <w:rPr>
          <w:rFonts w:ascii="Times New Roman" w:hAnsi="Times New Roman"/>
        </w:rPr>
      </w:pPr>
      <w:r>
        <w:rPr>
          <w:rFonts w:ascii="Times New Roman" w:hAnsi="Times New Roman"/>
        </w:rPr>
        <w:t xml:space="preserve">     </w:t>
      </w:r>
    </w:p>
    <w:p w:rsidR="0060098E" w:rsidRDefault="0060098E" w:rsidP="0060098E">
      <w:pPr>
        <w:tabs>
          <w:tab w:val="left" w:pos="-720"/>
        </w:tabs>
        <w:suppressAutoHyphens/>
        <w:ind w:left="720"/>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w:t>
      </w:r>
      <w:proofErr w:type="spellStart"/>
      <w:r>
        <w:rPr>
          <w:rFonts w:ascii="Times New Roman" w:hAnsi="Times New Roman"/>
          <w:u w:val="single"/>
        </w:rPr>
        <w:t>form</w:t>
      </w:r>
      <w:proofErr w:type="spellEnd"/>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Pr>
          <w:rFonts w:ascii="Times New Roman" w:hAnsi="Times New Roman"/>
        </w:rPr>
        <w:lastRenderedPageBreak/>
        <w:t>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60098E" w:rsidRDefault="0060098E" w:rsidP="0060098E">
      <w:pPr>
        <w:tabs>
          <w:tab w:val="left" w:pos="-720"/>
        </w:tabs>
        <w:suppressAutoHyphens/>
        <w:rPr>
          <w:rFonts w:ascii="Times New Roman" w:hAnsi="Times New Roman"/>
        </w:rPr>
      </w:pPr>
    </w:p>
    <w:p w:rsidR="0060098E" w:rsidRPr="00DE41AE" w:rsidRDefault="0060098E" w:rsidP="0060098E">
      <w:pPr>
        <w:tabs>
          <w:tab w:val="left" w:pos="-720"/>
        </w:tabs>
        <w:suppressAutoHyphens/>
        <w:rPr>
          <w:rFonts w:ascii="Times New Roman" w:hAnsi="Times New Roman"/>
        </w:rPr>
      </w:pPr>
      <w:r>
        <w:rPr>
          <w:rFonts w:ascii="Times New Roman" w:hAnsi="Times New Roman"/>
        </w:rPr>
        <w:tab/>
        <w:t>The Commission believes that the relevant costs are addressed in the answers to question 12 and Attachment A.</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60098E" w:rsidRDefault="0060098E" w:rsidP="0060098E">
      <w:pPr>
        <w:tabs>
          <w:tab w:val="left" w:pos="-720"/>
        </w:tabs>
        <w:suppressAutoHyphens/>
        <w:ind w:left="720" w:hanging="720"/>
        <w:rPr>
          <w:rFonts w:ascii="Times New Roman" w:hAnsi="Times New Roman"/>
        </w:rPr>
      </w:pPr>
    </w:p>
    <w:p w:rsidR="0060098E" w:rsidRPr="005526A8" w:rsidRDefault="0060098E" w:rsidP="0060098E">
      <w:pPr>
        <w:tabs>
          <w:tab w:val="left" w:pos="-720"/>
        </w:tabs>
        <w:suppressAutoHyphens/>
        <w:rPr>
          <w:rFonts w:ascii="Times New Roman" w:hAnsi="Times New Roman"/>
          <w:u w:val="single"/>
        </w:rPr>
      </w:pPr>
      <w:r>
        <w:rPr>
          <w:rFonts w:ascii="Times New Roman" w:hAnsi="Times New Roman"/>
        </w:rPr>
        <w:tab/>
        <w:t>The primary costs for reviewing and analyzing documents under the new information collections are the salaries and benefits of the Commission’s legal staff.  The Commission estimates that three full-time attorneys and one full-time legal assistant would be needed to review and analyze approximately 27 FBOT registration applications.  Thereafter, the Commission estimates that one full-time attorney and one full-time legal assistant would be needed to review new FBOT registration applications and the ongoing reporting obligations of the registered FBOTs.  The average salary in 2010 for an attorney at the Commission</w:t>
      </w:r>
      <w:r w:rsidRPr="005526A8">
        <w:rPr>
          <w:rFonts w:ascii="Times New Roman" w:hAnsi="Times New Roman"/>
        </w:rPr>
        <w:t xml:space="preserve"> </w:t>
      </w:r>
      <w:r>
        <w:rPr>
          <w:rFonts w:ascii="Times New Roman" w:hAnsi="Times New Roman"/>
        </w:rPr>
        <w:t xml:space="preserve">is $159,494.00 and $96,546.00 for </w:t>
      </w:r>
      <w:r w:rsidRPr="005526A8">
        <w:rPr>
          <w:rFonts w:ascii="Times New Roman" w:hAnsi="Times New Roman"/>
        </w:rPr>
        <w:t>a</w:t>
      </w:r>
      <w:r>
        <w:rPr>
          <w:rFonts w:ascii="Times New Roman" w:hAnsi="Times New Roman"/>
        </w:rPr>
        <w:t xml:space="preserve"> legal assistant.  In order to account for overhead and other benefits for each employee, the salaries have been multiplied by 1.3.  Therefore, three attorneys and one legal assistant would cost the Commission approximately $747,535 per year to review the FBOT registration applications.  Thereafter, the estimated cost to the Commission to review any additional registration applications and the ongoing compliance obligations of the registered FBOTs would be approximately $332,851 per year.</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lastRenderedPageBreak/>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These are new collections and the question, therefore, does not apply.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60098E" w:rsidRDefault="0060098E" w:rsidP="0060098E">
      <w:pPr>
        <w:tabs>
          <w:tab w:val="left" w:pos="-720"/>
          <w:tab w:val="left" w:pos="0"/>
        </w:tabs>
        <w:suppressAutoHyphens/>
        <w:ind w:left="720" w:hanging="720"/>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This question does not apply.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rPr>
          <w:rFonts w:ascii="Times New Roman" w:hAnsi="Times New Roman"/>
        </w:rPr>
      </w:pPr>
      <w:r>
        <w:rPr>
          <w:rFonts w:ascii="Times New Roman" w:hAnsi="Times New Roman"/>
        </w:rPr>
        <w:tab/>
        <w:t xml:space="preserve">No exceptions exist.  </w:t>
      </w:r>
    </w:p>
    <w:p w:rsidR="0060098E" w:rsidRDefault="0060098E" w:rsidP="0060098E">
      <w:pPr>
        <w:tabs>
          <w:tab w:val="left" w:pos="-720"/>
        </w:tabs>
        <w:suppressAutoHyphens/>
        <w:rPr>
          <w:rFonts w:ascii="Times New Roman" w:hAnsi="Times New Roman"/>
        </w:rPr>
      </w:pPr>
      <w:r>
        <w:rPr>
          <w:rFonts w:ascii="Times New Roman" w:hAnsi="Times New Roman"/>
        </w:rPr>
        <w:tab/>
      </w:r>
    </w:p>
    <w:p w:rsidR="0060098E" w:rsidRDefault="0060098E" w:rsidP="0060098E">
      <w:pPr>
        <w:tabs>
          <w:tab w:val="left" w:pos="-720"/>
        </w:tabs>
        <w:suppressAutoHyphens/>
        <w:jc w:val="center"/>
        <w:rPr>
          <w:rFonts w:ascii="Times New Roman" w:hAnsi="Times New Roman"/>
          <w:b/>
        </w:rPr>
      </w:pPr>
      <w:r>
        <w:rPr>
          <w:rFonts w:ascii="Times New Roman" w:hAnsi="Times New Roman"/>
        </w:rPr>
        <w:br w:type="page"/>
      </w:r>
      <w:r>
        <w:rPr>
          <w:rFonts w:ascii="Times New Roman" w:hAnsi="Times New Roman"/>
          <w:b/>
        </w:rPr>
        <w:lastRenderedPageBreak/>
        <w:t>ATTACHMENT A</w:t>
      </w:r>
    </w:p>
    <w:p w:rsidR="0060098E" w:rsidRDefault="0060098E" w:rsidP="0060098E">
      <w:pPr>
        <w:tabs>
          <w:tab w:val="left" w:pos="-720"/>
        </w:tabs>
        <w:suppressAutoHyphens/>
        <w:jc w:val="center"/>
        <w:rPr>
          <w:rFonts w:ascii="Times New Roman" w:hAnsi="Times New Roman"/>
          <w:b/>
        </w:rPr>
      </w:pPr>
    </w:p>
    <w:p w:rsidR="0060098E" w:rsidRDefault="0060098E" w:rsidP="0060098E">
      <w:pPr>
        <w:tabs>
          <w:tab w:val="left" w:pos="-720"/>
        </w:tabs>
        <w:suppressAutoHyphens/>
        <w:jc w:val="center"/>
        <w:rPr>
          <w:rFonts w:ascii="Times New Roman" w:hAnsi="Times New Roman"/>
          <w:b/>
        </w:rPr>
      </w:pPr>
      <w:r>
        <w:rPr>
          <w:rFonts w:ascii="Times New Roman" w:hAnsi="Times New Roman"/>
          <w:b/>
        </w:rPr>
        <w:t>Registration of Foreign Boards of Trade</w:t>
      </w:r>
    </w:p>
    <w:p w:rsidR="0060098E" w:rsidRDefault="0060098E" w:rsidP="0060098E">
      <w:pPr>
        <w:tabs>
          <w:tab w:val="left" w:pos="-720"/>
        </w:tabs>
        <w:suppressAutoHyphens/>
        <w:rPr>
          <w:rFonts w:ascii="Times New Roman" w:hAnsi="Times New Roman"/>
          <w:b/>
        </w:rPr>
      </w:pPr>
    </w:p>
    <w:p w:rsidR="0060098E" w:rsidRDefault="0060098E" w:rsidP="0060098E">
      <w:pPr>
        <w:numPr>
          <w:ilvl w:val="0"/>
          <w:numId w:val="3"/>
        </w:numPr>
        <w:tabs>
          <w:tab w:val="left" w:pos="-720"/>
        </w:tabs>
        <w:suppressAutoHyphens/>
        <w:rPr>
          <w:rFonts w:ascii="Times New Roman" w:hAnsi="Times New Roman"/>
          <w:b/>
        </w:rPr>
      </w:pPr>
      <w:r>
        <w:rPr>
          <w:rFonts w:ascii="Times New Roman" w:hAnsi="Times New Roman"/>
          <w:b/>
        </w:rPr>
        <w:t>Registration Application</w:t>
      </w:r>
    </w:p>
    <w:p w:rsidR="0060098E" w:rsidRDefault="0060098E" w:rsidP="0060098E">
      <w:pPr>
        <w:tabs>
          <w:tab w:val="left" w:pos="-720"/>
        </w:tabs>
        <w:suppressAutoHyphens/>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260"/>
        <w:gridCol w:w="1557"/>
        <w:gridCol w:w="1587"/>
        <w:gridCol w:w="1587"/>
        <w:gridCol w:w="1587"/>
      </w:tblGrid>
      <w:tr w:rsidR="0060098E" w:rsidRPr="005C053B" w:rsidTr="005D352B">
        <w:tc>
          <w:tcPr>
            <w:tcW w:w="1998"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Regulation OMB Collection #3038-XXXX</w:t>
            </w:r>
          </w:p>
        </w:tc>
        <w:tc>
          <w:tcPr>
            <w:tcW w:w="1260"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 of </w:t>
            </w:r>
            <w:proofErr w:type="spellStart"/>
            <w:r w:rsidRPr="007F6F01">
              <w:rPr>
                <w:rFonts w:ascii="Times New Roman" w:hAnsi="Times New Roman"/>
                <w:b/>
              </w:rPr>
              <w:t>Respon</w:t>
            </w:r>
            <w:proofErr w:type="spellEnd"/>
            <w:r w:rsidRPr="007F6F01">
              <w:rPr>
                <w:rFonts w:ascii="Times New Roman" w:hAnsi="Times New Roman"/>
                <w:b/>
              </w:rPr>
              <w:t>-dents</w:t>
            </w:r>
          </w:p>
        </w:tc>
        <w:tc>
          <w:tcPr>
            <w:tcW w:w="155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Reports Annually By Each Respondent </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Total Annual Responses</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Estimated Average Number of Hours Per Response</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Total Number of Hours of Annual Burden </w:t>
            </w:r>
          </w:p>
        </w:tc>
      </w:tr>
      <w:tr w:rsidR="0060098E" w:rsidRPr="005C053B" w:rsidTr="005D352B">
        <w:tc>
          <w:tcPr>
            <w:tcW w:w="1998" w:type="dxa"/>
          </w:tcPr>
          <w:p w:rsidR="0060098E" w:rsidRDefault="0060098E" w:rsidP="005D352B">
            <w:pPr>
              <w:tabs>
                <w:tab w:val="left" w:pos="-720"/>
              </w:tabs>
              <w:suppressAutoHyphens/>
            </w:pPr>
            <w:r w:rsidRPr="005C053B">
              <w:rPr>
                <w:rFonts w:ascii="Times New Roman" w:hAnsi="Times New Roman"/>
              </w:rPr>
              <w:t xml:space="preserve">Regulation </w:t>
            </w:r>
            <w:r>
              <w:rPr>
                <w:rFonts w:ascii="Times New Roman" w:hAnsi="Times New Roman"/>
              </w:rPr>
              <w:t xml:space="preserve">48.6 regarding submission of </w:t>
            </w:r>
            <w:r w:rsidRPr="005C053B">
              <w:rPr>
                <w:rFonts w:ascii="Times New Roman" w:hAnsi="Times New Roman"/>
              </w:rPr>
              <w:t xml:space="preserve"> </w:t>
            </w:r>
            <w:r>
              <w:rPr>
                <w:rFonts w:ascii="Times New Roman" w:hAnsi="Times New Roman"/>
              </w:rPr>
              <w:t xml:space="preserve">“limited” application </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20*</w:t>
            </w:r>
          </w:p>
        </w:tc>
        <w:tc>
          <w:tcPr>
            <w:tcW w:w="155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50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1,000</w:t>
            </w:r>
          </w:p>
        </w:tc>
      </w:tr>
      <w:tr w:rsidR="0060098E" w:rsidRPr="005C053B" w:rsidTr="005D352B">
        <w:tc>
          <w:tcPr>
            <w:tcW w:w="1998" w:type="dxa"/>
          </w:tcPr>
          <w:p w:rsidR="0060098E" w:rsidRDefault="0060098E" w:rsidP="005D352B">
            <w:pPr>
              <w:tabs>
                <w:tab w:val="left" w:pos="-720"/>
              </w:tabs>
              <w:suppressAutoHyphens/>
            </w:pPr>
            <w:r w:rsidRPr="005C053B">
              <w:rPr>
                <w:rFonts w:ascii="Times New Roman" w:hAnsi="Times New Roman"/>
              </w:rPr>
              <w:t xml:space="preserve">Regulation </w:t>
            </w:r>
            <w:r>
              <w:rPr>
                <w:rFonts w:ascii="Times New Roman" w:hAnsi="Times New Roman"/>
              </w:rPr>
              <w:t xml:space="preserve">48.7 </w:t>
            </w:r>
            <w:r w:rsidRPr="005C053B">
              <w:rPr>
                <w:rFonts w:ascii="Times New Roman" w:hAnsi="Times New Roman"/>
              </w:rPr>
              <w:t xml:space="preserve">regarding </w:t>
            </w:r>
            <w:r>
              <w:rPr>
                <w:rFonts w:ascii="Times New Roman" w:hAnsi="Times New Roman"/>
              </w:rPr>
              <w:t xml:space="preserve">information and documentation requirements for registration </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7**</w:t>
            </w:r>
          </w:p>
        </w:tc>
        <w:tc>
          <w:tcPr>
            <w:tcW w:w="155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7</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1,000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7,000</w:t>
            </w:r>
          </w:p>
        </w:tc>
      </w:tr>
      <w:tr w:rsidR="0060098E" w:rsidRPr="005C053B" w:rsidTr="005D352B">
        <w:tc>
          <w:tcPr>
            <w:tcW w:w="1998"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Total recordkeeping requirements (subpart A)</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557" w:type="dxa"/>
          </w:tcPr>
          <w:p w:rsidR="0060098E" w:rsidRPr="005C053B" w:rsidRDefault="0060098E" w:rsidP="005D352B">
            <w:pPr>
              <w:tabs>
                <w:tab w:val="left" w:pos="-720"/>
              </w:tabs>
              <w:suppressAutoHyphens/>
              <w:rPr>
                <w:rFonts w:ascii="Times New Roman" w:hAnsi="Times New Roman"/>
              </w:rPr>
            </w:pP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27</w:t>
            </w:r>
          </w:p>
        </w:tc>
        <w:tc>
          <w:tcPr>
            <w:tcW w:w="1587" w:type="dxa"/>
          </w:tcPr>
          <w:p w:rsidR="0060098E" w:rsidRDefault="0060098E" w:rsidP="005D352B">
            <w:pPr>
              <w:tabs>
                <w:tab w:val="left" w:pos="-720"/>
              </w:tabs>
              <w:suppressAutoHyphens/>
              <w:rPr>
                <w:rFonts w:ascii="Times New Roman" w:hAnsi="Times New Roman"/>
              </w:rPr>
            </w:pP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8,000</w:t>
            </w:r>
          </w:p>
        </w:tc>
      </w:tr>
    </w:tbl>
    <w:p w:rsidR="0060098E" w:rsidRDefault="0060098E" w:rsidP="0060098E">
      <w:pPr>
        <w:tabs>
          <w:tab w:val="left" w:pos="-720"/>
        </w:tabs>
        <w:suppressAutoHyphens/>
        <w:jc w:val="center"/>
        <w:rPr>
          <w:rFonts w:ascii="Times New Roman" w:hAnsi="Times New Roman"/>
          <w:b/>
        </w:rPr>
      </w:pPr>
    </w:p>
    <w:p w:rsidR="0060098E" w:rsidRDefault="0060098E" w:rsidP="0060098E">
      <w:pPr>
        <w:tabs>
          <w:tab w:val="left" w:pos="-720"/>
        </w:tabs>
        <w:suppressAutoHyphens/>
        <w:rPr>
          <w:rFonts w:ascii="Times New Roman" w:hAnsi="Times New Roman"/>
        </w:rPr>
      </w:pPr>
      <w:r w:rsidRPr="00B41FA3">
        <w:rPr>
          <w:rFonts w:ascii="Times New Roman" w:hAnsi="Times New Roman"/>
        </w:rPr>
        <w:t>*</w:t>
      </w:r>
      <w:r>
        <w:rPr>
          <w:rFonts w:ascii="Times New Roman" w:hAnsi="Times New Roman"/>
        </w:rPr>
        <w:t xml:space="preserve">This number reflects the number of FBOTs that received direct access no-action relief letters from Commission staff that are currently active. </w:t>
      </w:r>
    </w:p>
    <w:p w:rsidR="0060098E" w:rsidRDefault="0060098E" w:rsidP="0060098E">
      <w:pPr>
        <w:tabs>
          <w:tab w:val="left" w:pos="-720"/>
        </w:tabs>
        <w:suppressAutoHyphens/>
        <w:rPr>
          <w:rFonts w:ascii="Times New Roman" w:hAnsi="Times New Roman"/>
        </w:rPr>
      </w:pPr>
      <w:r>
        <w:rPr>
          <w:rFonts w:ascii="Times New Roman" w:hAnsi="Times New Roman"/>
        </w:rPr>
        <w:t xml:space="preserve">**This number reflects the six FBOTs that have requested direct access no-action relief from Commission staff that are currently pending and one additional registration application that staff anticipates the Commission will receive each year. </w:t>
      </w:r>
    </w:p>
    <w:p w:rsidR="0060098E" w:rsidRDefault="0060098E" w:rsidP="0060098E">
      <w:pPr>
        <w:tabs>
          <w:tab w:val="left" w:pos="-720"/>
        </w:tabs>
        <w:suppressAutoHyphens/>
        <w:rPr>
          <w:rFonts w:ascii="Times New Roman" w:hAnsi="Times New Roman"/>
        </w:rPr>
      </w:pPr>
    </w:p>
    <w:p w:rsidR="0060098E" w:rsidRDefault="0060098E" w:rsidP="0060098E">
      <w:pPr>
        <w:tabs>
          <w:tab w:val="left" w:pos="-720"/>
        </w:tabs>
        <w:suppressAutoHyphens/>
        <w:jc w:val="center"/>
        <w:rPr>
          <w:rFonts w:ascii="Times New Roman" w:hAnsi="Times New Roman"/>
          <w:b/>
        </w:rPr>
      </w:pPr>
    </w:p>
    <w:p w:rsidR="0060098E" w:rsidRDefault="0060098E" w:rsidP="0060098E">
      <w:pPr>
        <w:numPr>
          <w:ilvl w:val="0"/>
          <w:numId w:val="3"/>
        </w:numPr>
        <w:tabs>
          <w:tab w:val="left" w:pos="-720"/>
        </w:tabs>
        <w:suppressAutoHyphens/>
        <w:rPr>
          <w:rFonts w:ascii="Times New Roman" w:hAnsi="Times New Roman"/>
          <w:b/>
        </w:rPr>
      </w:pPr>
      <w:r>
        <w:rPr>
          <w:rFonts w:ascii="Times New Roman" w:hAnsi="Times New Roman"/>
          <w:b/>
        </w:rPr>
        <w:t>Reporting Requirements for Registered FBOTs</w:t>
      </w:r>
    </w:p>
    <w:p w:rsidR="0060098E" w:rsidRDefault="0060098E" w:rsidP="0060098E">
      <w:pPr>
        <w:tabs>
          <w:tab w:val="left" w:pos="-720"/>
        </w:tabs>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8"/>
        <w:gridCol w:w="1260"/>
        <w:gridCol w:w="1647"/>
        <w:gridCol w:w="1587"/>
        <w:gridCol w:w="1587"/>
        <w:gridCol w:w="1587"/>
      </w:tblGrid>
      <w:tr w:rsidR="0060098E" w:rsidTr="005D352B">
        <w:tc>
          <w:tcPr>
            <w:tcW w:w="1908"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Regulation OMB Collection #3038-XXXX</w:t>
            </w:r>
          </w:p>
        </w:tc>
        <w:tc>
          <w:tcPr>
            <w:tcW w:w="1260"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 xml:space="preserve">Estimated # of </w:t>
            </w:r>
            <w:proofErr w:type="spellStart"/>
            <w:r w:rsidRPr="00506472">
              <w:rPr>
                <w:rFonts w:ascii="Times New Roman" w:hAnsi="Times New Roman"/>
                <w:b/>
              </w:rPr>
              <w:t>Respon</w:t>
            </w:r>
            <w:proofErr w:type="spellEnd"/>
            <w:r w:rsidRPr="00506472">
              <w:rPr>
                <w:rFonts w:ascii="Times New Roman" w:hAnsi="Times New Roman"/>
                <w:b/>
              </w:rPr>
              <w:t>-dents Per Year</w:t>
            </w:r>
          </w:p>
        </w:tc>
        <w:tc>
          <w:tcPr>
            <w:tcW w:w="1647"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 xml:space="preserve">Reports Annually By Each Respondent </w:t>
            </w:r>
          </w:p>
        </w:tc>
        <w:tc>
          <w:tcPr>
            <w:tcW w:w="1587"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Total Annual Responses</w:t>
            </w:r>
          </w:p>
        </w:tc>
        <w:tc>
          <w:tcPr>
            <w:tcW w:w="1587"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Estimated Average Number of Hours Per Response</w:t>
            </w:r>
          </w:p>
        </w:tc>
        <w:tc>
          <w:tcPr>
            <w:tcW w:w="1587" w:type="dxa"/>
          </w:tcPr>
          <w:p w:rsidR="0060098E" w:rsidRPr="00506472" w:rsidRDefault="0060098E" w:rsidP="005D352B">
            <w:pPr>
              <w:tabs>
                <w:tab w:val="left" w:pos="-720"/>
              </w:tabs>
              <w:suppressAutoHyphens/>
              <w:rPr>
                <w:rFonts w:ascii="Times New Roman" w:hAnsi="Times New Roman"/>
                <w:b/>
              </w:rPr>
            </w:pPr>
            <w:r w:rsidRPr="00506472">
              <w:rPr>
                <w:rFonts w:ascii="Times New Roman" w:hAnsi="Times New Roman"/>
                <w:b/>
              </w:rPr>
              <w:t xml:space="preserve">Estimated Total Number of Hours of Annual Burden </w:t>
            </w:r>
          </w:p>
        </w:tc>
      </w:tr>
      <w:tr w:rsidR="0060098E" w:rsidTr="005D352B">
        <w:tc>
          <w:tcPr>
            <w:tcW w:w="1908" w:type="dxa"/>
          </w:tcPr>
          <w:p w:rsidR="0060098E" w:rsidRDefault="0060098E" w:rsidP="005D352B">
            <w:pPr>
              <w:tabs>
                <w:tab w:val="left" w:pos="-720"/>
              </w:tabs>
              <w:suppressAutoHyphens/>
            </w:pPr>
            <w:r w:rsidRPr="005C053B">
              <w:rPr>
                <w:rFonts w:ascii="Times New Roman" w:hAnsi="Times New Roman"/>
              </w:rPr>
              <w:t xml:space="preserve">Regulation </w:t>
            </w:r>
            <w:r>
              <w:rPr>
                <w:rFonts w:ascii="Times New Roman" w:hAnsi="Times New Roman"/>
              </w:rPr>
              <w:t>4</w:t>
            </w:r>
            <w:r w:rsidRPr="005C053B">
              <w:rPr>
                <w:rFonts w:ascii="Times New Roman" w:hAnsi="Times New Roman"/>
              </w:rPr>
              <w:t>8.</w:t>
            </w:r>
            <w:r>
              <w:rPr>
                <w:rFonts w:ascii="Times New Roman" w:hAnsi="Times New Roman"/>
              </w:rPr>
              <w:t>8(b)(1)(</w:t>
            </w:r>
            <w:proofErr w:type="spellStart"/>
            <w:r>
              <w:rPr>
                <w:rFonts w:ascii="Times New Roman" w:hAnsi="Times New Roman"/>
              </w:rPr>
              <w:t>i</w:t>
            </w:r>
            <w:proofErr w:type="spellEnd"/>
            <w:r>
              <w:rPr>
                <w:rFonts w:ascii="Times New Roman" w:hAnsi="Times New Roman"/>
              </w:rPr>
              <w:t>)(A) and (B)</w:t>
            </w:r>
            <w:r w:rsidRPr="005C053B">
              <w:rPr>
                <w:rFonts w:ascii="Times New Roman" w:hAnsi="Times New Roman"/>
              </w:rPr>
              <w:t xml:space="preserve"> </w:t>
            </w:r>
            <w:r w:rsidRPr="005C053B">
              <w:rPr>
                <w:rFonts w:ascii="Times New Roman" w:hAnsi="Times New Roman"/>
              </w:rPr>
              <w:lastRenderedPageBreak/>
              <w:t xml:space="preserve">regarding </w:t>
            </w:r>
            <w:r>
              <w:rPr>
                <w:rFonts w:ascii="Times New Roman" w:hAnsi="Times New Roman"/>
              </w:rPr>
              <w:t>trading volume information</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lastRenderedPageBreak/>
              <w:t>27</w:t>
            </w:r>
          </w:p>
        </w:tc>
        <w:tc>
          <w:tcPr>
            <w:tcW w:w="164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4</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108</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6</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648</w:t>
            </w:r>
          </w:p>
        </w:tc>
      </w:tr>
      <w:tr w:rsidR="0060098E" w:rsidRPr="005C053B" w:rsidTr="005D352B">
        <w:tc>
          <w:tcPr>
            <w:tcW w:w="1908" w:type="dxa"/>
          </w:tcPr>
          <w:p w:rsidR="0060098E" w:rsidRDefault="0060098E" w:rsidP="005D352B">
            <w:pPr>
              <w:tabs>
                <w:tab w:val="left" w:pos="-720"/>
              </w:tabs>
              <w:suppressAutoHyphens/>
            </w:pPr>
            <w:r w:rsidRPr="005C053B">
              <w:rPr>
                <w:rFonts w:ascii="Times New Roman" w:hAnsi="Times New Roman"/>
              </w:rPr>
              <w:lastRenderedPageBreak/>
              <w:t xml:space="preserve">Regulation </w:t>
            </w:r>
            <w:r>
              <w:rPr>
                <w:rFonts w:ascii="Times New Roman" w:hAnsi="Times New Roman"/>
              </w:rPr>
              <w:t>4</w:t>
            </w:r>
            <w:r w:rsidRPr="005C053B">
              <w:rPr>
                <w:rFonts w:ascii="Times New Roman" w:hAnsi="Times New Roman"/>
              </w:rPr>
              <w:t>8.</w:t>
            </w:r>
            <w:r>
              <w:rPr>
                <w:rFonts w:ascii="Times New Roman" w:hAnsi="Times New Roman"/>
              </w:rPr>
              <w:t>8(b)(1)(ii)(A)-(F)</w:t>
            </w:r>
            <w:r w:rsidRPr="005C053B">
              <w:rPr>
                <w:rFonts w:ascii="Times New Roman" w:hAnsi="Times New Roman"/>
              </w:rPr>
              <w:t xml:space="preserve"> regarding </w:t>
            </w:r>
            <w:r>
              <w:rPr>
                <w:rFonts w:ascii="Times New Roman" w:hAnsi="Times New Roman"/>
              </w:rPr>
              <w:t>material changes to registration information</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64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54</w:t>
            </w:r>
          </w:p>
        </w:tc>
      </w:tr>
      <w:tr w:rsidR="0060098E" w:rsidRPr="005C053B" w:rsidTr="005D352B">
        <w:tc>
          <w:tcPr>
            <w:tcW w:w="1908"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Regulation 48.8(b)(1)(iii)(A)-(F) regarding annual submission of information</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64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4</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108</w:t>
            </w:r>
          </w:p>
        </w:tc>
      </w:tr>
      <w:tr w:rsidR="0060098E" w:rsidTr="005D352B">
        <w:tc>
          <w:tcPr>
            <w:tcW w:w="1908" w:type="dxa"/>
          </w:tcPr>
          <w:p w:rsidR="0060098E" w:rsidRDefault="0060098E" w:rsidP="005D352B">
            <w:pPr>
              <w:tabs>
                <w:tab w:val="left" w:pos="-720"/>
              </w:tabs>
              <w:suppressAutoHyphens/>
              <w:rPr>
                <w:rFonts w:ascii="Times New Roman" w:hAnsi="Times New Roman"/>
              </w:rPr>
            </w:pPr>
            <w:r>
              <w:rPr>
                <w:rFonts w:ascii="Times New Roman" w:hAnsi="Times New Roman"/>
              </w:rPr>
              <w:t>Regulation 48.9 regarding demonstration of compliance with conditions for registration</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27</w:t>
            </w:r>
          </w:p>
        </w:tc>
        <w:tc>
          <w:tcPr>
            <w:tcW w:w="1647" w:type="dxa"/>
          </w:tcPr>
          <w:p w:rsidR="0060098E" w:rsidRDefault="0060098E" w:rsidP="005D352B">
            <w:pPr>
              <w:tabs>
                <w:tab w:val="left" w:pos="-720"/>
              </w:tabs>
              <w:suppressAutoHyphens/>
              <w:rPr>
                <w:rFonts w:ascii="Times New Roman" w:hAnsi="Times New Roman"/>
              </w:rPr>
            </w:pPr>
            <w:r>
              <w:rPr>
                <w:rFonts w:ascii="Times New Roman" w:hAnsi="Times New Roman"/>
              </w:rPr>
              <w:t>.25</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6.75</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8</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54</w:t>
            </w:r>
          </w:p>
        </w:tc>
      </w:tr>
      <w:tr w:rsidR="0060098E" w:rsidTr="005D352B">
        <w:tc>
          <w:tcPr>
            <w:tcW w:w="1908" w:type="dxa"/>
          </w:tcPr>
          <w:p w:rsidR="0060098E" w:rsidRDefault="0060098E" w:rsidP="005D352B">
            <w:pPr>
              <w:tabs>
                <w:tab w:val="left" w:pos="-720"/>
              </w:tabs>
              <w:suppressAutoHyphens/>
              <w:rPr>
                <w:rFonts w:ascii="Times New Roman" w:hAnsi="Times New Roman"/>
              </w:rPr>
            </w:pPr>
            <w:r>
              <w:rPr>
                <w:rFonts w:ascii="Times New Roman" w:hAnsi="Times New Roman"/>
              </w:rPr>
              <w:t>Regulation 48.10 regarding the listing of additional futures and options contracts</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27</w:t>
            </w:r>
          </w:p>
        </w:tc>
        <w:tc>
          <w:tcPr>
            <w:tcW w:w="1647"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4</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108</w:t>
            </w:r>
          </w:p>
        </w:tc>
      </w:tr>
      <w:tr w:rsidR="0060098E" w:rsidTr="005D352B">
        <w:tc>
          <w:tcPr>
            <w:tcW w:w="1908" w:type="dxa"/>
          </w:tcPr>
          <w:p w:rsidR="0060098E" w:rsidRPr="005C053B" w:rsidRDefault="0060098E" w:rsidP="005D352B">
            <w:pPr>
              <w:tabs>
                <w:tab w:val="left" w:pos="-720"/>
              </w:tabs>
              <w:suppressAutoHyphens/>
              <w:rPr>
                <w:rFonts w:ascii="Times New Roman" w:hAnsi="Times New Roman"/>
              </w:rPr>
            </w:pPr>
            <w:r w:rsidRPr="005C053B">
              <w:rPr>
                <w:rFonts w:ascii="Times New Roman" w:hAnsi="Times New Roman"/>
              </w:rPr>
              <w:t>Total recordkeeping requirements</w:t>
            </w:r>
            <w:r>
              <w:rPr>
                <w:rFonts w:ascii="Times New Roman" w:hAnsi="Times New Roman"/>
              </w:rPr>
              <w:t xml:space="preserve"> (subpart B)</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27</w:t>
            </w:r>
          </w:p>
        </w:tc>
        <w:tc>
          <w:tcPr>
            <w:tcW w:w="1647" w:type="dxa"/>
          </w:tcPr>
          <w:p w:rsidR="0060098E" w:rsidRPr="005C053B" w:rsidRDefault="0060098E" w:rsidP="005D352B">
            <w:pPr>
              <w:tabs>
                <w:tab w:val="left" w:pos="-720"/>
              </w:tabs>
              <w:suppressAutoHyphens/>
              <w:rPr>
                <w:rFonts w:ascii="Times New Roman" w:hAnsi="Times New Roman"/>
              </w:rPr>
            </w:pP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195.75</w:t>
            </w:r>
          </w:p>
        </w:tc>
        <w:tc>
          <w:tcPr>
            <w:tcW w:w="1587" w:type="dxa"/>
          </w:tcPr>
          <w:p w:rsidR="0060098E" w:rsidRPr="005C053B" w:rsidRDefault="0060098E" w:rsidP="005D352B">
            <w:pPr>
              <w:tabs>
                <w:tab w:val="left" w:pos="-720"/>
              </w:tabs>
              <w:suppressAutoHyphens/>
              <w:rPr>
                <w:rFonts w:ascii="Times New Roman" w:hAnsi="Times New Roman"/>
              </w:rPr>
            </w:pPr>
          </w:p>
        </w:tc>
        <w:tc>
          <w:tcPr>
            <w:tcW w:w="1587" w:type="dxa"/>
          </w:tcPr>
          <w:p w:rsidR="0060098E" w:rsidRPr="00526685" w:rsidRDefault="0060098E" w:rsidP="005D352B">
            <w:pPr>
              <w:rPr>
                <w:rFonts w:ascii="Times New Roman" w:hAnsi="Times New Roman"/>
              </w:rPr>
            </w:pPr>
            <w:r>
              <w:rPr>
                <w:rFonts w:ascii="Times New Roman" w:hAnsi="Times New Roman"/>
              </w:rPr>
              <w:t>972</w:t>
            </w:r>
          </w:p>
        </w:tc>
      </w:tr>
    </w:tbl>
    <w:p w:rsidR="0060098E" w:rsidRDefault="0060098E" w:rsidP="0060098E">
      <w:pPr>
        <w:tabs>
          <w:tab w:val="left" w:pos="-720"/>
        </w:tabs>
        <w:suppressAutoHyphens/>
        <w:ind w:left="1080"/>
      </w:pPr>
    </w:p>
    <w:p w:rsidR="0060098E" w:rsidRDefault="0060098E" w:rsidP="0060098E">
      <w:pPr>
        <w:tabs>
          <w:tab w:val="left" w:pos="-720"/>
        </w:tabs>
        <w:suppressAutoHyphens/>
      </w:pPr>
    </w:p>
    <w:p w:rsidR="0060098E" w:rsidRDefault="0060098E" w:rsidP="0060098E">
      <w:pPr>
        <w:tabs>
          <w:tab w:val="left" w:pos="-720"/>
        </w:tabs>
        <w:suppressAutoHyphens/>
        <w:rPr>
          <w:rFonts w:ascii="Times New Roman" w:hAnsi="Times New Roman"/>
          <w:b/>
        </w:rPr>
      </w:pPr>
    </w:p>
    <w:p w:rsidR="0060098E" w:rsidRPr="00506472" w:rsidRDefault="0060098E" w:rsidP="0060098E">
      <w:pPr>
        <w:numPr>
          <w:ilvl w:val="0"/>
          <w:numId w:val="3"/>
        </w:numPr>
        <w:tabs>
          <w:tab w:val="left" w:pos="-720"/>
        </w:tabs>
        <w:suppressAutoHyphens/>
        <w:rPr>
          <w:rFonts w:ascii="Times New Roman" w:hAnsi="Times New Roman"/>
          <w:b/>
        </w:rPr>
      </w:pPr>
      <w:r w:rsidRPr="00506472">
        <w:rPr>
          <w:rFonts w:ascii="Times New Roman" w:hAnsi="Times New Roman"/>
          <w:b/>
        </w:rPr>
        <w:t xml:space="preserve">Reporting Requirements for </w:t>
      </w:r>
      <w:r>
        <w:rPr>
          <w:rFonts w:ascii="Times New Roman" w:hAnsi="Times New Roman"/>
          <w:b/>
        </w:rPr>
        <w:t xml:space="preserve">Registered </w:t>
      </w:r>
      <w:r w:rsidRPr="00506472">
        <w:rPr>
          <w:rFonts w:ascii="Times New Roman" w:hAnsi="Times New Roman"/>
          <w:b/>
        </w:rPr>
        <w:t xml:space="preserve">FBOTs with </w:t>
      </w:r>
      <w:r>
        <w:rPr>
          <w:rFonts w:ascii="Times New Roman" w:hAnsi="Times New Roman"/>
          <w:b/>
        </w:rPr>
        <w:t>a Linked Contract</w:t>
      </w:r>
    </w:p>
    <w:p w:rsidR="0060098E" w:rsidRDefault="0060098E" w:rsidP="0060098E">
      <w:pPr>
        <w:tabs>
          <w:tab w:val="left" w:pos="-720"/>
        </w:tabs>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260"/>
        <w:gridCol w:w="1557"/>
        <w:gridCol w:w="1587"/>
        <w:gridCol w:w="1587"/>
        <w:gridCol w:w="1587"/>
      </w:tblGrid>
      <w:tr w:rsidR="0060098E" w:rsidRPr="007F6F01" w:rsidTr="005D352B">
        <w:tc>
          <w:tcPr>
            <w:tcW w:w="1998"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Regulation OMB Collection #3038-XXXX</w:t>
            </w:r>
          </w:p>
        </w:tc>
        <w:tc>
          <w:tcPr>
            <w:tcW w:w="1260"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 of </w:t>
            </w:r>
            <w:proofErr w:type="spellStart"/>
            <w:r w:rsidRPr="007F6F01">
              <w:rPr>
                <w:rFonts w:ascii="Times New Roman" w:hAnsi="Times New Roman"/>
                <w:b/>
              </w:rPr>
              <w:t>Respon</w:t>
            </w:r>
            <w:proofErr w:type="spellEnd"/>
            <w:r w:rsidRPr="007F6F01">
              <w:rPr>
                <w:rFonts w:ascii="Times New Roman" w:hAnsi="Times New Roman"/>
                <w:b/>
              </w:rPr>
              <w:t>-dents</w:t>
            </w:r>
          </w:p>
        </w:tc>
        <w:tc>
          <w:tcPr>
            <w:tcW w:w="155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Reports Annually By Each Respondent </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Total Annual Responses</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Estimated Average Number of Hours Per Response</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Total Number of Hours of Annual Burden </w:t>
            </w:r>
          </w:p>
        </w:tc>
      </w:tr>
      <w:tr w:rsidR="0060098E" w:rsidRPr="005C053B" w:rsidTr="005D352B">
        <w:tc>
          <w:tcPr>
            <w:tcW w:w="1998" w:type="dxa"/>
          </w:tcPr>
          <w:p w:rsidR="0060098E" w:rsidRDefault="0060098E" w:rsidP="005D352B">
            <w:pPr>
              <w:tabs>
                <w:tab w:val="left" w:pos="-720"/>
              </w:tabs>
              <w:suppressAutoHyphens/>
              <w:rPr>
                <w:rFonts w:ascii="Times New Roman" w:hAnsi="Times New Roman"/>
              </w:rPr>
            </w:pPr>
            <w:r w:rsidRPr="005C053B">
              <w:rPr>
                <w:rFonts w:ascii="Times New Roman" w:hAnsi="Times New Roman"/>
              </w:rPr>
              <w:t>Regulation 4</w:t>
            </w:r>
            <w:r>
              <w:rPr>
                <w:rFonts w:ascii="Times New Roman" w:hAnsi="Times New Roman"/>
              </w:rPr>
              <w:t>8</w:t>
            </w:r>
            <w:r w:rsidRPr="005C053B">
              <w:rPr>
                <w:rFonts w:ascii="Times New Roman" w:hAnsi="Times New Roman"/>
              </w:rPr>
              <w:t>.</w:t>
            </w:r>
            <w:r>
              <w:rPr>
                <w:rFonts w:ascii="Times New Roman" w:hAnsi="Times New Roman"/>
              </w:rPr>
              <w:t>8</w:t>
            </w:r>
            <w:r w:rsidRPr="005C053B">
              <w:rPr>
                <w:rFonts w:ascii="Times New Roman" w:hAnsi="Times New Roman"/>
              </w:rPr>
              <w:t>(</w:t>
            </w:r>
            <w:r>
              <w:rPr>
                <w:rFonts w:ascii="Times New Roman" w:hAnsi="Times New Roman"/>
              </w:rPr>
              <w:t>c)(1)(ii)(C)</w:t>
            </w:r>
          </w:p>
          <w:p w:rsidR="0060098E" w:rsidRDefault="0060098E" w:rsidP="005D352B">
            <w:pPr>
              <w:tabs>
                <w:tab w:val="left" w:pos="-720"/>
              </w:tabs>
              <w:suppressAutoHyphens/>
            </w:pPr>
            <w:r>
              <w:rPr>
                <w:rFonts w:ascii="Times New Roman" w:hAnsi="Times New Roman"/>
              </w:rPr>
              <w:t>(1)-(4</w:t>
            </w:r>
            <w:r w:rsidRPr="005C053B">
              <w:rPr>
                <w:rFonts w:ascii="Times New Roman" w:hAnsi="Times New Roman"/>
              </w:rPr>
              <w:t>)</w:t>
            </w:r>
            <w:r>
              <w:rPr>
                <w:rFonts w:ascii="Times New Roman" w:hAnsi="Times New Roman"/>
              </w:rPr>
              <w:t xml:space="preserve"> regarding notification of </w:t>
            </w:r>
            <w:r>
              <w:rPr>
                <w:rFonts w:ascii="Times New Roman" w:hAnsi="Times New Roman"/>
              </w:rPr>
              <w:lastRenderedPageBreak/>
              <w:t>changes</w:t>
            </w:r>
            <w:r w:rsidRPr="005C053B">
              <w:rPr>
                <w:rFonts w:ascii="Times New Roman" w:hAnsi="Times New Roman"/>
              </w:rPr>
              <w:t xml:space="preserve"> </w:t>
            </w:r>
            <w:r>
              <w:rPr>
                <w:rFonts w:ascii="Times New Roman" w:hAnsi="Times New Roman"/>
              </w:rPr>
              <w:t>for  linked contracts</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lastRenderedPageBreak/>
              <w:t>1</w:t>
            </w:r>
          </w:p>
        </w:tc>
        <w:tc>
          <w:tcPr>
            <w:tcW w:w="155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Pr="005C053B" w:rsidRDefault="0060098E" w:rsidP="005D352B">
            <w:pPr>
              <w:tabs>
                <w:tab w:val="left" w:pos="-720"/>
              </w:tabs>
              <w:suppressAutoHyphens/>
              <w:rPr>
                <w:rFonts w:ascii="Times New Roman" w:hAnsi="Times New Roman"/>
              </w:rPr>
            </w:pPr>
            <w:r w:rsidRPr="005C053B">
              <w:rPr>
                <w:rFonts w:ascii="Times New Roman" w:hAnsi="Times New Roman"/>
              </w:rPr>
              <w:t>2</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3</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6</w:t>
            </w:r>
          </w:p>
        </w:tc>
      </w:tr>
      <w:tr w:rsidR="0060098E" w:rsidRPr="005C053B" w:rsidTr="005D352B">
        <w:tc>
          <w:tcPr>
            <w:tcW w:w="1998" w:type="dxa"/>
          </w:tcPr>
          <w:p w:rsidR="0060098E" w:rsidRDefault="0060098E" w:rsidP="005D352B">
            <w:pPr>
              <w:tabs>
                <w:tab w:val="left" w:pos="-720"/>
              </w:tabs>
              <w:suppressAutoHyphens/>
            </w:pPr>
            <w:r>
              <w:rPr>
                <w:rFonts w:ascii="Times New Roman" w:hAnsi="Times New Roman"/>
              </w:rPr>
              <w:lastRenderedPageBreak/>
              <w:t>Regulation 48.8(c)(1)(ii)(D) regarding large trader position information for  linked contracts</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500</w:t>
            </w:r>
          </w:p>
        </w:tc>
      </w:tr>
      <w:tr w:rsidR="0060098E" w:rsidTr="005D352B">
        <w:tc>
          <w:tcPr>
            <w:tcW w:w="1998"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Regulation 48.8(c)(1)(ii)(E) regarding aggregate trader position information for  linked contracts</w:t>
            </w:r>
          </w:p>
        </w:tc>
        <w:tc>
          <w:tcPr>
            <w:tcW w:w="126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500</w:t>
            </w:r>
          </w:p>
        </w:tc>
      </w:tr>
      <w:tr w:rsidR="0060098E" w:rsidTr="005D352B">
        <w:tc>
          <w:tcPr>
            <w:tcW w:w="1998" w:type="dxa"/>
          </w:tcPr>
          <w:p w:rsidR="0060098E" w:rsidRDefault="0060098E" w:rsidP="005D352B">
            <w:pPr>
              <w:tabs>
                <w:tab w:val="left" w:pos="-720"/>
              </w:tabs>
              <w:suppressAutoHyphens/>
              <w:rPr>
                <w:rFonts w:ascii="Times New Roman" w:hAnsi="Times New Roman"/>
              </w:rPr>
            </w:pPr>
            <w:r>
              <w:rPr>
                <w:rFonts w:ascii="Times New Roman" w:hAnsi="Times New Roman"/>
              </w:rPr>
              <w:t>Regulation 48.8(c)(2)(</w:t>
            </w:r>
            <w:proofErr w:type="spellStart"/>
            <w:r>
              <w:rPr>
                <w:rFonts w:ascii="Times New Roman" w:hAnsi="Times New Roman"/>
              </w:rPr>
              <w:t>i</w:t>
            </w:r>
            <w:proofErr w:type="spellEnd"/>
            <w:r>
              <w:rPr>
                <w:rFonts w:ascii="Times New Roman" w:hAnsi="Times New Roman"/>
              </w:rPr>
              <w:t>) regarding quarterly report for FBOTs with a linked contract</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Default="0060098E" w:rsidP="005D352B">
            <w:pPr>
              <w:tabs>
                <w:tab w:val="left" w:pos="-720"/>
              </w:tabs>
              <w:suppressAutoHyphens/>
              <w:rPr>
                <w:rFonts w:ascii="Times New Roman" w:hAnsi="Times New Roman"/>
              </w:rPr>
            </w:pPr>
            <w:r>
              <w:rPr>
                <w:rFonts w:ascii="Times New Roman" w:hAnsi="Times New Roman"/>
              </w:rPr>
              <w:t>4</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4</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3</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12</w:t>
            </w:r>
          </w:p>
        </w:tc>
      </w:tr>
      <w:tr w:rsidR="0060098E" w:rsidTr="005D352B">
        <w:tc>
          <w:tcPr>
            <w:tcW w:w="1998" w:type="dxa"/>
          </w:tcPr>
          <w:p w:rsidR="0060098E" w:rsidRDefault="0060098E" w:rsidP="005D352B">
            <w:pPr>
              <w:tabs>
                <w:tab w:val="left" w:pos="-720"/>
              </w:tabs>
              <w:suppressAutoHyphens/>
              <w:rPr>
                <w:rFonts w:ascii="Times New Roman" w:hAnsi="Times New Roman"/>
              </w:rPr>
            </w:pPr>
            <w:r>
              <w:rPr>
                <w:rFonts w:ascii="Times New Roman" w:hAnsi="Times New Roman"/>
              </w:rPr>
              <w:t>Regulation 48.8(c)(2)(ii) regarding trade execution and audit trail data for linked contracts</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3</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750</w:t>
            </w:r>
          </w:p>
        </w:tc>
      </w:tr>
      <w:tr w:rsidR="0060098E" w:rsidTr="005D352B">
        <w:tc>
          <w:tcPr>
            <w:tcW w:w="1998" w:type="dxa"/>
          </w:tcPr>
          <w:p w:rsidR="0060098E" w:rsidRDefault="0060098E" w:rsidP="005D352B">
            <w:pPr>
              <w:tabs>
                <w:tab w:val="left" w:pos="-720"/>
              </w:tabs>
              <w:suppressAutoHyphens/>
              <w:rPr>
                <w:rFonts w:ascii="Times New Roman" w:hAnsi="Times New Roman"/>
              </w:rPr>
            </w:pPr>
            <w:r>
              <w:rPr>
                <w:rFonts w:ascii="Times New Roman" w:hAnsi="Times New Roman"/>
              </w:rPr>
              <w:t>Regulation 48.8(C)(2)(iv) regarding rules, rule amendments, and other notices for linked contracts</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Default="0060098E" w:rsidP="005D352B">
            <w:pPr>
              <w:tabs>
                <w:tab w:val="left" w:pos="-720"/>
              </w:tabs>
              <w:suppressAutoHyphens/>
              <w:rPr>
                <w:rFonts w:ascii="Times New Roman" w:hAnsi="Times New Roman"/>
              </w:rPr>
            </w:pPr>
            <w:r>
              <w:rPr>
                <w:rFonts w:ascii="Times New Roman" w:hAnsi="Times New Roman"/>
              </w:rPr>
              <w:t>20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20</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40</w:t>
            </w:r>
          </w:p>
        </w:tc>
      </w:tr>
      <w:tr w:rsidR="0060098E" w:rsidTr="005D352B">
        <w:tc>
          <w:tcPr>
            <w:tcW w:w="1998" w:type="dxa"/>
          </w:tcPr>
          <w:p w:rsidR="0060098E" w:rsidRDefault="0060098E" w:rsidP="005D352B">
            <w:pPr>
              <w:tabs>
                <w:tab w:val="left" w:pos="-720"/>
              </w:tabs>
              <w:suppressAutoHyphens/>
              <w:rPr>
                <w:rFonts w:ascii="Times New Roman" w:hAnsi="Times New Roman"/>
              </w:rPr>
            </w:pPr>
            <w:r>
              <w:rPr>
                <w:rFonts w:ascii="Times New Roman" w:hAnsi="Times New Roman"/>
              </w:rPr>
              <w:t>Regulation 48.8(c)(2)(v) regarding disciplinary notices for FBOTs with linked contracts</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w:t>
            </w: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4</w:t>
            </w:r>
          </w:p>
        </w:tc>
      </w:tr>
      <w:tr w:rsidR="0060098E" w:rsidTr="005D352B">
        <w:tc>
          <w:tcPr>
            <w:tcW w:w="1998" w:type="dxa"/>
          </w:tcPr>
          <w:p w:rsidR="0060098E" w:rsidRDefault="0060098E" w:rsidP="005D352B">
            <w:pPr>
              <w:tabs>
                <w:tab w:val="left" w:pos="-720"/>
              </w:tabs>
              <w:suppressAutoHyphens/>
              <w:rPr>
                <w:rFonts w:ascii="Times New Roman" w:hAnsi="Times New Roman"/>
              </w:rPr>
            </w:pPr>
            <w:r w:rsidRPr="005C053B">
              <w:rPr>
                <w:rFonts w:ascii="Times New Roman" w:hAnsi="Times New Roman"/>
              </w:rPr>
              <w:t>Total recordkeeping requirements</w:t>
            </w:r>
            <w:r>
              <w:rPr>
                <w:rFonts w:ascii="Times New Roman" w:hAnsi="Times New Roman"/>
              </w:rPr>
              <w:t xml:space="preserve"> (subpart C) </w:t>
            </w:r>
          </w:p>
        </w:tc>
        <w:tc>
          <w:tcPr>
            <w:tcW w:w="1260" w:type="dxa"/>
          </w:tcPr>
          <w:p w:rsidR="0060098E" w:rsidRDefault="0060098E" w:rsidP="005D352B">
            <w:pPr>
              <w:tabs>
                <w:tab w:val="left" w:pos="-720"/>
              </w:tabs>
              <w:suppressAutoHyphens/>
              <w:rPr>
                <w:rFonts w:ascii="Times New Roman" w:hAnsi="Times New Roman"/>
              </w:rPr>
            </w:pPr>
            <w:r>
              <w:rPr>
                <w:rFonts w:ascii="Times New Roman" w:hAnsi="Times New Roman"/>
              </w:rPr>
              <w:t>1</w:t>
            </w:r>
          </w:p>
        </w:tc>
        <w:tc>
          <w:tcPr>
            <w:tcW w:w="1557" w:type="dxa"/>
          </w:tcPr>
          <w:p w:rsidR="0060098E" w:rsidRDefault="0060098E" w:rsidP="005D352B">
            <w:pPr>
              <w:tabs>
                <w:tab w:val="left" w:pos="-720"/>
              </w:tabs>
              <w:suppressAutoHyphens/>
              <w:rPr>
                <w:rFonts w:ascii="Times New Roman" w:hAnsi="Times New Roman"/>
              </w:rPr>
            </w:pP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778</w:t>
            </w:r>
          </w:p>
        </w:tc>
        <w:tc>
          <w:tcPr>
            <w:tcW w:w="1587" w:type="dxa"/>
          </w:tcPr>
          <w:p w:rsidR="0060098E" w:rsidRDefault="0060098E" w:rsidP="005D352B">
            <w:pPr>
              <w:tabs>
                <w:tab w:val="left" w:pos="-720"/>
              </w:tabs>
              <w:suppressAutoHyphens/>
              <w:rPr>
                <w:rFonts w:ascii="Times New Roman" w:hAnsi="Times New Roman"/>
              </w:rPr>
            </w:pP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1,812</w:t>
            </w:r>
          </w:p>
        </w:tc>
      </w:tr>
    </w:tbl>
    <w:p w:rsidR="0060098E" w:rsidRDefault="0060098E" w:rsidP="0060098E">
      <w:pPr>
        <w:tabs>
          <w:tab w:val="left" w:pos="-720"/>
        </w:tabs>
        <w:suppressAutoHyphens/>
      </w:pPr>
    </w:p>
    <w:p w:rsidR="0060098E" w:rsidRDefault="0060098E" w:rsidP="0060098E">
      <w:pPr>
        <w:tabs>
          <w:tab w:val="left" w:pos="-720"/>
        </w:tabs>
        <w:suppressAutoHyphens/>
      </w:pPr>
    </w:p>
    <w:p w:rsidR="0060098E" w:rsidRPr="00506472" w:rsidRDefault="0060098E" w:rsidP="0060098E">
      <w:pPr>
        <w:numPr>
          <w:ilvl w:val="0"/>
          <w:numId w:val="3"/>
        </w:numPr>
        <w:tabs>
          <w:tab w:val="left" w:pos="-720"/>
        </w:tabs>
        <w:suppressAutoHyphens/>
        <w:rPr>
          <w:rFonts w:ascii="Times New Roman" w:hAnsi="Times New Roman"/>
          <w:b/>
        </w:rPr>
      </w:pPr>
      <w:r w:rsidRPr="00506472">
        <w:rPr>
          <w:rFonts w:ascii="Times New Roman" w:hAnsi="Times New Roman"/>
          <w:b/>
        </w:rPr>
        <w:t xml:space="preserve">Reporting Requirements for </w:t>
      </w:r>
      <w:r>
        <w:rPr>
          <w:rFonts w:ascii="Times New Roman" w:hAnsi="Times New Roman"/>
          <w:b/>
        </w:rPr>
        <w:t>FBOTs that Make Swaps Available by Direct Access</w:t>
      </w:r>
    </w:p>
    <w:p w:rsidR="0060098E" w:rsidRDefault="0060098E" w:rsidP="0060098E">
      <w:pPr>
        <w:tabs>
          <w:tab w:val="left" w:pos="-720"/>
        </w:tabs>
        <w:suppressAutoHyphen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98"/>
        <w:gridCol w:w="1350"/>
        <w:gridCol w:w="1467"/>
        <w:gridCol w:w="1587"/>
        <w:gridCol w:w="1587"/>
        <w:gridCol w:w="1587"/>
      </w:tblGrid>
      <w:tr w:rsidR="0060098E" w:rsidRPr="007F6F01" w:rsidTr="005D352B">
        <w:tc>
          <w:tcPr>
            <w:tcW w:w="1998"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Regulation OMB Collection #3038-XXXX</w:t>
            </w:r>
          </w:p>
        </w:tc>
        <w:tc>
          <w:tcPr>
            <w:tcW w:w="1350"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 of </w:t>
            </w:r>
            <w:proofErr w:type="spellStart"/>
            <w:r w:rsidRPr="007F6F01">
              <w:rPr>
                <w:rFonts w:ascii="Times New Roman" w:hAnsi="Times New Roman"/>
                <w:b/>
              </w:rPr>
              <w:t>Respon</w:t>
            </w:r>
            <w:proofErr w:type="spellEnd"/>
            <w:r w:rsidRPr="007F6F01">
              <w:rPr>
                <w:rFonts w:ascii="Times New Roman" w:hAnsi="Times New Roman"/>
                <w:b/>
              </w:rPr>
              <w:t>-dents</w:t>
            </w:r>
          </w:p>
        </w:tc>
        <w:tc>
          <w:tcPr>
            <w:tcW w:w="146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Reports Annually By Each Respondent </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Total Annual Responses</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Estimated Average Number of Hours Per Response</w:t>
            </w:r>
          </w:p>
        </w:tc>
        <w:tc>
          <w:tcPr>
            <w:tcW w:w="1587" w:type="dxa"/>
          </w:tcPr>
          <w:p w:rsidR="0060098E" w:rsidRPr="007F6F01" w:rsidRDefault="0060098E" w:rsidP="005D352B">
            <w:pPr>
              <w:tabs>
                <w:tab w:val="left" w:pos="-720"/>
              </w:tabs>
              <w:suppressAutoHyphens/>
              <w:rPr>
                <w:rFonts w:ascii="Times New Roman" w:hAnsi="Times New Roman"/>
                <w:b/>
              </w:rPr>
            </w:pPr>
            <w:r w:rsidRPr="007F6F01">
              <w:rPr>
                <w:rFonts w:ascii="Times New Roman" w:hAnsi="Times New Roman"/>
                <w:b/>
              </w:rPr>
              <w:t xml:space="preserve">Estimated Total Number of Hours of Annual Burden </w:t>
            </w:r>
          </w:p>
        </w:tc>
      </w:tr>
      <w:tr w:rsidR="0060098E" w:rsidRPr="005C053B" w:rsidTr="005D352B">
        <w:tc>
          <w:tcPr>
            <w:tcW w:w="1998" w:type="dxa"/>
          </w:tcPr>
          <w:p w:rsidR="0060098E" w:rsidRDefault="0060098E" w:rsidP="005D352B">
            <w:pPr>
              <w:tabs>
                <w:tab w:val="left" w:pos="-720"/>
              </w:tabs>
              <w:suppressAutoHyphens/>
            </w:pPr>
            <w:r w:rsidRPr="005C053B">
              <w:rPr>
                <w:rFonts w:ascii="Times New Roman" w:hAnsi="Times New Roman"/>
              </w:rPr>
              <w:t>Regulation 4</w:t>
            </w:r>
            <w:r>
              <w:rPr>
                <w:rFonts w:ascii="Times New Roman" w:hAnsi="Times New Roman"/>
              </w:rPr>
              <w:t>8</w:t>
            </w:r>
            <w:r w:rsidRPr="005C053B">
              <w:rPr>
                <w:rFonts w:ascii="Times New Roman" w:hAnsi="Times New Roman"/>
              </w:rPr>
              <w:t>.</w:t>
            </w:r>
            <w:r>
              <w:rPr>
                <w:rFonts w:ascii="Times New Roman" w:hAnsi="Times New Roman"/>
              </w:rPr>
              <w:t>8</w:t>
            </w:r>
            <w:r w:rsidRPr="005C053B">
              <w:rPr>
                <w:rFonts w:ascii="Times New Roman" w:hAnsi="Times New Roman"/>
              </w:rPr>
              <w:t>(</w:t>
            </w:r>
            <w:r>
              <w:rPr>
                <w:rFonts w:ascii="Times New Roman" w:hAnsi="Times New Roman"/>
              </w:rPr>
              <w:t>a)(8)(</w:t>
            </w:r>
            <w:proofErr w:type="spellStart"/>
            <w:r>
              <w:rPr>
                <w:rFonts w:ascii="Times New Roman" w:hAnsi="Times New Roman"/>
              </w:rPr>
              <w:t>i</w:t>
            </w:r>
            <w:proofErr w:type="spellEnd"/>
            <w:r>
              <w:rPr>
                <w:rFonts w:ascii="Times New Roman" w:hAnsi="Times New Roman"/>
              </w:rPr>
              <w:t>) regarding the real-time reporting of swap transactions</w:t>
            </w:r>
          </w:p>
        </w:tc>
        <w:tc>
          <w:tcPr>
            <w:tcW w:w="135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4</w:t>
            </w:r>
          </w:p>
        </w:tc>
        <w:tc>
          <w:tcPr>
            <w:tcW w:w="146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1,000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8.32</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8,320</w:t>
            </w:r>
          </w:p>
        </w:tc>
      </w:tr>
      <w:tr w:rsidR="0060098E" w:rsidRPr="005C053B" w:rsidTr="005D352B">
        <w:tc>
          <w:tcPr>
            <w:tcW w:w="1998" w:type="dxa"/>
          </w:tcPr>
          <w:p w:rsidR="0060098E" w:rsidRDefault="0060098E" w:rsidP="005D352B">
            <w:pPr>
              <w:tabs>
                <w:tab w:val="left" w:pos="-720"/>
              </w:tabs>
              <w:suppressAutoHyphens/>
            </w:pPr>
            <w:r>
              <w:rPr>
                <w:rFonts w:ascii="Times New Roman" w:hAnsi="Times New Roman"/>
              </w:rPr>
              <w:t>Regulation 48.8(a)(8)(ii) regarding the reporting of swap transactions to a swaps data repository</w:t>
            </w:r>
          </w:p>
        </w:tc>
        <w:tc>
          <w:tcPr>
            <w:tcW w:w="1350"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4</w:t>
            </w:r>
          </w:p>
        </w:tc>
        <w:tc>
          <w:tcPr>
            <w:tcW w:w="146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250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1,000</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8.32</w:t>
            </w: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8,320</w:t>
            </w:r>
          </w:p>
        </w:tc>
      </w:tr>
      <w:tr w:rsidR="0060098E" w:rsidRPr="005C053B" w:rsidTr="005D352B">
        <w:tc>
          <w:tcPr>
            <w:tcW w:w="1998" w:type="dxa"/>
          </w:tcPr>
          <w:p w:rsidR="0060098E" w:rsidRDefault="0060098E" w:rsidP="005D352B">
            <w:pPr>
              <w:tabs>
                <w:tab w:val="left" w:pos="-720"/>
              </w:tabs>
              <w:suppressAutoHyphens/>
              <w:rPr>
                <w:rFonts w:ascii="Times New Roman" w:hAnsi="Times New Roman"/>
              </w:rPr>
            </w:pPr>
            <w:r>
              <w:rPr>
                <w:rFonts w:ascii="Times New Roman" w:hAnsi="Times New Roman"/>
              </w:rPr>
              <w:t>Total recordkeeping requirements (subpart D)</w:t>
            </w:r>
          </w:p>
        </w:tc>
        <w:tc>
          <w:tcPr>
            <w:tcW w:w="1350" w:type="dxa"/>
          </w:tcPr>
          <w:p w:rsidR="0060098E" w:rsidRDefault="0060098E" w:rsidP="005D352B">
            <w:pPr>
              <w:tabs>
                <w:tab w:val="left" w:pos="-720"/>
              </w:tabs>
              <w:suppressAutoHyphens/>
              <w:rPr>
                <w:rFonts w:ascii="Times New Roman" w:hAnsi="Times New Roman"/>
              </w:rPr>
            </w:pPr>
            <w:r>
              <w:rPr>
                <w:rFonts w:ascii="Times New Roman" w:hAnsi="Times New Roman"/>
              </w:rPr>
              <w:t>4</w:t>
            </w:r>
          </w:p>
        </w:tc>
        <w:tc>
          <w:tcPr>
            <w:tcW w:w="1467" w:type="dxa"/>
          </w:tcPr>
          <w:p w:rsidR="0060098E" w:rsidRDefault="0060098E" w:rsidP="005D352B">
            <w:pPr>
              <w:tabs>
                <w:tab w:val="left" w:pos="-720"/>
              </w:tabs>
              <w:suppressAutoHyphens/>
              <w:rPr>
                <w:rFonts w:ascii="Times New Roman" w:hAnsi="Times New Roman"/>
              </w:rPr>
            </w:pPr>
          </w:p>
        </w:tc>
        <w:tc>
          <w:tcPr>
            <w:tcW w:w="1587" w:type="dxa"/>
          </w:tcPr>
          <w:p w:rsidR="0060098E" w:rsidRDefault="0060098E" w:rsidP="005D352B">
            <w:pPr>
              <w:tabs>
                <w:tab w:val="left" w:pos="-720"/>
              </w:tabs>
              <w:suppressAutoHyphens/>
              <w:rPr>
                <w:rFonts w:ascii="Times New Roman" w:hAnsi="Times New Roman"/>
              </w:rPr>
            </w:pPr>
            <w:r>
              <w:rPr>
                <w:rFonts w:ascii="Times New Roman" w:hAnsi="Times New Roman"/>
              </w:rPr>
              <w:t>2,000</w:t>
            </w:r>
          </w:p>
        </w:tc>
        <w:tc>
          <w:tcPr>
            <w:tcW w:w="1587" w:type="dxa"/>
          </w:tcPr>
          <w:p w:rsidR="0060098E" w:rsidRPr="005C053B" w:rsidRDefault="0060098E" w:rsidP="005D352B">
            <w:pPr>
              <w:tabs>
                <w:tab w:val="left" w:pos="-720"/>
              </w:tabs>
              <w:suppressAutoHyphens/>
              <w:rPr>
                <w:rFonts w:ascii="Times New Roman" w:hAnsi="Times New Roman"/>
              </w:rPr>
            </w:pPr>
          </w:p>
        </w:tc>
        <w:tc>
          <w:tcPr>
            <w:tcW w:w="1587" w:type="dxa"/>
          </w:tcPr>
          <w:p w:rsidR="0060098E" w:rsidRPr="005C053B" w:rsidRDefault="0060098E" w:rsidP="005D352B">
            <w:pPr>
              <w:tabs>
                <w:tab w:val="left" w:pos="-720"/>
              </w:tabs>
              <w:suppressAutoHyphens/>
              <w:rPr>
                <w:rFonts w:ascii="Times New Roman" w:hAnsi="Times New Roman"/>
              </w:rPr>
            </w:pPr>
            <w:r>
              <w:rPr>
                <w:rFonts w:ascii="Times New Roman" w:hAnsi="Times New Roman"/>
              </w:rPr>
              <w:t>16,640</w:t>
            </w:r>
          </w:p>
        </w:tc>
      </w:tr>
      <w:tr w:rsidR="0060098E" w:rsidRPr="005C053B" w:rsidTr="005D352B">
        <w:tc>
          <w:tcPr>
            <w:tcW w:w="1998" w:type="dxa"/>
          </w:tcPr>
          <w:p w:rsidR="0060098E" w:rsidRPr="007C3133" w:rsidRDefault="0060098E" w:rsidP="005D352B">
            <w:pPr>
              <w:tabs>
                <w:tab w:val="left" w:pos="-720"/>
              </w:tabs>
              <w:suppressAutoHyphens/>
              <w:rPr>
                <w:rFonts w:ascii="Times New Roman" w:hAnsi="Times New Roman"/>
                <w:b/>
              </w:rPr>
            </w:pPr>
            <w:r w:rsidRPr="007C3133">
              <w:rPr>
                <w:rFonts w:ascii="Times New Roman" w:hAnsi="Times New Roman"/>
                <w:b/>
              </w:rPr>
              <w:t>Total recordkeeping requirements (includes subparts A, B, C &amp; D)</w:t>
            </w:r>
          </w:p>
        </w:tc>
        <w:tc>
          <w:tcPr>
            <w:tcW w:w="1350" w:type="dxa"/>
          </w:tcPr>
          <w:p w:rsidR="0060098E" w:rsidRDefault="0060098E" w:rsidP="005D352B">
            <w:pPr>
              <w:tabs>
                <w:tab w:val="left" w:pos="-720"/>
              </w:tabs>
              <w:suppressAutoHyphens/>
              <w:rPr>
                <w:rFonts w:ascii="Times New Roman" w:hAnsi="Times New Roman"/>
              </w:rPr>
            </w:pPr>
          </w:p>
        </w:tc>
        <w:tc>
          <w:tcPr>
            <w:tcW w:w="1467" w:type="dxa"/>
          </w:tcPr>
          <w:p w:rsidR="0060098E" w:rsidRDefault="0060098E" w:rsidP="005D352B">
            <w:pPr>
              <w:tabs>
                <w:tab w:val="left" w:pos="-720"/>
              </w:tabs>
              <w:suppressAutoHyphens/>
              <w:rPr>
                <w:rFonts w:ascii="Times New Roman" w:hAnsi="Times New Roman"/>
              </w:rPr>
            </w:pPr>
          </w:p>
        </w:tc>
        <w:tc>
          <w:tcPr>
            <w:tcW w:w="1587" w:type="dxa"/>
          </w:tcPr>
          <w:p w:rsidR="0060098E" w:rsidRPr="007C3133" w:rsidRDefault="0060098E" w:rsidP="005D352B">
            <w:pPr>
              <w:tabs>
                <w:tab w:val="left" w:pos="-720"/>
              </w:tabs>
              <w:suppressAutoHyphens/>
              <w:rPr>
                <w:rFonts w:ascii="Times New Roman" w:hAnsi="Times New Roman"/>
                <w:b/>
              </w:rPr>
            </w:pPr>
            <w:r w:rsidRPr="007C3133">
              <w:rPr>
                <w:rFonts w:ascii="Times New Roman" w:hAnsi="Times New Roman"/>
                <w:b/>
              </w:rPr>
              <w:t>3,000.75</w:t>
            </w:r>
          </w:p>
        </w:tc>
        <w:tc>
          <w:tcPr>
            <w:tcW w:w="1587" w:type="dxa"/>
          </w:tcPr>
          <w:p w:rsidR="0060098E" w:rsidRPr="005C053B" w:rsidRDefault="0060098E" w:rsidP="005D352B">
            <w:pPr>
              <w:tabs>
                <w:tab w:val="left" w:pos="-720"/>
              </w:tabs>
              <w:suppressAutoHyphens/>
              <w:rPr>
                <w:rFonts w:ascii="Times New Roman" w:hAnsi="Times New Roman"/>
              </w:rPr>
            </w:pPr>
          </w:p>
        </w:tc>
        <w:tc>
          <w:tcPr>
            <w:tcW w:w="1587" w:type="dxa"/>
          </w:tcPr>
          <w:p w:rsidR="0060098E" w:rsidRPr="007C3133" w:rsidRDefault="0060098E" w:rsidP="005D352B">
            <w:pPr>
              <w:tabs>
                <w:tab w:val="left" w:pos="-720"/>
              </w:tabs>
              <w:suppressAutoHyphens/>
              <w:rPr>
                <w:rFonts w:ascii="Times New Roman" w:hAnsi="Times New Roman"/>
                <w:b/>
              </w:rPr>
            </w:pPr>
            <w:r w:rsidRPr="007C3133">
              <w:rPr>
                <w:rFonts w:ascii="Times New Roman" w:hAnsi="Times New Roman"/>
                <w:b/>
              </w:rPr>
              <w:t>27,424</w:t>
            </w:r>
          </w:p>
        </w:tc>
      </w:tr>
    </w:tbl>
    <w:p w:rsidR="0060098E" w:rsidRDefault="0060098E" w:rsidP="0060098E">
      <w:pPr>
        <w:tabs>
          <w:tab w:val="left" w:pos="-720"/>
        </w:tabs>
        <w:suppressAutoHyphens/>
      </w:pPr>
    </w:p>
    <w:p w:rsidR="0060098E" w:rsidRDefault="0060098E" w:rsidP="0060098E">
      <w:pPr>
        <w:tabs>
          <w:tab w:val="left" w:pos="-720"/>
        </w:tabs>
        <w:suppressAutoHyphens/>
      </w:pPr>
    </w:p>
    <w:p w:rsidR="00585718" w:rsidRDefault="00585718"/>
    <w:sectPr w:rsidR="00585718" w:rsidSect="00D713A9">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15750"/>
    <w:multiLevelType w:val="hybridMultilevel"/>
    <w:tmpl w:val="7C5A1E26"/>
    <w:lvl w:ilvl="0" w:tplc="0C3EE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82525"/>
    <w:multiLevelType w:val="hybridMultilevel"/>
    <w:tmpl w:val="2FF29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60098E"/>
    <w:rsid w:val="000576BF"/>
    <w:rsid w:val="00072761"/>
    <w:rsid w:val="000803D6"/>
    <w:rsid w:val="000B52BF"/>
    <w:rsid w:val="00307E70"/>
    <w:rsid w:val="0039631F"/>
    <w:rsid w:val="005075DF"/>
    <w:rsid w:val="00511597"/>
    <w:rsid w:val="00585718"/>
    <w:rsid w:val="0060098E"/>
    <w:rsid w:val="00607D38"/>
    <w:rsid w:val="006243BC"/>
    <w:rsid w:val="00624B76"/>
    <w:rsid w:val="0063315E"/>
    <w:rsid w:val="0063622E"/>
    <w:rsid w:val="00667CD6"/>
    <w:rsid w:val="006A735D"/>
    <w:rsid w:val="007029A9"/>
    <w:rsid w:val="007B345F"/>
    <w:rsid w:val="00907E26"/>
    <w:rsid w:val="009309EC"/>
    <w:rsid w:val="00944B85"/>
    <w:rsid w:val="00AB45D9"/>
    <w:rsid w:val="00B556BA"/>
    <w:rsid w:val="00B61892"/>
    <w:rsid w:val="00B91704"/>
    <w:rsid w:val="00BE6AC8"/>
    <w:rsid w:val="00BF61F3"/>
    <w:rsid w:val="00C23A3C"/>
    <w:rsid w:val="00C62EF1"/>
    <w:rsid w:val="00D27AE8"/>
    <w:rsid w:val="00D713A9"/>
    <w:rsid w:val="00DA6700"/>
    <w:rsid w:val="00DB1AD1"/>
    <w:rsid w:val="00DB7297"/>
    <w:rsid w:val="00E229CB"/>
    <w:rsid w:val="00E87F90"/>
    <w:rsid w:val="00F37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8E"/>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60098E"/>
    <w:pPr>
      <w:keepNext/>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098E"/>
    <w:rPr>
      <w:rFonts w:ascii="Arial Narrow" w:eastAsia="Times New Roman" w:hAnsi="Arial Narrow" w:cs="Times New Roman"/>
      <w:i/>
      <w:sz w:val="20"/>
      <w:szCs w:val="20"/>
    </w:rPr>
  </w:style>
  <w:style w:type="paragraph" w:styleId="EndnoteText">
    <w:name w:val="endnote text"/>
    <w:basedOn w:val="Normal"/>
    <w:link w:val="EndnoteTextChar"/>
    <w:semiHidden/>
    <w:rsid w:val="0060098E"/>
  </w:style>
  <w:style w:type="character" w:customStyle="1" w:styleId="EndnoteTextChar">
    <w:name w:val="Endnote Text Char"/>
    <w:basedOn w:val="DefaultParagraphFont"/>
    <w:link w:val="EndnoteText"/>
    <w:semiHidden/>
    <w:rsid w:val="0060098E"/>
    <w:rPr>
      <w:rFonts w:ascii="Courier" w:eastAsia="Times New Roman" w:hAnsi="Courier" w:cs="Times New Roman"/>
      <w:sz w:val="24"/>
      <w:szCs w:val="20"/>
    </w:rPr>
  </w:style>
  <w:style w:type="paragraph" w:styleId="TOC6">
    <w:name w:val="toc 6"/>
    <w:basedOn w:val="Normal"/>
    <w:next w:val="Normal"/>
    <w:semiHidden/>
    <w:rsid w:val="0060098E"/>
    <w:pPr>
      <w:tabs>
        <w:tab w:val="right" w:pos="9360"/>
      </w:tabs>
      <w:suppressAutoHyphens/>
      <w:ind w:left="720" w:hanging="720"/>
    </w:pPr>
  </w:style>
  <w:style w:type="paragraph" w:styleId="ListParagraph">
    <w:name w:val="List Paragraph"/>
    <w:basedOn w:val="Normal"/>
    <w:uiPriority w:val="34"/>
    <w:qFormat/>
    <w:rsid w:val="0060098E"/>
    <w:pPr>
      <w:ind w:left="720"/>
      <w:contextualSpacing/>
    </w:pPr>
    <w:rPr>
      <w:rFonts w:ascii="Times New Roman" w:eastAsia="Calibri" w:hAnsi="Times New Roman"/>
      <w:szCs w:val="22"/>
    </w:rPr>
  </w:style>
  <w:style w:type="paragraph" w:styleId="Title">
    <w:name w:val="Title"/>
    <w:basedOn w:val="Normal"/>
    <w:link w:val="TitleChar"/>
    <w:qFormat/>
    <w:rsid w:val="0060098E"/>
    <w:pPr>
      <w:jc w:val="center"/>
    </w:pPr>
    <w:rPr>
      <w:rFonts w:ascii="Arial" w:hAnsi="Arial"/>
      <w:b/>
    </w:rPr>
  </w:style>
  <w:style w:type="character" w:customStyle="1" w:styleId="TitleChar">
    <w:name w:val="Title Char"/>
    <w:basedOn w:val="DefaultParagraphFont"/>
    <w:link w:val="Title"/>
    <w:rsid w:val="0060098E"/>
    <w:rPr>
      <w:rFonts w:ascii="Arial" w:eastAsia="Times New Roman" w:hAnsi="Arial"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4557</Words>
  <Characters>25976</Characters>
  <Application>Microsoft Office Word</Application>
  <DocSecurity>0</DocSecurity>
  <Lines>216</Lines>
  <Paragraphs>60</Paragraphs>
  <ScaleCrop>false</ScaleCrop>
  <Company>CFTC</Company>
  <LinksUpToDate>false</LinksUpToDate>
  <CharactersWithSpaces>30473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4</cp:revision>
  <cp:lastPrinted>2010-11-23T00:02:00Z</cp:lastPrinted>
  <dcterms:created xsi:type="dcterms:W3CDTF">2010-11-09T13:45:00Z</dcterms:created>
  <dcterms:modified xsi:type="dcterms:W3CDTF">2010-11-23T21:01:00Z</dcterms:modified>
</cp:coreProperties>
</file>