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6F" w:rsidRDefault="003A4EE5" w:rsidP="00452302">
      <w:pPr>
        <w:tabs>
          <w:tab w:val="center" w:pos="4680"/>
        </w:tabs>
        <w:jc w:val="center"/>
        <w:rPr>
          <w:rFonts w:ascii="Arial" w:hAnsi="Arial"/>
          <w:sz w:val="22"/>
        </w:rPr>
      </w:pPr>
      <w:r>
        <w:fldChar w:fldCharType="begin"/>
      </w:r>
      <w:r w:rsidR="0077286F">
        <w:instrText xml:space="preserve"> SEQ CHAPTER \h \r 1</w:instrText>
      </w:r>
      <w:r>
        <w:fldChar w:fldCharType="end"/>
      </w:r>
      <w:r w:rsidR="005C37D4">
        <w:rPr>
          <w:rFonts w:ascii="Arial" w:hAnsi="Arial"/>
          <w:sz w:val="22"/>
        </w:rPr>
        <w:t xml:space="preserve">FINAL </w:t>
      </w:r>
      <w:r w:rsidR="0077286F">
        <w:rPr>
          <w:rFonts w:ascii="Arial" w:hAnsi="Arial"/>
          <w:sz w:val="22"/>
        </w:rPr>
        <w:t>OMB SUPPORTING STATEMENT</w:t>
      </w:r>
    </w:p>
    <w:p w:rsidR="0077286F" w:rsidRDefault="0077286F" w:rsidP="00452302">
      <w:pPr>
        <w:tabs>
          <w:tab w:val="center" w:pos="4680"/>
        </w:tabs>
        <w:jc w:val="center"/>
        <w:rPr>
          <w:rFonts w:ascii="Arial" w:hAnsi="Arial"/>
          <w:sz w:val="22"/>
        </w:rPr>
      </w:pPr>
      <w:r>
        <w:rPr>
          <w:rFonts w:ascii="Arial" w:hAnsi="Arial"/>
          <w:sz w:val="22"/>
        </w:rPr>
        <w:t>FOR</w:t>
      </w:r>
    </w:p>
    <w:p w:rsidR="0077286F" w:rsidRDefault="0077286F" w:rsidP="00452302">
      <w:pPr>
        <w:tabs>
          <w:tab w:val="center" w:pos="4680"/>
        </w:tabs>
        <w:jc w:val="center"/>
        <w:rPr>
          <w:rFonts w:ascii="Arial" w:hAnsi="Arial"/>
          <w:sz w:val="22"/>
        </w:rPr>
      </w:pPr>
      <w:r>
        <w:rPr>
          <w:rFonts w:ascii="Arial" w:hAnsi="Arial"/>
          <w:sz w:val="22"/>
        </w:rPr>
        <w:t xml:space="preserve">10 CFR </w:t>
      </w:r>
      <w:proofErr w:type="gramStart"/>
      <w:r>
        <w:rPr>
          <w:rFonts w:ascii="Arial" w:hAnsi="Arial"/>
          <w:sz w:val="22"/>
        </w:rPr>
        <w:t>PART</w:t>
      </w:r>
      <w:proofErr w:type="gramEnd"/>
      <w:r>
        <w:rPr>
          <w:rFonts w:ascii="Arial" w:hAnsi="Arial"/>
          <w:sz w:val="22"/>
        </w:rPr>
        <w:t xml:space="preserve"> 63</w:t>
      </w:r>
    </w:p>
    <w:p w:rsidR="0077286F" w:rsidRDefault="0077286F" w:rsidP="00452302">
      <w:pPr>
        <w:tabs>
          <w:tab w:val="center" w:pos="4680"/>
        </w:tabs>
        <w:jc w:val="center"/>
        <w:rPr>
          <w:rFonts w:ascii="Arial" w:hAnsi="Arial"/>
          <w:sz w:val="22"/>
        </w:rPr>
      </w:pPr>
      <w:r>
        <w:rPr>
          <w:rFonts w:ascii="Arial" w:hAnsi="Arial"/>
          <w:sz w:val="22"/>
        </w:rPr>
        <w:t>DISPOSAL OF HIGH-LEVEL RADIOACTIVE WASTES IN A PROPOSED</w:t>
      </w:r>
    </w:p>
    <w:p w:rsidR="0077286F" w:rsidRDefault="0077286F" w:rsidP="00452302">
      <w:pPr>
        <w:jc w:val="center"/>
        <w:rPr>
          <w:rFonts w:ascii="Arial" w:hAnsi="Arial"/>
          <w:sz w:val="22"/>
        </w:rPr>
      </w:pPr>
      <w:r>
        <w:rPr>
          <w:rFonts w:ascii="Arial" w:hAnsi="Arial"/>
          <w:sz w:val="22"/>
        </w:rPr>
        <w:t>GEOLOGIC REPOSITORY AT YUCCA MOUNTAIN, NEVADA</w:t>
      </w:r>
    </w:p>
    <w:p w:rsidR="0077286F" w:rsidRDefault="0077286F" w:rsidP="00452302">
      <w:pPr>
        <w:tabs>
          <w:tab w:val="center" w:pos="4680"/>
        </w:tabs>
        <w:jc w:val="center"/>
        <w:rPr>
          <w:rFonts w:ascii="Arial" w:hAnsi="Arial"/>
          <w:sz w:val="22"/>
        </w:rPr>
      </w:pPr>
      <w:bookmarkStart w:id="0" w:name="QuickMark_1"/>
      <w:bookmarkEnd w:id="0"/>
      <w:r>
        <w:rPr>
          <w:rFonts w:ascii="Arial" w:hAnsi="Arial"/>
          <w:sz w:val="22"/>
        </w:rPr>
        <w:t>(3150-0199)</w:t>
      </w:r>
    </w:p>
    <w:p w:rsidR="0077286F" w:rsidRDefault="0077286F">
      <w:pPr>
        <w:tabs>
          <w:tab w:val="center" w:pos="4680"/>
        </w:tabs>
        <w:rPr>
          <w:rFonts w:ascii="Arial" w:hAnsi="Arial"/>
          <w:sz w:val="22"/>
        </w:rPr>
      </w:pPr>
    </w:p>
    <w:p w:rsidR="0077286F" w:rsidRDefault="00452302" w:rsidP="00452302">
      <w:pPr>
        <w:tabs>
          <w:tab w:val="center" w:pos="4680"/>
        </w:tabs>
        <w:jc w:val="center"/>
        <w:rPr>
          <w:rFonts w:ascii="Arial" w:hAnsi="Arial"/>
          <w:sz w:val="22"/>
        </w:rPr>
      </w:pPr>
      <w:r>
        <w:rPr>
          <w:rFonts w:ascii="Arial" w:hAnsi="Arial"/>
          <w:sz w:val="22"/>
        </w:rPr>
        <w:t>E</w:t>
      </w:r>
      <w:r w:rsidR="0077286F">
        <w:rPr>
          <w:rFonts w:ascii="Arial" w:hAnsi="Arial"/>
          <w:sz w:val="22"/>
        </w:rPr>
        <w:t>XTENSION REQUEST</w:t>
      </w:r>
    </w:p>
    <w:p w:rsidR="0077286F" w:rsidRDefault="0077286F">
      <w:pPr>
        <w:tabs>
          <w:tab w:val="center" w:pos="4680"/>
        </w:tabs>
        <w:rPr>
          <w:rFonts w:ascii="Arial" w:hAnsi="Arial"/>
          <w:sz w:val="22"/>
        </w:rPr>
      </w:pPr>
    </w:p>
    <w:p w:rsidR="00452302" w:rsidRDefault="00452302"/>
    <w:p w:rsidR="0077286F" w:rsidRDefault="0077286F">
      <w:pPr>
        <w:rPr>
          <w:rFonts w:ascii="Arial" w:hAnsi="Arial"/>
          <w:sz w:val="22"/>
        </w:rPr>
      </w:pPr>
      <w:r>
        <w:rPr>
          <w:rFonts w:ascii="Arial" w:hAnsi="Arial"/>
          <w:sz w:val="22"/>
          <w:u w:val="single"/>
        </w:rPr>
        <w:t>Description of the Information Collection</w:t>
      </w:r>
    </w:p>
    <w:p w:rsidR="0077286F" w:rsidRDefault="0077286F">
      <w:pPr>
        <w:rPr>
          <w:rFonts w:ascii="Arial" w:hAnsi="Arial"/>
          <w:sz w:val="22"/>
        </w:rPr>
      </w:pPr>
    </w:p>
    <w:p w:rsidR="0077286F" w:rsidRDefault="0077286F">
      <w:pPr>
        <w:rPr>
          <w:rFonts w:ascii="Arial" w:hAnsi="Arial"/>
          <w:sz w:val="22"/>
        </w:rPr>
      </w:pPr>
      <w:r>
        <w:rPr>
          <w:rFonts w:ascii="Arial" w:hAnsi="Arial"/>
          <w:sz w:val="22"/>
        </w:rPr>
        <w:t xml:space="preserve">Part 63 requires the State of </w:t>
      </w:r>
      <w:smartTag w:uri="urn:schemas-microsoft-com:office:smarttags" w:element="State">
        <w:smartTag w:uri="urn:schemas-microsoft-com:office:smarttags" w:element="place">
          <w:r>
            <w:rPr>
              <w:rFonts w:ascii="Arial" w:hAnsi="Arial"/>
              <w:sz w:val="22"/>
            </w:rPr>
            <w:t>Nevada</w:t>
          </w:r>
        </w:smartTag>
      </w:smartTag>
      <w:r>
        <w:rPr>
          <w:rFonts w:ascii="Arial" w:hAnsi="Arial"/>
          <w:sz w:val="22"/>
        </w:rPr>
        <w:t>, local government, and affected Indian Tribes to submit certain information to the NRC if they (1) request consultation with the NRC staff regarding the status of site characterization and related NRC activities regarding the potential repository site (63.62) or (2) wish to participate in a license review for the potential repository (63.63).  Any person representing the State, local government, or affected Indian Tribe must also submit a statement of the basis of his or her authority to act in such representative capacity (63.65).  The clearance extension incorporates the information collections contained in the following final rulemaking approved by OMB since the last extension period:</w:t>
      </w:r>
    </w:p>
    <w:p w:rsidR="0077286F" w:rsidRDefault="0077286F">
      <w:pPr>
        <w:rPr>
          <w:rFonts w:ascii="Arial" w:hAnsi="Arial"/>
          <w:sz w:val="22"/>
        </w:rPr>
      </w:pPr>
    </w:p>
    <w:p w:rsidR="0077286F" w:rsidRDefault="0077286F">
      <w:pPr>
        <w:ind w:left="720"/>
        <w:rPr>
          <w:rFonts w:ascii="Arial" w:hAnsi="Arial"/>
          <w:sz w:val="22"/>
        </w:rPr>
      </w:pPr>
      <w:r>
        <w:rPr>
          <w:rFonts w:ascii="Arial" w:hAnsi="Arial"/>
          <w:sz w:val="22"/>
        </w:rPr>
        <w:t>“Clarification of NRC Civil Penalty Authority over Contractors and Subcontractors Who Discriminate Against Employees for Engaging in Protected Activities” (71 FR 5015 on January 31, 2006)</w:t>
      </w:r>
    </w:p>
    <w:p w:rsidR="0077286F" w:rsidRDefault="0077286F">
      <w:pPr>
        <w:rPr>
          <w:rFonts w:ascii="Arial" w:hAnsi="Arial"/>
          <w:sz w:val="22"/>
        </w:rPr>
      </w:pPr>
    </w:p>
    <w:p w:rsidR="0077286F" w:rsidRDefault="0077286F">
      <w:pPr>
        <w:rPr>
          <w:rFonts w:ascii="Arial" w:hAnsi="Arial"/>
          <w:sz w:val="22"/>
        </w:rPr>
      </w:pPr>
    </w:p>
    <w:p w:rsidR="0077286F" w:rsidRDefault="0077286F">
      <w:pPr>
        <w:ind w:left="720" w:hanging="720"/>
        <w:rPr>
          <w:rFonts w:ascii="Arial" w:hAnsi="Arial"/>
          <w:sz w:val="22"/>
        </w:rPr>
      </w:pPr>
      <w:r>
        <w:rPr>
          <w:rFonts w:ascii="Arial" w:hAnsi="Arial"/>
          <w:sz w:val="22"/>
        </w:rPr>
        <w:t>A.</w:t>
      </w:r>
      <w:r>
        <w:rPr>
          <w:rFonts w:ascii="Arial" w:hAnsi="Arial"/>
          <w:sz w:val="22"/>
        </w:rPr>
        <w:tab/>
      </w:r>
      <w:r>
        <w:rPr>
          <w:rFonts w:ascii="Arial" w:hAnsi="Arial"/>
          <w:sz w:val="22"/>
          <w:u w:val="single"/>
        </w:rPr>
        <w:t>Justification</w:t>
      </w:r>
    </w:p>
    <w:p w:rsidR="0077286F" w:rsidRDefault="0077286F">
      <w:pPr>
        <w:rPr>
          <w:rFonts w:ascii="Arial" w:hAnsi="Arial"/>
          <w:sz w:val="22"/>
        </w:rPr>
      </w:pPr>
    </w:p>
    <w:p w:rsidR="0077286F" w:rsidRDefault="0077286F">
      <w:pPr>
        <w:ind w:left="720" w:hanging="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r>
        <w:rPr>
          <w:rFonts w:ascii="Arial" w:hAnsi="Arial"/>
          <w:sz w:val="22"/>
        </w:rPr>
        <w:t xml:space="preserve"> </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rPr>
        <w:t xml:space="preserve">The Nuclear Waste Policy Act of 1982 (NWPA) and 10 CFR Part 63 contain detailed provisions for the participation of the State, local government, and affected Indian Tribes in the process of </w:t>
      </w:r>
      <w:proofErr w:type="spellStart"/>
      <w:r>
        <w:rPr>
          <w:rFonts w:ascii="Arial" w:hAnsi="Arial"/>
          <w:sz w:val="22"/>
        </w:rPr>
        <w:t>siting</w:t>
      </w:r>
      <w:proofErr w:type="spellEnd"/>
      <w:r>
        <w:rPr>
          <w:rFonts w:ascii="Arial" w:hAnsi="Arial"/>
          <w:sz w:val="22"/>
        </w:rPr>
        <w:t xml:space="preserve"> and developing a high-level radioactive waste geologic repository.  The NRC must follow many formal procedures and detailed schedules in meeting its responsibilities under the NWPA and 10 CFR Part 63 (See 10 CFR Part 2).  10 CFR Part 63 does not require the State, local government, and affected Indian Tribes to submit any proposals.  This is strictly voluntary on their part, and only if they desire to do so would the information in question be required of them.  The Director of the Office of Nuclear Materials Safety and Safeguards must have complete information on State, local government, and Indian Tribal plans for participation in order to accommodate State, local government, and Tribal desires for participation while at the same time following mandated procedures and schedules.  In addition, where State, local government, and affected Tribal proposals for participation involve requests for </w:t>
      </w:r>
      <w:proofErr w:type="gramStart"/>
      <w:r>
        <w:rPr>
          <w:rFonts w:ascii="Arial" w:hAnsi="Arial"/>
          <w:sz w:val="22"/>
        </w:rPr>
        <w:t>funding,</w:t>
      </w:r>
      <w:proofErr w:type="gramEnd"/>
      <w:r>
        <w:rPr>
          <w:rFonts w:ascii="Arial" w:hAnsi="Arial"/>
          <w:sz w:val="22"/>
        </w:rPr>
        <w:t xml:space="preserve"> the justification for such requests must be documented in order to assure appropriate uses of NRC funds.</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u w:val="single"/>
        </w:rPr>
        <w:t>Section 63.62</w:t>
      </w:r>
      <w:r>
        <w:rPr>
          <w:rFonts w:ascii="Arial" w:hAnsi="Arial"/>
          <w:sz w:val="22"/>
        </w:rPr>
        <w:t xml:space="preserve"> states that the Director shall make NRC staff available to consult with representatives of the State, local government, and affected Tribes regarding the status </w:t>
      </w:r>
      <w:r>
        <w:rPr>
          <w:rFonts w:ascii="Arial" w:hAnsi="Arial"/>
          <w:sz w:val="22"/>
        </w:rPr>
        <w:lastRenderedPageBreak/>
        <w:t>of site characterization and related NRC regulatory activities.  Section 63.62 also states that requests for consultation shall be made in writing to the Director.  The State, local government, and affected Tribes would be required to submit information about what services they need, and for what purpose the services are needed, only if they wish to obtain NRC consultation services.</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rPr>
        <w:t>Making NRC staff available for consultation with representatives of the State, local government, and affected Indian Tribes represents potentially a major commitment of NRC resources.  The Director must have a firm basis for approving this commitment of resources.  A written request for consultation is the minimum requirement which could provide a firm basis for the commitment of NRC resources.</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u w:val="single"/>
        </w:rPr>
        <w:t>Section 63.63(b)</w:t>
      </w:r>
      <w:r>
        <w:rPr>
          <w:rFonts w:ascii="Arial" w:hAnsi="Arial"/>
          <w:sz w:val="22"/>
        </w:rPr>
        <w:t xml:space="preserve"> states that the State, local government, or affected Indian Tribe may submit to the Director a proposal to facilitate participation in the review of the license application.</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rPr>
        <w:t>The proposal shall contain a description and schedule of how the State, local government, or affected Indian Tribe wishes to participate in the review, what services or activities the State, local government, or affected  Indian Tribe wishes NRC to carry out, and how the services or activities proposed to be carried out by NRC would contribute to such participation.</w:t>
      </w:r>
    </w:p>
    <w:p w:rsidR="0077286F" w:rsidRDefault="0077286F">
      <w:pPr>
        <w:rPr>
          <w:rFonts w:ascii="Arial" w:hAnsi="Arial"/>
          <w:sz w:val="22"/>
        </w:rPr>
      </w:pPr>
    </w:p>
    <w:p w:rsidR="0077286F" w:rsidRDefault="0077286F" w:rsidP="00270A2B">
      <w:pPr>
        <w:ind w:left="720"/>
        <w:rPr>
          <w:rFonts w:ascii="Arial" w:hAnsi="Arial"/>
          <w:sz w:val="22"/>
        </w:rPr>
      </w:pPr>
      <w:r>
        <w:rPr>
          <w:rFonts w:ascii="Arial" w:hAnsi="Arial"/>
          <w:sz w:val="22"/>
          <w:u w:val="single"/>
        </w:rPr>
        <w:t>Section 63.65</w:t>
      </w:r>
      <w:r>
        <w:rPr>
          <w:rFonts w:ascii="Arial" w:hAnsi="Arial"/>
          <w:sz w:val="22"/>
        </w:rPr>
        <w:t xml:space="preserve"> states that any person who acts under this subpart (Subpart C) as a representative for the State (or for the Governor or legislature thereof), local government, or for an affected Indian Tribe shall include in his or her request or other submission, or at the request of the Commission, a statement of the basis of his or her authority to act in such representative capacity.</w:t>
      </w:r>
    </w:p>
    <w:p w:rsidR="0077286F" w:rsidRDefault="0077286F">
      <w:pPr>
        <w:rPr>
          <w:rFonts w:ascii="Arial" w:hAnsi="Arial"/>
          <w:sz w:val="22"/>
        </w:rPr>
      </w:pPr>
    </w:p>
    <w:p w:rsidR="0077286F" w:rsidRDefault="0077286F" w:rsidP="00270A2B">
      <w:pPr>
        <w:ind w:left="720"/>
        <w:rPr>
          <w:rFonts w:ascii="Arial" w:hAnsi="Arial"/>
          <w:color w:val="000000"/>
          <w:sz w:val="22"/>
        </w:rPr>
      </w:pPr>
      <w:r>
        <w:rPr>
          <w:rFonts w:ascii="Arial" w:hAnsi="Arial"/>
          <w:sz w:val="22"/>
        </w:rPr>
        <w:t xml:space="preserve">Such a statement is necessary to assure </w:t>
      </w:r>
      <w:proofErr w:type="gramStart"/>
      <w:r>
        <w:rPr>
          <w:rFonts w:ascii="Arial" w:hAnsi="Arial"/>
          <w:sz w:val="22"/>
        </w:rPr>
        <w:t>NRC</w:t>
      </w:r>
      <w:r>
        <w:rPr>
          <w:rFonts w:ascii="Arial" w:hAnsi="Arial"/>
          <w:color w:val="0000FF"/>
          <w:sz w:val="22"/>
        </w:rPr>
        <w:t xml:space="preserve"> </w:t>
      </w:r>
      <w:r>
        <w:rPr>
          <w:rFonts w:ascii="Arial" w:hAnsi="Arial"/>
          <w:color w:val="000000"/>
          <w:sz w:val="22"/>
        </w:rPr>
        <w:t xml:space="preserve"> that</w:t>
      </w:r>
      <w:proofErr w:type="gramEnd"/>
      <w:r>
        <w:rPr>
          <w:rFonts w:ascii="Arial" w:hAnsi="Arial"/>
          <w:color w:val="000000"/>
          <w:sz w:val="22"/>
        </w:rPr>
        <w:t xml:space="preserve"> representatives for the State, local government, and affected Indian Tribes have the authority to represent the State, local government, or Indian Tribes in dealings with the NRC.</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2.</w:t>
      </w:r>
      <w:r>
        <w:rPr>
          <w:rFonts w:ascii="Arial" w:hAnsi="Arial"/>
          <w:color w:val="000000"/>
          <w:sz w:val="22"/>
        </w:rPr>
        <w:tab/>
      </w:r>
      <w:r>
        <w:rPr>
          <w:rFonts w:ascii="Arial" w:hAnsi="Arial"/>
          <w:color w:val="000000"/>
          <w:sz w:val="22"/>
          <w:u w:val="single"/>
        </w:rPr>
        <w:t>Agency Use of Information</w:t>
      </w:r>
    </w:p>
    <w:p w:rsidR="0077286F" w:rsidRDefault="0077286F">
      <w:pPr>
        <w:rPr>
          <w:rFonts w:ascii="Arial" w:hAnsi="Arial"/>
          <w:color w:val="000000"/>
          <w:sz w:val="22"/>
        </w:rPr>
      </w:pPr>
    </w:p>
    <w:p w:rsidR="0077286F" w:rsidRDefault="0077286F" w:rsidP="00270A2B">
      <w:pPr>
        <w:ind w:left="720"/>
        <w:rPr>
          <w:rFonts w:ascii="Arial" w:hAnsi="Arial"/>
          <w:color w:val="000000"/>
          <w:sz w:val="22"/>
        </w:rPr>
      </w:pPr>
      <w:r>
        <w:rPr>
          <w:rFonts w:ascii="Arial" w:hAnsi="Arial"/>
          <w:color w:val="000000"/>
          <w:sz w:val="22"/>
        </w:rPr>
        <w:t xml:space="preserve">The information requested will be reported to the Director of the Office of Nuclear Material Safety and Safeguards, who has programmatic responsibility for NRC's high-level radioactive waste program.  It will be used by him to carry out requirements for the State, local government, and affected Indian Tribes to participate in the </w:t>
      </w:r>
      <w:proofErr w:type="spellStart"/>
      <w:r>
        <w:rPr>
          <w:rFonts w:ascii="Arial" w:hAnsi="Arial"/>
          <w:color w:val="000000"/>
          <w:sz w:val="22"/>
        </w:rPr>
        <w:t>siting</w:t>
      </w:r>
      <w:proofErr w:type="spellEnd"/>
      <w:r>
        <w:rPr>
          <w:rFonts w:ascii="Arial" w:hAnsi="Arial"/>
          <w:color w:val="000000"/>
          <w:sz w:val="22"/>
        </w:rPr>
        <w:t xml:space="preserve"> and development of the high-level radioactive waste geologic repository.  It will also help the Director determine, for example, whether activities proposed by the State, local government, or affected Indian Tribe would enhance communications, would contribute to the license review in a timely and productive manner and would be authorized by law.  The Director has established a mechanism in the Division of High Level Waste Repository Safety within his or her office to deal with State, local government, and affected Indian Tribe participation.  Staff resources are available to assure that reported information is used in a timely and useful fashion.  NRC usually sets a time limit for review and action on funding requests of 60 days.</w:t>
      </w:r>
    </w:p>
    <w:p w:rsidR="00270A2B" w:rsidRDefault="00270A2B" w:rsidP="00270A2B">
      <w:pPr>
        <w:ind w:left="720"/>
        <w:rPr>
          <w:rFonts w:ascii="Arial" w:hAnsi="Arial"/>
          <w:color w:val="000000"/>
          <w:sz w:val="22"/>
        </w:rPr>
      </w:pPr>
    </w:p>
    <w:p w:rsidR="00270A2B" w:rsidRDefault="00270A2B" w:rsidP="00270A2B">
      <w:pPr>
        <w:ind w:left="720"/>
        <w:rPr>
          <w:rFonts w:ascii="Arial" w:hAnsi="Arial"/>
          <w:color w:val="000000"/>
          <w:sz w:val="22"/>
        </w:rPr>
      </w:pPr>
    </w:p>
    <w:p w:rsidR="00270A2B" w:rsidRDefault="00270A2B" w:rsidP="00270A2B">
      <w:pPr>
        <w:ind w:left="720"/>
        <w:rPr>
          <w:rFonts w:ascii="Arial" w:hAnsi="Arial"/>
          <w:color w:val="000000"/>
          <w:sz w:val="22"/>
        </w:rPr>
      </w:pP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sidRPr="00A77AE5">
        <w:rPr>
          <w:rFonts w:ascii="Arial" w:hAnsi="Arial"/>
          <w:color w:val="000000"/>
          <w:sz w:val="22"/>
        </w:rPr>
        <w:t>3.</w:t>
      </w:r>
      <w:r>
        <w:rPr>
          <w:rFonts w:ascii="Arial" w:hAnsi="Arial"/>
          <w:color w:val="000000"/>
          <w:sz w:val="22"/>
        </w:rPr>
        <w:tab/>
      </w:r>
      <w:r>
        <w:rPr>
          <w:rFonts w:ascii="Arial" w:hAnsi="Arial"/>
          <w:color w:val="000000"/>
          <w:sz w:val="22"/>
          <w:u w:val="single"/>
        </w:rPr>
        <w:t xml:space="preserve">Reduction of Burden </w:t>
      </w:r>
      <w:proofErr w:type="gramStart"/>
      <w:r>
        <w:rPr>
          <w:rFonts w:ascii="Arial" w:hAnsi="Arial"/>
          <w:color w:val="000000"/>
          <w:sz w:val="22"/>
          <w:u w:val="single"/>
        </w:rPr>
        <w:t>Through</w:t>
      </w:r>
      <w:proofErr w:type="gramEnd"/>
      <w:r>
        <w:rPr>
          <w:rFonts w:ascii="Arial" w:hAnsi="Arial"/>
          <w:color w:val="000000"/>
          <w:sz w:val="22"/>
          <w:u w:val="single"/>
        </w:rPr>
        <w:t xml:space="preserve"> Information Technology</w:t>
      </w:r>
    </w:p>
    <w:p w:rsidR="00686DC4" w:rsidRDefault="00686DC4" w:rsidP="003A1F12">
      <w:pPr>
        <w:rPr>
          <w:rFonts w:ascii="Arial" w:hAnsi="Arial" w:cs="Arial"/>
          <w:sz w:val="22"/>
          <w:szCs w:val="22"/>
        </w:rPr>
      </w:pPr>
    </w:p>
    <w:p w:rsidR="003A1F12" w:rsidRDefault="003A1F12" w:rsidP="00270A2B">
      <w:pPr>
        <w:ind w:left="720"/>
        <w:rPr>
          <w:rFonts w:ascii="Arial" w:hAnsi="Arial" w:cs="Arial"/>
          <w:sz w:val="22"/>
          <w:szCs w:val="22"/>
        </w:rPr>
      </w:pPr>
      <w:r>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w:t>
      </w:r>
      <w:r w:rsidR="00C1019D">
        <w:rPr>
          <w:rFonts w:ascii="Arial" w:hAnsi="Arial" w:cs="Arial"/>
          <w:sz w:val="22"/>
          <w:szCs w:val="22"/>
        </w:rPr>
        <w:t>less than</w:t>
      </w:r>
      <w:r>
        <w:rPr>
          <w:rFonts w:ascii="Arial" w:hAnsi="Arial" w:cs="Arial"/>
          <w:sz w:val="22"/>
          <w:szCs w:val="22"/>
        </w:rPr>
        <w:t xml:space="preserve"> </w:t>
      </w:r>
      <w:r w:rsidR="00C1019D">
        <w:rPr>
          <w:rFonts w:ascii="Arial" w:hAnsi="Arial" w:cs="Arial"/>
          <w:sz w:val="22"/>
          <w:szCs w:val="22"/>
        </w:rPr>
        <w:t>50</w:t>
      </w:r>
      <w:r w:rsidR="00270A2B">
        <w:rPr>
          <w:rFonts w:ascii="Arial" w:hAnsi="Arial" w:cs="Arial"/>
          <w:b/>
          <w:bCs/>
          <w:sz w:val="22"/>
          <w:szCs w:val="22"/>
        </w:rPr>
        <w:t xml:space="preserve"> </w:t>
      </w:r>
      <w:r w:rsidR="00270A2B">
        <w:rPr>
          <w:rFonts w:ascii="Arial" w:hAnsi="Arial" w:cs="Arial"/>
          <w:bCs/>
          <w:sz w:val="22"/>
          <w:szCs w:val="22"/>
        </w:rPr>
        <w:t>percent</w:t>
      </w:r>
      <w:r>
        <w:rPr>
          <w:rFonts w:ascii="Arial" w:hAnsi="Arial" w:cs="Arial"/>
          <w:b/>
          <w:bCs/>
          <w:sz w:val="22"/>
          <w:szCs w:val="22"/>
        </w:rPr>
        <w:t xml:space="preserve"> </w:t>
      </w:r>
      <w:r>
        <w:rPr>
          <w:rFonts w:ascii="Arial" w:hAnsi="Arial" w:cs="Arial"/>
          <w:sz w:val="22"/>
          <w:szCs w:val="22"/>
        </w:rPr>
        <w:t xml:space="preserve">of the potential responses </w:t>
      </w:r>
      <w:r w:rsidR="00A77AE5">
        <w:rPr>
          <w:rFonts w:ascii="Arial" w:hAnsi="Arial" w:cs="Arial"/>
          <w:sz w:val="22"/>
          <w:szCs w:val="22"/>
        </w:rPr>
        <w:t>would be</w:t>
      </w:r>
      <w:r>
        <w:rPr>
          <w:rFonts w:ascii="Arial" w:hAnsi="Arial" w:cs="Arial"/>
          <w:sz w:val="22"/>
          <w:szCs w:val="22"/>
        </w:rPr>
        <w:t xml:space="preserve"> filed electronically.  </w:t>
      </w:r>
    </w:p>
    <w:p w:rsidR="0077286F" w:rsidRDefault="0077286F">
      <w:pPr>
        <w:rPr>
          <w:rFonts w:ascii="Arial" w:hAnsi="Arial"/>
          <w:color w:val="000000"/>
          <w:sz w:val="22"/>
        </w:rPr>
      </w:pPr>
    </w:p>
    <w:p w:rsidR="0077286F" w:rsidRPr="00A77AE5" w:rsidRDefault="0077286F">
      <w:pPr>
        <w:ind w:left="720" w:hanging="720"/>
        <w:rPr>
          <w:rFonts w:ascii="Arial" w:hAnsi="Arial"/>
          <w:sz w:val="22"/>
        </w:rPr>
      </w:pPr>
      <w:r w:rsidRPr="00A77AE5">
        <w:rPr>
          <w:rFonts w:ascii="Arial" w:hAnsi="Arial"/>
          <w:sz w:val="22"/>
        </w:rPr>
        <w:t>4.</w:t>
      </w:r>
      <w:r w:rsidRPr="00A77AE5">
        <w:rPr>
          <w:rFonts w:ascii="Arial" w:hAnsi="Arial"/>
          <w:sz w:val="22"/>
        </w:rPr>
        <w:tab/>
      </w:r>
      <w:r w:rsidRPr="00A77AE5">
        <w:rPr>
          <w:rFonts w:ascii="Arial" w:hAnsi="Arial"/>
          <w:sz w:val="22"/>
          <w:u w:val="single"/>
        </w:rPr>
        <w:t>Effort to Identify Duplication and Use Similar Information</w:t>
      </w:r>
    </w:p>
    <w:p w:rsidR="00686DC4" w:rsidRDefault="00686DC4" w:rsidP="003A1F12">
      <w:pPr>
        <w:rPr>
          <w:rFonts w:ascii="Arial" w:hAnsi="Arial" w:cs="Arial"/>
          <w:sz w:val="22"/>
          <w:szCs w:val="22"/>
        </w:rPr>
      </w:pPr>
    </w:p>
    <w:p w:rsidR="003A1F12" w:rsidRDefault="003A1F12" w:rsidP="00270A2B">
      <w:pPr>
        <w:ind w:left="720"/>
        <w:rPr>
          <w:rFonts w:ascii="Arial" w:hAnsi="Arial" w:cs="Arial"/>
          <w:sz w:val="22"/>
          <w:szCs w:val="22"/>
        </w:rPr>
      </w:pPr>
      <w:r>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5.</w:t>
      </w:r>
      <w:r>
        <w:rPr>
          <w:rFonts w:ascii="Arial" w:hAnsi="Arial"/>
          <w:color w:val="000000"/>
          <w:sz w:val="22"/>
        </w:rPr>
        <w:tab/>
      </w:r>
      <w:r>
        <w:rPr>
          <w:rFonts w:ascii="Arial" w:hAnsi="Arial"/>
          <w:color w:val="000000"/>
          <w:sz w:val="22"/>
          <w:u w:val="single"/>
        </w:rPr>
        <w:t>Effort to Reduce Small Business Burden</w:t>
      </w:r>
    </w:p>
    <w:p w:rsidR="0077286F" w:rsidRDefault="0077286F">
      <w:pPr>
        <w:rPr>
          <w:rFonts w:ascii="Arial" w:hAnsi="Arial"/>
          <w:color w:val="000000"/>
          <w:sz w:val="22"/>
        </w:rPr>
      </w:pPr>
    </w:p>
    <w:p w:rsidR="0077286F" w:rsidRDefault="0077286F" w:rsidP="00270A2B">
      <w:pPr>
        <w:ind w:left="720"/>
        <w:rPr>
          <w:rFonts w:ascii="Arial" w:hAnsi="Arial"/>
          <w:color w:val="000000"/>
          <w:sz w:val="22"/>
        </w:rPr>
      </w:pPr>
      <w:r>
        <w:rPr>
          <w:rFonts w:ascii="Arial" w:hAnsi="Arial"/>
          <w:color w:val="000000"/>
          <w:sz w:val="22"/>
        </w:rPr>
        <w:t>No small businesses are affected by the information collection requirements, but some affected Indian Tribes might be considered small entities.  The NRC staff's established program to provide information exchange with States, local government, and affected Indian Tribes could provide them with assistance in preparation of the requested information.</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6.</w:t>
      </w:r>
      <w:r>
        <w:rPr>
          <w:rFonts w:ascii="Arial" w:hAnsi="Arial"/>
          <w:color w:val="000000"/>
          <w:sz w:val="22"/>
        </w:rPr>
        <w:tab/>
      </w:r>
      <w:r>
        <w:rPr>
          <w:rFonts w:ascii="Arial" w:hAnsi="Arial"/>
          <w:color w:val="000000"/>
          <w:sz w:val="22"/>
          <w:u w:val="single"/>
        </w:rPr>
        <w:t xml:space="preserve">Consequences to Federal Program or Policy Activities if the Collection is </w:t>
      </w:r>
      <w:proofErr w:type="gramStart"/>
      <w:r>
        <w:rPr>
          <w:rFonts w:ascii="Arial" w:hAnsi="Arial"/>
          <w:color w:val="000000"/>
          <w:sz w:val="22"/>
          <w:u w:val="single"/>
        </w:rPr>
        <w:t>Not</w:t>
      </w:r>
      <w:proofErr w:type="gramEnd"/>
      <w:r>
        <w:rPr>
          <w:rFonts w:ascii="Arial" w:hAnsi="Arial"/>
          <w:color w:val="000000"/>
          <w:sz w:val="22"/>
          <w:u w:val="single"/>
        </w:rPr>
        <w:t xml:space="preserve"> Conducted or is Conducted Less Frequent Collection</w:t>
      </w:r>
    </w:p>
    <w:p w:rsidR="0077286F" w:rsidRDefault="0077286F">
      <w:pPr>
        <w:rPr>
          <w:rFonts w:ascii="Arial" w:hAnsi="Arial"/>
          <w:color w:val="000000"/>
          <w:sz w:val="22"/>
        </w:rPr>
      </w:pPr>
    </w:p>
    <w:p w:rsidR="0077286F" w:rsidRDefault="0077286F" w:rsidP="00270A2B">
      <w:pPr>
        <w:ind w:left="720"/>
        <w:rPr>
          <w:rFonts w:ascii="Arial" w:hAnsi="Arial"/>
          <w:color w:val="000000"/>
          <w:sz w:val="22"/>
        </w:rPr>
      </w:pPr>
      <w:r>
        <w:rPr>
          <w:rFonts w:ascii="Arial" w:hAnsi="Arial"/>
          <w:color w:val="000000"/>
          <w:sz w:val="22"/>
        </w:rPr>
        <w:t xml:space="preserve">If the collection is not conducted, the Director will not have information that will enable him or her to provide opportunities for the State, local government, and affected Indian Tribes to participate in the </w:t>
      </w:r>
      <w:proofErr w:type="spellStart"/>
      <w:r>
        <w:rPr>
          <w:rFonts w:ascii="Arial" w:hAnsi="Arial"/>
          <w:color w:val="000000"/>
          <w:sz w:val="22"/>
        </w:rPr>
        <w:t>siting</w:t>
      </w:r>
      <w:proofErr w:type="spellEnd"/>
      <w:r>
        <w:rPr>
          <w:rFonts w:ascii="Arial" w:hAnsi="Arial"/>
          <w:color w:val="000000"/>
          <w:sz w:val="22"/>
        </w:rPr>
        <w:t xml:space="preserve"> and development of a high-level radioactive waste geologic repository.  The information collection requirements only apply to a single submittal.</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7.</w:t>
      </w:r>
      <w:r>
        <w:rPr>
          <w:rFonts w:ascii="Arial" w:hAnsi="Arial"/>
          <w:color w:val="000000"/>
          <w:sz w:val="22"/>
        </w:rPr>
        <w:tab/>
      </w:r>
      <w:r>
        <w:rPr>
          <w:rFonts w:ascii="Arial" w:hAnsi="Arial"/>
          <w:color w:val="000000"/>
          <w:sz w:val="22"/>
          <w:u w:val="single"/>
        </w:rPr>
        <w:t xml:space="preserve">Circumstances Which Justify Variation </w:t>
      </w:r>
      <w:proofErr w:type="gramStart"/>
      <w:r>
        <w:rPr>
          <w:rFonts w:ascii="Arial" w:hAnsi="Arial"/>
          <w:color w:val="000000"/>
          <w:sz w:val="22"/>
          <w:u w:val="single"/>
        </w:rPr>
        <w:t>From</w:t>
      </w:r>
      <w:proofErr w:type="gramEnd"/>
      <w:r>
        <w:rPr>
          <w:rFonts w:ascii="Arial" w:hAnsi="Arial"/>
          <w:color w:val="000000"/>
          <w:sz w:val="22"/>
          <w:u w:val="single"/>
        </w:rPr>
        <w:t xml:space="preserve"> OMB Guidelines</w:t>
      </w:r>
    </w:p>
    <w:p w:rsidR="0077286F" w:rsidRDefault="0077286F">
      <w:pPr>
        <w:rPr>
          <w:rFonts w:ascii="Arial" w:hAnsi="Arial"/>
          <w:color w:val="000000"/>
          <w:sz w:val="22"/>
        </w:rPr>
      </w:pPr>
    </w:p>
    <w:p w:rsidR="0077286F" w:rsidRDefault="0077286F" w:rsidP="00270A2B">
      <w:pPr>
        <w:ind w:firstLine="720"/>
        <w:rPr>
          <w:rFonts w:ascii="Arial" w:hAnsi="Arial"/>
          <w:color w:val="000000"/>
          <w:sz w:val="22"/>
        </w:rPr>
      </w:pPr>
      <w:r>
        <w:rPr>
          <w:rFonts w:ascii="Arial" w:hAnsi="Arial"/>
          <w:color w:val="000000"/>
          <w:sz w:val="22"/>
        </w:rPr>
        <w:t>There are no variations from OMB guidelines.</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sidRPr="00A77AE5">
        <w:rPr>
          <w:rFonts w:ascii="Arial" w:hAnsi="Arial"/>
          <w:sz w:val="22"/>
        </w:rPr>
        <w:t>8.</w:t>
      </w:r>
      <w:r>
        <w:rPr>
          <w:rFonts w:ascii="Arial" w:hAnsi="Arial"/>
          <w:color w:val="000000"/>
          <w:sz w:val="22"/>
        </w:rPr>
        <w:tab/>
      </w:r>
      <w:r>
        <w:rPr>
          <w:rFonts w:ascii="Arial" w:hAnsi="Arial"/>
          <w:color w:val="000000"/>
          <w:sz w:val="22"/>
          <w:u w:val="single"/>
        </w:rPr>
        <w:t xml:space="preserve">Consultations </w:t>
      </w:r>
      <w:proofErr w:type="gramStart"/>
      <w:r>
        <w:rPr>
          <w:rFonts w:ascii="Arial" w:hAnsi="Arial"/>
          <w:color w:val="000000"/>
          <w:sz w:val="22"/>
          <w:u w:val="single"/>
        </w:rPr>
        <w:t>Outside</w:t>
      </w:r>
      <w:proofErr w:type="gramEnd"/>
      <w:r>
        <w:rPr>
          <w:rFonts w:ascii="Arial" w:hAnsi="Arial"/>
          <w:color w:val="000000"/>
          <w:sz w:val="22"/>
          <w:u w:val="single"/>
        </w:rPr>
        <w:t xml:space="preserve"> NRC</w:t>
      </w:r>
    </w:p>
    <w:p w:rsidR="00686DC4" w:rsidRDefault="00686DC4" w:rsidP="003A1F12">
      <w:pPr>
        <w:rPr>
          <w:rFonts w:ascii="Arial" w:hAnsi="Arial" w:cs="Arial"/>
          <w:sz w:val="22"/>
          <w:szCs w:val="22"/>
        </w:rPr>
      </w:pPr>
    </w:p>
    <w:p w:rsidR="005C37D4" w:rsidRDefault="003A1F12" w:rsidP="00270A2B">
      <w:pPr>
        <w:ind w:left="720"/>
        <w:rPr>
          <w:rFonts w:ascii="Arial" w:hAnsi="Arial" w:cs="Arial"/>
          <w:sz w:val="22"/>
          <w:szCs w:val="22"/>
        </w:rPr>
      </w:pPr>
      <w:r>
        <w:rPr>
          <w:rFonts w:ascii="Arial" w:hAnsi="Arial" w:cs="Arial"/>
          <w:sz w:val="22"/>
          <w:szCs w:val="22"/>
        </w:rPr>
        <w:t xml:space="preserve">Opportunity for public comment on the information collection requirements for this clearance package </w:t>
      </w:r>
      <w:r w:rsidR="005C37D4">
        <w:rPr>
          <w:rFonts w:ascii="Arial" w:hAnsi="Arial" w:cs="Arial"/>
          <w:sz w:val="22"/>
          <w:szCs w:val="22"/>
        </w:rPr>
        <w:t>w</w:t>
      </w:r>
      <w:r>
        <w:rPr>
          <w:rFonts w:ascii="Arial" w:hAnsi="Arial" w:cs="Arial"/>
          <w:sz w:val="22"/>
          <w:szCs w:val="22"/>
        </w:rPr>
        <w:t xml:space="preserve">as published in the </w:t>
      </w:r>
      <w:r>
        <w:rPr>
          <w:rFonts w:ascii="Arial" w:hAnsi="Arial" w:cs="Arial"/>
          <w:sz w:val="22"/>
          <w:szCs w:val="22"/>
          <w:u w:val="single"/>
        </w:rPr>
        <w:t>Federal Register</w:t>
      </w:r>
      <w:r w:rsidR="005C37D4">
        <w:rPr>
          <w:rFonts w:ascii="Arial" w:hAnsi="Arial" w:cs="Arial"/>
          <w:sz w:val="22"/>
          <w:szCs w:val="22"/>
        </w:rPr>
        <w:t xml:space="preserve"> on July 7, 2010 </w:t>
      </w:r>
    </w:p>
    <w:p w:rsidR="003A1F12" w:rsidRPr="005C37D4" w:rsidRDefault="009866F0" w:rsidP="00270A2B">
      <w:pPr>
        <w:ind w:left="720"/>
        <w:rPr>
          <w:rFonts w:ascii="Arial" w:hAnsi="Arial" w:cs="Arial"/>
          <w:sz w:val="22"/>
          <w:szCs w:val="22"/>
        </w:rPr>
      </w:pPr>
      <w:proofErr w:type="gramStart"/>
      <w:r>
        <w:rPr>
          <w:rFonts w:ascii="Arial" w:hAnsi="Arial" w:cs="Arial"/>
          <w:sz w:val="22"/>
          <w:szCs w:val="22"/>
        </w:rPr>
        <w:t xml:space="preserve">(75 FR </w:t>
      </w:r>
      <w:r w:rsidR="005C37D4">
        <w:rPr>
          <w:rFonts w:ascii="Arial" w:hAnsi="Arial" w:cs="Arial"/>
          <w:sz w:val="22"/>
          <w:szCs w:val="22"/>
        </w:rPr>
        <w:t>39054).</w:t>
      </w:r>
      <w:proofErr w:type="gramEnd"/>
      <w:r w:rsidR="005C37D4">
        <w:rPr>
          <w:rFonts w:ascii="Arial" w:hAnsi="Arial" w:cs="Arial"/>
          <w:sz w:val="22"/>
          <w:szCs w:val="22"/>
        </w:rPr>
        <w:t xml:space="preserve">  No comments were received.</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Pr>
          <w:rFonts w:ascii="Arial" w:hAnsi="Arial"/>
          <w:color w:val="000000"/>
          <w:sz w:val="22"/>
        </w:rPr>
        <w:t>9.</w:t>
      </w:r>
      <w:r>
        <w:rPr>
          <w:rFonts w:ascii="Arial" w:hAnsi="Arial"/>
          <w:color w:val="000000"/>
          <w:sz w:val="22"/>
        </w:rPr>
        <w:tab/>
      </w:r>
      <w:r>
        <w:rPr>
          <w:rFonts w:ascii="Arial" w:hAnsi="Arial"/>
          <w:color w:val="000000"/>
          <w:sz w:val="22"/>
          <w:u w:val="single"/>
        </w:rPr>
        <w:t>Payments or Gifts to Respondents</w:t>
      </w:r>
    </w:p>
    <w:p w:rsidR="0077286F" w:rsidRDefault="0077286F">
      <w:pPr>
        <w:rPr>
          <w:rFonts w:ascii="Arial" w:hAnsi="Arial"/>
          <w:color w:val="000000"/>
          <w:sz w:val="22"/>
        </w:rPr>
      </w:pPr>
    </w:p>
    <w:p w:rsidR="0077286F" w:rsidRDefault="0077286F" w:rsidP="00270A2B">
      <w:pPr>
        <w:ind w:firstLine="720"/>
        <w:rPr>
          <w:rFonts w:ascii="Arial" w:hAnsi="Arial"/>
          <w:color w:val="000000"/>
          <w:sz w:val="22"/>
        </w:rPr>
      </w:pPr>
      <w:r>
        <w:rPr>
          <w:rFonts w:ascii="Arial" w:hAnsi="Arial"/>
          <w:color w:val="000000"/>
          <w:sz w:val="22"/>
        </w:rPr>
        <w:t>Not applicable.</w:t>
      </w:r>
    </w:p>
    <w:p w:rsidR="0077286F" w:rsidRDefault="0077286F">
      <w:pPr>
        <w:rPr>
          <w:rFonts w:ascii="Arial" w:hAnsi="Arial"/>
          <w:color w:val="000000"/>
          <w:sz w:val="22"/>
        </w:rPr>
      </w:pPr>
    </w:p>
    <w:p w:rsidR="0077286F" w:rsidRDefault="0077286F">
      <w:pPr>
        <w:ind w:left="720" w:hanging="720"/>
        <w:rPr>
          <w:rFonts w:ascii="Arial" w:hAnsi="Arial"/>
          <w:color w:val="000000"/>
          <w:sz w:val="22"/>
        </w:rPr>
      </w:pPr>
      <w:r w:rsidRPr="00A77AE5">
        <w:rPr>
          <w:rFonts w:ascii="Arial" w:hAnsi="Arial"/>
          <w:sz w:val="22"/>
        </w:rPr>
        <w:t>10.</w:t>
      </w:r>
      <w:r w:rsidRPr="00A77AE5">
        <w:rPr>
          <w:rFonts w:ascii="Arial" w:hAnsi="Arial"/>
          <w:sz w:val="22"/>
        </w:rPr>
        <w:tab/>
      </w:r>
      <w:r>
        <w:rPr>
          <w:rFonts w:ascii="Arial" w:hAnsi="Arial"/>
          <w:color w:val="000000"/>
          <w:sz w:val="22"/>
          <w:u w:val="single"/>
        </w:rPr>
        <w:t>Confidentiality of the Information</w:t>
      </w:r>
    </w:p>
    <w:p w:rsidR="00686DC4" w:rsidRDefault="00686DC4" w:rsidP="003A1F12">
      <w:pPr>
        <w:rPr>
          <w:rFonts w:ascii="Arial" w:hAnsi="Arial" w:cs="Arial"/>
          <w:sz w:val="22"/>
          <w:szCs w:val="22"/>
        </w:rPr>
      </w:pPr>
    </w:p>
    <w:p w:rsidR="003A1F12" w:rsidRDefault="003A1F12" w:rsidP="00270A2B">
      <w:pPr>
        <w:ind w:left="720"/>
        <w:rPr>
          <w:rFonts w:ascii="Arial" w:hAnsi="Arial" w:cs="Arial"/>
          <w:sz w:val="22"/>
          <w:szCs w:val="22"/>
        </w:rPr>
      </w:pPr>
      <w:r>
        <w:rPr>
          <w:rFonts w:ascii="Arial" w:hAnsi="Arial" w:cs="Arial"/>
          <w:sz w:val="22"/>
          <w:szCs w:val="22"/>
        </w:rPr>
        <w:t>Confidential and proprietary information is protected in accordance with NRC regulations at 10 CFR 9.17(a) and 10 CFR 2.390(b).</w:t>
      </w:r>
      <w:r w:rsidR="00A77AE5">
        <w:rPr>
          <w:rFonts w:ascii="Arial" w:hAnsi="Arial" w:cs="Arial"/>
          <w:sz w:val="22"/>
          <w:szCs w:val="22"/>
        </w:rPr>
        <w:t xml:space="preserve">  </w:t>
      </w:r>
      <w:r>
        <w:rPr>
          <w:rFonts w:ascii="Arial" w:hAnsi="Arial" w:cs="Arial"/>
          <w:sz w:val="22"/>
          <w:szCs w:val="22"/>
        </w:rPr>
        <w:t>However, no information normally considered confidential or proprietary is requested.</w:t>
      </w:r>
    </w:p>
    <w:p w:rsidR="00A77AE5" w:rsidRDefault="00A77AE5" w:rsidP="003A1F12">
      <w:pPr>
        <w:rPr>
          <w:rFonts w:ascii="Arial" w:hAnsi="Arial" w:cs="Arial"/>
          <w:sz w:val="22"/>
          <w:szCs w:val="22"/>
        </w:rPr>
      </w:pPr>
    </w:p>
    <w:p w:rsidR="0077286F" w:rsidRDefault="0077286F">
      <w:pPr>
        <w:ind w:left="720" w:hanging="720"/>
        <w:rPr>
          <w:rFonts w:ascii="Arial" w:hAnsi="Arial"/>
          <w:color w:val="000000"/>
          <w:sz w:val="22"/>
        </w:rPr>
      </w:pPr>
      <w:r>
        <w:rPr>
          <w:rFonts w:ascii="Arial" w:hAnsi="Arial"/>
          <w:color w:val="000000"/>
          <w:sz w:val="22"/>
        </w:rPr>
        <w:t>11.</w:t>
      </w:r>
      <w:r>
        <w:rPr>
          <w:rFonts w:ascii="Arial" w:hAnsi="Arial"/>
          <w:color w:val="000000"/>
          <w:sz w:val="22"/>
        </w:rPr>
        <w:tab/>
      </w:r>
      <w:r>
        <w:rPr>
          <w:rFonts w:ascii="Arial" w:hAnsi="Arial"/>
          <w:color w:val="000000"/>
          <w:sz w:val="22"/>
          <w:u w:val="single"/>
        </w:rPr>
        <w:t>Justification for Sensitive Questions</w:t>
      </w:r>
    </w:p>
    <w:p w:rsidR="0077286F" w:rsidRDefault="0077286F">
      <w:pPr>
        <w:rPr>
          <w:rFonts w:ascii="Arial" w:hAnsi="Arial"/>
          <w:color w:val="000000"/>
          <w:sz w:val="22"/>
        </w:rPr>
      </w:pPr>
    </w:p>
    <w:p w:rsidR="00686DC4" w:rsidRDefault="0077286F" w:rsidP="00270A2B">
      <w:pPr>
        <w:ind w:firstLine="720"/>
        <w:rPr>
          <w:rFonts w:ascii="Arial" w:hAnsi="Arial"/>
          <w:color w:val="000000"/>
          <w:sz w:val="22"/>
        </w:rPr>
      </w:pPr>
      <w:proofErr w:type="gramStart"/>
      <w:r>
        <w:rPr>
          <w:rFonts w:ascii="Arial" w:hAnsi="Arial"/>
          <w:color w:val="000000"/>
          <w:sz w:val="22"/>
        </w:rPr>
        <w:t>None.</w:t>
      </w:r>
      <w:proofErr w:type="gramEnd"/>
    </w:p>
    <w:p w:rsidR="00686DC4" w:rsidRDefault="00686DC4">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720" w:hanging="720"/>
        <w:rPr>
          <w:rFonts w:ascii="Arial" w:hAnsi="Arial"/>
          <w:color w:val="000000"/>
          <w:sz w:val="22"/>
        </w:rPr>
      </w:pP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720" w:hanging="720"/>
        <w:rPr>
          <w:rFonts w:ascii="Arial" w:hAnsi="Arial"/>
          <w:color w:val="000000"/>
          <w:sz w:val="22"/>
        </w:rPr>
      </w:pPr>
      <w:r>
        <w:rPr>
          <w:rFonts w:ascii="Arial" w:hAnsi="Arial"/>
          <w:color w:val="000000"/>
          <w:sz w:val="22"/>
        </w:rPr>
        <w:t>12.</w:t>
      </w:r>
      <w:r w:rsidR="009866F0">
        <w:rPr>
          <w:rFonts w:ascii="Arial" w:hAnsi="Arial"/>
          <w:color w:val="000000"/>
          <w:sz w:val="22"/>
        </w:rPr>
        <w:tab/>
      </w:r>
      <w:r>
        <w:rPr>
          <w:rFonts w:ascii="Arial" w:hAnsi="Arial"/>
          <w:color w:val="000000"/>
          <w:sz w:val="22"/>
          <w:u w:val="single"/>
        </w:rPr>
        <w:t>Estimated Burden and Burden Hour Costs</w:t>
      </w:r>
      <w:r>
        <w:rPr>
          <w:rFonts w:ascii="Arial" w:hAnsi="Arial"/>
          <w:color w:val="000000"/>
          <w:sz w:val="22"/>
        </w:rPr>
        <w:t xml:space="preserve"> </w:t>
      </w:r>
      <w:r>
        <w:rPr>
          <w:rFonts w:ascii="Arial" w:hAnsi="Arial"/>
          <w:color w:val="000000"/>
          <w:sz w:val="22"/>
        </w:rPr>
        <w:tab/>
      </w:r>
    </w:p>
    <w:p w:rsidR="003A1F12" w:rsidRDefault="003A1F12" w:rsidP="003A1F12">
      <w:pPr>
        <w:rPr>
          <w:rFonts w:ascii="Arial" w:hAnsi="Arial" w:cs="Arial"/>
          <w:sz w:val="22"/>
          <w:szCs w:val="22"/>
        </w:rPr>
      </w:pP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1440"/>
        <w:gridCol w:w="1594"/>
        <w:gridCol w:w="1556"/>
        <w:gridCol w:w="1350"/>
        <w:gridCol w:w="1350"/>
        <w:gridCol w:w="1170"/>
        <w:gridCol w:w="1530"/>
      </w:tblGrid>
      <w:tr w:rsidR="0077286F">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Section</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 xml:space="preserve">Number of </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Respondents</w:t>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Frequency</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of Response</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Annual</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Responses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Hours per</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Response</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Annual</w:t>
            </w: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Burden</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Public Cost</w:t>
            </w:r>
          </w:p>
          <w:p w:rsidR="0077286F" w:rsidRDefault="0077286F" w:rsidP="00A77AE5">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($25</w:t>
            </w:r>
            <w:r w:rsidR="00A77AE5">
              <w:rPr>
                <w:rFonts w:ascii="Arial" w:hAnsi="Arial"/>
                <w:color w:val="000000"/>
                <w:sz w:val="22"/>
              </w:rPr>
              <w:t>7</w:t>
            </w:r>
            <w:r>
              <w:rPr>
                <w:rFonts w:ascii="Arial" w:hAnsi="Arial"/>
                <w:color w:val="000000"/>
                <w:sz w:val="22"/>
              </w:rPr>
              <w:t>/Hr)</w:t>
            </w:r>
          </w:p>
        </w:tc>
      </w:tr>
      <w:tr w:rsidR="0077286F">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63.62</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696"/>
              </w:tabs>
              <w:rPr>
                <w:rFonts w:ascii="Arial" w:hAnsi="Arial"/>
                <w:color w:val="000000"/>
                <w:sz w:val="22"/>
                <w:u w:val="single"/>
              </w:rPr>
            </w:pPr>
            <w:r>
              <w:rPr>
                <w:rFonts w:ascii="Arial" w:hAnsi="Arial"/>
                <w:color w:val="000000"/>
                <w:sz w:val="22"/>
              </w:rPr>
              <w:tab/>
              <w:t>3</w:t>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once only</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40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484"/>
              </w:tabs>
              <w:rPr>
                <w:rFonts w:ascii="Arial" w:hAnsi="Arial"/>
                <w:color w:val="000000"/>
                <w:sz w:val="22"/>
                <w:u w:val="single"/>
              </w:rPr>
            </w:pPr>
            <w:r>
              <w:rPr>
                <w:rFonts w:ascii="Arial" w:hAnsi="Arial"/>
                <w:color w:val="000000"/>
                <w:sz w:val="22"/>
              </w:rPr>
              <w:tab/>
              <w:t>120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A77AE5">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$30,</w:t>
            </w:r>
            <w:r w:rsidR="00A77AE5">
              <w:rPr>
                <w:rFonts w:ascii="Arial" w:hAnsi="Arial"/>
                <w:color w:val="000000"/>
                <w:sz w:val="22"/>
              </w:rPr>
              <w:t>840</w:t>
            </w:r>
          </w:p>
        </w:tc>
      </w:tr>
      <w:tr w:rsidR="0077286F">
        <w:trPr>
          <w:cantSplit/>
          <w:trHeight w:val="368"/>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62.63</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696"/>
              </w:tabs>
              <w:rPr>
                <w:rFonts w:ascii="Arial" w:hAnsi="Arial"/>
                <w:color w:val="000000"/>
                <w:sz w:val="22"/>
                <w:u w:val="single"/>
              </w:rPr>
            </w:pPr>
            <w:r>
              <w:rPr>
                <w:rFonts w:ascii="Arial" w:hAnsi="Arial"/>
                <w:color w:val="000000"/>
                <w:sz w:val="22"/>
              </w:rPr>
              <w:tab/>
              <w:t>3</w:t>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once only</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80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484"/>
              </w:tabs>
              <w:rPr>
                <w:rFonts w:ascii="Arial" w:hAnsi="Arial"/>
                <w:color w:val="000000"/>
                <w:sz w:val="22"/>
                <w:u w:val="single"/>
              </w:rPr>
            </w:pPr>
            <w:r>
              <w:rPr>
                <w:rFonts w:ascii="Arial" w:hAnsi="Arial"/>
                <w:color w:val="000000"/>
                <w:sz w:val="22"/>
              </w:rPr>
              <w:tab/>
              <w:t>240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9C28D9">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$61,</w:t>
            </w:r>
            <w:r w:rsidR="009C28D9">
              <w:rPr>
                <w:rFonts w:ascii="Arial" w:hAnsi="Arial"/>
                <w:color w:val="000000"/>
                <w:sz w:val="22"/>
              </w:rPr>
              <w:t>680</w:t>
            </w:r>
          </w:p>
        </w:tc>
      </w:tr>
      <w:tr w:rsidR="0077286F">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63.65</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696"/>
              </w:tabs>
              <w:rPr>
                <w:rFonts w:ascii="Arial" w:hAnsi="Arial"/>
                <w:color w:val="000000"/>
                <w:sz w:val="22"/>
                <w:u w:val="single"/>
              </w:rPr>
            </w:pPr>
            <w:r>
              <w:rPr>
                <w:rFonts w:ascii="Arial" w:hAnsi="Arial"/>
                <w:color w:val="000000"/>
                <w:sz w:val="22"/>
              </w:rPr>
              <w:tab/>
              <w:t>3</w:t>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once only</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484"/>
              </w:tabs>
              <w:rPr>
                <w:rFonts w:ascii="Arial" w:hAnsi="Arial"/>
                <w:color w:val="000000"/>
                <w:sz w:val="22"/>
                <w:u w:val="single"/>
              </w:rPr>
            </w:pPr>
            <w:r>
              <w:rPr>
                <w:rFonts w:ascii="Arial" w:hAnsi="Arial"/>
                <w:color w:val="000000"/>
                <w:sz w:val="22"/>
              </w:rPr>
              <w:tab/>
              <w:t>3</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$77</w:t>
            </w:r>
            <w:r w:rsidR="009C28D9">
              <w:rPr>
                <w:rFonts w:ascii="Arial" w:hAnsi="Arial"/>
                <w:color w:val="000000"/>
                <w:sz w:val="22"/>
              </w:rPr>
              <w:t>1</w:t>
            </w:r>
          </w:p>
        </w:tc>
      </w:tr>
      <w:tr w:rsidR="0077286F">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Totals</w:t>
            </w:r>
          </w:p>
        </w:tc>
        <w:tc>
          <w:tcPr>
            <w:tcW w:w="15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696"/>
              </w:tabs>
              <w:rPr>
                <w:rFonts w:ascii="Arial" w:hAnsi="Arial"/>
                <w:color w:val="000000"/>
                <w:sz w:val="22"/>
                <w:u w:val="single"/>
              </w:rPr>
            </w:pPr>
            <w:r>
              <w:rPr>
                <w:rFonts w:ascii="Arial" w:hAnsi="Arial"/>
                <w:color w:val="000000"/>
                <w:sz w:val="22"/>
              </w:rPr>
              <w:tab/>
            </w:r>
          </w:p>
        </w:tc>
        <w:tc>
          <w:tcPr>
            <w:tcW w:w="15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574"/>
              </w:tabs>
              <w:rPr>
                <w:rFonts w:ascii="Arial" w:hAnsi="Arial"/>
                <w:color w:val="000000"/>
                <w:sz w:val="22"/>
                <w:u w:val="single"/>
              </w:rPr>
            </w:pPr>
            <w:r>
              <w:rPr>
                <w:rFonts w:ascii="Arial" w:hAnsi="Arial"/>
                <w:color w:val="000000"/>
                <w:sz w:val="22"/>
              </w:rPr>
              <w:tab/>
              <w:t>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pPr>
              <w:tabs>
                <w:tab w:val="center" w:pos="484"/>
              </w:tabs>
              <w:rPr>
                <w:rFonts w:ascii="Arial" w:hAnsi="Arial"/>
                <w:color w:val="000000"/>
                <w:sz w:val="22"/>
                <w:u w:val="single"/>
              </w:rPr>
            </w:pPr>
            <w:r>
              <w:rPr>
                <w:rFonts w:ascii="Arial" w:hAnsi="Arial"/>
                <w:color w:val="000000"/>
                <w:sz w:val="22"/>
              </w:rPr>
              <w:tab/>
              <w:t>363</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77286F" w:rsidRDefault="0077286F" w:rsidP="009C28D9">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u w:val="single"/>
              </w:rPr>
            </w:pPr>
            <w:r>
              <w:rPr>
                <w:rFonts w:ascii="Arial" w:hAnsi="Arial"/>
                <w:color w:val="000000"/>
                <w:sz w:val="22"/>
              </w:rPr>
              <w:t>$93,</w:t>
            </w:r>
            <w:r w:rsidR="009C28D9">
              <w:rPr>
                <w:rFonts w:ascii="Arial" w:hAnsi="Arial"/>
                <w:color w:val="000000"/>
                <w:sz w:val="22"/>
              </w:rPr>
              <w:t>291</w:t>
            </w:r>
          </w:p>
        </w:tc>
      </w:tr>
    </w:tbl>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pPr>
        <w:tabs>
          <w:tab w:val="left" w:pos="0"/>
          <w:tab w:val="left" w:pos="902"/>
          <w:tab w:val="left" w:pos="1354"/>
          <w:tab w:val="left" w:pos="2369"/>
          <w:tab w:val="left" w:pos="4061"/>
          <w:tab w:val="decimal" w:pos="4625"/>
          <w:tab w:val="left" w:pos="5189"/>
          <w:tab w:val="decimal" w:pos="5978"/>
          <w:tab w:val="left" w:pos="6768"/>
          <w:tab w:val="decimal" w:pos="7106"/>
          <w:tab w:val="left" w:pos="7670"/>
          <w:tab w:val="decimal" w:pos="8460"/>
          <w:tab w:val="left" w:pos="8911"/>
          <w:tab w:val="left" w:pos="925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Pr="009C28D9"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sz w:val="22"/>
        </w:rPr>
      </w:pPr>
      <w:r w:rsidRPr="009C28D9">
        <w:rPr>
          <w:rFonts w:ascii="Arial" w:hAnsi="Arial"/>
          <w:sz w:val="22"/>
        </w:rPr>
        <w:t>13.</w:t>
      </w:r>
      <w:r w:rsidRPr="009C28D9">
        <w:rPr>
          <w:rFonts w:ascii="Arial" w:hAnsi="Arial"/>
          <w:sz w:val="22"/>
        </w:rPr>
        <w:tab/>
      </w:r>
      <w:r w:rsidRPr="009C28D9">
        <w:rPr>
          <w:rFonts w:ascii="Arial" w:hAnsi="Arial"/>
          <w:sz w:val="22"/>
          <w:u w:val="single"/>
        </w:rPr>
        <w:t>Estimate of Other Additional Costs</w:t>
      </w:r>
      <w:r w:rsidRPr="009C28D9">
        <w:rPr>
          <w:rFonts w:ascii="Arial" w:hAnsi="Arial"/>
          <w:sz w:val="22"/>
        </w:rPr>
        <w:t xml:space="preserve"> </w:t>
      </w:r>
    </w:p>
    <w:p w:rsidR="003A1F12" w:rsidRDefault="003A1F12" w:rsidP="003A1F12">
      <w:pPr>
        <w:rPr>
          <w:rFonts w:ascii="Arial" w:hAnsi="Arial" w:cs="Arial"/>
          <w:sz w:val="22"/>
          <w:szCs w:val="22"/>
        </w:rPr>
      </w:pPr>
    </w:p>
    <w:p w:rsidR="003A1F12" w:rsidRDefault="003A1F12" w:rsidP="00270A2B">
      <w:pPr>
        <w:ind w:left="600"/>
        <w:rPr>
          <w:rFonts w:ascii="Arial" w:hAnsi="Arial" w:cs="Arial"/>
          <w:sz w:val="22"/>
          <w:szCs w:val="22"/>
        </w:rPr>
      </w:pPr>
      <w:r>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sidR="00036798">
        <w:rPr>
          <w:rFonts w:ascii="Arial" w:hAnsi="Arial" w:cs="Arial"/>
          <w:sz w:val="22"/>
          <w:szCs w:val="22"/>
        </w:rPr>
        <w:t>0</w:t>
      </w:r>
      <w:r>
        <w:rPr>
          <w:rFonts w:ascii="Arial" w:hAnsi="Arial" w:cs="Arial"/>
          <w:sz w:val="22"/>
          <w:szCs w:val="22"/>
        </w:rPr>
        <w:t xml:space="preserve"> hours, the stor</w:t>
      </w:r>
      <w:r w:rsidR="00036798">
        <w:rPr>
          <w:rFonts w:ascii="Arial" w:hAnsi="Arial" w:cs="Arial"/>
          <w:sz w:val="22"/>
          <w:szCs w:val="22"/>
        </w:rPr>
        <w:t>age cost for this clearance is 0</w:t>
      </w:r>
      <w:r>
        <w:rPr>
          <w:rFonts w:ascii="Arial" w:hAnsi="Arial" w:cs="Arial"/>
          <w:sz w:val="22"/>
          <w:szCs w:val="22"/>
        </w:rPr>
        <w:t xml:space="preserve"> (</w:t>
      </w:r>
      <w:r w:rsidR="00036798">
        <w:rPr>
          <w:rFonts w:ascii="Arial" w:hAnsi="Arial" w:cs="Arial"/>
          <w:sz w:val="22"/>
          <w:szCs w:val="22"/>
        </w:rPr>
        <w:t>0</w:t>
      </w:r>
      <w:r w:rsidR="009C28D9">
        <w:rPr>
          <w:rFonts w:ascii="Arial" w:hAnsi="Arial" w:cs="Arial"/>
          <w:sz w:val="22"/>
          <w:szCs w:val="22"/>
        </w:rPr>
        <w:t xml:space="preserve"> </w:t>
      </w:r>
      <w:r>
        <w:rPr>
          <w:rFonts w:ascii="Arial" w:hAnsi="Arial" w:cs="Arial"/>
          <w:sz w:val="22"/>
          <w:szCs w:val="22"/>
        </w:rPr>
        <w:t>hours x 0.0004 x $257/hour).</w:t>
      </w:r>
    </w:p>
    <w:p w:rsidR="009C28D9" w:rsidRDefault="009C28D9">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FF0000"/>
          <w:sz w:val="22"/>
        </w:rPr>
      </w:pP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sidRPr="009C28D9">
        <w:rPr>
          <w:rFonts w:ascii="Arial" w:hAnsi="Arial"/>
          <w:sz w:val="22"/>
        </w:rPr>
        <w:t>14.</w:t>
      </w:r>
      <w:r w:rsidRPr="009C28D9">
        <w:rPr>
          <w:rFonts w:ascii="Arial" w:hAnsi="Arial"/>
          <w:sz w:val="22"/>
        </w:rPr>
        <w:tab/>
      </w:r>
      <w:r>
        <w:rPr>
          <w:rFonts w:ascii="Arial" w:hAnsi="Arial"/>
          <w:color w:val="000000"/>
          <w:sz w:val="22"/>
          <w:u w:val="single"/>
        </w:rPr>
        <w:t>Estimated Annualized Cost to the Federal Government</w:t>
      </w:r>
      <w:r>
        <w:rPr>
          <w:rFonts w:ascii="Arial" w:hAnsi="Arial"/>
          <w:color w:val="000000"/>
          <w:sz w:val="22"/>
        </w:rPr>
        <w:t xml:space="preserve"> </w:t>
      </w:r>
    </w:p>
    <w:p w:rsidR="0077286F" w:rsidRPr="003A1F12"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FF0000"/>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t>Section 63.62 involves NRC staff review of requests for consultation regarding the status of site characterization and certain regulatory activities.  This should require no more than 40 hours of staff time per response.  At $25</w:t>
      </w:r>
      <w:r w:rsidR="009C28D9">
        <w:rPr>
          <w:rFonts w:ascii="Arial" w:hAnsi="Arial"/>
          <w:color w:val="000000"/>
          <w:sz w:val="22"/>
        </w:rPr>
        <w:t>7</w:t>
      </w:r>
      <w:r>
        <w:rPr>
          <w:rFonts w:ascii="Arial" w:hAnsi="Arial"/>
          <w:color w:val="000000"/>
          <w:sz w:val="22"/>
        </w:rPr>
        <w:t xml:space="preserve"> per hour for staff time, this would be $10,2</w:t>
      </w:r>
      <w:r w:rsidR="009C28D9">
        <w:rPr>
          <w:rFonts w:ascii="Arial" w:hAnsi="Arial"/>
          <w:color w:val="000000"/>
          <w:sz w:val="22"/>
        </w:rPr>
        <w:t>8</w:t>
      </w:r>
      <w:r>
        <w:rPr>
          <w:rFonts w:ascii="Arial" w:hAnsi="Arial"/>
          <w:color w:val="000000"/>
          <w:sz w:val="22"/>
        </w:rPr>
        <w:t>0 per respondent.  The total for three responses is $30,</w:t>
      </w:r>
      <w:r w:rsidR="009C28D9">
        <w:rPr>
          <w:rFonts w:ascii="Arial" w:hAnsi="Arial"/>
          <w:color w:val="000000"/>
          <w:sz w:val="22"/>
        </w:rPr>
        <w:t>84</w:t>
      </w:r>
      <w:r>
        <w:rPr>
          <w:rFonts w:ascii="Arial" w:hAnsi="Arial"/>
          <w:color w:val="000000"/>
          <w:sz w:val="22"/>
        </w:rPr>
        <w:t>0.</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t>Section 63.63 involves NRC staff review of proposals for participation in license reviews.  This should require no more than 80 hours of staff time per response.  At $25</w:t>
      </w:r>
      <w:r w:rsidR="009C28D9">
        <w:rPr>
          <w:rFonts w:ascii="Arial" w:hAnsi="Arial"/>
          <w:color w:val="000000"/>
          <w:sz w:val="22"/>
        </w:rPr>
        <w:t>7</w:t>
      </w:r>
      <w:r>
        <w:rPr>
          <w:rFonts w:ascii="Arial" w:hAnsi="Arial"/>
          <w:color w:val="000000"/>
          <w:sz w:val="22"/>
        </w:rPr>
        <w:t xml:space="preserve"> per hour, this would be $20,</w:t>
      </w:r>
      <w:r w:rsidR="009C28D9">
        <w:rPr>
          <w:rFonts w:ascii="Arial" w:hAnsi="Arial"/>
          <w:color w:val="000000"/>
          <w:sz w:val="22"/>
        </w:rPr>
        <w:t>5</w:t>
      </w:r>
      <w:r>
        <w:rPr>
          <w:rFonts w:ascii="Arial" w:hAnsi="Arial"/>
          <w:color w:val="000000"/>
          <w:sz w:val="22"/>
        </w:rPr>
        <w:t>60 per respondent.  The total for three responses is $61,</w:t>
      </w:r>
      <w:r w:rsidR="009C28D9">
        <w:rPr>
          <w:rFonts w:ascii="Arial" w:hAnsi="Arial"/>
          <w:color w:val="000000"/>
          <w:sz w:val="22"/>
        </w:rPr>
        <w:t>68</w:t>
      </w:r>
      <w:r>
        <w:rPr>
          <w:rFonts w:ascii="Arial" w:hAnsi="Arial"/>
          <w:color w:val="000000"/>
          <w:sz w:val="22"/>
        </w:rPr>
        <w:t>0.</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lastRenderedPageBreak/>
        <w:t>Section 63.65 involves NRC staff review of the statement of representation.  This should require no more than one hour of staff time per response.  At $25</w:t>
      </w:r>
      <w:r w:rsidR="009C28D9">
        <w:rPr>
          <w:rFonts w:ascii="Arial" w:hAnsi="Arial"/>
          <w:color w:val="000000"/>
          <w:sz w:val="22"/>
        </w:rPr>
        <w:t>7</w:t>
      </w:r>
      <w:r>
        <w:rPr>
          <w:rFonts w:ascii="Arial" w:hAnsi="Arial"/>
          <w:color w:val="000000"/>
          <w:sz w:val="22"/>
        </w:rPr>
        <w:t xml:space="preserve"> per hour, this would be $25</w:t>
      </w:r>
      <w:r w:rsidR="009C28D9">
        <w:rPr>
          <w:rFonts w:ascii="Arial" w:hAnsi="Arial"/>
          <w:color w:val="000000"/>
          <w:sz w:val="22"/>
        </w:rPr>
        <w:t>7</w:t>
      </w:r>
      <w:r>
        <w:rPr>
          <w:rFonts w:ascii="Arial" w:hAnsi="Arial"/>
          <w:color w:val="000000"/>
          <w:sz w:val="22"/>
        </w:rPr>
        <w:t xml:space="preserve"> per response.  The total for three responses would be $77</w:t>
      </w:r>
      <w:r w:rsidR="009C28D9">
        <w:rPr>
          <w:rFonts w:ascii="Arial" w:hAnsi="Arial"/>
          <w:color w:val="000000"/>
          <w:sz w:val="22"/>
        </w:rPr>
        <w:t>1</w:t>
      </w:r>
      <w:r>
        <w:rPr>
          <w:rFonts w:ascii="Arial" w:hAnsi="Arial"/>
          <w:color w:val="000000"/>
          <w:sz w:val="22"/>
        </w:rPr>
        <w:t>.</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t>Total cost to the government is $93,</w:t>
      </w:r>
      <w:r w:rsidR="009C28D9">
        <w:rPr>
          <w:rFonts w:ascii="Arial" w:hAnsi="Arial"/>
          <w:color w:val="000000"/>
          <w:sz w:val="22"/>
        </w:rPr>
        <w:t>291</w:t>
      </w:r>
      <w:r>
        <w:rPr>
          <w:rFonts w:ascii="Arial" w:hAnsi="Arial"/>
          <w:color w:val="000000"/>
          <w:sz w:val="22"/>
        </w:rPr>
        <w:t xml:space="preserve"> (363 hours x $25</w:t>
      </w:r>
      <w:r w:rsidR="009C28D9">
        <w:rPr>
          <w:rFonts w:ascii="Arial" w:hAnsi="Arial"/>
          <w:color w:val="000000"/>
          <w:sz w:val="22"/>
        </w:rPr>
        <w:t>7</w:t>
      </w:r>
      <w:r>
        <w:rPr>
          <w:rFonts w:ascii="Arial" w:hAnsi="Arial"/>
          <w:color w:val="000000"/>
          <w:sz w:val="22"/>
        </w:rPr>
        <w:t>).  Costs are not anticipated to be recurrent and thus cannot reasonably be annualized.  Rather, all costs are likely to be incurred within a year or two following characterization of a repository site or submittal of a license application.  These costs are fully recovered by NRC through appropriations from the Nuclear Waste Fund which was established by the Department of Energy pursuant to the Nuclear Waste Policy Act of 1982.</w:t>
      </w:r>
    </w:p>
    <w:p w:rsidR="00686DC4" w:rsidRDefault="00686DC4">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sz w:val="22"/>
        </w:rPr>
      </w:pPr>
    </w:p>
    <w:p w:rsidR="0077286F" w:rsidRPr="00004F3D"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sz w:val="22"/>
        </w:rPr>
      </w:pPr>
      <w:r w:rsidRPr="00004F3D">
        <w:rPr>
          <w:rFonts w:ascii="Arial" w:hAnsi="Arial"/>
          <w:sz w:val="22"/>
        </w:rPr>
        <w:t>15.</w:t>
      </w:r>
      <w:r w:rsidRPr="00004F3D">
        <w:rPr>
          <w:rFonts w:ascii="Arial" w:hAnsi="Arial"/>
          <w:sz w:val="22"/>
        </w:rPr>
        <w:tab/>
      </w:r>
      <w:r w:rsidRPr="00004F3D">
        <w:rPr>
          <w:rFonts w:ascii="Arial" w:hAnsi="Arial"/>
          <w:sz w:val="22"/>
          <w:u w:val="single"/>
        </w:rPr>
        <w:t>Reasons for Change in Burden or cost</w:t>
      </w:r>
      <w:r w:rsidRPr="00004F3D">
        <w:rPr>
          <w:rFonts w:ascii="Arial" w:hAnsi="Arial"/>
          <w:sz w:val="22"/>
        </w:rPr>
        <w:t xml:space="preserve"> </w:t>
      </w:r>
    </w:p>
    <w:p w:rsidR="0077286F" w:rsidRPr="003A1F12"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FF0000"/>
          <w:sz w:val="22"/>
        </w:rPr>
      </w:pPr>
    </w:p>
    <w:p w:rsidR="0077286F" w:rsidRPr="00004F3D"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sz w:val="22"/>
        </w:rPr>
      </w:pPr>
      <w:r w:rsidRPr="00004F3D">
        <w:rPr>
          <w:rFonts w:ascii="Arial" w:hAnsi="Arial"/>
          <w:sz w:val="22"/>
        </w:rPr>
        <w:t xml:space="preserve">There has been no change in burden for this information collection.  The cost per hour </w:t>
      </w:r>
      <w:r w:rsidR="00004F3D">
        <w:rPr>
          <w:rFonts w:ascii="Arial" w:hAnsi="Arial"/>
          <w:sz w:val="22"/>
        </w:rPr>
        <w:t>de</w:t>
      </w:r>
      <w:r w:rsidRPr="00004F3D">
        <w:rPr>
          <w:rFonts w:ascii="Arial" w:hAnsi="Arial"/>
          <w:sz w:val="22"/>
        </w:rPr>
        <w:t>creased from $</w:t>
      </w:r>
      <w:r w:rsidR="00004F3D">
        <w:rPr>
          <w:rFonts w:ascii="Arial" w:hAnsi="Arial"/>
          <w:sz w:val="22"/>
        </w:rPr>
        <w:t>25</w:t>
      </w:r>
      <w:r w:rsidRPr="00004F3D">
        <w:rPr>
          <w:rFonts w:ascii="Arial" w:hAnsi="Arial"/>
          <w:sz w:val="22"/>
        </w:rPr>
        <w:t>8 to $25</w:t>
      </w:r>
      <w:r w:rsidR="00004F3D">
        <w:rPr>
          <w:rFonts w:ascii="Arial" w:hAnsi="Arial"/>
          <w:sz w:val="22"/>
        </w:rPr>
        <w:t>7</w:t>
      </w:r>
      <w:r w:rsidRPr="00004F3D">
        <w:rPr>
          <w:rFonts w:ascii="Arial" w:hAnsi="Arial"/>
          <w:sz w:val="22"/>
        </w:rPr>
        <w:t xml:space="preserve"> causing a </w:t>
      </w:r>
      <w:r w:rsidR="00004F3D">
        <w:rPr>
          <w:rFonts w:ascii="Arial" w:hAnsi="Arial"/>
          <w:sz w:val="22"/>
        </w:rPr>
        <w:t xml:space="preserve">very </w:t>
      </w:r>
      <w:r w:rsidRPr="00004F3D">
        <w:rPr>
          <w:rFonts w:ascii="Arial" w:hAnsi="Arial"/>
          <w:sz w:val="22"/>
        </w:rPr>
        <w:t xml:space="preserve">slight </w:t>
      </w:r>
      <w:r w:rsidR="00004F3D">
        <w:rPr>
          <w:rFonts w:ascii="Arial" w:hAnsi="Arial"/>
          <w:sz w:val="22"/>
        </w:rPr>
        <w:t>de</w:t>
      </w:r>
      <w:r w:rsidRPr="00004F3D">
        <w:rPr>
          <w:rFonts w:ascii="Arial" w:hAnsi="Arial"/>
          <w:sz w:val="22"/>
        </w:rPr>
        <w:t xml:space="preserve">crease in the cost. </w:t>
      </w:r>
    </w:p>
    <w:p w:rsidR="0077286F" w:rsidRPr="003A1F12"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strike/>
          <w:color w:val="FF0000"/>
          <w:sz w:val="22"/>
        </w:rPr>
      </w:pP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Pr>
          <w:rFonts w:ascii="Arial" w:hAnsi="Arial"/>
          <w:color w:val="000000"/>
          <w:sz w:val="22"/>
        </w:rPr>
        <w:t>16.</w:t>
      </w:r>
      <w:r>
        <w:rPr>
          <w:rFonts w:ascii="Arial" w:hAnsi="Arial"/>
          <w:color w:val="000000"/>
          <w:sz w:val="22"/>
        </w:rPr>
        <w:tab/>
      </w:r>
      <w:r>
        <w:rPr>
          <w:rFonts w:ascii="Arial" w:hAnsi="Arial"/>
          <w:color w:val="000000"/>
          <w:sz w:val="22"/>
          <w:u w:val="single"/>
        </w:rPr>
        <w:t>Publication for Statistical Use</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b/>
        <w:t>None</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Pr>
          <w:rFonts w:ascii="Arial" w:hAnsi="Arial"/>
          <w:color w:val="000000"/>
          <w:sz w:val="22"/>
        </w:rPr>
        <w:t>17.</w:t>
      </w:r>
      <w:r>
        <w:rPr>
          <w:rFonts w:ascii="Arial" w:hAnsi="Arial"/>
          <w:color w:val="000000"/>
          <w:sz w:val="22"/>
        </w:rPr>
        <w:tab/>
      </w:r>
      <w:r>
        <w:rPr>
          <w:rFonts w:ascii="Arial" w:hAnsi="Arial"/>
          <w:color w:val="000000"/>
          <w:sz w:val="22"/>
          <w:u w:val="single"/>
        </w:rPr>
        <w:t>Reason for Not Displaying Expiration Date</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rsidP="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rPr>
          <w:rFonts w:ascii="Arial" w:hAnsi="Arial"/>
          <w:color w:val="000000"/>
          <w:sz w:val="22"/>
        </w:rPr>
      </w:pPr>
      <w:r>
        <w:rPr>
          <w:rFonts w:ascii="Arial" w:hAnsi="Arial"/>
          <w:color w:val="000000"/>
          <w:sz w:val="22"/>
        </w:rPr>
        <w:t>The requirement is contained in a regulation.  Amending the Code of Federal Regulations to display information that, in an annual publication, could become obsolete would be unduly burdensome and too difficult to keep current.</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Pr>
          <w:rFonts w:ascii="Arial" w:hAnsi="Arial"/>
          <w:color w:val="000000"/>
          <w:sz w:val="22"/>
        </w:rPr>
        <w:t>18.</w:t>
      </w:r>
      <w:r>
        <w:rPr>
          <w:rFonts w:ascii="Arial" w:hAnsi="Arial"/>
          <w:color w:val="000000"/>
          <w:sz w:val="22"/>
        </w:rPr>
        <w:tab/>
      </w:r>
      <w:r>
        <w:rPr>
          <w:rFonts w:ascii="Arial" w:hAnsi="Arial"/>
          <w:color w:val="000000"/>
          <w:sz w:val="22"/>
          <w:u w:val="single"/>
        </w:rPr>
        <w:t>Exceptions to the Certification Statement</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b/>
      </w:r>
      <w:r w:rsidR="0077286F">
        <w:rPr>
          <w:rFonts w:ascii="Arial" w:hAnsi="Arial"/>
          <w:color w:val="000000"/>
          <w:sz w:val="22"/>
        </w:rPr>
        <w:t>There are no exceptions.</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ind w:left="600" w:hanging="600"/>
        <w:rPr>
          <w:rFonts w:ascii="Arial" w:hAnsi="Arial"/>
          <w:color w:val="000000"/>
          <w:sz w:val="22"/>
        </w:rPr>
      </w:pPr>
      <w:r>
        <w:rPr>
          <w:rFonts w:ascii="Arial" w:hAnsi="Arial"/>
          <w:color w:val="000000"/>
          <w:sz w:val="22"/>
        </w:rPr>
        <w:t>B.</w:t>
      </w:r>
      <w:r>
        <w:rPr>
          <w:rFonts w:ascii="Arial" w:hAnsi="Arial"/>
          <w:color w:val="000000"/>
          <w:sz w:val="22"/>
        </w:rPr>
        <w:tab/>
      </w:r>
      <w:r>
        <w:rPr>
          <w:rFonts w:ascii="Arial" w:hAnsi="Arial"/>
          <w:color w:val="000000"/>
          <w:sz w:val="22"/>
          <w:u w:val="single"/>
        </w:rPr>
        <w:t>Collection of Information Employing Statistical Methods</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p>
    <w:p w:rsidR="0077286F" w:rsidRDefault="00270A2B">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rPr>
          <w:rFonts w:ascii="Arial" w:hAnsi="Arial"/>
          <w:color w:val="000000"/>
          <w:sz w:val="22"/>
        </w:rPr>
      </w:pPr>
      <w:r>
        <w:rPr>
          <w:rFonts w:ascii="Arial" w:hAnsi="Arial"/>
          <w:color w:val="000000"/>
          <w:sz w:val="22"/>
        </w:rPr>
        <w:tab/>
      </w:r>
      <w:r w:rsidR="0077286F">
        <w:rPr>
          <w:rFonts w:ascii="Arial" w:hAnsi="Arial"/>
          <w:color w:val="000000"/>
          <w:sz w:val="22"/>
        </w:rPr>
        <w:t>Statistical methods are not used in this collection of information.</w:t>
      </w:r>
    </w:p>
    <w:p w:rsidR="0077286F" w:rsidRDefault="0077286F">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pacing w:line="0" w:lineRule="atLeast"/>
      </w:pPr>
    </w:p>
    <w:sectPr w:rsidR="0077286F" w:rsidSect="003A4EE5">
      <w:headerReference w:type="even" r:id="rId6"/>
      <w:headerReference w:type="default" r:id="rId7"/>
      <w:footerReference w:type="even" r:id="rId8"/>
      <w:footerReference w:type="default" r:id="rId9"/>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C34" w:rsidRDefault="00E21C34">
      <w:r>
        <w:separator/>
      </w:r>
    </w:p>
  </w:endnote>
  <w:endnote w:type="continuationSeparator" w:id="0">
    <w:p w:rsidR="00E21C34" w:rsidRDefault="00E21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12" w:rsidRDefault="003A1F12">
    <w:pPr>
      <w:framePr w:w="9360" w:h="256" w:hRule="exact" w:wrap="notBeside" w:vAnchor="page" w:hAnchor="text" w:y="14400"/>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pacing w:line="0" w:lineRule="atLeast"/>
      <w:jc w:val="center"/>
      <w:rPr>
        <w:vanish/>
      </w:rPr>
    </w:pPr>
    <w:r>
      <w:rPr>
        <w:sz w:val="22"/>
      </w:rPr>
      <w:pgNum/>
    </w:r>
  </w:p>
  <w:p w:rsidR="003A1F12" w:rsidRDefault="003A1F12">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12" w:rsidRDefault="003A1F12">
    <w:pPr>
      <w:framePr w:w="9360" w:h="256" w:hRule="exact" w:wrap="notBeside" w:vAnchor="page" w:hAnchor="text" w:y="14400"/>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jc w:val="center"/>
      <w:rPr>
        <w:vanish/>
      </w:rPr>
    </w:pPr>
    <w:r>
      <w:rPr>
        <w:sz w:val="22"/>
      </w:rPr>
      <w:pgNum/>
    </w:r>
  </w:p>
  <w:p w:rsidR="003A1F12" w:rsidRDefault="003A1F12">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C34" w:rsidRDefault="00E21C34">
      <w:r>
        <w:separator/>
      </w:r>
    </w:p>
  </w:footnote>
  <w:footnote w:type="continuationSeparator" w:id="0">
    <w:p w:rsidR="00E21C34" w:rsidRDefault="00E21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12" w:rsidRDefault="003A1F12">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12" w:rsidRDefault="003A1F12">
    <w:pPr>
      <w:tabs>
        <w:tab w:val="left" w:pos="0"/>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B7798"/>
    <w:rsid w:val="00004F3D"/>
    <w:rsid w:val="000166D8"/>
    <w:rsid w:val="00036798"/>
    <w:rsid w:val="00083C10"/>
    <w:rsid w:val="00140CEC"/>
    <w:rsid w:val="00270A2B"/>
    <w:rsid w:val="00282DDD"/>
    <w:rsid w:val="00344EB7"/>
    <w:rsid w:val="003A1F12"/>
    <w:rsid w:val="003A4EE5"/>
    <w:rsid w:val="00452302"/>
    <w:rsid w:val="00462A91"/>
    <w:rsid w:val="00502841"/>
    <w:rsid w:val="005C37D4"/>
    <w:rsid w:val="00642BA0"/>
    <w:rsid w:val="00686DC4"/>
    <w:rsid w:val="006E6B6E"/>
    <w:rsid w:val="0077286F"/>
    <w:rsid w:val="008508B4"/>
    <w:rsid w:val="009866F0"/>
    <w:rsid w:val="009C28D9"/>
    <w:rsid w:val="00A77AE5"/>
    <w:rsid w:val="00AB7798"/>
    <w:rsid w:val="00AD4087"/>
    <w:rsid w:val="00C1019D"/>
    <w:rsid w:val="00C327B1"/>
    <w:rsid w:val="00DA0DB6"/>
    <w:rsid w:val="00DB50C9"/>
    <w:rsid w:val="00E125E8"/>
    <w:rsid w:val="00E21C34"/>
    <w:rsid w:val="00E24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EE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1722</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dmb2</dc:creator>
  <cp:keywords/>
  <cp:lastModifiedBy>TUD</cp:lastModifiedBy>
  <cp:revision>4</cp:revision>
  <cp:lastPrinted>2010-11-05T23:30:00Z</cp:lastPrinted>
  <dcterms:created xsi:type="dcterms:W3CDTF">2010-11-05T23:27:00Z</dcterms:created>
  <dcterms:modified xsi:type="dcterms:W3CDTF">2010-11-05T23:31:00Z</dcterms:modified>
</cp:coreProperties>
</file>