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D2" w:rsidRPr="00BC2B13" w:rsidRDefault="001169D2" w:rsidP="001169D2">
      <w:pPr>
        <w:autoSpaceDE w:val="0"/>
        <w:autoSpaceDN w:val="0"/>
        <w:adjustRightInd w:val="0"/>
        <w:spacing w:after="0" w:line="240" w:lineRule="auto"/>
        <w:jc w:val="center"/>
        <w:rPr>
          <w:rFonts w:ascii="Times New Roman" w:hAnsi="Times New Roman" w:cs="Times New Roman"/>
          <w:b/>
          <w:sz w:val="24"/>
          <w:szCs w:val="24"/>
        </w:rPr>
      </w:pPr>
      <w:r w:rsidRPr="00BC2B13">
        <w:rPr>
          <w:rFonts w:ascii="Times New Roman" w:hAnsi="Times New Roman" w:cs="Times New Roman"/>
          <w:b/>
          <w:sz w:val="24"/>
          <w:szCs w:val="24"/>
        </w:rPr>
        <w:t>STA</w:t>
      </w:r>
      <w:r w:rsidR="00DC7179" w:rsidRPr="00BC2B13">
        <w:rPr>
          <w:rFonts w:ascii="Times New Roman" w:hAnsi="Times New Roman" w:cs="Times New Roman"/>
          <w:b/>
          <w:sz w:val="24"/>
          <w:szCs w:val="24"/>
        </w:rPr>
        <w:t>TUTORY AUTHORITY</w:t>
      </w:r>
    </w:p>
    <w:p w:rsidR="004B1EBD" w:rsidRPr="00BC2B13" w:rsidRDefault="004B1EBD">
      <w:pPr>
        <w:rPr>
          <w:rFonts w:ascii="Times New Roman" w:hAnsi="Times New Roman" w:cs="Times New Roman"/>
          <w:sz w:val="24"/>
          <w:szCs w:val="24"/>
        </w:rPr>
      </w:pPr>
    </w:p>
    <w:p w:rsidR="005E3F23" w:rsidRPr="005E3F23" w:rsidRDefault="005E3F23" w:rsidP="005E3F23">
      <w:pPr>
        <w:spacing w:after="0" w:line="480" w:lineRule="auto"/>
        <w:ind w:firstLine="720"/>
        <w:rPr>
          <w:rFonts w:ascii="Times New Roman" w:hAnsi="Times New Roman" w:cs="Times New Roman"/>
          <w:sz w:val="24"/>
          <w:szCs w:val="24"/>
        </w:rPr>
      </w:pPr>
      <w:r w:rsidRPr="005E3F23">
        <w:rPr>
          <w:rFonts w:ascii="Times New Roman" w:hAnsi="Times New Roman" w:cs="Times New Roman"/>
          <w:sz w:val="24"/>
          <w:szCs w:val="24"/>
        </w:rPr>
        <w:t>The Commission is adopting Rule 15Ba2-6T and Form MA-T pursuant to the Securities Exchange Act of 1934, particularly Sections 15B (15 U.S.C. 78</w:t>
      </w:r>
      <w:r w:rsidRPr="005E3F23">
        <w:rPr>
          <w:rFonts w:ascii="Times New Roman" w:hAnsi="Times New Roman" w:cs="Times New Roman"/>
          <w:sz w:val="24"/>
          <w:szCs w:val="24"/>
          <w:u w:val="single"/>
        </w:rPr>
        <w:t>o</w:t>
      </w:r>
      <w:r w:rsidRPr="005E3F23">
        <w:rPr>
          <w:rFonts w:ascii="Times New Roman" w:hAnsi="Times New Roman" w:cs="Times New Roman"/>
          <w:sz w:val="24"/>
          <w:szCs w:val="24"/>
        </w:rPr>
        <w:t>-4) (as amended by the Dodd-Frank Act) and 36 (15 U.S.C. 78mm).</w:t>
      </w:r>
    </w:p>
    <w:p w:rsidR="00BC2B13" w:rsidRPr="00BC2B13" w:rsidRDefault="00BC2B13" w:rsidP="00BC2B13">
      <w:pPr>
        <w:pStyle w:val="BodyTextIndent"/>
        <w:ind w:firstLine="0"/>
        <w:rPr>
          <w:color w:val="auto"/>
        </w:rPr>
      </w:pPr>
      <w:r w:rsidRPr="00BC2B13">
        <w:rPr>
          <w:b/>
          <w:color w:val="auto"/>
        </w:rPr>
        <w:t>Section 15B</w:t>
      </w:r>
    </w:p>
    <w:p w:rsidR="00BC2B13" w:rsidRPr="00BC2B13" w:rsidRDefault="00BC2B13" w:rsidP="00BC2B13">
      <w:pPr>
        <w:numPr>
          <w:ilvl w:val="0"/>
          <w:numId w:val="1"/>
        </w:numPr>
        <w:spacing w:before="100" w:beforeAutospacing="1" w:after="240" w:line="240" w:lineRule="auto"/>
        <w:ind w:left="1170"/>
        <w:rPr>
          <w:rFonts w:ascii="Times New Roman" w:hAnsi="Times New Roman" w:cs="Times New Roman"/>
          <w:sz w:val="24"/>
          <w:szCs w:val="24"/>
        </w:rPr>
      </w:pPr>
      <w:r w:rsidRPr="00BC2B13">
        <w:rPr>
          <w:rFonts w:ascii="Times New Roman" w:hAnsi="Times New Roman" w:cs="Times New Roman"/>
          <w:b/>
          <w:bCs/>
          <w:sz w:val="24"/>
          <w:szCs w:val="24"/>
        </w:rPr>
        <w:t>Registration of municipal securities dealers</w:t>
      </w:r>
    </w:p>
    <w:p w:rsidR="00BC2B13" w:rsidRPr="00BC2B13" w:rsidRDefault="00BC2B13" w:rsidP="00BC2B13">
      <w:pPr>
        <w:numPr>
          <w:ilvl w:val="1"/>
          <w:numId w:val="1"/>
        </w:numPr>
        <w:spacing w:before="100" w:beforeAutospacing="1" w:after="240" w:line="240" w:lineRule="auto"/>
        <w:ind w:left="1890"/>
        <w:rPr>
          <w:rFonts w:ascii="Times New Roman" w:hAnsi="Times New Roman" w:cs="Times New Roman"/>
          <w:sz w:val="24"/>
          <w:szCs w:val="24"/>
        </w:rPr>
      </w:pPr>
      <w:bookmarkStart w:id="0" w:name="a.1"/>
      <w:bookmarkEnd w:id="0"/>
      <w:r w:rsidRPr="00BC2B13">
        <w:rPr>
          <w:rFonts w:ascii="Times New Roman" w:hAnsi="Times New Roman" w:cs="Times New Roman"/>
          <w:sz w:val="24"/>
          <w:szCs w:val="24"/>
        </w:rPr>
        <w:t xml:space="preserve">(A) It shall be unlawful for any municipal securities dealer (other than one registered as a broker or dealer under </w:t>
      </w:r>
      <w:hyperlink r:id="rId8" w:history="1">
        <w:r w:rsidRPr="00BC2B13">
          <w:rPr>
            <w:rStyle w:val="Hyperlink"/>
            <w:rFonts w:ascii="Times New Roman" w:hAnsi="Times New Roman"/>
            <w:color w:val="auto"/>
            <w:sz w:val="24"/>
            <w:szCs w:val="24"/>
          </w:rPr>
          <w:t>section 15</w:t>
        </w:r>
      </w:hyperlink>
      <w:r w:rsidRPr="00BC2B13">
        <w:rPr>
          <w:rFonts w:ascii="Times New Roman" w:hAnsi="Times New Roman" w:cs="Times New Roman"/>
          <w:sz w:val="24"/>
          <w:szCs w:val="24"/>
        </w:rPr>
        <w:t>) to make use of the mails or any means or instrumentality of interstate commerce to effect any transaction in, or to induce or attempt to induce the purchase or sale of, any municipal security unless such municipal securities dealer is registered in accordance with this subsection.</w:t>
      </w:r>
    </w:p>
    <w:p w:rsidR="00BC2B13" w:rsidRPr="00BC2B13" w:rsidRDefault="00BC2B13" w:rsidP="00BC2B13">
      <w:pPr>
        <w:spacing w:before="100" w:beforeAutospacing="1" w:after="240"/>
        <w:ind w:left="1890"/>
        <w:rPr>
          <w:rFonts w:ascii="Times New Roman" w:hAnsi="Times New Roman" w:cs="Times New Roman"/>
          <w:sz w:val="24"/>
          <w:szCs w:val="24"/>
        </w:rPr>
      </w:pPr>
      <w:r w:rsidRPr="00BC2B13">
        <w:rPr>
          <w:rFonts w:ascii="Times New Roman" w:hAnsi="Times New Roman" w:cs="Times New Roman"/>
          <w:sz w:val="24"/>
          <w:szCs w:val="24"/>
        </w:rPr>
        <w:t>“(B) It shall be unlawful for a municipal advisor to provide advice to or on behalf of a municipal entity or obligated person with respect to municipal financial products or the issuance of municipal securities, or to undertake a solicitation of a municipal entity or obligated person, unless the municipal advisor is registered in accordance with this subsection.”</w:t>
      </w:r>
    </w:p>
    <w:p w:rsidR="00BC2B13" w:rsidRPr="00BC2B13" w:rsidRDefault="00BC2B13" w:rsidP="00BC2B13">
      <w:pPr>
        <w:numPr>
          <w:ilvl w:val="1"/>
          <w:numId w:val="1"/>
        </w:numPr>
        <w:spacing w:before="100" w:beforeAutospacing="1" w:after="240" w:line="240" w:lineRule="auto"/>
        <w:ind w:left="1890"/>
        <w:rPr>
          <w:rFonts w:ascii="Times New Roman" w:hAnsi="Times New Roman" w:cs="Times New Roman"/>
          <w:sz w:val="24"/>
          <w:szCs w:val="24"/>
        </w:rPr>
      </w:pPr>
      <w:bookmarkStart w:id="1" w:name="a.2"/>
      <w:bookmarkEnd w:id="1"/>
      <w:r w:rsidRPr="00BC2B13">
        <w:rPr>
          <w:rFonts w:ascii="Times New Roman" w:hAnsi="Times New Roman" w:cs="Times New Roman"/>
          <w:sz w:val="24"/>
          <w:szCs w:val="24"/>
        </w:rPr>
        <w:t>A municipal securities dealer or municipal advisor may be registered by filing with the Commission an application for registration in such form and containing such information and documents concerning such municipal securities dealer or municipal advisor and any persons associated with such municipal securities dealer or municipal advisor as the Commission, by rule, may prescribe as necessary or appropriate in the public interest or for the protection of investors. Within forty-five days of the date of the filing of such application (or within such longer period as to which the applicant consents), the Commission shall--</w:t>
      </w:r>
    </w:p>
    <w:p w:rsidR="00BC2B13" w:rsidRPr="00BC2B13" w:rsidRDefault="00BC2B13" w:rsidP="00BC2B13">
      <w:pPr>
        <w:numPr>
          <w:ilvl w:val="2"/>
          <w:numId w:val="1"/>
        </w:numPr>
        <w:spacing w:before="100" w:beforeAutospacing="1" w:after="240" w:line="240" w:lineRule="auto"/>
        <w:ind w:left="2610"/>
        <w:rPr>
          <w:rFonts w:ascii="Times New Roman" w:hAnsi="Times New Roman" w:cs="Times New Roman"/>
          <w:sz w:val="24"/>
          <w:szCs w:val="24"/>
        </w:rPr>
      </w:pPr>
      <w:bookmarkStart w:id="2" w:name="a.2.A"/>
      <w:bookmarkEnd w:id="2"/>
      <w:r w:rsidRPr="00BC2B13">
        <w:rPr>
          <w:rFonts w:ascii="Times New Roman" w:hAnsi="Times New Roman" w:cs="Times New Roman"/>
          <w:sz w:val="24"/>
          <w:szCs w:val="24"/>
        </w:rPr>
        <w:t>by order grant registration, or</w:t>
      </w:r>
    </w:p>
    <w:p w:rsidR="00BC2B13" w:rsidRPr="00BC2B13" w:rsidRDefault="00BC2B13" w:rsidP="00BC2B13">
      <w:pPr>
        <w:numPr>
          <w:ilvl w:val="2"/>
          <w:numId w:val="1"/>
        </w:numPr>
        <w:spacing w:before="100" w:beforeAutospacing="1" w:after="240" w:line="240" w:lineRule="auto"/>
        <w:ind w:left="2610"/>
        <w:rPr>
          <w:rFonts w:ascii="Times New Roman" w:hAnsi="Times New Roman" w:cs="Times New Roman"/>
          <w:sz w:val="24"/>
          <w:szCs w:val="24"/>
        </w:rPr>
      </w:pPr>
      <w:bookmarkStart w:id="3" w:name="a.2.B"/>
      <w:bookmarkEnd w:id="3"/>
      <w:r w:rsidRPr="00BC2B13">
        <w:rPr>
          <w:rFonts w:ascii="Times New Roman" w:hAnsi="Times New Roman" w:cs="Times New Roman"/>
          <w:sz w:val="24"/>
          <w:szCs w:val="24"/>
        </w:rPr>
        <w:t xml:space="preserve">institute proceedings to determine whether registration should be denied. Such proceedings shall include notice of the grounds for denial under consideration and opportunity for hearing and shall be concluded within one hundred twenty days of the date of the filing of the application for registration. At the conclusion of such proceedings the Commission, by order, shall grant or deny such registration. The Commission may extend the time for the conclusion of such </w:t>
      </w:r>
      <w:r w:rsidRPr="00BC2B13">
        <w:rPr>
          <w:rFonts w:ascii="Times New Roman" w:hAnsi="Times New Roman" w:cs="Times New Roman"/>
          <w:sz w:val="24"/>
          <w:szCs w:val="24"/>
        </w:rPr>
        <w:lastRenderedPageBreak/>
        <w:t>proceedings for up to ninety days if it finds good cause for such extension and publishes its reasons for so finding or for such longer period as to which the applicant consents.</w:t>
      </w:r>
    </w:p>
    <w:p w:rsidR="00BC2B13" w:rsidRPr="00BC2B13" w:rsidRDefault="00BC2B13" w:rsidP="00BC2B13">
      <w:pPr>
        <w:spacing w:before="100" w:beforeAutospacing="1" w:after="240"/>
        <w:ind w:left="1890"/>
        <w:rPr>
          <w:rFonts w:ascii="Times New Roman" w:hAnsi="Times New Roman" w:cs="Times New Roman"/>
          <w:sz w:val="24"/>
          <w:szCs w:val="24"/>
        </w:rPr>
      </w:pPr>
      <w:r w:rsidRPr="00BC2B13">
        <w:rPr>
          <w:rFonts w:ascii="Times New Roman" w:hAnsi="Times New Roman" w:cs="Times New Roman"/>
          <w:sz w:val="24"/>
          <w:szCs w:val="24"/>
        </w:rPr>
        <w:t xml:space="preserve">The Commission shall grant the registration of a municipal securities dealer or municipal advisor if the Commission finds that the requirements of this section are satisfied. The Commission shall deny such registration if it does not make such a finding or if it finds that if the applicant were so registered, its registration would be subject to suspension or revocation under </w:t>
      </w:r>
      <w:hyperlink r:id="rId9" w:anchor="c#c" w:history="1">
        <w:r w:rsidRPr="00BC2B13">
          <w:rPr>
            <w:rStyle w:val="Hyperlink"/>
            <w:rFonts w:ascii="Times New Roman" w:hAnsi="Times New Roman"/>
            <w:color w:val="auto"/>
            <w:sz w:val="24"/>
            <w:szCs w:val="24"/>
          </w:rPr>
          <w:t>subsection (c)</w:t>
        </w:r>
      </w:hyperlink>
      <w:r w:rsidRPr="00BC2B13">
        <w:rPr>
          <w:rFonts w:ascii="Times New Roman" w:hAnsi="Times New Roman" w:cs="Times New Roman"/>
          <w:sz w:val="24"/>
          <w:szCs w:val="24"/>
        </w:rPr>
        <w:t>.</w:t>
      </w:r>
    </w:p>
    <w:p w:rsidR="00DC7179" w:rsidRPr="00BC2B13" w:rsidRDefault="00BC2B13" w:rsidP="00BC2B13">
      <w:pPr>
        <w:jc w:val="center"/>
        <w:rPr>
          <w:rFonts w:ascii="Times New Roman" w:hAnsi="Times New Roman" w:cs="Times New Roman"/>
          <w:sz w:val="24"/>
          <w:szCs w:val="24"/>
        </w:rPr>
      </w:pPr>
      <w:r w:rsidRPr="00BC2B13">
        <w:rPr>
          <w:rFonts w:ascii="Times New Roman" w:hAnsi="Times New Roman" w:cs="Times New Roman"/>
          <w:sz w:val="24"/>
          <w:szCs w:val="24"/>
        </w:rPr>
        <w:t>* * *</w:t>
      </w:r>
    </w:p>
    <w:p w:rsidR="00BC2B13" w:rsidRPr="00BC2B13" w:rsidRDefault="00BC2B13" w:rsidP="00BC2B13">
      <w:pPr>
        <w:rPr>
          <w:rFonts w:ascii="Times New Roman" w:hAnsi="Times New Roman" w:cs="Times New Roman"/>
          <w:b/>
          <w:sz w:val="24"/>
          <w:szCs w:val="24"/>
        </w:rPr>
      </w:pPr>
      <w:r w:rsidRPr="00BC2B13">
        <w:rPr>
          <w:rFonts w:ascii="Times New Roman" w:hAnsi="Times New Roman" w:cs="Times New Roman"/>
          <w:b/>
          <w:sz w:val="24"/>
          <w:szCs w:val="24"/>
        </w:rPr>
        <w:t>Section 36</w:t>
      </w:r>
    </w:p>
    <w:p w:rsidR="00BC2B13" w:rsidRPr="00BC2B13" w:rsidRDefault="00BC2B13" w:rsidP="00BC2B13">
      <w:pPr>
        <w:numPr>
          <w:ilvl w:val="0"/>
          <w:numId w:val="2"/>
        </w:numPr>
        <w:spacing w:before="100" w:beforeAutospacing="1" w:after="240" w:line="240" w:lineRule="auto"/>
        <w:rPr>
          <w:rFonts w:ascii="Times New Roman" w:hAnsi="Times New Roman" w:cs="Times New Roman"/>
          <w:sz w:val="24"/>
          <w:szCs w:val="24"/>
        </w:rPr>
      </w:pPr>
      <w:bookmarkStart w:id="4" w:name="a"/>
      <w:bookmarkEnd w:id="4"/>
      <w:r w:rsidRPr="00BC2B13">
        <w:rPr>
          <w:rFonts w:ascii="Times New Roman" w:hAnsi="Times New Roman" w:cs="Times New Roman"/>
          <w:b/>
          <w:bCs/>
          <w:sz w:val="24"/>
          <w:szCs w:val="24"/>
        </w:rPr>
        <w:t>Authority</w:t>
      </w:r>
    </w:p>
    <w:p w:rsidR="00BC2B13" w:rsidRPr="00BC2B13" w:rsidRDefault="00BC2B13" w:rsidP="00BC2B13">
      <w:pPr>
        <w:numPr>
          <w:ilvl w:val="1"/>
          <w:numId w:val="2"/>
        </w:numPr>
        <w:spacing w:before="100" w:beforeAutospacing="1" w:after="240" w:line="240" w:lineRule="auto"/>
        <w:rPr>
          <w:rFonts w:ascii="Times New Roman" w:hAnsi="Times New Roman" w:cs="Times New Roman"/>
          <w:sz w:val="24"/>
          <w:szCs w:val="24"/>
        </w:rPr>
      </w:pPr>
      <w:r w:rsidRPr="00BC2B13">
        <w:rPr>
          <w:rFonts w:ascii="Times New Roman" w:hAnsi="Times New Roman" w:cs="Times New Roman"/>
          <w:b/>
          <w:bCs/>
          <w:sz w:val="24"/>
          <w:szCs w:val="24"/>
        </w:rPr>
        <w:t>In general</w:t>
      </w:r>
      <w:r w:rsidRPr="00BC2B13">
        <w:rPr>
          <w:rFonts w:ascii="Times New Roman" w:hAnsi="Times New Roman" w:cs="Times New Roman"/>
          <w:sz w:val="24"/>
          <w:szCs w:val="24"/>
        </w:rPr>
        <w:br/>
      </w:r>
      <w:r w:rsidRPr="00BC2B13">
        <w:rPr>
          <w:rFonts w:ascii="Times New Roman" w:hAnsi="Times New Roman" w:cs="Times New Roman"/>
          <w:sz w:val="24"/>
          <w:szCs w:val="24"/>
        </w:rPr>
        <w:br/>
        <w:t>Except as provided in subsection (b) of this section, but notwithstanding any other provision of this title, the Commission, by rule, regulation, or order, may conditionally or unconditionally exempt any person, security, or transaction, or any class or classes of persons, securities, or transactions, from any provision or provisions of this title or of any rule or regulation thereunder, to the extent that such exemption is necessary or appropriate in the public interest, and is consistent with the protection of investors.</w:t>
      </w:r>
    </w:p>
    <w:p w:rsidR="00BC2B13" w:rsidRPr="00BC2B13" w:rsidRDefault="00BC2B13" w:rsidP="00BC2B13">
      <w:pPr>
        <w:numPr>
          <w:ilvl w:val="1"/>
          <w:numId w:val="2"/>
        </w:numPr>
        <w:spacing w:before="100" w:beforeAutospacing="1" w:after="240" w:line="240" w:lineRule="auto"/>
        <w:rPr>
          <w:rFonts w:ascii="Times New Roman" w:hAnsi="Times New Roman" w:cs="Times New Roman"/>
          <w:sz w:val="24"/>
          <w:szCs w:val="24"/>
        </w:rPr>
      </w:pPr>
      <w:r w:rsidRPr="00BC2B13">
        <w:rPr>
          <w:rFonts w:ascii="Times New Roman" w:hAnsi="Times New Roman" w:cs="Times New Roman"/>
          <w:b/>
          <w:bCs/>
          <w:sz w:val="24"/>
          <w:szCs w:val="24"/>
        </w:rPr>
        <w:t>Procedures</w:t>
      </w:r>
      <w:r w:rsidRPr="00BC2B13">
        <w:rPr>
          <w:rFonts w:ascii="Times New Roman" w:hAnsi="Times New Roman" w:cs="Times New Roman"/>
          <w:sz w:val="24"/>
          <w:szCs w:val="24"/>
        </w:rPr>
        <w:br/>
      </w:r>
      <w:r w:rsidRPr="00BC2B13">
        <w:rPr>
          <w:rFonts w:ascii="Times New Roman" w:hAnsi="Times New Roman" w:cs="Times New Roman"/>
          <w:sz w:val="24"/>
          <w:szCs w:val="24"/>
        </w:rPr>
        <w:br/>
        <w:t>The Commission shall, by rule or regulation, determine the procedures under which an exemptive order under this section shall be granted and may, in its sole discretion, decline to entertain any application for an order of exemption under this section.</w:t>
      </w:r>
    </w:p>
    <w:p w:rsidR="00BC2B13" w:rsidRPr="00BC2B13" w:rsidRDefault="00BC2B13" w:rsidP="00BC2B13">
      <w:pPr>
        <w:numPr>
          <w:ilvl w:val="0"/>
          <w:numId w:val="2"/>
        </w:numPr>
        <w:spacing w:before="100" w:beforeAutospacing="1" w:after="100" w:afterAutospacing="1" w:line="240" w:lineRule="auto"/>
        <w:rPr>
          <w:rFonts w:ascii="Times New Roman" w:hAnsi="Times New Roman" w:cs="Times New Roman"/>
          <w:sz w:val="24"/>
          <w:szCs w:val="24"/>
        </w:rPr>
      </w:pPr>
      <w:bookmarkStart w:id="5" w:name="b"/>
      <w:bookmarkEnd w:id="5"/>
      <w:r w:rsidRPr="00BC2B13">
        <w:rPr>
          <w:rFonts w:ascii="Times New Roman" w:hAnsi="Times New Roman" w:cs="Times New Roman"/>
          <w:b/>
          <w:bCs/>
          <w:sz w:val="24"/>
          <w:szCs w:val="24"/>
        </w:rPr>
        <w:t>Limitation</w:t>
      </w:r>
      <w:r w:rsidRPr="00BC2B13">
        <w:rPr>
          <w:rFonts w:ascii="Times New Roman" w:hAnsi="Times New Roman" w:cs="Times New Roman"/>
          <w:sz w:val="24"/>
          <w:szCs w:val="24"/>
        </w:rPr>
        <w:br/>
      </w:r>
      <w:r w:rsidRPr="00BC2B13">
        <w:rPr>
          <w:rFonts w:ascii="Times New Roman" w:hAnsi="Times New Roman" w:cs="Times New Roman"/>
          <w:sz w:val="24"/>
          <w:szCs w:val="24"/>
        </w:rPr>
        <w:br/>
        <w:t xml:space="preserve">The Commission may not, under this section, exempt any person, security, or transaction, or any class or classes of persons, securities, or transactions from </w:t>
      </w:r>
      <w:hyperlink r:id="rId10" w:history="1">
        <w:r w:rsidRPr="00BC2B13">
          <w:rPr>
            <w:rStyle w:val="Hyperlink"/>
            <w:rFonts w:ascii="Times New Roman" w:hAnsi="Times New Roman"/>
            <w:color w:val="auto"/>
            <w:sz w:val="24"/>
            <w:szCs w:val="24"/>
          </w:rPr>
          <w:t>section 15C</w:t>
        </w:r>
      </w:hyperlink>
      <w:r w:rsidRPr="00BC2B13">
        <w:rPr>
          <w:rFonts w:ascii="Times New Roman" w:hAnsi="Times New Roman" w:cs="Times New Roman"/>
          <w:sz w:val="24"/>
          <w:szCs w:val="24"/>
        </w:rPr>
        <w:t xml:space="preserve"> or the rules or regulations issued thereunder or (for purposes of section 15C and the rules and regulations issued thereunder) from any definition in </w:t>
      </w:r>
      <w:hyperlink r:id="rId11" w:anchor="a.42" w:history="1">
        <w:r w:rsidRPr="00BC2B13">
          <w:rPr>
            <w:rStyle w:val="Hyperlink"/>
            <w:rFonts w:ascii="Times New Roman" w:hAnsi="Times New Roman"/>
            <w:color w:val="auto"/>
            <w:sz w:val="24"/>
            <w:szCs w:val="24"/>
          </w:rPr>
          <w:t>paragraph (42)</w:t>
        </w:r>
      </w:hyperlink>
      <w:r w:rsidRPr="00BC2B13">
        <w:rPr>
          <w:rFonts w:ascii="Times New Roman" w:hAnsi="Times New Roman" w:cs="Times New Roman"/>
          <w:sz w:val="24"/>
          <w:szCs w:val="24"/>
        </w:rPr>
        <w:t>, (43), (44), or (45) of section 3(a).</w:t>
      </w:r>
    </w:p>
    <w:p w:rsidR="00BC2B13" w:rsidRDefault="00BC2B13" w:rsidP="00BC2B13">
      <w:pPr>
        <w:ind w:left="720"/>
      </w:pPr>
    </w:p>
    <w:p w:rsidR="00BC2B13" w:rsidRPr="00BC2B13" w:rsidRDefault="00BC2B13" w:rsidP="00BC2B13">
      <w:pPr>
        <w:ind w:left="360"/>
        <w:jc w:val="center"/>
        <w:rPr>
          <w:rFonts w:ascii="Times New Roman" w:hAnsi="Times New Roman" w:cs="Times New Roman"/>
          <w:sz w:val="24"/>
          <w:szCs w:val="24"/>
        </w:rPr>
      </w:pPr>
      <w:r w:rsidRPr="00BC2B13">
        <w:rPr>
          <w:rFonts w:ascii="Times New Roman" w:hAnsi="Times New Roman" w:cs="Times New Roman"/>
          <w:sz w:val="24"/>
          <w:szCs w:val="24"/>
        </w:rPr>
        <w:t>* * *</w:t>
      </w:r>
    </w:p>
    <w:sectPr w:rsidR="00BC2B13" w:rsidRPr="00BC2B13" w:rsidSect="00817A3D">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1E3" w:rsidRDefault="00E571E3" w:rsidP="001169D2">
      <w:pPr>
        <w:spacing w:after="0" w:line="240" w:lineRule="auto"/>
      </w:pPr>
      <w:r>
        <w:separator/>
      </w:r>
    </w:p>
  </w:endnote>
  <w:endnote w:type="continuationSeparator" w:id="0">
    <w:p w:rsidR="00E571E3" w:rsidRDefault="00E571E3" w:rsidP="00116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1E3" w:rsidRDefault="00E571E3" w:rsidP="001169D2">
      <w:pPr>
        <w:spacing w:after="0" w:line="240" w:lineRule="auto"/>
      </w:pPr>
      <w:r>
        <w:separator/>
      </w:r>
    </w:p>
  </w:footnote>
  <w:footnote w:type="continuationSeparator" w:id="0">
    <w:p w:rsidR="00E571E3" w:rsidRDefault="00E571E3" w:rsidP="001169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441"/>
    <w:multiLevelType w:val="multilevel"/>
    <w:tmpl w:val="5DA884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0331E0D"/>
    <w:multiLevelType w:val="multilevel"/>
    <w:tmpl w:val="41FCC3D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lowerRoman"/>
      <w:lvlText w:val="%4."/>
      <w:lvlJc w:val="righ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169D2"/>
    <w:rsid w:val="000216CF"/>
    <w:rsid w:val="001169D2"/>
    <w:rsid w:val="00163D1C"/>
    <w:rsid w:val="001A0043"/>
    <w:rsid w:val="002E4814"/>
    <w:rsid w:val="002F5140"/>
    <w:rsid w:val="0038669A"/>
    <w:rsid w:val="003A7279"/>
    <w:rsid w:val="004B0475"/>
    <w:rsid w:val="004B1EBD"/>
    <w:rsid w:val="00580E44"/>
    <w:rsid w:val="005C2171"/>
    <w:rsid w:val="005C5ADE"/>
    <w:rsid w:val="005D77D5"/>
    <w:rsid w:val="005E3F23"/>
    <w:rsid w:val="005F21F6"/>
    <w:rsid w:val="005F3434"/>
    <w:rsid w:val="0061310D"/>
    <w:rsid w:val="00663974"/>
    <w:rsid w:val="0069522B"/>
    <w:rsid w:val="006C75EA"/>
    <w:rsid w:val="006F54CC"/>
    <w:rsid w:val="0078508C"/>
    <w:rsid w:val="007A7DB0"/>
    <w:rsid w:val="007E378E"/>
    <w:rsid w:val="00817A3D"/>
    <w:rsid w:val="0091542A"/>
    <w:rsid w:val="00915687"/>
    <w:rsid w:val="0096699A"/>
    <w:rsid w:val="009826E1"/>
    <w:rsid w:val="009B561E"/>
    <w:rsid w:val="009D6E1A"/>
    <w:rsid w:val="009F2031"/>
    <w:rsid w:val="00BB2874"/>
    <w:rsid w:val="00BC2B13"/>
    <w:rsid w:val="00C3095E"/>
    <w:rsid w:val="00C3473E"/>
    <w:rsid w:val="00C92CC3"/>
    <w:rsid w:val="00D54607"/>
    <w:rsid w:val="00D731BA"/>
    <w:rsid w:val="00DC7179"/>
    <w:rsid w:val="00E571E3"/>
    <w:rsid w:val="00EF2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9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9D2"/>
  </w:style>
  <w:style w:type="paragraph" w:styleId="Footer">
    <w:name w:val="footer"/>
    <w:basedOn w:val="Normal"/>
    <w:link w:val="FooterChar"/>
    <w:uiPriority w:val="99"/>
    <w:semiHidden/>
    <w:unhideWhenUsed/>
    <w:rsid w:val="001169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69D2"/>
  </w:style>
  <w:style w:type="character" w:styleId="CommentReference">
    <w:name w:val="annotation reference"/>
    <w:basedOn w:val="DefaultParagraphFont"/>
    <w:uiPriority w:val="99"/>
    <w:semiHidden/>
    <w:unhideWhenUsed/>
    <w:rsid w:val="00580E44"/>
    <w:rPr>
      <w:sz w:val="16"/>
      <w:szCs w:val="16"/>
    </w:rPr>
  </w:style>
  <w:style w:type="paragraph" w:styleId="CommentText">
    <w:name w:val="annotation text"/>
    <w:basedOn w:val="Normal"/>
    <w:link w:val="CommentTextChar"/>
    <w:uiPriority w:val="99"/>
    <w:semiHidden/>
    <w:unhideWhenUsed/>
    <w:rsid w:val="00580E44"/>
    <w:pPr>
      <w:spacing w:line="240" w:lineRule="auto"/>
    </w:pPr>
    <w:rPr>
      <w:sz w:val="20"/>
      <w:szCs w:val="20"/>
    </w:rPr>
  </w:style>
  <w:style w:type="character" w:customStyle="1" w:styleId="CommentTextChar">
    <w:name w:val="Comment Text Char"/>
    <w:basedOn w:val="DefaultParagraphFont"/>
    <w:link w:val="CommentText"/>
    <w:uiPriority w:val="99"/>
    <w:semiHidden/>
    <w:rsid w:val="00580E44"/>
    <w:rPr>
      <w:sz w:val="20"/>
      <w:szCs w:val="20"/>
    </w:rPr>
  </w:style>
  <w:style w:type="paragraph" w:styleId="CommentSubject">
    <w:name w:val="annotation subject"/>
    <w:basedOn w:val="CommentText"/>
    <w:next w:val="CommentText"/>
    <w:link w:val="CommentSubjectChar"/>
    <w:uiPriority w:val="99"/>
    <w:semiHidden/>
    <w:unhideWhenUsed/>
    <w:rsid w:val="00580E44"/>
    <w:rPr>
      <w:b/>
      <w:bCs/>
    </w:rPr>
  </w:style>
  <w:style w:type="character" w:customStyle="1" w:styleId="CommentSubjectChar">
    <w:name w:val="Comment Subject Char"/>
    <w:basedOn w:val="CommentTextChar"/>
    <w:link w:val="CommentSubject"/>
    <w:uiPriority w:val="99"/>
    <w:semiHidden/>
    <w:rsid w:val="00580E44"/>
    <w:rPr>
      <w:b/>
      <w:bCs/>
    </w:rPr>
  </w:style>
  <w:style w:type="paragraph" w:styleId="BalloonText">
    <w:name w:val="Balloon Text"/>
    <w:basedOn w:val="Normal"/>
    <w:link w:val="BalloonTextChar"/>
    <w:uiPriority w:val="99"/>
    <w:semiHidden/>
    <w:unhideWhenUsed/>
    <w:rsid w:val="00580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44"/>
    <w:rPr>
      <w:rFonts w:ascii="Tahoma" w:hAnsi="Tahoma" w:cs="Tahoma"/>
      <w:sz w:val="16"/>
      <w:szCs w:val="16"/>
    </w:rPr>
  </w:style>
  <w:style w:type="character" w:styleId="Hyperlink">
    <w:name w:val="Hyperlink"/>
    <w:basedOn w:val="DefaultParagraphFont"/>
    <w:uiPriority w:val="99"/>
    <w:rsid w:val="00DC7179"/>
    <w:rPr>
      <w:rFonts w:cs="Times New Roman"/>
      <w:color w:val="FF0000"/>
      <w:u w:val="none"/>
      <w:effect w:val="none"/>
    </w:rPr>
  </w:style>
  <w:style w:type="paragraph" w:styleId="BodyTextIndent">
    <w:name w:val="Body Text Indent"/>
    <w:basedOn w:val="Normal"/>
    <w:link w:val="BodyTextIndentChar"/>
    <w:uiPriority w:val="99"/>
    <w:unhideWhenUsed/>
    <w:rsid w:val="00DC7179"/>
    <w:pPr>
      <w:autoSpaceDE w:val="0"/>
      <w:autoSpaceDN w:val="0"/>
      <w:adjustRightInd w:val="0"/>
      <w:spacing w:after="0" w:line="480" w:lineRule="auto"/>
      <w:ind w:firstLine="720"/>
    </w:pPr>
    <w:rPr>
      <w:rFonts w:ascii="Times New Roman" w:eastAsia="Times New Roman" w:hAnsi="Times New Roman" w:cs="Times New Roman"/>
      <w:color w:val="000000" w:themeColor="text1"/>
      <w:sz w:val="24"/>
      <w:szCs w:val="24"/>
    </w:rPr>
  </w:style>
  <w:style w:type="character" w:customStyle="1" w:styleId="BodyTextIndentChar">
    <w:name w:val="Body Text Indent Char"/>
    <w:basedOn w:val="DefaultParagraphFont"/>
    <w:link w:val="BodyTextIndent"/>
    <w:uiPriority w:val="99"/>
    <w:rsid w:val="00DC7179"/>
    <w:rPr>
      <w:rFonts w:ascii="Times New Roman" w:eastAsia="Times New Roman" w:hAnsi="Times New Roman" w:cs="Times New Roman"/>
      <w:color w:val="000000" w:themeColor="text1"/>
      <w:sz w:val="24"/>
      <w:szCs w:val="24"/>
    </w:rPr>
  </w:style>
  <w:style w:type="paragraph" w:styleId="BodyText2">
    <w:name w:val="Body Text 2"/>
    <w:basedOn w:val="Normal"/>
    <w:link w:val="BodyText2Char"/>
    <w:uiPriority w:val="99"/>
    <w:semiHidden/>
    <w:unhideWhenUsed/>
    <w:rsid w:val="00DC717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C7179"/>
    <w:rPr>
      <w:rFonts w:ascii="Times New Roman" w:eastAsia="Times New Roman" w:hAnsi="Times New Roman" w:cs="Times New Roman"/>
      <w:sz w:val="24"/>
      <w:szCs w:val="24"/>
    </w:rPr>
  </w:style>
  <w:style w:type="paragraph" w:styleId="ListParagraph">
    <w:name w:val="List Paragraph"/>
    <w:basedOn w:val="Normal"/>
    <w:uiPriority w:val="34"/>
    <w:qFormat/>
    <w:rsid w:val="00DC7179"/>
    <w:pPr>
      <w:spacing w:after="0" w:line="240" w:lineRule="auto"/>
      <w:ind w:left="720"/>
      <w:contextualSpacing/>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DC7179"/>
    <w:pPr>
      <w:autoSpaceDE w:val="0"/>
      <w:autoSpaceDN w:val="0"/>
      <w:adjustRightInd w:val="0"/>
      <w:spacing w:after="0" w:line="48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uiPriority w:val="99"/>
    <w:rsid w:val="00DC717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73946976">
      <w:bodyDiv w:val="1"/>
      <w:marLeft w:val="450"/>
      <w:marRight w:val="450"/>
      <w:marTop w:val="450"/>
      <w:marBottom w:val="450"/>
      <w:divBdr>
        <w:top w:val="none" w:sz="0" w:space="0" w:color="auto"/>
        <w:left w:val="none" w:sz="0" w:space="0" w:color="auto"/>
        <w:bottom w:val="none" w:sz="0" w:space="0" w:color="auto"/>
        <w:right w:val="none" w:sz="0" w:space="0" w:color="auto"/>
      </w:divBdr>
    </w:div>
    <w:div w:id="836578551">
      <w:bodyDiv w:val="1"/>
      <w:marLeft w:val="0"/>
      <w:marRight w:val="0"/>
      <w:marTop w:val="0"/>
      <w:marBottom w:val="0"/>
      <w:divBdr>
        <w:top w:val="none" w:sz="0" w:space="0" w:color="auto"/>
        <w:left w:val="none" w:sz="0" w:space="0" w:color="auto"/>
        <w:bottom w:val="none" w:sz="0" w:space="0" w:color="auto"/>
        <w:right w:val="none" w:sz="0" w:space="0" w:color="auto"/>
      </w:divBdr>
    </w:div>
    <w:div w:id="148828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uc.edu/CCL/34Act/sec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uc.edu/CCL/34Act/sec3.html" TargetMode="External"/><Relationship Id="rId5" Type="http://schemas.openxmlformats.org/officeDocument/2006/relationships/webSettings" Target="webSettings.xml"/><Relationship Id="rId10" Type="http://schemas.openxmlformats.org/officeDocument/2006/relationships/hyperlink" Target="http://www.law.uc.edu/CCL/34Act/sec15C.html" TargetMode="External"/><Relationship Id="rId4" Type="http://schemas.openxmlformats.org/officeDocument/2006/relationships/settings" Target="settings.xml"/><Relationship Id="rId9" Type="http://schemas.openxmlformats.org/officeDocument/2006/relationships/hyperlink" Target="http://www.law.uc.edu/CCL/34Act/sec15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0465-53FC-40FC-9EC0-8B28D6E5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varholiks</dc:creator>
  <cp:keywords/>
  <dc:description/>
  <cp:lastModifiedBy>varholiks</cp:lastModifiedBy>
  <cp:revision>2</cp:revision>
  <cp:lastPrinted>2010-08-26T13:13:00Z</cp:lastPrinted>
  <dcterms:created xsi:type="dcterms:W3CDTF">2010-08-30T21:56:00Z</dcterms:created>
  <dcterms:modified xsi:type="dcterms:W3CDTF">2010-08-30T21:56:00Z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gFAAXJDLFUo5N7vyrOTxG9zuF4TEN0HZTzWBZX24K6ZkwHZbKkPhVCHoVwGetVEx7ofegQyP9BoLPpM6
myU1LlwaKai3ZpF+5jNelE3XnuadyXk+mjSoVeMXIWq79poLJDdC+gCkcreJEwvVcHY2NamSCOmI
79deQnUoR64UGZGUZJI5DORuPgjDhjTAbH5cHmRkzb/gw8dV6HOGNCMZQQAyj4dJSYwLhp0HP+8M
52N+oxyqGDcdWfiAO</vt:lpwstr>
  </property>
  <property fmtid="{D5CDD505-2E9C-101B-9397-08002B2CF9AE}" pid="3" name="MAIL_MSG_ID2">
    <vt:lpwstr>NRFlFtbZ+o/P+dMUp41yPU9Fltdygod4x8kerP09w8HMjFvUfgnotd6aM+R
G8kBzRuCVu1BrnhlgehawxtfC6P9CNeR5aihEQ==</vt:lpwstr>
  </property>
  <property fmtid="{D5CDD505-2E9C-101B-9397-08002B2CF9AE}" pid="4" name="RESPONSE_SENDER_NAME">
    <vt:lpwstr>sAAAGYoQX4c3X/L1+xn1bf7qwCkEXPH4jCD5GjY/8HDBAO0=</vt:lpwstr>
  </property>
  <property fmtid="{D5CDD505-2E9C-101B-9397-08002B2CF9AE}" pid="5" name="EMAIL_OWNER_ADDRESS">
    <vt:lpwstr>sAAAE9kkUq3pEoLvczR+gwULoRJCEYyHZPZQs15hk10/NoM=</vt:lpwstr>
  </property>
</Properties>
</file>