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23A" w:rsidRPr="00B0150F" w:rsidRDefault="0010123A" w:rsidP="0010123A">
      <w:pPr>
        <w:jc w:val="center"/>
        <w:rPr>
          <w:rFonts w:ascii="Times New Roman" w:hAnsi="Times New Roman"/>
          <w:b/>
          <w:szCs w:val="24"/>
        </w:rPr>
      </w:pPr>
      <w:r w:rsidRPr="00B0150F">
        <w:rPr>
          <w:rFonts w:ascii="Times New Roman" w:hAnsi="Times New Roman"/>
          <w:b/>
          <w:szCs w:val="24"/>
        </w:rPr>
        <w:t>Supporting Statement for</w:t>
      </w:r>
    </w:p>
    <w:p w:rsidR="0010123A" w:rsidRPr="007F459D" w:rsidRDefault="0010123A" w:rsidP="0010123A">
      <w:pPr>
        <w:jc w:val="center"/>
        <w:rPr>
          <w:rFonts w:ascii="Times New Roman" w:hAnsi="Times New Roman"/>
          <w:b/>
          <w:szCs w:val="24"/>
        </w:rPr>
      </w:pPr>
      <w:r w:rsidRPr="007F459D">
        <w:rPr>
          <w:rFonts w:ascii="Times New Roman" w:hAnsi="Times New Roman"/>
          <w:b/>
          <w:szCs w:val="24"/>
        </w:rPr>
        <w:t xml:space="preserve">Financial Statements </w:t>
      </w:r>
      <w:r>
        <w:rPr>
          <w:rFonts w:ascii="Times New Roman" w:hAnsi="Times New Roman"/>
          <w:b/>
          <w:szCs w:val="24"/>
        </w:rPr>
        <w:t>for</w:t>
      </w:r>
      <w:r w:rsidRPr="007F459D">
        <w:rPr>
          <w:rFonts w:ascii="Times New Roman" w:hAnsi="Times New Roman"/>
          <w:b/>
          <w:szCs w:val="24"/>
        </w:rPr>
        <w:t xml:space="preserve"> Bank Holding Companies</w:t>
      </w:r>
    </w:p>
    <w:p w:rsidR="0010123A" w:rsidRPr="00783208" w:rsidRDefault="0010123A" w:rsidP="0010123A">
      <w:pPr>
        <w:pStyle w:val="Heading5"/>
        <w:jc w:val="center"/>
        <w:rPr>
          <w:szCs w:val="24"/>
        </w:rPr>
      </w:pPr>
      <w:r>
        <w:rPr>
          <w:szCs w:val="24"/>
        </w:rPr>
        <w:t>(FR Y-9C, FR Y-9LP,</w:t>
      </w:r>
      <w:r w:rsidRPr="00C97255">
        <w:rPr>
          <w:szCs w:val="24"/>
        </w:rPr>
        <w:t xml:space="preserve"> </w:t>
      </w:r>
      <w:r w:rsidRPr="00783208">
        <w:rPr>
          <w:szCs w:val="24"/>
        </w:rPr>
        <w:t>FR Y-9SP, FR Y-9CS and FR Y-9ES; OMB No. 7100-0128)</w:t>
      </w:r>
    </w:p>
    <w:p w:rsidR="0010123A" w:rsidRDefault="0010123A" w:rsidP="0010123A">
      <w:pPr>
        <w:pStyle w:val="FootnoteText"/>
        <w:widowControl/>
        <w:rPr>
          <w:rFonts w:ascii="Times New Roman" w:hAnsi="Times New Roman"/>
        </w:rPr>
      </w:pPr>
    </w:p>
    <w:p w:rsidR="0010123A" w:rsidRDefault="0010123A" w:rsidP="0010123A">
      <w:pPr>
        <w:pStyle w:val="Heading5"/>
      </w:pPr>
      <w:r>
        <w:t>Summary</w:t>
      </w:r>
    </w:p>
    <w:p w:rsidR="0010123A" w:rsidRDefault="0010123A" w:rsidP="0010123A">
      <w:pPr>
        <w:widowControl/>
        <w:ind w:firstLine="720"/>
        <w:rPr>
          <w:rFonts w:ascii="Times New Roman" w:hAnsi="Times New Roman"/>
        </w:rPr>
      </w:pPr>
    </w:p>
    <w:p w:rsidR="004B5CF6" w:rsidRDefault="0010123A" w:rsidP="0010123A">
      <w:pPr>
        <w:widowControl/>
        <w:tabs>
          <w:tab w:val="left" w:pos="-1440"/>
        </w:tabs>
        <w:ind w:firstLine="720"/>
        <w:rPr>
          <w:rFonts w:ascii="Times New Roman" w:hAnsi="Times New Roman"/>
        </w:rPr>
      </w:pPr>
      <w:r w:rsidRPr="00FF28BA">
        <w:rPr>
          <w:rFonts w:ascii="Times New Roman" w:hAnsi="Times New Roman"/>
        </w:rPr>
        <w:t xml:space="preserve">The Board of Governors of the Federal Reserve System, under delegated authority from the Office of Management and Budget (OMB), proposes to </w:t>
      </w:r>
      <w:r w:rsidR="00BF677E">
        <w:rPr>
          <w:rFonts w:ascii="Times New Roman" w:hAnsi="Times New Roman"/>
        </w:rPr>
        <w:t>extend for three years, with revision</w:t>
      </w:r>
      <w:r w:rsidR="008B5963" w:rsidRPr="00D513C3">
        <w:rPr>
          <w:rFonts w:ascii="Times New Roman" w:hAnsi="Times New Roman"/>
        </w:rPr>
        <w:t>,</w:t>
      </w:r>
      <w:r w:rsidR="00BF677E">
        <w:rPr>
          <w:rFonts w:ascii="Times New Roman" w:hAnsi="Times New Roman"/>
        </w:rPr>
        <w:t xml:space="preserve"> the following mandatory </w:t>
      </w:r>
      <w:r w:rsidR="0066595D">
        <w:rPr>
          <w:rFonts w:ascii="Times New Roman" w:hAnsi="Times New Roman"/>
        </w:rPr>
        <w:t>financial statements for bank holding companies (OMB No. 7100-0128)</w:t>
      </w:r>
      <w:r w:rsidR="00D513C3">
        <w:rPr>
          <w:rFonts w:ascii="Times New Roman" w:hAnsi="Times New Roman"/>
        </w:rPr>
        <w:t xml:space="preserve">, </w:t>
      </w:r>
      <w:r w:rsidR="00487745">
        <w:rPr>
          <w:rFonts w:ascii="Times New Roman" w:hAnsi="Times New Roman"/>
        </w:rPr>
        <w:t>for implementation in March 2011</w:t>
      </w:r>
      <w:r w:rsidR="00BF677E">
        <w:rPr>
          <w:rFonts w:ascii="Times New Roman" w:hAnsi="Times New Roman"/>
        </w:rPr>
        <w:t>:</w:t>
      </w:r>
    </w:p>
    <w:p w:rsidR="00BF677E" w:rsidRDefault="00BF677E" w:rsidP="00BF677E">
      <w:pPr>
        <w:widowControl/>
        <w:numPr>
          <w:ilvl w:val="0"/>
          <w:numId w:val="8"/>
        </w:numPr>
        <w:tabs>
          <w:tab w:val="left" w:pos="-1440"/>
        </w:tabs>
        <w:rPr>
          <w:rFonts w:ascii="Times New Roman" w:hAnsi="Times New Roman"/>
        </w:rPr>
      </w:pPr>
      <w:r w:rsidRPr="00BF677E">
        <w:rPr>
          <w:rFonts w:ascii="Times New Roman" w:hAnsi="Times New Roman"/>
        </w:rPr>
        <w:t>the Consolidated Financial Statements for Bank Holding Companies (FR Y-9C</w:t>
      </w:r>
      <w:r w:rsidR="0066595D">
        <w:rPr>
          <w:rFonts w:ascii="Times New Roman" w:hAnsi="Times New Roman"/>
        </w:rPr>
        <w:t>)</w:t>
      </w:r>
      <w:r w:rsidR="00C46C78">
        <w:rPr>
          <w:rFonts w:ascii="Times New Roman" w:hAnsi="Times New Roman"/>
        </w:rPr>
        <w:t xml:space="preserve"> and</w:t>
      </w:r>
    </w:p>
    <w:p w:rsidR="00C46C78" w:rsidRDefault="00C46C78" w:rsidP="00C46C78">
      <w:pPr>
        <w:widowControl/>
        <w:numPr>
          <w:ilvl w:val="0"/>
          <w:numId w:val="8"/>
        </w:numPr>
        <w:tabs>
          <w:tab w:val="left" w:pos="-1440"/>
        </w:tabs>
        <w:rPr>
          <w:rFonts w:ascii="Times New Roman" w:hAnsi="Times New Roman"/>
        </w:rPr>
      </w:pPr>
      <w:r>
        <w:rPr>
          <w:rFonts w:ascii="Times New Roman" w:hAnsi="Times New Roman"/>
        </w:rPr>
        <w:t xml:space="preserve">the Parent Company Only Financial Statements for Large Bank Holding Companies </w:t>
      </w:r>
    </w:p>
    <w:p w:rsidR="00C46C78" w:rsidRPr="009815BC" w:rsidRDefault="00C46C78" w:rsidP="00C46C78">
      <w:pPr>
        <w:widowControl/>
        <w:tabs>
          <w:tab w:val="left" w:pos="-1440"/>
          <w:tab w:val="left" w:pos="360"/>
        </w:tabs>
        <w:rPr>
          <w:rFonts w:ascii="Times New Roman" w:hAnsi="Times New Roman"/>
          <w:lang w:val="es-ES"/>
        </w:rPr>
      </w:pPr>
      <w:r>
        <w:rPr>
          <w:rFonts w:ascii="Times New Roman" w:hAnsi="Times New Roman"/>
        </w:rPr>
        <w:tab/>
      </w:r>
      <w:r w:rsidRPr="009815BC">
        <w:rPr>
          <w:rFonts w:ascii="Times New Roman" w:hAnsi="Times New Roman"/>
          <w:lang w:val="es-ES"/>
        </w:rPr>
        <w:t>(FR</w:t>
      </w:r>
      <w:r>
        <w:rPr>
          <w:rFonts w:ascii="Times New Roman" w:hAnsi="Times New Roman"/>
        </w:rPr>
        <w:sym w:font="Symbol" w:char="F020"/>
      </w:r>
      <w:r>
        <w:rPr>
          <w:rFonts w:ascii="Times New Roman" w:hAnsi="Times New Roman"/>
          <w:lang w:val="es-ES"/>
        </w:rPr>
        <w:t>Y-9LP).</w:t>
      </w:r>
    </w:p>
    <w:p w:rsidR="000E0F0F" w:rsidRDefault="000E0F0F">
      <w:pPr>
        <w:widowControl/>
        <w:tabs>
          <w:tab w:val="left" w:pos="-1440"/>
        </w:tabs>
        <w:ind w:left="360"/>
        <w:rPr>
          <w:rFonts w:ascii="Times New Roman" w:hAnsi="Times New Roman"/>
        </w:rPr>
      </w:pPr>
    </w:p>
    <w:p w:rsidR="004B5CF6" w:rsidRPr="00D513C3" w:rsidRDefault="00C660F8" w:rsidP="004D24B5">
      <w:pPr>
        <w:widowControl/>
        <w:tabs>
          <w:tab w:val="left" w:pos="-1440"/>
        </w:tabs>
        <w:rPr>
          <w:rFonts w:ascii="Times New Roman" w:hAnsi="Times New Roman"/>
        </w:rPr>
      </w:pPr>
      <w:r>
        <w:rPr>
          <w:rFonts w:ascii="Times New Roman" w:hAnsi="Times New Roman"/>
        </w:rPr>
        <w:t>The Federal Reserve</w:t>
      </w:r>
      <w:r w:rsidR="00BF677E">
        <w:rPr>
          <w:rFonts w:ascii="Times New Roman" w:hAnsi="Times New Roman"/>
        </w:rPr>
        <w:t xml:space="preserve"> also proposes to extend for three years, without revision, the following mandatory reports:</w:t>
      </w:r>
    </w:p>
    <w:p w:rsidR="00C2251F" w:rsidRDefault="008D7925" w:rsidP="00C1209C">
      <w:pPr>
        <w:widowControl/>
        <w:numPr>
          <w:ilvl w:val="0"/>
          <w:numId w:val="2"/>
        </w:numPr>
        <w:tabs>
          <w:tab w:val="left" w:pos="-1440"/>
        </w:tabs>
        <w:rPr>
          <w:rFonts w:ascii="Times New Roman" w:hAnsi="Times New Roman"/>
        </w:rPr>
      </w:pPr>
      <w:r>
        <w:rPr>
          <w:rFonts w:ascii="Times New Roman" w:hAnsi="Times New Roman"/>
        </w:rPr>
        <w:t xml:space="preserve">the Parent Company Only Financial Statements for Small Bank Holding Companies </w:t>
      </w:r>
    </w:p>
    <w:p w:rsidR="008D7925" w:rsidRPr="009815BC" w:rsidRDefault="00C2251F" w:rsidP="00C2251F">
      <w:pPr>
        <w:widowControl/>
        <w:tabs>
          <w:tab w:val="left" w:pos="-1440"/>
          <w:tab w:val="left" w:pos="360"/>
        </w:tabs>
        <w:rPr>
          <w:rFonts w:ascii="Times New Roman" w:hAnsi="Times New Roman"/>
          <w:lang w:val="es-ES"/>
        </w:rPr>
      </w:pPr>
      <w:r>
        <w:rPr>
          <w:rFonts w:ascii="Times New Roman" w:hAnsi="Times New Roman"/>
        </w:rPr>
        <w:tab/>
      </w:r>
      <w:r w:rsidR="008D7925" w:rsidRPr="009815BC">
        <w:rPr>
          <w:rFonts w:ascii="Times New Roman" w:hAnsi="Times New Roman"/>
          <w:lang w:val="es-ES"/>
        </w:rPr>
        <w:t>(FR</w:t>
      </w:r>
      <w:r w:rsidR="008D7925">
        <w:rPr>
          <w:rFonts w:ascii="Times New Roman" w:hAnsi="Times New Roman"/>
        </w:rPr>
        <w:sym w:font="Symbol" w:char="F020"/>
      </w:r>
      <w:r w:rsidR="008D7925" w:rsidRPr="009815BC">
        <w:rPr>
          <w:rFonts w:ascii="Times New Roman" w:hAnsi="Times New Roman"/>
          <w:lang w:val="es-ES"/>
        </w:rPr>
        <w:t>Y-9SP),</w:t>
      </w:r>
    </w:p>
    <w:p w:rsidR="00C2251F" w:rsidRDefault="00B05049" w:rsidP="00C1209C">
      <w:pPr>
        <w:widowControl/>
        <w:numPr>
          <w:ilvl w:val="0"/>
          <w:numId w:val="2"/>
        </w:numPr>
        <w:tabs>
          <w:tab w:val="left" w:pos="-1440"/>
        </w:tabs>
        <w:rPr>
          <w:rFonts w:ascii="Times New Roman" w:hAnsi="Times New Roman"/>
        </w:rPr>
      </w:pPr>
      <w:r>
        <w:rPr>
          <w:rFonts w:ascii="Times New Roman" w:hAnsi="Times New Roman"/>
        </w:rPr>
        <w:t xml:space="preserve">the Financial Statements for Employee Stock Ownership Plan Bank Holding Companies </w:t>
      </w:r>
    </w:p>
    <w:p w:rsidR="008D7925" w:rsidRPr="009815BC" w:rsidRDefault="00C2251F" w:rsidP="00C2251F">
      <w:pPr>
        <w:widowControl/>
        <w:tabs>
          <w:tab w:val="left" w:pos="-1440"/>
          <w:tab w:val="left" w:pos="360"/>
        </w:tabs>
        <w:rPr>
          <w:rFonts w:ascii="Times New Roman" w:hAnsi="Times New Roman"/>
          <w:lang w:val="es-ES"/>
        </w:rPr>
      </w:pPr>
      <w:r>
        <w:rPr>
          <w:rFonts w:ascii="Times New Roman" w:hAnsi="Times New Roman"/>
        </w:rPr>
        <w:tab/>
      </w:r>
      <w:r w:rsidR="00B05049" w:rsidRPr="009815BC">
        <w:rPr>
          <w:rFonts w:ascii="Times New Roman" w:hAnsi="Times New Roman"/>
          <w:lang w:val="es-ES"/>
        </w:rPr>
        <w:t>(FR Y-9ES)</w:t>
      </w:r>
      <w:r w:rsidR="00C52F18" w:rsidRPr="009815BC">
        <w:rPr>
          <w:rFonts w:ascii="Times New Roman" w:hAnsi="Times New Roman"/>
          <w:lang w:val="es-ES"/>
        </w:rPr>
        <w:t>,</w:t>
      </w:r>
      <w:r w:rsidR="00B05049" w:rsidRPr="009815BC">
        <w:rPr>
          <w:rFonts w:ascii="Times New Roman" w:hAnsi="Times New Roman"/>
          <w:lang w:val="es-ES"/>
        </w:rPr>
        <w:t xml:space="preserve"> and</w:t>
      </w:r>
    </w:p>
    <w:p w:rsidR="00C2251F" w:rsidRDefault="00B05049" w:rsidP="00C1209C">
      <w:pPr>
        <w:widowControl/>
        <w:numPr>
          <w:ilvl w:val="0"/>
          <w:numId w:val="2"/>
        </w:numPr>
        <w:tabs>
          <w:tab w:val="left" w:pos="-1440"/>
        </w:tabs>
        <w:rPr>
          <w:rFonts w:ascii="Times New Roman" w:hAnsi="Times New Roman"/>
        </w:rPr>
      </w:pPr>
      <w:r>
        <w:rPr>
          <w:rFonts w:ascii="Times New Roman" w:hAnsi="Times New Roman"/>
        </w:rPr>
        <w:t xml:space="preserve">the Supplement to the Consolidated Financial Statements for Bank Holding Companies </w:t>
      </w:r>
    </w:p>
    <w:p w:rsidR="00B05049" w:rsidRDefault="00C2251F" w:rsidP="00C2251F">
      <w:pPr>
        <w:widowControl/>
        <w:tabs>
          <w:tab w:val="left" w:pos="-1440"/>
          <w:tab w:val="left" w:pos="360"/>
        </w:tabs>
        <w:rPr>
          <w:rFonts w:ascii="Times New Roman" w:hAnsi="Times New Roman"/>
          <w:lang w:val="es-ES"/>
        </w:rPr>
      </w:pPr>
      <w:r>
        <w:rPr>
          <w:rFonts w:ascii="Times New Roman" w:hAnsi="Times New Roman"/>
        </w:rPr>
        <w:tab/>
      </w:r>
      <w:r w:rsidR="00B05049" w:rsidRPr="009815BC">
        <w:rPr>
          <w:rFonts w:ascii="Times New Roman" w:hAnsi="Times New Roman"/>
          <w:lang w:val="es-ES"/>
        </w:rPr>
        <w:t>(FR Y-9CS).</w:t>
      </w:r>
    </w:p>
    <w:p w:rsidR="00061552" w:rsidRPr="009815BC" w:rsidRDefault="00061552" w:rsidP="00A51CED">
      <w:pPr>
        <w:widowControl/>
        <w:tabs>
          <w:tab w:val="left" w:pos="-1440"/>
        </w:tabs>
        <w:rPr>
          <w:rFonts w:ascii="Times New Roman" w:hAnsi="Times New Roman"/>
          <w:lang w:val="es-ES"/>
        </w:rPr>
      </w:pPr>
    </w:p>
    <w:p w:rsidR="00061552" w:rsidRDefault="00061552" w:rsidP="00A204D4">
      <w:pPr>
        <w:widowControl/>
        <w:ind w:firstLine="720"/>
        <w:rPr>
          <w:rFonts w:ascii="Times New Roman" w:hAnsi="Times New Roman"/>
        </w:rPr>
      </w:pPr>
      <w:r>
        <w:rPr>
          <w:rFonts w:ascii="Times New Roman" w:hAnsi="Times New Roman"/>
        </w:rPr>
        <w:t xml:space="preserve">Pursuant to the Bank Holding Company Act of 1956, as amended, the Federal Reserve requires </w:t>
      </w:r>
      <w:r w:rsidR="0029324F">
        <w:rPr>
          <w:rFonts w:ascii="Times New Roman" w:hAnsi="Times New Roman"/>
        </w:rPr>
        <w:t>bank holding companies</w:t>
      </w:r>
      <w:r>
        <w:rPr>
          <w:rFonts w:ascii="Times New Roman" w:hAnsi="Times New Roman"/>
        </w:rPr>
        <w:t xml:space="preserve"> (BHCs) to provide standardized financial statements to fulfill the Federal Reserve’s statutory obligation to supervise these organizations.  BHCs file the FR Y-9C and FR Y-9LP quarterly, the FR Y-9SP semiannually, the FR Y-9ES annually, and the FR Y-9CS on </w:t>
      </w:r>
      <w:r w:rsidR="00E338A1">
        <w:rPr>
          <w:rFonts w:ascii="Times New Roman" w:hAnsi="Times New Roman"/>
        </w:rPr>
        <w:t>a schedule that is determined when the supplement is used</w:t>
      </w:r>
      <w:r>
        <w:rPr>
          <w:rFonts w:ascii="Times New Roman" w:hAnsi="Times New Roman"/>
        </w:rPr>
        <w:t>.</w:t>
      </w:r>
      <w:r w:rsidR="00A66878">
        <w:rPr>
          <w:rFonts w:ascii="Times New Roman" w:hAnsi="Times New Roman"/>
        </w:rPr>
        <w:t xml:space="preserve">  </w:t>
      </w:r>
    </w:p>
    <w:p w:rsidR="00116269" w:rsidRDefault="00116269">
      <w:pPr>
        <w:widowControl/>
        <w:ind w:firstLine="720"/>
        <w:rPr>
          <w:rFonts w:ascii="Times New Roman" w:hAnsi="Times New Roman"/>
        </w:rPr>
      </w:pPr>
    </w:p>
    <w:p w:rsidR="006704A9" w:rsidRDefault="00384360" w:rsidP="001923C2">
      <w:pPr>
        <w:pStyle w:val="HTMLPreformatted"/>
        <w:widowControl/>
        <w:ind w:firstLine="720"/>
        <w:rPr>
          <w:rFonts w:ascii="Times New Roman" w:hAnsi="Times New Roman"/>
          <w:sz w:val="24"/>
          <w:szCs w:val="24"/>
        </w:rPr>
      </w:pPr>
      <w:r>
        <w:rPr>
          <w:rFonts w:ascii="Times New Roman" w:hAnsi="Times New Roman"/>
          <w:sz w:val="24"/>
          <w:szCs w:val="24"/>
        </w:rPr>
        <w:t>The Federal Reserve</w:t>
      </w:r>
      <w:r w:rsidR="00955D37">
        <w:rPr>
          <w:rFonts w:ascii="Times New Roman" w:hAnsi="Times New Roman"/>
          <w:sz w:val="24"/>
          <w:szCs w:val="24"/>
        </w:rPr>
        <w:t xml:space="preserve"> proposes the following revisions </w:t>
      </w:r>
      <w:r w:rsidR="00AA0274">
        <w:rPr>
          <w:rFonts w:ascii="Times New Roman" w:hAnsi="Times New Roman"/>
          <w:sz w:val="24"/>
          <w:szCs w:val="24"/>
        </w:rPr>
        <w:t xml:space="preserve">and clarifications </w:t>
      </w:r>
      <w:r w:rsidR="008A7977">
        <w:rPr>
          <w:rFonts w:ascii="Times New Roman" w:hAnsi="Times New Roman"/>
          <w:sz w:val="24"/>
          <w:szCs w:val="24"/>
        </w:rPr>
        <w:t xml:space="preserve">to the FR Y-9C </w:t>
      </w:r>
      <w:r w:rsidR="00955D37">
        <w:rPr>
          <w:rFonts w:ascii="Times New Roman" w:hAnsi="Times New Roman"/>
          <w:sz w:val="24"/>
          <w:szCs w:val="24"/>
        </w:rPr>
        <w:t>effective</w:t>
      </w:r>
      <w:r w:rsidR="00BA5CE0">
        <w:rPr>
          <w:rFonts w:ascii="Times New Roman" w:hAnsi="Times New Roman"/>
          <w:sz w:val="24"/>
          <w:szCs w:val="24"/>
        </w:rPr>
        <w:t xml:space="preserve"> March 31, </w:t>
      </w:r>
      <w:r w:rsidR="004B5CF6">
        <w:rPr>
          <w:rFonts w:ascii="Times New Roman" w:hAnsi="Times New Roman"/>
          <w:sz w:val="24"/>
          <w:szCs w:val="24"/>
        </w:rPr>
        <w:t>2011</w:t>
      </w:r>
      <w:r w:rsidR="00C2251F">
        <w:rPr>
          <w:rFonts w:ascii="Times New Roman" w:hAnsi="Times New Roman"/>
          <w:sz w:val="24"/>
          <w:szCs w:val="24"/>
        </w:rPr>
        <w:t>:</w:t>
      </w:r>
      <w:r w:rsidR="006704A9">
        <w:rPr>
          <w:rFonts w:ascii="Times New Roman" w:hAnsi="Times New Roman"/>
          <w:sz w:val="24"/>
          <w:szCs w:val="24"/>
        </w:rPr>
        <w:t xml:space="preserve"> </w:t>
      </w:r>
      <w:r w:rsidR="00B5466A">
        <w:rPr>
          <w:rFonts w:ascii="Times New Roman" w:hAnsi="Times New Roman"/>
          <w:sz w:val="24"/>
          <w:szCs w:val="24"/>
        </w:rPr>
        <w:t xml:space="preserve"> </w:t>
      </w:r>
      <w:r w:rsidR="00955D37">
        <w:rPr>
          <w:rFonts w:ascii="Times New Roman" w:hAnsi="Times New Roman"/>
          <w:sz w:val="24"/>
          <w:szCs w:val="24"/>
        </w:rPr>
        <w:t xml:space="preserve">(1) </w:t>
      </w:r>
      <w:r w:rsidR="00070E9B">
        <w:rPr>
          <w:rFonts w:ascii="Times New Roman" w:hAnsi="Times New Roman"/>
          <w:sz w:val="24"/>
          <w:szCs w:val="24"/>
        </w:rPr>
        <w:t>break</w:t>
      </w:r>
      <w:r w:rsidR="00BC3D27">
        <w:rPr>
          <w:rFonts w:ascii="Times New Roman" w:hAnsi="Times New Roman"/>
          <w:sz w:val="24"/>
          <w:szCs w:val="24"/>
        </w:rPr>
        <w:t xml:space="preserve"> </w:t>
      </w:r>
      <w:r w:rsidR="00070E9B">
        <w:rPr>
          <w:rFonts w:ascii="Times New Roman" w:hAnsi="Times New Roman"/>
          <w:sz w:val="24"/>
          <w:szCs w:val="24"/>
        </w:rPr>
        <w:t>out</w:t>
      </w:r>
      <w:r w:rsidR="00B81884">
        <w:rPr>
          <w:rFonts w:ascii="Times New Roman" w:hAnsi="Times New Roman"/>
          <w:sz w:val="24"/>
          <w:szCs w:val="24"/>
        </w:rPr>
        <w:t xml:space="preserve"> by</w:t>
      </w:r>
      <w:r w:rsidR="006D237C">
        <w:rPr>
          <w:rFonts w:ascii="Times New Roman" w:hAnsi="Times New Roman"/>
          <w:sz w:val="24"/>
          <w:szCs w:val="24"/>
        </w:rPr>
        <w:t xml:space="preserve"> </w:t>
      </w:r>
      <w:r w:rsidR="00B81884">
        <w:rPr>
          <w:rFonts w:ascii="Times New Roman" w:hAnsi="Times New Roman"/>
          <w:sz w:val="24"/>
          <w:szCs w:val="24"/>
        </w:rPr>
        <w:t>loan category of other loans and leases that are troubled debt restructurings</w:t>
      </w:r>
      <w:r w:rsidR="00B5466A">
        <w:rPr>
          <w:rFonts w:ascii="Times New Roman" w:hAnsi="Times New Roman"/>
          <w:sz w:val="24"/>
          <w:szCs w:val="24"/>
        </w:rPr>
        <w:t xml:space="preserve"> </w:t>
      </w:r>
      <w:r w:rsidR="000D744B">
        <w:rPr>
          <w:rFonts w:ascii="Times New Roman" w:hAnsi="Times New Roman"/>
          <w:sz w:val="24"/>
          <w:szCs w:val="24"/>
        </w:rPr>
        <w:t xml:space="preserve">for those that </w:t>
      </w:r>
      <w:r w:rsidR="00B5466A">
        <w:rPr>
          <w:rFonts w:ascii="Times New Roman" w:hAnsi="Times New Roman"/>
          <w:sz w:val="24"/>
          <w:szCs w:val="24"/>
        </w:rPr>
        <w:t>(a) are past due 30 days or more or in nonaccrual status or (b) are in compliance with the</w:t>
      </w:r>
      <w:r w:rsidR="00B7080D">
        <w:rPr>
          <w:rFonts w:ascii="Times New Roman" w:hAnsi="Times New Roman"/>
          <w:sz w:val="24"/>
          <w:szCs w:val="24"/>
        </w:rPr>
        <w:t>ir modified terms</w:t>
      </w:r>
      <w:r w:rsidR="0066595D">
        <w:rPr>
          <w:rFonts w:ascii="Times New Roman" w:hAnsi="Times New Roman"/>
          <w:sz w:val="24"/>
          <w:szCs w:val="24"/>
        </w:rPr>
        <w:t xml:space="preserve"> </w:t>
      </w:r>
      <w:r w:rsidR="000D744B">
        <w:rPr>
          <w:rFonts w:ascii="Times New Roman" w:hAnsi="Times New Roman"/>
          <w:sz w:val="24"/>
          <w:szCs w:val="24"/>
        </w:rPr>
        <w:t xml:space="preserve">and </w:t>
      </w:r>
      <w:r w:rsidR="00070E9B">
        <w:rPr>
          <w:rFonts w:ascii="Times New Roman" w:hAnsi="Times New Roman"/>
          <w:sz w:val="24"/>
          <w:szCs w:val="24"/>
        </w:rPr>
        <w:t>clarify</w:t>
      </w:r>
      <w:r w:rsidR="00B5466A">
        <w:rPr>
          <w:rFonts w:ascii="Times New Roman" w:hAnsi="Times New Roman"/>
          <w:sz w:val="24"/>
          <w:szCs w:val="24"/>
        </w:rPr>
        <w:t xml:space="preserve"> reporting </w:t>
      </w:r>
      <w:r w:rsidR="00070E9B">
        <w:rPr>
          <w:rFonts w:ascii="Times New Roman" w:hAnsi="Times New Roman"/>
          <w:sz w:val="24"/>
          <w:szCs w:val="24"/>
        </w:rPr>
        <w:t xml:space="preserve">of </w:t>
      </w:r>
      <w:r w:rsidR="00B5466A">
        <w:rPr>
          <w:rFonts w:ascii="Times New Roman" w:hAnsi="Times New Roman"/>
          <w:sz w:val="24"/>
          <w:szCs w:val="24"/>
        </w:rPr>
        <w:t>restructured troubled debt consumer loans</w:t>
      </w:r>
      <w:r w:rsidR="00C16B91">
        <w:rPr>
          <w:rFonts w:ascii="Times New Roman" w:hAnsi="Times New Roman"/>
          <w:sz w:val="24"/>
          <w:szCs w:val="24"/>
        </w:rPr>
        <w:t>,</w:t>
      </w:r>
      <w:r w:rsidR="00B5466A">
        <w:rPr>
          <w:rFonts w:ascii="Times New Roman" w:hAnsi="Times New Roman"/>
          <w:sz w:val="24"/>
          <w:szCs w:val="24"/>
        </w:rPr>
        <w:t xml:space="preserve"> (</w:t>
      </w:r>
      <w:r w:rsidR="009F74C2">
        <w:rPr>
          <w:rFonts w:ascii="Times New Roman" w:hAnsi="Times New Roman"/>
          <w:sz w:val="24"/>
          <w:szCs w:val="24"/>
        </w:rPr>
        <w:t>2</w:t>
      </w:r>
      <w:r w:rsidR="00B5466A">
        <w:rPr>
          <w:rFonts w:ascii="Times New Roman" w:hAnsi="Times New Roman"/>
          <w:sz w:val="24"/>
          <w:szCs w:val="24"/>
        </w:rPr>
        <w:t xml:space="preserve">) </w:t>
      </w:r>
      <w:r w:rsidR="00070E9B">
        <w:rPr>
          <w:rFonts w:ascii="Times New Roman" w:hAnsi="Times New Roman"/>
          <w:sz w:val="24"/>
          <w:szCs w:val="24"/>
        </w:rPr>
        <w:t>break</w:t>
      </w:r>
      <w:r w:rsidR="00BC3D27">
        <w:rPr>
          <w:rFonts w:ascii="Times New Roman" w:hAnsi="Times New Roman"/>
          <w:sz w:val="24"/>
          <w:szCs w:val="24"/>
        </w:rPr>
        <w:t xml:space="preserve"> </w:t>
      </w:r>
      <w:r w:rsidR="00070E9B">
        <w:rPr>
          <w:rFonts w:ascii="Times New Roman" w:hAnsi="Times New Roman"/>
          <w:sz w:val="24"/>
          <w:szCs w:val="24"/>
        </w:rPr>
        <w:t>out</w:t>
      </w:r>
      <w:r w:rsidR="00B5466A">
        <w:rPr>
          <w:rFonts w:ascii="Times New Roman" w:hAnsi="Times New Roman"/>
          <w:sz w:val="24"/>
          <w:szCs w:val="24"/>
        </w:rPr>
        <w:t xml:space="preserve"> other consumer loans into automobile loans and all other consumer loans in </w:t>
      </w:r>
      <w:r w:rsidR="00070E9B">
        <w:rPr>
          <w:rFonts w:ascii="Times New Roman" w:hAnsi="Times New Roman"/>
          <w:sz w:val="24"/>
          <w:szCs w:val="24"/>
        </w:rPr>
        <w:t>several</w:t>
      </w:r>
      <w:r w:rsidR="00B5466A">
        <w:rPr>
          <w:rFonts w:ascii="Times New Roman" w:hAnsi="Times New Roman"/>
          <w:sz w:val="24"/>
          <w:szCs w:val="24"/>
        </w:rPr>
        <w:t xml:space="preserve"> schedule</w:t>
      </w:r>
      <w:r w:rsidR="00070E9B">
        <w:rPr>
          <w:rFonts w:ascii="Times New Roman" w:hAnsi="Times New Roman"/>
          <w:sz w:val="24"/>
          <w:szCs w:val="24"/>
        </w:rPr>
        <w:t>s</w:t>
      </w:r>
      <w:r w:rsidR="00C16B91">
        <w:rPr>
          <w:rFonts w:ascii="Times New Roman" w:hAnsi="Times New Roman"/>
          <w:sz w:val="24"/>
          <w:szCs w:val="24"/>
        </w:rPr>
        <w:t>,</w:t>
      </w:r>
      <w:r w:rsidR="00B5466A">
        <w:rPr>
          <w:rFonts w:ascii="Times New Roman" w:hAnsi="Times New Roman"/>
          <w:sz w:val="24"/>
          <w:szCs w:val="24"/>
        </w:rPr>
        <w:t xml:space="preserve"> (</w:t>
      </w:r>
      <w:r w:rsidR="009F74C2">
        <w:rPr>
          <w:rFonts w:ascii="Times New Roman" w:hAnsi="Times New Roman"/>
          <w:sz w:val="24"/>
          <w:szCs w:val="24"/>
        </w:rPr>
        <w:t>3</w:t>
      </w:r>
      <w:r w:rsidR="00B5466A">
        <w:rPr>
          <w:rFonts w:ascii="Times New Roman" w:hAnsi="Times New Roman"/>
          <w:sz w:val="24"/>
          <w:szCs w:val="24"/>
        </w:rPr>
        <w:t xml:space="preserve">) </w:t>
      </w:r>
      <w:r w:rsidR="00070E9B">
        <w:rPr>
          <w:rFonts w:ascii="Times New Roman" w:hAnsi="Times New Roman"/>
          <w:sz w:val="24"/>
          <w:szCs w:val="24"/>
        </w:rPr>
        <w:t>break</w:t>
      </w:r>
      <w:r w:rsidR="00BC3D27">
        <w:rPr>
          <w:rFonts w:ascii="Times New Roman" w:hAnsi="Times New Roman"/>
          <w:sz w:val="24"/>
          <w:szCs w:val="24"/>
        </w:rPr>
        <w:t xml:space="preserve"> </w:t>
      </w:r>
      <w:r w:rsidR="00070E9B">
        <w:rPr>
          <w:rFonts w:ascii="Times New Roman" w:hAnsi="Times New Roman"/>
          <w:sz w:val="24"/>
          <w:szCs w:val="24"/>
        </w:rPr>
        <w:t>out</w:t>
      </w:r>
      <w:r w:rsidR="00B5466A">
        <w:rPr>
          <w:rFonts w:ascii="Times New Roman" w:hAnsi="Times New Roman"/>
          <w:sz w:val="24"/>
          <w:szCs w:val="24"/>
        </w:rPr>
        <w:t xml:space="preserve"> commercial mortgage-backed securities issued or guaranteed by U.S. Government agencies and sponsored agencies</w:t>
      </w:r>
      <w:r w:rsidR="00C16B91">
        <w:rPr>
          <w:rFonts w:ascii="Times New Roman" w:hAnsi="Times New Roman"/>
          <w:sz w:val="24"/>
          <w:szCs w:val="24"/>
        </w:rPr>
        <w:t>,</w:t>
      </w:r>
      <w:r w:rsidR="00B7080D">
        <w:rPr>
          <w:rFonts w:ascii="Times New Roman" w:hAnsi="Times New Roman"/>
          <w:sz w:val="24"/>
          <w:szCs w:val="24"/>
        </w:rPr>
        <w:t xml:space="preserve"> (</w:t>
      </w:r>
      <w:r w:rsidR="009F74C2">
        <w:rPr>
          <w:rFonts w:ascii="Times New Roman" w:hAnsi="Times New Roman"/>
          <w:sz w:val="24"/>
          <w:szCs w:val="24"/>
        </w:rPr>
        <w:t>4</w:t>
      </w:r>
      <w:r w:rsidR="00B7080D">
        <w:rPr>
          <w:rFonts w:ascii="Times New Roman" w:hAnsi="Times New Roman"/>
          <w:sz w:val="24"/>
          <w:szCs w:val="24"/>
        </w:rPr>
        <w:t xml:space="preserve">) </w:t>
      </w:r>
      <w:r w:rsidR="006B74F0">
        <w:rPr>
          <w:rFonts w:ascii="Times New Roman" w:hAnsi="Times New Roman"/>
          <w:sz w:val="24"/>
          <w:szCs w:val="24"/>
        </w:rPr>
        <w:t xml:space="preserve">create </w:t>
      </w:r>
      <w:r w:rsidR="00B5466A">
        <w:rPr>
          <w:rFonts w:ascii="Times New Roman" w:hAnsi="Times New Roman"/>
          <w:sz w:val="24"/>
          <w:szCs w:val="24"/>
        </w:rPr>
        <w:t>a new Schedule HC-V, Variable Interest Entities, for reporting major categories of assets and liabilities of consolidated variable interest entities (VIEs)</w:t>
      </w:r>
      <w:r w:rsidR="00BC3D27">
        <w:rPr>
          <w:rFonts w:ascii="Times New Roman" w:hAnsi="Times New Roman"/>
          <w:sz w:val="24"/>
          <w:szCs w:val="24"/>
        </w:rPr>
        <w:t>,</w:t>
      </w:r>
      <w:r w:rsidR="00B7080D">
        <w:rPr>
          <w:rFonts w:ascii="Times New Roman" w:hAnsi="Times New Roman"/>
          <w:sz w:val="24"/>
          <w:szCs w:val="24"/>
        </w:rPr>
        <w:t xml:space="preserve"> (</w:t>
      </w:r>
      <w:r w:rsidR="009F74C2">
        <w:rPr>
          <w:rFonts w:ascii="Times New Roman" w:hAnsi="Times New Roman"/>
          <w:sz w:val="24"/>
          <w:szCs w:val="24"/>
        </w:rPr>
        <w:t>5</w:t>
      </w:r>
      <w:r w:rsidR="00B7080D">
        <w:rPr>
          <w:rFonts w:ascii="Times New Roman" w:hAnsi="Times New Roman"/>
          <w:sz w:val="24"/>
          <w:szCs w:val="24"/>
        </w:rPr>
        <w:t>) break</w:t>
      </w:r>
      <w:r w:rsidR="00BC3D27">
        <w:rPr>
          <w:rFonts w:ascii="Times New Roman" w:hAnsi="Times New Roman"/>
          <w:sz w:val="24"/>
          <w:szCs w:val="24"/>
        </w:rPr>
        <w:t xml:space="preserve"> </w:t>
      </w:r>
      <w:r w:rsidR="006B74F0">
        <w:rPr>
          <w:rFonts w:ascii="Times New Roman" w:hAnsi="Times New Roman"/>
          <w:sz w:val="24"/>
          <w:szCs w:val="24"/>
        </w:rPr>
        <w:t xml:space="preserve">out </w:t>
      </w:r>
      <w:r w:rsidR="00B7080D">
        <w:rPr>
          <w:rFonts w:ascii="Times New Roman" w:hAnsi="Times New Roman"/>
          <w:sz w:val="24"/>
          <w:szCs w:val="24"/>
        </w:rPr>
        <w:t xml:space="preserve">loans and other real estate owned (OREO) </w:t>
      </w:r>
      <w:r w:rsidR="000D744B">
        <w:rPr>
          <w:rFonts w:ascii="Times New Roman" w:hAnsi="Times New Roman"/>
          <w:sz w:val="24"/>
          <w:szCs w:val="24"/>
        </w:rPr>
        <w:t xml:space="preserve">information </w:t>
      </w:r>
      <w:r w:rsidR="00B7080D">
        <w:rPr>
          <w:rFonts w:ascii="Times New Roman" w:hAnsi="Times New Roman"/>
          <w:sz w:val="24"/>
          <w:szCs w:val="24"/>
        </w:rPr>
        <w:t>covered by FDIC loss-sharing agreements</w:t>
      </w:r>
      <w:r w:rsidR="000D744B">
        <w:rPr>
          <w:rFonts w:ascii="Times New Roman" w:hAnsi="Times New Roman"/>
          <w:sz w:val="24"/>
          <w:szCs w:val="24"/>
        </w:rPr>
        <w:t xml:space="preserve"> </w:t>
      </w:r>
      <w:r w:rsidR="00B7080D">
        <w:rPr>
          <w:rFonts w:ascii="Times New Roman" w:hAnsi="Times New Roman"/>
          <w:sz w:val="24"/>
          <w:szCs w:val="24"/>
        </w:rPr>
        <w:t>by loan and OREO category</w:t>
      </w:r>
      <w:r w:rsidR="00C16B91">
        <w:rPr>
          <w:rFonts w:ascii="Times New Roman" w:hAnsi="Times New Roman"/>
          <w:sz w:val="24"/>
          <w:szCs w:val="24"/>
        </w:rPr>
        <w:t>,</w:t>
      </w:r>
      <w:r w:rsidR="00B7080D">
        <w:rPr>
          <w:rFonts w:ascii="Times New Roman" w:hAnsi="Times New Roman"/>
          <w:sz w:val="24"/>
          <w:szCs w:val="24"/>
        </w:rPr>
        <w:t xml:space="preserve"> (</w:t>
      </w:r>
      <w:r w:rsidR="009F74C2">
        <w:rPr>
          <w:rFonts w:ascii="Times New Roman" w:hAnsi="Times New Roman"/>
          <w:sz w:val="24"/>
          <w:szCs w:val="24"/>
        </w:rPr>
        <w:t>6</w:t>
      </w:r>
      <w:r w:rsidR="00B7080D">
        <w:rPr>
          <w:rFonts w:ascii="Times New Roman" w:hAnsi="Times New Roman"/>
          <w:sz w:val="24"/>
          <w:szCs w:val="24"/>
        </w:rPr>
        <w:t>) break</w:t>
      </w:r>
      <w:r w:rsidR="00BC3D27">
        <w:rPr>
          <w:rFonts w:ascii="Times New Roman" w:hAnsi="Times New Roman"/>
          <w:sz w:val="24"/>
          <w:szCs w:val="24"/>
        </w:rPr>
        <w:t xml:space="preserve"> </w:t>
      </w:r>
      <w:r w:rsidR="006B74F0">
        <w:rPr>
          <w:rFonts w:ascii="Times New Roman" w:hAnsi="Times New Roman"/>
          <w:sz w:val="24"/>
          <w:szCs w:val="24"/>
        </w:rPr>
        <w:t>ou</w:t>
      </w:r>
      <w:r w:rsidR="00997040">
        <w:rPr>
          <w:rFonts w:ascii="Times New Roman" w:hAnsi="Times New Roman"/>
          <w:sz w:val="24"/>
          <w:szCs w:val="24"/>
        </w:rPr>
        <w:t>t</w:t>
      </w:r>
      <w:r w:rsidR="006B74F0">
        <w:rPr>
          <w:rFonts w:ascii="Times New Roman" w:hAnsi="Times New Roman"/>
          <w:sz w:val="24"/>
          <w:szCs w:val="24"/>
        </w:rPr>
        <w:t xml:space="preserve"> l</w:t>
      </w:r>
      <w:r w:rsidR="00B7080D">
        <w:rPr>
          <w:rFonts w:ascii="Times New Roman" w:hAnsi="Times New Roman"/>
          <w:sz w:val="24"/>
          <w:szCs w:val="24"/>
        </w:rPr>
        <w:t xml:space="preserve">ife insurance assets into </w:t>
      </w:r>
      <w:r w:rsidR="006B74F0">
        <w:rPr>
          <w:rFonts w:ascii="Times New Roman" w:hAnsi="Times New Roman"/>
          <w:sz w:val="24"/>
          <w:szCs w:val="24"/>
        </w:rPr>
        <w:t xml:space="preserve">data </w:t>
      </w:r>
      <w:r w:rsidR="00B7080D">
        <w:rPr>
          <w:rFonts w:ascii="Times New Roman" w:hAnsi="Times New Roman"/>
          <w:sz w:val="24"/>
          <w:szCs w:val="24"/>
        </w:rPr>
        <w:t>items for general account</w:t>
      </w:r>
      <w:r w:rsidR="00946650">
        <w:rPr>
          <w:rFonts w:ascii="Times New Roman" w:hAnsi="Times New Roman"/>
          <w:sz w:val="24"/>
          <w:szCs w:val="24"/>
        </w:rPr>
        <w:t>,</w:t>
      </w:r>
      <w:r w:rsidR="00B7080D">
        <w:rPr>
          <w:rFonts w:ascii="Times New Roman" w:hAnsi="Times New Roman"/>
          <w:sz w:val="24"/>
          <w:szCs w:val="24"/>
        </w:rPr>
        <w:t xml:space="preserve"> separate account</w:t>
      </w:r>
      <w:r w:rsidR="00C16B91">
        <w:rPr>
          <w:rFonts w:ascii="Times New Roman" w:hAnsi="Times New Roman"/>
          <w:sz w:val="24"/>
          <w:szCs w:val="24"/>
        </w:rPr>
        <w:t>,</w:t>
      </w:r>
      <w:r w:rsidR="00B7080D">
        <w:rPr>
          <w:rFonts w:ascii="Times New Roman" w:hAnsi="Times New Roman"/>
          <w:sz w:val="24"/>
          <w:szCs w:val="24"/>
        </w:rPr>
        <w:t xml:space="preserve"> </w:t>
      </w:r>
      <w:r w:rsidR="00946650">
        <w:rPr>
          <w:rFonts w:ascii="Times New Roman" w:hAnsi="Times New Roman"/>
          <w:sz w:val="24"/>
          <w:szCs w:val="24"/>
        </w:rPr>
        <w:t xml:space="preserve">and hybrid account life insurance assets </w:t>
      </w:r>
      <w:r w:rsidR="00B7080D">
        <w:rPr>
          <w:rFonts w:ascii="Times New Roman" w:hAnsi="Times New Roman"/>
          <w:sz w:val="24"/>
          <w:szCs w:val="24"/>
        </w:rPr>
        <w:t>(</w:t>
      </w:r>
      <w:r w:rsidR="009F74C2">
        <w:rPr>
          <w:rFonts w:ascii="Times New Roman" w:hAnsi="Times New Roman"/>
          <w:sz w:val="24"/>
          <w:szCs w:val="24"/>
        </w:rPr>
        <w:t>7</w:t>
      </w:r>
      <w:r w:rsidR="00B7080D">
        <w:rPr>
          <w:rFonts w:ascii="Times New Roman" w:hAnsi="Times New Roman"/>
          <w:sz w:val="24"/>
          <w:szCs w:val="24"/>
        </w:rPr>
        <w:t xml:space="preserve">) </w:t>
      </w:r>
      <w:r w:rsidR="0066595D">
        <w:rPr>
          <w:rFonts w:ascii="Times New Roman" w:hAnsi="Times New Roman"/>
          <w:sz w:val="24"/>
          <w:szCs w:val="24"/>
        </w:rPr>
        <w:t xml:space="preserve">add </w:t>
      </w:r>
      <w:r w:rsidR="00B7080D">
        <w:rPr>
          <w:rFonts w:ascii="Times New Roman" w:hAnsi="Times New Roman"/>
          <w:sz w:val="24"/>
          <w:szCs w:val="24"/>
        </w:rPr>
        <w:t xml:space="preserve">new </w:t>
      </w:r>
      <w:r w:rsidR="0075525A">
        <w:rPr>
          <w:rFonts w:ascii="Times New Roman" w:hAnsi="Times New Roman"/>
          <w:sz w:val="24"/>
          <w:szCs w:val="24"/>
        </w:rPr>
        <w:t xml:space="preserve">data </w:t>
      </w:r>
      <w:r w:rsidR="00B7080D">
        <w:rPr>
          <w:rFonts w:ascii="Times New Roman" w:hAnsi="Times New Roman"/>
          <w:sz w:val="24"/>
          <w:szCs w:val="24"/>
        </w:rPr>
        <w:t>items for the total assets of captive insurance and reinsurance subsidiaries</w:t>
      </w:r>
      <w:r w:rsidR="00C16B91">
        <w:rPr>
          <w:rFonts w:ascii="Times New Roman" w:hAnsi="Times New Roman"/>
          <w:sz w:val="24"/>
          <w:szCs w:val="24"/>
        </w:rPr>
        <w:t>,</w:t>
      </w:r>
      <w:r w:rsidR="00B7080D">
        <w:rPr>
          <w:rFonts w:ascii="Times New Roman" w:hAnsi="Times New Roman"/>
          <w:sz w:val="24"/>
          <w:szCs w:val="24"/>
        </w:rPr>
        <w:t xml:space="preserve"> (</w:t>
      </w:r>
      <w:r w:rsidR="009F74C2">
        <w:rPr>
          <w:rFonts w:ascii="Times New Roman" w:hAnsi="Times New Roman"/>
          <w:sz w:val="24"/>
          <w:szCs w:val="24"/>
        </w:rPr>
        <w:t>8</w:t>
      </w:r>
      <w:r w:rsidR="00B7080D">
        <w:rPr>
          <w:rFonts w:ascii="Times New Roman" w:hAnsi="Times New Roman"/>
          <w:sz w:val="24"/>
          <w:szCs w:val="24"/>
        </w:rPr>
        <w:t xml:space="preserve">) </w:t>
      </w:r>
      <w:r w:rsidR="0066595D">
        <w:rPr>
          <w:rFonts w:ascii="Times New Roman" w:hAnsi="Times New Roman"/>
          <w:sz w:val="24"/>
          <w:szCs w:val="24"/>
        </w:rPr>
        <w:t xml:space="preserve">add </w:t>
      </w:r>
      <w:r w:rsidR="00B7080D">
        <w:rPr>
          <w:rFonts w:ascii="Times New Roman" w:hAnsi="Times New Roman"/>
          <w:sz w:val="24"/>
          <w:szCs w:val="24"/>
        </w:rPr>
        <w:t xml:space="preserve">new income statement items for credit valuation adjustments and debit valuation adjustments included in trading revenues </w:t>
      </w:r>
      <w:r w:rsidR="00F63BC7">
        <w:rPr>
          <w:rFonts w:ascii="Times New Roman" w:hAnsi="Times New Roman"/>
          <w:sz w:val="24"/>
          <w:szCs w:val="24"/>
        </w:rPr>
        <w:t>(</w:t>
      </w:r>
      <w:r w:rsidR="00B7080D">
        <w:rPr>
          <w:rFonts w:ascii="Times New Roman" w:hAnsi="Times New Roman"/>
          <w:sz w:val="24"/>
          <w:szCs w:val="24"/>
        </w:rPr>
        <w:t>for BHCs with total assets of $100 billion or more</w:t>
      </w:r>
      <w:r w:rsidR="00F63BC7">
        <w:rPr>
          <w:rFonts w:ascii="Times New Roman" w:hAnsi="Times New Roman"/>
          <w:sz w:val="24"/>
          <w:szCs w:val="24"/>
        </w:rPr>
        <w:t>)</w:t>
      </w:r>
      <w:r w:rsidR="00C16B91">
        <w:rPr>
          <w:rFonts w:ascii="Times New Roman" w:hAnsi="Times New Roman"/>
          <w:sz w:val="24"/>
          <w:szCs w:val="24"/>
        </w:rPr>
        <w:t>,</w:t>
      </w:r>
      <w:r w:rsidR="00B7080D">
        <w:rPr>
          <w:rFonts w:ascii="Times New Roman" w:hAnsi="Times New Roman"/>
          <w:sz w:val="24"/>
          <w:szCs w:val="24"/>
        </w:rPr>
        <w:t xml:space="preserve"> </w:t>
      </w:r>
      <w:r w:rsidR="00BA7A09">
        <w:rPr>
          <w:rFonts w:ascii="Times New Roman" w:hAnsi="Times New Roman"/>
          <w:sz w:val="24"/>
          <w:szCs w:val="24"/>
        </w:rPr>
        <w:t>(</w:t>
      </w:r>
      <w:r w:rsidR="009F74C2">
        <w:rPr>
          <w:rFonts w:ascii="Times New Roman" w:hAnsi="Times New Roman"/>
          <w:sz w:val="24"/>
          <w:szCs w:val="24"/>
        </w:rPr>
        <w:t>9</w:t>
      </w:r>
      <w:r w:rsidR="00BA7A09">
        <w:rPr>
          <w:rFonts w:ascii="Times New Roman" w:hAnsi="Times New Roman"/>
          <w:sz w:val="24"/>
          <w:szCs w:val="24"/>
        </w:rPr>
        <w:t>)</w:t>
      </w:r>
      <w:r w:rsidR="00F63BC7">
        <w:rPr>
          <w:rFonts w:ascii="Times New Roman" w:hAnsi="Times New Roman"/>
          <w:sz w:val="24"/>
          <w:szCs w:val="24"/>
        </w:rPr>
        <w:t xml:space="preserve"> revise reporting instructions in the areas of construction lending</w:t>
      </w:r>
      <w:r w:rsidR="0066271C">
        <w:rPr>
          <w:rFonts w:ascii="Times New Roman" w:hAnsi="Times New Roman"/>
          <w:sz w:val="24"/>
          <w:szCs w:val="24"/>
        </w:rPr>
        <w:t xml:space="preserve"> and</w:t>
      </w:r>
      <w:r w:rsidR="00F63BC7">
        <w:rPr>
          <w:rFonts w:ascii="Times New Roman" w:hAnsi="Times New Roman"/>
          <w:sz w:val="24"/>
          <w:szCs w:val="24"/>
        </w:rPr>
        <w:t xml:space="preserve"> 1-4 family residential mortgage banking activities</w:t>
      </w:r>
      <w:r w:rsidR="00946650">
        <w:rPr>
          <w:rFonts w:ascii="Times New Roman" w:hAnsi="Times New Roman"/>
          <w:sz w:val="24"/>
          <w:szCs w:val="24"/>
        </w:rPr>
        <w:t xml:space="preserve">, </w:t>
      </w:r>
      <w:r w:rsidR="00F63BC7">
        <w:rPr>
          <w:rFonts w:ascii="Times New Roman" w:hAnsi="Times New Roman"/>
          <w:sz w:val="24"/>
          <w:szCs w:val="24"/>
        </w:rPr>
        <w:t>and</w:t>
      </w:r>
      <w:r w:rsidR="00BA7A09">
        <w:rPr>
          <w:rFonts w:ascii="Times New Roman" w:hAnsi="Times New Roman"/>
          <w:sz w:val="24"/>
          <w:szCs w:val="24"/>
        </w:rPr>
        <w:t xml:space="preserve"> (1</w:t>
      </w:r>
      <w:r w:rsidR="009F74C2">
        <w:rPr>
          <w:rFonts w:ascii="Times New Roman" w:hAnsi="Times New Roman"/>
          <w:sz w:val="24"/>
          <w:szCs w:val="24"/>
        </w:rPr>
        <w:t>0</w:t>
      </w:r>
      <w:r w:rsidR="00BA7A09">
        <w:rPr>
          <w:rFonts w:ascii="Times New Roman" w:hAnsi="Times New Roman"/>
          <w:sz w:val="24"/>
          <w:szCs w:val="24"/>
        </w:rPr>
        <w:t>)</w:t>
      </w:r>
      <w:r w:rsidR="00F63BC7">
        <w:rPr>
          <w:rFonts w:ascii="Times New Roman" w:hAnsi="Times New Roman"/>
          <w:sz w:val="24"/>
          <w:szCs w:val="24"/>
        </w:rPr>
        <w:t xml:space="preserve"> collect expanded information on the quarterly-averages schedule.</w:t>
      </w:r>
      <w:r w:rsidR="00BA7A09">
        <w:rPr>
          <w:rFonts w:ascii="Times New Roman" w:hAnsi="Times New Roman"/>
          <w:sz w:val="24"/>
          <w:szCs w:val="24"/>
        </w:rPr>
        <w:t xml:space="preserve"> </w:t>
      </w:r>
    </w:p>
    <w:p w:rsidR="00F07DD5" w:rsidRDefault="00F07DD5" w:rsidP="00414813">
      <w:pPr>
        <w:widowControl/>
        <w:rPr>
          <w:rFonts w:ascii="Times New Roman" w:hAnsi="Times New Roman"/>
        </w:rPr>
      </w:pPr>
    </w:p>
    <w:p w:rsidR="00C46C78" w:rsidRDefault="00C46C78" w:rsidP="00414813">
      <w:pPr>
        <w:widowControl/>
        <w:rPr>
          <w:rFonts w:ascii="Times New Roman" w:hAnsi="Times New Roman"/>
        </w:rPr>
      </w:pPr>
      <w:r>
        <w:rPr>
          <w:rFonts w:ascii="Times New Roman" w:hAnsi="Times New Roman"/>
        </w:rPr>
        <w:lastRenderedPageBreak/>
        <w:tab/>
      </w:r>
      <w:r w:rsidR="00384360">
        <w:rPr>
          <w:rFonts w:ascii="Times New Roman" w:hAnsi="Times New Roman"/>
        </w:rPr>
        <w:t>The Federal Reserve</w:t>
      </w:r>
      <w:r>
        <w:rPr>
          <w:rFonts w:ascii="Times New Roman" w:hAnsi="Times New Roman"/>
        </w:rPr>
        <w:t xml:space="preserve"> also proposes to revise the FR Y-9LP effective for March 31, 2011, to modify </w:t>
      </w:r>
      <w:r w:rsidR="001F19F8">
        <w:rPr>
          <w:rFonts w:ascii="Times New Roman" w:hAnsi="Times New Roman"/>
        </w:rPr>
        <w:t>a data item collecting l</w:t>
      </w:r>
      <w:r w:rsidR="001F19F8" w:rsidRPr="001F19F8">
        <w:rPr>
          <w:rFonts w:ascii="Times New Roman" w:hAnsi="Times New Roman"/>
        </w:rPr>
        <w:t>oans and leases of the parent restructured in compliance with modified terms</w:t>
      </w:r>
      <w:r w:rsidR="001F19F8">
        <w:rPr>
          <w:rFonts w:ascii="Times New Roman" w:hAnsi="Times New Roman"/>
        </w:rPr>
        <w:t>.  This</w:t>
      </w:r>
      <w:r w:rsidR="0066595D">
        <w:rPr>
          <w:rFonts w:ascii="Times New Roman" w:hAnsi="Times New Roman"/>
        </w:rPr>
        <w:t xml:space="preserve"> data</w:t>
      </w:r>
      <w:r w:rsidR="001F19F8">
        <w:rPr>
          <w:rFonts w:ascii="Times New Roman" w:hAnsi="Times New Roman"/>
        </w:rPr>
        <w:t xml:space="preserve"> item would be redefined to exclude leases and to explicitly refer to restructured loans in this </w:t>
      </w:r>
      <w:r w:rsidR="00B17446">
        <w:rPr>
          <w:rFonts w:ascii="Times New Roman" w:hAnsi="Times New Roman"/>
        </w:rPr>
        <w:t xml:space="preserve">data </w:t>
      </w:r>
      <w:r w:rsidR="001F19F8">
        <w:rPr>
          <w:rFonts w:ascii="Times New Roman" w:hAnsi="Times New Roman"/>
        </w:rPr>
        <w:t>item as troubled debt restructurings.</w:t>
      </w:r>
    </w:p>
    <w:p w:rsidR="00A60D97" w:rsidRDefault="00A60D97">
      <w:pPr>
        <w:widowControl/>
        <w:ind w:firstLine="720"/>
        <w:rPr>
          <w:rFonts w:ascii="Times New Roman" w:hAnsi="Times New Roman"/>
        </w:rPr>
      </w:pPr>
    </w:p>
    <w:p w:rsidR="00061552" w:rsidRDefault="00775A2A">
      <w:pPr>
        <w:widowControl/>
        <w:ind w:firstLine="720"/>
        <w:rPr>
          <w:rFonts w:ascii="Times New Roman" w:hAnsi="Times New Roman"/>
        </w:rPr>
      </w:pPr>
      <w:r>
        <w:rPr>
          <w:rFonts w:ascii="Times New Roman" w:hAnsi="Times New Roman"/>
        </w:rPr>
        <w:t xml:space="preserve"> </w:t>
      </w:r>
      <w:r w:rsidR="00FE29CC">
        <w:rPr>
          <w:rFonts w:ascii="Times New Roman" w:hAnsi="Times New Roman"/>
        </w:rPr>
        <w:t xml:space="preserve">A copy </w:t>
      </w:r>
      <w:r w:rsidR="00061552">
        <w:rPr>
          <w:rFonts w:ascii="Times New Roman" w:hAnsi="Times New Roman"/>
        </w:rPr>
        <w:t xml:space="preserve">of </w:t>
      </w:r>
      <w:r w:rsidR="00A277AF">
        <w:rPr>
          <w:rFonts w:ascii="Times New Roman" w:hAnsi="Times New Roman"/>
        </w:rPr>
        <w:t xml:space="preserve">selected pages of </w:t>
      </w:r>
      <w:r w:rsidR="00625167">
        <w:rPr>
          <w:rFonts w:ascii="Times New Roman" w:hAnsi="Times New Roman"/>
        </w:rPr>
        <w:t>the proposed reporting form</w:t>
      </w:r>
      <w:r w:rsidR="00061552">
        <w:rPr>
          <w:rFonts w:ascii="Times New Roman" w:hAnsi="Times New Roman"/>
        </w:rPr>
        <w:t xml:space="preserve">, marked to show the revisions, </w:t>
      </w:r>
      <w:r w:rsidR="00FE29CC">
        <w:rPr>
          <w:rFonts w:ascii="Times New Roman" w:hAnsi="Times New Roman"/>
        </w:rPr>
        <w:t xml:space="preserve">is </w:t>
      </w:r>
      <w:r w:rsidR="00C36328">
        <w:rPr>
          <w:rFonts w:ascii="Times New Roman" w:hAnsi="Times New Roman"/>
        </w:rPr>
        <w:t xml:space="preserve">provided in </w:t>
      </w:r>
      <w:r w:rsidR="00316214">
        <w:rPr>
          <w:rFonts w:ascii="Times New Roman" w:hAnsi="Times New Roman"/>
        </w:rPr>
        <w:t xml:space="preserve">the </w:t>
      </w:r>
      <w:r w:rsidR="00855A6F">
        <w:rPr>
          <w:rFonts w:ascii="Times New Roman" w:hAnsi="Times New Roman"/>
        </w:rPr>
        <w:t>a</w:t>
      </w:r>
      <w:r w:rsidR="00061552">
        <w:rPr>
          <w:rFonts w:ascii="Times New Roman" w:hAnsi="Times New Roman"/>
        </w:rPr>
        <w:t>ttachment.  The total current annual burden for the FR Y-9 family o</w:t>
      </w:r>
      <w:r w:rsidR="005D3E31">
        <w:rPr>
          <w:rFonts w:ascii="Times New Roman" w:hAnsi="Times New Roman"/>
        </w:rPr>
        <w:t>f reports is esti</w:t>
      </w:r>
      <w:r w:rsidR="00116269">
        <w:rPr>
          <w:rFonts w:ascii="Times New Roman" w:hAnsi="Times New Roman"/>
        </w:rPr>
        <w:t xml:space="preserve">mated to be </w:t>
      </w:r>
      <w:r w:rsidR="00BF677E">
        <w:rPr>
          <w:rFonts w:ascii="Times New Roman" w:hAnsi="Times New Roman"/>
          <w:szCs w:val="24"/>
        </w:rPr>
        <w:t>250,129</w:t>
      </w:r>
      <w:r w:rsidR="00061552">
        <w:rPr>
          <w:rFonts w:ascii="Times New Roman" w:hAnsi="Times New Roman"/>
        </w:rPr>
        <w:t xml:space="preserve"> hours</w:t>
      </w:r>
      <w:r w:rsidR="001510D5">
        <w:rPr>
          <w:rFonts w:ascii="Times New Roman" w:hAnsi="Times New Roman"/>
        </w:rPr>
        <w:t xml:space="preserve"> and </w:t>
      </w:r>
      <w:r w:rsidR="000126EA">
        <w:rPr>
          <w:rFonts w:ascii="Times New Roman" w:hAnsi="Times New Roman"/>
        </w:rPr>
        <w:t xml:space="preserve">is estimated to </w:t>
      </w:r>
      <w:r w:rsidR="00895983">
        <w:rPr>
          <w:rFonts w:ascii="Times New Roman" w:hAnsi="Times New Roman"/>
        </w:rPr>
        <w:t>increase</w:t>
      </w:r>
      <w:r w:rsidR="000126EA">
        <w:rPr>
          <w:rFonts w:ascii="Times New Roman" w:hAnsi="Times New Roman"/>
        </w:rPr>
        <w:t xml:space="preserve"> by </w:t>
      </w:r>
      <w:r w:rsidR="006D237C">
        <w:rPr>
          <w:rFonts w:ascii="Times New Roman" w:hAnsi="Times New Roman"/>
        </w:rPr>
        <w:t>1</w:t>
      </w:r>
      <w:r w:rsidR="0066271C">
        <w:rPr>
          <w:rFonts w:ascii="Times New Roman" w:hAnsi="Times New Roman"/>
        </w:rPr>
        <w:t>1</w:t>
      </w:r>
      <w:r w:rsidR="006D237C">
        <w:rPr>
          <w:rFonts w:ascii="Times New Roman" w:hAnsi="Times New Roman"/>
        </w:rPr>
        <w:t>,</w:t>
      </w:r>
      <w:r w:rsidR="0066271C">
        <w:rPr>
          <w:rFonts w:ascii="Times New Roman" w:hAnsi="Times New Roman"/>
        </w:rPr>
        <w:t>539</w:t>
      </w:r>
      <w:r w:rsidR="00F27A05">
        <w:rPr>
          <w:rFonts w:ascii="Times New Roman" w:hAnsi="Times New Roman"/>
        </w:rPr>
        <w:t xml:space="preserve"> </w:t>
      </w:r>
      <w:r>
        <w:rPr>
          <w:rFonts w:ascii="Times New Roman" w:hAnsi="Times New Roman"/>
        </w:rPr>
        <w:t xml:space="preserve">hours </w:t>
      </w:r>
      <w:r w:rsidR="001510D5">
        <w:rPr>
          <w:rFonts w:ascii="Times New Roman" w:hAnsi="Times New Roman"/>
        </w:rPr>
        <w:t xml:space="preserve">for a proposed annual burden of </w:t>
      </w:r>
      <w:r w:rsidR="00153C3D">
        <w:rPr>
          <w:rFonts w:ascii="Times New Roman" w:hAnsi="Times New Roman"/>
        </w:rPr>
        <w:t xml:space="preserve">to </w:t>
      </w:r>
      <w:r w:rsidR="00153C3D">
        <w:rPr>
          <w:rFonts w:ascii="Times New Roman" w:hAnsi="Times New Roman"/>
          <w:szCs w:val="24"/>
        </w:rPr>
        <w:t xml:space="preserve">261,668 </w:t>
      </w:r>
      <w:r w:rsidR="001510D5">
        <w:rPr>
          <w:rFonts w:ascii="Times New Roman" w:hAnsi="Times New Roman"/>
        </w:rPr>
        <w:t>hours</w:t>
      </w:r>
      <w:r w:rsidR="00061552">
        <w:rPr>
          <w:rFonts w:ascii="Times New Roman" w:hAnsi="Times New Roman"/>
        </w:rPr>
        <w:t>.</w:t>
      </w:r>
      <w:r w:rsidR="00A10B21">
        <w:rPr>
          <w:rFonts w:ascii="Times New Roman" w:hAnsi="Times New Roman"/>
        </w:rPr>
        <w:t xml:space="preserve">  </w:t>
      </w:r>
    </w:p>
    <w:p w:rsidR="00061552" w:rsidRDefault="00061552">
      <w:pPr>
        <w:widowControl/>
        <w:rPr>
          <w:rFonts w:ascii="Times New Roman" w:hAnsi="Times New Roman"/>
        </w:rPr>
      </w:pPr>
    </w:p>
    <w:p w:rsidR="00061552" w:rsidRDefault="00061552">
      <w:pPr>
        <w:widowControl/>
        <w:rPr>
          <w:rFonts w:ascii="Times New Roman" w:hAnsi="Times New Roman"/>
          <w:b/>
        </w:rPr>
      </w:pPr>
      <w:r>
        <w:rPr>
          <w:rFonts w:ascii="Times New Roman" w:hAnsi="Times New Roman"/>
          <w:b/>
        </w:rPr>
        <w:t>Background and Justification</w:t>
      </w:r>
    </w:p>
    <w:p w:rsidR="00061552" w:rsidRDefault="00061552">
      <w:pPr>
        <w:pStyle w:val="FootnoteText"/>
        <w:widowControl/>
        <w:rPr>
          <w:rFonts w:ascii="Times New Roman" w:hAnsi="Times New Roman"/>
        </w:rPr>
      </w:pPr>
    </w:p>
    <w:p w:rsidR="005E6E43" w:rsidRDefault="000D7314" w:rsidP="00490C33">
      <w:pPr>
        <w:widowControl/>
        <w:ind w:firstLine="720"/>
        <w:rPr>
          <w:rFonts w:ascii="Times New Roman" w:hAnsi="Times New Roman"/>
        </w:rPr>
      </w:pPr>
      <w:r>
        <w:rPr>
          <w:rFonts w:ascii="Times New Roman" w:hAnsi="Times New Roman"/>
        </w:rPr>
        <w:t>The FR Y-9C, FR Y-9LP, and FR Y</w:t>
      </w:r>
      <w:r>
        <w:rPr>
          <w:rFonts w:ascii="Times New Roman" w:hAnsi="Times New Roman"/>
        </w:rPr>
        <w:noBreakHyphen/>
        <w:t xml:space="preserve">9SP </w:t>
      </w:r>
      <w:r w:rsidR="00061552">
        <w:rPr>
          <w:rFonts w:ascii="Times New Roman" w:hAnsi="Times New Roman"/>
        </w:rPr>
        <w:t xml:space="preserve">are standardized financial statements for the consolidated BHC and its parent.  The FR Y-9ES is </w:t>
      </w:r>
      <w:r w:rsidR="000B161D">
        <w:rPr>
          <w:rFonts w:ascii="Times New Roman" w:hAnsi="Times New Roman"/>
        </w:rPr>
        <w:t xml:space="preserve">a financial statement </w:t>
      </w:r>
      <w:r w:rsidR="00C65915">
        <w:rPr>
          <w:rFonts w:ascii="Times New Roman" w:hAnsi="Times New Roman"/>
        </w:rPr>
        <w:t>for</w:t>
      </w:r>
      <w:r w:rsidR="00061552">
        <w:rPr>
          <w:rFonts w:ascii="Times New Roman" w:hAnsi="Times New Roman"/>
        </w:rPr>
        <w:t xml:space="preserve"> BHCs that are Employee Stock Ownership Plans (ESOPs).  The </w:t>
      </w:r>
      <w:r w:rsidR="00727D89">
        <w:rPr>
          <w:rFonts w:ascii="Times New Roman" w:hAnsi="Times New Roman"/>
        </w:rPr>
        <w:t xml:space="preserve">Federal Reserve </w:t>
      </w:r>
      <w:r w:rsidR="00061552">
        <w:rPr>
          <w:rFonts w:ascii="Times New Roman" w:hAnsi="Times New Roman"/>
        </w:rPr>
        <w:t>Board also has the authority to use the FR</w:t>
      </w:r>
      <w:r w:rsidR="004717D1">
        <w:rPr>
          <w:rFonts w:ascii="Times New Roman" w:hAnsi="Times New Roman"/>
        </w:rPr>
        <w:t> </w:t>
      </w:r>
      <w:r w:rsidR="00061552">
        <w:rPr>
          <w:rFonts w:ascii="Times New Roman" w:hAnsi="Times New Roman"/>
        </w:rPr>
        <w:t>Y-9CS, a free form supplement, to collect any additional information deemed to be critical and needed in an expedited manner.  The FR Y</w:t>
      </w:r>
      <w:r w:rsidR="00061552">
        <w:rPr>
          <w:rFonts w:ascii="Times New Roman" w:hAnsi="Times New Roman"/>
        </w:rPr>
        <w:noBreakHyphen/>
        <w:t xml:space="preserve">9 </w:t>
      </w:r>
      <w:r w:rsidR="00444888">
        <w:rPr>
          <w:rFonts w:ascii="Times New Roman" w:hAnsi="Times New Roman"/>
        </w:rPr>
        <w:t xml:space="preserve">family of </w:t>
      </w:r>
      <w:r w:rsidR="00061552">
        <w:rPr>
          <w:rFonts w:ascii="Times New Roman" w:hAnsi="Times New Roman"/>
        </w:rPr>
        <w:t xml:space="preserve">reports historically </w:t>
      </w:r>
      <w:r w:rsidR="00444888">
        <w:rPr>
          <w:rFonts w:ascii="Times New Roman" w:hAnsi="Times New Roman"/>
        </w:rPr>
        <w:t xml:space="preserve">has </w:t>
      </w:r>
      <w:r w:rsidR="00061552">
        <w:rPr>
          <w:rFonts w:ascii="Times New Roman" w:hAnsi="Times New Roman"/>
        </w:rPr>
        <w:t>been, and continue</w:t>
      </w:r>
      <w:r w:rsidR="00444888">
        <w:rPr>
          <w:rFonts w:ascii="Times New Roman" w:hAnsi="Times New Roman"/>
        </w:rPr>
        <w:t>s</w:t>
      </w:r>
      <w:r w:rsidR="00061552">
        <w:rPr>
          <w:rFonts w:ascii="Times New Roman" w:hAnsi="Times New Roman"/>
        </w:rPr>
        <w:t xml:space="preserve"> to be, the primary source of financial information on BHCs between on-site inspections. Financial information from these reports is used to detect emerging financial problems, to review performance and conduct pre-inspection analysis, to monitor and evaluate capital adequacy, to evaluate BHC mergers and acquisitions, and to analyze a BHC's overall financial condition to ensure safe and sound operations. </w:t>
      </w:r>
    </w:p>
    <w:p w:rsidR="00953E90" w:rsidRDefault="00953E90" w:rsidP="00CC67B2">
      <w:pPr>
        <w:widowControl/>
        <w:rPr>
          <w:rFonts w:ascii="Times New Roman" w:hAnsi="Times New Roman"/>
        </w:rPr>
      </w:pPr>
    </w:p>
    <w:p w:rsidR="00061552" w:rsidRDefault="00061552">
      <w:pPr>
        <w:widowControl/>
        <w:rPr>
          <w:rFonts w:ascii="Times New Roman" w:hAnsi="Times New Roman"/>
          <w:b/>
        </w:rPr>
      </w:pPr>
      <w:r>
        <w:rPr>
          <w:rFonts w:ascii="Times New Roman" w:hAnsi="Times New Roman"/>
          <w:b/>
        </w:rPr>
        <w:t>Description of the Information Collection</w:t>
      </w:r>
    </w:p>
    <w:p w:rsidR="00061552" w:rsidRDefault="00061552">
      <w:pPr>
        <w:widowControl/>
        <w:rPr>
          <w:rFonts w:ascii="Times New Roman" w:hAnsi="Times New Roman"/>
          <w:b/>
        </w:rPr>
      </w:pPr>
    </w:p>
    <w:p w:rsidR="00C6425D" w:rsidRDefault="00C6425D" w:rsidP="00C6425D">
      <w:pPr>
        <w:widowControl/>
        <w:ind w:firstLine="720"/>
        <w:rPr>
          <w:rFonts w:ascii="Times New Roman" w:hAnsi="Times New Roman"/>
        </w:rPr>
      </w:pPr>
      <w:r>
        <w:rPr>
          <w:rFonts w:ascii="Times New Roman" w:hAnsi="Times New Roman"/>
          <w:b/>
        </w:rPr>
        <w:t>FR Y-9C</w:t>
      </w:r>
    </w:p>
    <w:p w:rsidR="00C6425D" w:rsidRDefault="00C6425D" w:rsidP="00C6425D">
      <w:pPr>
        <w:widowControl/>
        <w:rPr>
          <w:rFonts w:ascii="Times New Roman" w:hAnsi="Times New Roman"/>
        </w:rPr>
      </w:pPr>
    </w:p>
    <w:p w:rsidR="00634E77" w:rsidRPr="002746A4" w:rsidRDefault="00C6425D" w:rsidP="002746A4">
      <w:pPr>
        <w:widowControl/>
        <w:ind w:firstLine="720"/>
        <w:rPr>
          <w:rFonts w:ascii="Times New Roman" w:hAnsi="Times New Roman"/>
        </w:rPr>
      </w:pPr>
      <w:r>
        <w:rPr>
          <w:rFonts w:ascii="Times New Roman" w:hAnsi="Times New Roman"/>
        </w:rPr>
        <w:t>The FR Y-9C consists of standardized financial statements similar to the</w:t>
      </w:r>
      <w:r w:rsidR="00D76A54">
        <w:rPr>
          <w:rFonts w:ascii="Times New Roman" w:hAnsi="Times New Roman"/>
        </w:rPr>
        <w:t xml:space="preserve"> </w:t>
      </w:r>
      <w:r w:rsidR="00D76A54" w:rsidRPr="00D76A54">
        <w:rPr>
          <w:rFonts w:ascii="Times New Roman" w:hAnsi="Times New Roman"/>
          <w:szCs w:val="24"/>
        </w:rPr>
        <w:t>Consolidated Reports of Condition and Income (Call Report) (FFIEC 031 &amp; 041; OMB No. 7100-0036)</w:t>
      </w:r>
      <w:r>
        <w:rPr>
          <w:rFonts w:ascii="Times New Roman" w:hAnsi="Times New Roman"/>
        </w:rPr>
        <w:t xml:space="preserve"> filed by commercial banks.  The FR Y</w:t>
      </w:r>
      <w:r>
        <w:rPr>
          <w:rFonts w:ascii="Times New Roman" w:hAnsi="Times New Roman"/>
        </w:rPr>
        <w:noBreakHyphen/>
        <w:t>9C collects consolidated data from BHC</w:t>
      </w:r>
      <w:r w:rsidR="00537FBF">
        <w:rPr>
          <w:rFonts w:ascii="Times New Roman" w:hAnsi="Times New Roman"/>
        </w:rPr>
        <w:t>s</w:t>
      </w:r>
      <w:r>
        <w:rPr>
          <w:rFonts w:ascii="Times New Roman" w:hAnsi="Times New Roman"/>
        </w:rPr>
        <w:t>.  The FR Y-9C is filed by top-tier BHCs with total consolidated assets of $500 million or more.</w:t>
      </w:r>
      <w:r>
        <w:rPr>
          <w:rStyle w:val="FootnoteReference"/>
          <w:vertAlign w:val="superscript"/>
        </w:rPr>
        <w:footnoteReference w:id="1"/>
      </w:r>
      <w:r>
        <w:rPr>
          <w:rFonts w:ascii="Times New Roman" w:hAnsi="Times New Roman"/>
        </w:rPr>
        <w:t xml:space="preserve"> </w:t>
      </w:r>
      <w:r w:rsidR="002746A4">
        <w:rPr>
          <w:rFonts w:ascii="Times New Roman" w:hAnsi="Times New Roman"/>
        </w:rPr>
        <w:t xml:space="preserve"> </w:t>
      </w:r>
      <w:r w:rsidR="00384360">
        <w:rPr>
          <w:rFonts w:ascii="Times New Roman" w:hAnsi="Times New Roman"/>
          <w:szCs w:val="24"/>
        </w:rPr>
        <w:t>The Federal Reserve</w:t>
      </w:r>
      <w:r w:rsidR="00634E77">
        <w:rPr>
          <w:rFonts w:ascii="Times New Roman" w:hAnsi="Times New Roman"/>
          <w:szCs w:val="24"/>
        </w:rPr>
        <w:t xml:space="preserve"> proposes</w:t>
      </w:r>
      <w:r w:rsidR="00634E77" w:rsidRPr="00634E77">
        <w:rPr>
          <w:rFonts w:ascii="Times New Roman" w:hAnsi="Times New Roman"/>
          <w:szCs w:val="24"/>
        </w:rPr>
        <w:t xml:space="preserve"> </w:t>
      </w:r>
      <w:r w:rsidR="006A4ED8">
        <w:rPr>
          <w:rFonts w:ascii="Times New Roman" w:hAnsi="Times New Roman"/>
          <w:szCs w:val="24"/>
        </w:rPr>
        <w:t>several</w:t>
      </w:r>
      <w:r w:rsidR="00634E77">
        <w:rPr>
          <w:rFonts w:ascii="Times New Roman" w:hAnsi="Times New Roman"/>
          <w:szCs w:val="24"/>
        </w:rPr>
        <w:t xml:space="preserve"> </w:t>
      </w:r>
      <w:r w:rsidR="00634E77" w:rsidRPr="00634E77">
        <w:rPr>
          <w:rFonts w:ascii="Times New Roman" w:hAnsi="Times New Roman"/>
          <w:szCs w:val="24"/>
        </w:rPr>
        <w:t xml:space="preserve">changes to the </w:t>
      </w:r>
      <w:r w:rsidR="00634E77">
        <w:rPr>
          <w:rFonts w:ascii="Times New Roman" w:hAnsi="Times New Roman"/>
          <w:szCs w:val="24"/>
        </w:rPr>
        <w:t xml:space="preserve">FR Y-9C reporting </w:t>
      </w:r>
      <w:r w:rsidR="00634E77" w:rsidRPr="00634E77">
        <w:rPr>
          <w:rFonts w:ascii="Times New Roman" w:hAnsi="Times New Roman"/>
          <w:szCs w:val="24"/>
        </w:rPr>
        <w:t>requirements</w:t>
      </w:r>
      <w:r w:rsidR="00487745">
        <w:rPr>
          <w:rFonts w:ascii="Times New Roman" w:hAnsi="Times New Roman"/>
          <w:szCs w:val="24"/>
        </w:rPr>
        <w:t xml:space="preserve"> to better understand BHCs’ risk exposures, primarily with respect to lending and securitizations,</w:t>
      </w:r>
      <w:r w:rsidR="00634E77" w:rsidRPr="00634E77">
        <w:rPr>
          <w:rFonts w:ascii="Times New Roman" w:hAnsi="Times New Roman"/>
          <w:szCs w:val="24"/>
        </w:rPr>
        <w:t xml:space="preserve"> </w:t>
      </w:r>
      <w:r w:rsidR="006A4ED8">
        <w:rPr>
          <w:rFonts w:ascii="Times New Roman" w:hAnsi="Times New Roman"/>
          <w:szCs w:val="24"/>
        </w:rPr>
        <w:t>to</w:t>
      </w:r>
      <w:r w:rsidR="00634E77">
        <w:rPr>
          <w:rFonts w:ascii="Times New Roman" w:hAnsi="Times New Roman"/>
          <w:szCs w:val="24"/>
        </w:rPr>
        <w:t xml:space="preserve"> </w:t>
      </w:r>
      <w:r w:rsidR="006A4ED8">
        <w:rPr>
          <w:rFonts w:ascii="Times New Roman" w:hAnsi="Times New Roman"/>
          <w:szCs w:val="24"/>
        </w:rPr>
        <w:t xml:space="preserve">better </w:t>
      </w:r>
      <w:r w:rsidR="00634E77">
        <w:rPr>
          <w:rFonts w:ascii="Times New Roman" w:hAnsi="Times New Roman"/>
          <w:szCs w:val="24"/>
        </w:rPr>
        <w:t xml:space="preserve">support </w:t>
      </w:r>
      <w:r w:rsidR="006A4ED8">
        <w:rPr>
          <w:rFonts w:ascii="Times New Roman" w:hAnsi="Times New Roman"/>
          <w:szCs w:val="24"/>
        </w:rPr>
        <w:t>macroeconomic analysis and monetary policy purposes</w:t>
      </w:r>
      <w:r w:rsidR="00487745">
        <w:rPr>
          <w:rFonts w:ascii="Times New Roman" w:hAnsi="Times New Roman"/>
          <w:szCs w:val="24"/>
        </w:rPr>
        <w:t>,</w:t>
      </w:r>
      <w:r w:rsidR="00A277AF">
        <w:rPr>
          <w:rFonts w:ascii="Times New Roman" w:hAnsi="Times New Roman"/>
          <w:szCs w:val="24"/>
        </w:rPr>
        <w:t xml:space="preserve"> and </w:t>
      </w:r>
      <w:r w:rsidR="006A4ED8">
        <w:rPr>
          <w:rFonts w:ascii="Times New Roman" w:hAnsi="Times New Roman"/>
          <w:szCs w:val="24"/>
        </w:rPr>
        <w:t>to collect certain information prescribed by changes in accounting standards</w:t>
      </w:r>
      <w:r w:rsidR="002746A4">
        <w:rPr>
          <w:rFonts w:ascii="Times New Roman" w:hAnsi="Times New Roman"/>
          <w:szCs w:val="24"/>
        </w:rPr>
        <w:t xml:space="preserve">. </w:t>
      </w:r>
    </w:p>
    <w:p w:rsidR="00C6425D" w:rsidRDefault="00C6425D" w:rsidP="00C6425D">
      <w:pPr>
        <w:widowControl/>
        <w:rPr>
          <w:rFonts w:ascii="Times New Roman" w:hAnsi="Times New Roman"/>
        </w:rPr>
      </w:pPr>
    </w:p>
    <w:p w:rsidR="00F85629" w:rsidRPr="00B64807" w:rsidRDefault="00BF2EAF" w:rsidP="00BF2EAF">
      <w:pPr>
        <w:widowControl/>
        <w:ind w:firstLine="720"/>
        <w:rPr>
          <w:rFonts w:ascii="Times New Roman" w:hAnsi="Times New Roman"/>
        </w:rPr>
      </w:pPr>
      <w:r>
        <w:rPr>
          <w:rFonts w:ascii="Times New Roman" w:hAnsi="Times New Roman"/>
          <w:b/>
        </w:rPr>
        <w:t xml:space="preserve">A.  </w:t>
      </w:r>
      <w:r w:rsidR="00F85629" w:rsidRPr="00B64807">
        <w:rPr>
          <w:rFonts w:ascii="Times New Roman" w:hAnsi="Times New Roman"/>
          <w:b/>
        </w:rPr>
        <w:t>Proposed Revisions Related to Call Report Revisions</w:t>
      </w:r>
    </w:p>
    <w:p w:rsidR="00F85629" w:rsidRDefault="00F85629" w:rsidP="00F85629">
      <w:pPr>
        <w:widowControl/>
        <w:ind w:firstLine="720"/>
        <w:rPr>
          <w:rFonts w:ascii="Times New Roman" w:hAnsi="Times New Roman"/>
        </w:rPr>
      </w:pPr>
    </w:p>
    <w:p w:rsidR="00D9686E" w:rsidRDefault="009161BB" w:rsidP="00F85629">
      <w:pPr>
        <w:widowControl/>
        <w:ind w:firstLine="720"/>
        <w:rPr>
          <w:rFonts w:ascii="Times New Roman" w:hAnsi="Times New Roman"/>
        </w:rPr>
      </w:pPr>
      <w:r>
        <w:rPr>
          <w:rFonts w:ascii="Times New Roman" w:hAnsi="Times New Roman"/>
        </w:rPr>
        <w:t>The Federal Reserve</w:t>
      </w:r>
      <w:r w:rsidR="00D9686E" w:rsidRPr="00E57620">
        <w:rPr>
          <w:rFonts w:ascii="Times New Roman" w:hAnsi="Times New Roman"/>
        </w:rPr>
        <w:t xml:space="preserve"> proposes to make the following revisions to the FR Y-9C to parallel proposed changes to the Call Report.</w:t>
      </w:r>
      <w:r w:rsidR="00D9686E">
        <w:rPr>
          <w:rFonts w:ascii="Times New Roman" w:hAnsi="Times New Roman"/>
        </w:rPr>
        <w:t xml:space="preserve">  </w:t>
      </w:r>
      <w:r w:rsidR="001510D5">
        <w:rPr>
          <w:rFonts w:ascii="Times New Roman" w:hAnsi="Times New Roman"/>
        </w:rPr>
        <w:t xml:space="preserve">In the past, </w:t>
      </w:r>
      <w:r w:rsidR="00D9686E">
        <w:rPr>
          <w:rFonts w:ascii="Times New Roman" w:hAnsi="Times New Roman"/>
        </w:rPr>
        <w:t>BHCs have commented that changes should be made to the FR Y-9C in a manner consistent with changes to the Call Report to reduce reporting burden.</w:t>
      </w:r>
    </w:p>
    <w:p w:rsidR="00F85629" w:rsidRDefault="009161BB" w:rsidP="00C6425D">
      <w:pPr>
        <w:widowControl/>
        <w:rPr>
          <w:rFonts w:ascii="Times New Roman" w:hAnsi="Times New Roman"/>
        </w:rPr>
      </w:pPr>
      <w:r>
        <w:rPr>
          <w:rFonts w:ascii="Times New Roman" w:hAnsi="Times New Roman"/>
        </w:rPr>
        <w:br w:type="page"/>
      </w:r>
    </w:p>
    <w:p w:rsidR="002746A4" w:rsidRPr="002746A4" w:rsidRDefault="00BF2EAF" w:rsidP="002746A4">
      <w:pPr>
        <w:ind w:firstLine="720"/>
        <w:rPr>
          <w:rFonts w:ascii="Times New Roman" w:hAnsi="Times New Roman"/>
          <w:b/>
          <w:bCs/>
        </w:rPr>
      </w:pPr>
      <w:proofErr w:type="gramStart"/>
      <w:r>
        <w:rPr>
          <w:rFonts w:ascii="Times New Roman" w:hAnsi="Times New Roman"/>
          <w:b/>
        </w:rPr>
        <w:lastRenderedPageBreak/>
        <w:t xml:space="preserve">A.1  </w:t>
      </w:r>
      <w:r w:rsidR="00BA07A9" w:rsidRPr="00BA07A9">
        <w:rPr>
          <w:rFonts w:ascii="Times New Roman" w:hAnsi="Times New Roman"/>
          <w:b/>
        </w:rPr>
        <w:t>Troubled</w:t>
      </w:r>
      <w:proofErr w:type="gramEnd"/>
      <w:r w:rsidR="00BA07A9" w:rsidRPr="00BA07A9">
        <w:rPr>
          <w:rFonts w:ascii="Times New Roman" w:hAnsi="Times New Roman"/>
          <w:b/>
        </w:rPr>
        <w:t xml:space="preserve"> Debt Restructurings</w:t>
      </w:r>
    </w:p>
    <w:p w:rsidR="00BA07A9" w:rsidRPr="0048353E" w:rsidRDefault="00BA07A9" w:rsidP="00BA07A9">
      <w:pPr>
        <w:widowControl/>
        <w:rPr>
          <w:rFonts w:ascii="Times New Roman" w:hAnsi="Times New Roman"/>
        </w:rPr>
      </w:pPr>
      <w:r w:rsidRPr="00BA07A9">
        <w:rPr>
          <w:rFonts w:ascii="Times New Roman" w:hAnsi="Times New Roman"/>
        </w:rPr>
        <w:t xml:space="preserve">  </w:t>
      </w:r>
    </w:p>
    <w:p w:rsidR="00BA07A9" w:rsidRDefault="00BA07A9" w:rsidP="00BA07A9">
      <w:pPr>
        <w:widowControl/>
        <w:rPr>
          <w:rFonts w:ascii="Times New Roman" w:hAnsi="Times New Roman"/>
        </w:rPr>
      </w:pPr>
      <w:r>
        <w:rPr>
          <w:rFonts w:ascii="Times New Roman" w:hAnsi="Times New Roman"/>
        </w:rPr>
        <w:tab/>
      </w:r>
      <w:r w:rsidR="00384360">
        <w:rPr>
          <w:rFonts w:ascii="Times New Roman" w:hAnsi="Times New Roman"/>
        </w:rPr>
        <w:t>The Federal Reserve</w:t>
      </w:r>
      <w:r w:rsidR="00487745">
        <w:rPr>
          <w:rFonts w:ascii="Times New Roman" w:hAnsi="Times New Roman"/>
        </w:rPr>
        <w:t xml:space="preserve"> proposes that BHCs</w:t>
      </w:r>
      <w:r w:rsidRPr="00BA07A9">
        <w:rPr>
          <w:rFonts w:ascii="Times New Roman" w:hAnsi="Times New Roman"/>
        </w:rPr>
        <w:t xml:space="preserve"> report additional detail on loans that have undergone troubled debt restructurings in </w:t>
      </w:r>
      <w:r w:rsidR="00487745">
        <w:rPr>
          <w:rFonts w:ascii="Times New Roman" w:hAnsi="Times New Roman"/>
        </w:rPr>
        <w:t>Schedule H</w:t>
      </w:r>
      <w:r w:rsidRPr="00BA07A9">
        <w:rPr>
          <w:rFonts w:ascii="Times New Roman" w:hAnsi="Times New Roman"/>
        </w:rPr>
        <w:t>C</w:t>
      </w:r>
      <w:r w:rsidRPr="00BA07A9">
        <w:rPr>
          <w:rFonts w:ascii="Times New Roman" w:hAnsi="Times New Roman"/>
        </w:rPr>
        <w:noBreakHyphen/>
        <w:t xml:space="preserve">C, </w:t>
      </w:r>
      <w:r w:rsidR="00487745">
        <w:rPr>
          <w:rFonts w:ascii="Times New Roman" w:hAnsi="Times New Roman"/>
        </w:rPr>
        <w:t>Loans and Lease Financing Receivables, and Schedule H</w:t>
      </w:r>
      <w:r w:rsidRPr="00BA07A9">
        <w:rPr>
          <w:rFonts w:ascii="Times New Roman" w:hAnsi="Times New Roman"/>
        </w:rPr>
        <w:t>C-N, Past Due and Nonaccrual Loans, Leases, and Other Assets</w:t>
      </w:r>
      <w:r w:rsidR="00487745">
        <w:rPr>
          <w:rFonts w:ascii="Times New Roman" w:hAnsi="Times New Roman"/>
        </w:rPr>
        <w:t>.  More specifically, Schedule H</w:t>
      </w:r>
      <w:r w:rsidRPr="00BA07A9">
        <w:rPr>
          <w:rFonts w:ascii="Times New Roman" w:hAnsi="Times New Roman"/>
        </w:rPr>
        <w:t>C-C, Memorandum item 1.b, Other loans and all leases</w:t>
      </w:r>
      <w:r w:rsidR="001510D5">
        <w:rPr>
          <w:rFonts w:ascii="Times New Roman" w:hAnsi="Times New Roman"/>
        </w:rPr>
        <w:t>,</w:t>
      </w:r>
      <w:r w:rsidRPr="00BA07A9">
        <w:rPr>
          <w:rFonts w:ascii="Times New Roman" w:hAnsi="Times New Roman"/>
        </w:rPr>
        <w:t xml:space="preserve"> restructured and in compliance wit</w:t>
      </w:r>
      <w:r w:rsidR="00487745">
        <w:rPr>
          <w:rFonts w:ascii="Times New Roman" w:hAnsi="Times New Roman"/>
        </w:rPr>
        <w:t>h modified terms, and Schedule H</w:t>
      </w:r>
      <w:r w:rsidRPr="00BA07A9">
        <w:rPr>
          <w:rFonts w:ascii="Times New Roman" w:hAnsi="Times New Roman"/>
        </w:rPr>
        <w:t xml:space="preserve">C-N, Memorandum item 1.b, </w:t>
      </w:r>
      <w:r w:rsidR="001510D5">
        <w:rPr>
          <w:rFonts w:ascii="Times New Roman" w:hAnsi="Times New Roman"/>
        </w:rPr>
        <w:t>r</w:t>
      </w:r>
      <w:r w:rsidRPr="00BA07A9">
        <w:rPr>
          <w:rFonts w:ascii="Times New Roman" w:hAnsi="Times New Roman"/>
        </w:rPr>
        <w:t>estructured</w:t>
      </w:r>
      <w:r w:rsidR="001510D5">
        <w:rPr>
          <w:rFonts w:ascii="Times New Roman" w:hAnsi="Times New Roman"/>
        </w:rPr>
        <w:t>,</w:t>
      </w:r>
      <w:r w:rsidRPr="00BA07A9">
        <w:rPr>
          <w:rFonts w:ascii="Times New Roman" w:hAnsi="Times New Roman"/>
        </w:rPr>
        <w:t xml:space="preserve"> Other loans and all leases</w:t>
      </w:r>
      <w:r w:rsidR="001510D5">
        <w:rPr>
          <w:rFonts w:ascii="Times New Roman" w:hAnsi="Times New Roman"/>
        </w:rPr>
        <w:t>,</w:t>
      </w:r>
      <w:r w:rsidRPr="00BA07A9">
        <w:rPr>
          <w:rFonts w:ascii="Times New Roman" w:hAnsi="Times New Roman"/>
        </w:rPr>
        <w:t xml:space="preserve"> included in Schedule</w:t>
      </w:r>
      <w:r w:rsidR="00487745">
        <w:rPr>
          <w:rFonts w:ascii="Times New Roman" w:hAnsi="Times New Roman"/>
        </w:rPr>
        <w:t xml:space="preserve"> H</w:t>
      </w:r>
      <w:r w:rsidRPr="00BA07A9">
        <w:rPr>
          <w:rFonts w:ascii="Times New Roman" w:hAnsi="Times New Roman"/>
        </w:rPr>
        <w:t xml:space="preserve">C-N, would be broken out to provide information on restructured troubled loans for </w:t>
      </w:r>
      <w:r w:rsidR="00E11379">
        <w:rPr>
          <w:rFonts w:ascii="Times New Roman" w:hAnsi="Times New Roman"/>
        </w:rPr>
        <w:t xml:space="preserve">many of </w:t>
      </w:r>
      <w:r w:rsidRPr="00BA07A9">
        <w:rPr>
          <w:rFonts w:ascii="Times New Roman" w:hAnsi="Times New Roman"/>
        </w:rPr>
        <w:t>the loan categories repo</w:t>
      </w:r>
      <w:r w:rsidR="00487745">
        <w:rPr>
          <w:rFonts w:ascii="Times New Roman" w:hAnsi="Times New Roman"/>
        </w:rPr>
        <w:t>rted in the bodies of Schedule H</w:t>
      </w:r>
      <w:r w:rsidRPr="00BA07A9">
        <w:rPr>
          <w:rFonts w:ascii="Times New Roman" w:hAnsi="Times New Roman"/>
        </w:rPr>
        <w:t xml:space="preserve">C-C </w:t>
      </w:r>
      <w:r w:rsidR="00487745">
        <w:rPr>
          <w:rFonts w:ascii="Times New Roman" w:hAnsi="Times New Roman"/>
        </w:rPr>
        <w:t>and Schedule H</w:t>
      </w:r>
      <w:r w:rsidRPr="00BA07A9">
        <w:rPr>
          <w:rFonts w:ascii="Times New Roman" w:hAnsi="Times New Roman"/>
        </w:rPr>
        <w:t>C-N.  The breakout would also include Loans to individuals for household, family, and other personal expenditures</w:t>
      </w:r>
      <w:r w:rsidR="001510D5">
        <w:rPr>
          <w:rFonts w:ascii="Times New Roman" w:hAnsi="Times New Roman"/>
        </w:rPr>
        <w:t>,</w:t>
      </w:r>
      <w:r w:rsidRPr="00BA07A9">
        <w:rPr>
          <w:rFonts w:ascii="Times New Roman" w:hAnsi="Times New Roman"/>
        </w:rPr>
        <w:t xml:space="preserve"> whose terms have been modified in troubled debt restructurings, which are currently excluded from the reporting of troubled debt restructurings.  </w:t>
      </w:r>
    </w:p>
    <w:p w:rsidR="00BA07A9" w:rsidRPr="00BA07A9" w:rsidRDefault="00BA07A9" w:rsidP="00BA07A9">
      <w:pPr>
        <w:widowControl/>
        <w:rPr>
          <w:rFonts w:ascii="Times New Roman" w:hAnsi="Times New Roman"/>
        </w:rPr>
      </w:pPr>
    </w:p>
    <w:p w:rsidR="00BA07A9" w:rsidRDefault="00BA07A9" w:rsidP="0003335E">
      <w:pPr>
        <w:widowControl/>
        <w:rPr>
          <w:rFonts w:ascii="Times New Roman" w:hAnsi="Times New Roman"/>
        </w:rPr>
      </w:pPr>
      <w:r>
        <w:rPr>
          <w:rFonts w:ascii="Times New Roman" w:hAnsi="Times New Roman"/>
        </w:rPr>
        <w:tab/>
      </w:r>
      <w:r w:rsidRPr="00BA07A9">
        <w:rPr>
          <w:rFonts w:ascii="Times New Roman" w:hAnsi="Times New Roman"/>
        </w:rPr>
        <w:t xml:space="preserve">In the aggregate, troubled debt restructurings for all </w:t>
      </w:r>
      <w:r w:rsidR="004A1A48">
        <w:rPr>
          <w:rFonts w:ascii="Times New Roman" w:hAnsi="Times New Roman"/>
        </w:rPr>
        <w:t>FR Y-9C respondents ha</w:t>
      </w:r>
      <w:r w:rsidR="000E7C83">
        <w:rPr>
          <w:rFonts w:ascii="Times New Roman" w:hAnsi="Times New Roman"/>
        </w:rPr>
        <w:t>ve</w:t>
      </w:r>
      <w:r w:rsidRPr="00BA07A9">
        <w:rPr>
          <w:rFonts w:ascii="Times New Roman" w:hAnsi="Times New Roman"/>
        </w:rPr>
        <w:t xml:space="preserve"> grown from $</w:t>
      </w:r>
      <w:r w:rsidR="00487745">
        <w:rPr>
          <w:rFonts w:ascii="Times New Roman" w:hAnsi="Times New Roman"/>
        </w:rPr>
        <w:t>11.4 billion</w:t>
      </w:r>
      <w:r w:rsidRPr="00BA07A9">
        <w:rPr>
          <w:rFonts w:ascii="Times New Roman" w:hAnsi="Times New Roman"/>
        </w:rPr>
        <w:t xml:space="preserve"> at year-end 2007 to $</w:t>
      </w:r>
      <w:r w:rsidR="00487745">
        <w:rPr>
          <w:rFonts w:ascii="Times New Roman" w:hAnsi="Times New Roman"/>
        </w:rPr>
        <w:t>106.2 billion</w:t>
      </w:r>
      <w:r w:rsidRPr="00BA07A9">
        <w:rPr>
          <w:rFonts w:ascii="Times New Roman" w:hAnsi="Times New Roman"/>
        </w:rPr>
        <w:t xml:space="preserve"> as of March 31, 2010.  The proposed additional detail on troubled de</w:t>
      </w:r>
      <w:r w:rsidR="00487745">
        <w:rPr>
          <w:rFonts w:ascii="Times New Roman" w:hAnsi="Times New Roman"/>
        </w:rPr>
        <w:t>bt restructurings in Schedules H</w:t>
      </w:r>
      <w:r w:rsidRPr="00BA07A9">
        <w:rPr>
          <w:rFonts w:ascii="Times New Roman" w:hAnsi="Times New Roman"/>
        </w:rPr>
        <w:t xml:space="preserve">C-C </w:t>
      </w:r>
      <w:r w:rsidR="00487745">
        <w:rPr>
          <w:rFonts w:ascii="Times New Roman" w:hAnsi="Times New Roman"/>
        </w:rPr>
        <w:t>and H</w:t>
      </w:r>
      <w:r w:rsidRPr="00BA07A9">
        <w:rPr>
          <w:rFonts w:ascii="Times New Roman" w:hAnsi="Times New Roman"/>
        </w:rPr>
        <w:t xml:space="preserve">C-N would </w:t>
      </w:r>
      <w:r w:rsidR="0003335E">
        <w:rPr>
          <w:rFonts w:ascii="Times New Roman" w:hAnsi="Times New Roman"/>
        </w:rPr>
        <w:t xml:space="preserve">enable </w:t>
      </w:r>
      <w:r w:rsidR="00384360">
        <w:rPr>
          <w:rFonts w:ascii="Times New Roman" w:hAnsi="Times New Roman"/>
        </w:rPr>
        <w:t>the Federal Reserve</w:t>
      </w:r>
      <w:r w:rsidRPr="00BA07A9">
        <w:rPr>
          <w:rFonts w:ascii="Times New Roman" w:hAnsi="Times New Roman"/>
        </w:rPr>
        <w:t xml:space="preserve"> to better understand the level of restructuring activity at </w:t>
      </w:r>
      <w:r w:rsidR="00487745">
        <w:rPr>
          <w:rFonts w:ascii="Times New Roman" w:hAnsi="Times New Roman"/>
        </w:rPr>
        <w:t>BHCs</w:t>
      </w:r>
      <w:r w:rsidR="0003335E">
        <w:rPr>
          <w:rFonts w:ascii="Times New Roman" w:hAnsi="Times New Roman"/>
        </w:rPr>
        <w:t>, the categories of loans involved in this activity,</w:t>
      </w:r>
      <w:r w:rsidRPr="00BA07A9">
        <w:rPr>
          <w:rFonts w:ascii="Times New Roman" w:hAnsi="Times New Roman"/>
        </w:rPr>
        <w:t xml:space="preserve"> and whether </w:t>
      </w:r>
      <w:r w:rsidR="00487745">
        <w:rPr>
          <w:rFonts w:ascii="Times New Roman" w:hAnsi="Times New Roman"/>
        </w:rPr>
        <w:t>BHCs</w:t>
      </w:r>
      <w:r w:rsidRPr="00BA07A9">
        <w:rPr>
          <w:rFonts w:ascii="Times New Roman" w:hAnsi="Times New Roman"/>
        </w:rPr>
        <w:t xml:space="preserve"> are working with their borrowers to modify and restructure loans.  In particular, to encourage bank</w:t>
      </w:r>
      <w:r w:rsidR="00487745">
        <w:rPr>
          <w:rFonts w:ascii="Times New Roman" w:hAnsi="Times New Roman"/>
        </w:rPr>
        <w:t>ing organization</w:t>
      </w:r>
      <w:r w:rsidRPr="00BA07A9">
        <w:rPr>
          <w:rFonts w:ascii="Times New Roman" w:hAnsi="Times New Roman"/>
        </w:rPr>
        <w:t xml:space="preserve">s to work constructively with their commercial borrowers, the </w:t>
      </w:r>
      <w:r w:rsidR="00C10809" w:rsidRPr="00FA74C9">
        <w:rPr>
          <w:rFonts w:ascii="Times New Roman" w:hAnsi="Times New Roman"/>
          <w:szCs w:val="24"/>
        </w:rPr>
        <w:t>Board, FDIC, and OCC (the banking agencies)</w:t>
      </w:r>
      <w:r w:rsidR="00C10809">
        <w:rPr>
          <w:rFonts w:ascii="Times New Roman" w:hAnsi="Times New Roman"/>
          <w:szCs w:val="24"/>
        </w:rPr>
        <w:t xml:space="preserve"> </w:t>
      </w:r>
      <w:r w:rsidRPr="00BA07A9">
        <w:rPr>
          <w:rFonts w:ascii="Times New Roman" w:hAnsi="Times New Roman"/>
        </w:rPr>
        <w:t>recently</w:t>
      </w:r>
      <w:r w:rsidR="001C47AF" w:rsidRPr="00C21421">
        <w:rPr>
          <w:rStyle w:val="FootnoteReference"/>
          <w:vertAlign w:val="superscript"/>
        </w:rPr>
        <w:footnoteReference w:id="2"/>
      </w:r>
      <w:r w:rsidRPr="00C21421">
        <w:rPr>
          <w:rFonts w:ascii="Times New Roman" w:hAnsi="Times New Roman"/>
          <w:vertAlign w:val="superscript"/>
        </w:rPr>
        <w:t xml:space="preserve"> </w:t>
      </w:r>
      <w:r w:rsidRPr="00BA07A9">
        <w:rPr>
          <w:rFonts w:ascii="Times New Roman" w:hAnsi="Times New Roman"/>
        </w:rPr>
        <w:t xml:space="preserve">issued guidance on commercial real estate loan workouts and small business lending.  While this guidance has explained the agencies’ expectations for prudent workouts, the </w:t>
      </w:r>
      <w:r w:rsidR="00E378BF">
        <w:rPr>
          <w:rFonts w:ascii="Times New Roman" w:hAnsi="Times New Roman"/>
        </w:rPr>
        <w:t xml:space="preserve">Federal Reserve </w:t>
      </w:r>
      <w:r w:rsidR="00490C33" w:rsidRPr="00490C33">
        <w:rPr>
          <w:rFonts w:ascii="Times New Roman" w:hAnsi="Times New Roman"/>
        </w:rPr>
        <w:t>and the industry would benefit from additional</w:t>
      </w:r>
      <w:r w:rsidR="00490C33">
        <w:rPr>
          <w:rFonts w:ascii="Times New Roman" w:hAnsi="Times New Roman"/>
        </w:rPr>
        <w:t xml:space="preserve"> </w:t>
      </w:r>
      <w:r w:rsidRPr="00BA07A9">
        <w:rPr>
          <w:rFonts w:ascii="Times New Roman" w:hAnsi="Times New Roman"/>
        </w:rPr>
        <w:t xml:space="preserve">reliable data outside of the examination process to assess restructuring activity </w:t>
      </w:r>
      <w:r w:rsidR="00E378BF">
        <w:rPr>
          <w:rFonts w:ascii="Times New Roman" w:hAnsi="Times New Roman"/>
        </w:rPr>
        <w:t xml:space="preserve">at BHCs </w:t>
      </w:r>
      <w:r w:rsidRPr="00BA07A9">
        <w:rPr>
          <w:rFonts w:ascii="Times New Roman" w:hAnsi="Times New Roman"/>
        </w:rPr>
        <w:t xml:space="preserve">for commercial real estate loans and commercial and industrial loans.  Further, it is important to separately identify commercial real estate loan restructurings from commercial and industrial loan restructurings given that the value of the real estate collateral is a consideration in a </w:t>
      </w:r>
      <w:r w:rsidR="00E11379">
        <w:rPr>
          <w:rFonts w:ascii="Times New Roman" w:hAnsi="Times New Roman"/>
        </w:rPr>
        <w:t>BHC</w:t>
      </w:r>
      <w:r w:rsidRPr="00BA07A9">
        <w:rPr>
          <w:rFonts w:ascii="Times New Roman" w:hAnsi="Times New Roman"/>
        </w:rPr>
        <w:t xml:space="preserve">’s decision to modify the terms of a commercial real estate loan in a troubled debt restructuring, but such collateral protection would normally be absent from commercial and industrial loans for which a loan modification is being explored because of borrowers’ financial difficulties.  </w:t>
      </w:r>
    </w:p>
    <w:p w:rsidR="007725A3" w:rsidRDefault="00BA07A9" w:rsidP="00BA07A9">
      <w:pPr>
        <w:widowControl/>
        <w:rPr>
          <w:rFonts w:ascii="Times New Roman" w:hAnsi="Times New Roman"/>
        </w:rPr>
      </w:pPr>
      <w:r>
        <w:rPr>
          <w:rFonts w:ascii="Times New Roman" w:hAnsi="Times New Roman"/>
        </w:rPr>
        <w:tab/>
      </w:r>
    </w:p>
    <w:p w:rsidR="00BA07A9" w:rsidRDefault="00490C33" w:rsidP="00490C33">
      <w:pPr>
        <w:widowControl/>
        <w:ind w:firstLine="720"/>
        <w:rPr>
          <w:rFonts w:ascii="Times New Roman" w:hAnsi="Times New Roman"/>
        </w:rPr>
      </w:pPr>
      <w:r w:rsidRPr="00490C33">
        <w:rPr>
          <w:rFonts w:ascii="Times New Roman" w:hAnsi="Times New Roman"/>
        </w:rPr>
        <w:t>It is also anticipated that other loan categories will experience continued workout activity in the</w:t>
      </w:r>
      <w:r w:rsidR="001E33E4">
        <w:rPr>
          <w:rFonts w:ascii="Times New Roman" w:hAnsi="Times New Roman"/>
        </w:rPr>
        <w:t xml:space="preserve"> coming months given that most </w:t>
      </w:r>
      <w:r w:rsidRPr="00490C33">
        <w:rPr>
          <w:rFonts w:ascii="Times New Roman" w:hAnsi="Times New Roman"/>
        </w:rPr>
        <w:t xml:space="preserve">asset classes have been adversely </w:t>
      </w:r>
      <w:r w:rsidR="00C660F8">
        <w:rPr>
          <w:rFonts w:ascii="Times New Roman" w:hAnsi="Times New Roman"/>
        </w:rPr>
        <w:t xml:space="preserve">affected </w:t>
      </w:r>
      <w:r w:rsidRPr="00490C33">
        <w:rPr>
          <w:rFonts w:ascii="Times New Roman" w:hAnsi="Times New Roman"/>
        </w:rPr>
        <w:t xml:space="preserve">by the recent recession.  This </w:t>
      </w:r>
      <w:r w:rsidR="00C660F8">
        <w:rPr>
          <w:rFonts w:ascii="Times New Roman" w:hAnsi="Times New Roman"/>
        </w:rPr>
        <w:t>effect</w:t>
      </w:r>
      <w:r w:rsidRPr="00490C33">
        <w:rPr>
          <w:rFonts w:ascii="Times New Roman" w:hAnsi="Times New Roman"/>
        </w:rPr>
        <w:t xml:space="preserve"> is evidenced by the increase in past due and nonaccrual assets across virtually all asset classes over the past two to three years.  </w:t>
      </w:r>
      <w:r w:rsidR="00BA07A9" w:rsidRPr="00490C33">
        <w:rPr>
          <w:rFonts w:ascii="Times New Roman" w:hAnsi="Times New Roman"/>
        </w:rPr>
        <w:t xml:space="preserve"> </w:t>
      </w:r>
      <w:r w:rsidR="00BA07A9" w:rsidRPr="00BA07A9">
        <w:rPr>
          <w:rFonts w:ascii="Times New Roman" w:hAnsi="Times New Roman"/>
        </w:rPr>
        <w:tab/>
      </w:r>
    </w:p>
    <w:p w:rsidR="00490C33" w:rsidRDefault="00490C33" w:rsidP="00BA07A9">
      <w:pPr>
        <w:widowControl/>
        <w:rPr>
          <w:rFonts w:ascii="Times New Roman" w:hAnsi="Times New Roman"/>
        </w:rPr>
      </w:pPr>
    </w:p>
    <w:p w:rsidR="00BA07A9" w:rsidRDefault="00BA07A9" w:rsidP="00BA07A9">
      <w:pPr>
        <w:widowControl/>
        <w:rPr>
          <w:rFonts w:ascii="Times New Roman" w:hAnsi="Times New Roman"/>
        </w:rPr>
      </w:pPr>
      <w:r>
        <w:rPr>
          <w:rFonts w:ascii="Times New Roman" w:hAnsi="Times New Roman"/>
        </w:rPr>
        <w:tab/>
      </w:r>
      <w:r w:rsidR="00CB7DF4">
        <w:rPr>
          <w:rFonts w:ascii="Times New Roman" w:hAnsi="Times New Roman"/>
        </w:rPr>
        <w:t>Curr</w:t>
      </w:r>
      <w:r w:rsidRPr="00BA07A9">
        <w:rPr>
          <w:rFonts w:ascii="Times New Roman" w:hAnsi="Times New Roman"/>
        </w:rPr>
        <w:t xml:space="preserve">ently, </w:t>
      </w:r>
      <w:r w:rsidR="00E11379">
        <w:rPr>
          <w:rFonts w:ascii="Times New Roman" w:hAnsi="Times New Roman"/>
        </w:rPr>
        <w:t>BHC</w:t>
      </w:r>
      <w:r w:rsidRPr="00BA07A9">
        <w:rPr>
          <w:rFonts w:ascii="Times New Roman" w:hAnsi="Times New Roman"/>
        </w:rPr>
        <w:t>s report loans and leases restructured and in compliance with their modified te</w:t>
      </w:r>
      <w:r w:rsidR="00E11379">
        <w:rPr>
          <w:rFonts w:ascii="Times New Roman" w:hAnsi="Times New Roman"/>
        </w:rPr>
        <w:t>rms (Schedule H</w:t>
      </w:r>
      <w:r w:rsidRPr="00BA07A9">
        <w:rPr>
          <w:rFonts w:ascii="Times New Roman" w:hAnsi="Times New Roman"/>
        </w:rPr>
        <w:t>C-C, Memorandum item 1) with separate disclosure of (a) loans secured by 1-4 family residential properties (in domestic offices) and (b) other loans and all leases (excluding loans to individuals for household, family, and other personal expenditures).  This same bre</w:t>
      </w:r>
      <w:r w:rsidR="00E11379">
        <w:rPr>
          <w:rFonts w:ascii="Times New Roman" w:hAnsi="Times New Roman"/>
        </w:rPr>
        <w:t>akout is reflected in Schedule H</w:t>
      </w:r>
      <w:r w:rsidRPr="00BA07A9">
        <w:rPr>
          <w:rFonts w:ascii="Times New Roman" w:hAnsi="Times New Roman"/>
        </w:rPr>
        <w:t>C-N, Memorandum item 1, for past due and nonaccrual restructured troubled loans.  The broad categor</w:t>
      </w:r>
      <w:r w:rsidR="00E11379">
        <w:rPr>
          <w:rFonts w:ascii="Times New Roman" w:hAnsi="Times New Roman"/>
        </w:rPr>
        <w:t>y of other loans in Schedule H</w:t>
      </w:r>
      <w:r w:rsidRPr="00BA07A9">
        <w:rPr>
          <w:rFonts w:ascii="Times New Roman" w:hAnsi="Times New Roman"/>
        </w:rPr>
        <w:t xml:space="preserve">C-C, Memorandum item 1.b, and Schedule </w:t>
      </w:r>
      <w:r w:rsidR="00E11379">
        <w:rPr>
          <w:rFonts w:ascii="Times New Roman" w:hAnsi="Times New Roman"/>
        </w:rPr>
        <w:t>H</w:t>
      </w:r>
      <w:r w:rsidRPr="00BA07A9">
        <w:rPr>
          <w:rFonts w:ascii="Times New Roman" w:hAnsi="Times New Roman"/>
        </w:rPr>
        <w:t xml:space="preserve">C-N, Memorandum item 1.b, does not </w:t>
      </w:r>
      <w:r w:rsidR="00E378BF">
        <w:rPr>
          <w:rFonts w:ascii="Times New Roman" w:hAnsi="Times New Roman"/>
        </w:rPr>
        <w:t>permit</w:t>
      </w:r>
      <w:r w:rsidR="00E378BF" w:rsidRPr="00BA07A9">
        <w:rPr>
          <w:rFonts w:ascii="Times New Roman" w:hAnsi="Times New Roman"/>
        </w:rPr>
        <w:t xml:space="preserve"> </w:t>
      </w:r>
      <w:r w:rsidRPr="00BA07A9">
        <w:rPr>
          <w:rFonts w:ascii="Times New Roman" w:hAnsi="Times New Roman"/>
        </w:rPr>
        <w:t>an</w:t>
      </w:r>
      <w:r w:rsidR="00E378BF">
        <w:rPr>
          <w:rFonts w:ascii="Times New Roman" w:hAnsi="Times New Roman"/>
        </w:rPr>
        <w:t xml:space="preserve"> adequate</w:t>
      </w:r>
      <w:r w:rsidRPr="00BA07A9">
        <w:rPr>
          <w:rFonts w:ascii="Times New Roman" w:hAnsi="Times New Roman"/>
        </w:rPr>
        <w:t xml:space="preserve"> analysis of troubled debt restructurings.  In </w:t>
      </w:r>
      <w:r w:rsidRPr="00BA07A9">
        <w:rPr>
          <w:rFonts w:ascii="Times New Roman" w:hAnsi="Times New Roman"/>
        </w:rPr>
        <w:lastRenderedPageBreak/>
        <w:t>addition, the disclosure requirements for troubled debt restructurings under generally accepted accounting principles</w:t>
      </w:r>
      <w:r w:rsidR="00CA704F">
        <w:rPr>
          <w:rFonts w:ascii="Times New Roman" w:hAnsi="Times New Roman"/>
        </w:rPr>
        <w:t xml:space="preserve"> (</w:t>
      </w:r>
      <w:r w:rsidR="00137D30">
        <w:rPr>
          <w:rFonts w:ascii="Times New Roman" w:hAnsi="Times New Roman"/>
        </w:rPr>
        <w:t>GAAP</w:t>
      </w:r>
      <w:r w:rsidR="00CA704F">
        <w:rPr>
          <w:rFonts w:ascii="Times New Roman" w:hAnsi="Times New Roman"/>
        </w:rPr>
        <w:t>)</w:t>
      </w:r>
      <w:r w:rsidRPr="00BA07A9">
        <w:rPr>
          <w:rFonts w:ascii="Times New Roman" w:hAnsi="Times New Roman"/>
        </w:rPr>
        <w:t xml:space="preserve"> do not exempt restructurings of loans to individuals for household, family, and other personal expenditures.  Therefore, if more</w:t>
      </w:r>
      <w:r w:rsidR="00E11379">
        <w:rPr>
          <w:rFonts w:ascii="Times New Roman" w:hAnsi="Times New Roman"/>
        </w:rPr>
        <w:t xml:space="preserve"> </w:t>
      </w:r>
      <w:r w:rsidR="004A1A48" w:rsidRPr="00BA07A9">
        <w:rPr>
          <w:rFonts w:ascii="Times New Roman" w:hAnsi="Times New Roman"/>
        </w:rPr>
        <w:t xml:space="preserve">detail </w:t>
      </w:r>
      <w:r w:rsidR="00E11379">
        <w:rPr>
          <w:rFonts w:ascii="Times New Roman" w:hAnsi="Times New Roman"/>
        </w:rPr>
        <w:t>were to be added</w:t>
      </w:r>
      <w:r w:rsidRPr="00BA07A9">
        <w:rPr>
          <w:rFonts w:ascii="Times New Roman" w:hAnsi="Times New Roman"/>
        </w:rPr>
        <w:t xml:space="preserve"> to match the </w:t>
      </w:r>
      <w:r w:rsidR="00E11379">
        <w:rPr>
          <w:rFonts w:ascii="Times New Roman" w:hAnsi="Times New Roman"/>
        </w:rPr>
        <w:t>reporting of loans in Schedule H</w:t>
      </w:r>
      <w:r w:rsidRPr="00BA07A9">
        <w:rPr>
          <w:rFonts w:ascii="Times New Roman" w:hAnsi="Times New Roman"/>
        </w:rPr>
        <w:t xml:space="preserve">C-C </w:t>
      </w:r>
      <w:r w:rsidR="00E11379">
        <w:rPr>
          <w:rFonts w:ascii="Times New Roman" w:hAnsi="Times New Roman"/>
        </w:rPr>
        <w:t>and Schedule H</w:t>
      </w:r>
      <w:r w:rsidRPr="00BA07A9">
        <w:rPr>
          <w:rFonts w:ascii="Times New Roman" w:hAnsi="Times New Roman"/>
        </w:rPr>
        <w:t xml:space="preserve">C-N, the new data would provide the </w:t>
      </w:r>
      <w:r w:rsidR="00E11379">
        <w:rPr>
          <w:rFonts w:ascii="Times New Roman" w:hAnsi="Times New Roman"/>
        </w:rPr>
        <w:t>Federal Reserve</w:t>
      </w:r>
      <w:r w:rsidRPr="00BA07A9">
        <w:rPr>
          <w:rFonts w:ascii="Times New Roman" w:hAnsi="Times New Roman"/>
        </w:rPr>
        <w:t xml:space="preserve"> with the level of information necessary to assess </w:t>
      </w:r>
      <w:r w:rsidR="00E11379">
        <w:rPr>
          <w:rFonts w:ascii="Times New Roman" w:hAnsi="Times New Roman"/>
        </w:rPr>
        <w:t>BHCs</w:t>
      </w:r>
      <w:r w:rsidRPr="00BA07A9">
        <w:rPr>
          <w:rFonts w:ascii="Times New Roman" w:hAnsi="Times New Roman"/>
        </w:rPr>
        <w:t>’ troubled debt restructurings to the same extent that other loan quality and performance indicators can be assessed.</w:t>
      </w:r>
      <w:r w:rsidR="00192D34">
        <w:rPr>
          <w:rFonts w:ascii="Times New Roman" w:hAnsi="Times New Roman"/>
        </w:rPr>
        <w:t xml:space="preserve">  </w:t>
      </w:r>
      <w:r w:rsidR="00192D34" w:rsidRPr="00192D34">
        <w:rPr>
          <w:rFonts w:ascii="Times New Roman" w:hAnsi="Times New Roman"/>
        </w:rPr>
        <w:t xml:space="preserve">However, </w:t>
      </w:r>
      <w:r w:rsidR="00384360">
        <w:rPr>
          <w:rFonts w:ascii="Times New Roman" w:hAnsi="Times New Roman"/>
        </w:rPr>
        <w:t>the Federal Reserve</w:t>
      </w:r>
      <w:r w:rsidR="00384360" w:rsidRPr="00BA07A9">
        <w:rPr>
          <w:rFonts w:ascii="Times New Roman" w:hAnsi="Times New Roman"/>
        </w:rPr>
        <w:t xml:space="preserve"> </w:t>
      </w:r>
      <w:r w:rsidR="00192D34" w:rsidRPr="00192D34">
        <w:rPr>
          <w:rFonts w:ascii="Times New Roman" w:hAnsi="Times New Roman"/>
        </w:rPr>
        <w:t>note</w:t>
      </w:r>
      <w:r w:rsidR="00192D34">
        <w:rPr>
          <w:rFonts w:ascii="Times New Roman" w:hAnsi="Times New Roman"/>
        </w:rPr>
        <w:t>s</w:t>
      </w:r>
      <w:r w:rsidR="00192D34" w:rsidRPr="00192D34">
        <w:rPr>
          <w:rFonts w:ascii="Times New Roman" w:hAnsi="Times New Roman"/>
        </w:rPr>
        <w:t xml:space="preserve"> that, under </w:t>
      </w:r>
      <w:r w:rsidR="00137D30">
        <w:rPr>
          <w:rFonts w:ascii="Times New Roman" w:hAnsi="Times New Roman"/>
        </w:rPr>
        <w:t>GAAP</w:t>
      </w:r>
      <w:r w:rsidR="00192D34" w:rsidRPr="00192D34">
        <w:rPr>
          <w:rFonts w:ascii="Times New Roman" w:hAnsi="Times New Roman"/>
        </w:rPr>
        <w:t>, troubled debt restructurings do not include changes in lease agreements</w:t>
      </w:r>
      <w:r w:rsidR="00192D34" w:rsidRPr="00192D34">
        <w:rPr>
          <w:rFonts w:ascii="Times New Roman" w:hAnsi="Times New Roman"/>
          <w:vertAlign w:val="superscript"/>
        </w:rPr>
        <w:footnoteReference w:id="3"/>
      </w:r>
      <w:r w:rsidR="00192D34" w:rsidRPr="00192D34">
        <w:rPr>
          <w:rFonts w:ascii="Times New Roman" w:hAnsi="Times New Roman"/>
        </w:rPr>
        <w:t xml:space="preserve"> and therefore propose to exclude </w:t>
      </w:r>
      <w:r w:rsidR="00192D34">
        <w:rPr>
          <w:rFonts w:ascii="Times New Roman" w:hAnsi="Times New Roman"/>
        </w:rPr>
        <w:t>leases from Schedule H</w:t>
      </w:r>
      <w:r w:rsidR="00192D34" w:rsidRPr="00192D34">
        <w:rPr>
          <w:rFonts w:ascii="Times New Roman" w:hAnsi="Times New Roman"/>
        </w:rPr>
        <w:t>C-C, Memora</w:t>
      </w:r>
      <w:r w:rsidR="00192D34">
        <w:rPr>
          <w:rFonts w:ascii="Times New Roman" w:hAnsi="Times New Roman"/>
        </w:rPr>
        <w:t>ndum item 1, and from Schedule H</w:t>
      </w:r>
      <w:r w:rsidR="00192D34" w:rsidRPr="00192D34">
        <w:rPr>
          <w:rFonts w:ascii="Times New Roman" w:hAnsi="Times New Roman"/>
        </w:rPr>
        <w:t>C-N, Memorandum item 1</w:t>
      </w:r>
      <w:r w:rsidR="001C47AF">
        <w:rPr>
          <w:rFonts w:ascii="Times New Roman" w:hAnsi="Times New Roman"/>
        </w:rPr>
        <w:t>, and strike the phrase “and all other leases” from the caption of these data items.</w:t>
      </w:r>
    </w:p>
    <w:p w:rsidR="00BA07A9" w:rsidRPr="00BA07A9" w:rsidRDefault="00BA07A9" w:rsidP="00BA07A9">
      <w:pPr>
        <w:widowControl/>
        <w:rPr>
          <w:rFonts w:ascii="Times New Roman" w:hAnsi="Times New Roman"/>
        </w:rPr>
      </w:pPr>
    </w:p>
    <w:p w:rsidR="00BA07A9" w:rsidRDefault="00BA07A9" w:rsidP="00BA07A9">
      <w:pPr>
        <w:widowControl/>
        <w:rPr>
          <w:rFonts w:ascii="Times New Roman" w:hAnsi="Times New Roman"/>
        </w:rPr>
      </w:pPr>
      <w:r w:rsidRPr="00BA07A9">
        <w:rPr>
          <w:rFonts w:ascii="Times New Roman" w:hAnsi="Times New Roman"/>
        </w:rPr>
        <w:tab/>
        <w:t>Thus, the proposed breakdowns of existing Memorandum item 1.b in both Sche</w:t>
      </w:r>
      <w:r w:rsidR="00E11379">
        <w:rPr>
          <w:rFonts w:ascii="Times New Roman" w:hAnsi="Times New Roman"/>
        </w:rPr>
        <w:t>dule H</w:t>
      </w:r>
      <w:r w:rsidRPr="00BA07A9">
        <w:rPr>
          <w:rFonts w:ascii="Times New Roman" w:hAnsi="Times New Roman"/>
        </w:rPr>
        <w:t xml:space="preserve">C-C and Schedule </w:t>
      </w:r>
      <w:r w:rsidR="00137D30">
        <w:rPr>
          <w:rFonts w:ascii="Times New Roman" w:hAnsi="Times New Roman"/>
        </w:rPr>
        <w:t>H</w:t>
      </w:r>
      <w:r w:rsidR="00137D30" w:rsidRPr="00BA07A9">
        <w:rPr>
          <w:rFonts w:ascii="Times New Roman" w:hAnsi="Times New Roman"/>
        </w:rPr>
        <w:t>C</w:t>
      </w:r>
      <w:r w:rsidRPr="00BA07A9">
        <w:rPr>
          <w:rFonts w:ascii="Times New Roman" w:hAnsi="Times New Roman"/>
        </w:rPr>
        <w:t xml:space="preserve">-N would create new Memorandum items in both schedules covering troubled debt restructurings of 1-4 family residential construction loans, Other construction loans and all land development and other land loans, </w:t>
      </w:r>
      <w:r w:rsidR="00855A6F">
        <w:rPr>
          <w:rFonts w:ascii="Times New Roman" w:hAnsi="Times New Roman"/>
        </w:rPr>
        <w:t>L</w:t>
      </w:r>
      <w:r w:rsidRPr="00BA07A9">
        <w:rPr>
          <w:rFonts w:ascii="Times New Roman" w:hAnsi="Times New Roman"/>
        </w:rPr>
        <w:t xml:space="preserve">oans </w:t>
      </w:r>
      <w:r w:rsidR="00855A6F">
        <w:rPr>
          <w:rFonts w:ascii="Times New Roman" w:hAnsi="Times New Roman"/>
        </w:rPr>
        <w:t>s</w:t>
      </w:r>
      <w:r w:rsidRPr="00BA07A9">
        <w:rPr>
          <w:rFonts w:ascii="Times New Roman" w:hAnsi="Times New Roman"/>
        </w:rPr>
        <w:t>ecured by multifamily (5 or more) residential properties, Loans secured by owner-occupied nonfarm nonresidential properties, Loans secured by other nonfarm nonresidential properties, Commercial and industrial loans, and All other loans and all leases (including loans to individuals for household, family, and other personal expenditures).</w:t>
      </w:r>
      <w:r w:rsidRPr="00BA07A9">
        <w:rPr>
          <w:rFonts w:ascii="Times New Roman" w:hAnsi="Times New Roman"/>
          <w:vertAlign w:val="superscript"/>
        </w:rPr>
        <w:footnoteReference w:id="4"/>
      </w:r>
      <w:r w:rsidRPr="00BA07A9">
        <w:rPr>
          <w:rFonts w:ascii="Times New Roman" w:hAnsi="Times New Roman"/>
        </w:rPr>
        <w:t xml:space="preserve">  If restructured loans in any category of loans</w:t>
      </w:r>
      <w:r w:rsidR="00E11379">
        <w:rPr>
          <w:rFonts w:ascii="Times New Roman" w:hAnsi="Times New Roman"/>
        </w:rPr>
        <w:t>, as defined in Schedule H</w:t>
      </w:r>
      <w:r w:rsidRPr="00BA07A9">
        <w:rPr>
          <w:rFonts w:ascii="Times New Roman" w:hAnsi="Times New Roman"/>
        </w:rPr>
        <w:t>C-C, included in restructured</w:t>
      </w:r>
      <w:r w:rsidR="00E73176">
        <w:rPr>
          <w:rFonts w:ascii="Times New Roman" w:hAnsi="Times New Roman"/>
        </w:rPr>
        <w:t>,</w:t>
      </w:r>
      <w:r w:rsidRPr="00BA07A9">
        <w:rPr>
          <w:rFonts w:ascii="Times New Roman" w:hAnsi="Times New Roman"/>
        </w:rPr>
        <w:t xml:space="preserve"> All other loans</w:t>
      </w:r>
      <w:r w:rsidR="00E73176">
        <w:rPr>
          <w:rFonts w:ascii="Times New Roman" w:hAnsi="Times New Roman"/>
        </w:rPr>
        <w:t>,</w:t>
      </w:r>
      <w:r w:rsidRPr="00BA07A9">
        <w:rPr>
          <w:rFonts w:ascii="Times New Roman" w:hAnsi="Times New Roman"/>
        </w:rPr>
        <w:t xml:space="preserve"> exceeds 10 percent of the amount of restructured</w:t>
      </w:r>
      <w:r w:rsidR="00E73176">
        <w:rPr>
          <w:rFonts w:ascii="Times New Roman" w:hAnsi="Times New Roman"/>
        </w:rPr>
        <w:t>,</w:t>
      </w:r>
      <w:r w:rsidRPr="00BA07A9">
        <w:rPr>
          <w:rFonts w:ascii="Times New Roman" w:hAnsi="Times New Roman"/>
        </w:rPr>
        <w:t xml:space="preserve"> All other loans, the amount of restructured loans in this category or categories </w:t>
      </w:r>
      <w:r w:rsidR="00137D30">
        <w:rPr>
          <w:rFonts w:ascii="Times New Roman" w:hAnsi="Times New Roman"/>
        </w:rPr>
        <w:t>would</w:t>
      </w:r>
      <w:r w:rsidR="00137D30" w:rsidRPr="00BA07A9">
        <w:rPr>
          <w:rFonts w:ascii="Times New Roman" w:hAnsi="Times New Roman"/>
        </w:rPr>
        <w:t xml:space="preserve"> </w:t>
      </w:r>
      <w:r w:rsidRPr="00BA07A9">
        <w:rPr>
          <w:rFonts w:ascii="Times New Roman" w:hAnsi="Times New Roman"/>
        </w:rPr>
        <w:t xml:space="preserve">be itemized and described. </w:t>
      </w:r>
    </w:p>
    <w:p w:rsidR="004B5CF6" w:rsidRPr="00BA07A9" w:rsidRDefault="004B5CF6" w:rsidP="00BA07A9">
      <w:pPr>
        <w:widowControl/>
        <w:rPr>
          <w:rFonts w:ascii="Times New Roman" w:hAnsi="Times New Roman"/>
        </w:rPr>
      </w:pPr>
    </w:p>
    <w:p w:rsidR="00192D34" w:rsidRPr="00192D34" w:rsidRDefault="00192D34" w:rsidP="00192D34">
      <w:pPr>
        <w:widowControl/>
        <w:rPr>
          <w:rFonts w:ascii="Times New Roman" w:hAnsi="Times New Roman"/>
        </w:rPr>
      </w:pPr>
      <w:r>
        <w:rPr>
          <w:rFonts w:ascii="Times New Roman" w:hAnsi="Times New Roman"/>
        </w:rPr>
        <w:tab/>
        <w:t>Finally, Schedule HC-C,</w:t>
      </w:r>
      <w:r w:rsidRPr="00192D34">
        <w:rPr>
          <w:rFonts w:ascii="Times New Roman" w:hAnsi="Times New Roman"/>
        </w:rPr>
        <w:t xml:space="preserve"> M</w:t>
      </w:r>
      <w:r>
        <w:rPr>
          <w:rFonts w:ascii="Times New Roman" w:hAnsi="Times New Roman"/>
        </w:rPr>
        <w:t>emorandum item 1, and Schedule H</w:t>
      </w:r>
      <w:r w:rsidRPr="00192D34">
        <w:rPr>
          <w:rFonts w:ascii="Times New Roman" w:hAnsi="Times New Roman"/>
        </w:rPr>
        <w:t xml:space="preserve">C-N, Memorandum item 1, are intended to capture data on loans that have undergone troubled debt restructurings as that term is defined in </w:t>
      </w:r>
      <w:r w:rsidR="00137D30">
        <w:rPr>
          <w:rFonts w:ascii="Times New Roman" w:hAnsi="Times New Roman"/>
        </w:rPr>
        <w:t>GAAP</w:t>
      </w:r>
      <w:r w:rsidRPr="00192D34">
        <w:rPr>
          <w:rFonts w:ascii="Times New Roman" w:hAnsi="Times New Roman"/>
        </w:rPr>
        <w:t xml:space="preserve">.  However, the captions of these two Memorandum items include only the term “restructured” rather than explicitly mentioning troubled debt restructurings, which has led to questions about the scope of these Memorandum items.  Accordingly, </w:t>
      </w:r>
      <w:r w:rsidR="00384360">
        <w:rPr>
          <w:rFonts w:ascii="Times New Roman" w:hAnsi="Times New Roman"/>
        </w:rPr>
        <w:t>the Federal Reserve</w:t>
      </w:r>
      <w:r w:rsidR="00384360" w:rsidRPr="00BA07A9">
        <w:rPr>
          <w:rFonts w:ascii="Times New Roman" w:hAnsi="Times New Roman"/>
        </w:rPr>
        <w:t xml:space="preserve"> </w:t>
      </w:r>
      <w:r w:rsidRPr="00192D34">
        <w:rPr>
          <w:rFonts w:ascii="Times New Roman" w:hAnsi="Times New Roman"/>
        </w:rPr>
        <w:t>propose</w:t>
      </w:r>
      <w:r w:rsidR="005473FD">
        <w:rPr>
          <w:rFonts w:ascii="Times New Roman" w:hAnsi="Times New Roman"/>
        </w:rPr>
        <w:t>s</w:t>
      </w:r>
      <w:r w:rsidRPr="00192D34">
        <w:rPr>
          <w:rFonts w:ascii="Times New Roman" w:hAnsi="Times New Roman"/>
        </w:rPr>
        <w:t xml:space="preserve"> to revise the captions so that they clearly indicate that the lo</w:t>
      </w:r>
      <w:r w:rsidR="005473FD">
        <w:rPr>
          <w:rFonts w:ascii="Times New Roman" w:hAnsi="Times New Roman"/>
        </w:rPr>
        <w:t>ans to be reported in Schedule HC-C,</w:t>
      </w:r>
      <w:r w:rsidRPr="00192D34">
        <w:rPr>
          <w:rFonts w:ascii="Times New Roman" w:hAnsi="Times New Roman"/>
        </w:rPr>
        <w:t xml:space="preserve"> M</w:t>
      </w:r>
      <w:r w:rsidR="005473FD">
        <w:rPr>
          <w:rFonts w:ascii="Times New Roman" w:hAnsi="Times New Roman"/>
        </w:rPr>
        <w:t>emorandum item 1, and Schedule H</w:t>
      </w:r>
      <w:r w:rsidRPr="00192D34">
        <w:rPr>
          <w:rFonts w:ascii="Times New Roman" w:hAnsi="Times New Roman"/>
        </w:rPr>
        <w:t xml:space="preserve">C-N, Memorandum item 1, are troubled debt restructurings. </w:t>
      </w:r>
    </w:p>
    <w:p w:rsidR="00192D34" w:rsidRPr="00BA07A9" w:rsidRDefault="00192D34" w:rsidP="00BA07A9">
      <w:pPr>
        <w:widowControl/>
        <w:rPr>
          <w:rFonts w:ascii="Times New Roman" w:hAnsi="Times New Roman"/>
          <w:b/>
        </w:rPr>
      </w:pPr>
    </w:p>
    <w:p w:rsidR="00BA07A9" w:rsidRPr="00BA07A9" w:rsidRDefault="00BA07A9" w:rsidP="00BA07A9">
      <w:pPr>
        <w:widowControl/>
        <w:rPr>
          <w:rFonts w:ascii="Times New Roman" w:hAnsi="Times New Roman"/>
          <w:b/>
        </w:rPr>
      </w:pPr>
      <w:r>
        <w:rPr>
          <w:rFonts w:ascii="Times New Roman" w:hAnsi="Times New Roman"/>
          <w:b/>
        </w:rPr>
        <w:tab/>
      </w:r>
      <w:proofErr w:type="gramStart"/>
      <w:r>
        <w:rPr>
          <w:rFonts w:ascii="Times New Roman" w:hAnsi="Times New Roman"/>
          <w:b/>
        </w:rPr>
        <w:t>A</w:t>
      </w:r>
      <w:r w:rsidRPr="00BA07A9">
        <w:rPr>
          <w:rFonts w:ascii="Times New Roman" w:hAnsi="Times New Roman"/>
          <w:b/>
        </w:rPr>
        <w:t>.</w:t>
      </w:r>
      <w:r>
        <w:rPr>
          <w:rFonts w:ascii="Times New Roman" w:hAnsi="Times New Roman"/>
          <w:b/>
        </w:rPr>
        <w:t>2</w:t>
      </w:r>
      <w:r w:rsidRPr="00BA07A9">
        <w:rPr>
          <w:rFonts w:ascii="Times New Roman" w:hAnsi="Times New Roman"/>
          <w:b/>
        </w:rPr>
        <w:t xml:space="preserve">  Auto</w:t>
      </w:r>
      <w:proofErr w:type="gramEnd"/>
      <w:r w:rsidRPr="00BA07A9">
        <w:rPr>
          <w:rFonts w:ascii="Times New Roman" w:hAnsi="Times New Roman"/>
          <w:b/>
        </w:rPr>
        <w:t xml:space="preserve"> Loans</w:t>
      </w:r>
    </w:p>
    <w:p w:rsidR="00BA07A9" w:rsidRPr="00BA07A9" w:rsidRDefault="00BA07A9" w:rsidP="00BA07A9">
      <w:pPr>
        <w:widowControl/>
        <w:rPr>
          <w:rFonts w:ascii="Times New Roman" w:hAnsi="Times New Roman"/>
          <w:b/>
        </w:rPr>
      </w:pPr>
    </w:p>
    <w:p w:rsidR="00BA07A9" w:rsidRDefault="00BA07A9" w:rsidP="00BA07A9">
      <w:pPr>
        <w:widowControl/>
        <w:rPr>
          <w:rFonts w:ascii="Times New Roman" w:hAnsi="Times New Roman"/>
        </w:rPr>
      </w:pPr>
      <w:r>
        <w:rPr>
          <w:rFonts w:ascii="Times New Roman" w:hAnsi="Times New Roman"/>
        </w:rPr>
        <w:tab/>
      </w:r>
      <w:r w:rsidR="00384360">
        <w:rPr>
          <w:rFonts w:ascii="Times New Roman" w:hAnsi="Times New Roman"/>
        </w:rPr>
        <w:t>The Federal Reserve</w:t>
      </w:r>
      <w:r w:rsidR="00E11379">
        <w:rPr>
          <w:rFonts w:ascii="Times New Roman" w:hAnsi="Times New Roman"/>
        </w:rPr>
        <w:t xml:space="preserve"> proposes</w:t>
      </w:r>
      <w:r w:rsidRPr="00BA07A9">
        <w:rPr>
          <w:rFonts w:ascii="Times New Roman" w:hAnsi="Times New Roman"/>
        </w:rPr>
        <w:t xml:space="preserve"> to add a breakdown of the other consumer loans </w:t>
      </w:r>
      <w:r w:rsidR="00FE3D5E">
        <w:rPr>
          <w:rFonts w:ascii="Times New Roman" w:hAnsi="Times New Roman"/>
        </w:rPr>
        <w:t>or all other loans loan categories</w:t>
      </w:r>
      <w:r w:rsidRPr="00BA07A9">
        <w:rPr>
          <w:rFonts w:ascii="Times New Roman" w:hAnsi="Times New Roman"/>
        </w:rPr>
        <w:t xml:space="preserve"> </w:t>
      </w:r>
      <w:r w:rsidR="00FE3D5E">
        <w:rPr>
          <w:rFonts w:ascii="Times New Roman" w:hAnsi="Times New Roman"/>
        </w:rPr>
        <w:t xml:space="preserve">contained </w:t>
      </w:r>
      <w:r w:rsidRPr="00BA07A9">
        <w:rPr>
          <w:rFonts w:ascii="Times New Roman" w:hAnsi="Times New Roman"/>
        </w:rPr>
        <w:t xml:space="preserve">in </w:t>
      </w:r>
      <w:r w:rsidR="00D76A54">
        <w:rPr>
          <w:rFonts w:ascii="Times New Roman" w:hAnsi="Times New Roman"/>
        </w:rPr>
        <w:t>four</w:t>
      </w:r>
      <w:r w:rsidR="00E0641F" w:rsidRPr="00BA07A9">
        <w:rPr>
          <w:rFonts w:ascii="Times New Roman" w:hAnsi="Times New Roman"/>
        </w:rPr>
        <w:t xml:space="preserve"> </w:t>
      </w:r>
      <w:r w:rsidR="00FE3D5E">
        <w:rPr>
          <w:rFonts w:ascii="Times New Roman" w:hAnsi="Times New Roman"/>
        </w:rPr>
        <w:t>separate</w:t>
      </w:r>
      <w:r w:rsidRPr="00BA07A9">
        <w:rPr>
          <w:rFonts w:ascii="Times New Roman" w:hAnsi="Times New Roman"/>
        </w:rPr>
        <w:t xml:space="preserve"> schedules in order to separately collect information on auto loans.  The affected schedules would be Schedule </w:t>
      </w:r>
      <w:r w:rsidR="00FE3D5E">
        <w:rPr>
          <w:rFonts w:ascii="Times New Roman" w:hAnsi="Times New Roman"/>
        </w:rPr>
        <w:t>H</w:t>
      </w:r>
      <w:r w:rsidRPr="00BA07A9">
        <w:rPr>
          <w:rFonts w:ascii="Times New Roman" w:hAnsi="Times New Roman"/>
        </w:rPr>
        <w:t xml:space="preserve">C-C, </w:t>
      </w:r>
      <w:r w:rsidR="00FE3D5E">
        <w:rPr>
          <w:rFonts w:ascii="Times New Roman" w:hAnsi="Times New Roman"/>
        </w:rPr>
        <w:t>Loans and Lease Financing Receivables;</w:t>
      </w:r>
      <w:r w:rsidR="00D76A54">
        <w:rPr>
          <w:rFonts w:ascii="Times New Roman" w:hAnsi="Times New Roman"/>
        </w:rPr>
        <w:t xml:space="preserve"> </w:t>
      </w:r>
      <w:r w:rsidR="00D76A54" w:rsidRPr="00D76A54">
        <w:rPr>
          <w:rFonts w:ascii="Times New Roman" w:hAnsi="Times New Roman"/>
        </w:rPr>
        <w:t>Schedule HC-D, Trading Assets and Liabilities;</w:t>
      </w:r>
      <w:r w:rsidR="00D76A54">
        <w:rPr>
          <w:rFonts w:ascii="Times New Roman" w:hAnsi="Times New Roman"/>
        </w:rPr>
        <w:t xml:space="preserve"> </w:t>
      </w:r>
      <w:r w:rsidR="00FE3D5E">
        <w:rPr>
          <w:rFonts w:ascii="Times New Roman" w:hAnsi="Times New Roman"/>
        </w:rPr>
        <w:t>Schedule H</w:t>
      </w:r>
      <w:r w:rsidRPr="00BA07A9">
        <w:rPr>
          <w:rFonts w:ascii="Times New Roman" w:hAnsi="Times New Roman"/>
        </w:rPr>
        <w:t>C-N, Past Due and Nonaccrual Loans, Leas</w:t>
      </w:r>
      <w:r w:rsidR="00FE3D5E">
        <w:rPr>
          <w:rFonts w:ascii="Times New Roman" w:hAnsi="Times New Roman"/>
        </w:rPr>
        <w:t>es, and Other Assets; and Schedule H</w:t>
      </w:r>
      <w:r w:rsidRPr="00BA07A9">
        <w:rPr>
          <w:rFonts w:ascii="Times New Roman" w:hAnsi="Times New Roman"/>
        </w:rPr>
        <w:t xml:space="preserve">I-B, Part I, Charge-offs and Recoveries on Loans and Leases.  Auto loans would </w:t>
      </w:r>
      <w:r w:rsidR="00FE3D5E">
        <w:rPr>
          <w:rFonts w:ascii="Times New Roman" w:hAnsi="Times New Roman"/>
        </w:rPr>
        <w:t>include</w:t>
      </w:r>
      <w:r w:rsidRPr="00BA07A9">
        <w:rPr>
          <w:rFonts w:ascii="Times New Roman" w:hAnsi="Times New Roman"/>
        </w:rPr>
        <w:t xml:space="preserve"> loans arising from retail sales of passenger cars and other vehicles such as minivans, vans, sport-utility vehicles, pickup trucks, and similar light trucks for personal use.  This new loan category would exclude</w:t>
      </w:r>
      <w:r w:rsidRPr="00BA07A9">
        <w:rPr>
          <w:rFonts w:ascii="Times New Roman" w:hAnsi="Times New Roman"/>
          <w:iCs/>
        </w:rPr>
        <w:t xml:space="preserve"> loans to finance </w:t>
      </w:r>
      <w:r w:rsidRPr="00BA07A9">
        <w:rPr>
          <w:rFonts w:ascii="Times New Roman" w:hAnsi="Times New Roman"/>
        </w:rPr>
        <w:t xml:space="preserve">fleet sales, personal cash loans secured by automobiles </w:t>
      </w:r>
      <w:r w:rsidRPr="00BA07A9">
        <w:rPr>
          <w:rFonts w:ascii="Times New Roman" w:hAnsi="Times New Roman"/>
          <w:iCs/>
        </w:rPr>
        <w:lastRenderedPageBreak/>
        <w:t xml:space="preserve">already paid for, </w:t>
      </w:r>
      <w:r w:rsidRPr="00BA07A9">
        <w:rPr>
          <w:rFonts w:ascii="Times New Roman" w:hAnsi="Times New Roman"/>
        </w:rPr>
        <w:t>loans to finance the purchase of commercial vehicles and farm equipment, and lease financing.</w:t>
      </w:r>
    </w:p>
    <w:p w:rsidR="00FE3D5E" w:rsidRPr="00BA07A9" w:rsidRDefault="00FE3D5E" w:rsidP="00BA07A9">
      <w:pPr>
        <w:widowControl/>
        <w:rPr>
          <w:rFonts w:ascii="Times New Roman" w:hAnsi="Times New Roman"/>
        </w:rPr>
      </w:pPr>
    </w:p>
    <w:p w:rsidR="00FE3D5E" w:rsidRDefault="00FE3D5E" w:rsidP="00BA07A9">
      <w:pPr>
        <w:widowControl/>
        <w:rPr>
          <w:rFonts w:ascii="Times New Roman" w:hAnsi="Times New Roman"/>
        </w:rPr>
      </w:pPr>
      <w:r>
        <w:rPr>
          <w:rFonts w:ascii="Times New Roman" w:hAnsi="Times New Roman"/>
        </w:rPr>
        <w:tab/>
      </w:r>
      <w:r w:rsidR="00BA07A9" w:rsidRPr="00BA07A9">
        <w:rPr>
          <w:rFonts w:ascii="Times New Roman" w:hAnsi="Times New Roman"/>
        </w:rPr>
        <w:t xml:space="preserve">Automobile loans are a significant consumer business for many large </w:t>
      </w:r>
      <w:r>
        <w:rPr>
          <w:rFonts w:ascii="Times New Roman" w:hAnsi="Times New Roman"/>
        </w:rPr>
        <w:t>BHCs</w:t>
      </w:r>
      <w:r w:rsidR="00BA07A9" w:rsidRPr="00BA07A9">
        <w:rPr>
          <w:rFonts w:ascii="Times New Roman" w:hAnsi="Times New Roman"/>
        </w:rPr>
        <w:t xml:space="preserve">.  Because of the limited disclosure of auto lending on existing regulatory reports, supervisory oversight of auto lending is </w:t>
      </w:r>
      <w:r w:rsidR="00C660F8">
        <w:rPr>
          <w:rFonts w:ascii="Times New Roman" w:hAnsi="Times New Roman"/>
        </w:rPr>
        <w:t>presently</w:t>
      </w:r>
      <w:r w:rsidR="00BA07A9" w:rsidRPr="00BA07A9">
        <w:rPr>
          <w:rFonts w:ascii="Times New Roman" w:hAnsi="Times New Roman"/>
        </w:rPr>
        <w:t xml:space="preserve"> diminished by the need to rely on the examination process and public information sources that provide overall market information but not data on idiosyncratic risks.</w:t>
      </w:r>
    </w:p>
    <w:p w:rsidR="00BA07A9" w:rsidRPr="00BA07A9" w:rsidRDefault="00BA07A9" w:rsidP="00BA07A9">
      <w:pPr>
        <w:widowControl/>
        <w:rPr>
          <w:rFonts w:ascii="Times New Roman" w:hAnsi="Times New Roman"/>
        </w:rPr>
      </w:pPr>
      <w:r w:rsidRPr="00BA07A9">
        <w:rPr>
          <w:rFonts w:ascii="Times New Roman" w:hAnsi="Times New Roman"/>
        </w:rPr>
        <w:t xml:space="preserve"> </w:t>
      </w:r>
    </w:p>
    <w:p w:rsidR="00BA07A9" w:rsidRPr="00BA07A9" w:rsidRDefault="00BA07A9" w:rsidP="002D5235">
      <w:pPr>
        <w:widowControl/>
        <w:rPr>
          <w:rFonts w:ascii="Times New Roman" w:hAnsi="Times New Roman"/>
        </w:rPr>
      </w:pPr>
      <w:r>
        <w:rPr>
          <w:rFonts w:ascii="Times New Roman" w:hAnsi="Times New Roman"/>
        </w:rPr>
        <w:tab/>
      </w:r>
      <w:r w:rsidRPr="00BA07A9">
        <w:rPr>
          <w:rFonts w:ascii="Times New Roman" w:hAnsi="Times New Roman"/>
        </w:rPr>
        <w:t>Roughly 65 percent of new vehicle sales and 40 percent of used vehicle sales are funded with auto loans.</w:t>
      </w:r>
      <w:r w:rsidR="002D5235" w:rsidDel="002D5235">
        <w:rPr>
          <w:rFonts w:ascii="Times New Roman" w:hAnsi="Times New Roman"/>
        </w:rPr>
        <w:t xml:space="preserve"> </w:t>
      </w:r>
      <w:r w:rsidR="001C47AF">
        <w:rPr>
          <w:rFonts w:ascii="Times New Roman" w:hAnsi="Times New Roman"/>
        </w:rPr>
        <w:t xml:space="preserve"> </w:t>
      </w:r>
      <w:r w:rsidRPr="00BA07A9">
        <w:rPr>
          <w:rFonts w:ascii="Times New Roman" w:hAnsi="Times New Roman"/>
        </w:rPr>
        <w:t xml:space="preserve">According to household surveys and data on loan originations, </w:t>
      </w:r>
      <w:r w:rsidR="00FE3D5E">
        <w:rPr>
          <w:rFonts w:ascii="Times New Roman" w:hAnsi="Times New Roman"/>
        </w:rPr>
        <w:t xml:space="preserve">commercial </w:t>
      </w:r>
      <w:r w:rsidRPr="00BA07A9">
        <w:rPr>
          <w:rFonts w:ascii="Times New Roman" w:hAnsi="Times New Roman"/>
        </w:rPr>
        <w:t>banks are an important source of auto loans.  In 2008, this sector originated approximately one-third of all auto loans.  Finance companies, both independent and those affiliated with auto manufacturers</w:t>
      </w:r>
      <w:r w:rsidR="008C1C5C">
        <w:rPr>
          <w:rFonts w:ascii="Times New Roman" w:hAnsi="Times New Roman"/>
        </w:rPr>
        <w:t>,</w:t>
      </w:r>
      <w:r w:rsidRPr="00BA07A9">
        <w:rPr>
          <w:rFonts w:ascii="Times New Roman" w:hAnsi="Times New Roman"/>
        </w:rPr>
        <w:t xml:space="preserve"> originated a bit more than one-third, while credit unions originated a bit less than one-quarter.  In addition to originating auto loans, some banks purchase auto loans originated by </w:t>
      </w:r>
      <w:r w:rsidR="00FE3D5E">
        <w:rPr>
          <w:rFonts w:ascii="Times New Roman" w:hAnsi="Times New Roman"/>
        </w:rPr>
        <w:t>other entities</w:t>
      </w:r>
      <w:r w:rsidRPr="00BA07A9">
        <w:rPr>
          <w:rFonts w:ascii="Times New Roman" w:hAnsi="Times New Roman"/>
        </w:rPr>
        <w:t xml:space="preserve">, which suggests that commercial banks could be the largest holder of auto loans. </w:t>
      </w:r>
    </w:p>
    <w:p w:rsidR="00FE3D5E" w:rsidRDefault="00FE3D5E" w:rsidP="00BA07A9">
      <w:pPr>
        <w:widowControl/>
        <w:rPr>
          <w:rFonts w:ascii="Times New Roman" w:hAnsi="Times New Roman"/>
        </w:rPr>
      </w:pPr>
    </w:p>
    <w:p w:rsidR="00BA07A9" w:rsidRPr="00BA07A9" w:rsidRDefault="00FE3D5E" w:rsidP="00BA07A9">
      <w:pPr>
        <w:widowControl/>
        <w:rPr>
          <w:rFonts w:ascii="Times New Roman" w:hAnsi="Times New Roman"/>
        </w:rPr>
      </w:pPr>
      <w:r>
        <w:rPr>
          <w:rFonts w:ascii="Times New Roman" w:hAnsi="Times New Roman"/>
        </w:rPr>
        <w:tab/>
      </w:r>
      <w:r w:rsidR="00BA07A9" w:rsidRPr="00BA07A9">
        <w:rPr>
          <w:rFonts w:ascii="Times New Roman" w:hAnsi="Times New Roman"/>
        </w:rPr>
        <w:t xml:space="preserve">Despite the importance of </w:t>
      </w:r>
      <w:r>
        <w:rPr>
          <w:rFonts w:ascii="Times New Roman" w:hAnsi="Times New Roman"/>
        </w:rPr>
        <w:t>BHCs</w:t>
      </w:r>
      <w:r w:rsidR="00BA07A9" w:rsidRPr="00BA07A9">
        <w:rPr>
          <w:rFonts w:ascii="Times New Roman" w:hAnsi="Times New Roman"/>
        </w:rPr>
        <w:t xml:space="preserve"> to the auto loan market, </w:t>
      </w:r>
      <w:r w:rsidR="00384360">
        <w:rPr>
          <w:rFonts w:ascii="Times New Roman" w:hAnsi="Times New Roman"/>
        </w:rPr>
        <w:t>the Federal Reserve</w:t>
      </w:r>
      <w:r w:rsidR="00384360" w:rsidRPr="00BA07A9">
        <w:rPr>
          <w:rFonts w:ascii="Times New Roman" w:hAnsi="Times New Roman"/>
        </w:rPr>
        <w:t xml:space="preserve"> </w:t>
      </w:r>
      <w:r w:rsidR="00BA07A9" w:rsidRPr="00BA07A9">
        <w:rPr>
          <w:rFonts w:ascii="Times New Roman" w:hAnsi="Times New Roman"/>
        </w:rPr>
        <w:t>know</w:t>
      </w:r>
      <w:r>
        <w:rPr>
          <w:rFonts w:ascii="Times New Roman" w:hAnsi="Times New Roman"/>
        </w:rPr>
        <w:t>s</w:t>
      </w:r>
      <w:r w:rsidR="00BA07A9" w:rsidRPr="00BA07A9">
        <w:rPr>
          <w:rFonts w:ascii="Times New Roman" w:hAnsi="Times New Roman"/>
        </w:rPr>
        <w:t xml:space="preserve"> less about </w:t>
      </w:r>
      <w:r>
        <w:rPr>
          <w:rFonts w:ascii="Times New Roman" w:hAnsi="Times New Roman"/>
        </w:rPr>
        <w:t>BHCs</w:t>
      </w:r>
      <w:r w:rsidR="00BA07A9" w:rsidRPr="00BA07A9">
        <w:rPr>
          <w:rFonts w:ascii="Times New Roman" w:hAnsi="Times New Roman"/>
        </w:rPr>
        <w:t xml:space="preserve">’ holdings of auto loans than </w:t>
      </w:r>
      <w:r>
        <w:rPr>
          <w:rFonts w:ascii="Times New Roman" w:hAnsi="Times New Roman"/>
        </w:rPr>
        <w:t>is known</w:t>
      </w:r>
      <w:r w:rsidR="00BA07A9" w:rsidRPr="00BA07A9">
        <w:rPr>
          <w:rFonts w:ascii="Times New Roman" w:hAnsi="Times New Roman"/>
        </w:rPr>
        <w:t xml:space="preserve"> about finance company, credit union, and savings association holdings of these loans.  All nonbank depository institutions are required to report auto loans on their respective regulatory reports, including savings associations, which originate less than </w:t>
      </w:r>
      <w:r w:rsidR="008C1C5C">
        <w:rPr>
          <w:rFonts w:ascii="Times New Roman" w:hAnsi="Times New Roman"/>
        </w:rPr>
        <w:t>5</w:t>
      </w:r>
      <w:r w:rsidR="00BA07A9" w:rsidRPr="00BA07A9">
        <w:rPr>
          <w:rFonts w:ascii="Times New Roman" w:hAnsi="Times New Roman"/>
        </w:rPr>
        <w:t xml:space="preserve"> percent of auto loans.  On their regulatory reports, credit unions must provide not only the outstanding amount of new and used auto loans, but also the average interest rate and the number of loans.  In a monthly survey, the Federal Reserve collects information on the amount of auto loans held by finance companies.  As a consequence, during the financial crisis when funds were scarce for finance companies in general and the finance companies affiliated with automakers in particular, a lack of data on auto loans at banks hindered the </w:t>
      </w:r>
      <w:r>
        <w:rPr>
          <w:rFonts w:ascii="Times New Roman" w:hAnsi="Times New Roman"/>
        </w:rPr>
        <w:t>Federal Reserve’s</w:t>
      </w:r>
      <w:r w:rsidR="00BA07A9" w:rsidRPr="00BA07A9">
        <w:rPr>
          <w:rFonts w:ascii="Times New Roman" w:hAnsi="Times New Roman"/>
        </w:rPr>
        <w:t xml:space="preserve"> ability to estimate the extent to which </w:t>
      </w:r>
      <w:r>
        <w:rPr>
          <w:rFonts w:ascii="Times New Roman" w:hAnsi="Times New Roman"/>
        </w:rPr>
        <w:t>BHCs</w:t>
      </w:r>
      <w:r w:rsidR="00BA07A9" w:rsidRPr="00BA07A9">
        <w:rPr>
          <w:rFonts w:ascii="Times New Roman" w:hAnsi="Times New Roman"/>
        </w:rPr>
        <w:t xml:space="preserve"> were filling in the gap in auto lending left by the finance companies.</w:t>
      </w:r>
    </w:p>
    <w:p w:rsidR="00FE3D5E" w:rsidRDefault="00FE3D5E" w:rsidP="00BA07A9">
      <w:pPr>
        <w:widowControl/>
        <w:rPr>
          <w:rFonts w:ascii="Times New Roman" w:hAnsi="Times New Roman"/>
        </w:rPr>
      </w:pPr>
    </w:p>
    <w:p w:rsidR="00BA07A9" w:rsidRDefault="00FE3D5E" w:rsidP="00BA07A9">
      <w:pPr>
        <w:widowControl/>
        <w:rPr>
          <w:rFonts w:ascii="Times New Roman" w:hAnsi="Times New Roman"/>
        </w:rPr>
      </w:pPr>
      <w:r>
        <w:rPr>
          <w:rFonts w:ascii="Times New Roman" w:hAnsi="Times New Roman"/>
        </w:rPr>
        <w:tab/>
      </w:r>
      <w:r w:rsidR="00BA07A9" w:rsidRPr="00BA07A9">
        <w:rPr>
          <w:rFonts w:ascii="Times New Roman" w:hAnsi="Times New Roman"/>
        </w:rPr>
        <w:t xml:space="preserve">Additional disclosure regarding </w:t>
      </w:r>
      <w:r>
        <w:rPr>
          <w:rFonts w:ascii="Times New Roman" w:hAnsi="Times New Roman"/>
        </w:rPr>
        <w:t xml:space="preserve">consolidated </w:t>
      </w:r>
      <w:r w:rsidR="00BA07A9" w:rsidRPr="00BA07A9">
        <w:rPr>
          <w:rFonts w:ascii="Times New Roman" w:hAnsi="Times New Roman"/>
        </w:rPr>
        <w:t xml:space="preserve">auto loans on </w:t>
      </w:r>
      <w:r>
        <w:rPr>
          <w:rFonts w:ascii="Times New Roman" w:hAnsi="Times New Roman"/>
        </w:rPr>
        <w:t>the FR Y-9C</w:t>
      </w:r>
      <w:r w:rsidR="00BA07A9" w:rsidRPr="00BA07A9">
        <w:rPr>
          <w:rFonts w:ascii="Times New Roman" w:hAnsi="Times New Roman"/>
        </w:rPr>
        <w:t xml:space="preserve"> is especially important with the implementation of </w:t>
      </w:r>
      <w:r w:rsidR="005473FD" w:rsidRPr="005473FD">
        <w:rPr>
          <w:rFonts w:ascii="Times New Roman" w:hAnsi="Times New Roman"/>
        </w:rPr>
        <w:t xml:space="preserve">the amendments to Financial Accounting Standards Board (FASB) Accounting Standards Codification (ASC) Topics 860, Transfers and Servicing, and 810, </w:t>
      </w:r>
      <w:r w:rsidR="00A204D4">
        <w:rPr>
          <w:rFonts w:ascii="Times New Roman" w:hAnsi="Times New Roman"/>
        </w:rPr>
        <w:t>C</w:t>
      </w:r>
      <w:r w:rsidR="005473FD" w:rsidRPr="005473FD">
        <w:rPr>
          <w:rFonts w:ascii="Times New Roman" w:hAnsi="Times New Roman"/>
        </w:rPr>
        <w:t>onsolidations, resulting from Accounting Standards Update (ASU) No. 2009-16</w:t>
      </w:r>
      <w:r w:rsidR="00166CC8" w:rsidRPr="00166CC8">
        <w:rPr>
          <w:rStyle w:val="FootnoteReference"/>
          <w:vertAlign w:val="superscript"/>
        </w:rPr>
        <w:footnoteReference w:id="5"/>
      </w:r>
      <w:r w:rsidR="00BA07A9" w:rsidRPr="00BA07A9">
        <w:rPr>
          <w:rFonts w:ascii="Times New Roman" w:hAnsi="Times New Roman"/>
          <w:iCs/>
        </w:rPr>
        <w:t>,</w:t>
      </w:r>
      <w:r w:rsidR="00BA07A9" w:rsidRPr="00BA07A9">
        <w:rPr>
          <w:rFonts w:ascii="Times New Roman" w:hAnsi="Times New Roman"/>
        </w:rPr>
        <w:t xml:space="preserve"> and </w:t>
      </w:r>
      <w:r w:rsidR="005473FD" w:rsidRPr="005473FD">
        <w:rPr>
          <w:rFonts w:ascii="Times New Roman" w:hAnsi="Times New Roman"/>
        </w:rPr>
        <w:t>ASU No. 2009-17</w:t>
      </w:r>
      <w:r w:rsidR="00166CC8" w:rsidRPr="00166CC8">
        <w:rPr>
          <w:rStyle w:val="FootnoteReference"/>
          <w:vertAlign w:val="superscript"/>
        </w:rPr>
        <w:footnoteReference w:id="6"/>
      </w:r>
      <w:r w:rsidR="005473FD">
        <w:rPr>
          <w:rFonts w:ascii="Times New Roman" w:hAnsi="Times New Roman"/>
        </w:rPr>
        <w:t>, respectively</w:t>
      </w:r>
      <w:r w:rsidR="00BA07A9" w:rsidRPr="00BA07A9">
        <w:rPr>
          <w:rFonts w:ascii="Times New Roman" w:hAnsi="Times New Roman"/>
        </w:rPr>
        <w:t xml:space="preserve">.  Until 2010, </w:t>
      </w:r>
      <w:r>
        <w:rPr>
          <w:rFonts w:ascii="Times New Roman" w:hAnsi="Times New Roman"/>
        </w:rPr>
        <w:t>Schedule H</w:t>
      </w:r>
      <w:r w:rsidR="00BA07A9" w:rsidRPr="00BA07A9">
        <w:rPr>
          <w:rFonts w:ascii="Times New Roman" w:hAnsi="Times New Roman"/>
        </w:rPr>
        <w:t>C-S</w:t>
      </w:r>
      <w:r>
        <w:rPr>
          <w:rFonts w:ascii="Times New Roman" w:hAnsi="Times New Roman"/>
        </w:rPr>
        <w:t>, Servicing, Securitization, and Asset Sale Activities,</w:t>
      </w:r>
      <w:r w:rsidR="00BA07A9" w:rsidRPr="00BA07A9">
        <w:rPr>
          <w:rFonts w:ascii="Times New Roman" w:hAnsi="Times New Roman"/>
        </w:rPr>
        <w:t xml:space="preserve"> had provided the best supervisory information on auto lending because it included a separate breakout of securitized auto loans outstanding as well as securitized auto loan delinquencies and charge-offs.  The accounting changes brought about by </w:t>
      </w:r>
      <w:r w:rsidR="005473FD">
        <w:rPr>
          <w:rFonts w:ascii="Times New Roman" w:hAnsi="Times New Roman"/>
        </w:rPr>
        <w:t>the amendments to ASC Topics 860 and 810</w:t>
      </w:r>
      <w:r w:rsidR="00BA07A9" w:rsidRPr="00BA07A9">
        <w:rPr>
          <w:rFonts w:ascii="Times New Roman" w:hAnsi="Times New Roman"/>
        </w:rPr>
        <w:t>, however, mean that if the auto loan securitization vehicle is now required to be consolidated, securitized auto lending p</w:t>
      </w:r>
      <w:r>
        <w:rPr>
          <w:rFonts w:ascii="Times New Roman" w:hAnsi="Times New Roman"/>
        </w:rPr>
        <w:t>reviously reported on Schedule H</w:t>
      </w:r>
      <w:r w:rsidR="00BA07A9" w:rsidRPr="00BA07A9">
        <w:rPr>
          <w:rFonts w:ascii="Times New Roman" w:hAnsi="Times New Roman"/>
        </w:rPr>
        <w:t>C</w:t>
      </w:r>
      <w:r w:rsidR="00BA07A9" w:rsidRPr="00BA07A9">
        <w:rPr>
          <w:rFonts w:ascii="Times New Roman" w:hAnsi="Times New Roman"/>
        </w:rPr>
        <w:noBreakHyphen/>
        <w:t xml:space="preserve">S will be grouped as part of other consumer loans </w:t>
      </w:r>
      <w:r w:rsidR="00717620">
        <w:rPr>
          <w:rFonts w:ascii="Times New Roman" w:hAnsi="Times New Roman"/>
        </w:rPr>
        <w:t>or all other loans on Schedules HC-C</w:t>
      </w:r>
      <w:r w:rsidR="00440596">
        <w:rPr>
          <w:rFonts w:ascii="Times New Roman" w:hAnsi="Times New Roman"/>
        </w:rPr>
        <w:t>,</w:t>
      </w:r>
      <w:r w:rsidR="00717620">
        <w:rPr>
          <w:rFonts w:ascii="Times New Roman" w:hAnsi="Times New Roman"/>
        </w:rPr>
        <w:t xml:space="preserve"> </w:t>
      </w:r>
      <w:r w:rsidR="0066271C">
        <w:rPr>
          <w:rFonts w:ascii="Times New Roman" w:hAnsi="Times New Roman"/>
        </w:rPr>
        <w:t>HC-D</w:t>
      </w:r>
      <w:r w:rsidR="00440596">
        <w:rPr>
          <w:rFonts w:ascii="Times New Roman" w:hAnsi="Times New Roman"/>
        </w:rPr>
        <w:t>,</w:t>
      </w:r>
      <w:r w:rsidR="00717620">
        <w:rPr>
          <w:rFonts w:ascii="Times New Roman" w:hAnsi="Times New Roman"/>
        </w:rPr>
        <w:t xml:space="preserve"> HC-N</w:t>
      </w:r>
      <w:r w:rsidR="00440596">
        <w:rPr>
          <w:rFonts w:ascii="Times New Roman" w:hAnsi="Times New Roman"/>
        </w:rPr>
        <w:t>,</w:t>
      </w:r>
      <w:r w:rsidR="00717620">
        <w:rPr>
          <w:rFonts w:ascii="Times New Roman" w:hAnsi="Times New Roman"/>
        </w:rPr>
        <w:t xml:space="preserve"> and H</w:t>
      </w:r>
      <w:r w:rsidR="00BA07A9" w:rsidRPr="00BA07A9">
        <w:rPr>
          <w:rFonts w:ascii="Times New Roman" w:hAnsi="Times New Roman"/>
        </w:rPr>
        <w:t>I-B</w:t>
      </w:r>
      <w:r w:rsidR="00440596">
        <w:rPr>
          <w:rFonts w:ascii="Times New Roman" w:hAnsi="Times New Roman"/>
        </w:rPr>
        <w:t>,</w:t>
      </w:r>
      <w:r w:rsidR="00BA07A9" w:rsidRPr="00BA07A9">
        <w:rPr>
          <w:rFonts w:ascii="Times New Roman" w:hAnsi="Times New Roman"/>
        </w:rPr>
        <w:t xml:space="preserve"> Part I, which diminishes supervisors’ ability to assess auto loan exposures and performance. </w:t>
      </w:r>
    </w:p>
    <w:p w:rsidR="00BA07A9" w:rsidRPr="00BA07A9" w:rsidRDefault="00BA07A9" w:rsidP="00BA07A9">
      <w:pPr>
        <w:widowControl/>
        <w:rPr>
          <w:rFonts w:ascii="Times New Roman" w:hAnsi="Times New Roman"/>
        </w:rPr>
      </w:pPr>
    </w:p>
    <w:p w:rsidR="00320A75" w:rsidRDefault="00BA07A9" w:rsidP="00BA07A9">
      <w:pPr>
        <w:widowControl/>
        <w:rPr>
          <w:rFonts w:ascii="Times New Roman" w:hAnsi="Times New Roman"/>
          <w:b/>
        </w:rPr>
      </w:pPr>
      <w:r>
        <w:rPr>
          <w:rFonts w:ascii="Times New Roman" w:hAnsi="Times New Roman"/>
        </w:rPr>
        <w:lastRenderedPageBreak/>
        <w:tab/>
      </w:r>
      <w:r w:rsidRPr="00BA07A9">
        <w:rPr>
          <w:rFonts w:ascii="Times New Roman" w:hAnsi="Times New Roman"/>
        </w:rPr>
        <w:t xml:space="preserve">Finally, separating auto lending from other consumer loans will assist the </w:t>
      </w:r>
      <w:r w:rsidR="00717620">
        <w:rPr>
          <w:rFonts w:ascii="Times New Roman" w:hAnsi="Times New Roman"/>
        </w:rPr>
        <w:t>Federal Reserve</w:t>
      </w:r>
      <w:r w:rsidRPr="00BA07A9">
        <w:rPr>
          <w:rFonts w:ascii="Times New Roman" w:hAnsi="Times New Roman"/>
        </w:rPr>
        <w:t xml:space="preserve"> in understanding consumer lending activities at individual institutions.  When an institution holds </w:t>
      </w:r>
      <w:proofErr w:type="gramStart"/>
      <w:r w:rsidRPr="00BA07A9">
        <w:rPr>
          <w:rFonts w:ascii="Times New Roman" w:hAnsi="Times New Roman"/>
        </w:rPr>
        <w:t>both auto</w:t>
      </w:r>
      <w:proofErr w:type="gramEnd"/>
      <w:r w:rsidRPr="00BA07A9">
        <w:rPr>
          <w:rFonts w:ascii="Times New Roman" w:hAnsi="Times New Roman"/>
        </w:rPr>
        <w:t xml:space="preserve"> loans and other types of consumer loans (other than credit cards, which are currently reported separately), the current combined reporting of these loans in the </w:t>
      </w:r>
      <w:r w:rsidR="00717620">
        <w:rPr>
          <w:rFonts w:ascii="Times New Roman" w:hAnsi="Times New Roman"/>
        </w:rPr>
        <w:t>FR Y-9C</w:t>
      </w:r>
      <w:r w:rsidRPr="00BA07A9">
        <w:rPr>
          <w:rFonts w:ascii="Times New Roman" w:hAnsi="Times New Roman"/>
        </w:rPr>
        <w:t xml:space="preserve"> tends to mask any significant differences that may exist in the performance of these portfolios.  For example, a </w:t>
      </w:r>
      <w:r w:rsidR="00717620">
        <w:rPr>
          <w:rFonts w:ascii="Times New Roman" w:hAnsi="Times New Roman"/>
        </w:rPr>
        <w:t>BHC</w:t>
      </w:r>
      <w:r w:rsidRPr="00BA07A9">
        <w:rPr>
          <w:rFonts w:ascii="Times New Roman" w:hAnsi="Times New Roman"/>
        </w:rPr>
        <w:t xml:space="preserve"> could have a sizeable auto loan portfolio with low loan losses, but its other consumer lending, which could consist primarily of unsecured loans, could exhibit very high loss rates.  The current blending of these divergent portfolios into a single loan category makes it difficult to adequately monitor consumer loan performance.</w:t>
      </w:r>
      <w:r w:rsidRPr="00BA07A9">
        <w:rPr>
          <w:rFonts w:ascii="Times New Roman" w:hAnsi="Times New Roman"/>
          <w:b/>
        </w:rPr>
        <w:t xml:space="preserve"> </w:t>
      </w:r>
    </w:p>
    <w:p w:rsidR="00BA07A9" w:rsidRPr="00BA07A9" w:rsidRDefault="00BA07A9" w:rsidP="00BA07A9">
      <w:pPr>
        <w:widowControl/>
        <w:rPr>
          <w:rFonts w:ascii="Times New Roman" w:hAnsi="Times New Roman"/>
          <w:b/>
        </w:rPr>
      </w:pPr>
    </w:p>
    <w:p w:rsidR="00BA07A9" w:rsidRPr="00BA07A9" w:rsidRDefault="00BA07A9" w:rsidP="00BA07A9">
      <w:pPr>
        <w:widowControl/>
        <w:rPr>
          <w:rFonts w:ascii="Times New Roman" w:hAnsi="Times New Roman"/>
          <w:b/>
        </w:rPr>
      </w:pPr>
      <w:r>
        <w:rPr>
          <w:rFonts w:ascii="Times New Roman" w:hAnsi="Times New Roman"/>
          <w:b/>
        </w:rPr>
        <w:tab/>
      </w:r>
      <w:proofErr w:type="gramStart"/>
      <w:r>
        <w:rPr>
          <w:rFonts w:ascii="Times New Roman" w:hAnsi="Times New Roman"/>
          <w:b/>
        </w:rPr>
        <w:t>A</w:t>
      </w:r>
      <w:r w:rsidRPr="00BA07A9">
        <w:rPr>
          <w:rFonts w:ascii="Times New Roman" w:hAnsi="Times New Roman"/>
          <w:b/>
        </w:rPr>
        <w:t>.</w:t>
      </w:r>
      <w:r>
        <w:rPr>
          <w:rFonts w:ascii="Times New Roman" w:hAnsi="Times New Roman"/>
          <w:b/>
        </w:rPr>
        <w:t>3</w:t>
      </w:r>
      <w:r w:rsidRPr="00BA07A9">
        <w:rPr>
          <w:rFonts w:ascii="Times New Roman" w:hAnsi="Times New Roman"/>
          <w:b/>
        </w:rPr>
        <w:t xml:space="preserve">  Commercial</w:t>
      </w:r>
      <w:proofErr w:type="gramEnd"/>
      <w:r w:rsidRPr="00BA07A9">
        <w:rPr>
          <w:rFonts w:ascii="Times New Roman" w:hAnsi="Times New Roman"/>
          <w:b/>
        </w:rPr>
        <w:t xml:space="preserve"> Mortgage Backed Securities Issued or Guaranteed by U.S. Government Agencies and Sponsored Agencies</w:t>
      </w:r>
    </w:p>
    <w:p w:rsidR="00BA07A9" w:rsidRPr="00BA07A9" w:rsidRDefault="00BA07A9" w:rsidP="00BA07A9">
      <w:pPr>
        <w:widowControl/>
        <w:rPr>
          <w:rFonts w:ascii="Times New Roman" w:hAnsi="Times New Roman"/>
          <w:b/>
        </w:rPr>
      </w:pPr>
    </w:p>
    <w:p w:rsidR="00BA07A9" w:rsidRDefault="00BA07A9" w:rsidP="00BA07A9">
      <w:pPr>
        <w:widowControl/>
        <w:rPr>
          <w:rFonts w:ascii="Times New Roman" w:hAnsi="Times New Roman"/>
        </w:rPr>
      </w:pPr>
      <w:r>
        <w:rPr>
          <w:rFonts w:ascii="Times New Roman" w:hAnsi="Times New Roman"/>
        </w:rPr>
        <w:tab/>
      </w:r>
      <w:r w:rsidR="00384360">
        <w:rPr>
          <w:rFonts w:ascii="Times New Roman" w:hAnsi="Times New Roman"/>
        </w:rPr>
        <w:t>The Federal Reserve</w:t>
      </w:r>
      <w:r w:rsidRPr="00BA07A9">
        <w:rPr>
          <w:rFonts w:ascii="Times New Roman" w:hAnsi="Times New Roman"/>
        </w:rPr>
        <w:t xml:space="preserve"> propose</w:t>
      </w:r>
      <w:r w:rsidR="00137D30">
        <w:rPr>
          <w:rFonts w:ascii="Times New Roman" w:hAnsi="Times New Roman"/>
        </w:rPr>
        <w:t>s</w:t>
      </w:r>
      <w:r w:rsidRPr="00BA07A9">
        <w:rPr>
          <w:rFonts w:ascii="Times New Roman" w:hAnsi="Times New Roman"/>
        </w:rPr>
        <w:t xml:space="preserve"> to split the existing </w:t>
      </w:r>
      <w:r w:rsidR="00B17446">
        <w:rPr>
          <w:rFonts w:ascii="Times New Roman" w:hAnsi="Times New Roman"/>
        </w:rPr>
        <w:t xml:space="preserve">data </w:t>
      </w:r>
      <w:r w:rsidRPr="00BA07A9">
        <w:rPr>
          <w:rFonts w:ascii="Times New Roman" w:hAnsi="Times New Roman"/>
        </w:rPr>
        <w:t>items on commercial mortgage-backed</w:t>
      </w:r>
      <w:r w:rsidR="00717620">
        <w:rPr>
          <w:rFonts w:ascii="Times New Roman" w:hAnsi="Times New Roman"/>
        </w:rPr>
        <w:t xml:space="preserve"> securities (CMBS) in Schedule H</w:t>
      </w:r>
      <w:r w:rsidRPr="00BA07A9">
        <w:rPr>
          <w:rFonts w:ascii="Times New Roman" w:hAnsi="Times New Roman"/>
        </w:rPr>
        <w:t>C</w:t>
      </w:r>
      <w:r w:rsidR="00717620">
        <w:rPr>
          <w:rFonts w:ascii="Times New Roman" w:hAnsi="Times New Roman"/>
        </w:rPr>
        <w:t>-B, Securities, and Schedule H</w:t>
      </w:r>
      <w:r w:rsidRPr="00BA07A9">
        <w:rPr>
          <w:rFonts w:ascii="Times New Roman" w:hAnsi="Times New Roman"/>
        </w:rPr>
        <w:t xml:space="preserve">C-D, Trading Assets and Liabilities, to distinguish between CMBS issued or guaranteed by U.S. Government agencies and sponsored agencies (collectively, U.S. Government agencies) and those issued by others.  Until June 2009, information reported in the </w:t>
      </w:r>
      <w:r w:rsidR="00717620">
        <w:rPr>
          <w:rFonts w:ascii="Times New Roman" w:hAnsi="Times New Roman"/>
        </w:rPr>
        <w:t>FR Y-9C</w:t>
      </w:r>
      <w:r w:rsidRPr="00BA07A9">
        <w:rPr>
          <w:rFonts w:ascii="Times New Roman" w:hAnsi="Times New Roman"/>
        </w:rPr>
        <w:t xml:space="preserve"> on mortgage-backed securities (MBS) issued or guaranteed by U.S. Government agencies included both residential MBS and CMBS.  However, in June 2009 when </w:t>
      </w:r>
      <w:r w:rsidR="00717620">
        <w:rPr>
          <w:rFonts w:ascii="Times New Roman" w:hAnsi="Times New Roman"/>
        </w:rPr>
        <w:t>BHC</w:t>
      </w:r>
      <w:r w:rsidRPr="00BA07A9">
        <w:rPr>
          <w:rFonts w:ascii="Times New Roman" w:hAnsi="Times New Roman"/>
        </w:rPr>
        <w:t xml:space="preserve">s began to report information on CMBS separately from residential MBS, data was collected only for commercial mortgage pass-through securities and for other CMBS without regard to issuer or guarantor.  Thus, the </w:t>
      </w:r>
      <w:r w:rsidR="00717620">
        <w:rPr>
          <w:rFonts w:ascii="Times New Roman" w:hAnsi="Times New Roman"/>
        </w:rPr>
        <w:t>Federal Reserve was</w:t>
      </w:r>
      <w:r w:rsidRPr="00BA07A9">
        <w:rPr>
          <w:rFonts w:ascii="Times New Roman" w:hAnsi="Times New Roman"/>
        </w:rPr>
        <w:t xml:space="preserve"> no longer able to identify all MBS issued or guaranteed by U.S. Government agencies. </w:t>
      </w:r>
    </w:p>
    <w:p w:rsidR="00BA07A9" w:rsidRPr="00BA07A9" w:rsidRDefault="00BA07A9" w:rsidP="00BA07A9">
      <w:pPr>
        <w:widowControl/>
        <w:rPr>
          <w:rFonts w:ascii="Times New Roman" w:hAnsi="Times New Roman"/>
        </w:rPr>
      </w:pPr>
    </w:p>
    <w:p w:rsidR="00BA07A9" w:rsidRDefault="00BA07A9" w:rsidP="00BA07A9">
      <w:pPr>
        <w:widowControl/>
        <w:rPr>
          <w:rFonts w:ascii="Times New Roman" w:hAnsi="Times New Roman"/>
        </w:rPr>
      </w:pPr>
      <w:r>
        <w:rPr>
          <w:rFonts w:ascii="Times New Roman" w:hAnsi="Times New Roman"/>
        </w:rPr>
        <w:tab/>
      </w:r>
      <w:r w:rsidRPr="00BA07A9">
        <w:rPr>
          <w:rFonts w:ascii="Times New Roman" w:hAnsi="Times New Roman"/>
        </w:rPr>
        <w:t>U.S. Government agencies issue or guarantee a significant volume of CMBS that are backed by multifamily residential properties.  In the fourth quarter of 2009, out of a total of $854 billion in commercial and multifamily loans that were securitized, loan pools issued or guaranteed by U.S. Government agencies accounted for 19 percent or $164 billion.  These pools present a substantially different risk profile than privately issued CMBS, but current reporting does not allow for the identification of bank holdings of CMBS issued or guaranteed by U.S. Government agencies.  In addition, because CMBS issued or guaranteed by U.S. Government agencies are accorded lower risk weights than CMBS issued by others, banks generally should have the information necessary to separately report these two categories of CMBS in the p</w:t>
      </w:r>
      <w:r w:rsidR="00717620">
        <w:rPr>
          <w:rFonts w:ascii="Times New Roman" w:hAnsi="Times New Roman"/>
        </w:rPr>
        <w:t xml:space="preserve">roposed new </w:t>
      </w:r>
      <w:r w:rsidR="0075525A">
        <w:rPr>
          <w:rFonts w:ascii="Times New Roman" w:hAnsi="Times New Roman"/>
        </w:rPr>
        <w:t xml:space="preserve">data </w:t>
      </w:r>
      <w:r w:rsidR="00717620">
        <w:rPr>
          <w:rFonts w:ascii="Times New Roman" w:hAnsi="Times New Roman"/>
        </w:rPr>
        <w:t>items in Schedules HC-B and H</w:t>
      </w:r>
      <w:r w:rsidRPr="00BA07A9">
        <w:rPr>
          <w:rFonts w:ascii="Times New Roman" w:hAnsi="Times New Roman"/>
        </w:rPr>
        <w:t>C-D.</w:t>
      </w:r>
    </w:p>
    <w:p w:rsidR="00BA07A9" w:rsidRPr="00BA07A9" w:rsidRDefault="00BA07A9" w:rsidP="00BA07A9">
      <w:pPr>
        <w:widowControl/>
        <w:rPr>
          <w:rFonts w:ascii="Times New Roman" w:hAnsi="Times New Roman"/>
        </w:rPr>
      </w:pPr>
    </w:p>
    <w:p w:rsidR="009161BB" w:rsidRDefault="00BA07A9" w:rsidP="00BA07A9">
      <w:pPr>
        <w:widowControl/>
        <w:rPr>
          <w:rFonts w:ascii="Times New Roman" w:hAnsi="Times New Roman"/>
        </w:rPr>
      </w:pPr>
      <w:r>
        <w:rPr>
          <w:rFonts w:ascii="Times New Roman" w:hAnsi="Times New Roman"/>
        </w:rPr>
        <w:tab/>
      </w:r>
      <w:r w:rsidR="00717620">
        <w:rPr>
          <w:rFonts w:ascii="Times New Roman" w:hAnsi="Times New Roman"/>
        </w:rPr>
        <w:t>Thus, in Schedule H</w:t>
      </w:r>
      <w:r w:rsidRPr="00BA07A9">
        <w:rPr>
          <w:rFonts w:ascii="Times New Roman" w:hAnsi="Times New Roman"/>
        </w:rPr>
        <w:t xml:space="preserve">C-B, </w:t>
      </w:r>
      <w:r w:rsidR="00384360">
        <w:rPr>
          <w:rFonts w:ascii="Times New Roman" w:hAnsi="Times New Roman"/>
        </w:rPr>
        <w:t>the Federal Reserve</w:t>
      </w:r>
      <w:r w:rsidR="00384360" w:rsidRPr="00BA07A9">
        <w:rPr>
          <w:rFonts w:ascii="Times New Roman" w:hAnsi="Times New Roman"/>
        </w:rPr>
        <w:t xml:space="preserve"> </w:t>
      </w:r>
      <w:r w:rsidR="00717620">
        <w:rPr>
          <w:rFonts w:ascii="Times New Roman" w:hAnsi="Times New Roman"/>
        </w:rPr>
        <w:t>proposes</w:t>
      </w:r>
      <w:r w:rsidRPr="00BA07A9">
        <w:rPr>
          <w:rFonts w:ascii="Times New Roman" w:hAnsi="Times New Roman"/>
        </w:rPr>
        <w:t xml:space="preserve"> to split both </w:t>
      </w:r>
      <w:r w:rsidR="0075525A">
        <w:rPr>
          <w:rFonts w:ascii="Times New Roman" w:hAnsi="Times New Roman"/>
        </w:rPr>
        <w:t xml:space="preserve">data </w:t>
      </w:r>
      <w:r w:rsidRPr="00BA07A9">
        <w:rPr>
          <w:rFonts w:ascii="Times New Roman" w:hAnsi="Times New Roman"/>
        </w:rPr>
        <w:t>item 4.c.(1), Commercial mortgage pass-through securities</w:t>
      </w:r>
      <w:r w:rsidR="00C16B91">
        <w:rPr>
          <w:rFonts w:ascii="Times New Roman" w:hAnsi="Times New Roman"/>
        </w:rPr>
        <w:t>,</w:t>
      </w:r>
      <w:r w:rsidRPr="00BA07A9">
        <w:rPr>
          <w:rFonts w:ascii="Times New Roman" w:hAnsi="Times New Roman"/>
        </w:rPr>
        <w:t xml:space="preserve"> and </w:t>
      </w:r>
      <w:r w:rsidR="0075525A">
        <w:rPr>
          <w:rFonts w:ascii="Times New Roman" w:hAnsi="Times New Roman"/>
        </w:rPr>
        <w:t xml:space="preserve">data </w:t>
      </w:r>
      <w:r w:rsidRPr="00BA07A9">
        <w:rPr>
          <w:rFonts w:ascii="Times New Roman" w:hAnsi="Times New Roman"/>
        </w:rPr>
        <w:t xml:space="preserve">item 4.c.(2), Other commercial MBS, into separate </w:t>
      </w:r>
      <w:r w:rsidR="0075525A">
        <w:rPr>
          <w:rFonts w:ascii="Times New Roman" w:hAnsi="Times New Roman"/>
        </w:rPr>
        <w:t xml:space="preserve">data </w:t>
      </w:r>
      <w:r w:rsidRPr="00BA07A9">
        <w:rPr>
          <w:rFonts w:ascii="Times New Roman" w:hAnsi="Times New Roman"/>
        </w:rPr>
        <w:t xml:space="preserve">items for those issued or guaranteed by U.S. Government agencies (new </w:t>
      </w:r>
      <w:r w:rsidR="0075525A">
        <w:rPr>
          <w:rFonts w:ascii="Times New Roman" w:hAnsi="Times New Roman"/>
        </w:rPr>
        <w:t xml:space="preserve">data </w:t>
      </w:r>
      <w:r w:rsidRPr="00BA07A9">
        <w:rPr>
          <w:rFonts w:ascii="Times New Roman" w:hAnsi="Times New Roman"/>
        </w:rPr>
        <w:t xml:space="preserve">items 4.c.(1)(a) and 4.c.(2)(a)) and all other CMBS (new </w:t>
      </w:r>
      <w:r w:rsidR="0075525A">
        <w:rPr>
          <w:rFonts w:ascii="Times New Roman" w:hAnsi="Times New Roman"/>
        </w:rPr>
        <w:t xml:space="preserve">data </w:t>
      </w:r>
      <w:r w:rsidRPr="00BA07A9">
        <w:rPr>
          <w:rFonts w:ascii="Times New Roman" w:hAnsi="Times New Roman"/>
        </w:rPr>
        <w:t>items 4.c.(1)(b) and 4.c.(2</w:t>
      </w:r>
      <w:r w:rsidR="00717620">
        <w:rPr>
          <w:rFonts w:ascii="Times New Roman" w:hAnsi="Times New Roman"/>
        </w:rPr>
        <w:t>)(b)).  Similarly, in Schedule H</w:t>
      </w:r>
      <w:r w:rsidRPr="00BA07A9">
        <w:rPr>
          <w:rFonts w:ascii="Times New Roman" w:hAnsi="Times New Roman"/>
        </w:rPr>
        <w:t xml:space="preserve">C-D, existing </w:t>
      </w:r>
      <w:r w:rsidR="0075525A">
        <w:rPr>
          <w:rFonts w:ascii="Times New Roman" w:hAnsi="Times New Roman"/>
        </w:rPr>
        <w:t xml:space="preserve">data </w:t>
      </w:r>
      <w:r w:rsidRPr="00BA07A9">
        <w:rPr>
          <w:rFonts w:ascii="Times New Roman" w:hAnsi="Times New Roman"/>
        </w:rPr>
        <w:t xml:space="preserve">item 4.d, Commercial MBS, would be split into separate </w:t>
      </w:r>
      <w:r w:rsidR="0075525A">
        <w:rPr>
          <w:rFonts w:ascii="Times New Roman" w:hAnsi="Times New Roman"/>
        </w:rPr>
        <w:t xml:space="preserve">data </w:t>
      </w:r>
      <w:r w:rsidRPr="00BA07A9">
        <w:rPr>
          <w:rFonts w:ascii="Times New Roman" w:hAnsi="Times New Roman"/>
        </w:rPr>
        <w:t>items for CMBS issued or guaranteed by U.S. Government agencies (</w:t>
      </w:r>
      <w:r w:rsidR="0075525A">
        <w:rPr>
          <w:rFonts w:ascii="Times New Roman" w:hAnsi="Times New Roman"/>
        </w:rPr>
        <w:t xml:space="preserve">data </w:t>
      </w:r>
      <w:r w:rsidRPr="00BA07A9">
        <w:rPr>
          <w:rFonts w:ascii="Times New Roman" w:hAnsi="Times New Roman"/>
        </w:rPr>
        <w:t>item 4.d.(1)) and all other CMBS (</w:t>
      </w:r>
      <w:r w:rsidR="0075525A">
        <w:rPr>
          <w:rFonts w:ascii="Times New Roman" w:hAnsi="Times New Roman"/>
        </w:rPr>
        <w:t xml:space="preserve">data </w:t>
      </w:r>
      <w:r w:rsidRPr="00BA07A9">
        <w:rPr>
          <w:rFonts w:ascii="Times New Roman" w:hAnsi="Times New Roman"/>
        </w:rPr>
        <w:t>item 4.d.(2)).</w:t>
      </w:r>
    </w:p>
    <w:p w:rsidR="005F4D27" w:rsidRDefault="005F4D27" w:rsidP="00BA07A9">
      <w:pPr>
        <w:widowControl/>
        <w:rPr>
          <w:rFonts w:ascii="Times New Roman" w:hAnsi="Times New Roman"/>
        </w:rPr>
      </w:pPr>
    </w:p>
    <w:p w:rsidR="005F4D27" w:rsidRDefault="005F4D27" w:rsidP="00BA07A9">
      <w:pPr>
        <w:widowControl/>
        <w:rPr>
          <w:rFonts w:ascii="Times New Roman" w:hAnsi="Times New Roman"/>
        </w:rPr>
      </w:pPr>
    </w:p>
    <w:p w:rsidR="005F4D27" w:rsidRDefault="005F4D27" w:rsidP="00BA07A9">
      <w:pPr>
        <w:widowControl/>
        <w:rPr>
          <w:rFonts w:ascii="Times New Roman" w:hAnsi="Times New Roman"/>
        </w:rPr>
      </w:pPr>
    </w:p>
    <w:p w:rsidR="002A076D" w:rsidRDefault="002A076D" w:rsidP="00BA07A9">
      <w:pPr>
        <w:widowControl/>
        <w:rPr>
          <w:rFonts w:ascii="Times New Roman" w:hAnsi="Times New Roman"/>
        </w:rPr>
      </w:pPr>
    </w:p>
    <w:p w:rsidR="00BA07A9" w:rsidRPr="00BA07A9" w:rsidRDefault="00BA07A9" w:rsidP="00BA07A9">
      <w:pPr>
        <w:widowControl/>
        <w:rPr>
          <w:rFonts w:ascii="Times New Roman" w:hAnsi="Times New Roman"/>
          <w:b/>
        </w:rPr>
      </w:pPr>
      <w:r>
        <w:rPr>
          <w:rFonts w:ascii="Times New Roman" w:hAnsi="Times New Roman"/>
          <w:b/>
        </w:rPr>
        <w:lastRenderedPageBreak/>
        <w:tab/>
      </w:r>
      <w:proofErr w:type="gramStart"/>
      <w:r>
        <w:rPr>
          <w:rFonts w:ascii="Times New Roman" w:hAnsi="Times New Roman"/>
          <w:b/>
        </w:rPr>
        <w:t>A</w:t>
      </w:r>
      <w:r w:rsidRPr="00BA07A9">
        <w:rPr>
          <w:rFonts w:ascii="Times New Roman" w:hAnsi="Times New Roman"/>
          <w:b/>
        </w:rPr>
        <w:t>.</w:t>
      </w:r>
      <w:r>
        <w:rPr>
          <w:rFonts w:ascii="Times New Roman" w:hAnsi="Times New Roman"/>
          <w:b/>
        </w:rPr>
        <w:t>4</w:t>
      </w:r>
      <w:r w:rsidRPr="00BA07A9">
        <w:rPr>
          <w:rFonts w:ascii="Times New Roman" w:hAnsi="Times New Roman"/>
          <w:b/>
        </w:rPr>
        <w:t xml:space="preserve">  Variable</w:t>
      </w:r>
      <w:proofErr w:type="gramEnd"/>
      <w:r w:rsidRPr="00BA07A9">
        <w:rPr>
          <w:rFonts w:ascii="Times New Roman" w:hAnsi="Times New Roman"/>
          <w:b/>
        </w:rPr>
        <w:t xml:space="preserve"> Interest Entities</w:t>
      </w:r>
    </w:p>
    <w:p w:rsidR="00BA07A9" w:rsidRPr="00BA07A9" w:rsidRDefault="00BA07A9" w:rsidP="00BA07A9">
      <w:pPr>
        <w:widowControl/>
        <w:rPr>
          <w:rFonts w:ascii="Times New Roman" w:hAnsi="Times New Roman"/>
          <w:b/>
        </w:rPr>
      </w:pPr>
    </w:p>
    <w:p w:rsidR="00BA07A9" w:rsidRDefault="00BA07A9" w:rsidP="00BA07A9">
      <w:pPr>
        <w:widowControl/>
        <w:rPr>
          <w:rFonts w:ascii="Times New Roman" w:hAnsi="Times New Roman"/>
        </w:rPr>
      </w:pPr>
      <w:r>
        <w:rPr>
          <w:rFonts w:ascii="Times New Roman" w:hAnsi="Times New Roman"/>
        </w:rPr>
        <w:tab/>
      </w:r>
      <w:r w:rsidRPr="00BA07A9">
        <w:rPr>
          <w:rFonts w:ascii="Times New Roman" w:hAnsi="Times New Roman"/>
        </w:rPr>
        <w:t xml:space="preserve">In June 2009, the FASB issued </w:t>
      </w:r>
      <w:r w:rsidR="005473FD">
        <w:rPr>
          <w:rFonts w:ascii="Times New Roman" w:hAnsi="Times New Roman"/>
          <w:iCs/>
        </w:rPr>
        <w:t>accounting standards that have</w:t>
      </w:r>
      <w:r w:rsidRPr="00BA07A9">
        <w:rPr>
          <w:rFonts w:ascii="Times New Roman" w:hAnsi="Times New Roman"/>
        </w:rPr>
        <w:t xml:space="preserve"> change</w:t>
      </w:r>
      <w:r w:rsidR="005473FD">
        <w:rPr>
          <w:rFonts w:ascii="Times New Roman" w:hAnsi="Times New Roman"/>
        </w:rPr>
        <w:t>d</w:t>
      </w:r>
      <w:r w:rsidRPr="00BA07A9">
        <w:rPr>
          <w:rFonts w:ascii="Times New Roman" w:hAnsi="Times New Roman"/>
        </w:rPr>
        <w:t xml:space="preserve"> the way entities account for securitizations and special purpose entities.  </w:t>
      </w:r>
      <w:r w:rsidR="00D036A8">
        <w:rPr>
          <w:rFonts w:ascii="Times New Roman" w:hAnsi="Times New Roman"/>
        </w:rPr>
        <w:t xml:space="preserve">ASU No. 2009-16 (formerly </w:t>
      </w:r>
      <w:r w:rsidRPr="00BA07A9">
        <w:rPr>
          <w:rFonts w:ascii="Times New Roman" w:hAnsi="Times New Roman"/>
        </w:rPr>
        <w:t>FAS 166</w:t>
      </w:r>
      <w:r w:rsidR="00D036A8">
        <w:rPr>
          <w:rFonts w:ascii="Times New Roman" w:hAnsi="Times New Roman"/>
        </w:rPr>
        <w:t>)</w:t>
      </w:r>
      <w:r w:rsidRPr="00BA07A9">
        <w:rPr>
          <w:rFonts w:ascii="Times New Roman" w:hAnsi="Times New Roman"/>
        </w:rPr>
        <w:t xml:space="preserve"> </w:t>
      </w:r>
      <w:r w:rsidR="00D036A8">
        <w:rPr>
          <w:rFonts w:ascii="Times New Roman" w:hAnsi="Times New Roman"/>
        </w:rPr>
        <w:t xml:space="preserve">revised </w:t>
      </w:r>
      <w:r w:rsidRPr="00BA07A9">
        <w:rPr>
          <w:rFonts w:ascii="Times New Roman" w:hAnsi="Times New Roman"/>
        </w:rPr>
        <w:t xml:space="preserve">ASC Topic 860, Transfers and Servicing, by eliminating the concept of a qualifying special-purpose entity (QSPE) and changing the requirements for derecognizing financial assets.  </w:t>
      </w:r>
      <w:r w:rsidR="00D036A8">
        <w:rPr>
          <w:rFonts w:ascii="Times New Roman" w:hAnsi="Times New Roman"/>
        </w:rPr>
        <w:t xml:space="preserve">ASU No. 2009-17 (formerly </w:t>
      </w:r>
      <w:r w:rsidRPr="00BA07A9">
        <w:rPr>
          <w:rFonts w:ascii="Times New Roman" w:hAnsi="Times New Roman"/>
        </w:rPr>
        <w:t>FAS 167</w:t>
      </w:r>
      <w:r w:rsidR="00D036A8">
        <w:rPr>
          <w:rFonts w:ascii="Times New Roman" w:hAnsi="Times New Roman"/>
        </w:rPr>
        <w:t>)</w:t>
      </w:r>
      <w:r w:rsidRPr="00BA07A9">
        <w:rPr>
          <w:rFonts w:ascii="Times New Roman" w:hAnsi="Times New Roman"/>
        </w:rPr>
        <w:t xml:space="preserve"> </w:t>
      </w:r>
      <w:r w:rsidR="00D036A8">
        <w:rPr>
          <w:rFonts w:ascii="Times New Roman" w:hAnsi="Times New Roman"/>
        </w:rPr>
        <w:t>revised</w:t>
      </w:r>
      <w:r w:rsidRPr="00BA07A9">
        <w:rPr>
          <w:rFonts w:ascii="Times New Roman" w:hAnsi="Times New Roman"/>
        </w:rPr>
        <w:t xml:space="preserve"> ASC Topic 810, Consolidation</w:t>
      </w:r>
      <w:r w:rsidR="00D036A8">
        <w:rPr>
          <w:rFonts w:ascii="Times New Roman" w:hAnsi="Times New Roman"/>
        </w:rPr>
        <w:t>s</w:t>
      </w:r>
      <w:r w:rsidRPr="00BA07A9">
        <w:rPr>
          <w:rFonts w:ascii="Times New Roman" w:hAnsi="Times New Roman"/>
        </w:rPr>
        <w:t>, by changing how a bank</w:t>
      </w:r>
      <w:r w:rsidR="00717620">
        <w:rPr>
          <w:rFonts w:ascii="Times New Roman" w:hAnsi="Times New Roman"/>
        </w:rPr>
        <w:t>ing organization</w:t>
      </w:r>
      <w:r w:rsidRPr="00BA07A9">
        <w:rPr>
          <w:rFonts w:ascii="Times New Roman" w:hAnsi="Times New Roman"/>
        </w:rPr>
        <w:t xml:space="preserve"> or other company determines when an entity that is insufficiently capitalized or is not controlled through voting or similar rights, </w:t>
      </w:r>
      <w:r w:rsidR="00440596">
        <w:rPr>
          <w:rFonts w:ascii="Times New Roman" w:hAnsi="Times New Roman"/>
        </w:rPr>
        <w:t>for example</w:t>
      </w:r>
      <w:r w:rsidRPr="00BA07A9">
        <w:rPr>
          <w:rFonts w:ascii="Times New Roman" w:hAnsi="Times New Roman"/>
        </w:rPr>
        <w:t> a VIE</w:t>
      </w:r>
      <w:r w:rsidR="00C16B91">
        <w:rPr>
          <w:rFonts w:ascii="Times New Roman" w:hAnsi="Times New Roman"/>
        </w:rPr>
        <w:t>,</w:t>
      </w:r>
      <w:r w:rsidRPr="00BA07A9">
        <w:rPr>
          <w:rFonts w:ascii="Times New Roman" w:hAnsi="Times New Roman"/>
        </w:rPr>
        <w:t xml:space="preserve"> should be consolidated.  For most bank</w:t>
      </w:r>
      <w:r w:rsidR="00D036A8">
        <w:rPr>
          <w:rFonts w:ascii="Times New Roman" w:hAnsi="Times New Roman"/>
        </w:rPr>
        <w:t>ing organization</w:t>
      </w:r>
      <w:r w:rsidRPr="00BA07A9">
        <w:rPr>
          <w:rFonts w:ascii="Times New Roman" w:hAnsi="Times New Roman"/>
        </w:rPr>
        <w:t xml:space="preserve">s, </w:t>
      </w:r>
      <w:r w:rsidR="00D036A8">
        <w:rPr>
          <w:rFonts w:ascii="Times New Roman" w:hAnsi="Times New Roman"/>
        </w:rPr>
        <w:t>ASU Nos. 2009-16 and 2009-17</w:t>
      </w:r>
      <w:r w:rsidRPr="00BA07A9">
        <w:rPr>
          <w:rFonts w:ascii="Times New Roman" w:hAnsi="Times New Roman"/>
        </w:rPr>
        <w:t xml:space="preserve"> took effect January 1, 2010.  </w:t>
      </w:r>
    </w:p>
    <w:p w:rsidR="00BA07A9" w:rsidRPr="00BA07A9" w:rsidRDefault="00BA07A9" w:rsidP="00BA07A9">
      <w:pPr>
        <w:widowControl/>
        <w:rPr>
          <w:rFonts w:ascii="Times New Roman" w:hAnsi="Times New Roman"/>
        </w:rPr>
      </w:pPr>
    </w:p>
    <w:p w:rsidR="00BA07A9" w:rsidRPr="00BA07A9" w:rsidRDefault="00BA07A9" w:rsidP="00BA07A9">
      <w:pPr>
        <w:widowControl/>
        <w:rPr>
          <w:rFonts w:ascii="Times New Roman" w:hAnsi="Times New Roman"/>
        </w:rPr>
      </w:pPr>
      <w:r>
        <w:rPr>
          <w:rFonts w:ascii="Times New Roman" w:hAnsi="Times New Roman"/>
        </w:rPr>
        <w:tab/>
      </w:r>
      <w:r w:rsidRPr="00BA07A9">
        <w:rPr>
          <w:rFonts w:ascii="Times New Roman" w:hAnsi="Times New Roman"/>
        </w:rPr>
        <w:t xml:space="preserve">Under </w:t>
      </w:r>
      <w:r w:rsidR="00D036A8">
        <w:rPr>
          <w:rFonts w:ascii="Times New Roman" w:hAnsi="Times New Roman"/>
        </w:rPr>
        <w:t>ASC Topic 810, as amended</w:t>
      </w:r>
      <w:r w:rsidRPr="00BA07A9">
        <w:rPr>
          <w:rFonts w:ascii="Times New Roman" w:hAnsi="Times New Roman"/>
        </w:rPr>
        <w:t xml:space="preserve">, determining whether a </w:t>
      </w:r>
      <w:r w:rsidR="00717620">
        <w:rPr>
          <w:rFonts w:ascii="Times New Roman" w:hAnsi="Times New Roman"/>
        </w:rPr>
        <w:t>BHC</w:t>
      </w:r>
      <w:r w:rsidRPr="00BA07A9">
        <w:rPr>
          <w:rFonts w:ascii="Times New Roman" w:hAnsi="Times New Roman"/>
        </w:rPr>
        <w:t xml:space="preserve"> is required to consolidate a VIE depends on a qualitative analysis </w:t>
      </w:r>
      <w:r w:rsidR="00717620">
        <w:rPr>
          <w:rFonts w:ascii="Times New Roman" w:hAnsi="Times New Roman"/>
        </w:rPr>
        <w:t>of whether that BHC</w:t>
      </w:r>
      <w:r w:rsidRPr="00BA07A9">
        <w:rPr>
          <w:rFonts w:ascii="Times New Roman" w:hAnsi="Times New Roman"/>
        </w:rPr>
        <w:t xml:space="preserve"> has a “controlling financial interest” in the VIE and is therefore the primary beneficiary of the VIE.  The analysis focuses on the </w:t>
      </w:r>
      <w:r w:rsidR="00717620">
        <w:rPr>
          <w:rFonts w:ascii="Times New Roman" w:hAnsi="Times New Roman"/>
        </w:rPr>
        <w:t>BHC</w:t>
      </w:r>
      <w:r w:rsidRPr="00BA07A9">
        <w:rPr>
          <w:rFonts w:ascii="Times New Roman" w:hAnsi="Times New Roman"/>
        </w:rPr>
        <w:t xml:space="preserve">’s power over and interest in the VIE.  With the removal of the QSPE concept from </w:t>
      </w:r>
      <w:r w:rsidR="00137D30">
        <w:rPr>
          <w:rFonts w:ascii="Times New Roman" w:hAnsi="Times New Roman"/>
        </w:rPr>
        <w:t>GAAP</w:t>
      </w:r>
      <w:r w:rsidRPr="00BA07A9">
        <w:rPr>
          <w:rFonts w:ascii="Times New Roman" w:hAnsi="Times New Roman"/>
        </w:rPr>
        <w:t xml:space="preserve"> that was brought about in </w:t>
      </w:r>
      <w:r w:rsidR="00D036A8">
        <w:rPr>
          <w:rFonts w:ascii="Times New Roman" w:hAnsi="Times New Roman"/>
        </w:rPr>
        <w:t>amended ASC Topic 860</w:t>
      </w:r>
      <w:r w:rsidRPr="00BA07A9">
        <w:rPr>
          <w:rFonts w:ascii="Times New Roman" w:hAnsi="Times New Roman"/>
        </w:rPr>
        <w:t xml:space="preserve">, a </w:t>
      </w:r>
      <w:r w:rsidR="00717620">
        <w:rPr>
          <w:rFonts w:ascii="Times New Roman" w:hAnsi="Times New Roman"/>
        </w:rPr>
        <w:t>BHC</w:t>
      </w:r>
      <w:r w:rsidRPr="00BA07A9">
        <w:rPr>
          <w:rFonts w:ascii="Times New Roman" w:hAnsi="Times New Roman"/>
        </w:rPr>
        <w:t xml:space="preserve"> that transferred financial assets to an SPE that met the definition of a QSPE before the effective date of these </w:t>
      </w:r>
      <w:r w:rsidR="00D036A8">
        <w:rPr>
          <w:rFonts w:ascii="Times New Roman" w:hAnsi="Times New Roman"/>
        </w:rPr>
        <w:t>amended</w:t>
      </w:r>
      <w:r w:rsidRPr="00BA07A9">
        <w:rPr>
          <w:rFonts w:ascii="Times New Roman" w:hAnsi="Times New Roman"/>
        </w:rPr>
        <w:t xml:space="preserve"> accounting standards was required to evaluate whether, pursuant to </w:t>
      </w:r>
      <w:r w:rsidR="00D036A8">
        <w:rPr>
          <w:rFonts w:ascii="Times New Roman" w:hAnsi="Times New Roman"/>
        </w:rPr>
        <w:t>amended ASC Topic 810</w:t>
      </w:r>
      <w:r w:rsidRPr="00BA07A9">
        <w:rPr>
          <w:rFonts w:ascii="Times New Roman" w:hAnsi="Times New Roman"/>
        </w:rPr>
        <w:t xml:space="preserve">, it must begin to consolidate the assets, liabilities, and equity of the SPE as of that effective date.  Thus, when implementing </w:t>
      </w:r>
      <w:r w:rsidR="00D036A8">
        <w:rPr>
          <w:rFonts w:ascii="Times New Roman" w:hAnsi="Times New Roman"/>
        </w:rPr>
        <w:t>amended ASC Topics 860 and 810</w:t>
      </w:r>
      <w:r w:rsidRPr="00BA07A9">
        <w:rPr>
          <w:rFonts w:ascii="Times New Roman" w:hAnsi="Times New Roman"/>
        </w:rPr>
        <w:t xml:space="preserve"> at the beginning of 2010, </w:t>
      </w:r>
      <w:r w:rsidR="00717620">
        <w:rPr>
          <w:rFonts w:ascii="Times New Roman" w:hAnsi="Times New Roman"/>
        </w:rPr>
        <w:t>BHC</w:t>
      </w:r>
      <w:r w:rsidRPr="00BA07A9">
        <w:rPr>
          <w:rFonts w:ascii="Times New Roman" w:hAnsi="Times New Roman"/>
        </w:rPr>
        <w:t>s began to consolidate certain previously off-balance</w:t>
      </w:r>
      <w:r w:rsidR="00E167B5">
        <w:rPr>
          <w:rFonts w:ascii="Times New Roman" w:hAnsi="Times New Roman"/>
        </w:rPr>
        <w:t>-sheet</w:t>
      </w:r>
      <w:r w:rsidRPr="00BA07A9">
        <w:rPr>
          <w:rFonts w:ascii="Times New Roman" w:hAnsi="Times New Roman"/>
        </w:rPr>
        <w:t xml:space="preserve"> securitization vehicles</w:t>
      </w:r>
      <w:r w:rsidR="008834AD">
        <w:rPr>
          <w:rFonts w:ascii="Times New Roman" w:hAnsi="Times New Roman"/>
        </w:rPr>
        <w:t>,</w:t>
      </w:r>
      <w:r w:rsidRPr="00BA07A9">
        <w:rPr>
          <w:rFonts w:ascii="Times New Roman" w:hAnsi="Times New Roman"/>
        </w:rPr>
        <w:t xml:space="preserve"> asset-backed commercial paper conduits</w:t>
      </w:r>
      <w:r w:rsidR="008834AD">
        <w:rPr>
          <w:rFonts w:ascii="Times New Roman" w:hAnsi="Times New Roman"/>
        </w:rPr>
        <w:t>, and other structures</w:t>
      </w:r>
      <w:r w:rsidRPr="00BA07A9">
        <w:rPr>
          <w:rFonts w:ascii="Times New Roman" w:hAnsi="Times New Roman"/>
        </w:rPr>
        <w:t xml:space="preserve">.  Going forward, </w:t>
      </w:r>
      <w:r w:rsidR="00717620">
        <w:rPr>
          <w:rFonts w:ascii="Times New Roman" w:hAnsi="Times New Roman"/>
        </w:rPr>
        <w:t>BHC</w:t>
      </w:r>
      <w:r w:rsidRPr="00BA07A9">
        <w:rPr>
          <w:rFonts w:ascii="Times New Roman" w:hAnsi="Times New Roman"/>
        </w:rPr>
        <w:t xml:space="preserve">s with variable interests in new VIEs must evaluate whether they have a controlling financial interest in these entities and, if so, consolidate them.  In addition, </w:t>
      </w:r>
      <w:r w:rsidR="00717620">
        <w:rPr>
          <w:rFonts w:ascii="Times New Roman" w:hAnsi="Times New Roman"/>
        </w:rPr>
        <w:t>BHC</w:t>
      </w:r>
      <w:r w:rsidRPr="00BA07A9">
        <w:rPr>
          <w:rFonts w:ascii="Times New Roman" w:hAnsi="Times New Roman"/>
        </w:rPr>
        <w:t xml:space="preserve">s must continually reassess whether they are the primary beneficiary of VIEs in which they have variable interests. </w:t>
      </w:r>
    </w:p>
    <w:p w:rsidR="00717620" w:rsidRDefault="00717620" w:rsidP="00BA07A9">
      <w:pPr>
        <w:widowControl/>
        <w:rPr>
          <w:rFonts w:ascii="Times New Roman" w:hAnsi="Times New Roman"/>
        </w:rPr>
      </w:pPr>
    </w:p>
    <w:p w:rsidR="00BA07A9" w:rsidRDefault="00717620" w:rsidP="00BA07A9">
      <w:pPr>
        <w:widowControl/>
        <w:rPr>
          <w:rFonts w:ascii="Times New Roman" w:hAnsi="Times New Roman"/>
        </w:rPr>
      </w:pPr>
      <w:r>
        <w:rPr>
          <w:rFonts w:ascii="Times New Roman" w:hAnsi="Times New Roman"/>
        </w:rPr>
        <w:tab/>
      </w:r>
      <w:r w:rsidR="00BA07A9" w:rsidRPr="00BA07A9">
        <w:rPr>
          <w:rFonts w:ascii="Times New Roman" w:hAnsi="Times New Roman"/>
        </w:rPr>
        <w:t xml:space="preserve">For those VIEs that banks must consolidate, the </w:t>
      </w:r>
      <w:r>
        <w:rPr>
          <w:rFonts w:ascii="Times New Roman" w:hAnsi="Times New Roman"/>
        </w:rPr>
        <w:t>Federal Reserve’s FR Y-9C</w:t>
      </w:r>
      <w:r w:rsidR="00BA07A9" w:rsidRPr="00BA07A9">
        <w:rPr>
          <w:rFonts w:ascii="Times New Roman" w:hAnsi="Times New Roman"/>
        </w:rPr>
        <w:t xml:space="preserve"> instructional guidance advises institutions to report the assets and liabilities of these VIEs on the </w:t>
      </w:r>
      <w:r>
        <w:rPr>
          <w:rFonts w:ascii="Times New Roman" w:hAnsi="Times New Roman"/>
        </w:rPr>
        <w:t>balance sheet (Schedule H</w:t>
      </w:r>
      <w:r w:rsidR="00BA07A9" w:rsidRPr="00BA07A9">
        <w:rPr>
          <w:rFonts w:ascii="Times New Roman" w:hAnsi="Times New Roman"/>
        </w:rPr>
        <w:t>C) in the category appropriate to the asset or liability.  However, ASC paragraph 810-10-45-25</w:t>
      </w:r>
      <w:r w:rsidR="00BA07A9" w:rsidRPr="00BA07A9">
        <w:rPr>
          <w:rFonts w:ascii="Times New Roman" w:hAnsi="Times New Roman"/>
          <w:vertAlign w:val="superscript"/>
        </w:rPr>
        <w:footnoteReference w:id="7"/>
      </w:r>
      <w:r w:rsidR="00BA07A9" w:rsidRPr="00BA07A9">
        <w:rPr>
          <w:rFonts w:ascii="Times New Roman" w:hAnsi="Times New Roman"/>
        </w:rPr>
        <w:t xml:space="preserve"> requires a reporting entity to present “separately on the face of the statement of financial position:  a.</w:t>
      </w:r>
      <w:proofErr w:type="gramStart"/>
      <w:r w:rsidR="00BA07A9" w:rsidRPr="00BA07A9">
        <w:rPr>
          <w:rFonts w:ascii="Times New Roman" w:hAnsi="Times New Roman"/>
        </w:rPr>
        <w:t>  </w:t>
      </w:r>
      <w:bookmarkStart w:id="0" w:name="OLE_LINK1"/>
      <w:bookmarkStart w:id="1" w:name="OLE_LINK2"/>
      <w:r w:rsidR="00BA07A9" w:rsidRPr="00BA07A9">
        <w:rPr>
          <w:rFonts w:ascii="Times New Roman" w:hAnsi="Times New Roman"/>
        </w:rPr>
        <w:t>Assets</w:t>
      </w:r>
      <w:proofErr w:type="gramEnd"/>
      <w:r w:rsidR="00BA07A9" w:rsidRPr="00BA07A9">
        <w:rPr>
          <w:rFonts w:ascii="Times New Roman" w:hAnsi="Times New Roman"/>
        </w:rPr>
        <w:t xml:space="preserve"> of a consolidated variable interest entity (VIE) that can be used only to settle obligations of the consolidated VIE [and] b.  Liabilities of a consolidated VIE for which creditors (or beneficial interest holders) do not have recourse to the general credit of the primary beneficiary.</w:t>
      </w:r>
      <w:bookmarkEnd w:id="0"/>
      <w:bookmarkEnd w:id="1"/>
      <w:r w:rsidR="00BA07A9" w:rsidRPr="00BA07A9">
        <w:rPr>
          <w:rFonts w:ascii="Times New Roman" w:hAnsi="Times New Roman"/>
        </w:rPr>
        <w:t xml:space="preserve">”  This requirement has been interpreted to mean that “each line item of the consolidated balance sheet should differentiate which </w:t>
      </w:r>
      <w:proofErr w:type="gramStart"/>
      <w:r w:rsidR="00BA07A9" w:rsidRPr="00BA07A9">
        <w:rPr>
          <w:rFonts w:ascii="Times New Roman" w:hAnsi="Times New Roman"/>
        </w:rPr>
        <w:t>portion of those amounts meet</w:t>
      </w:r>
      <w:proofErr w:type="gramEnd"/>
      <w:r w:rsidR="00BA07A9" w:rsidRPr="00BA07A9">
        <w:rPr>
          <w:rFonts w:ascii="Times New Roman" w:hAnsi="Times New Roman"/>
        </w:rPr>
        <w:t xml:space="preserve"> the separate presentation conditions.”</w:t>
      </w:r>
      <w:r w:rsidR="00BA07A9" w:rsidRPr="00BA07A9">
        <w:rPr>
          <w:rFonts w:ascii="Times New Roman" w:hAnsi="Times New Roman"/>
          <w:vertAlign w:val="superscript"/>
        </w:rPr>
        <w:footnoteReference w:id="8"/>
      </w:r>
      <w:r w:rsidR="00BA07A9" w:rsidRPr="00BA07A9">
        <w:rPr>
          <w:rFonts w:ascii="Times New Roman" w:hAnsi="Times New Roman"/>
        </w:rPr>
        <w:t xml:space="preserve">  In requiring separate presentation for these assets and liabilities, the FASB agreed with </w:t>
      </w:r>
      <w:r w:rsidR="00255426" w:rsidRPr="00BA07A9">
        <w:rPr>
          <w:rFonts w:ascii="Times New Roman" w:hAnsi="Times New Roman"/>
        </w:rPr>
        <w:t>commenters</w:t>
      </w:r>
      <w:r w:rsidR="00BA07A9" w:rsidRPr="00BA07A9">
        <w:rPr>
          <w:rFonts w:ascii="Times New Roman" w:hAnsi="Times New Roman"/>
        </w:rPr>
        <w:t xml:space="preserve"> on its proposed accounting standard on consolidation that “separate presentation . . . would provide transparent and useful information about an enterprise’s involvement and associated risks in a variable interest entity.”</w:t>
      </w:r>
      <w:r w:rsidR="00BA07A9" w:rsidRPr="00BA07A9">
        <w:rPr>
          <w:rFonts w:ascii="Times New Roman" w:hAnsi="Times New Roman"/>
          <w:vertAlign w:val="superscript"/>
        </w:rPr>
        <w:footnoteReference w:id="9"/>
      </w:r>
      <w:r w:rsidR="00BA07A9" w:rsidRPr="00BA07A9">
        <w:rPr>
          <w:rFonts w:ascii="Times New Roman" w:hAnsi="Times New Roman"/>
        </w:rPr>
        <w:t xml:space="preserve">  </w:t>
      </w:r>
      <w:r w:rsidR="00384360">
        <w:rPr>
          <w:rFonts w:ascii="Times New Roman" w:hAnsi="Times New Roman"/>
        </w:rPr>
        <w:t>The Federal Reserve</w:t>
      </w:r>
      <w:r w:rsidR="00BA07A9" w:rsidRPr="00BA07A9">
        <w:rPr>
          <w:rFonts w:ascii="Times New Roman" w:hAnsi="Times New Roman"/>
        </w:rPr>
        <w:t xml:space="preserve"> concur</w:t>
      </w:r>
      <w:r w:rsidR="008834AD">
        <w:rPr>
          <w:rFonts w:ascii="Times New Roman" w:hAnsi="Times New Roman"/>
        </w:rPr>
        <w:t>s</w:t>
      </w:r>
      <w:r w:rsidR="00BA07A9" w:rsidRPr="00BA07A9">
        <w:rPr>
          <w:rFonts w:ascii="Times New Roman" w:hAnsi="Times New Roman"/>
        </w:rPr>
        <w:t xml:space="preserve"> that separate presentation would provide similar benefits to them and other </w:t>
      </w:r>
      <w:r w:rsidR="008834AD">
        <w:rPr>
          <w:rFonts w:ascii="Times New Roman" w:hAnsi="Times New Roman"/>
        </w:rPr>
        <w:t>FR Y-9C</w:t>
      </w:r>
      <w:r w:rsidR="00BA07A9" w:rsidRPr="00BA07A9">
        <w:rPr>
          <w:rFonts w:ascii="Times New Roman" w:hAnsi="Times New Roman"/>
        </w:rPr>
        <w:t xml:space="preserve"> users, particularly since data on </w:t>
      </w:r>
      <w:r w:rsidR="008834AD">
        <w:rPr>
          <w:rFonts w:ascii="Times New Roman" w:hAnsi="Times New Roman"/>
        </w:rPr>
        <w:t>securitized assets</w:t>
      </w:r>
      <w:r w:rsidR="00BA07A9" w:rsidRPr="00BA07A9">
        <w:rPr>
          <w:rFonts w:ascii="Times New Roman" w:hAnsi="Times New Roman"/>
        </w:rPr>
        <w:t xml:space="preserve"> that </w:t>
      </w:r>
      <w:r w:rsidR="008834AD">
        <w:rPr>
          <w:rFonts w:ascii="Times New Roman" w:hAnsi="Times New Roman"/>
        </w:rPr>
        <w:t>are reconsolidated</w:t>
      </w:r>
      <w:r w:rsidR="00BA07A9" w:rsidRPr="00BA07A9">
        <w:rPr>
          <w:rFonts w:ascii="Times New Roman" w:hAnsi="Times New Roman"/>
        </w:rPr>
        <w:t xml:space="preserve"> is no longer reported on </w:t>
      </w:r>
      <w:r w:rsidR="008834AD">
        <w:rPr>
          <w:rFonts w:ascii="Times New Roman" w:hAnsi="Times New Roman"/>
        </w:rPr>
        <w:t>Schedule H</w:t>
      </w:r>
      <w:r w:rsidR="00BA07A9" w:rsidRPr="00BA07A9">
        <w:rPr>
          <w:rFonts w:ascii="Times New Roman" w:hAnsi="Times New Roman"/>
        </w:rPr>
        <w:t>C-S, Servicing, Securitization, and Asset Sale Activities.</w:t>
      </w:r>
    </w:p>
    <w:p w:rsidR="00BA07A9" w:rsidRDefault="00BA07A9" w:rsidP="00C660F8">
      <w:pPr>
        <w:widowControl/>
        <w:rPr>
          <w:rFonts w:ascii="Times New Roman" w:hAnsi="Times New Roman"/>
        </w:rPr>
      </w:pPr>
      <w:r>
        <w:rPr>
          <w:rFonts w:ascii="Times New Roman" w:hAnsi="Times New Roman"/>
        </w:rPr>
        <w:lastRenderedPageBreak/>
        <w:tab/>
      </w:r>
      <w:r w:rsidRPr="00BA07A9">
        <w:rPr>
          <w:rFonts w:ascii="Times New Roman" w:hAnsi="Times New Roman"/>
        </w:rPr>
        <w:t xml:space="preserve">Consistent with the presentation requirements discussed above, </w:t>
      </w:r>
      <w:r w:rsidR="00384360">
        <w:rPr>
          <w:rFonts w:ascii="Times New Roman" w:hAnsi="Times New Roman"/>
        </w:rPr>
        <w:t>the Federal Reserve</w:t>
      </w:r>
      <w:r w:rsidR="00384360" w:rsidRPr="00BA07A9">
        <w:rPr>
          <w:rFonts w:ascii="Times New Roman" w:hAnsi="Times New Roman"/>
        </w:rPr>
        <w:t xml:space="preserve"> </w:t>
      </w:r>
      <w:r w:rsidR="008834AD">
        <w:rPr>
          <w:rFonts w:ascii="Times New Roman" w:hAnsi="Times New Roman"/>
        </w:rPr>
        <w:t>proposes</w:t>
      </w:r>
      <w:r w:rsidRPr="00BA07A9">
        <w:rPr>
          <w:rFonts w:ascii="Times New Roman" w:hAnsi="Times New Roman"/>
        </w:rPr>
        <w:t xml:space="preserve"> to add a new Schedule </w:t>
      </w:r>
      <w:r w:rsidR="001F0728">
        <w:rPr>
          <w:rFonts w:ascii="Times New Roman" w:hAnsi="Times New Roman"/>
        </w:rPr>
        <w:t>HC-</w:t>
      </w:r>
      <w:r w:rsidRPr="00BA07A9">
        <w:rPr>
          <w:rFonts w:ascii="Times New Roman" w:hAnsi="Times New Roman"/>
        </w:rPr>
        <w:t xml:space="preserve">V, Variable Interest Entities, to the </w:t>
      </w:r>
      <w:r w:rsidR="008834AD">
        <w:rPr>
          <w:rFonts w:ascii="Times New Roman" w:hAnsi="Times New Roman"/>
        </w:rPr>
        <w:t>FR Y-9C</w:t>
      </w:r>
      <w:r w:rsidRPr="00BA07A9">
        <w:rPr>
          <w:rFonts w:ascii="Times New Roman" w:hAnsi="Times New Roman"/>
        </w:rPr>
        <w:t xml:space="preserve"> in which </w:t>
      </w:r>
      <w:r w:rsidR="008834AD">
        <w:rPr>
          <w:rFonts w:ascii="Times New Roman" w:hAnsi="Times New Roman"/>
        </w:rPr>
        <w:t>BHC</w:t>
      </w:r>
      <w:r w:rsidRPr="00BA07A9">
        <w:rPr>
          <w:rFonts w:ascii="Times New Roman" w:hAnsi="Times New Roman"/>
        </w:rPr>
        <w:t xml:space="preserve">s would report a breakdown of the assets of consolidated VIEs that can be used only to settle obligations of the consolidated VIEs and liabilities of consolidated VIEs for which creditors do not have recourse to the general credit of the </w:t>
      </w:r>
      <w:r w:rsidR="004C6483">
        <w:rPr>
          <w:rFonts w:ascii="Times New Roman" w:hAnsi="Times New Roman"/>
        </w:rPr>
        <w:t xml:space="preserve">reporting </w:t>
      </w:r>
      <w:r w:rsidR="008834AD">
        <w:rPr>
          <w:rFonts w:ascii="Times New Roman" w:hAnsi="Times New Roman"/>
        </w:rPr>
        <w:t>BHC</w:t>
      </w:r>
      <w:r w:rsidRPr="00BA07A9">
        <w:rPr>
          <w:rFonts w:ascii="Times New Roman" w:hAnsi="Times New Roman"/>
        </w:rPr>
        <w:t xml:space="preserve">.  </w:t>
      </w:r>
      <w:r w:rsidR="008834AD" w:rsidRPr="008834AD">
        <w:rPr>
          <w:rFonts w:ascii="Times New Roman" w:hAnsi="Times New Roman"/>
        </w:rPr>
        <w:t xml:space="preserve">The following proposed categories </w:t>
      </w:r>
      <w:r w:rsidR="004C6483" w:rsidRPr="004C6483">
        <w:rPr>
          <w:rFonts w:ascii="Times New Roman" w:hAnsi="Times New Roman"/>
        </w:rPr>
        <w:t>for thes</w:t>
      </w:r>
      <w:r w:rsidR="00C660F8">
        <w:rPr>
          <w:rFonts w:ascii="Times New Roman" w:hAnsi="Times New Roman"/>
        </w:rPr>
        <w:t xml:space="preserve">e </w:t>
      </w:r>
      <w:r w:rsidR="008834AD" w:rsidRPr="008834AD">
        <w:rPr>
          <w:rFonts w:ascii="Times New Roman" w:hAnsi="Times New Roman"/>
        </w:rPr>
        <w:t xml:space="preserve">assets and liabilities would include some of the same categories presented on the </w:t>
      </w:r>
      <w:r w:rsidR="008834AD">
        <w:rPr>
          <w:rFonts w:ascii="Times New Roman" w:hAnsi="Times New Roman"/>
        </w:rPr>
        <w:t>balance sheet (Schedule H</w:t>
      </w:r>
      <w:r w:rsidR="008834AD" w:rsidRPr="008834AD">
        <w:rPr>
          <w:rFonts w:ascii="Times New Roman" w:hAnsi="Times New Roman"/>
        </w:rPr>
        <w:t>C):  (1) Cash and balances due from depository institutions</w:t>
      </w:r>
      <w:r w:rsidR="00E167B5">
        <w:rPr>
          <w:rFonts w:ascii="Times New Roman" w:hAnsi="Times New Roman"/>
        </w:rPr>
        <w:t>,</w:t>
      </w:r>
      <w:r w:rsidR="008834AD" w:rsidRPr="008834AD">
        <w:rPr>
          <w:rFonts w:ascii="Times New Roman" w:hAnsi="Times New Roman"/>
        </w:rPr>
        <w:t xml:space="preserve"> </w:t>
      </w:r>
      <w:r w:rsidR="00367E58">
        <w:rPr>
          <w:rFonts w:ascii="Times New Roman" w:hAnsi="Times New Roman"/>
        </w:rPr>
        <w:t>(2</w:t>
      </w:r>
      <w:r w:rsidR="00367E58" w:rsidRPr="008834AD">
        <w:rPr>
          <w:rFonts w:ascii="Times New Roman" w:hAnsi="Times New Roman"/>
        </w:rPr>
        <w:t>) Held-to-maturity securities</w:t>
      </w:r>
      <w:r w:rsidR="00367E58">
        <w:rPr>
          <w:rFonts w:ascii="Times New Roman" w:hAnsi="Times New Roman"/>
        </w:rPr>
        <w:t>,</w:t>
      </w:r>
      <w:r w:rsidR="00367E58" w:rsidRPr="008834AD">
        <w:rPr>
          <w:rFonts w:ascii="Times New Roman" w:hAnsi="Times New Roman"/>
        </w:rPr>
        <w:t xml:space="preserve"> </w:t>
      </w:r>
      <w:r w:rsidR="00367E58">
        <w:rPr>
          <w:rFonts w:ascii="Times New Roman" w:hAnsi="Times New Roman"/>
        </w:rPr>
        <w:t>(3</w:t>
      </w:r>
      <w:r w:rsidR="00367E58" w:rsidRPr="008834AD">
        <w:rPr>
          <w:rFonts w:ascii="Times New Roman" w:hAnsi="Times New Roman"/>
        </w:rPr>
        <w:t>) Available-for-sale securities</w:t>
      </w:r>
      <w:r w:rsidR="00367E58">
        <w:rPr>
          <w:rFonts w:ascii="Times New Roman" w:hAnsi="Times New Roman"/>
        </w:rPr>
        <w:t>,</w:t>
      </w:r>
      <w:r w:rsidR="00367E58" w:rsidRPr="008834AD">
        <w:rPr>
          <w:rFonts w:ascii="Times New Roman" w:hAnsi="Times New Roman"/>
        </w:rPr>
        <w:t xml:space="preserve"> </w:t>
      </w:r>
      <w:r w:rsidR="008834AD" w:rsidRPr="008834AD">
        <w:rPr>
          <w:rFonts w:ascii="Times New Roman" w:hAnsi="Times New Roman"/>
        </w:rPr>
        <w:t>(</w:t>
      </w:r>
      <w:r w:rsidR="00367E58">
        <w:rPr>
          <w:rFonts w:ascii="Times New Roman" w:hAnsi="Times New Roman"/>
        </w:rPr>
        <w:t>4</w:t>
      </w:r>
      <w:r w:rsidR="008834AD" w:rsidRPr="008834AD">
        <w:rPr>
          <w:rFonts w:ascii="Times New Roman" w:hAnsi="Times New Roman"/>
        </w:rPr>
        <w:t>) Securities purchased under agreements to resell</w:t>
      </w:r>
      <w:r w:rsidR="00E167B5">
        <w:rPr>
          <w:rFonts w:ascii="Times New Roman" w:hAnsi="Times New Roman"/>
        </w:rPr>
        <w:t>,</w:t>
      </w:r>
      <w:r w:rsidR="008834AD" w:rsidRPr="008834AD">
        <w:rPr>
          <w:rFonts w:ascii="Times New Roman" w:hAnsi="Times New Roman"/>
        </w:rPr>
        <w:t xml:space="preserve"> (5) Loans and leases held for sale</w:t>
      </w:r>
      <w:r w:rsidR="00E167B5">
        <w:rPr>
          <w:rFonts w:ascii="Times New Roman" w:hAnsi="Times New Roman"/>
        </w:rPr>
        <w:t>,</w:t>
      </w:r>
      <w:r w:rsidR="008834AD" w:rsidRPr="008834AD">
        <w:rPr>
          <w:rFonts w:ascii="Times New Roman" w:hAnsi="Times New Roman"/>
        </w:rPr>
        <w:t xml:space="preserve"> (6) Loans and leases, net of unearned income</w:t>
      </w:r>
      <w:r w:rsidR="00E167B5">
        <w:rPr>
          <w:rFonts w:ascii="Times New Roman" w:hAnsi="Times New Roman"/>
        </w:rPr>
        <w:t>,</w:t>
      </w:r>
      <w:r w:rsidR="008834AD" w:rsidRPr="008834AD">
        <w:rPr>
          <w:rFonts w:ascii="Times New Roman" w:hAnsi="Times New Roman"/>
        </w:rPr>
        <w:t xml:space="preserve"> (7) Less:  Allowance for loan and lease losses</w:t>
      </w:r>
      <w:r w:rsidR="00E167B5">
        <w:rPr>
          <w:rFonts w:ascii="Times New Roman" w:hAnsi="Times New Roman"/>
        </w:rPr>
        <w:t>,</w:t>
      </w:r>
      <w:r w:rsidR="008834AD" w:rsidRPr="008834AD">
        <w:rPr>
          <w:rFonts w:ascii="Times New Roman" w:hAnsi="Times New Roman"/>
        </w:rPr>
        <w:t xml:space="preserve"> </w:t>
      </w:r>
      <w:r w:rsidR="00367E58">
        <w:rPr>
          <w:rFonts w:ascii="Times New Roman" w:hAnsi="Times New Roman"/>
        </w:rPr>
        <w:t>(8</w:t>
      </w:r>
      <w:r w:rsidR="00367E58" w:rsidRPr="008834AD">
        <w:rPr>
          <w:rFonts w:ascii="Times New Roman" w:hAnsi="Times New Roman"/>
        </w:rPr>
        <w:t>) Trading assets (other than derivatives)</w:t>
      </w:r>
      <w:r w:rsidR="00367E58">
        <w:rPr>
          <w:rFonts w:ascii="Times New Roman" w:hAnsi="Times New Roman"/>
        </w:rPr>
        <w:t>,</w:t>
      </w:r>
      <w:r w:rsidR="00367E58" w:rsidRPr="008834AD">
        <w:rPr>
          <w:rFonts w:ascii="Times New Roman" w:hAnsi="Times New Roman"/>
        </w:rPr>
        <w:t xml:space="preserve"> </w:t>
      </w:r>
      <w:r w:rsidR="008834AD" w:rsidRPr="008834AD">
        <w:rPr>
          <w:rFonts w:ascii="Times New Roman" w:hAnsi="Times New Roman"/>
        </w:rPr>
        <w:t>(9) Derivative assets</w:t>
      </w:r>
      <w:r w:rsidR="00E167B5">
        <w:rPr>
          <w:rFonts w:ascii="Times New Roman" w:hAnsi="Times New Roman"/>
        </w:rPr>
        <w:t>,</w:t>
      </w:r>
      <w:r w:rsidR="008834AD" w:rsidRPr="008834AD">
        <w:rPr>
          <w:rFonts w:ascii="Times New Roman" w:hAnsi="Times New Roman"/>
        </w:rPr>
        <w:t xml:space="preserve"> </w:t>
      </w:r>
      <w:r w:rsidR="00367E58">
        <w:rPr>
          <w:rFonts w:ascii="Times New Roman" w:hAnsi="Times New Roman"/>
        </w:rPr>
        <w:t>(10</w:t>
      </w:r>
      <w:r w:rsidR="00367E58" w:rsidRPr="008834AD">
        <w:rPr>
          <w:rFonts w:ascii="Times New Roman" w:hAnsi="Times New Roman"/>
        </w:rPr>
        <w:t>) Other real estate owned</w:t>
      </w:r>
      <w:r w:rsidR="00367E58">
        <w:rPr>
          <w:rFonts w:ascii="Times New Roman" w:hAnsi="Times New Roman"/>
        </w:rPr>
        <w:t>,</w:t>
      </w:r>
      <w:r w:rsidR="00367E58" w:rsidRPr="008834AD" w:rsidDel="00367E58">
        <w:rPr>
          <w:rFonts w:ascii="Times New Roman" w:hAnsi="Times New Roman"/>
        </w:rPr>
        <w:t xml:space="preserve"> </w:t>
      </w:r>
      <w:r w:rsidR="008834AD" w:rsidRPr="008834AD">
        <w:rPr>
          <w:rFonts w:ascii="Times New Roman" w:hAnsi="Times New Roman"/>
        </w:rPr>
        <w:t>(11) Other assets</w:t>
      </w:r>
      <w:r w:rsidR="00E167B5">
        <w:rPr>
          <w:rFonts w:ascii="Times New Roman" w:hAnsi="Times New Roman"/>
        </w:rPr>
        <w:t>,</w:t>
      </w:r>
      <w:r w:rsidR="008834AD" w:rsidRPr="008834AD">
        <w:rPr>
          <w:rFonts w:ascii="Times New Roman" w:hAnsi="Times New Roman"/>
        </w:rPr>
        <w:t xml:space="preserve"> (12) Securities sold under agreements to repurchase</w:t>
      </w:r>
      <w:r w:rsidR="00E167B5">
        <w:rPr>
          <w:rFonts w:ascii="Times New Roman" w:hAnsi="Times New Roman"/>
        </w:rPr>
        <w:t>,</w:t>
      </w:r>
      <w:r w:rsidR="008834AD" w:rsidRPr="008834AD">
        <w:rPr>
          <w:rFonts w:ascii="Times New Roman" w:hAnsi="Times New Roman"/>
        </w:rPr>
        <w:t xml:space="preserve"> </w:t>
      </w:r>
      <w:r w:rsidR="00367E58">
        <w:rPr>
          <w:rFonts w:ascii="Times New Roman" w:hAnsi="Times New Roman"/>
        </w:rPr>
        <w:t>(13</w:t>
      </w:r>
      <w:r w:rsidR="00367E58" w:rsidRPr="008834AD">
        <w:rPr>
          <w:rFonts w:ascii="Times New Roman" w:hAnsi="Times New Roman"/>
        </w:rPr>
        <w:t>) Derivative liabilities</w:t>
      </w:r>
      <w:r w:rsidR="00367E58">
        <w:rPr>
          <w:rFonts w:ascii="Times New Roman" w:hAnsi="Times New Roman"/>
        </w:rPr>
        <w:t>,</w:t>
      </w:r>
      <w:r w:rsidR="00367E58" w:rsidRPr="008834AD">
        <w:rPr>
          <w:rFonts w:ascii="Times New Roman" w:hAnsi="Times New Roman"/>
        </w:rPr>
        <w:t xml:space="preserve"> </w:t>
      </w:r>
      <w:r w:rsidR="008834AD" w:rsidRPr="008834AD">
        <w:rPr>
          <w:rFonts w:ascii="Times New Roman" w:hAnsi="Times New Roman"/>
        </w:rPr>
        <w:t>(14) Other borrowed money</w:t>
      </w:r>
      <w:r w:rsidR="00367E58">
        <w:rPr>
          <w:rFonts w:ascii="Times New Roman" w:hAnsi="Times New Roman"/>
        </w:rPr>
        <w:t xml:space="preserve"> (other than commercial paper)</w:t>
      </w:r>
      <w:r w:rsidR="00E167B5">
        <w:rPr>
          <w:rFonts w:ascii="Times New Roman" w:hAnsi="Times New Roman"/>
        </w:rPr>
        <w:t>,</w:t>
      </w:r>
      <w:r w:rsidR="008834AD" w:rsidRPr="008834AD">
        <w:rPr>
          <w:rFonts w:ascii="Times New Roman" w:hAnsi="Times New Roman"/>
        </w:rPr>
        <w:t xml:space="preserve"> </w:t>
      </w:r>
      <w:r w:rsidR="00367E58">
        <w:rPr>
          <w:rFonts w:ascii="Times New Roman" w:hAnsi="Times New Roman"/>
        </w:rPr>
        <w:t>(15</w:t>
      </w:r>
      <w:r w:rsidR="00367E58" w:rsidRPr="008834AD">
        <w:rPr>
          <w:rFonts w:ascii="Times New Roman" w:hAnsi="Times New Roman"/>
        </w:rPr>
        <w:t>) Commercial paper</w:t>
      </w:r>
      <w:r w:rsidR="00367E58">
        <w:rPr>
          <w:rFonts w:ascii="Times New Roman" w:hAnsi="Times New Roman"/>
        </w:rPr>
        <w:t>,</w:t>
      </w:r>
      <w:r w:rsidR="00367E58" w:rsidRPr="008834AD">
        <w:rPr>
          <w:rFonts w:ascii="Times New Roman" w:hAnsi="Times New Roman"/>
        </w:rPr>
        <w:t xml:space="preserve"> </w:t>
      </w:r>
      <w:r w:rsidR="008834AD" w:rsidRPr="008834AD">
        <w:rPr>
          <w:rFonts w:ascii="Times New Roman" w:hAnsi="Times New Roman"/>
        </w:rPr>
        <w:t xml:space="preserve">and (16) Other liabilities.  </w:t>
      </w:r>
      <w:r w:rsidRPr="00BA07A9">
        <w:rPr>
          <w:rFonts w:ascii="Times New Roman" w:hAnsi="Times New Roman"/>
        </w:rPr>
        <w:t>These assets and liabilities would be presented separately for securitization trusts, asset-backed commercial paper conduits, and other VIEs.</w:t>
      </w:r>
    </w:p>
    <w:p w:rsidR="00BA07A9" w:rsidRPr="00BA07A9" w:rsidRDefault="00BA07A9" w:rsidP="00BA07A9">
      <w:pPr>
        <w:widowControl/>
        <w:rPr>
          <w:rFonts w:ascii="Times New Roman" w:hAnsi="Times New Roman"/>
        </w:rPr>
      </w:pPr>
    </w:p>
    <w:p w:rsidR="005E6E43" w:rsidRDefault="00BA07A9" w:rsidP="00EA1490">
      <w:pPr>
        <w:widowControl/>
        <w:autoSpaceDE w:val="0"/>
        <w:autoSpaceDN w:val="0"/>
        <w:adjustRightInd w:val="0"/>
        <w:rPr>
          <w:rFonts w:ascii="Times New Roman" w:hAnsi="Times New Roman"/>
          <w:snapToGrid/>
          <w:color w:val="000000"/>
          <w:szCs w:val="24"/>
        </w:rPr>
      </w:pPr>
      <w:r>
        <w:rPr>
          <w:rFonts w:ascii="Times New Roman" w:hAnsi="Times New Roman"/>
        </w:rPr>
        <w:tab/>
      </w:r>
      <w:r w:rsidR="00EA1490">
        <w:rPr>
          <w:rFonts w:ascii="Times New Roman" w:hAnsi="Times New Roman"/>
          <w:snapToGrid/>
          <w:color w:val="000000"/>
          <w:szCs w:val="24"/>
        </w:rPr>
        <w:t xml:space="preserve">In addition, </w:t>
      </w:r>
      <w:r w:rsidR="00384360">
        <w:rPr>
          <w:rFonts w:ascii="Times New Roman" w:hAnsi="Times New Roman"/>
        </w:rPr>
        <w:t>the Federal Reserve</w:t>
      </w:r>
      <w:r w:rsidR="00384360" w:rsidRPr="00BA07A9">
        <w:rPr>
          <w:rFonts w:ascii="Times New Roman" w:hAnsi="Times New Roman"/>
        </w:rPr>
        <w:t xml:space="preserve"> </w:t>
      </w:r>
      <w:r w:rsidR="00EA1490">
        <w:rPr>
          <w:rFonts w:ascii="Times New Roman" w:hAnsi="Times New Roman"/>
          <w:snapToGrid/>
          <w:color w:val="000000"/>
          <w:szCs w:val="24"/>
        </w:rPr>
        <w:t xml:space="preserve">proposes to include two separate </w:t>
      </w:r>
      <w:r w:rsidR="00B17446">
        <w:rPr>
          <w:rFonts w:ascii="Times New Roman" w:hAnsi="Times New Roman"/>
          <w:snapToGrid/>
          <w:color w:val="000000"/>
          <w:szCs w:val="24"/>
        </w:rPr>
        <w:t xml:space="preserve">data </w:t>
      </w:r>
      <w:r w:rsidR="00EA1490">
        <w:rPr>
          <w:rFonts w:ascii="Times New Roman" w:hAnsi="Times New Roman"/>
          <w:snapToGrid/>
          <w:color w:val="000000"/>
          <w:szCs w:val="24"/>
        </w:rPr>
        <w:t>items in new Schedule HC-V in which BHCs would report the total amounts of all other assets and all other liabilities of consolidated VIEs (i.e., all assets of consolidated VIEs that are not dedicated solely to settling obligations of the VIE and all liabilities of consolidated VIEs for which creditors have recourse to the general credit of the reporting BHC).  The collection of this information would help the Federal Reserve understand the total magnitude of consolidated VIEs.  These assets and liabilities would also be reported separately for securitization trusts, asset-backed commercial paper conduits, and other VIEs.  The asset and liability information collected in Schedule HC-V would represent amounts included in the reporting BHC’s consolidated assets and liabilities reported on Schedule HC, Balance Sheet, i.e., after eliminating intercompany transactions.</w:t>
      </w:r>
    </w:p>
    <w:p w:rsidR="00EA1490" w:rsidRDefault="00EA1490" w:rsidP="004C6483">
      <w:pPr>
        <w:widowControl/>
        <w:rPr>
          <w:rFonts w:ascii="Times New Roman" w:hAnsi="Times New Roman"/>
          <w:snapToGrid/>
          <w:color w:val="000000"/>
          <w:szCs w:val="24"/>
        </w:rPr>
      </w:pPr>
    </w:p>
    <w:p w:rsidR="00BA07A9" w:rsidRPr="00BA07A9" w:rsidRDefault="00BA07A9" w:rsidP="00BA07A9">
      <w:pPr>
        <w:widowControl/>
        <w:rPr>
          <w:rFonts w:ascii="Times New Roman" w:hAnsi="Times New Roman"/>
          <w:b/>
        </w:rPr>
      </w:pPr>
      <w:r>
        <w:rPr>
          <w:rFonts w:ascii="Times New Roman" w:hAnsi="Times New Roman"/>
          <w:b/>
        </w:rPr>
        <w:tab/>
      </w:r>
      <w:proofErr w:type="gramStart"/>
      <w:r>
        <w:rPr>
          <w:rFonts w:ascii="Times New Roman" w:hAnsi="Times New Roman"/>
          <w:b/>
        </w:rPr>
        <w:t>A</w:t>
      </w:r>
      <w:r w:rsidRPr="00BA07A9">
        <w:rPr>
          <w:rFonts w:ascii="Times New Roman" w:hAnsi="Times New Roman"/>
          <w:b/>
        </w:rPr>
        <w:t>.</w:t>
      </w:r>
      <w:r>
        <w:rPr>
          <w:rFonts w:ascii="Times New Roman" w:hAnsi="Times New Roman"/>
          <w:b/>
        </w:rPr>
        <w:t>5</w:t>
      </w:r>
      <w:r w:rsidRPr="00BA07A9">
        <w:rPr>
          <w:rFonts w:ascii="Times New Roman" w:hAnsi="Times New Roman"/>
          <w:b/>
        </w:rPr>
        <w:t xml:space="preserve">  Assets</w:t>
      </w:r>
      <w:proofErr w:type="gramEnd"/>
      <w:r w:rsidRPr="00BA07A9">
        <w:rPr>
          <w:rFonts w:ascii="Times New Roman" w:hAnsi="Times New Roman"/>
          <w:b/>
        </w:rPr>
        <w:t xml:space="preserve"> Covered by FDIC Loss-Sharing Agreements</w:t>
      </w:r>
    </w:p>
    <w:p w:rsidR="00BA07A9" w:rsidRPr="00BA07A9" w:rsidRDefault="00BA07A9" w:rsidP="00BA07A9">
      <w:pPr>
        <w:widowControl/>
        <w:rPr>
          <w:rFonts w:ascii="Times New Roman" w:hAnsi="Times New Roman"/>
          <w:b/>
        </w:rPr>
      </w:pPr>
    </w:p>
    <w:p w:rsidR="004A1A48" w:rsidRDefault="00CD3DFB" w:rsidP="00BA07A9">
      <w:pPr>
        <w:widowControl/>
        <w:rPr>
          <w:rFonts w:ascii="Times New Roman" w:hAnsi="Times New Roman"/>
        </w:rPr>
      </w:pPr>
      <w:r>
        <w:rPr>
          <w:rFonts w:ascii="Times New Roman" w:hAnsi="Times New Roman"/>
        </w:rPr>
        <w:tab/>
      </w:r>
      <w:r w:rsidR="00BA07A9" w:rsidRPr="00BA07A9">
        <w:rPr>
          <w:rFonts w:ascii="Times New Roman" w:hAnsi="Times New Roman"/>
        </w:rPr>
        <w:t xml:space="preserve">In March 2010, the banking agencies added a four-way breakdown of assets covered by loss-sharing agreements with the FDIC to </w:t>
      </w:r>
      <w:r w:rsidR="006067AE">
        <w:rPr>
          <w:rFonts w:ascii="Times New Roman" w:hAnsi="Times New Roman"/>
        </w:rPr>
        <w:t xml:space="preserve">Call Report </w:t>
      </w:r>
      <w:r w:rsidR="00BA07A9" w:rsidRPr="00BA07A9">
        <w:rPr>
          <w:rFonts w:ascii="Times New Roman" w:hAnsi="Times New Roman"/>
        </w:rPr>
        <w:t>Schedule RC-M, Memoranda</w:t>
      </w:r>
      <w:r w:rsidR="006067AE">
        <w:rPr>
          <w:rFonts w:ascii="Times New Roman" w:hAnsi="Times New Roman"/>
        </w:rPr>
        <w:t xml:space="preserve"> (and a comparable four-way breakdown was added to FR Y-9C Schedule HC-M, Memoranda)</w:t>
      </w:r>
      <w:r w:rsidR="00BA07A9" w:rsidRPr="00BA07A9">
        <w:rPr>
          <w:rFonts w:ascii="Times New Roman" w:hAnsi="Times New Roman"/>
        </w:rPr>
        <w:t xml:space="preserve">.  </w:t>
      </w:r>
      <w:r w:rsidR="006067AE">
        <w:rPr>
          <w:rFonts w:ascii="Times New Roman" w:hAnsi="Times New Roman"/>
        </w:rPr>
        <w:t>FR Y</w:t>
      </w:r>
      <w:r w:rsidR="00BC3E0F">
        <w:rPr>
          <w:rFonts w:ascii="Times New Roman" w:hAnsi="Times New Roman"/>
        </w:rPr>
        <w:t xml:space="preserve">-9C </w:t>
      </w:r>
      <w:r w:rsidR="0075525A">
        <w:rPr>
          <w:rFonts w:ascii="Times New Roman" w:hAnsi="Times New Roman"/>
        </w:rPr>
        <w:t xml:space="preserve">data </w:t>
      </w:r>
      <w:r w:rsidR="00BC3E0F">
        <w:rPr>
          <w:rFonts w:ascii="Times New Roman" w:hAnsi="Times New Roman"/>
        </w:rPr>
        <w:t>items 6.a through 6.d</w:t>
      </w:r>
      <w:r w:rsidR="00BA07A9" w:rsidRPr="00BA07A9">
        <w:rPr>
          <w:rFonts w:ascii="Times New Roman" w:hAnsi="Times New Roman"/>
        </w:rPr>
        <w:t xml:space="preserve"> collect data on covered loans and leases, other real estate </w:t>
      </w:r>
      <w:proofErr w:type="gramStart"/>
      <w:r w:rsidR="00BA07A9" w:rsidRPr="00BA07A9">
        <w:rPr>
          <w:rFonts w:ascii="Times New Roman" w:hAnsi="Times New Roman"/>
        </w:rPr>
        <w:t>owned,</w:t>
      </w:r>
      <w:proofErr w:type="gramEnd"/>
      <w:r w:rsidR="00BA07A9" w:rsidRPr="00BA07A9">
        <w:rPr>
          <w:rFonts w:ascii="Times New Roman" w:hAnsi="Times New Roman"/>
        </w:rPr>
        <w:t xml:space="preserve"> debt securities, and other assets.  In a January 22, 2010, comment letter to the banking agencies on the agencies’ submission for OMB review of proposed Call Report revisions for implementation in 2010, the American Bankers Association (ABA) stated that </w:t>
      </w:r>
      <w:r w:rsidR="00BC3E0F">
        <w:rPr>
          <w:rFonts w:ascii="Times New Roman" w:hAnsi="Times New Roman"/>
        </w:rPr>
        <w:t xml:space="preserve">while </w:t>
      </w:r>
      <w:r w:rsidR="00BA07A9" w:rsidRPr="00BA07A9">
        <w:rPr>
          <w:rFonts w:ascii="Times New Roman" w:hAnsi="Times New Roman"/>
        </w:rPr>
        <w:t xml:space="preserve">the addition of the covered asset </w:t>
      </w:r>
      <w:r w:rsidR="0075525A">
        <w:rPr>
          <w:rFonts w:ascii="Times New Roman" w:hAnsi="Times New Roman"/>
        </w:rPr>
        <w:t xml:space="preserve">data </w:t>
      </w:r>
      <w:r w:rsidR="00BA07A9" w:rsidRPr="00BA07A9">
        <w:rPr>
          <w:rFonts w:ascii="Times New Roman" w:hAnsi="Times New Roman"/>
        </w:rPr>
        <w:t>items to Schedule RC-M was</w:t>
      </w:r>
      <w:r w:rsidR="00B56AE1">
        <w:rPr>
          <w:rFonts w:ascii="Times New Roman" w:hAnsi="Times New Roman"/>
        </w:rPr>
        <w:t>:</w:t>
      </w:r>
      <w:r w:rsidR="00BA07A9" w:rsidRPr="00BA07A9">
        <w:rPr>
          <w:rFonts w:ascii="Times New Roman" w:hAnsi="Times New Roman"/>
        </w:rPr>
        <w:t xml:space="preserve"> </w:t>
      </w:r>
    </w:p>
    <w:p w:rsidR="004A1A48" w:rsidRDefault="004A1A48" w:rsidP="00BA07A9">
      <w:pPr>
        <w:widowControl/>
        <w:rPr>
          <w:rFonts w:ascii="Times New Roman" w:hAnsi="Times New Roman"/>
        </w:rPr>
      </w:pPr>
    </w:p>
    <w:p w:rsidR="00BA07A9" w:rsidRPr="00977883" w:rsidRDefault="00255426" w:rsidP="005D7557">
      <w:pPr>
        <w:widowControl/>
        <w:ind w:left="720"/>
        <w:rPr>
          <w:rFonts w:ascii="Times New Roman" w:hAnsi="Times New Roman"/>
        </w:rPr>
      </w:pPr>
      <w:r w:rsidRPr="004B77C3">
        <w:rPr>
          <w:rFonts w:ascii="Times New Roman" w:hAnsi="Times New Roman"/>
        </w:rPr>
        <w:t>A</w:t>
      </w:r>
      <w:r w:rsidR="004B77C3" w:rsidRPr="004B77C3">
        <w:rPr>
          <w:rFonts w:ascii="Times New Roman" w:hAnsi="Times New Roman"/>
        </w:rPr>
        <w:t xml:space="preserve"> step in the right direction, ABA believes it would be beneficial to regulators, reporting banks, investors, and the public to have additional, more granular information about the various categories of assets subject to the FDIC loss-sharing agreements.  While we recognize that this would result in additional reporting burden on banks, on balance our members feel strongly that the benefit of additional disclosure of loss-sharing data would outweigh the burden of providing these detailed data.  Thus, we urge the Agencies and the FFIEC to further revise the collection of data from banks on assets covered by FDIC loss-sharing agreements on the Call Report to include the several changes suggested below.  . . . We believe these changes would provide a more precise and accurate picture of a bank’s asset quality.</w:t>
      </w:r>
    </w:p>
    <w:p w:rsidR="00BA07A9" w:rsidRPr="00BA07A9" w:rsidRDefault="00BA07A9" w:rsidP="00BA07A9">
      <w:pPr>
        <w:widowControl/>
        <w:rPr>
          <w:rFonts w:ascii="Times New Roman" w:hAnsi="Times New Roman"/>
        </w:rPr>
      </w:pPr>
      <w:r w:rsidRPr="00BA07A9">
        <w:rPr>
          <w:rFonts w:ascii="Times New Roman" w:hAnsi="Times New Roman"/>
        </w:rPr>
        <w:t xml:space="preserve"> </w:t>
      </w:r>
    </w:p>
    <w:p w:rsidR="00BA07A9" w:rsidRDefault="00BA07A9" w:rsidP="00BA07A9">
      <w:pPr>
        <w:widowControl/>
        <w:rPr>
          <w:rFonts w:ascii="Times New Roman" w:hAnsi="Times New Roman"/>
        </w:rPr>
      </w:pPr>
      <w:r>
        <w:rPr>
          <w:rFonts w:ascii="Times New Roman" w:hAnsi="Times New Roman"/>
        </w:rPr>
        <w:lastRenderedPageBreak/>
        <w:tab/>
      </w:r>
      <w:r w:rsidRPr="00BA07A9">
        <w:rPr>
          <w:rFonts w:ascii="Times New Roman" w:hAnsi="Times New Roman"/>
        </w:rPr>
        <w:t xml:space="preserve">The changes suggested by the ABA included revising </w:t>
      </w:r>
      <w:r w:rsidR="00B56AE1">
        <w:rPr>
          <w:rFonts w:ascii="Times New Roman" w:hAnsi="Times New Roman"/>
        </w:rPr>
        <w:t xml:space="preserve">Call Report </w:t>
      </w:r>
      <w:r w:rsidRPr="00BA07A9">
        <w:rPr>
          <w:rFonts w:ascii="Times New Roman" w:hAnsi="Times New Roman"/>
        </w:rPr>
        <w:t xml:space="preserve">Schedule RC-M by replacing the two </w:t>
      </w:r>
      <w:r w:rsidR="0075525A">
        <w:rPr>
          <w:rFonts w:ascii="Times New Roman" w:hAnsi="Times New Roman"/>
        </w:rPr>
        <w:t xml:space="preserve">data </w:t>
      </w:r>
      <w:r w:rsidRPr="00BA07A9">
        <w:rPr>
          <w:rFonts w:ascii="Times New Roman" w:hAnsi="Times New Roman"/>
        </w:rPr>
        <w:t xml:space="preserve">items for covered loans and leases and covered other real estate owned with separate breakdowns of these assets by loan category and real estate category.  The ABA also suggested revising existing </w:t>
      </w:r>
      <w:r w:rsidR="0075525A">
        <w:rPr>
          <w:rFonts w:ascii="Times New Roman" w:hAnsi="Times New Roman"/>
        </w:rPr>
        <w:t xml:space="preserve">data </w:t>
      </w:r>
      <w:r w:rsidRPr="00BA07A9">
        <w:rPr>
          <w:rFonts w:ascii="Times New Roman" w:hAnsi="Times New Roman"/>
        </w:rPr>
        <w:t xml:space="preserve">items 10 and 10.a in Schedule RC-N, Past Due and Nonaccrual Loans, Leases, and Other Assets, which collect data on past due and nonaccrual loans and leases that are wholly or partially guaranteed by the U.S. Government, including the FDIC.  The ABA recommended that the reporting of these past due and nonaccrual loans and leases be segregated into separate </w:t>
      </w:r>
      <w:r w:rsidR="0075525A">
        <w:rPr>
          <w:rFonts w:ascii="Times New Roman" w:hAnsi="Times New Roman"/>
        </w:rPr>
        <w:t xml:space="preserve">data </w:t>
      </w:r>
      <w:r w:rsidRPr="00BA07A9">
        <w:rPr>
          <w:rFonts w:ascii="Times New Roman" w:hAnsi="Times New Roman"/>
        </w:rPr>
        <w:t>items for loans and leases covered by FDIC loss-sharing agreements and loans and leases with other U.S. Government guarantees.</w:t>
      </w:r>
    </w:p>
    <w:p w:rsidR="00BA07A9" w:rsidRPr="00BA07A9" w:rsidRDefault="00BA07A9" w:rsidP="00BA07A9">
      <w:pPr>
        <w:widowControl/>
        <w:rPr>
          <w:rFonts w:ascii="Times New Roman" w:hAnsi="Times New Roman"/>
        </w:rPr>
      </w:pPr>
    </w:p>
    <w:p w:rsidR="00BA07A9" w:rsidRPr="00BA07A9" w:rsidRDefault="00BA07A9" w:rsidP="00BA07A9">
      <w:pPr>
        <w:widowControl/>
        <w:rPr>
          <w:rFonts w:ascii="Times New Roman" w:hAnsi="Times New Roman"/>
          <w:b/>
        </w:rPr>
      </w:pPr>
      <w:r w:rsidRPr="00BA07A9">
        <w:rPr>
          <w:rFonts w:ascii="Times New Roman" w:hAnsi="Times New Roman"/>
        </w:rPr>
        <w:tab/>
        <w:t>After reviewing the ABA’s recommendations</w:t>
      </w:r>
      <w:r w:rsidR="00B56AE1">
        <w:rPr>
          <w:rFonts w:ascii="Times New Roman" w:hAnsi="Times New Roman"/>
        </w:rPr>
        <w:t>,</w:t>
      </w:r>
      <w:r w:rsidRPr="00BA07A9">
        <w:rPr>
          <w:rFonts w:ascii="Times New Roman" w:hAnsi="Times New Roman"/>
        </w:rPr>
        <w:t xml:space="preserve"> </w:t>
      </w:r>
      <w:r w:rsidR="00384360">
        <w:rPr>
          <w:rFonts w:ascii="Times New Roman" w:hAnsi="Times New Roman"/>
        </w:rPr>
        <w:t>the Federal Reserve</w:t>
      </w:r>
      <w:r w:rsidR="00384360" w:rsidRPr="00BA07A9">
        <w:rPr>
          <w:rFonts w:ascii="Times New Roman" w:hAnsi="Times New Roman"/>
        </w:rPr>
        <w:t xml:space="preserve"> </w:t>
      </w:r>
      <w:r w:rsidR="00BC3E0F">
        <w:rPr>
          <w:rFonts w:ascii="Times New Roman" w:hAnsi="Times New Roman"/>
        </w:rPr>
        <w:t>proposes</w:t>
      </w:r>
      <w:r w:rsidRPr="00BA07A9">
        <w:rPr>
          <w:rFonts w:ascii="Times New Roman" w:hAnsi="Times New Roman"/>
        </w:rPr>
        <w:t xml:space="preserve"> to </w:t>
      </w:r>
      <w:r w:rsidR="00B56AE1">
        <w:rPr>
          <w:rFonts w:ascii="Times New Roman" w:hAnsi="Times New Roman"/>
        </w:rPr>
        <w:t xml:space="preserve">make substantively similar </w:t>
      </w:r>
      <w:r w:rsidRPr="00BA07A9">
        <w:rPr>
          <w:rFonts w:ascii="Times New Roman" w:hAnsi="Times New Roman"/>
        </w:rPr>
        <w:t>revis</w:t>
      </w:r>
      <w:r w:rsidR="00B56AE1">
        <w:rPr>
          <w:rFonts w:ascii="Times New Roman" w:hAnsi="Times New Roman"/>
        </w:rPr>
        <w:t>ions to</w:t>
      </w:r>
      <w:r w:rsidRPr="00BA07A9">
        <w:rPr>
          <w:rFonts w:ascii="Times New Roman" w:hAnsi="Times New Roman"/>
        </w:rPr>
        <w:t xml:space="preserve"> the </w:t>
      </w:r>
      <w:r w:rsidR="00BC3E0F">
        <w:rPr>
          <w:rFonts w:ascii="Times New Roman" w:hAnsi="Times New Roman"/>
        </w:rPr>
        <w:t>FR Y-9C</w:t>
      </w:r>
      <w:r w:rsidRPr="00BA07A9">
        <w:rPr>
          <w:rFonts w:ascii="Times New Roman" w:hAnsi="Times New Roman"/>
        </w:rPr>
        <w:t xml:space="preserve">.  Thus, </w:t>
      </w:r>
      <w:r w:rsidR="00384360">
        <w:rPr>
          <w:rFonts w:ascii="Times New Roman" w:hAnsi="Times New Roman"/>
        </w:rPr>
        <w:t>the Federal Reserve</w:t>
      </w:r>
      <w:r w:rsidR="00384360" w:rsidRPr="00BA07A9">
        <w:rPr>
          <w:rFonts w:ascii="Times New Roman" w:hAnsi="Times New Roman"/>
        </w:rPr>
        <w:t xml:space="preserve"> </w:t>
      </w:r>
      <w:r w:rsidR="00E9224F">
        <w:rPr>
          <w:rFonts w:ascii="Times New Roman" w:hAnsi="Times New Roman"/>
        </w:rPr>
        <w:t>proposes</w:t>
      </w:r>
      <w:r w:rsidRPr="00BA07A9">
        <w:rPr>
          <w:rFonts w:ascii="Times New Roman" w:hAnsi="Times New Roman"/>
        </w:rPr>
        <w:t xml:space="preserve"> to </w:t>
      </w:r>
      <w:r w:rsidR="00E9224F">
        <w:rPr>
          <w:rFonts w:ascii="Times New Roman" w:hAnsi="Times New Roman"/>
        </w:rPr>
        <w:t xml:space="preserve">create a breakdown of Schedule HC-M, </w:t>
      </w:r>
      <w:r w:rsidR="0075525A">
        <w:rPr>
          <w:rFonts w:ascii="Times New Roman" w:hAnsi="Times New Roman"/>
        </w:rPr>
        <w:t xml:space="preserve">data </w:t>
      </w:r>
      <w:r w:rsidR="00E9224F">
        <w:rPr>
          <w:rFonts w:ascii="Times New Roman" w:hAnsi="Times New Roman"/>
        </w:rPr>
        <w:t>item 6</w:t>
      </w:r>
      <w:r w:rsidRPr="00BA07A9">
        <w:rPr>
          <w:rFonts w:ascii="Times New Roman" w:hAnsi="Times New Roman"/>
        </w:rPr>
        <w:t>.a, covered Loans and leases, that would include each category of Loans secured by real estate (in d</w:t>
      </w:r>
      <w:r w:rsidR="00E9224F">
        <w:rPr>
          <w:rFonts w:ascii="Times New Roman" w:hAnsi="Times New Roman"/>
        </w:rPr>
        <w:t>omestic offices) from Schedule H</w:t>
      </w:r>
      <w:r w:rsidRPr="00BA07A9">
        <w:rPr>
          <w:rFonts w:ascii="Times New Roman" w:hAnsi="Times New Roman"/>
        </w:rPr>
        <w:t xml:space="preserve">C-C, Loans to finance agricultural production and other loans to farmers, Commercial and industrial loans, Credit cards, Other consumer loans, and All other loans and all leases.  If any category of loans or </w:t>
      </w:r>
      <w:r w:rsidR="00E9224F">
        <w:rPr>
          <w:rFonts w:ascii="Times New Roman" w:hAnsi="Times New Roman"/>
        </w:rPr>
        <w:t>leases, as defined in Schedule H</w:t>
      </w:r>
      <w:r w:rsidRPr="00BA07A9">
        <w:rPr>
          <w:rFonts w:ascii="Times New Roman" w:hAnsi="Times New Roman"/>
        </w:rPr>
        <w:t>C</w:t>
      </w:r>
      <w:r w:rsidRPr="00BA07A9">
        <w:rPr>
          <w:rFonts w:ascii="Times New Roman" w:hAnsi="Times New Roman"/>
        </w:rPr>
        <w:noBreakHyphen/>
        <w:t xml:space="preserve">C, included in covered All other loans and all leases exceeds 10 percent of total covered loans and leases, the amount of covered loans or leases in that category or categories must be itemized and described.  Similarly, </w:t>
      </w:r>
      <w:r w:rsidR="00384360">
        <w:rPr>
          <w:rFonts w:ascii="Times New Roman" w:hAnsi="Times New Roman"/>
        </w:rPr>
        <w:t>the Federal Reserve</w:t>
      </w:r>
      <w:r w:rsidR="00384360" w:rsidRPr="00BA07A9">
        <w:rPr>
          <w:rFonts w:ascii="Times New Roman" w:hAnsi="Times New Roman"/>
        </w:rPr>
        <w:t xml:space="preserve"> </w:t>
      </w:r>
      <w:r w:rsidR="00E9224F">
        <w:rPr>
          <w:rFonts w:ascii="Times New Roman" w:hAnsi="Times New Roman"/>
        </w:rPr>
        <w:t>proposes to</w:t>
      </w:r>
      <w:r w:rsidRPr="00BA07A9">
        <w:rPr>
          <w:rFonts w:ascii="Times New Roman" w:hAnsi="Times New Roman"/>
        </w:rPr>
        <w:t xml:space="preserve"> </w:t>
      </w:r>
      <w:r w:rsidR="00E9224F">
        <w:rPr>
          <w:rFonts w:ascii="Times New Roman" w:hAnsi="Times New Roman"/>
        </w:rPr>
        <w:t xml:space="preserve">create a breakdown of Schedule HC-M, </w:t>
      </w:r>
      <w:r w:rsidR="00B56AE1">
        <w:rPr>
          <w:rFonts w:ascii="Times New Roman" w:hAnsi="Times New Roman"/>
        </w:rPr>
        <w:t xml:space="preserve">data </w:t>
      </w:r>
      <w:r w:rsidR="00E9224F">
        <w:rPr>
          <w:rFonts w:ascii="Times New Roman" w:hAnsi="Times New Roman"/>
        </w:rPr>
        <w:t>item 6</w:t>
      </w:r>
      <w:r w:rsidRPr="00BA07A9">
        <w:rPr>
          <w:rFonts w:ascii="Times New Roman" w:hAnsi="Times New Roman"/>
        </w:rPr>
        <w:t>.b, covered Other real estate owned, into the following categories:  Construction, land development, and other land, Farmland, 1</w:t>
      </w:r>
      <w:r w:rsidRPr="00BA07A9">
        <w:rPr>
          <w:rFonts w:ascii="Times New Roman" w:hAnsi="Times New Roman"/>
        </w:rPr>
        <w:noBreakHyphen/>
        <w:t xml:space="preserve">4 family residential properties, Multifamily (5 or more) residential properties, and Nonfarm nonresidential properties.  </w:t>
      </w:r>
      <w:r w:rsidR="00E9224F">
        <w:rPr>
          <w:rFonts w:ascii="Times New Roman" w:hAnsi="Times New Roman"/>
        </w:rPr>
        <w:t>BHC</w:t>
      </w:r>
      <w:r w:rsidRPr="00BA07A9">
        <w:rPr>
          <w:rFonts w:ascii="Times New Roman" w:hAnsi="Times New Roman"/>
        </w:rPr>
        <w:t>s would also report the guaranteed portion of the total amount of covered other r</w:t>
      </w:r>
      <w:r w:rsidR="00E9224F">
        <w:rPr>
          <w:rFonts w:ascii="Times New Roman" w:hAnsi="Times New Roman"/>
        </w:rPr>
        <w:t>eal estate owned.  In Schedule H</w:t>
      </w:r>
      <w:r w:rsidRPr="00BA07A9">
        <w:rPr>
          <w:rFonts w:ascii="Times New Roman" w:hAnsi="Times New Roman"/>
        </w:rPr>
        <w:t>C-N, as suggested by the ABA</w:t>
      </w:r>
      <w:r w:rsidR="00E9224F">
        <w:rPr>
          <w:rFonts w:ascii="Times New Roman" w:hAnsi="Times New Roman"/>
        </w:rPr>
        <w:t xml:space="preserve"> for the Call Report</w:t>
      </w:r>
      <w:r w:rsidRPr="00BA07A9">
        <w:rPr>
          <w:rFonts w:ascii="Times New Roman" w:hAnsi="Times New Roman"/>
        </w:rPr>
        <w:t xml:space="preserve">, </w:t>
      </w:r>
      <w:r w:rsidR="00384360">
        <w:rPr>
          <w:rFonts w:ascii="Times New Roman" w:hAnsi="Times New Roman"/>
        </w:rPr>
        <w:t>the Federal Reserve</w:t>
      </w:r>
      <w:r w:rsidR="00384360" w:rsidRPr="00BA07A9">
        <w:rPr>
          <w:rFonts w:ascii="Times New Roman" w:hAnsi="Times New Roman"/>
        </w:rPr>
        <w:t xml:space="preserve"> </w:t>
      </w:r>
      <w:r w:rsidR="00E9224F">
        <w:rPr>
          <w:rFonts w:ascii="Times New Roman" w:hAnsi="Times New Roman"/>
        </w:rPr>
        <w:t>proposes to</w:t>
      </w:r>
      <w:r w:rsidRPr="00BA07A9">
        <w:rPr>
          <w:rFonts w:ascii="Times New Roman" w:hAnsi="Times New Roman"/>
        </w:rPr>
        <w:t xml:space="preserve"> remove loans and leases covered by FDIC loss-sharing agreements fro</w:t>
      </w:r>
      <w:r w:rsidR="00E9224F">
        <w:rPr>
          <w:rFonts w:ascii="Times New Roman" w:hAnsi="Times New Roman"/>
        </w:rPr>
        <w:t xml:space="preserve">m the scope of existing </w:t>
      </w:r>
      <w:r w:rsidR="0075525A">
        <w:rPr>
          <w:rFonts w:ascii="Times New Roman" w:hAnsi="Times New Roman"/>
        </w:rPr>
        <w:t xml:space="preserve">data </w:t>
      </w:r>
      <w:r w:rsidR="00E9224F">
        <w:rPr>
          <w:rFonts w:ascii="Times New Roman" w:hAnsi="Times New Roman"/>
        </w:rPr>
        <w:t>items 11 and 11</w:t>
      </w:r>
      <w:r w:rsidRPr="00BA07A9">
        <w:rPr>
          <w:rFonts w:ascii="Times New Roman" w:hAnsi="Times New Roman"/>
        </w:rPr>
        <w:t xml:space="preserve">.a on past due and nonaccrual loans wholly or partially guaranteed by the U.S. Government.  Past due and nonaccrual covered loans and leases would </w:t>
      </w:r>
      <w:r w:rsidR="00E9224F">
        <w:rPr>
          <w:rFonts w:ascii="Times New Roman" w:hAnsi="Times New Roman"/>
        </w:rPr>
        <w:t xml:space="preserve">then be collected in new </w:t>
      </w:r>
      <w:r w:rsidR="0075525A">
        <w:rPr>
          <w:rFonts w:ascii="Times New Roman" w:hAnsi="Times New Roman"/>
        </w:rPr>
        <w:t xml:space="preserve">data </w:t>
      </w:r>
      <w:r w:rsidR="00E9224F">
        <w:rPr>
          <w:rFonts w:ascii="Times New Roman" w:hAnsi="Times New Roman"/>
        </w:rPr>
        <w:t>item 12</w:t>
      </w:r>
      <w:r w:rsidRPr="00BA07A9">
        <w:rPr>
          <w:rFonts w:ascii="Times New Roman" w:hAnsi="Times New Roman"/>
        </w:rPr>
        <w:t>, which would include a breakdown of these loans and leases using the same categorie</w:t>
      </w:r>
      <w:r w:rsidR="00E9224F">
        <w:rPr>
          <w:rFonts w:ascii="Times New Roman" w:hAnsi="Times New Roman"/>
        </w:rPr>
        <w:t xml:space="preserve">s as in proposed revised </w:t>
      </w:r>
      <w:r w:rsidR="0075525A">
        <w:rPr>
          <w:rFonts w:ascii="Times New Roman" w:hAnsi="Times New Roman"/>
        </w:rPr>
        <w:t xml:space="preserve">data </w:t>
      </w:r>
      <w:r w:rsidR="00E9224F">
        <w:rPr>
          <w:rFonts w:ascii="Times New Roman" w:hAnsi="Times New Roman"/>
        </w:rPr>
        <w:t>item 6.a of Schedule H</w:t>
      </w:r>
      <w:r w:rsidRPr="00BA07A9">
        <w:rPr>
          <w:rFonts w:ascii="Times New Roman" w:hAnsi="Times New Roman"/>
        </w:rPr>
        <w:t>C-M.</w:t>
      </w:r>
      <w:r w:rsidRPr="00BA07A9">
        <w:rPr>
          <w:rFonts w:ascii="Times New Roman" w:hAnsi="Times New Roman"/>
          <w:b/>
        </w:rPr>
        <w:t xml:space="preserve">    </w:t>
      </w:r>
    </w:p>
    <w:p w:rsidR="00C16B91" w:rsidRDefault="00C16B91">
      <w:pPr>
        <w:widowControl/>
        <w:rPr>
          <w:rFonts w:ascii="Times New Roman" w:hAnsi="Times New Roman"/>
          <w:b/>
        </w:rPr>
      </w:pPr>
    </w:p>
    <w:p w:rsidR="00BA07A9" w:rsidRPr="00BA07A9" w:rsidRDefault="00BA07A9" w:rsidP="00461176">
      <w:pPr>
        <w:widowControl/>
        <w:ind w:firstLine="720"/>
        <w:rPr>
          <w:rFonts w:ascii="Times New Roman" w:hAnsi="Times New Roman"/>
          <w:b/>
        </w:rPr>
      </w:pPr>
      <w:proofErr w:type="gramStart"/>
      <w:r>
        <w:rPr>
          <w:rFonts w:ascii="Times New Roman" w:hAnsi="Times New Roman"/>
          <w:b/>
        </w:rPr>
        <w:t>A</w:t>
      </w:r>
      <w:r w:rsidRPr="00BA07A9">
        <w:rPr>
          <w:rFonts w:ascii="Times New Roman" w:hAnsi="Times New Roman"/>
          <w:b/>
        </w:rPr>
        <w:t>.</w:t>
      </w:r>
      <w:r>
        <w:rPr>
          <w:rFonts w:ascii="Times New Roman" w:hAnsi="Times New Roman"/>
          <w:b/>
        </w:rPr>
        <w:t>6</w:t>
      </w:r>
      <w:r w:rsidRPr="00BA07A9">
        <w:rPr>
          <w:rFonts w:ascii="Times New Roman" w:hAnsi="Times New Roman"/>
          <w:b/>
        </w:rPr>
        <w:t xml:space="preserve">  Life</w:t>
      </w:r>
      <w:proofErr w:type="gramEnd"/>
      <w:r w:rsidRPr="00BA07A9">
        <w:rPr>
          <w:rFonts w:ascii="Times New Roman" w:hAnsi="Times New Roman"/>
          <w:b/>
        </w:rPr>
        <w:t xml:space="preserve"> Insurance Assets</w:t>
      </w:r>
    </w:p>
    <w:p w:rsidR="00BA07A9" w:rsidRPr="00BA07A9" w:rsidRDefault="00BA07A9" w:rsidP="00BA07A9">
      <w:pPr>
        <w:widowControl/>
        <w:rPr>
          <w:rFonts w:ascii="Times New Roman" w:hAnsi="Times New Roman"/>
          <w:b/>
        </w:rPr>
      </w:pPr>
    </w:p>
    <w:p w:rsidR="00F050BC" w:rsidRPr="00F050BC" w:rsidRDefault="00BA07A9" w:rsidP="00F050BC">
      <w:pPr>
        <w:rPr>
          <w:rFonts w:ascii="Times New Roman" w:hAnsi="Times New Roman"/>
        </w:rPr>
      </w:pPr>
      <w:r>
        <w:rPr>
          <w:rFonts w:ascii="Times New Roman" w:hAnsi="Times New Roman"/>
        </w:rPr>
        <w:tab/>
      </w:r>
      <w:r w:rsidR="00E9224F">
        <w:rPr>
          <w:rFonts w:ascii="Times New Roman" w:hAnsi="Times New Roman"/>
        </w:rPr>
        <w:t>BHC</w:t>
      </w:r>
      <w:r w:rsidRPr="00BA07A9">
        <w:rPr>
          <w:rFonts w:ascii="Times New Roman" w:hAnsi="Times New Roman"/>
        </w:rPr>
        <w:t>s purchase and hold bank-owned life insurance (BOLI) policies as assets, the premiums for which may be used to acquire general account</w:t>
      </w:r>
      <w:r w:rsidR="001F5A94">
        <w:rPr>
          <w:rFonts w:ascii="Times New Roman" w:hAnsi="Times New Roman"/>
        </w:rPr>
        <w:t>,</w:t>
      </w:r>
      <w:r w:rsidRPr="00BA07A9">
        <w:rPr>
          <w:rFonts w:ascii="Times New Roman" w:hAnsi="Times New Roman"/>
        </w:rPr>
        <w:t xml:space="preserve"> separate account</w:t>
      </w:r>
      <w:r w:rsidR="001F5A94">
        <w:rPr>
          <w:rFonts w:ascii="Times New Roman" w:hAnsi="Times New Roman"/>
        </w:rPr>
        <w:t>, or hybrid account</w:t>
      </w:r>
      <w:r w:rsidRPr="00BA07A9">
        <w:rPr>
          <w:rFonts w:ascii="Times New Roman" w:hAnsi="Times New Roman"/>
        </w:rPr>
        <w:t xml:space="preserve"> life insurance policies.  </w:t>
      </w:r>
      <w:r w:rsidR="00F050BC" w:rsidRPr="00F050BC">
        <w:rPr>
          <w:rFonts w:ascii="Times New Roman" w:hAnsi="Times New Roman"/>
        </w:rPr>
        <w:t>BHCs currently report the aggregate amount of their life insurance assets in data item 5 of Schedule HC-F, Other Assets, without regard to the type of policies they hold.</w:t>
      </w:r>
    </w:p>
    <w:p w:rsidR="00BA07A9" w:rsidRPr="00BA07A9" w:rsidRDefault="00BA07A9" w:rsidP="00BA07A9">
      <w:pPr>
        <w:widowControl/>
        <w:rPr>
          <w:rFonts w:ascii="Times New Roman" w:hAnsi="Times New Roman"/>
        </w:rPr>
      </w:pPr>
      <w:r w:rsidRPr="00BA07A9">
        <w:rPr>
          <w:rFonts w:ascii="Times New Roman" w:hAnsi="Times New Roman"/>
        </w:rPr>
        <w:t xml:space="preserve">  </w:t>
      </w:r>
    </w:p>
    <w:p w:rsidR="00BA07A9" w:rsidRDefault="00BA07A9" w:rsidP="00BA07A9">
      <w:pPr>
        <w:widowControl/>
        <w:rPr>
          <w:rFonts w:ascii="Times New Roman" w:hAnsi="Times New Roman"/>
        </w:rPr>
      </w:pPr>
      <w:r>
        <w:rPr>
          <w:rFonts w:ascii="Times New Roman" w:hAnsi="Times New Roman"/>
        </w:rPr>
        <w:tab/>
      </w:r>
      <w:r w:rsidRPr="00BA07A9">
        <w:rPr>
          <w:rFonts w:ascii="Times New Roman" w:hAnsi="Times New Roman"/>
        </w:rPr>
        <w:t xml:space="preserve">Many </w:t>
      </w:r>
      <w:r w:rsidR="00E9224F">
        <w:rPr>
          <w:rFonts w:ascii="Times New Roman" w:hAnsi="Times New Roman"/>
        </w:rPr>
        <w:t>BHC</w:t>
      </w:r>
      <w:r w:rsidRPr="00BA07A9">
        <w:rPr>
          <w:rFonts w:ascii="Times New Roman" w:hAnsi="Times New Roman"/>
        </w:rPr>
        <w:t>s have BOLI assets, and the distinction between those life insurance policies that represent general account products and those that represent separate account products</w:t>
      </w:r>
      <w:r w:rsidR="001F5A94">
        <w:rPr>
          <w:rFonts w:ascii="Times New Roman" w:hAnsi="Times New Roman"/>
        </w:rPr>
        <w:t xml:space="preserve"> or hybrid account products</w:t>
      </w:r>
      <w:r w:rsidRPr="00BA07A9">
        <w:rPr>
          <w:rFonts w:ascii="Times New Roman" w:hAnsi="Times New Roman"/>
        </w:rPr>
        <w:t xml:space="preserve"> has meaning with respect to the degree of credit risk involved as well as performance measures for the life insurance assets in a volatile market environment.  In a general account policy, the general assets of the insurance company issuing the policy support the policy’s cash surrender value.  In a separate account policy, the policy’s cash surrender value is supported by assets segregated from the general assets of the insurance carrier.  Under such an arrangement, the policyholder neither owns the underlying separate account created by the insurance carrier on its behalf nor controls investment decisions in the account.  Nevertheless, the policyholder assumes all investment and price risk.</w:t>
      </w:r>
      <w:r w:rsidR="001F5A94">
        <w:rPr>
          <w:rFonts w:ascii="Times New Roman" w:hAnsi="Times New Roman"/>
        </w:rPr>
        <w:t xml:space="preserve">  In a hybrid account policy, features of general and separate account products are combined providing the </w:t>
      </w:r>
      <w:r w:rsidR="001F5A94">
        <w:rPr>
          <w:rFonts w:ascii="Times New Roman" w:hAnsi="Times New Roman"/>
        </w:rPr>
        <w:lastRenderedPageBreak/>
        <w:t>additional asset protection offered by separate accounts while also providing a guaranteed minimum interest-crediting rate, which is common to general accounts.</w:t>
      </w:r>
    </w:p>
    <w:p w:rsidR="00BA07A9" w:rsidRPr="00BA07A9" w:rsidRDefault="00BA07A9" w:rsidP="00BA07A9">
      <w:pPr>
        <w:widowControl/>
        <w:rPr>
          <w:rFonts w:ascii="Times New Roman" w:hAnsi="Times New Roman"/>
        </w:rPr>
      </w:pPr>
      <w:r w:rsidRPr="00BA07A9">
        <w:rPr>
          <w:rFonts w:ascii="Times New Roman" w:hAnsi="Times New Roman"/>
        </w:rPr>
        <w:t xml:space="preserve"> </w:t>
      </w:r>
    </w:p>
    <w:p w:rsidR="00BA07A9" w:rsidRPr="00BA07A9" w:rsidRDefault="00BA07A9" w:rsidP="00BA07A9">
      <w:pPr>
        <w:widowControl/>
        <w:rPr>
          <w:rFonts w:ascii="Times New Roman" w:hAnsi="Times New Roman"/>
        </w:rPr>
      </w:pPr>
      <w:r>
        <w:rPr>
          <w:rFonts w:ascii="Times New Roman" w:hAnsi="Times New Roman"/>
        </w:rPr>
        <w:tab/>
      </w:r>
      <w:r w:rsidR="00E9224F">
        <w:rPr>
          <w:rFonts w:ascii="Times New Roman" w:hAnsi="Times New Roman"/>
        </w:rPr>
        <w:t>A number of BHC</w:t>
      </w:r>
      <w:r w:rsidRPr="00BA07A9">
        <w:rPr>
          <w:rFonts w:ascii="Times New Roman" w:hAnsi="Times New Roman"/>
        </w:rPr>
        <w:t xml:space="preserve">s holding separate account life insurance policies have recorded significant losses in recent years due to the volatility in the markets and the vulnerability to market fluctuations of the instruments that are investment options in separate account life insurance policies.  Information distinguishing between the cash </w:t>
      </w:r>
      <w:proofErr w:type="gramStart"/>
      <w:r w:rsidRPr="00BA07A9">
        <w:rPr>
          <w:rFonts w:ascii="Times New Roman" w:hAnsi="Times New Roman"/>
        </w:rPr>
        <w:t>surrender</w:t>
      </w:r>
      <w:proofErr w:type="gramEnd"/>
      <w:r w:rsidRPr="00BA07A9">
        <w:rPr>
          <w:rFonts w:ascii="Times New Roman" w:hAnsi="Times New Roman"/>
        </w:rPr>
        <w:t xml:space="preserve"> values of general account</w:t>
      </w:r>
      <w:r w:rsidR="001F5A94">
        <w:rPr>
          <w:rFonts w:ascii="Times New Roman" w:hAnsi="Times New Roman"/>
        </w:rPr>
        <w:t>,</w:t>
      </w:r>
      <w:r w:rsidRPr="00BA07A9">
        <w:rPr>
          <w:rFonts w:ascii="Times New Roman" w:hAnsi="Times New Roman"/>
        </w:rPr>
        <w:t xml:space="preserve"> separate account</w:t>
      </w:r>
      <w:r w:rsidR="001F5A94">
        <w:rPr>
          <w:rFonts w:ascii="Times New Roman" w:hAnsi="Times New Roman"/>
        </w:rPr>
        <w:t>, and hybrid account</w:t>
      </w:r>
      <w:r w:rsidRPr="00BA07A9">
        <w:rPr>
          <w:rFonts w:ascii="Times New Roman" w:hAnsi="Times New Roman"/>
        </w:rPr>
        <w:t xml:space="preserve"> life insurance policies would allow the </w:t>
      </w:r>
      <w:r w:rsidR="00E9224F">
        <w:rPr>
          <w:rFonts w:ascii="Times New Roman" w:hAnsi="Times New Roman"/>
        </w:rPr>
        <w:t>Federal Reserve</w:t>
      </w:r>
      <w:r w:rsidRPr="00BA07A9">
        <w:rPr>
          <w:rFonts w:ascii="Times New Roman" w:hAnsi="Times New Roman"/>
        </w:rPr>
        <w:t xml:space="preserve"> to track </w:t>
      </w:r>
      <w:r w:rsidR="00E9224F">
        <w:rPr>
          <w:rFonts w:ascii="Times New Roman" w:hAnsi="Times New Roman"/>
        </w:rPr>
        <w:t>BHC</w:t>
      </w:r>
      <w:r w:rsidRPr="00BA07A9">
        <w:rPr>
          <w:rFonts w:ascii="Times New Roman" w:hAnsi="Times New Roman"/>
        </w:rPr>
        <w:t xml:space="preserve">s’ holdings of </w:t>
      </w:r>
      <w:r w:rsidR="001F5A94">
        <w:rPr>
          <w:rFonts w:ascii="Times New Roman" w:hAnsi="Times New Roman"/>
        </w:rPr>
        <w:t>these</w:t>
      </w:r>
      <w:r w:rsidR="001F5A94" w:rsidRPr="00BA07A9">
        <w:rPr>
          <w:rFonts w:ascii="Times New Roman" w:hAnsi="Times New Roman"/>
        </w:rPr>
        <w:t xml:space="preserve"> </w:t>
      </w:r>
      <w:r w:rsidRPr="00BA07A9">
        <w:rPr>
          <w:rFonts w:ascii="Times New Roman" w:hAnsi="Times New Roman"/>
        </w:rPr>
        <w:t xml:space="preserve">types of life insurance policies with their differing risk characteristics and changes in their carrying amounts resulting from their performance over time.  Accordingly, </w:t>
      </w:r>
      <w:r w:rsidR="00384360">
        <w:rPr>
          <w:rFonts w:ascii="Times New Roman" w:hAnsi="Times New Roman"/>
        </w:rPr>
        <w:t>the Federal Reserve</w:t>
      </w:r>
      <w:r w:rsidR="00384360" w:rsidRPr="00BA07A9">
        <w:rPr>
          <w:rFonts w:ascii="Times New Roman" w:hAnsi="Times New Roman"/>
        </w:rPr>
        <w:t xml:space="preserve"> </w:t>
      </w:r>
      <w:r w:rsidR="00E9224F">
        <w:rPr>
          <w:rFonts w:ascii="Times New Roman" w:hAnsi="Times New Roman"/>
        </w:rPr>
        <w:t xml:space="preserve">proposes to split </w:t>
      </w:r>
      <w:r w:rsidR="0075525A">
        <w:rPr>
          <w:rFonts w:ascii="Times New Roman" w:hAnsi="Times New Roman"/>
        </w:rPr>
        <w:t xml:space="preserve">data </w:t>
      </w:r>
      <w:r w:rsidR="00E9224F">
        <w:rPr>
          <w:rFonts w:ascii="Times New Roman" w:hAnsi="Times New Roman"/>
        </w:rPr>
        <w:t>item 5 of Schedule H</w:t>
      </w:r>
      <w:r w:rsidRPr="00BA07A9">
        <w:rPr>
          <w:rFonts w:ascii="Times New Roman" w:hAnsi="Times New Roman"/>
        </w:rPr>
        <w:t xml:space="preserve">C-F into </w:t>
      </w:r>
      <w:r w:rsidR="001F5A94">
        <w:rPr>
          <w:rFonts w:ascii="Times New Roman" w:hAnsi="Times New Roman"/>
        </w:rPr>
        <w:t>three</w:t>
      </w:r>
      <w:r w:rsidR="001F5A94" w:rsidRPr="00BA07A9">
        <w:rPr>
          <w:rFonts w:ascii="Times New Roman" w:hAnsi="Times New Roman"/>
        </w:rPr>
        <w:t xml:space="preserve"> </w:t>
      </w:r>
      <w:r w:rsidR="0075525A">
        <w:rPr>
          <w:rFonts w:ascii="Times New Roman" w:hAnsi="Times New Roman"/>
        </w:rPr>
        <w:t xml:space="preserve">data </w:t>
      </w:r>
      <w:r w:rsidRPr="00BA07A9">
        <w:rPr>
          <w:rFonts w:ascii="Times New Roman" w:hAnsi="Times New Roman"/>
        </w:rPr>
        <w:t xml:space="preserve">items:  </w:t>
      </w:r>
      <w:r w:rsidR="0075525A">
        <w:rPr>
          <w:rFonts w:ascii="Times New Roman" w:hAnsi="Times New Roman"/>
        </w:rPr>
        <w:t xml:space="preserve">data </w:t>
      </w:r>
      <w:r w:rsidRPr="00BA07A9">
        <w:rPr>
          <w:rFonts w:ascii="Times New Roman" w:hAnsi="Times New Roman"/>
        </w:rPr>
        <w:t>item 5.a, General account life insurance assets</w:t>
      </w:r>
      <w:r w:rsidR="00C16B91">
        <w:rPr>
          <w:rFonts w:ascii="Times New Roman" w:hAnsi="Times New Roman"/>
        </w:rPr>
        <w:t>,</w:t>
      </w:r>
      <w:r w:rsidRPr="00BA07A9">
        <w:rPr>
          <w:rFonts w:ascii="Times New Roman" w:hAnsi="Times New Roman"/>
        </w:rPr>
        <w:t xml:space="preserve"> </w:t>
      </w:r>
      <w:proofErr w:type="gramStart"/>
      <w:r w:rsidR="0075525A">
        <w:rPr>
          <w:rFonts w:ascii="Times New Roman" w:hAnsi="Times New Roman"/>
        </w:rPr>
        <w:t>data</w:t>
      </w:r>
      <w:proofErr w:type="gramEnd"/>
      <w:r w:rsidR="0075525A">
        <w:rPr>
          <w:rFonts w:ascii="Times New Roman" w:hAnsi="Times New Roman"/>
        </w:rPr>
        <w:t xml:space="preserve"> </w:t>
      </w:r>
      <w:r w:rsidRPr="00BA07A9">
        <w:rPr>
          <w:rFonts w:ascii="Times New Roman" w:hAnsi="Times New Roman"/>
        </w:rPr>
        <w:t>item 5.b, Separate account life insurance assets</w:t>
      </w:r>
      <w:r w:rsidR="001F5A94">
        <w:rPr>
          <w:rFonts w:ascii="Times New Roman" w:hAnsi="Times New Roman"/>
        </w:rPr>
        <w:t>, and data item 5.c, Hybrid account life insurance assets</w:t>
      </w:r>
      <w:r w:rsidRPr="00BA07A9">
        <w:rPr>
          <w:rFonts w:ascii="Times New Roman" w:hAnsi="Times New Roman"/>
        </w:rPr>
        <w:t>.</w:t>
      </w:r>
    </w:p>
    <w:p w:rsidR="00BA07A9" w:rsidRPr="00BA07A9" w:rsidRDefault="00BA07A9" w:rsidP="00BA07A9">
      <w:pPr>
        <w:widowControl/>
        <w:rPr>
          <w:rFonts w:ascii="Times New Roman" w:hAnsi="Times New Roman"/>
          <w:b/>
        </w:rPr>
      </w:pPr>
    </w:p>
    <w:p w:rsidR="00BA07A9" w:rsidRPr="00BA07A9" w:rsidRDefault="00BA07A9" w:rsidP="00BA07A9">
      <w:pPr>
        <w:widowControl/>
        <w:rPr>
          <w:rFonts w:ascii="Times New Roman" w:hAnsi="Times New Roman"/>
          <w:b/>
        </w:rPr>
      </w:pPr>
      <w:r>
        <w:rPr>
          <w:rFonts w:ascii="Times New Roman" w:hAnsi="Times New Roman"/>
          <w:b/>
        </w:rPr>
        <w:tab/>
      </w:r>
      <w:proofErr w:type="gramStart"/>
      <w:r>
        <w:rPr>
          <w:rFonts w:ascii="Times New Roman" w:hAnsi="Times New Roman"/>
          <w:b/>
        </w:rPr>
        <w:t>A</w:t>
      </w:r>
      <w:r w:rsidRPr="00BA07A9">
        <w:rPr>
          <w:rFonts w:ascii="Times New Roman" w:hAnsi="Times New Roman"/>
          <w:b/>
        </w:rPr>
        <w:t>.</w:t>
      </w:r>
      <w:r>
        <w:rPr>
          <w:rFonts w:ascii="Times New Roman" w:hAnsi="Times New Roman"/>
          <w:b/>
        </w:rPr>
        <w:t>7</w:t>
      </w:r>
      <w:r w:rsidRPr="00BA07A9">
        <w:rPr>
          <w:rFonts w:ascii="Times New Roman" w:hAnsi="Times New Roman"/>
          <w:b/>
        </w:rPr>
        <w:t xml:space="preserve">  Captive</w:t>
      </w:r>
      <w:proofErr w:type="gramEnd"/>
      <w:r w:rsidRPr="00BA07A9">
        <w:rPr>
          <w:rFonts w:ascii="Times New Roman" w:hAnsi="Times New Roman"/>
          <w:b/>
        </w:rPr>
        <w:t xml:space="preserve"> Insurance and Reinsurance Subsidiaries </w:t>
      </w:r>
    </w:p>
    <w:p w:rsidR="00BA07A9" w:rsidRPr="00BA07A9" w:rsidRDefault="00BA07A9" w:rsidP="00BA07A9">
      <w:pPr>
        <w:widowControl/>
        <w:rPr>
          <w:rFonts w:ascii="Times New Roman" w:hAnsi="Times New Roman"/>
          <w:b/>
        </w:rPr>
      </w:pPr>
    </w:p>
    <w:p w:rsidR="00562C8C" w:rsidRDefault="00BA07A9" w:rsidP="00BA07A9">
      <w:pPr>
        <w:widowControl/>
        <w:rPr>
          <w:rFonts w:ascii="Times New Roman" w:hAnsi="Times New Roman"/>
        </w:rPr>
      </w:pPr>
      <w:r>
        <w:rPr>
          <w:rFonts w:ascii="Times New Roman" w:hAnsi="Times New Roman"/>
        </w:rPr>
        <w:tab/>
      </w:r>
      <w:r w:rsidRPr="00BA07A9">
        <w:rPr>
          <w:rFonts w:ascii="Times New Roman" w:hAnsi="Times New Roman"/>
        </w:rPr>
        <w:t xml:space="preserve">Captive insurance companies are utilized by banking organizations to “self insure” </w:t>
      </w:r>
      <w:r w:rsidR="00562C8C">
        <w:rPr>
          <w:rFonts w:ascii="Times New Roman" w:hAnsi="Times New Roman"/>
        </w:rPr>
        <w:t xml:space="preserve">or reinsure </w:t>
      </w:r>
      <w:r w:rsidRPr="00BA07A9">
        <w:rPr>
          <w:rFonts w:ascii="Times New Roman" w:hAnsi="Times New Roman"/>
        </w:rPr>
        <w:t xml:space="preserve">their own risks pursuant to incidental activities authority.  A captive </w:t>
      </w:r>
      <w:r w:rsidR="00562C8C">
        <w:rPr>
          <w:rFonts w:ascii="Times New Roman" w:hAnsi="Times New Roman"/>
        </w:rPr>
        <w:t xml:space="preserve">insurance </w:t>
      </w:r>
      <w:r w:rsidRPr="00BA07A9">
        <w:rPr>
          <w:rFonts w:ascii="Times New Roman" w:hAnsi="Times New Roman"/>
        </w:rPr>
        <w:t>company</w:t>
      </w:r>
      <w:r w:rsidR="00562C8C">
        <w:rPr>
          <w:rFonts w:ascii="Times New Roman" w:hAnsi="Times New Roman"/>
        </w:rPr>
        <w:t xml:space="preserve"> is a limited purpose insurer that</w:t>
      </w:r>
      <w:r w:rsidRPr="00BA07A9">
        <w:rPr>
          <w:rFonts w:ascii="Times New Roman" w:hAnsi="Times New Roman"/>
        </w:rPr>
        <w:t xml:space="preserve"> may be licensed as a direct writer of insurance or as a reinsurer.  Insurance premiums paid by a </w:t>
      </w:r>
      <w:r w:rsidR="00562C8C">
        <w:rPr>
          <w:rFonts w:ascii="Times New Roman" w:hAnsi="Times New Roman"/>
        </w:rPr>
        <w:t>BHC</w:t>
      </w:r>
      <w:r w:rsidRPr="00BA07A9">
        <w:rPr>
          <w:rFonts w:ascii="Times New Roman" w:hAnsi="Times New Roman"/>
        </w:rPr>
        <w:t xml:space="preserve"> to its captive insurer, and claims paid back to the </w:t>
      </w:r>
      <w:r w:rsidR="00562C8C">
        <w:rPr>
          <w:rFonts w:ascii="Times New Roman" w:hAnsi="Times New Roman"/>
        </w:rPr>
        <w:t>BHC</w:t>
      </w:r>
      <w:r w:rsidRPr="00BA07A9">
        <w:rPr>
          <w:rFonts w:ascii="Times New Roman" w:hAnsi="Times New Roman"/>
        </w:rPr>
        <w:t xml:space="preserve"> by </w:t>
      </w:r>
      <w:r w:rsidR="00562C8C">
        <w:rPr>
          <w:rFonts w:ascii="Times New Roman" w:hAnsi="Times New Roman"/>
        </w:rPr>
        <w:t>the</w:t>
      </w:r>
      <w:r w:rsidRPr="00BA07A9">
        <w:rPr>
          <w:rFonts w:ascii="Times New Roman" w:hAnsi="Times New Roman"/>
        </w:rPr>
        <w:t xml:space="preserve"> captive, are transacted on an intercompany basis, so there is no evidence of this type of self-insurance activity when a </w:t>
      </w:r>
      <w:r w:rsidR="00562C8C">
        <w:rPr>
          <w:rFonts w:ascii="Times New Roman" w:hAnsi="Times New Roman"/>
        </w:rPr>
        <w:t>BHC</w:t>
      </w:r>
      <w:r w:rsidRPr="00BA07A9">
        <w:rPr>
          <w:rFonts w:ascii="Times New Roman" w:hAnsi="Times New Roman"/>
        </w:rPr>
        <w:t xml:space="preserve"> prepares consolidated financial statements, including its </w:t>
      </w:r>
      <w:r w:rsidR="00562C8C">
        <w:rPr>
          <w:rFonts w:ascii="Times New Roman" w:hAnsi="Times New Roman"/>
        </w:rPr>
        <w:t>FR Y-9C</w:t>
      </w:r>
      <w:r w:rsidRPr="00BA07A9">
        <w:rPr>
          <w:rFonts w:ascii="Times New Roman" w:hAnsi="Times New Roman"/>
        </w:rPr>
        <w:t xml:space="preserve">.  </w:t>
      </w:r>
      <w:r w:rsidR="00562C8C">
        <w:rPr>
          <w:rFonts w:ascii="Times New Roman" w:hAnsi="Times New Roman"/>
        </w:rPr>
        <w:t>The cash flows for a captive reinsurer’s transactions also are not transparent in a BHC’s consolidated financial statements.</w:t>
      </w:r>
    </w:p>
    <w:p w:rsidR="00562C8C" w:rsidRDefault="00562C8C" w:rsidP="00BA07A9">
      <w:pPr>
        <w:widowControl/>
        <w:rPr>
          <w:rFonts w:ascii="Times New Roman" w:hAnsi="Times New Roman"/>
        </w:rPr>
      </w:pPr>
    </w:p>
    <w:p w:rsidR="00562C8C" w:rsidRDefault="00562C8C" w:rsidP="00BA07A9">
      <w:pPr>
        <w:widowControl/>
        <w:rPr>
          <w:rFonts w:ascii="Times New Roman" w:hAnsi="Times New Roman"/>
        </w:rPr>
      </w:pPr>
      <w:r>
        <w:rPr>
          <w:rFonts w:ascii="Times New Roman" w:hAnsi="Times New Roman"/>
        </w:rPr>
        <w:tab/>
      </w:r>
      <w:r w:rsidR="00BA07A9" w:rsidRPr="00BA07A9">
        <w:rPr>
          <w:rFonts w:ascii="Times New Roman" w:hAnsi="Times New Roman"/>
        </w:rPr>
        <w:t xml:space="preserve">A number of </w:t>
      </w:r>
      <w:r>
        <w:rPr>
          <w:rFonts w:ascii="Times New Roman" w:hAnsi="Times New Roman"/>
        </w:rPr>
        <w:t>BHC</w:t>
      </w:r>
      <w:r w:rsidR="00BA07A9" w:rsidRPr="00BA07A9">
        <w:rPr>
          <w:rFonts w:ascii="Times New Roman" w:hAnsi="Times New Roman"/>
        </w:rPr>
        <w:t xml:space="preserve">s own captive insurers or reinsurers, several of which were authorized to operate more than </w:t>
      </w:r>
      <w:r w:rsidR="00137D30">
        <w:rPr>
          <w:rFonts w:ascii="Times New Roman" w:hAnsi="Times New Roman"/>
        </w:rPr>
        <w:t>10</w:t>
      </w:r>
      <w:r w:rsidR="00137D30" w:rsidRPr="00BA07A9">
        <w:rPr>
          <w:rFonts w:ascii="Times New Roman" w:hAnsi="Times New Roman"/>
        </w:rPr>
        <w:t xml:space="preserve"> </w:t>
      </w:r>
      <w:r w:rsidR="00BA07A9" w:rsidRPr="00BA07A9">
        <w:rPr>
          <w:rFonts w:ascii="Times New Roman" w:hAnsi="Times New Roman"/>
        </w:rPr>
        <w:t xml:space="preserve">years ago.  Some of the most common </w:t>
      </w:r>
      <w:r>
        <w:rPr>
          <w:rFonts w:ascii="Times New Roman" w:hAnsi="Times New Roman"/>
        </w:rPr>
        <w:t>lines of business underwritten by BHC</w:t>
      </w:r>
      <w:r w:rsidR="00BA07A9" w:rsidRPr="00BA07A9">
        <w:rPr>
          <w:rFonts w:ascii="Times New Roman" w:hAnsi="Times New Roman"/>
        </w:rPr>
        <w:t xml:space="preserve"> captive </w:t>
      </w:r>
      <w:r>
        <w:rPr>
          <w:rFonts w:ascii="Times New Roman" w:hAnsi="Times New Roman"/>
        </w:rPr>
        <w:t>insurers are credit life, accident</w:t>
      </w:r>
      <w:r w:rsidR="00BA07A9" w:rsidRPr="00BA07A9">
        <w:rPr>
          <w:rFonts w:ascii="Times New Roman" w:hAnsi="Times New Roman"/>
        </w:rPr>
        <w:t xml:space="preserve"> and health</w:t>
      </w:r>
      <w:r>
        <w:rPr>
          <w:rFonts w:ascii="Times New Roman" w:hAnsi="Times New Roman"/>
        </w:rPr>
        <w:t>, and disability insurance</w:t>
      </w:r>
      <w:r w:rsidR="009F014D">
        <w:rPr>
          <w:rFonts w:ascii="Times New Roman" w:hAnsi="Times New Roman"/>
        </w:rPr>
        <w:t xml:space="preserve"> and employee benefits coverage</w:t>
      </w:r>
      <w:r>
        <w:rPr>
          <w:rFonts w:ascii="Times New Roman" w:hAnsi="Times New Roman"/>
        </w:rPr>
        <w:t>.  Additionally, BHC captive</w:t>
      </w:r>
      <w:r w:rsidR="00BA07A9" w:rsidRPr="00BA07A9">
        <w:rPr>
          <w:rFonts w:ascii="Times New Roman" w:hAnsi="Times New Roman"/>
        </w:rPr>
        <w:t xml:space="preserve"> reinsurance </w:t>
      </w:r>
      <w:r>
        <w:rPr>
          <w:rFonts w:ascii="Times New Roman" w:hAnsi="Times New Roman"/>
        </w:rPr>
        <w:t>subsidiaries may underwrite</w:t>
      </w:r>
      <w:r w:rsidR="00BA07A9" w:rsidRPr="00BA07A9">
        <w:rPr>
          <w:rFonts w:ascii="Times New Roman" w:hAnsi="Times New Roman"/>
        </w:rPr>
        <w:t xml:space="preserve"> private mortgage guaranty reinsurance </w:t>
      </w:r>
      <w:r>
        <w:rPr>
          <w:rFonts w:ascii="Times New Roman" w:hAnsi="Times New Roman"/>
        </w:rPr>
        <w:t xml:space="preserve">or </w:t>
      </w:r>
      <w:r w:rsidR="00BA07A9" w:rsidRPr="00BA07A9">
        <w:rPr>
          <w:rFonts w:ascii="Times New Roman" w:hAnsi="Times New Roman"/>
        </w:rPr>
        <w:t>terrorism risk</w:t>
      </w:r>
      <w:r>
        <w:rPr>
          <w:rFonts w:ascii="Times New Roman" w:hAnsi="Times New Roman"/>
        </w:rPr>
        <w:t xml:space="preserve"> reinsurance</w:t>
      </w:r>
      <w:r w:rsidR="00BA07A9" w:rsidRPr="00BA07A9">
        <w:rPr>
          <w:rFonts w:ascii="Times New Roman" w:hAnsi="Times New Roman"/>
        </w:rPr>
        <w:t>.</w:t>
      </w:r>
    </w:p>
    <w:p w:rsidR="00BA07A9" w:rsidRPr="00BA07A9" w:rsidRDefault="00BA07A9" w:rsidP="00BA07A9">
      <w:pPr>
        <w:widowControl/>
        <w:rPr>
          <w:rFonts w:ascii="Times New Roman" w:hAnsi="Times New Roman"/>
        </w:rPr>
      </w:pPr>
      <w:r w:rsidRPr="00BA07A9">
        <w:rPr>
          <w:rFonts w:ascii="Times New Roman" w:hAnsi="Times New Roman"/>
        </w:rPr>
        <w:t xml:space="preserve">  </w:t>
      </w:r>
    </w:p>
    <w:p w:rsidR="00BA07A9" w:rsidRDefault="00562C8C" w:rsidP="00BA07A9">
      <w:pPr>
        <w:widowControl/>
        <w:rPr>
          <w:rFonts w:ascii="Times New Roman" w:hAnsi="Times New Roman"/>
        </w:rPr>
      </w:pPr>
      <w:r>
        <w:rPr>
          <w:rFonts w:ascii="Times New Roman" w:hAnsi="Times New Roman"/>
        </w:rPr>
        <w:tab/>
      </w:r>
      <w:r w:rsidR="009F014D">
        <w:rPr>
          <w:rFonts w:ascii="Times New Roman" w:hAnsi="Times New Roman"/>
        </w:rPr>
        <w:t>As part of their supervisory processes</w:t>
      </w:r>
      <w:r w:rsidR="00BA07A9" w:rsidRPr="00BA07A9">
        <w:rPr>
          <w:rFonts w:ascii="Times New Roman" w:hAnsi="Times New Roman"/>
        </w:rPr>
        <w:t xml:space="preserve">, </w:t>
      </w:r>
      <w:r w:rsidR="00384360">
        <w:rPr>
          <w:rFonts w:ascii="Times New Roman" w:hAnsi="Times New Roman"/>
        </w:rPr>
        <w:t>the Federal Reserve</w:t>
      </w:r>
      <w:r w:rsidR="00384360" w:rsidRPr="00BA07A9">
        <w:rPr>
          <w:rFonts w:ascii="Times New Roman" w:hAnsi="Times New Roman"/>
        </w:rPr>
        <w:t xml:space="preserve"> </w:t>
      </w:r>
      <w:r>
        <w:rPr>
          <w:rFonts w:ascii="Times New Roman" w:hAnsi="Times New Roman"/>
        </w:rPr>
        <w:t>has</w:t>
      </w:r>
      <w:r w:rsidR="00BA07A9" w:rsidRPr="00BA07A9">
        <w:rPr>
          <w:rFonts w:ascii="Times New Roman" w:hAnsi="Times New Roman"/>
        </w:rPr>
        <w:t xml:space="preserve"> been following the </w:t>
      </w:r>
      <w:r>
        <w:rPr>
          <w:rFonts w:ascii="Times New Roman" w:hAnsi="Times New Roman"/>
        </w:rPr>
        <w:t xml:space="preserve">proliferation of BHC </w:t>
      </w:r>
      <w:r w:rsidR="009F014D">
        <w:rPr>
          <w:rFonts w:ascii="Times New Roman" w:hAnsi="Times New Roman"/>
        </w:rPr>
        <w:t>captive insurers and reinsurers</w:t>
      </w:r>
      <w:r>
        <w:rPr>
          <w:rFonts w:ascii="Times New Roman" w:hAnsi="Times New Roman"/>
        </w:rPr>
        <w:t xml:space="preserve"> and the</w:t>
      </w:r>
      <w:r w:rsidR="00BA07A9" w:rsidRPr="00BA07A9">
        <w:rPr>
          <w:rFonts w:ascii="Times New Roman" w:hAnsi="Times New Roman"/>
        </w:rPr>
        <w:t xml:space="preserve"> performance trends of these captives </w:t>
      </w:r>
      <w:r w:rsidR="009F014D">
        <w:rPr>
          <w:rFonts w:ascii="Times New Roman" w:hAnsi="Times New Roman"/>
        </w:rPr>
        <w:t>for the past several years</w:t>
      </w:r>
      <w:r w:rsidR="00BA07A9" w:rsidRPr="00BA07A9">
        <w:rPr>
          <w:rFonts w:ascii="Times New Roman" w:hAnsi="Times New Roman"/>
        </w:rPr>
        <w:t xml:space="preserve">.  Collection of financial information regarding the total assets of captive insurance and reinsurance subsidiaries would assist the agencies in monitoring </w:t>
      </w:r>
      <w:r w:rsidR="009B0DF1">
        <w:rPr>
          <w:rFonts w:ascii="Times New Roman" w:hAnsi="Times New Roman"/>
        </w:rPr>
        <w:t xml:space="preserve">the insurance activities of banking organizations as well as any </w:t>
      </w:r>
      <w:r w:rsidR="00BA07A9" w:rsidRPr="00BA07A9">
        <w:rPr>
          <w:rFonts w:ascii="Times New Roman" w:hAnsi="Times New Roman"/>
        </w:rPr>
        <w:t xml:space="preserve">safety and soundness risks posed to the parent </w:t>
      </w:r>
      <w:r w:rsidR="00137D30">
        <w:rPr>
          <w:rFonts w:ascii="Times New Roman" w:hAnsi="Times New Roman"/>
        </w:rPr>
        <w:t xml:space="preserve">BHC </w:t>
      </w:r>
      <w:r w:rsidR="00BA07A9" w:rsidRPr="00BA07A9">
        <w:rPr>
          <w:rFonts w:ascii="Times New Roman" w:hAnsi="Times New Roman"/>
        </w:rPr>
        <w:t>from the activities of these subsidiaries.</w:t>
      </w:r>
    </w:p>
    <w:p w:rsidR="00BA07A9" w:rsidRPr="00BA07A9" w:rsidRDefault="00BA07A9" w:rsidP="00BA07A9">
      <w:pPr>
        <w:widowControl/>
        <w:rPr>
          <w:rFonts w:ascii="Times New Roman" w:hAnsi="Times New Roman"/>
        </w:rPr>
      </w:pPr>
    </w:p>
    <w:p w:rsidR="009161BB" w:rsidRDefault="00BA07A9" w:rsidP="009F014D">
      <w:pPr>
        <w:widowControl/>
        <w:rPr>
          <w:rFonts w:ascii="Times New Roman" w:hAnsi="Times New Roman"/>
        </w:rPr>
      </w:pPr>
      <w:r>
        <w:rPr>
          <w:rFonts w:ascii="Times New Roman" w:hAnsi="Times New Roman"/>
        </w:rPr>
        <w:tab/>
      </w:r>
      <w:r w:rsidR="00384360">
        <w:rPr>
          <w:rFonts w:ascii="Times New Roman" w:hAnsi="Times New Roman"/>
        </w:rPr>
        <w:t>The Federal Reserve</w:t>
      </w:r>
      <w:r w:rsidR="009B0DF1">
        <w:rPr>
          <w:rFonts w:ascii="Times New Roman" w:hAnsi="Times New Roman"/>
        </w:rPr>
        <w:t xml:space="preserve"> proposes</w:t>
      </w:r>
      <w:r w:rsidRPr="00BA07A9">
        <w:rPr>
          <w:rFonts w:ascii="Times New Roman" w:hAnsi="Times New Roman"/>
        </w:rPr>
        <w:t xml:space="preserve"> to col</w:t>
      </w:r>
      <w:r w:rsidR="009B0DF1">
        <w:rPr>
          <w:rFonts w:ascii="Times New Roman" w:hAnsi="Times New Roman"/>
        </w:rPr>
        <w:t xml:space="preserve">lect two new </w:t>
      </w:r>
      <w:r w:rsidR="0075525A">
        <w:rPr>
          <w:rFonts w:ascii="Times New Roman" w:hAnsi="Times New Roman"/>
        </w:rPr>
        <w:t xml:space="preserve">data </w:t>
      </w:r>
      <w:r w:rsidR="009B0DF1">
        <w:rPr>
          <w:rFonts w:ascii="Times New Roman" w:hAnsi="Times New Roman"/>
        </w:rPr>
        <w:t>items in Schedule H</w:t>
      </w:r>
      <w:r w:rsidRPr="00BA07A9">
        <w:rPr>
          <w:rFonts w:ascii="Times New Roman" w:hAnsi="Times New Roman"/>
        </w:rPr>
        <w:t xml:space="preserve">C-M, Memoranda, for captive insurance subsidiaries operated by </w:t>
      </w:r>
      <w:r w:rsidR="009B0DF1">
        <w:rPr>
          <w:rFonts w:ascii="Times New Roman" w:hAnsi="Times New Roman"/>
        </w:rPr>
        <w:t>BHC</w:t>
      </w:r>
      <w:r w:rsidRPr="00BA07A9">
        <w:rPr>
          <w:rFonts w:ascii="Times New Roman" w:hAnsi="Times New Roman"/>
        </w:rPr>
        <w:t xml:space="preserve">s:  </w:t>
      </w:r>
      <w:r w:rsidR="0075525A">
        <w:rPr>
          <w:rFonts w:ascii="Times New Roman" w:hAnsi="Times New Roman"/>
        </w:rPr>
        <w:t xml:space="preserve">data </w:t>
      </w:r>
      <w:r w:rsidRPr="00BA07A9">
        <w:rPr>
          <w:rFonts w:ascii="Times New Roman" w:hAnsi="Times New Roman"/>
        </w:rPr>
        <w:t xml:space="preserve">item </w:t>
      </w:r>
      <w:r w:rsidR="009B0DF1">
        <w:rPr>
          <w:rFonts w:ascii="Times New Roman" w:hAnsi="Times New Roman"/>
        </w:rPr>
        <w:t>7</w:t>
      </w:r>
      <w:r w:rsidRPr="00BA07A9">
        <w:rPr>
          <w:rFonts w:ascii="Times New Roman" w:hAnsi="Times New Roman"/>
        </w:rPr>
        <w:t>.a, Total assets of captive insurance</w:t>
      </w:r>
      <w:r w:rsidR="00137D30">
        <w:rPr>
          <w:rFonts w:ascii="Times New Roman" w:hAnsi="Times New Roman"/>
        </w:rPr>
        <w:t xml:space="preserve"> </w:t>
      </w:r>
      <w:r w:rsidRPr="00BA07A9">
        <w:rPr>
          <w:rFonts w:ascii="Times New Roman" w:hAnsi="Times New Roman"/>
        </w:rPr>
        <w:t>subsidiaries</w:t>
      </w:r>
      <w:r w:rsidR="00C16B91">
        <w:rPr>
          <w:rFonts w:ascii="Times New Roman" w:hAnsi="Times New Roman"/>
        </w:rPr>
        <w:t>,</w:t>
      </w:r>
      <w:r w:rsidRPr="00BA07A9">
        <w:rPr>
          <w:rFonts w:ascii="Times New Roman" w:hAnsi="Times New Roman"/>
        </w:rPr>
        <w:t xml:space="preserve"> and </w:t>
      </w:r>
      <w:r w:rsidR="0075525A">
        <w:rPr>
          <w:rFonts w:ascii="Times New Roman" w:hAnsi="Times New Roman"/>
        </w:rPr>
        <w:t xml:space="preserve">data </w:t>
      </w:r>
      <w:r w:rsidRPr="00BA07A9">
        <w:rPr>
          <w:rFonts w:ascii="Times New Roman" w:hAnsi="Times New Roman"/>
        </w:rPr>
        <w:t xml:space="preserve">item </w:t>
      </w:r>
      <w:r w:rsidR="009B0DF1">
        <w:rPr>
          <w:rFonts w:ascii="Times New Roman" w:hAnsi="Times New Roman"/>
        </w:rPr>
        <w:t>7</w:t>
      </w:r>
      <w:r w:rsidRPr="00BA07A9">
        <w:rPr>
          <w:rFonts w:ascii="Times New Roman" w:hAnsi="Times New Roman"/>
        </w:rPr>
        <w:t xml:space="preserve">.b, </w:t>
      </w:r>
      <w:proofErr w:type="gramStart"/>
      <w:r w:rsidRPr="00BA07A9">
        <w:rPr>
          <w:rFonts w:ascii="Times New Roman" w:hAnsi="Times New Roman"/>
        </w:rPr>
        <w:t>Total</w:t>
      </w:r>
      <w:proofErr w:type="gramEnd"/>
      <w:r w:rsidRPr="00BA07A9">
        <w:rPr>
          <w:rFonts w:ascii="Times New Roman" w:hAnsi="Times New Roman"/>
        </w:rPr>
        <w:t xml:space="preserve"> assets of captive reinsurance subsidiaries.  These new </w:t>
      </w:r>
      <w:r w:rsidR="00137D30">
        <w:rPr>
          <w:rFonts w:ascii="Times New Roman" w:hAnsi="Times New Roman"/>
        </w:rPr>
        <w:t xml:space="preserve">data </w:t>
      </w:r>
      <w:r w:rsidRPr="00BA07A9">
        <w:rPr>
          <w:rFonts w:ascii="Times New Roman" w:hAnsi="Times New Roman"/>
        </w:rPr>
        <w:t xml:space="preserve">items are not expected to be applicable to the vast majority of </w:t>
      </w:r>
      <w:r w:rsidR="009B0DF1">
        <w:rPr>
          <w:rFonts w:ascii="Times New Roman" w:hAnsi="Times New Roman"/>
        </w:rPr>
        <w:t>BHC</w:t>
      </w:r>
      <w:r w:rsidRPr="00BA07A9">
        <w:rPr>
          <w:rFonts w:ascii="Times New Roman" w:hAnsi="Times New Roman"/>
        </w:rPr>
        <w:t xml:space="preserve">s.  </w:t>
      </w:r>
      <w:r w:rsidR="009F014D" w:rsidRPr="009F014D">
        <w:rPr>
          <w:rFonts w:ascii="Times New Roman" w:hAnsi="Times New Roman"/>
        </w:rPr>
        <w:t xml:space="preserve">When reporting the total assets of these captive subsidiaries in the proposed new </w:t>
      </w:r>
      <w:r w:rsidR="00137D30">
        <w:rPr>
          <w:rFonts w:ascii="Times New Roman" w:hAnsi="Times New Roman"/>
        </w:rPr>
        <w:t xml:space="preserve">data </w:t>
      </w:r>
      <w:r w:rsidR="009F014D" w:rsidRPr="009F014D">
        <w:rPr>
          <w:rFonts w:ascii="Times New Roman" w:hAnsi="Times New Roman"/>
        </w:rPr>
        <w:t>items</w:t>
      </w:r>
      <w:r w:rsidR="009F014D">
        <w:rPr>
          <w:rFonts w:ascii="Times New Roman" w:hAnsi="Times New Roman"/>
        </w:rPr>
        <w:t>, BHC</w:t>
      </w:r>
      <w:r w:rsidR="009F014D" w:rsidRPr="009F014D">
        <w:rPr>
          <w:rFonts w:ascii="Times New Roman" w:hAnsi="Times New Roman"/>
        </w:rPr>
        <w:t xml:space="preserve">s should measure the subsidiaries’ total assets before eliminating intercompany transactions between the consolidated subsidiary and other offices or subsidiaries of the consolidated </w:t>
      </w:r>
      <w:r w:rsidR="009F014D">
        <w:rPr>
          <w:rFonts w:ascii="Times New Roman" w:hAnsi="Times New Roman"/>
        </w:rPr>
        <w:t>BHC</w:t>
      </w:r>
      <w:r w:rsidR="009F014D" w:rsidRPr="009F014D">
        <w:rPr>
          <w:rFonts w:ascii="Times New Roman" w:hAnsi="Times New Roman"/>
        </w:rPr>
        <w:t>.</w:t>
      </w:r>
    </w:p>
    <w:p w:rsidR="00436C23" w:rsidRDefault="00436C23" w:rsidP="009F014D">
      <w:pPr>
        <w:widowControl/>
        <w:rPr>
          <w:rFonts w:ascii="Times New Roman" w:hAnsi="Times New Roman"/>
        </w:rPr>
      </w:pPr>
    </w:p>
    <w:p w:rsidR="0093559C" w:rsidRDefault="00CD3DFB" w:rsidP="00CD3DFB">
      <w:pPr>
        <w:widowControl/>
        <w:rPr>
          <w:rFonts w:ascii="Times New Roman" w:hAnsi="Times New Roman"/>
          <w:b/>
          <w:bCs/>
        </w:rPr>
      </w:pPr>
      <w:r w:rsidRPr="00CD3DFB">
        <w:rPr>
          <w:rFonts w:ascii="Times New Roman" w:hAnsi="Times New Roman"/>
          <w:b/>
          <w:bCs/>
        </w:rPr>
        <w:tab/>
      </w:r>
    </w:p>
    <w:p w:rsidR="0093559C" w:rsidRDefault="0093559C">
      <w:pPr>
        <w:widowControl/>
        <w:rPr>
          <w:rFonts w:ascii="Times New Roman" w:hAnsi="Times New Roman"/>
          <w:b/>
          <w:bCs/>
        </w:rPr>
      </w:pPr>
      <w:r>
        <w:rPr>
          <w:rFonts w:ascii="Times New Roman" w:hAnsi="Times New Roman"/>
          <w:b/>
          <w:bCs/>
        </w:rPr>
        <w:br w:type="page"/>
      </w:r>
    </w:p>
    <w:p w:rsidR="00CD3DFB" w:rsidRPr="00CD3DFB" w:rsidRDefault="00CD3DFB" w:rsidP="00CD3DFB">
      <w:pPr>
        <w:widowControl/>
        <w:rPr>
          <w:rFonts w:ascii="Times New Roman" w:hAnsi="Times New Roman"/>
          <w:b/>
        </w:rPr>
      </w:pPr>
      <w:proofErr w:type="gramStart"/>
      <w:r w:rsidRPr="00CD3DFB">
        <w:rPr>
          <w:rFonts w:ascii="Times New Roman" w:hAnsi="Times New Roman"/>
          <w:b/>
          <w:bCs/>
        </w:rPr>
        <w:lastRenderedPageBreak/>
        <w:t>A.8  Credit</w:t>
      </w:r>
      <w:proofErr w:type="gramEnd"/>
      <w:r w:rsidRPr="00CD3DFB">
        <w:rPr>
          <w:rFonts w:ascii="Times New Roman" w:hAnsi="Times New Roman"/>
          <w:b/>
          <w:bCs/>
        </w:rPr>
        <w:t xml:space="preserve"> and Debit Valuation Adjustments Included in Trading Revenues </w:t>
      </w:r>
    </w:p>
    <w:p w:rsidR="00CD3DFB" w:rsidRPr="00CD3DFB" w:rsidRDefault="00CD3DFB" w:rsidP="00CD3DFB">
      <w:pPr>
        <w:widowControl/>
        <w:rPr>
          <w:rFonts w:ascii="Times New Roman" w:hAnsi="Times New Roman"/>
          <w:b/>
        </w:rPr>
      </w:pPr>
    </w:p>
    <w:p w:rsidR="00CD3DFB" w:rsidRDefault="00CD3DFB" w:rsidP="00CD3DFB">
      <w:pPr>
        <w:widowControl/>
        <w:rPr>
          <w:rFonts w:ascii="Times New Roman" w:hAnsi="Times New Roman"/>
        </w:rPr>
      </w:pPr>
      <w:r>
        <w:rPr>
          <w:rFonts w:ascii="Times New Roman" w:hAnsi="Times New Roman"/>
        </w:rPr>
        <w:tab/>
        <w:t>BHC</w:t>
      </w:r>
      <w:r w:rsidRPr="00CD3DFB">
        <w:rPr>
          <w:rFonts w:ascii="Times New Roman" w:hAnsi="Times New Roman"/>
        </w:rPr>
        <w:t>s that reported average trading assets of $2 million or more for any quarter of the preceding calendar year provide a breakdown of trading revenue by type o</w:t>
      </w:r>
      <w:r>
        <w:rPr>
          <w:rFonts w:ascii="Times New Roman" w:hAnsi="Times New Roman"/>
        </w:rPr>
        <w:t>f exposure in Memorandum items 9.a through 9.e of Schedule H</w:t>
      </w:r>
      <w:r w:rsidRPr="00CD3DFB">
        <w:rPr>
          <w:rFonts w:ascii="Times New Roman" w:hAnsi="Times New Roman"/>
        </w:rPr>
        <w:t xml:space="preserve">I, Income Statement.  These revenue </w:t>
      </w:r>
      <w:r w:rsidR="0075525A">
        <w:rPr>
          <w:rFonts w:ascii="Times New Roman" w:hAnsi="Times New Roman"/>
        </w:rPr>
        <w:t xml:space="preserve">data </w:t>
      </w:r>
      <w:r w:rsidRPr="00CD3DFB">
        <w:rPr>
          <w:rFonts w:ascii="Times New Roman" w:hAnsi="Times New Roman"/>
        </w:rPr>
        <w:t xml:space="preserve">items are reported net of credit adjustments made to the fair value of </w:t>
      </w:r>
      <w:r>
        <w:rPr>
          <w:rFonts w:ascii="Times New Roman" w:hAnsi="Times New Roman"/>
        </w:rPr>
        <w:t>BHC</w:t>
      </w:r>
      <w:r w:rsidR="009F014D">
        <w:rPr>
          <w:rFonts w:ascii="Times New Roman" w:hAnsi="Times New Roman"/>
        </w:rPr>
        <w:t>s’ derivative</w:t>
      </w:r>
      <w:r w:rsidRPr="00CD3DFB">
        <w:rPr>
          <w:rFonts w:ascii="Times New Roman" w:hAnsi="Times New Roman"/>
        </w:rPr>
        <w:t xml:space="preserve"> </w:t>
      </w:r>
      <w:r>
        <w:rPr>
          <w:rFonts w:ascii="Times New Roman" w:hAnsi="Times New Roman"/>
        </w:rPr>
        <w:t>assets</w:t>
      </w:r>
      <w:r w:rsidRPr="00CD3DFB">
        <w:rPr>
          <w:rFonts w:ascii="Times New Roman" w:hAnsi="Times New Roman"/>
        </w:rPr>
        <w:t xml:space="preserve"> and </w:t>
      </w:r>
      <w:r>
        <w:rPr>
          <w:rFonts w:ascii="Times New Roman" w:hAnsi="Times New Roman"/>
        </w:rPr>
        <w:t>liabilit</w:t>
      </w:r>
      <w:r w:rsidR="009F014D">
        <w:rPr>
          <w:rFonts w:ascii="Times New Roman" w:hAnsi="Times New Roman"/>
        </w:rPr>
        <w:t>i</w:t>
      </w:r>
      <w:r>
        <w:rPr>
          <w:rFonts w:ascii="Times New Roman" w:hAnsi="Times New Roman"/>
        </w:rPr>
        <w:t>es</w:t>
      </w:r>
      <w:r w:rsidRPr="00CD3DFB">
        <w:rPr>
          <w:rFonts w:ascii="Times New Roman" w:hAnsi="Times New Roman"/>
        </w:rPr>
        <w:t xml:space="preserve"> that are reported as trading assets and liabilities.</w:t>
      </w:r>
    </w:p>
    <w:p w:rsidR="00CD3DFB" w:rsidRPr="00CD3DFB" w:rsidRDefault="00CD3DFB" w:rsidP="00CD3DFB">
      <w:pPr>
        <w:widowControl/>
        <w:rPr>
          <w:rFonts w:ascii="Times New Roman" w:hAnsi="Times New Roman"/>
        </w:rPr>
      </w:pPr>
      <w:r w:rsidRPr="00CD3DFB">
        <w:rPr>
          <w:rFonts w:ascii="Times New Roman" w:hAnsi="Times New Roman"/>
        </w:rPr>
        <w:t xml:space="preserve">  </w:t>
      </w:r>
    </w:p>
    <w:p w:rsidR="00CD3DFB" w:rsidRDefault="00CD3DFB" w:rsidP="00CD3DFB">
      <w:pPr>
        <w:widowControl/>
        <w:rPr>
          <w:rFonts w:ascii="Times New Roman" w:hAnsi="Times New Roman"/>
        </w:rPr>
      </w:pPr>
      <w:r>
        <w:rPr>
          <w:rFonts w:ascii="Times New Roman" w:hAnsi="Times New Roman"/>
        </w:rPr>
        <w:tab/>
      </w:r>
      <w:r w:rsidRPr="00CD3DFB">
        <w:rPr>
          <w:rFonts w:ascii="Times New Roman" w:hAnsi="Times New Roman"/>
        </w:rPr>
        <w:t xml:space="preserve">There are two forms of credit adjustments that affect the valuation of derivatives held for trading and trading revenue.  The first is the credit valuation adjustment (CVA), which is the discounted value of expected losses on a </w:t>
      </w:r>
      <w:r>
        <w:rPr>
          <w:rFonts w:ascii="Times New Roman" w:hAnsi="Times New Roman"/>
        </w:rPr>
        <w:t>BHC</w:t>
      </w:r>
      <w:r w:rsidR="009F014D">
        <w:rPr>
          <w:rFonts w:ascii="Times New Roman" w:hAnsi="Times New Roman"/>
        </w:rPr>
        <w:t>’s derivative</w:t>
      </w:r>
      <w:r w:rsidRPr="00CD3DFB">
        <w:rPr>
          <w:rFonts w:ascii="Times New Roman" w:hAnsi="Times New Roman"/>
        </w:rPr>
        <w:t xml:space="preserve"> </w:t>
      </w:r>
      <w:r>
        <w:rPr>
          <w:rFonts w:ascii="Times New Roman" w:hAnsi="Times New Roman"/>
        </w:rPr>
        <w:t>assets</w:t>
      </w:r>
      <w:r w:rsidRPr="00CD3DFB">
        <w:rPr>
          <w:rFonts w:ascii="Times New Roman" w:hAnsi="Times New Roman"/>
        </w:rPr>
        <w:t xml:space="preserve"> due to changes in the creditworthiness of the </w:t>
      </w:r>
      <w:r>
        <w:rPr>
          <w:rFonts w:ascii="Times New Roman" w:hAnsi="Times New Roman"/>
        </w:rPr>
        <w:t>BHC</w:t>
      </w:r>
      <w:r w:rsidRPr="00CD3DFB">
        <w:rPr>
          <w:rFonts w:ascii="Times New Roman" w:hAnsi="Times New Roman"/>
        </w:rPr>
        <w:t xml:space="preserve">’s derivative counterparties and future exposures to those counterparties.  In contrast, the debit valuation adjustment (DVA) reflects the effect of changes in the </w:t>
      </w:r>
      <w:r>
        <w:rPr>
          <w:rFonts w:ascii="Times New Roman" w:hAnsi="Times New Roman"/>
        </w:rPr>
        <w:t>BHC</w:t>
      </w:r>
      <w:r w:rsidRPr="00CD3DFB">
        <w:rPr>
          <w:rFonts w:ascii="Times New Roman" w:hAnsi="Times New Roman"/>
        </w:rPr>
        <w:t>’s own cre</w:t>
      </w:r>
      <w:r w:rsidR="009F014D">
        <w:rPr>
          <w:rFonts w:ascii="Times New Roman" w:hAnsi="Times New Roman"/>
        </w:rPr>
        <w:t>ditworthiness on its derivative</w:t>
      </w:r>
      <w:r w:rsidRPr="00CD3DFB">
        <w:rPr>
          <w:rFonts w:ascii="Times New Roman" w:hAnsi="Times New Roman"/>
        </w:rPr>
        <w:t xml:space="preserve"> </w:t>
      </w:r>
      <w:r>
        <w:rPr>
          <w:rFonts w:ascii="Times New Roman" w:hAnsi="Times New Roman"/>
        </w:rPr>
        <w:t>liabilities</w:t>
      </w:r>
      <w:r w:rsidRPr="00CD3DFB">
        <w:rPr>
          <w:rFonts w:ascii="Times New Roman" w:hAnsi="Times New Roman"/>
        </w:rPr>
        <w:t xml:space="preserve">.  During the financial crisis, the recognition of both the CVA and the DVA had a material </w:t>
      </w:r>
      <w:r w:rsidR="00C660F8">
        <w:rPr>
          <w:rFonts w:ascii="Times New Roman" w:hAnsi="Times New Roman"/>
        </w:rPr>
        <w:t>effect</w:t>
      </w:r>
      <w:r w:rsidRPr="00CD3DFB">
        <w:rPr>
          <w:rFonts w:ascii="Times New Roman" w:hAnsi="Times New Roman"/>
        </w:rPr>
        <w:t xml:space="preserve"> on overall trading revenues.  Because of their potential materiality, information on these two adjustments is needed in order for the </w:t>
      </w:r>
      <w:r>
        <w:rPr>
          <w:rFonts w:ascii="Times New Roman" w:hAnsi="Times New Roman"/>
        </w:rPr>
        <w:t>Federal Reserve</w:t>
      </w:r>
      <w:r w:rsidRPr="00CD3DFB">
        <w:rPr>
          <w:rFonts w:ascii="Times New Roman" w:hAnsi="Times New Roman"/>
        </w:rPr>
        <w:t xml:space="preserve"> to better understand the level and trend of </w:t>
      </w:r>
      <w:r>
        <w:rPr>
          <w:rFonts w:ascii="Times New Roman" w:hAnsi="Times New Roman"/>
        </w:rPr>
        <w:t>BHCs</w:t>
      </w:r>
      <w:r w:rsidRPr="00CD3DFB">
        <w:rPr>
          <w:rFonts w:ascii="Times New Roman" w:hAnsi="Times New Roman"/>
        </w:rPr>
        <w:t xml:space="preserve">’ trading revenues.  </w:t>
      </w:r>
    </w:p>
    <w:p w:rsidR="00CD3DFB" w:rsidRPr="00CD3DFB" w:rsidRDefault="00CD3DFB" w:rsidP="00CD3DFB">
      <w:pPr>
        <w:widowControl/>
        <w:rPr>
          <w:rFonts w:ascii="Times New Roman" w:hAnsi="Times New Roman"/>
        </w:rPr>
      </w:pPr>
    </w:p>
    <w:p w:rsidR="007725A3" w:rsidRDefault="00CD3DFB">
      <w:pPr>
        <w:widowControl/>
        <w:rPr>
          <w:rFonts w:ascii="Times New Roman" w:hAnsi="Times New Roman"/>
          <w:b/>
        </w:rPr>
      </w:pPr>
      <w:r>
        <w:rPr>
          <w:rFonts w:ascii="Times New Roman" w:hAnsi="Times New Roman"/>
        </w:rPr>
        <w:tab/>
      </w:r>
      <w:r w:rsidR="00384360">
        <w:rPr>
          <w:rFonts w:ascii="Times New Roman" w:hAnsi="Times New Roman"/>
        </w:rPr>
        <w:t>The Federal Reserve</w:t>
      </w:r>
      <w:r>
        <w:rPr>
          <w:rFonts w:ascii="Times New Roman" w:hAnsi="Times New Roman"/>
        </w:rPr>
        <w:t xml:space="preserve"> therefore proposes</w:t>
      </w:r>
      <w:r w:rsidRPr="00CD3DFB">
        <w:rPr>
          <w:rFonts w:ascii="Times New Roman" w:hAnsi="Times New Roman"/>
        </w:rPr>
        <w:t xml:space="preserve"> to add two new Memorandum </w:t>
      </w:r>
      <w:r>
        <w:rPr>
          <w:rFonts w:ascii="Times New Roman" w:hAnsi="Times New Roman"/>
        </w:rPr>
        <w:t>items to the existing Schedule H</w:t>
      </w:r>
      <w:r w:rsidRPr="00CD3DFB">
        <w:rPr>
          <w:rFonts w:ascii="Times New Roman" w:hAnsi="Times New Roman"/>
        </w:rPr>
        <w:t>I Memorandum items for trading re</w:t>
      </w:r>
      <w:r>
        <w:rPr>
          <w:rFonts w:ascii="Times New Roman" w:hAnsi="Times New Roman"/>
        </w:rPr>
        <w:t>venue.  In new Memorandum item 9</w:t>
      </w:r>
      <w:r w:rsidRPr="00CD3DFB">
        <w:rPr>
          <w:rFonts w:ascii="Times New Roman" w:hAnsi="Times New Roman"/>
        </w:rPr>
        <w:t xml:space="preserve">.f, </w:t>
      </w:r>
      <w:r>
        <w:rPr>
          <w:rFonts w:ascii="Times New Roman" w:hAnsi="Times New Roman"/>
        </w:rPr>
        <w:t>BHCs</w:t>
      </w:r>
      <w:r w:rsidRPr="00CD3DFB">
        <w:rPr>
          <w:rFonts w:ascii="Times New Roman" w:hAnsi="Times New Roman"/>
        </w:rPr>
        <w:t xml:space="preserve"> would report the </w:t>
      </w:r>
      <w:r w:rsidRPr="00CD3DFB">
        <w:rPr>
          <w:rFonts w:ascii="Times New Roman" w:hAnsi="Times New Roman"/>
          <w:bCs/>
        </w:rPr>
        <w:t xml:space="preserve">Impact </w:t>
      </w:r>
      <w:r w:rsidR="001F0728">
        <w:rPr>
          <w:rFonts w:ascii="Times New Roman" w:hAnsi="Times New Roman"/>
          <w:bCs/>
        </w:rPr>
        <w:t xml:space="preserve">on trading revenue </w:t>
      </w:r>
      <w:r w:rsidRPr="00CD3DFB">
        <w:rPr>
          <w:rFonts w:ascii="Times New Roman" w:hAnsi="Times New Roman"/>
          <w:bCs/>
        </w:rPr>
        <w:t xml:space="preserve">of changes in the creditworthiness of the </w:t>
      </w:r>
      <w:r w:rsidR="006E4E9E">
        <w:rPr>
          <w:rFonts w:ascii="Times New Roman" w:hAnsi="Times New Roman"/>
          <w:bCs/>
        </w:rPr>
        <w:t>bank holding company’s</w:t>
      </w:r>
      <w:r w:rsidRPr="00CD3DFB">
        <w:rPr>
          <w:rFonts w:ascii="Times New Roman" w:hAnsi="Times New Roman"/>
          <w:bCs/>
        </w:rPr>
        <w:t xml:space="preserve"> derivatives counterparties</w:t>
      </w:r>
      <w:r w:rsidR="00A75C9D">
        <w:rPr>
          <w:rFonts w:ascii="Times New Roman" w:hAnsi="Times New Roman"/>
          <w:bCs/>
        </w:rPr>
        <w:t xml:space="preserve"> on </w:t>
      </w:r>
      <w:r w:rsidR="001F0728">
        <w:rPr>
          <w:rFonts w:ascii="Times New Roman" w:hAnsi="Times New Roman"/>
          <w:bCs/>
        </w:rPr>
        <w:t xml:space="preserve">the bank holding company’s </w:t>
      </w:r>
      <w:r w:rsidR="00A75C9D">
        <w:rPr>
          <w:rFonts w:ascii="Times New Roman" w:hAnsi="Times New Roman"/>
          <w:bCs/>
        </w:rPr>
        <w:t>derivative assets</w:t>
      </w:r>
      <w:r w:rsidRPr="00CD3DFB">
        <w:rPr>
          <w:rFonts w:ascii="Times New Roman" w:hAnsi="Times New Roman"/>
          <w:bCs/>
        </w:rPr>
        <w:t xml:space="preserve"> (included in Memorandum </w:t>
      </w:r>
      <w:r>
        <w:rPr>
          <w:rFonts w:ascii="Times New Roman" w:hAnsi="Times New Roman"/>
          <w:bCs/>
        </w:rPr>
        <w:t>items 9</w:t>
      </w:r>
      <w:r w:rsidRPr="00CD3DFB">
        <w:rPr>
          <w:rFonts w:ascii="Times New Roman" w:hAnsi="Times New Roman"/>
          <w:bCs/>
        </w:rPr>
        <w:t>.a thr</w:t>
      </w:r>
      <w:r>
        <w:rPr>
          <w:rFonts w:ascii="Times New Roman" w:hAnsi="Times New Roman"/>
          <w:bCs/>
        </w:rPr>
        <w:t>ough 9</w:t>
      </w:r>
      <w:r w:rsidRPr="00CD3DFB">
        <w:rPr>
          <w:rFonts w:ascii="Times New Roman" w:hAnsi="Times New Roman"/>
          <w:bCs/>
        </w:rPr>
        <w:t>.e above)</w:t>
      </w:r>
      <w:r>
        <w:rPr>
          <w:rFonts w:ascii="Times New Roman" w:hAnsi="Times New Roman"/>
          <w:bCs/>
        </w:rPr>
        <w:t>.  In new Memorandum item 9</w:t>
      </w:r>
      <w:r w:rsidRPr="00CD3DFB">
        <w:rPr>
          <w:rFonts w:ascii="Times New Roman" w:hAnsi="Times New Roman"/>
          <w:bCs/>
        </w:rPr>
        <w:t xml:space="preserve">.g., </w:t>
      </w:r>
      <w:r>
        <w:rPr>
          <w:rFonts w:ascii="Times New Roman" w:hAnsi="Times New Roman"/>
          <w:bCs/>
        </w:rPr>
        <w:t>BHC</w:t>
      </w:r>
      <w:r w:rsidRPr="00CD3DFB">
        <w:rPr>
          <w:rFonts w:ascii="Times New Roman" w:hAnsi="Times New Roman"/>
          <w:bCs/>
        </w:rPr>
        <w:t xml:space="preserve">s would report the Impact </w:t>
      </w:r>
      <w:r w:rsidR="001F0728">
        <w:rPr>
          <w:rFonts w:ascii="Times New Roman" w:hAnsi="Times New Roman"/>
          <w:bCs/>
        </w:rPr>
        <w:t xml:space="preserve">on trading revenue </w:t>
      </w:r>
      <w:r w:rsidRPr="00CD3DFB">
        <w:rPr>
          <w:rFonts w:ascii="Times New Roman" w:hAnsi="Times New Roman"/>
          <w:bCs/>
        </w:rPr>
        <w:t xml:space="preserve">of changes in the creditworthiness of the </w:t>
      </w:r>
      <w:r w:rsidR="006E4E9E">
        <w:rPr>
          <w:rFonts w:ascii="Times New Roman" w:hAnsi="Times New Roman"/>
          <w:bCs/>
        </w:rPr>
        <w:t>bank holding company</w:t>
      </w:r>
      <w:r w:rsidRPr="00CD3DFB">
        <w:rPr>
          <w:rFonts w:ascii="Times New Roman" w:hAnsi="Times New Roman"/>
          <w:bCs/>
        </w:rPr>
        <w:t xml:space="preserve"> </w:t>
      </w:r>
      <w:r w:rsidR="001F0728">
        <w:rPr>
          <w:rFonts w:ascii="Times New Roman" w:hAnsi="Times New Roman"/>
          <w:bCs/>
        </w:rPr>
        <w:t>on the bank holding company’s</w:t>
      </w:r>
      <w:r w:rsidR="00A75C9D">
        <w:rPr>
          <w:rFonts w:ascii="Times New Roman" w:hAnsi="Times New Roman"/>
          <w:bCs/>
        </w:rPr>
        <w:t xml:space="preserve"> derivative liabilities (included in Memorandum items 9.a through 9</w:t>
      </w:r>
      <w:r w:rsidRPr="00CD3DFB">
        <w:rPr>
          <w:rFonts w:ascii="Times New Roman" w:hAnsi="Times New Roman"/>
          <w:bCs/>
        </w:rPr>
        <w:t>.e above).  B</w:t>
      </w:r>
      <w:r w:rsidRPr="00CD3DFB">
        <w:rPr>
          <w:rFonts w:ascii="Times New Roman" w:hAnsi="Times New Roman"/>
        </w:rPr>
        <w:t xml:space="preserve">ecause derivatives held for trading are heavily concentrated in the very largest </w:t>
      </w:r>
      <w:r w:rsidR="00A75C9D">
        <w:rPr>
          <w:rFonts w:ascii="Times New Roman" w:hAnsi="Times New Roman"/>
        </w:rPr>
        <w:t>BHC</w:t>
      </w:r>
      <w:r w:rsidRPr="00CD3DFB">
        <w:rPr>
          <w:rFonts w:ascii="Times New Roman" w:hAnsi="Times New Roman"/>
        </w:rPr>
        <w:t xml:space="preserve">s, these new </w:t>
      </w:r>
      <w:r w:rsidR="0075525A">
        <w:rPr>
          <w:rFonts w:ascii="Times New Roman" w:hAnsi="Times New Roman"/>
        </w:rPr>
        <w:t xml:space="preserve">data </w:t>
      </w:r>
      <w:r w:rsidRPr="00CD3DFB">
        <w:rPr>
          <w:rFonts w:ascii="Times New Roman" w:hAnsi="Times New Roman"/>
        </w:rPr>
        <w:t xml:space="preserve">items would be reported </w:t>
      </w:r>
      <w:r w:rsidR="00A75C9D">
        <w:rPr>
          <w:rFonts w:ascii="Times New Roman" w:hAnsi="Times New Roman"/>
        </w:rPr>
        <w:t xml:space="preserve">only </w:t>
      </w:r>
      <w:r w:rsidRPr="00CD3DFB">
        <w:rPr>
          <w:rFonts w:ascii="Times New Roman" w:hAnsi="Times New Roman"/>
        </w:rPr>
        <w:t xml:space="preserve">by </w:t>
      </w:r>
      <w:r w:rsidR="00A75C9D">
        <w:rPr>
          <w:rFonts w:ascii="Times New Roman" w:hAnsi="Times New Roman"/>
        </w:rPr>
        <w:t>BHC</w:t>
      </w:r>
      <w:r w:rsidRPr="00CD3DFB">
        <w:rPr>
          <w:rFonts w:ascii="Times New Roman" w:hAnsi="Times New Roman"/>
        </w:rPr>
        <w:t xml:space="preserve">s with $100 billion or more in total assets. </w:t>
      </w:r>
    </w:p>
    <w:p w:rsidR="004C6483" w:rsidRDefault="004C6483">
      <w:pPr>
        <w:widowControl/>
        <w:rPr>
          <w:rFonts w:ascii="Times New Roman" w:hAnsi="Times New Roman"/>
          <w:b/>
        </w:rPr>
      </w:pPr>
    </w:p>
    <w:p w:rsidR="000E0F0F" w:rsidRDefault="00A67A2C">
      <w:pPr>
        <w:widowControl/>
        <w:ind w:firstLine="720"/>
        <w:rPr>
          <w:rFonts w:ascii="Times New Roman" w:hAnsi="Times New Roman"/>
          <w:b/>
        </w:rPr>
      </w:pPr>
      <w:proofErr w:type="gramStart"/>
      <w:r>
        <w:rPr>
          <w:rFonts w:ascii="Times New Roman" w:hAnsi="Times New Roman"/>
          <w:b/>
        </w:rPr>
        <w:t>A</w:t>
      </w:r>
      <w:r w:rsidRPr="00A67A2C">
        <w:rPr>
          <w:rFonts w:ascii="Times New Roman" w:hAnsi="Times New Roman"/>
          <w:b/>
        </w:rPr>
        <w:t>.</w:t>
      </w:r>
      <w:r w:rsidR="00137D30">
        <w:rPr>
          <w:rFonts w:ascii="Times New Roman" w:hAnsi="Times New Roman"/>
          <w:b/>
        </w:rPr>
        <w:t>9</w:t>
      </w:r>
      <w:r w:rsidR="00137D30" w:rsidRPr="00A67A2C">
        <w:rPr>
          <w:rFonts w:ascii="Times New Roman" w:hAnsi="Times New Roman"/>
          <w:b/>
        </w:rPr>
        <w:t xml:space="preserve">  </w:t>
      </w:r>
      <w:r w:rsidRPr="00A67A2C">
        <w:rPr>
          <w:rFonts w:ascii="Times New Roman" w:hAnsi="Times New Roman"/>
          <w:b/>
        </w:rPr>
        <w:t>Instructional</w:t>
      </w:r>
      <w:proofErr w:type="gramEnd"/>
      <w:r w:rsidRPr="00A67A2C">
        <w:rPr>
          <w:rFonts w:ascii="Times New Roman" w:hAnsi="Times New Roman"/>
          <w:b/>
        </w:rPr>
        <w:t xml:space="preserve"> Revisions</w:t>
      </w:r>
    </w:p>
    <w:p w:rsidR="00A67A2C" w:rsidRPr="00A67A2C" w:rsidRDefault="00A67A2C" w:rsidP="00A67A2C">
      <w:pPr>
        <w:widowControl/>
        <w:rPr>
          <w:rFonts w:ascii="Times New Roman" w:hAnsi="Times New Roman"/>
          <w:b/>
        </w:rPr>
      </w:pPr>
    </w:p>
    <w:p w:rsidR="00A67A2C" w:rsidRDefault="00A67A2C" w:rsidP="00A748C7">
      <w:pPr>
        <w:widowControl/>
        <w:ind w:firstLine="720"/>
        <w:rPr>
          <w:rFonts w:ascii="Times New Roman" w:hAnsi="Times New Roman"/>
          <w:b/>
        </w:rPr>
      </w:pPr>
      <w:r w:rsidRPr="00A67A2C">
        <w:rPr>
          <w:rFonts w:ascii="Times New Roman" w:hAnsi="Times New Roman"/>
          <w:b/>
        </w:rPr>
        <w:t>1.  Construction Loans.</w:t>
      </w:r>
    </w:p>
    <w:p w:rsidR="004106FC" w:rsidRDefault="004106FC" w:rsidP="00A67A2C">
      <w:pPr>
        <w:widowControl/>
        <w:rPr>
          <w:rFonts w:ascii="Times New Roman" w:hAnsi="Times New Roman"/>
          <w:b/>
        </w:rPr>
      </w:pPr>
    </w:p>
    <w:p w:rsidR="004106FC" w:rsidRPr="004C6CE8" w:rsidRDefault="004106FC" w:rsidP="004106FC">
      <w:pPr>
        <w:widowControl/>
        <w:rPr>
          <w:rFonts w:ascii="Times New Roman" w:hAnsi="Times New Roman"/>
        </w:rPr>
      </w:pPr>
      <w:r>
        <w:rPr>
          <w:rFonts w:ascii="Times New Roman" w:hAnsi="Times New Roman"/>
          <w:b/>
          <w:bCs/>
        </w:rPr>
        <w:tab/>
      </w:r>
      <w:r w:rsidRPr="004C6CE8">
        <w:rPr>
          <w:rFonts w:ascii="Times New Roman" w:hAnsi="Times New Roman"/>
          <w:bCs/>
        </w:rPr>
        <w:t>BHCs report the amount of their</w:t>
      </w:r>
      <w:r w:rsidR="004E4332">
        <w:rPr>
          <w:rFonts w:ascii="Times New Roman" w:hAnsi="Times New Roman"/>
          <w:bCs/>
        </w:rPr>
        <w:t xml:space="preserve"> </w:t>
      </w:r>
      <w:r w:rsidRPr="004C6CE8">
        <w:rPr>
          <w:rFonts w:ascii="Times New Roman" w:hAnsi="Times New Roman"/>
          <w:bCs/>
        </w:rPr>
        <w:t>Construction, land development, and other land loans in the appropriate loan subcategory of Schedule HC-C, data item 1.a.  Questions have ar</w:t>
      </w:r>
      <w:r w:rsidR="004E4332">
        <w:rPr>
          <w:rFonts w:ascii="Times New Roman" w:hAnsi="Times New Roman"/>
          <w:bCs/>
        </w:rPr>
        <w:t>i</w:t>
      </w:r>
      <w:r w:rsidRPr="004C6CE8">
        <w:rPr>
          <w:rFonts w:ascii="Times New Roman" w:hAnsi="Times New Roman"/>
          <w:bCs/>
        </w:rPr>
        <w:t xml:space="preserve">sen about the reporting treatment for </w:t>
      </w:r>
      <w:bookmarkStart w:id="2" w:name="19"/>
      <w:bookmarkEnd w:id="2"/>
      <w:r w:rsidRPr="004C6CE8">
        <w:rPr>
          <w:rFonts w:ascii="Times New Roman" w:hAnsi="Times New Roman"/>
          <w:bCs/>
        </w:rPr>
        <w:t>a Construction, land development, and other land loan that was not originated as a “</w:t>
      </w:r>
      <w:r w:rsidR="004C6483">
        <w:rPr>
          <w:rFonts w:ascii="Times New Roman" w:hAnsi="Times New Roman"/>
          <w:bCs/>
        </w:rPr>
        <w:t xml:space="preserve">combination </w:t>
      </w:r>
      <w:r w:rsidRPr="004C6CE8">
        <w:rPr>
          <w:rFonts w:ascii="Times New Roman" w:hAnsi="Times New Roman"/>
          <w:bCs/>
        </w:rPr>
        <w:t xml:space="preserve">construction-permanent loan,” but was originated with the expectation that repayment would come from the sale of the real estate, when the BHC changes the loan’s terms so that principal amortization is required.  This may occur after completion of construction when the BHC renews or refinances the existing loan or enters into a new real estate loan with the original borrower.  </w:t>
      </w:r>
      <w:r w:rsidR="00384360">
        <w:rPr>
          <w:rFonts w:ascii="Times New Roman" w:hAnsi="Times New Roman"/>
          <w:bCs/>
        </w:rPr>
        <w:t>The Federal Reserve</w:t>
      </w:r>
      <w:r w:rsidRPr="004C6CE8">
        <w:rPr>
          <w:rFonts w:ascii="Times New Roman" w:hAnsi="Times New Roman"/>
          <w:bCs/>
        </w:rPr>
        <w:t xml:space="preserve"> believes that a</w:t>
      </w:r>
      <w:r w:rsidRPr="004C6CE8">
        <w:rPr>
          <w:rFonts w:ascii="Times New Roman" w:hAnsi="Times New Roman"/>
        </w:rPr>
        <w:t xml:space="preserve">s long as the repayment of a loan that was originally categorized as a </w:t>
      </w:r>
      <w:r w:rsidRPr="004C6CE8">
        <w:rPr>
          <w:rFonts w:ascii="Times New Roman" w:hAnsi="Times New Roman"/>
          <w:bCs/>
        </w:rPr>
        <w:t xml:space="preserve">Construction, land development, and other land loan </w:t>
      </w:r>
      <w:r w:rsidRPr="004C6CE8">
        <w:rPr>
          <w:rFonts w:ascii="Times New Roman" w:hAnsi="Times New Roman"/>
        </w:rPr>
        <w:t xml:space="preserve">remains dependent on the sale of the real property, the loan should continue to be reported in the appropriate subcategory of </w:t>
      </w:r>
      <w:r w:rsidR="004E4332">
        <w:rPr>
          <w:rFonts w:ascii="Times New Roman" w:hAnsi="Times New Roman"/>
        </w:rPr>
        <w:t xml:space="preserve">data </w:t>
      </w:r>
      <w:r w:rsidRPr="004C6CE8">
        <w:rPr>
          <w:rFonts w:ascii="Times New Roman" w:hAnsi="Times New Roman"/>
        </w:rPr>
        <w:t xml:space="preserve">item 1.a of Schedule HC-C because it continues to exhibit the risk characteristics of a construction loan.  </w:t>
      </w:r>
    </w:p>
    <w:p w:rsidR="009161BB" w:rsidRPr="004C6CE8" w:rsidRDefault="009161BB" w:rsidP="004106FC">
      <w:pPr>
        <w:widowControl/>
        <w:rPr>
          <w:rFonts w:ascii="Times New Roman" w:hAnsi="Times New Roman"/>
        </w:rPr>
      </w:pPr>
    </w:p>
    <w:p w:rsidR="0093559C" w:rsidRDefault="004106FC" w:rsidP="004106FC">
      <w:pPr>
        <w:widowControl/>
        <w:rPr>
          <w:rFonts w:ascii="Times New Roman" w:hAnsi="Times New Roman"/>
        </w:rPr>
      </w:pPr>
      <w:r w:rsidRPr="004C6CE8">
        <w:rPr>
          <w:rFonts w:ascii="Times New Roman" w:hAnsi="Times New Roman"/>
        </w:rPr>
        <w:tab/>
      </w:r>
    </w:p>
    <w:p w:rsidR="004106FC" w:rsidRPr="004C6CE8" w:rsidRDefault="0093559C" w:rsidP="004106FC">
      <w:pPr>
        <w:widowControl/>
        <w:rPr>
          <w:rFonts w:ascii="Times New Roman" w:hAnsi="Times New Roman"/>
        </w:rPr>
      </w:pPr>
      <w:r>
        <w:rPr>
          <w:rFonts w:ascii="Times New Roman" w:hAnsi="Times New Roman"/>
        </w:rPr>
        <w:br w:type="page"/>
      </w:r>
      <w:r w:rsidR="004106FC" w:rsidRPr="004C6CE8">
        <w:rPr>
          <w:rFonts w:ascii="Times New Roman" w:hAnsi="Times New Roman"/>
        </w:rPr>
        <w:lastRenderedPageBreak/>
        <w:t xml:space="preserve">The instructions for Schedule HC-C, data item 1.a, state that: </w:t>
      </w:r>
    </w:p>
    <w:p w:rsidR="004106FC" w:rsidRPr="004C6CE8" w:rsidRDefault="004106FC" w:rsidP="004106FC">
      <w:pPr>
        <w:widowControl/>
        <w:rPr>
          <w:rFonts w:ascii="Times New Roman" w:hAnsi="Times New Roman"/>
        </w:rPr>
      </w:pPr>
    </w:p>
    <w:p w:rsidR="004106FC" w:rsidRPr="004C6CE8" w:rsidRDefault="004106FC" w:rsidP="004106FC">
      <w:pPr>
        <w:widowControl/>
        <w:ind w:left="720"/>
        <w:rPr>
          <w:rFonts w:ascii="Times New Roman" w:hAnsi="Times New Roman"/>
        </w:rPr>
      </w:pPr>
      <w:r w:rsidRPr="004C6CE8">
        <w:rPr>
          <w:rFonts w:ascii="Times New Roman" w:hAnsi="Times New Roman"/>
        </w:rPr>
        <w:t>Loans written as combination construction-permanent loans secured by real estate should be reported in this item until construction is completed or principal amortization payments begin, whichever comes first. When the first of these events occurs, the loans should begin to be reported in the real estate loan category in Schedule HC-C,</w:t>
      </w:r>
      <w:r w:rsidR="004E4332">
        <w:rPr>
          <w:rFonts w:ascii="Times New Roman" w:hAnsi="Times New Roman"/>
        </w:rPr>
        <w:t xml:space="preserve"> data</w:t>
      </w:r>
      <w:r w:rsidRPr="004C6CE8">
        <w:rPr>
          <w:rFonts w:ascii="Times New Roman" w:hAnsi="Times New Roman"/>
        </w:rPr>
        <w:t xml:space="preserve"> item 1, appropriate to the real estate collateral. All other construction loans secured by real estate should continue to be reported in this item after construction is completed unless and until (1) the loan is refinanced into a new permanent loan by the reporting bank holding company or is otherwise repaid</w:t>
      </w:r>
      <w:r w:rsidR="00A748C7">
        <w:rPr>
          <w:rFonts w:ascii="Times New Roman" w:hAnsi="Times New Roman"/>
        </w:rPr>
        <w:t>,</w:t>
      </w:r>
      <w:r w:rsidRPr="004C6CE8">
        <w:rPr>
          <w:rFonts w:ascii="Times New Roman" w:hAnsi="Times New Roman"/>
        </w:rPr>
        <w:t xml:space="preserve"> (2) the bank holding company acquires or otherwise obtains physical possession of the underlying collateral in full satisfaction of the debt</w:t>
      </w:r>
      <w:r w:rsidR="00A748C7">
        <w:rPr>
          <w:rFonts w:ascii="Times New Roman" w:hAnsi="Times New Roman"/>
        </w:rPr>
        <w:t>,</w:t>
      </w:r>
      <w:r w:rsidRPr="004C6CE8">
        <w:rPr>
          <w:rFonts w:ascii="Times New Roman" w:hAnsi="Times New Roman"/>
        </w:rPr>
        <w:t xml:space="preserve"> or (3) the loan is charged off.</w:t>
      </w:r>
    </w:p>
    <w:p w:rsidR="004106FC" w:rsidRPr="004C6CE8" w:rsidRDefault="004106FC" w:rsidP="004106FC">
      <w:pPr>
        <w:widowControl/>
        <w:rPr>
          <w:rFonts w:ascii="Times New Roman" w:hAnsi="Times New Roman"/>
        </w:rPr>
      </w:pPr>
    </w:p>
    <w:p w:rsidR="004106FC" w:rsidRPr="004C6CE8" w:rsidRDefault="004106FC" w:rsidP="004106FC">
      <w:pPr>
        <w:widowControl/>
        <w:rPr>
          <w:rFonts w:ascii="Times New Roman" w:hAnsi="Times New Roman"/>
        </w:rPr>
      </w:pPr>
      <w:r w:rsidRPr="004C6CE8">
        <w:rPr>
          <w:rFonts w:ascii="Times New Roman" w:hAnsi="Times New Roman"/>
        </w:rPr>
        <w:tab/>
        <w:t>A combination construction-permanent loan results when the lender enters into a contractual agreement with the original borrower at the time the construction loan is originated to also provide the original borrower with permanent financing that amortizes principal after construction is completed and a certificate of occupancy is obtained (if applicable).  This construction-permanent loan structure is intended to apply to situations where, at the time the construction loan is originated, the original borrower:</w:t>
      </w:r>
    </w:p>
    <w:p w:rsidR="004106FC" w:rsidRPr="004C6CE8" w:rsidRDefault="004E4332" w:rsidP="004106FC">
      <w:pPr>
        <w:widowControl/>
        <w:numPr>
          <w:ilvl w:val="0"/>
          <w:numId w:val="9"/>
        </w:numPr>
        <w:rPr>
          <w:rFonts w:ascii="Times New Roman" w:hAnsi="Times New Roman"/>
        </w:rPr>
      </w:pPr>
      <w:r>
        <w:rPr>
          <w:rFonts w:ascii="Times New Roman" w:hAnsi="Times New Roman"/>
        </w:rPr>
        <w:t>i</w:t>
      </w:r>
      <w:r w:rsidR="004106FC" w:rsidRPr="004C6CE8">
        <w:rPr>
          <w:rFonts w:ascii="Times New Roman" w:hAnsi="Times New Roman"/>
        </w:rPr>
        <w:t xml:space="preserve">s expected to be the owner-occupant of the property upon completion of construction and </w:t>
      </w:r>
      <w:r w:rsidR="00A748C7">
        <w:rPr>
          <w:rFonts w:ascii="Times New Roman" w:hAnsi="Times New Roman"/>
        </w:rPr>
        <w:t xml:space="preserve">in </w:t>
      </w:r>
      <w:r w:rsidR="004106FC" w:rsidRPr="004C6CE8">
        <w:rPr>
          <w:rFonts w:ascii="Times New Roman" w:hAnsi="Times New Roman"/>
        </w:rPr>
        <w:t xml:space="preserve">receipt of a certificate of occupancy (if applicable), for example, where the financing is being provided to the original borrower for the construction and permanent financing of the borrower’s residence or place of business or </w:t>
      </w:r>
    </w:p>
    <w:p w:rsidR="004106FC" w:rsidRPr="004C6CE8" w:rsidRDefault="004E4332" w:rsidP="004106FC">
      <w:pPr>
        <w:widowControl/>
        <w:numPr>
          <w:ilvl w:val="0"/>
          <w:numId w:val="9"/>
        </w:numPr>
        <w:rPr>
          <w:rFonts w:ascii="Times New Roman" w:hAnsi="Times New Roman"/>
        </w:rPr>
      </w:pPr>
      <w:r>
        <w:rPr>
          <w:rFonts w:ascii="Times New Roman" w:hAnsi="Times New Roman"/>
        </w:rPr>
        <w:t>i</w:t>
      </w:r>
      <w:r w:rsidR="004106FC" w:rsidRPr="004C6CE8">
        <w:rPr>
          <w:rFonts w:ascii="Times New Roman" w:hAnsi="Times New Roman"/>
        </w:rPr>
        <w:t>s not expected to be the owner-occupant of the property, but repayment of the permanent loan will be derived from rental income associated with the property being constructed after receipt of a certificate of occupancy (if applicable) rather than from the sale of the property being constructed.</w:t>
      </w:r>
    </w:p>
    <w:p w:rsidR="004106FC" w:rsidRPr="004C6CE8" w:rsidRDefault="004106FC" w:rsidP="004106FC">
      <w:pPr>
        <w:widowControl/>
        <w:rPr>
          <w:rFonts w:ascii="Times New Roman" w:hAnsi="Times New Roman"/>
        </w:rPr>
      </w:pPr>
    </w:p>
    <w:p w:rsidR="00C108D8" w:rsidRPr="004C6CE8" w:rsidRDefault="004106FC" w:rsidP="004106FC">
      <w:pPr>
        <w:widowControl/>
        <w:rPr>
          <w:rFonts w:ascii="Times New Roman" w:hAnsi="Times New Roman"/>
        </w:rPr>
      </w:pPr>
      <w:r w:rsidRPr="004C6CE8">
        <w:rPr>
          <w:rFonts w:ascii="Times New Roman" w:hAnsi="Times New Roman"/>
        </w:rPr>
        <w:tab/>
        <w:t xml:space="preserve">For a loan not written as a combination construction-permanent loan at the time the construction loan was originated, </w:t>
      </w:r>
      <w:r w:rsidR="00384360">
        <w:rPr>
          <w:rFonts w:ascii="Times New Roman" w:hAnsi="Times New Roman"/>
        </w:rPr>
        <w:t>the Federal Reserve</w:t>
      </w:r>
      <w:r w:rsidRPr="004C6CE8">
        <w:rPr>
          <w:rFonts w:ascii="Times New Roman" w:hAnsi="Times New Roman"/>
        </w:rPr>
        <w:t xml:space="preserve"> propose</w:t>
      </w:r>
      <w:r w:rsidR="00C108D8" w:rsidRPr="004C6CE8">
        <w:rPr>
          <w:rFonts w:ascii="Times New Roman" w:hAnsi="Times New Roman"/>
        </w:rPr>
        <w:t>s</w:t>
      </w:r>
      <w:r w:rsidRPr="004C6CE8">
        <w:rPr>
          <w:rFonts w:ascii="Times New Roman" w:hAnsi="Times New Roman"/>
        </w:rPr>
        <w:t xml:space="preserve"> to clarify the instructional language quoted above stating that “[a]</w:t>
      </w:r>
      <w:proofErr w:type="spellStart"/>
      <w:r w:rsidRPr="004C6CE8">
        <w:rPr>
          <w:rFonts w:ascii="Times New Roman" w:hAnsi="Times New Roman"/>
        </w:rPr>
        <w:t>ll</w:t>
      </w:r>
      <w:proofErr w:type="spellEnd"/>
      <w:r w:rsidRPr="004C6CE8">
        <w:rPr>
          <w:rFonts w:ascii="Times New Roman" w:hAnsi="Times New Roman"/>
        </w:rPr>
        <w:t xml:space="preserve"> other construction loans secured by real estate should continue to be reported in this item after construction is completed unless and until . . .  the loan is refinanced into a new permanent loan by the reporting bank</w:t>
      </w:r>
      <w:r w:rsidR="00C108D8" w:rsidRPr="004C6CE8">
        <w:rPr>
          <w:rFonts w:ascii="Times New Roman" w:hAnsi="Times New Roman"/>
        </w:rPr>
        <w:t xml:space="preserve"> holding company</w:t>
      </w:r>
      <w:r w:rsidRPr="004C6CE8">
        <w:rPr>
          <w:rFonts w:ascii="Times New Roman" w:hAnsi="Times New Roman"/>
        </w:rPr>
        <w:t>.”  This clarification is intended to ensure the appropriate categorizat</w:t>
      </w:r>
      <w:r w:rsidR="00C108D8" w:rsidRPr="004C6CE8">
        <w:rPr>
          <w:rFonts w:ascii="Times New Roman" w:hAnsi="Times New Roman"/>
        </w:rPr>
        <w:t>ion of such a loan in Schedule H</w:t>
      </w:r>
      <w:r w:rsidRPr="004C6CE8">
        <w:rPr>
          <w:rFonts w:ascii="Times New Roman" w:hAnsi="Times New Roman"/>
        </w:rPr>
        <w:t xml:space="preserve">C-C.  Thus, </w:t>
      </w:r>
      <w:r w:rsidR="00384360">
        <w:rPr>
          <w:rFonts w:ascii="Times New Roman" w:hAnsi="Times New Roman"/>
        </w:rPr>
        <w:t>the Federal Reserve</w:t>
      </w:r>
      <w:r w:rsidR="00384360" w:rsidRPr="00BA07A9">
        <w:rPr>
          <w:rFonts w:ascii="Times New Roman" w:hAnsi="Times New Roman"/>
        </w:rPr>
        <w:t xml:space="preserve"> </w:t>
      </w:r>
      <w:r w:rsidR="00C108D8" w:rsidRPr="004C6CE8">
        <w:rPr>
          <w:rFonts w:ascii="Times New Roman" w:hAnsi="Times New Roman"/>
        </w:rPr>
        <w:t>proposes</w:t>
      </w:r>
      <w:r w:rsidRPr="004C6CE8">
        <w:rPr>
          <w:rFonts w:ascii="Times New Roman" w:hAnsi="Times New Roman"/>
        </w:rPr>
        <w:t xml:space="preserve"> to revise</w:t>
      </w:r>
      <w:r w:rsidR="00C108D8" w:rsidRPr="004C6CE8">
        <w:rPr>
          <w:rFonts w:ascii="Times New Roman" w:hAnsi="Times New Roman"/>
        </w:rPr>
        <w:t xml:space="preserve"> the instructions for Schedule H</w:t>
      </w:r>
      <w:r w:rsidRPr="004C6CE8">
        <w:rPr>
          <w:rFonts w:ascii="Times New Roman" w:hAnsi="Times New Roman"/>
        </w:rPr>
        <w:t xml:space="preserve">C-C, </w:t>
      </w:r>
      <w:r w:rsidR="00C108D8" w:rsidRPr="004C6CE8">
        <w:rPr>
          <w:rFonts w:ascii="Times New Roman" w:hAnsi="Times New Roman"/>
        </w:rPr>
        <w:t>data</w:t>
      </w:r>
      <w:r w:rsidRPr="004C6CE8">
        <w:rPr>
          <w:rFonts w:ascii="Times New Roman" w:hAnsi="Times New Roman"/>
        </w:rPr>
        <w:t xml:space="preserve"> item 1.a, to explain that the phrase “the loan is refinanced into a new permanent loan” refers to</w:t>
      </w:r>
      <w:r w:rsidR="004E4332">
        <w:rPr>
          <w:rFonts w:ascii="Times New Roman" w:hAnsi="Times New Roman"/>
        </w:rPr>
        <w:t>:</w:t>
      </w:r>
      <w:r w:rsidRPr="004C6CE8">
        <w:rPr>
          <w:rFonts w:ascii="Times New Roman" w:hAnsi="Times New Roman"/>
        </w:rPr>
        <w:t xml:space="preserve"> </w:t>
      </w:r>
    </w:p>
    <w:p w:rsidR="004106FC" w:rsidRPr="004C6CE8" w:rsidRDefault="004E4332" w:rsidP="004106FC">
      <w:pPr>
        <w:widowControl/>
        <w:numPr>
          <w:ilvl w:val="0"/>
          <w:numId w:val="10"/>
        </w:numPr>
        <w:rPr>
          <w:rFonts w:ascii="Times New Roman" w:hAnsi="Times New Roman"/>
        </w:rPr>
      </w:pPr>
      <w:r>
        <w:rPr>
          <w:rFonts w:ascii="Times New Roman" w:hAnsi="Times New Roman"/>
        </w:rPr>
        <w:t>a</w:t>
      </w:r>
      <w:r w:rsidR="004106FC" w:rsidRPr="004C6CE8">
        <w:rPr>
          <w:rFonts w:ascii="Times New Roman" w:hAnsi="Times New Roman"/>
        </w:rPr>
        <w:t xml:space="preserve">n amortizing permanent loan to a new borrower (unrelated to the original borrower) who has purchased the real property or </w:t>
      </w:r>
    </w:p>
    <w:p w:rsidR="004106FC" w:rsidRDefault="004E4332" w:rsidP="004106FC">
      <w:pPr>
        <w:widowControl/>
        <w:numPr>
          <w:ilvl w:val="0"/>
          <w:numId w:val="10"/>
        </w:numPr>
        <w:rPr>
          <w:rFonts w:ascii="Times New Roman" w:hAnsi="Times New Roman"/>
        </w:rPr>
      </w:pPr>
      <w:proofErr w:type="gramStart"/>
      <w:r>
        <w:rPr>
          <w:rFonts w:ascii="Times New Roman" w:hAnsi="Times New Roman"/>
        </w:rPr>
        <w:t>a</w:t>
      </w:r>
      <w:proofErr w:type="gramEnd"/>
      <w:r w:rsidR="004106FC" w:rsidRPr="004C6CE8">
        <w:rPr>
          <w:rFonts w:ascii="Times New Roman" w:hAnsi="Times New Roman"/>
        </w:rPr>
        <w:t xml:space="preserve"> prudently underwritten new amortizing permanent loan at market terms to the original borrower – including an appropriate interest rate, maturity, and loan-to-value ratio – that is no longer dependent on the sale of the property for repayment.  The loan should have a clearly identified ongoing source of repayment sufficient to service the required principal and interest payments over a reasonable and customary period relative to the type of property securing the new loan.  A new loan to the original borrower not meeting these criteria (including a new loan on interest-only terms or a new loan with a short-term balloon maturity that is inconsistent with the ongoing source of repayment criterion) should continue to be reported as a “Construction, land development, and other land loan” in the appro</w:t>
      </w:r>
      <w:r w:rsidR="00C108D8" w:rsidRPr="004C6CE8">
        <w:rPr>
          <w:rFonts w:ascii="Times New Roman" w:hAnsi="Times New Roman"/>
        </w:rPr>
        <w:t>priate subcategory of Schedule H</w:t>
      </w:r>
      <w:r w:rsidR="004106FC" w:rsidRPr="004C6CE8">
        <w:rPr>
          <w:rFonts w:ascii="Times New Roman" w:hAnsi="Times New Roman"/>
        </w:rPr>
        <w:t xml:space="preserve">C-C, </w:t>
      </w:r>
      <w:r w:rsidR="00C108D8" w:rsidRPr="004C6CE8">
        <w:rPr>
          <w:rFonts w:ascii="Times New Roman" w:hAnsi="Times New Roman"/>
        </w:rPr>
        <w:t>data</w:t>
      </w:r>
      <w:r w:rsidR="004106FC" w:rsidRPr="004C6CE8">
        <w:rPr>
          <w:rFonts w:ascii="Times New Roman" w:hAnsi="Times New Roman"/>
        </w:rPr>
        <w:t xml:space="preserve"> item 1.a. </w:t>
      </w:r>
    </w:p>
    <w:p w:rsidR="00316F77" w:rsidRDefault="00316F77" w:rsidP="00316F77">
      <w:pPr>
        <w:widowControl/>
        <w:rPr>
          <w:rFonts w:ascii="Times New Roman" w:hAnsi="Times New Roman"/>
        </w:rPr>
      </w:pPr>
    </w:p>
    <w:p w:rsidR="00A67A2C" w:rsidRPr="00A67A2C" w:rsidRDefault="00A67A2C" w:rsidP="00435AE7">
      <w:pPr>
        <w:widowControl/>
        <w:ind w:left="720"/>
        <w:rPr>
          <w:rFonts w:ascii="Times New Roman" w:hAnsi="Times New Roman"/>
          <w:b/>
          <w:bCs/>
        </w:rPr>
      </w:pPr>
      <w:r w:rsidRPr="00A67A2C">
        <w:rPr>
          <w:rFonts w:ascii="Times New Roman" w:hAnsi="Times New Roman"/>
          <w:b/>
          <w:bCs/>
        </w:rPr>
        <w:lastRenderedPageBreak/>
        <w:t xml:space="preserve">2.  Reporting of 1-4 Family Residential Mortgages Held for Trading in Schedule </w:t>
      </w:r>
      <w:r w:rsidR="00137D30">
        <w:rPr>
          <w:rFonts w:ascii="Times New Roman" w:hAnsi="Times New Roman"/>
          <w:b/>
          <w:bCs/>
        </w:rPr>
        <w:t>H</w:t>
      </w:r>
      <w:r w:rsidRPr="00A67A2C">
        <w:rPr>
          <w:rFonts w:ascii="Times New Roman" w:hAnsi="Times New Roman"/>
          <w:b/>
          <w:bCs/>
        </w:rPr>
        <w:t>C-P</w:t>
      </w:r>
    </w:p>
    <w:p w:rsidR="00A67A2C" w:rsidRPr="00A67A2C" w:rsidRDefault="00A67A2C" w:rsidP="00A67A2C">
      <w:pPr>
        <w:widowControl/>
        <w:rPr>
          <w:rFonts w:ascii="Times New Roman" w:hAnsi="Times New Roman"/>
          <w:b/>
          <w:bCs/>
        </w:rPr>
      </w:pPr>
    </w:p>
    <w:p w:rsidR="00A67A2C" w:rsidRPr="00A67A2C" w:rsidRDefault="00A67A2C" w:rsidP="00A67A2C">
      <w:pPr>
        <w:widowControl/>
        <w:rPr>
          <w:rFonts w:ascii="Times New Roman" w:hAnsi="Times New Roman"/>
          <w:b/>
        </w:rPr>
      </w:pPr>
      <w:r>
        <w:rPr>
          <w:rFonts w:ascii="Times New Roman" w:hAnsi="Times New Roman"/>
        </w:rPr>
        <w:tab/>
      </w:r>
      <w:r w:rsidRPr="00A67A2C">
        <w:rPr>
          <w:rFonts w:ascii="Times New Roman" w:hAnsi="Times New Roman"/>
        </w:rPr>
        <w:t xml:space="preserve">The </w:t>
      </w:r>
      <w:r w:rsidR="005D7557">
        <w:rPr>
          <w:rFonts w:ascii="Times New Roman" w:hAnsi="Times New Roman"/>
        </w:rPr>
        <w:t>Federal Reserve</w:t>
      </w:r>
      <w:r w:rsidRPr="00A67A2C">
        <w:rPr>
          <w:rFonts w:ascii="Times New Roman" w:hAnsi="Times New Roman"/>
        </w:rPr>
        <w:t xml:space="preserve"> began coll</w:t>
      </w:r>
      <w:r w:rsidR="005D7557">
        <w:rPr>
          <w:rFonts w:ascii="Times New Roman" w:hAnsi="Times New Roman"/>
        </w:rPr>
        <w:t>ecting information in Schedule H</w:t>
      </w:r>
      <w:r w:rsidRPr="00A67A2C">
        <w:rPr>
          <w:rFonts w:ascii="Times New Roman" w:hAnsi="Times New Roman"/>
        </w:rPr>
        <w:t>C-P, 1-4 Family Residential Mortgage Banking Activities in Domestic Offices, in September 2006.  At that time, the instru</w:t>
      </w:r>
      <w:r w:rsidR="005D7557">
        <w:rPr>
          <w:rFonts w:ascii="Times New Roman" w:hAnsi="Times New Roman"/>
        </w:rPr>
        <w:t>ctions for Schedule HC-C, Loans and Lease Financing Receivables</w:t>
      </w:r>
      <w:r w:rsidRPr="00A67A2C">
        <w:rPr>
          <w:rFonts w:ascii="Times New Roman" w:hAnsi="Times New Roman"/>
        </w:rPr>
        <w:t xml:space="preserve">, </w:t>
      </w:r>
      <w:r w:rsidR="00367E58">
        <w:rPr>
          <w:rFonts w:ascii="Times New Roman" w:hAnsi="Times New Roman"/>
        </w:rPr>
        <w:t>were written to indicate</w:t>
      </w:r>
      <w:r w:rsidR="009A5BC1" w:rsidRPr="00A67A2C">
        <w:rPr>
          <w:rFonts w:ascii="Times New Roman" w:hAnsi="Times New Roman"/>
        </w:rPr>
        <w:t xml:space="preserve"> </w:t>
      </w:r>
      <w:r w:rsidRPr="00A67A2C">
        <w:rPr>
          <w:rFonts w:ascii="Times New Roman" w:hAnsi="Times New Roman"/>
        </w:rPr>
        <w:t>that loans generally could not be classified as held for trading.  Therefore, all 1-4 family residential mortgage loans designated as held for sa</w:t>
      </w:r>
      <w:r w:rsidR="005D7557">
        <w:rPr>
          <w:rFonts w:ascii="Times New Roman" w:hAnsi="Times New Roman"/>
        </w:rPr>
        <w:t>le were reportable in Schedule H</w:t>
      </w:r>
      <w:r w:rsidRPr="00A67A2C">
        <w:rPr>
          <w:rFonts w:ascii="Times New Roman" w:hAnsi="Times New Roman"/>
        </w:rPr>
        <w:t xml:space="preserve">C-P.   In March 2008, the </w:t>
      </w:r>
      <w:r w:rsidR="005D7557">
        <w:rPr>
          <w:rFonts w:ascii="Times New Roman" w:hAnsi="Times New Roman"/>
        </w:rPr>
        <w:t>Federal Reserve</w:t>
      </w:r>
      <w:r w:rsidRPr="00A67A2C">
        <w:rPr>
          <w:rFonts w:ascii="Times New Roman" w:hAnsi="Times New Roman"/>
        </w:rPr>
        <w:t xml:space="preserve"> provided instructional guidance establishing conditions under which </w:t>
      </w:r>
      <w:r w:rsidR="005D7557">
        <w:rPr>
          <w:rFonts w:ascii="Times New Roman" w:hAnsi="Times New Roman"/>
        </w:rPr>
        <w:t>BHC</w:t>
      </w:r>
      <w:r w:rsidRPr="00A67A2C">
        <w:rPr>
          <w:rFonts w:ascii="Times New Roman" w:hAnsi="Times New Roman"/>
        </w:rPr>
        <w:t>s were permitted to classify certain assets (e.g., loans) as trading and specified that loans classified as trading assets sh</w:t>
      </w:r>
      <w:r w:rsidR="005D7557">
        <w:rPr>
          <w:rFonts w:ascii="Times New Roman" w:hAnsi="Times New Roman"/>
        </w:rPr>
        <w:t>ould be excluded from Schedule HC-C, Loans and Lease Financing Receivables</w:t>
      </w:r>
      <w:r w:rsidRPr="00A67A2C">
        <w:rPr>
          <w:rFonts w:ascii="Times New Roman" w:hAnsi="Times New Roman"/>
        </w:rPr>
        <w:t>, an</w:t>
      </w:r>
      <w:r w:rsidR="005D7557">
        <w:rPr>
          <w:rFonts w:ascii="Times New Roman" w:hAnsi="Times New Roman"/>
        </w:rPr>
        <w:t>d reported instead in Schedule H</w:t>
      </w:r>
      <w:r w:rsidRPr="00A67A2C">
        <w:rPr>
          <w:rFonts w:ascii="Times New Roman" w:hAnsi="Times New Roman"/>
        </w:rPr>
        <w:t xml:space="preserve">C-D, Trading Assets and Liabilities (if the reporting threshold for this schedule were met).   However, the </w:t>
      </w:r>
      <w:r w:rsidR="005D7557">
        <w:rPr>
          <w:rFonts w:ascii="Times New Roman" w:hAnsi="Times New Roman"/>
        </w:rPr>
        <w:t>Federal Reserve</w:t>
      </w:r>
      <w:r w:rsidRPr="00A67A2C">
        <w:rPr>
          <w:rFonts w:ascii="Times New Roman" w:hAnsi="Times New Roman"/>
        </w:rPr>
        <w:t xml:space="preserve"> neglected to address the r</w:t>
      </w:r>
      <w:r w:rsidR="005D7557">
        <w:rPr>
          <w:rFonts w:ascii="Times New Roman" w:hAnsi="Times New Roman"/>
        </w:rPr>
        <w:t>eporting treatment on Schedule H</w:t>
      </w:r>
      <w:r w:rsidRPr="00A67A2C">
        <w:rPr>
          <w:rFonts w:ascii="Times New Roman" w:hAnsi="Times New Roman"/>
        </w:rPr>
        <w:t xml:space="preserve">C-P of 1-4 family residential loans that met the conditions for classification as trading assets.  Therefore, </w:t>
      </w:r>
      <w:r w:rsidR="00384360">
        <w:rPr>
          <w:rFonts w:ascii="Times New Roman" w:hAnsi="Times New Roman"/>
        </w:rPr>
        <w:t>the Federal Reserve</w:t>
      </w:r>
      <w:r w:rsidR="00384360" w:rsidRPr="00BA07A9">
        <w:rPr>
          <w:rFonts w:ascii="Times New Roman" w:hAnsi="Times New Roman"/>
        </w:rPr>
        <w:t xml:space="preserve"> </w:t>
      </w:r>
      <w:r w:rsidR="005D7557">
        <w:rPr>
          <w:rFonts w:ascii="Times New Roman" w:hAnsi="Times New Roman"/>
        </w:rPr>
        <w:t>proposes</w:t>
      </w:r>
      <w:r w:rsidRPr="00A67A2C">
        <w:rPr>
          <w:rFonts w:ascii="Times New Roman" w:hAnsi="Times New Roman"/>
        </w:rPr>
        <w:t xml:space="preserve"> to correct this by providing explicit instructional guidance that all 1-4 family residential mortgage banking activities, whether held for sale or trading purpos</w:t>
      </w:r>
      <w:r w:rsidR="005D7557">
        <w:rPr>
          <w:rFonts w:ascii="Times New Roman" w:hAnsi="Times New Roman"/>
        </w:rPr>
        <w:t>es, are reportable on Schedule H</w:t>
      </w:r>
      <w:r w:rsidRPr="00A67A2C">
        <w:rPr>
          <w:rFonts w:ascii="Times New Roman" w:hAnsi="Times New Roman"/>
        </w:rPr>
        <w:t xml:space="preserve">C-P.  </w:t>
      </w:r>
    </w:p>
    <w:p w:rsidR="00BA07A9" w:rsidRDefault="00BA07A9" w:rsidP="005A7C56">
      <w:pPr>
        <w:widowControl/>
        <w:rPr>
          <w:rFonts w:ascii="Times New Roman" w:hAnsi="Times New Roman"/>
          <w:b/>
        </w:rPr>
      </w:pPr>
    </w:p>
    <w:p w:rsidR="00C6425D" w:rsidRPr="00BF2EAF" w:rsidRDefault="00BF2EAF" w:rsidP="00BF2EAF">
      <w:pPr>
        <w:widowControl/>
        <w:ind w:firstLine="720"/>
        <w:rPr>
          <w:rFonts w:ascii="Times New Roman" w:hAnsi="Times New Roman"/>
          <w:b/>
        </w:rPr>
      </w:pPr>
      <w:r>
        <w:rPr>
          <w:rFonts w:ascii="Times New Roman" w:hAnsi="Times New Roman"/>
          <w:b/>
        </w:rPr>
        <w:t xml:space="preserve">B.  </w:t>
      </w:r>
      <w:r w:rsidR="00C6425D" w:rsidRPr="00BF2EAF">
        <w:rPr>
          <w:rFonts w:ascii="Times New Roman" w:hAnsi="Times New Roman"/>
          <w:b/>
        </w:rPr>
        <w:t xml:space="preserve">Proposed Revision </w:t>
      </w:r>
      <w:r w:rsidR="00D9686E">
        <w:rPr>
          <w:rFonts w:ascii="Times New Roman" w:hAnsi="Times New Roman"/>
          <w:b/>
        </w:rPr>
        <w:t xml:space="preserve">Not </w:t>
      </w:r>
      <w:r w:rsidR="00C6425D" w:rsidRPr="00BF2EAF">
        <w:rPr>
          <w:rFonts w:ascii="Times New Roman" w:hAnsi="Times New Roman"/>
          <w:b/>
        </w:rPr>
        <w:t>Related to Call Report Revisions</w:t>
      </w:r>
    </w:p>
    <w:p w:rsidR="00C6425D" w:rsidRDefault="00C6425D" w:rsidP="00C6425D">
      <w:pPr>
        <w:widowControl/>
        <w:rPr>
          <w:rFonts w:ascii="Times New Roman" w:hAnsi="Times New Roman"/>
          <w:b/>
        </w:rPr>
      </w:pPr>
    </w:p>
    <w:p w:rsidR="00C6425D" w:rsidRDefault="00C6425D" w:rsidP="00C6425D">
      <w:pPr>
        <w:widowControl/>
        <w:rPr>
          <w:rFonts w:ascii="Times New Roman" w:hAnsi="Times New Roman"/>
        </w:rPr>
      </w:pPr>
      <w:r>
        <w:rPr>
          <w:rFonts w:ascii="Times New Roman" w:hAnsi="Times New Roman"/>
          <w:b/>
        </w:rPr>
        <w:tab/>
      </w:r>
      <w:r>
        <w:rPr>
          <w:rFonts w:ascii="Times New Roman" w:hAnsi="Times New Roman"/>
        </w:rPr>
        <w:t xml:space="preserve">  </w:t>
      </w:r>
      <w:r w:rsidR="00384360">
        <w:rPr>
          <w:rFonts w:ascii="Times New Roman" w:hAnsi="Times New Roman"/>
        </w:rPr>
        <w:t>The Federal Reserve</w:t>
      </w:r>
      <w:r w:rsidR="007A78B8" w:rsidRPr="00D87608">
        <w:rPr>
          <w:rFonts w:ascii="Times New Roman" w:hAnsi="Times New Roman"/>
        </w:rPr>
        <w:t xml:space="preserve"> proposes to make the following revision to the FR Y-9</w:t>
      </w:r>
      <w:r w:rsidR="007A78B8">
        <w:rPr>
          <w:rFonts w:ascii="Times New Roman" w:hAnsi="Times New Roman"/>
        </w:rPr>
        <w:t xml:space="preserve">C effective as of March 31, </w:t>
      </w:r>
      <w:r w:rsidR="00137D30">
        <w:rPr>
          <w:rFonts w:ascii="Times New Roman" w:hAnsi="Times New Roman"/>
        </w:rPr>
        <w:t>2011</w:t>
      </w:r>
      <w:r w:rsidR="007A78B8">
        <w:rPr>
          <w:rFonts w:ascii="Times New Roman" w:hAnsi="Times New Roman"/>
        </w:rPr>
        <w:t xml:space="preserve">, which </w:t>
      </w:r>
      <w:r w:rsidR="00D513C3">
        <w:rPr>
          <w:rFonts w:ascii="Times New Roman" w:hAnsi="Times New Roman"/>
        </w:rPr>
        <w:t>is</w:t>
      </w:r>
      <w:r w:rsidR="007A78B8">
        <w:rPr>
          <w:rFonts w:ascii="Times New Roman" w:hAnsi="Times New Roman"/>
        </w:rPr>
        <w:t xml:space="preserve"> unrelated to the revisions proposed to the Call Report.</w:t>
      </w:r>
    </w:p>
    <w:p w:rsidR="00526AB3" w:rsidRDefault="00526AB3" w:rsidP="00526AB3">
      <w:pPr>
        <w:widowControl/>
        <w:rPr>
          <w:rFonts w:ascii="Times New Roman" w:hAnsi="Times New Roman"/>
        </w:rPr>
      </w:pPr>
    </w:p>
    <w:p w:rsidR="001E4FFA" w:rsidRDefault="00A6692D">
      <w:pPr>
        <w:widowControl/>
        <w:ind w:left="1170" w:hanging="450"/>
        <w:rPr>
          <w:rFonts w:ascii="Times New Roman" w:hAnsi="Times New Roman"/>
        </w:rPr>
      </w:pPr>
      <w:proofErr w:type="gramStart"/>
      <w:r w:rsidRPr="007A78B8">
        <w:rPr>
          <w:rFonts w:ascii="Times New Roman" w:hAnsi="Times New Roman"/>
          <w:b/>
        </w:rPr>
        <w:t>B.</w:t>
      </w:r>
      <w:r w:rsidR="00EF65B0">
        <w:rPr>
          <w:rFonts w:ascii="Times New Roman" w:hAnsi="Times New Roman"/>
          <w:b/>
        </w:rPr>
        <w:t>1</w:t>
      </w:r>
      <w:r w:rsidRPr="007A78B8">
        <w:rPr>
          <w:rFonts w:ascii="Times New Roman" w:hAnsi="Times New Roman"/>
          <w:b/>
        </w:rPr>
        <w:t xml:space="preserve">  </w:t>
      </w:r>
      <w:r w:rsidR="00A67A2C">
        <w:rPr>
          <w:rFonts w:ascii="Times New Roman" w:hAnsi="Times New Roman"/>
          <w:b/>
        </w:rPr>
        <w:t>Expanding</w:t>
      </w:r>
      <w:proofErr w:type="gramEnd"/>
      <w:r>
        <w:rPr>
          <w:rFonts w:ascii="Times New Roman" w:hAnsi="Times New Roman"/>
          <w:b/>
        </w:rPr>
        <w:t xml:space="preserve"> Information Collected on Schedule HC-K, Quarterly Averages</w:t>
      </w:r>
    </w:p>
    <w:p w:rsidR="00A6692D" w:rsidRDefault="00A6692D" w:rsidP="007A78B8">
      <w:pPr>
        <w:widowControl/>
        <w:rPr>
          <w:rFonts w:ascii="Times New Roman" w:hAnsi="Times New Roman"/>
        </w:rPr>
      </w:pPr>
    </w:p>
    <w:p w:rsidR="00883250" w:rsidRDefault="00A6692D" w:rsidP="009A267D">
      <w:pPr>
        <w:widowControl/>
        <w:rPr>
          <w:rFonts w:ascii="Times New Roman" w:hAnsi="Times New Roman"/>
        </w:rPr>
      </w:pPr>
      <w:r>
        <w:rPr>
          <w:rFonts w:ascii="Times New Roman" w:hAnsi="Times New Roman"/>
        </w:rPr>
        <w:tab/>
      </w:r>
      <w:r w:rsidR="00384360">
        <w:rPr>
          <w:rFonts w:ascii="Times New Roman" w:hAnsi="Times New Roman"/>
        </w:rPr>
        <w:t>The Federal Reserve</w:t>
      </w:r>
      <w:r w:rsidR="0048353E">
        <w:rPr>
          <w:rFonts w:ascii="Times New Roman" w:hAnsi="Times New Roman"/>
        </w:rPr>
        <w:t xml:space="preserve"> proposes to expand the information collected on Schedule HC-K, Quarterly Averages, to collect more detailed breakdowns on securities and loan portfolios, consistent with information currently reported by commercial banks on Call Report Schedule RC-K, Quarterly Averages.  Specifically, Schedule HC-K, </w:t>
      </w:r>
      <w:r w:rsidR="0075525A">
        <w:rPr>
          <w:rFonts w:ascii="Times New Roman" w:hAnsi="Times New Roman"/>
        </w:rPr>
        <w:t xml:space="preserve">data </w:t>
      </w:r>
      <w:r w:rsidR="0048353E">
        <w:rPr>
          <w:rFonts w:ascii="Times New Roman" w:hAnsi="Times New Roman"/>
        </w:rPr>
        <w:t>item 2, Securities, would be broken out to provide information on (1) U.S. Treasury securities and U.S. Government agency obligations (excluding mortgage-backed securities)</w:t>
      </w:r>
      <w:r w:rsidR="00435AE7">
        <w:rPr>
          <w:rFonts w:ascii="Times New Roman" w:hAnsi="Times New Roman"/>
        </w:rPr>
        <w:t>,</w:t>
      </w:r>
      <w:r w:rsidR="0048353E">
        <w:rPr>
          <w:rFonts w:ascii="Times New Roman" w:hAnsi="Times New Roman"/>
        </w:rPr>
        <w:t xml:space="preserve"> (2) Mortgage-backed securities</w:t>
      </w:r>
      <w:r w:rsidR="00435AE7">
        <w:rPr>
          <w:rFonts w:ascii="Times New Roman" w:hAnsi="Times New Roman"/>
        </w:rPr>
        <w:t>,</w:t>
      </w:r>
      <w:r w:rsidR="0048353E">
        <w:rPr>
          <w:rFonts w:ascii="Times New Roman" w:hAnsi="Times New Roman"/>
        </w:rPr>
        <w:t xml:space="preserve"> and </w:t>
      </w:r>
      <w:r w:rsidR="000E4759">
        <w:rPr>
          <w:rFonts w:ascii="Times New Roman" w:hAnsi="Times New Roman"/>
        </w:rPr>
        <w:t xml:space="preserve">(3) All other securities.  Also, new loan categories would be added to Schedule HC-K, </w:t>
      </w:r>
      <w:r w:rsidR="0075525A">
        <w:rPr>
          <w:rFonts w:ascii="Times New Roman" w:hAnsi="Times New Roman"/>
        </w:rPr>
        <w:t xml:space="preserve">data </w:t>
      </w:r>
      <w:r w:rsidR="000E4759">
        <w:rPr>
          <w:rFonts w:ascii="Times New Roman" w:hAnsi="Times New Roman"/>
        </w:rPr>
        <w:t>item 6, Loans, to provide information on (1) Loans to finance agricultural production and other loans to farmers</w:t>
      </w:r>
      <w:r w:rsidR="00435AE7">
        <w:rPr>
          <w:rFonts w:ascii="Times New Roman" w:hAnsi="Times New Roman"/>
        </w:rPr>
        <w:t>,</w:t>
      </w:r>
      <w:r w:rsidR="000E4759">
        <w:rPr>
          <w:rFonts w:ascii="Times New Roman" w:hAnsi="Times New Roman"/>
        </w:rPr>
        <w:t xml:space="preserve"> (2) Commercial and industrial loans</w:t>
      </w:r>
      <w:r w:rsidR="00435AE7">
        <w:rPr>
          <w:rFonts w:ascii="Times New Roman" w:hAnsi="Times New Roman"/>
        </w:rPr>
        <w:t>,</w:t>
      </w:r>
      <w:r w:rsidR="000E4759">
        <w:rPr>
          <w:rFonts w:ascii="Times New Roman" w:hAnsi="Times New Roman"/>
        </w:rPr>
        <w:t xml:space="preserve"> and (3) Loans to individuals for household, family, and other personal expenditures, with a breakdown </w:t>
      </w:r>
      <w:r w:rsidR="009A5BC1">
        <w:rPr>
          <w:rFonts w:ascii="Times New Roman" w:hAnsi="Times New Roman"/>
        </w:rPr>
        <w:t xml:space="preserve">of </w:t>
      </w:r>
      <w:r w:rsidR="000E4759">
        <w:rPr>
          <w:rFonts w:ascii="Times New Roman" w:hAnsi="Times New Roman"/>
        </w:rPr>
        <w:t>(a) Credit cards</w:t>
      </w:r>
      <w:r w:rsidR="00436C23">
        <w:rPr>
          <w:rFonts w:ascii="Times New Roman" w:hAnsi="Times New Roman"/>
        </w:rPr>
        <w:t xml:space="preserve"> </w:t>
      </w:r>
      <w:r w:rsidR="005D7557">
        <w:rPr>
          <w:rFonts w:ascii="Times New Roman" w:hAnsi="Times New Roman"/>
        </w:rPr>
        <w:t>and (</w:t>
      </w:r>
      <w:r w:rsidR="001F5A94">
        <w:rPr>
          <w:rFonts w:ascii="Times New Roman" w:hAnsi="Times New Roman"/>
        </w:rPr>
        <w:t>b</w:t>
      </w:r>
      <w:r w:rsidR="000E4759">
        <w:rPr>
          <w:rFonts w:ascii="Times New Roman" w:hAnsi="Times New Roman"/>
        </w:rPr>
        <w:t>) Other.</w:t>
      </w:r>
    </w:p>
    <w:p w:rsidR="000E4759" w:rsidRDefault="000E4759" w:rsidP="009A267D">
      <w:pPr>
        <w:widowControl/>
        <w:rPr>
          <w:rFonts w:ascii="Times New Roman" w:hAnsi="Times New Roman"/>
        </w:rPr>
      </w:pPr>
    </w:p>
    <w:p w:rsidR="004E6022" w:rsidRDefault="00DF7E44" w:rsidP="009A267D">
      <w:pPr>
        <w:widowControl/>
        <w:rPr>
          <w:rFonts w:ascii="Times New Roman" w:hAnsi="Times New Roman"/>
          <w:iCs/>
        </w:rPr>
      </w:pPr>
      <w:r>
        <w:rPr>
          <w:rFonts w:ascii="Times New Roman" w:hAnsi="Times New Roman"/>
          <w:iCs/>
        </w:rPr>
        <w:tab/>
      </w:r>
      <w:r w:rsidR="004B77C3" w:rsidRPr="004B77C3">
        <w:rPr>
          <w:rFonts w:ascii="Times New Roman" w:hAnsi="Times New Roman"/>
          <w:iCs/>
        </w:rPr>
        <w:t xml:space="preserve">A more granular breakdown </w:t>
      </w:r>
      <w:r>
        <w:rPr>
          <w:rFonts w:ascii="Times New Roman" w:hAnsi="Times New Roman"/>
          <w:iCs/>
        </w:rPr>
        <w:t>on securities and loan portfolios would facilitate</w:t>
      </w:r>
      <w:r w:rsidR="004B77C3" w:rsidRPr="004B77C3">
        <w:rPr>
          <w:rFonts w:ascii="Times New Roman" w:hAnsi="Times New Roman"/>
          <w:iCs/>
        </w:rPr>
        <w:t xml:space="preserve"> analysis when the value or size of a firm's assets has changed or fluctuated over a quarter, particularly when used to calculate net charge-off, growth, and return on average asset rates.  </w:t>
      </w:r>
      <w:r>
        <w:rPr>
          <w:rFonts w:ascii="Times New Roman" w:hAnsi="Times New Roman"/>
          <w:iCs/>
        </w:rPr>
        <w:t>Disclosure of t</w:t>
      </w:r>
      <w:r w:rsidR="004B77C3" w:rsidRPr="004B77C3">
        <w:rPr>
          <w:rFonts w:ascii="Times New Roman" w:hAnsi="Times New Roman"/>
          <w:iCs/>
        </w:rPr>
        <w:t xml:space="preserve">his </w:t>
      </w:r>
      <w:r>
        <w:rPr>
          <w:rFonts w:ascii="Times New Roman" w:hAnsi="Times New Roman"/>
          <w:iCs/>
        </w:rPr>
        <w:t xml:space="preserve">information </w:t>
      </w:r>
      <w:r w:rsidR="004B77C3" w:rsidRPr="004B77C3">
        <w:rPr>
          <w:rFonts w:ascii="Times New Roman" w:hAnsi="Times New Roman"/>
          <w:iCs/>
        </w:rPr>
        <w:t xml:space="preserve">would also be consistent with firms' public </w:t>
      </w:r>
      <w:r>
        <w:rPr>
          <w:rFonts w:ascii="Times New Roman" w:hAnsi="Times New Roman"/>
          <w:iCs/>
        </w:rPr>
        <w:t>Securities and Exchange Commission (</w:t>
      </w:r>
      <w:r w:rsidR="004B77C3" w:rsidRPr="004B77C3">
        <w:rPr>
          <w:rFonts w:ascii="Times New Roman" w:hAnsi="Times New Roman"/>
          <w:iCs/>
        </w:rPr>
        <w:t>SEC</w:t>
      </w:r>
      <w:r>
        <w:rPr>
          <w:rFonts w:ascii="Times New Roman" w:hAnsi="Times New Roman"/>
          <w:iCs/>
        </w:rPr>
        <w:t>)</w:t>
      </w:r>
      <w:r w:rsidR="004B77C3" w:rsidRPr="004B77C3">
        <w:rPr>
          <w:rFonts w:ascii="Times New Roman" w:hAnsi="Times New Roman"/>
          <w:iCs/>
        </w:rPr>
        <w:t xml:space="preserve"> filings, where net charge-off rates by product type are calculated using quarterly average balances.</w:t>
      </w:r>
    </w:p>
    <w:p w:rsidR="0093559C" w:rsidRDefault="0093559C">
      <w:pPr>
        <w:widowControl/>
        <w:rPr>
          <w:rFonts w:ascii="Times New Roman" w:hAnsi="Times New Roman"/>
          <w:iCs/>
        </w:rPr>
      </w:pPr>
      <w:r>
        <w:rPr>
          <w:rFonts w:ascii="Times New Roman" w:hAnsi="Times New Roman"/>
          <w:iCs/>
        </w:rPr>
        <w:br w:type="page"/>
      </w:r>
    </w:p>
    <w:p w:rsidR="00061552" w:rsidDel="0040195A" w:rsidRDefault="004B77C3" w:rsidP="00695A46">
      <w:pPr>
        <w:widowControl/>
        <w:rPr>
          <w:rFonts w:ascii="Times New Roman" w:hAnsi="Times New Roman"/>
        </w:rPr>
      </w:pPr>
      <w:r w:rsidRPr="004B77C3">
        <w:rPr>
          <w:rFonts w:ascii="Times New Roman" w:hAnsi="Times New Roman"/>
          <w:iCs/>
        </w:rPr>
        <w:lastRenderedPageBreak/>
        <w:t xml:space="preserve">  </w:t>
      </w:r>
      <w:r w:rsidR="00695A46">
        <w:rPr>
          <w:rFonts w:ascii="Times New Roman" w:hAnsi="Times New Roman"/>
          <w:iCs/>
        </w:rPr>
        <w:tab/>
      </w:r>
      <w:r w:rsidR="00061552" w:rsidDel="0040195A">
        <w:rPr>
          <w:rFonts w:ascii="Times New Roman" w:hAnsi="Times New Roman"/>
          <w:b/>
        </w:rPr>
        <w:t>FR Y-9LP</w:t>
      </w:r>
    </w:p>
    <w:p w:rsidR="00061552" w:rsidDel="0040195A" w:rsidRDefault="00061552">
      <w:pPr>
        <w:widowControl/>
        <w:ind w:firstLine="720"/>
        <w:rPr>
          <w:rFonts w:ascii="Times New Roman" w:hAnsi="Times New Roman"/>
        </w:rPr>
      </w:pPr>
    </w:p>
    <w:p w:rsidR="00530E69" w:rsidRDefault="00061552">
      <w:pPr>
        <w:widowControl/>
        <w:ind w:firstLine="720"/>
        <w:rPr>
          <w:rFonts w:ascii="Times New Roman" w:hAnsi="Times New Roman"/>
        </w:rPr>
      </w:pPr>
      <w:r w:rsidDel="0040195A">
        <w:rPr>
          <w:rFonts w:ascii="Times New Roman" w:hAnsi="Times New Roman"/>
        </w:rPr>
        <w:t>The FR Y-9LP includes standardized financial statements filed quarterly on a parent company only basis from each BHC that files the FR Y-9C.  In addition, for tiered BHCs, a separate FR Y-9LP must be filed for each lower tier BHC.</w:t>
      </w:r>
      <w:r w:rsidR="000126EA" w:rsidDel="0040195A">
        <w:rPr>
          <w:rFonts w:ascii="Times New Roman" w:hAnsi="Times New Roman"/>
        </w:rPr>
        <w:t xml:space="preserve">  </w:t>
      </w:r>
      <w:r w:rsidR="00384360">
        <w:rPr>
          <w:rFonts w:ascii="Times New Roman" w:hAnsi="Times New Roman"/>
        </w:rPr>
        <w:t>The Federal Reserve</w:t>
      </w:r>
      <w:r w:rsidR="004560D1" w:rsidRPr="004560D1" w:rsidDel="0040195A">
        <w:rPr>
          <w:rFonts w:ascii="Times New Roman" w:hAnsi="Times New Roman"/>
        </w:rPr>
        <w:t xml:space="preserve"> propose</w:t>
      </w:r>
      <w:r w:rsidR="00DF7E44">
        <w:rPr>
          <w:rFonts w:ascii="Times New Roman" w:hAnsi="Times New Roman"/>
        </w:rPr>
        <w:t>s</w:t>
      </w:r>
      <w:r w:rsidR="004560D1" w:rsidRPr="004560D1" w:rsidDel="0040195A">
        <w:rPr>
          <w:rFonts w:ascii="Times New Roman" w:hAnsi="Times New Roman"/>
        </w:rPr>
        <w:t xml:space="preserve"> </w:t>
      </w:r>
      <w:r w:rsidR="00DF7E44">
        <w:rPr>
          <w:rFonts w:ascii="Times New Roman" w:hAnsi="Times New Roman"/>
        </w:rPr>
        <w:t xml:space="preserve">the following </w:t>
      </w:r>
      <w:r w:rsidR="004560D1" w:rsidRPr="004560D1" w:rsidDel="0040195A">
        <w:rPr>
          <w:rFonts w:ascii="Times New Roman" w:hAnsi="Times New Roman"/>
        </w:rPr>
        <w:t xml:space="preserve">revision to the FR </w:t>
      </w:r>
      <w:r w:rsidR="004560D1" w:rsidDel="0040195A">
        <w:rPr>
          <w:rFonts w:ascii="Times New Roman" w:hAnsi="Times New Roman"/>
        </w:rPr>
        <w:t>Y-9LP</w:t>
      </w:r>
      <w:r w:rsidR="00DF7E44">
        <w:rPr>
          <w:rFonts w:ascii="Times New Roman" w:hAnsi="Times New Roman"/>
        </w:rPr>
        <w:t xml:space="preserve"> </w:t>
      </w:r>
      <w:r w:rsidR="00DF7E44">
        <w:rPr>
          <w:rFonts w:ascii="Times New Roman" w:hAnsi="Times New Roman"/>
          <w:snapToGrid/>
          <w:color w:val="000000"/>
          <w:szCs w:val="24"/>
        </w:rPr>
        <w:t>effective as of March 31, 2011</w:t>
      </w:r>
      <w:r w:rsidR="004560D1" w:rsidRPr="004560D1" w:rsidDel="0040195A">
        <w:rPr>
          <w:rFonts w:ascii="Times New Roman" w:hAnsi="Times New Roman"/>
        </w:rPr>
        <w:t>.</w:t>
      </w:r>
    </w:p>
    <w:p w:rsidR="00DF7E44" w:rsidRDefault="00DF7E44">
      <w:pPr>
        <w:widowControl/>
        <w:ind w:firstLine="720"/>
        <w:rPr>
          <w:rFonts w:ascii="Times New Roman" w:hAnsi="Times New Roman"/>
        </w:rPr>
      </w:pPr>
    </w:p>
    <w:p w:rsidR="00DF7E44" w:rsidRPr="00DF7E44" w:rsidRDefault="00DF7E44" w:rsidP="00DF7E44">
      <w:pPr>
        <w:widowControl/>
        <w:ind w:firstLine="720"/>
        <w:rPr>
          <w:rFonts w:ascii="Times New Roman" w:hAnsi="Times New Roman"/>
          <w:b/>
          <w:bCs/>
        </w:rPr>
      </w:pPr>
      <w:r w:rsidRPr="00DF7E44">
        <w:rPr>
          <w:rFonts w:ascii="Times New Roman" w:hAnsi="Times New Roman"/>
          <w:b/>
          <w:bCs/>
        </w:rPr>
        <w:t>Troubled Debt Restructurings</w:t>
      </w:r>
    </w:p>
    <w:p w:rsidR="00DF7E44" w:rsidRPr="00DF7E44" w:rsidRDefault="00DF7E44" w:rsidP="00DF7E44">
      <w:pPr>
        <w:widowControl/>
        <w:ind w:firstLine="720"/>
        <w:rPr>
          <w:rFonts w:ascii="Times New Roman" w:hAnsi="Times New Roman"/>
        </w:rPr>
      </w:pPr>
      <w:r w:rsidRPr="00DF7E44">
        <w:rPr>
          <w:rFonts w:ascii="Times New Roman" w:hAnsi="Times New Roman"/>
        </w:rPr>
        <w:t xml:space="preserve">  </w:t>
      </w:r>
    </w:p>
    <w:p w:rsidR="00316214" w:rsidRPr="00316F77" w:rsidRDefault="00DF7E44" w:rsidP="00316214">
      <w:pPr>
        <w:ind w:firstLine="720"/>
        <w:rPr>
          <w:rFonts w:ascii="Times New Roman" w:hAnsi="Times New Roman"/>
          <w:szCs w:val="24"/>
        </w:rPr>
      </w:pPr>
      <w:r w:rsidRPr="00DF7E44">
        <w:rPr>
          <w:rFonts w:ascii="Times New Roman" w:hAnsi="Times New Roman"/>
        </w:rPr>
        <w:t xml:space="preserve">To be consistent with revisions proposed for the FR Y-9C, </w:t>
      </w:r>
      <w:r w:rsidR="00384360">
        <w:rPr>
          <w:rFonts w:ascii="Times New Roman" w:hAnsi="Times New Roman"/>
        </w:rPr>
        <w:t>the Federal Reserve</w:t>
      </w:r>
      <w:r w:rsidR="00384360" w:rsidRPr="00BA07A9">
        <w:rPr>
          <w:rFonts w:ascii="Times New Roman" w:hAnsi="Times New Roman"/>
        </w:rPr>
        <w:t xml:space="preserve"> </w:t>
      </w:r>
      <w:r w:rsidRPr="00DF7E44">
        <w:rPr>
          <w:rFonts w:ascii="Times New Roman" w:hAnsi="Times New Roman"/>
        </w:rPr>
        <w:t xml:space="preserve">proposes to </w:t>
      </w:r>
      <w:r w:rsidR="001C47AF">
        <w:rPr>
          <w:rFonts w:ascii="Times New Roman" w:hAnsi="Times New Roman"/>
        </w:rPr>
        <w:t>modify the instructions</w:t>
      </w:r>
      <w:r w:rsidRPr="00DF7E44">
        <w:rPr>
          <w:rFonts w:ascii="Times New Roman" w:hAnsi="Times New Roman"/>
        </w:rPr>
        <w:t xml:space="preserve"> for Schedule PC-B - Memoranda item 8, Loans and leases of the parent restructured in compliance with modified terms, to clearly indicate that the loans to be reported in this</w:t>
      </w:r>
      <w:r w:rsidR="00144CB4">
        <w:rPr>
          <w:rFonts w:ascii="Times New Roman" w:hAnsi="Times New Roman"/>
        </w:rPr>
        <w:t xml:space="preserve"> data</w:t>
      </w:r>
      <w:r w:rsidRPr="00DF7E44">
        <w:rPr>
          <w:rFonts w:ascii="Times New Roman" w:hAnsi="Times New Roman"/>
        </w:rPr>
        <w:t xml:space="preserve"> item should be </w:t>
      </w:r>
      <w:r w:rsidR="00316214">
        <w:rPr>
          <w:rFonts w:ascii="Times New Roman" w:hAnsi="Times New Roman"/>
        </w:rPr>
        <w:t>troubled</w:t>
      </w:r>
      <w:r w:rsidRPr="00DF7E44">
        <w:rPr>
          <w:rFonts w:ascii="Times New Roman" w:hAnsi="Times New Roman"/>
        </w:rPr>
        <w:t xml:space="preserve"> debt restructurings and to exclude leases.</w:t>
      </w:r>
      <w:r w:rsidR="001C47AF">
        <w:rPr>
          <w:rFonts w:ascii="Times New Roman" w:hAnsi="Times New Roman"/>
        </w:rPr>
        <w:t xml:space="preserve">  Also the phrase “and leases” would be </w:t>
      </w:r>
      <w:r w:rsidR="00255426">
        <w:rPr>
          <w:rFonts w:ascii="Times New Roman" w:hAnsi="Times New Roman"/>
        </w:rPr>
        <w:t>stricken</w:t>
      </w:r>
      <w:r w:rsidR="001C47AF">
        <w:rPr>
          <w:rFonts w:ascii="Times New Roman" w:hAnsi="Times New Roman"/>
        </w:rPr>
        <w:t xml:space="preserve"> from the caption of this data item.</w:t>
      </w:r>
      <w:r w:rsidRPr="00DF7E44">
        <w:rPr>
          <w:rFonts w:ascii="Times New Roman" w:hAnsi="Times New Roman"/>
        </w:rPr>
        <w:t xml:space="preserve">  Under </w:t>
      </w:r>
      <w:r w:rsidR="00144CB4">
        <w:rPr>
          <w:rFonts w:ascii="Times New Roman" w:hAnsi="Times New Roman"/>
        </w:rPr>
        <w:t>GAAP</w:t>
      </w:r>
      <w:r w:rsidRPr="00DF7E44">
        <w:rPr>
          <w:rFonts w:ascii="Times New Roman" w:hAnsi="Times New Roman"/>
        </w:rPr>
        <w:t>, troubled debt restructurings do not include changes in lease agreements.</w:t>
      </w:r>
      <w:r w:rsidR="00316214">
        <w:rPr>
          <w:rFonts w:ascii="Times New Roman" w:hAnsi="Times New Roman"/>
        </w:rPr>
        <w:t xml:space="preserve">  </w:t>
      </w:r>
      <w:r w:rsidR="00316214" w:rsidRPr="00316F77">
        <w:rPr>
          <w:rFonts w:ascii="Times New Roman" w:hAnsi="Times New Roman"/>
          <w:szCs w:val="24"/>
        </w:rPr>
        <w:t xml:space="preserve">Also consistent with the proposed change to the FR Y-9C, </w:t>
      </w:r>
      <w:r w:rsidR="00384360">
        <w:rPr>
          <w:rFonts w:ascii="Times New Roman" w:hAnsi="Times New Roman"/>
        </w:rPr>
        <w:t>the Federal Reserve</w:t>
      </w:r>
      <w:r w:rsidR="00384360" w:rsidRPr="00BA07A9">
        <w:rPr>
          <w:rFonts w:ascii="Times New Roman" w:hAnsi="Times New Roman"/>
        </w:rPr>
        <w:t xml:space="preserve"> </w:t>
      </w:r>
      <w:r w:rsidR="00316214" w:rsidRPr="00316F77">
        <w:rPr>
          <w:rFonts w:ascii="Times New Roman" w:hAnsi="Times New Roman"/>
          <w:szCs w:val="24"/>
        </w:rPr>
        <w:t xml:space="preserve">proposes to revise the instructions for this </w:t>
      </w:r>
      <w:r w:rsidR="00B17446">
        <w:rPr>
          <w:rFonts w:ascii="Times New Roman" w:hAnsi="Times New Roman"/>
          <w:szCs w:val="24"/>
        </w:rPr>
        <w:t xml:space="preserve">data </w:t>
      </w:r>
      <w:r w:rsidR="00316214" w:rsidRPr="00316F77">
        <w:rPr>
          <w:rFonts w:ascii="Times New Roman" w:hAnsi="Times New Roman"/>
          <w:szCs w:val="24"/>
        </w:rPr>
        <w:t>item to include (currently excluded) loans to individuals for household, family, and other personal expenditures and all loans secured by 1-4 family residential properties whose terms have been modified in troubled debt restructurings.</w:t>
      </w:r>
    </w:p>
    <w:p w:rsidR="002328B8" w:rsidRDefault="002328B8" w:rsidP="00367295">
      <w:pPr>
        <w:widowControl/>
        <w:ind w:left="720"/>
        <w:rPr>
          <w:rFonts w:ascii="Times New Roman" w:hAnsi="Times New Roman"/>
          <w:b/>
        </w:rPr>
      </w:pPr>
    </w:p>
    <w:p w:rsidR="00061552" w:rsidRDefault="00061552" w:rsidP="00367295">
      <w:pPr>
        <w:widowControl/>
        <w:ind w:left="720"/>
        <w:rPr>
          <w:rFonts w:ascii="Times New Roman" w:hAnsi="Times New Roman"/>
        </w:rPr>
      </w:pPr>
      <w:r>
        <w:rPr>
          <w:rFonts w:ascii="Times New Roman" w:hAnsi="Times New Roman"/>
          <w:b/>
        </w:rPr>
        <w:t>FR Y-9SP</w:t>
      </w:r>
    </w:p>
    <w:p w:rsidR="00061552" w:rsidRDefault="00061552">
      <w:pPr>
        <w:widowControl/>
        <w:ind w:firstLine="720"/>
        <w:rPr>
          <w:rFonts w:ascii="Times New Roman" w:hAnsi="Times New Roman"/>
        </w:rPr>
      </w:pPr>
    </w:p>
    <w:p w:rsidR="004560D1" w:rsidRDefault="00061552" w:rsidP="004560D1">
      <w:pPr>
        <w:widowControl/>
        <w:ind w:firstLine="720"/>
        <w:rPr>
          <w:rFonts w:ascii="Times New Roman" w:hAnsi="Times New Roman"/>
        </w:rPr>
      </w:pPr>
      <w:r>
        <w:rPr>
          <w:rFonts w:ascii="Times New Roman" w:hAnsi="Times New Roman"/>
        </w:rPr>
        <w:t>The FR Y-9SP is a parent company only financial statement filed by smaller</w:t>
      </w:r>
      <w:r w:rsidR="00201B6D">
        <w:rPr>
          <w:rFonts w:ascii="Times New Roman" w:hAnsi="Times New Roman"/>
        </w:rPr>
        <w:t xml:space="preserve"> BHCs.  Respondents include </w:t>
      </w:r>
      <w:r w:rsidR="0029324F">
        <w:rPr>
          <w:rFonts w:ascii="Times New Roman" w:hAnsi="Times New Roman"/>
        </w:rPr>
        <w:t>BHCs</w:t>
      </w:r>
      <w:r>
        <w:rPr>
          <w:rFonts w:ascii="Times New Roman" w:hAnsi="Times New Roman"/>
        </w:rPr>
        <w:t xml:space="preserve"> with total conso</w:t>
      </w:r>
      <w:r w:rsidR="00201B6D">
        <w:rPr>
          <w:rFonts w:ascii="Times New Roman" w:hAnsi="Times New Roman"/>
        </w:rPr>
        <w:t>lidated assets of less than $500</w:t>
      </w:r>
      <w:r>
        <w:rPr>
          <w:rFonts w:ascii="Times New Roman" w:hAnsi="Times New Roman"/>
        </w:rPr>
        <w:t xml:space="preserve"> million.  This form is a simplified or abbreviated version of the more extensive parent company only financial statement for large BHCs (FR Y-9LP).  This report is designed to obtain basic balance sheet and income information for the parent company, information on intangible assets, and information on intercompany transactions.</w:t>
      </w:r>
      <w:r w:rsidR="004560D1">
        <w:rPr>
          <w:rFonts w:ascii="Times New Roman" w:hAnsi="Times New Roman"/>
        </w:rPr>
        <w:t xml:space="preserve">  </w:t>
      </w:r>
      <w:r w:rsidR="00EF65B0">
        <w:rPr>
          <w:rFonts w:ascii="Times New Roman" w:hAnsi="Times New Roman"/>
        </w:rPr>
        <w:t xml:space="preserve">  </w:t>
      </w:r>
    </w:p>
    <w:p w:rsidR="00E273F2" w:rsidRDefault="00E273F2" w:rsidP="004560D1">
      <w:pPr>
        <w:widowControl/>
        <w:ind w:firstLine="720"/>
        <w:rPr>
          <w:rFonts w:ascii="Times New Roman" w:hAnsi="Times New Roman"/>
        </w:rPr>
      </w:pPr>
    </w:p>
    <w:p w:rsidR="008832A6" w:rsidRDefault="00594526" w:rsidP="008832A6">
      <w:pPr>
        <w:widowControl/>
        <w:ind w:firstLine="720"/>
        <w:rPr>
          <w:rFonts w:ascii="Times New Roman" w:hAnsi="Times New Roman"/>
          <w:b/>
        </w:rPr>
      </w:pPr>
      <w:r>
        <w:rPr>
          <w:rFonts w:ascii="Times New Roman" w:hAnsi="Times New Roman"/>
          <w:b/>
        </w:rPr>
        <w:t>FR Y-9CS</w:t>
      </w:r>
    </w:p>
    <w:p w:rsidR="00594526" w:rsidRDefault="00594526">
      <w:pPr>
        <w:widowControl/>
        <w:rPr>
          <w:rFonts w:ascii="Times New Roman" w:hAnsi="Times New Roman"/>
          <w:b/>
        </w:rPr>
      </w:pPr>
    </w:p>
    <w:p w:rsidR="00594526" w:rsidRDefault="00594526">
      <w:pPr>
        <w:widowControl/>
        <w:rPr>
          <w:rFonts w:ascii="Times New Roman" w:hAnsi="Times New Roman"/>
        </w:rPr>
      </w:pPr>
      <w:r>
        <w:rPr>
          <w:rFonts w:ascii="Times New Roman" w:hAnsi="Times New Roman"/>
          <w:b/>
        </w:rPr>
        <w:tab/>
      </w:r>
      <w:r w:rsidRPr="00594526">
        <w:rPr>
          <w:rFonts w:ascii="Times New Roman" w:hAnsi="Times New Roman"/>
        </w:rPr>
        <w:t xml:space="preserve">The FR Y-9CS is a supplemental report that may be utilized to collect additional information deemed to be critical and needed in an expedited manner from </w:t>
      </w:r>
      <w:r w:rsidR="00CC33BD">
        <w:rPr>
          <w:rFonts w:ascii="Times New Roman" w:hAnsi="Times New Roman"/>
        </w:rPr>
        <w:t>BHCs</w:t>
      </w:r>
      <w:r w:rsidRPr="00594526">
        <w:rPr>
          <w:rFonts w:ascii="Times New Roman" w:hAnsi="Times New Roman"/>
        </w:rPr>
        <w:t xml:space="preserve">. </w:t>
      </w:r>
      <w:r w:rsidR="008D2867">
        <w:rPr>
          <w:rFonts w:ascii="Times New Roman" w:hAnsi="Times New Roman"/>
        </w:rPr>
        <w:t xml:space="preserve"> </w:t>
      </w:r>
      <w:r w:rsidRPr="00594526">
        <w:rPr>
          <w:rFonts w:ascii="Times New Roman" w:hAnsi="Times New Roman"/>
        </w:rPr>
        <w:t xml:space="preserve">The information is used to assess and monitor emerging issues related to </w:t>
      </w:r>
      <w:r w:rsidR="00CC33BD">
        <w:rPr>
          <w:rFonts w:ascii="Times New Roman" w:hAnsi="Times New Roman"/>
        </w:rPr>
        <w:t>BHCs</w:t>
      </w:r>
      <w:r w:rsidRPr="00594526">
        <w:rPr>
          <w:rFonts w:ascii="Times New Roman" w:hAnsi="Times New Roman"/>
        </w:rPr>
        <w:t xml:space="preserve">. </w:t>
      </w:r>
      <w:r w:rsidR="008D2867">
        <w:rPr>
          <w:rFonts w:ascii="Times New Roman" w:hAnsi="Times New Roman"/>
        </w:rPr>
        <w:t xml:space="preserve"> </w:t>
      </w:r>
      <w:r w:rsidRPr="00594526">
        <w:rPr>
          <w:rFonts w:ascii="Times New Roman" w:hAnsi="Times New Roman"/>
        </w:rPr>
        <w:t xml:space="preserve">It is intended to supplement the FR Y-9 reports, which are used to monitor </w:t>
      </w:r>
      <w:r w:rsidR="00CC33BD">
        <w:rPr>
          <w:rFonts w:ascii="Times New Roman" w:hAnsi="Times New Roman"/>
        </w:rPr>
        <w:t>BHCs</w:t>
      </w:r>
      <w:r w:rsidRPr="00594526">
        <w:rPr>
          <w:rFonts w:ascii="Times New Roman" w:hAnsi="Times New Roman"/>
        </w:rPr>
        <w:t xml:space="preserve"> between on-site inspections.</w:t>
      </w:r>
      <w:r>
        <w:rPr>
          <w:rFonts w:ascii="Times New Roman" w:hAnsi="Times New Roman"/>
        </w:rPr>
        <w:t xml:space="preserve">  </w:t>
      </w:r>
      <w:r w:rsidRPr="00594526">
        <w:rPr>
          <w:rFonts w:ascii="Times New Roman" w:hAnsi="Times New Roman"/>
        </w:rPr>
        <w:t xml:space="preserve">The </w:t>
      </w:r>
      <w:r w:rsidR="00350002">
        <w:rPr>
          <w:rFonts w:ascii="Times New Roman" w:hAnsi="Times New Roman"/>
        </w:rPr>
        <w:t xml:space="preserve">data </w:t>
      </w:r>
      <w:r w:rsidRPr="00594526">
        <w:rPr>
          <w:rFonts w:ascii="Times New Roman" w:hAnsi="Times New Roman"/>
        </w:rPr>
        <w:t>items of information included on the supplement may change as needed.</w:t>
      </w:r>
      <w:r w:rsidR="006B71A1">
        <w:rPr>
          <w:rFonts w:ascii="Times New Roman" w:hAnsi="Times New Roman"/>
        </w:rPr>
        <w:t xml:space="preserve">  </w:t>
      </w:r>
    </w:p>
    <w:p w:rsidR="00FF7EDC" w:rsidRPr="00594526" w:rsidRDefault="00FF7EDC">
      <w:pPr>
        <w:widowControl/>
        <w:rPr>
          <w:rFonts w:ascii="Times New Roman" w:hAnsi="Times New Roman"/>
        </w:rPr>
      </w:pPr>
    </w:p>
    <w:p w:rsidR="00061552" w:rsidRDefault="00061552" w:rsidP="00367295">
      <w:pPr>
        <w:widowControl/>
        <w:ind w:firstLine="720"/>
        <w:rPr>
          <w:rFonts w:ascii="Times New Roman" w:hAnsi="Times New Roman"/>
          <w:b/>
        </w:rPr>
      </w:pPr>
      <w:r>
        <w:rPr>
          <w:rFonts w:ascii="Times New Roman" w:hAnsi="Times New Roman"/>
          <w:b/>
        </w:rPr>
        <w:t>FR Y-9ES</w:t>
      </w:r>
    </w:p>
    <w:p w:rsidR="00061552" w:rsidRDefault="00061552">
      <w:pPr>
        <w:widowControl/>
        <w:ind w:firstLine="720"/>
        <w:rPr>
          <w:rFonts w:ascii="Times New Roman" w:hAnsi="Times New Roman"/>
          <w:b/>
        </w:rPr>
      </w:pPr>
    </w:p>
    <w:p w:rsidR="00CB59B6" w:rsidRDefault="00061552" w:rsidP="00325745">
      <w:pPr>
        <w:pStyle w:val="BodyTextIndent"/>
        <w:widowControl w:val="0"/>
      </w:pPr>
      <w:r>
        <w:t xml:space="preserve">The FR Y-9ES collects financial information from ESOPs that are also BHCs on their benefit plan activities. </w:t>
      </w:r>
      <w:r w:rsidR="0060537E">
        <w:t xml:space="preserve"> </w:t>
      </w:r>
      <w:r>
        <w:t>It consists of four schedules: Statement of Changes in Net Assets Available for Benefits, Statement of Net Assets Available for Benefits, Memoranda, and Notes to the Financial Statements.</w:t>
      </w:r>
    </w:p>
    <w:p w:rsidR="006B3693" w:rsidRDefault="006B3693" w:rsidP="00CB59B6">
      <w:pPr>
        <w:pStyle w:val="BodyTextIndent"/>
        <w:widowControl w:val="0"/>
        <w:rPr>
          <w:b/>
        </w:rPr>
      </w:pPr>
    </w:p>
    <w:p w:rsidR="0093559C" w:rsidRDefault="0093559C">
      <w:pPr>
        <w:widowControl/>
        <w:rPr>
          <w:rFonts w:ascii="Times New Roman" w:hAnsi="Times New Roman"/>
          <w:b/>
        </w:rPr>
      </w:pPr>
      <w:r>
        <w:rPr>
          <w:b/>
        </w:rPr>
        <w:br w:type="page"/>
      </w:r>
    </w:p>
    <w:p w:rsidR="007E0013" w:rsidRDefault="007E0013" w:rsidP="00CB59B6">
      <w:pPr>
        <w:pStyle w:val="BodyTextIndent"/>
        <w:widowControl w:val="0"/>
      </w:pPr>
      <w:r>
        <w:rPr>
          <w:b/>
        </w:rPr>
        <w:lastRenderedPageBreak/>
        <w:t>Frequency</w:t>
      </w:r>
    </w:p>
    <w:p w:rsidR="007E0013" w:rsidRDefault="007E0013" w:rsidP="007E0013">
      <w:pPr>
        <w:widowControl/>
        <w:rPr>
          <w:rFonts w:ascii="Times New Roman" w:hAnsi="Times New Roman"/>
        </w:rPr>
      </w:pPr>
    </w:p>
    <w:p w:rsidR="001B5B33" w:rsidRDefault="00384360" w:rsidP="005F7347">
      <w:pPr>
        <w:widowControl/>
        <w:ind w:firstLine="720"/>
        <w:rPr>
          <w:rFonts w:ascii="Times New Roman" w:hAnsi="Times New Roman"/>
          <w:b/>
        </w:rPr>
      </w:pPr>
      <w:r>
        <w:rPr>
          <w:rFonts w:ascii="Times New Roman" w:hAnsi="Times New Roman"/>
        </w:rPr>
        <w:t>The Federal Reserve</w:t>
      </w:r>
      <w:r w:rsidR="00435AE7">
        <w:rPr>
          <w:rFonts w:ascii="Times New Roman" w:hAnsi="Times New Roman"/>
        </w:rPr>
        <w:t xml:space="preserve"> recommends</w:t>
      </w:r>
      <w:r w:rsidR="007E0013">
        <w:rPr>
          <w:rFonts w:ascii="Times New Roman" w:hAnsi="Times New Roman"/>
        </w:rPr>
        <w:t xml:space="preserve"> no changes to the reporting frequency of </w:t>
      </w:r>
      <w:r w:rsidR="00504CD0">
        <w:rPr>
          <w:rFonts w:ascii="Times New Roman" w:hAnsi="Times New Roman"/>
        </w:rPr>
        <w:t>the FR Y-9</w:t>
      </w:r>
      <w:r w:rsidR="00D135A3">
        <w:rPr>
          <w:rFonts w:ascii="Times New Roman" w:hAnsi="Times New Roman"/>
        </w:rPr>
        <w:t xml:space="preserve"> </w:t>
      </w:r>
      <w:r w:rsidR="00214A5A">
        <w:rPr>
          <w:rFonts w:ascii="Times New Roman" w:hAnsi="Times New Roman"/>
        </w:rPr>
        <w:t xml:space="preserve">family of </w:t>
      </w:r>
      <w:r w:rsidR="00D135A3">
        <w:rPr>
          <w:rFonts w:ascii="Times New Roman" w:hAnsi="Times New Roman"/>
        </w:rPr>
        <w:t>reports</w:t>
      </w:r>
      <w:r w:rsidR="007E0013">
        <w:rPr>
          <w:rFonts w:ascii="Times New Roman" w:hAnsi="Times New Roman"/>
        </w:rPr>
        <w:t>. The current reporting frequencies provide adequate timely data to meet the analytical and supervisory needs of the Federal Reserve.</w:t>
      </w:r>
    </w:p>
    <w:p w:rsidR="005F7347" w:rsidRDefault="005F7347" w:rsidP="007E0013">
      <w:pPr>
        <w:widowControl/>
        <w:rPr>
          <w:rFonts w:ascii="Times New Roman" w:hAnsi="Times New Roman"/>
          <w:b/>
        </w:rPr>
      </w:pPr>
    </w:p>
    <w:p w:rsidR="007E0013" w:rsidRDefault="007E0013" w:rsidP="007E0013">
      <w:pPr>
        <w:widowControl/>
        <w:rPr>
          <w:rFonts w:ascii="Times New Roman" w:hAnsi="Times New Roman"/>
        </w:rPr>
      </w:pPr>
      <w:r>
        <w:rPr>
          <w:rFonts w:ascii="Times New Roman" w:hAnsi="Times New Roman"/>
          <w:b/>
        </w:rPr>
        <w:t>Time Schedule for Information Collection</w:t>
      </w:r>
    </w:p>
    <w:p w:rsidR="007E0013" w:rsidRDefault="007E0013" w:rsidP="007E0013">
      <w:pPr>
        <w:widowControl/>
        <w:rPr>
          <w:rFonts w:ascii="Times New Roman" w:hAnsi="Times New Roman"/>
        </w:rPr>
      </w:pPr>
    </w:p>
    <w:p w:rsidR="007E0013" w:rsidRDefault="007E0013" w:rsidP="003014D4">
      <w:pPr>
        <w:pStyle w:val="BodyTextIndent"/>
      </w:pPr>
      <w:r>
        <w:t xml:space="preserve">The FR Y-9C and FR Y-9LP are </w:t>
      </w:r>
      <w:r w:rsidR="00504CD0">
        <w:t xml:space="preserve">filed </w:t>
      </w:r>
      <w:r>
        <w:t xml:space="preserve">quarterly as of the end of March, June, September, and December.  </w:t>
      </w:r>
      <w:r w:rsidR="00B45B47">
        <w:t>The filing deadline for the FR Y-9C</w:t>
      </w:r>
      <w:r w:rsidR="00C752FC">
        <w:t xml:space="preserve"> </w:t>
      </w:r>
      <w:r w:rsidR="00B45B47">
        <w:t xml:space="preserve">is </w:t>
      </w:r>
      <w:r w:rsidR="008D2867">
        <w:t xml:space="preserve">40 </w:t>
      </w:r>
      <w:r w:rsidR="00B45B47">
        <w:t>calendar days after the March 31, June 30, and September 30 as-of dates</w:t>
      </w:r>
      <w:r w:rsidR="004936D9">
        <w:t xml:space="preserve"> and</w:t>
      </w:r>
      <w:r w:rsidR="00B45B47">
        <w:t xml:space="preserve"> </w:t>
      </w:r>
      <w:r w:rsidR="008D2867">
        <w:t>45</w:t>
      </w:r>
      <w:r w:rsidR="009F6FAE">
        <w:t xml:space="preserve"> </w:t>
      </w:r>
      <w:r w:rsidR="00B45B47">
        <w:t>calendar days after the December 31 as-</w:t>
      </w:r>
      <w:proofErr w:type="spellStart"/>
      <w:r w:rsidR="00B45B47">
        <w:t>of</w:t>
      </w:r>
      <w:proofErr w:type="spellEnd"/>
      <w:r w:rsidR="00B45B47">
        <w:t xml:space="preserve"> date.  The filing dead</w:t>
      </w:r>
      <w:r w:rsidR="007E0751">
        <w:t xml:space="preserve">line for the FR Y-9LP is </w:t>
      </w:r>
      <w:r w:rsidR="008D2867">
        <w:t>45</w:t>
      </w:r>
      <w:r w:rsidR="009F6FAE">
        <w:t xml:space="preserve"> </w:t>
      </w:r>
      <w:r w:rsidR="007E0751">
        <w:t>calendar days after the quarter-end as-</w:t>
      </w:r>
      <w:proofErr w:type="spellStart"/>
      <w:r w:rsidR="007E0751">
        <w:t>of</w:t>
      </w:r>
      <w:proofErr w:type="spellEnd"/>
      <w:r w:rsidR="007E0751">
        <w:t xml:space="preserve"> date.</w:t>
      </w:r>
      <w:r w:rsidR="004936D9" w:rsidRPr="004936D9">
        <w:t xml:space="preserve"> </w:t>
      </w:r>
      <w:r w:rsidR="0040195A">
        <w:t xml:space="preserve"> </w:t>
      </w:r>
      <w:r w:rsidR="004936D9">
        <w:t xml:space="preserve">The FR Y-9SP is filed semiannually as of the end of June and December. </w:t>
      </w:r>
      <w:r w:rsidR="0040195A">
        <w:t xml:space="preserve"> </w:t>
      </w:r>
      <w:r w:rsidR="008E31DB">
        <w:t xml:space="preserve">The </w:t>
      </w:r>
      <w:r w:rsidR="004936D9">
        <w:t xml:space="preserve">filing deadline for the </w:t>
      </w:r>
      <w:r>
        <w:t xml:space="preserve">FR Y-9SP </w:t>
      </w:r>
      <w:r w:rsidR="004936D9">
        <w:t>is</w:t>
      </w:r>
      <w:r>
        <w:t xml:space="preserve"> </w:t>
      </w:r>
      <w:r w:rsidR="008D2867">
        <w:t>45</w:t>
      </w:r>
      <w:r>
        <w:t xml:space="preserve"> </w:t>
      </w:r>
      <w:r w:rsidR="003014D4">
        <w:t xml:space="preserve">calendar </w:t>
      </w:r>
      <w:r>
        <w:t xml:space="preserve">days after the </w:t>
      </w:r>
      <w:r w:rsidR="00504CD0">
        <w:t>as-</w:t>
      </w:r>
      <w:proofErr w:type="spellStart"/>
      <w:r w:rsidR="00504CD0">
        <w:t>of</w:t>
      </w:r>
      <w:proofErr w:type="spellEnd"/>
      <w:r w:rsidR="00504CD0">
        <w:t xml:space="preserve"> </w:t>
      </w:r>
      <w:r w:rsidR="0091596C">
        <w:t>date</w:t>
      </w:r>
      <w:r>
        <w:t xml:space="preserve">. </w:t>
      </w:r>
      <w:r w:rsidR="0040195A">
        <w:t xml:space="preserve"> </w:t>
      </w:r>
      <w:r>
        <w:t xml:space="preserve">The annual FR Y-9ES is collected as of December 31 and </w:t>
      </w:r>
      <w:r w:rsidR="004936D9">
        <w:t>the filing deadline is</w:t>
      </w:r>
      <w:r>
        <w:t xml:space="preserve"> July 31, unless an extension is granted for filing by October 15.</w:t>
      </w:r>
    </w:p>
    <w:p w:rsidR="007E0013" w:rsidRDefault="007E0013" w:rsidP="00E20926">
      <w:pPr>
        <w:pStyle w:val="BodyTextIndent"/>
      </w:pPr>
      <w:r>
        <w:t xml:space="preserve"> </w:t>
      </w:r>
    </w:p>
    <w:p w:rsidR="007E0013" w:rsidRDefault="007E0013" w:rsidP="00E20926">
      <w:pPr>
        <w:pStyle w:val="BodyTextIndent"/>
      </w:pPr>
      <w:r>
        <w:t xml:space="preserve">The data from the FR Y-9 </w:t>
      </w:r>
      <w:r w:rsidR="00214A5A">
        <w:t xml:space="preserve">family of </w:t>
      </w:r>
      <w:r>
        <w:t>reports that are not given confidential treatment are available to the public on the FFIEC website (</w:t>
      </w:r>
      <w:r w:rsidR="006B36BC" w:rsidRPr="006B36BC">
        <w:t>www.ffiec.gov/nicpubweb/nicweb/nichome.aspx</w:t>
      </w:r>
      <w:r>
        <w:t xml:space="preserve">) and through the National Technical Information </w:t>
      </w:r>
      <w:r w:rsidR="006044B6">
        <w:t>Service.</w:t>
      </w:r>
      <w:r w:rsidR="00491279">
        <w:t xml:space="preserve">  </w:t>
      </w:r>
    </w:p>
    <w:p w:rsidR="00EB7373" w:rsidRDefault="00EB7373" w:rsidP="008C18A4">
      <w:pPr>
        <w:widowControl/>
        <w:rPr>
          <w:rFonts w:ascii="Times New Roman" w:hAnsi="Times New Roman"/>
          <w:b/>
        </w:rPr>
      </w:pPr>
    </w:p>
    <w:p w:rsidR="00061552" w:rsidRDefault="00061552" w:rsidP="008C18A4">
      <w:pPr>
        <w:widowControl/>
        <w:rPr>
          <w:rFonts w:ascii="Times New Roman" w:hAnsi="Times New Roman"/>
        </w:rPr>
      </w:pPr>
      <w:r>
        <w:rPr>
          <w:rFonts w:ascii="Times New Roman" w:hAnsi="Times New Roman"/>
          <w:b/>
        </w:rPr>
        <w:t>Legal Status</w:t>
      </w:r>
    </w:p>
    <w:p w:rsidR="00061552" w:rsidRDefault="00061552">
      <w:pPr>
        <w:widowControl/>
        <w:rPr>
          <w:rFonts w:ascii="Times New Roman" w:hAnsi="Times New Roman"/>
        </w:rPr>
      </w:pPr>
    </w:p>
    <w:p w:rsidR="0077612D" w:rsidRDefault="006B36BC" w:rsidP="0077612D">
      <w:pPr>
        <w:pStyle w:val="BodyTextIndent"/>
        <w:ind w:firstLine="0"/>
      </w:pPr>
      <w:r>
        <w:tab/>
      </w:r>
      <w:r w:rsidR="00061552">
        <w:t xml:space="preserve">The Board’s Legal Division has </w:t>
      </w:r>
      <w:r w:rsidR="00491279">
        <w:t xml:space="preserve">determined that the FR Y-9 </w:t>
      </w:r>
      <w:r w:rsidR="00214A5A">
        <w:t xml:space="preserve">family of </w:t>
      </w:r>
      <w:r w:rsidR="00061552">
        <w:t xml:space="preserve">reports </w:t>
      </w:r>
      <w:r w:rsidR="00435AE7">
        <w:t xml:space="preserve">is </w:t>
      </w:r>
      <w:r w:rsidR="00061552">
        <w:t>authorized by Section 5(c) o</w:t>
      </w:r>
      <w:r w:rsidR="007A5561">
        <w:t>f the Bank Holding Company Act (</w:t>
      </w:r>
      <w:r w:rsidR="00061552">
        <w:t xml:space="preserve">12 U.S.C. </w:t>
      </w:r>
      <w:r w:rsidR="007A5561">
        <w:t>§1844(c))</w:t>
      </w:r>
      <w:r w:rsidR="00061552">
        <w:t>.</w:t>
      </w:r>
      <w:r w:rsidR="00491279">
        <w:t xml:space="preserve">  </w:t>
      </w:r>
      <w:r w:rsidR="00061552">
        <w:t>Overall,</w:t>
      </w:r>
      <w:r w:rsidR="00E37F76">
        <w:t xml:space="preserve"> </w:t>
      </w:r>
      <w:r w:rsidR="00061552">
        <w:t xml:space="preserve">the </w:t>
      </w:r>
      <w:r w:rsidR="00727D89">
        <w:t xml:space="preserve">Federal Reserve </w:t>
      </w:r>
      <w:r w:rsidR="00061552">
        <w:t xml:space="preserve">does not consider the </w:t>
      </w:r>
      <w:r w:rsidR="007E55BC">
        <w:t xml:space="preserve">financial </w:t>
      </w:r>
      <w:r w:rsidR="00061552">
        <w:t xml:space="preserve">data in these reports to </w:t>
      </w:r>
      <w:r w:rsidR="00C84425">
        <w:t>be confidential.  However, a respondent</w:t>
      </w:r>
      <w:r w:rsidR="00061552">
        <w:t xml:space="preserve"> may request confidential treatment pursuant to section (b</w:t>
      </w:r>
      <w:proofErr w:type="gramStart"/>
      <w:r w:rsidR="00061552">
        <w:t>)(</w:t>
      </w:r>
      <w:proofErr w:type="gramEnd"/>
      <w:r w:rsidR="00061552">
        <w:t xml:space="preserve">4) of the Freedom of </w:t>
      </w:r>
      <w:r w:rsidR="00061552" w:rsidRPr="00A1430D">
        <w:t>Inform</w:t>
      </w:r>
      <w:r w:rsidR="007A5561">
        <w:t>ation Act (5 U.S.C. 552(b)(4))</w:t>
      </w:r>
      <w:r w:rsidR="00C84425" w:rsidRPr="00A1430D">
        <w:t>.</w:t>
      </w:r>
    </w:p>
    <w:p w:rsidR="0077612D" w:rsidRDefault="0077612D" w:rsidP="0077612D">
      <w:pPr>
        <w:pStyle w:val="BodyTextIndent"/>
        <w:ind w:firstLine="0"/>
      </w:pPr>
    </w:p>
    <w:p w:rsidR="00436C23" w:rsidRPr="00E13F4C" w:rsidRDefault="00436C23" w:rsidP="00436C23">
      <w:pPr>
        <w:widowControl/>
        <w:tabs>
          <w:tab w:val="left" w:pos="360"/>
        </w:tabs>
        <w:rPr>
          <w:rFonts w:ascii="Times New Roman" w:hAnsi="Times New Roman"/>
        </w:rPr>
      </w:pPr>
      <w:r w:rsidRPr="00E13F4C">
        <w:rPr>
          <w:rFonts w:ascii="Times New Roman" w:hAnsi="Times New Roman"/>
          <w:b/>
          <w:bCs/>
        </w:rPr>
        <w:t xml:space="preserve">Consultation </w:t>
      </w:r>
      <w:proofErr w:type="gramStart"/>
      <w:r w:rsidRPr="00E13F4C">
        <w:rPr>
          <w:rFonts w:ascii="Times New Roman" w:hAnsi="Times New Roman"/>
          <w:b/>
          <w:bCs/>
        </w:rPr>
        <w:t>Outside</w:t>
      </w:r>
      <w:proofErr w:type="gramEnd"/>
      <w:r w:rsidRPr="00E13F4C">
        <w:rPr>
          <w:rFonts w:ascii="Times New Roman" w:hAnsi="Times New Roman"/>
          <w:b/>
          <w:bCs/>
        </w:rPr>
        <w:t xml:space="preserve"> the Agency and Discussion of Public Comments</w:t>
      </w:r>
    </w:p>
    <w:p w:rsidR="00C660F8" w:rsidRDefault="00C660F8" w:rsidP="0077612D">
      <w:pPr>
        <w:widowControl/>
        <w:ind w:firstLine="720"/>
        <w:rPr>
          <w:rFonts w:ascii="Times New Roman" w:hAnsi="Times New Roman"/>
          <w:szCs w:val="24"/>
        </w:rPr>
      </w:pPr>
    </w:p>
    <w:p w:rsidR="00436C23" w:rsidRPr="005F7347" w:rsidRDefault="00BC3278" w:rsidP="00BC3278">
      <w:pPr>
        <w:widowControl/>
        <w:tabs>
          <w:tab w:val="left" w:pos="-720"/>
          <w:tab w:val="left" w:pos="0"/>
          <w:tab w:val="left" w:pos="720"/>
          <w:tab w:val="left" w:pos="1440"/>
          <w:tab w:val="left" w:pos="2160"/>
          <w:tab w:val="left" w:pos="2880"/>
          <w:tab w:val="left" w:pos="3600"/>
          <w:tab w:val="left" w:pos="4320"/>
        </w:tabs>
        <w:autoSpaceDE w:val="0"/>
        <w:autoSpaceDN w:val="0"/>
        <w:adjustRightInd w:val="0"/>
        <w:rPr>
          <w:rFonts w:ascii="Times New Roman" w:hAnsi="Times New Roman"/>
          <w:bCs/>
          <w:snapToGrid/>
          <w:szCs w:val="24"/>
        </w:rPr>
      </w:pPr>
      <w:r>
        <w:rPr>
          <w:rFonts w:ascii="Times New Roman" w:hAnsi="Times New Roman"/>
          <w:szCs w:val="24"/>
        </w:rPr>
        <w:tab/>
      </w:r>
      <w:r w:rsidR="0077612D" w:rsidRPr="00D16820">
        <w:rPr>
          <w:rFonts w:ascii="Times New Roman" w:hAnsi="Times New Roman"/>
          <w:szCs w:val="24"/>
        </w:rPr>
        <w:t xml:space="preserve">On November 3, 2010, the Federal Reserve published a notice </w:t>
      </w:r>
      <w:r w:rsidR="00436C23" w:rsidRPr="00D16820">
        <w:rPr>
          <w:rFonts w:ascii="Times New Roman" w:hAnsi="Times New Roman"/>
          <w:szCs w:val="24"/>
        </w:rPr>
        <w:t xml:space="preserve">for comment </w:t>
      </w:r>
      <w:r w:rsidR="0077612D" w:rsidRPr="00D16820">
        <w:rPr>
          <w:rFonts w:ascii="Times New Roman" w:hAnsi="Times New Roman"/>
          <w:szCs w:val="24"/>
        </w:rPr>
        <w:t xml:space="preserve">in the </w:t>
      </w:r>
      <w:r w:rsidR="0077612D" w:rsidRPr="00D16820">
        <w:rPr>
          <w:rFonts w:ascii="Times New Roman" w:hAnsi="Times New Roman"/>
          <w:i/>
          <w:iCs/>
          <w:szCs w:val="24"/>
        </w:rPr>
        <w:t xml:space="preserve">Federal Register </w:t>
      </w:r>
      <w:r w:rsidR="0077612D" w:rsidRPr="00D16820">
        <w:rPr>
          <w:rFonts w:ascii="Times New Roman" w:hAnsi="Times New Roman"/>
          <w:szCs w:val="24"/>
        </w:rPr>
        <w:t xml:space="preserve">(75 FR 67721) </w:t>
      </w:r>
      <w:r w:rsidR="00436C23" w:rsidRPr="00BC3278">
        <w:rPr>
          <w:rFonts w:ascii="Times New Roman" w:hAnsi="Times New Roman"/>
          <w:szCs w:val="24"/>
        </w:rPr>
        <w:t xml:space="preserve">and received </w:t>
      </w:r>
      <w:r w:rsidRPr="00BC3278">
        <w:rPr>
          <w:rFonts w:ascii="Times New Roman" w:hAnsi="Times New Roman"/>
          <w:bCs/>
          <w:szCs w:val="24"/>
        </w:rPr>
        <w:t xml:space="preserve">two comment letters from bankers’ organizations on proposed revisions to the FR Y-9C and FR Y-9LP.  </w:t>
      </w:r>
      <w:r w:rsidRPr="00BC3278">
        <w:rPr>
          <w:rFonts w:ascii="Times New Roman" w:hAnsi="Times New Roman"/>
          <w:szCs w:val="24"/>
        </w:rPr>
        <w:t xml:space="preserve">In addition, the </w:t>
      </w:r>
      <w:r w:rsidR="00FA74C9" w:rsidRPr="00FA74C9">
        <w:rPr>
          <w:rFonts w:ascii="Times New Roman" w:hAnsi="Times New Roman"/>
          <w:szCs w:val="24"/>
        </w:rPr>
        <w:t>banking agencies</w:t>
      </w:r>
      <w:r w:rsidR="00FA74C9">
        <w:rPr>
          <w:rFonts w:ascii="Times New Roman" w:hAnsi="Times New Roman"/>
          <w:szCs w:val="24"/>
        </w:rPr>
        <w:t xml:space="preserve"> </w:t>
      </w:r>
      <w:r w:rsidRPr="00BC3278">
        <w:rPr>
          <w:rFonts w:ascii="Times New Roman" w:hAnsi="Times New Roman"/>
          <w:szCs w:val="24"/>
        </w:rPr>
        <w:t xml:space="preserve">received comment letters from nine organizations:  three banks, three bankers’ organizations, two bank insurance consultants, and an insurance company on proposed changes to the Call Report, which parallel proposed changes to the FR Y-9C and are taken into consideration for this proposal.  </w:t>
      </w:r>
      <w:r w:rsidR="0077612D" w:rsidRPr="00D16820">
        <w:rPr>
          <w:rFonts w:ascii="Times New Roman" w:hAnsi="Times New Roman"/>
          <w:szCs w:val="24"/>
        </w:rPr>
        <w:t>The comment period for this notice</w:t>
      </w:r>
      <w:r w:rsidR="001E33E4" w:rsidRPr="00D16820">
        <w:rPr>
          <w:rFonts w:ascii="Times New Roman" w:hAnsi="Times New Roman"/>
          <w:szCs w:val="24"/>
        </w:rPr>
        <w:t xml:space="preserve"> </w:t>
      </w:r>
      <w:r w:rsidR="00DE2F09" w:rsidRPr="00D16820">
        <w:rPr>
          <w:rFonts w:ascii="Times New Roman" w:hAnsi="Times New Roman"/>
          <w:szCs w:val="24"/>
        </w:rPr>
        <w:t>expire</w:t>
      </w:r>
      <w:r w:rsidR="00436C23" w:rsidRPr="00D16820">
        <w:rPr>
          <w:rFonts w:ascii="Times New Roman" w:hAnsi="Times New Roman"/>
          <w:szCs w:val="24"/>
        </w:rPr>
        <w:t>d</w:t>
      </w:r>
      <w:r w:rsidR="00DE2F09" w:rsidRPr="00D16820">
        <w:rPr>
          <w:rFonts w:ascii="Times New Roman" w:hAnsi="Times New Roman"/>
          <w:szCs w:val="24"/>
        </w:rPr>
        <w:t xml:space="preserve"> </w:t>
      </w:r>
      <w:r w:rsidR="0077612D" w:rsidRPr="00D16820">
        <w:rPr>
          <w:rFonts w:ascii="Times New Roman" w:hAnsi="Times New Roman"/>
          <w:szCs w:val="24"/>
        </w:rPr>
        <w:t>on January 3, 2011</w:t>
      </w:r>
      <w:r w:rsidR="0077612D" w:rsidRPr="005F7347">
        <w:rPr>
          <w:rFonts w:ascii="Times New Roman" w:hAnsi="Times New Roman"/>
          <w:szCs w:val="24"/>
        </w:rPr>
        <w:t>.</w:t>
      </w:r>
      <w:r w:rsidRPr="005F7347">
        <w:rPr>
          <w:rFonts w:ascii="Times New Roman" w:hAnsi="Times New Roman"/>
          <w:szCs w:val="24"/>
        </w:rPr>
        <w:t xml:space="preserve">  </w:t>
      </w:r>
      <w:r w:rsidR="00436C23" w:rsidRPr="005F7347">
        <w:rPr>
          <w:rFonts w:ascii="Times New Roman" w:hAnsi="Times New Roman"/>
        </w:rPr>
        <w:t xml:space="preserve">On </w:t>
      </w:r>
      <w:r w:rsidRPr="005F7347">
        <w:rPr>
          <w:rFonts w:ascii="Times New Roman" w:hAnsi="Times New Roman"/>
        </w:rPr>
        <w:t>March 2</w:t>
      </w:r>
      <w:r w:rsidR="00436C23" w:rsidRPr="005F7347">
        <w:rPr>
          <w:rFonts w:ascii="Times New Roman" w:hAnsi="Times New Roman"/>
        </w:rPr>
        <w:t>, 2011, the Federal Reserve publis</w:t>
      </w:r>
      <w:r w:rsidR="007369BD">
        <w:rPr>
          <w:rFonts w:ascii="Times New Roman" w:hAnsi="Times New Roman"/>
        </w:rPr>
        <w:t xml:space="preserve">hed a final notice in the </w:t>
      </w:r>
      <w:r w:rsidR="007369BD">
        <w:rPr>
          <w:rFonts w:ascii="Times New Roman" w:hAnsi="Times New Roman"/>
          <w:i/>
        </w:rPr>
        <w:t>Federal Register</w:t>
      </w:r>
      <w:r w:rsidR="007369BD">
        <w:rPr>
          <w:rFonts w:ascii="Times New Roman" w:hAnsi="Times New Roman"/>
        </w:rPr>
        <w:t xml:space="preserve"> (76 FR 11474) on the</w:t>
      </w:r>
      <w:r w:rsidRPr="005F7347">
        <w:rPr>
          <w:rFonts w:ascii="Helv" w:hAnsi="Helv" w:cs="Helv"/>
          <w:b/>
          <w:bCs/>
          <w:snapToGrid/>
          <w:szCs w:val="24"/>
        </w:rPr>
        <w:t xml:space="preserve"> </w:t>
      </w:r>
      <w:r w:rsidRPr="005F7347">
        <w:rPr>
          <w:rFonts w:ascii="Times New Roman" w:hAnsi="Times New Roman"/>
          <w:bCs/>
          <w:snapToGrid/>
          <w:szCs w:val="24"/>
        </w:rPr>
        <w:t>FR Y-9C and LP</w:t>
      </w:r>
      <w:r w:rsidR="00436C23" w:rsidRPr="005F7347">
        <w:rPr>
          <w:rFonts w:ascii="Times New Roman" w:hAnsi="Times New Roman"/>
        </w:rPr>
        <w:t>, including a more detailed discussion of the comments received.</w:t>
      </w:r>
    </w:p>
    <w:p w:rsidR="00436C23" w:rsidRPr="005F7347" w:rsidRDefault="00436C23" w:rsidP="00436C23">
      <w:pPr>
        <w:ind w:firstLine="720"/>
        <w:jc w:val="both"/>
        <w:rPr>
          <w:rFonts w:ascii="Times New Roman" w:hAnsi="Times New Roman"/>
        </w:rPr>
      </w:pPr>
    </w:p>
    <w:p w:rsidR="00FA74C9" w:rsidRDefault="00436C23" w:rsidP="00FA74C9">
      <w:pPr>
        <w:rPr>
          <w:rFonts w:ascii="Times New Roman" w:hAnsi="Times New Roman"/>
        </w:rPr>
      </w:pPr>
      <w:r w:rsidRPr="00094DEB">
        <w:rPr>
          <w:rFonts w:ascii="Times New Roman" w:hAnsi="Times New Roman"/>
          <w:b/>
        </w:rPr>
        <w:t>Public Comments:</w:t>
      </w:r>
      <w:r w:rsidR="00FA74C9">
        <w:rPr>
          <w:rFonts w:ascii="Times New Roman" w:hAnsi="Times New Roman"/>
        </w:rPr>
        <w:t xml:space="preserve">    </w:t>
      </w:r>
      <w:r w:rsidR="00FA74C9" w:rsidRPr="00FA74C9">
        <w:rPr>
          <w:rFonts w:ascii="Times New Roman" w:hAnsi="Times New Roman"/>
        </w:rPr>
        <w:t xml:space="preserve">The banking agencies received comments from three bankers’ associations on the proposed additional detail in the Call Report on loans that have undergone troubled debt restructurings, comparable to the proposed changes to the FR Y-9C.  Two of the commenters recommended the banking agencies defer the proposed troubled debt restructuring revisions, including the new breakdowns by loan category, until the FASB finalizes proposed clarifications to the accounting for troubled debt restructurings by creditors.  In addition, two of the bankers’ associations recommended </w:t>
      </w:r>
      <w:r w:rsidR="00FA74C9" w:rsidRPr="00FA74C9">
        <w:rPr>
          <w:rFonts w:ascii="Times New Roman" w:hAnsi="Times New Roman"/>
        </w:rPr>
        <w:lastRenderedPageBreak/>
        <w:t>retaining the term “restructured” in the caption titles instead of changing to the term “troubled debt restructurings,” stating that changing this term would result in the collection of only a subset of total restructurings and would misrepresent banks’ efforts to work with their customers.</w:t>
      </w:r>
    </w:p>
    <w:p w:rsidR="00AD158C" w:rsidRDefault="00AD158C" w:rsidP="00FA74C9">
      <w:pPr>
        <w:rPr>
          <w:szCs w:val="24"/>
        </w:rPr>
      </w:pPr>
    </w:p>
    <w:p w:rsidR="00226B4F" w:rsidRDefault="00226B4F" w:rsidP="00226B4F">
      <w:pPr>
        <w:ind w:firstLine="720"/>
        <w:rPr>
          <w:rFonts w:ascii="Times New Roman" w:hAnsi="Times New Roman"/>
        </w:rPr>
      </w:pPr>
      <w:r w:rsidRPr="00687890">
        <w:rPr>
          <w:rFonts w:ascii="Times New Roman" w:hAnsi="Times New Roman"/>
        </w:rPr>
        <w:t xml:space="preserve">The banking agencies received three comments from banks and one comment from a bankers’ association addressing the proposed revision to separately collect information on automobile loans in the Call Report schedules containing loan category data, comparable to the proposed changes to the FR Y-9C.  The three banks requested an exemption from the proposed reporting requirements for smaller banks, with one of the banks seeking the exemption only for reporting auto loan interest income and quarterly averages.  The bankers’ association stated that this revision should not create a significant burden for future loans because core data processors generally have the ability to break out loan types, but it also asked for clarification on the reporting for situations in which auto loans are extended for multiple purposes.  In addition, the bankers’ association observed that some community banks do not have data readily available on the types or purposes of existing consumer loans, which would prevent them from determining the purpose of loans collateralized by autos, i.e., for the purchase of the auto or for some other purpose, without searching paper loan files. </w:t>
      </w:r>
    </w:p>
    <w:p w:rsidR="00687890" w:rsidRDefault="00687890" w:rsidP="00226B4F">
      <w:pPr>
        <w:ind w:firstLine="720"/>
        <w:rPr>
          <w:rFonts w:ascii="Times New Roman" w:hAnsi="Times New Roman"/>
        </w:rPr>
      </w:pPr>
    </w:p>
    <w:p w:rsidR="00687890" w:rsidRPr="00687890" w:rsidRDefault="00687890" w:rsidP="00687890">
      <w:pPr>
        <w:ind w:firstLine="720"/>
        <w:rPr>
          <w:rFonts w:ascii="Times New Roman" w:hAnsi="Times New Roman"/>
        </w:rPr>
      </w:pPr>
      <w:r w:rsidRPr="00687890">
        <w:rPr>
          <w:rFonts w:ascii="Times New Roman" w:hAnsi="Times New Roman"/>
        </w:rPr>
        <w:t xml:space="preserve">The banking agencies received one comment from a bankers’ association that addressed proposed Call Report Schedule RC-V, which is comparable to proposed FR Y-9C Schedule HC-V.  The bankers’ association recommended a delayed effective date to allow sufficient time for systems modifications.  </w:t>
      </w:r>
    </w:p>
    <w:p w:rsidR="00687890" w:rsidRDefault="00687890" w:rsidP="00687890"/>
    <w:p w:rsidR="00687890" w:rsidRDefault="00687890" w:rsidP="00687890">
      <w:pPr>
        <w:ind w:firstLine="720"/>
        <w:rPr>
          <w:rFonts w:ascii="Times New Roman" w:hAnsi="Times New Roman"/>
        </w:rPr>
      </w:pPr>
      <w:r w:rsidRPr="00687890">
        <w:rPr>
          <w:rFonts w:ascii="Times New Roman" w:hAnsi="Times New Roman"/>
        </w:rPr>
        <w:t xml:space="preserve">The banking agencies received comments from two insurance consultants and an insurance company supporting the proposed revision to provide a breakdown of life insurance assets by type of policy on the Call Report, comparable to the proposed changes to the FR Y-9C described above.  However, all three commenters noted that the evolution of life insurance products in recent years has led to a third type of policy becoming more prevalent in the banking industry:  hybrid accounts.  Such accounts combine features of general and separate account products by providing the additional asset protection offered by separate accounts while also providing a guaranteed minimum interest-crediting rate, which is common to general accounts.  They recommended that the proposal be revised from a two-way to a three-way breakdown of life insurance assets or, although not the preferable approach, advise banking institutions with hybrid account life insurance assets to report them together with general account life insurance assets because they have more general account characteristics.  </w:t>
      </w:r>
    </w:p>
    <w:p w:rsidR="00AD158C" w:rsidRDefault="00AD158C" w:rsidP="00687890">
      <w:pPr>
        <w:ind w:firstLine="720"/>
        <w:rPr>
          <w:rFonts w:ascii="Times New Roman" w:hAnsi="Times New Roman"/>
        </w:rPr>
      </w:pPr>
    </w:p>
    <w:p w:rsidR="00AD158C" w:rsidRDefault="00AD158C" w:rsidP="00AD158C">
      <w:pPr>
        <w:ind w:firstLine="720"/>
        <w:rPr>
          <w:rFonts w:ascii="Times New Roman" w:hAnsi="Times New Roman"/>
          <w:bCs/>
        </w:rPr>
      </w:pPr>
      <w:r w:rsidRPr="00AD158C">
        <w:rPr>
          <w:rFonts w:ascii="Times New Roman" w:hAnsi="Times New Roman"/>
        </w:rPr>
        <w:t xml:space="preserve">The banking agencies received one comment from a bankers’ association on the proposed guidance on the </w:t>
      </w:r>
      <w:r w:rsidRPr="00AD158C">
        <w:rPr>
          <w:rFonts w:ascii="Times New Roman" w:hAnsi="Times New Roman"/>
          <w:bCs/>
        </w:rPr>
        <w:t xml:space="preserve">reporting of 1-4 family residential mortgages held for trading in Call Report Schedule RC-P, comparable to the proposed guidance to the FR Y-9C described above.  The commenter supported the proposed clarification and requested further clarification on the reporting of repurchases and indemnifications in this schedule.  The commenter suggested separate reporting of loan repurchases from indemnifications for all </w:t>
      </w:r>
      <w:proofErr w:type="spellStart"/>
      <w:r w:rsidRPr="00AD158C">
        <w:rPr>
          <w:rFonts w:ascii="Times New Roman" w:hAnsi="Times New Roman"/>
          <w:bCs/>
        </w:rPr>
        <w:t>subitems</w:t>
      </w:r>
      <w:proofErr w:type="spellEnd"/>
      <w:r w:rsidRPr="00AD158C">
        <w:rPr>
          <w:rFonts w:ascii="Times New Roman" w:hAnsi="Times New Roman"/>
          <w:bCs/>
        </w:rPr>
        <w:t xml:space="preserve"> of Call Report Schedule RC-P, item 6, “Repurchases and indemnifications of 1-4 family residential mortgage loans during the quarter.”</w:t>
      </w:r>
    </w:p>
    <w:p w:rsidR="00AD158C" w:rsidRDefault="00AD158C" w:rsidP="00AD158C">
      <w:pPr>
        <w:ind w:firstLine="720"/>
        <w:rPr>
          <w:rFonts w:ascii="Times New Roman" w:hAnsi="Times New Roman"/>
          <w:bCs/>
        </w:rPr>
      </w:pPr>
    </w:p>
    <w:p w:rsidR="00AD158C" w:rsidRDefault="00AD158C" w:rsidP="00AD158C">
      <w:pPr>
        <w:ind w:firstLine="720"/>
        <w:rPr>
          <w:rFonts w:ascii="Times New Roman" w:hAnsi="Times New Roman"/>
        </w:rPr>
      </w:pPr>
      <w:r w:rsidRPr="00AD158C">
        <w:rPr>
          <w:rFonts w:ascii="Times New Roman" w:hAnsi="Times New Roman"/>
        </w:rPr>
        <w:t>The banking agencies received comments from two bankers’ associations on the proposed FR Y-9C</w:t>
      </w:r>
      <w:r w:rsidR="007369BD">
        <w:rPr>
          <w:rFonts w:ascii="Times New Roman" w:hAnsi="Times New Roman"/>
        </w:rPr>
        <w:t xml:space="preserve"> instructional revision </w:t>
      </w:r>
      <w:r w:rsidRPr="00AD158C">
        <w:rPr>
          <w:rFonts w:ascii="Times New Roman" w:hAnsi="Times New Roman"/>
        </w:rPr>
        <w:t xml:space="preserve">for reporting maturity and </w:t>
      </w:r>
      <w:proofErr w:type="spellStart"/>
      <w:r w:rsidRPr="00AD158C">
        <w:rPr>
          <w:rFonts w:ascii="Times New Roman" w:hAnsi="Times New Roman"/>
        </w:rPr>
        <w:t>repricing</w:t>
      </w:r>
      <w:proofErr w:type="spellEnd"/>
      <w:r w:rsidRPr="00AD158C">
        <w:rPr>
          <w:rFonts w:ascii="Times New Roman" w:hAnsi="Times New Roman"/>
        </w:rPr>
        <w:t xml:space="preserve"> data in Schedule HC-B, Securities.</w:t>
      </w:r>
      <w:r>
        <w:t xml:space="preserve">  </w:t>
      </w:r>
      <w:r w:rsidRPr="00AD158C">
        <w:rPr>
          <w:rFonts w:ascii="Times New Roman" w:hAnsi="Times New Roman"/>
        </w:rPr>
        <w:t xml:space="preserve">One bankers’ association recommended the banking agencies adopt their proposed approach only for floating rate loans reported in Schedule RC-C, part I.  This bankers’ association opposed extending the same </w:t>
      </w:r>
      <w:r w:rsidRPr="00AD158C">
        <w:rPr>
          <w:rFonts w:ascii="Times New Roman" w:hAnsi="Times New Roman"/>
        </w:rPr>
        <w:lastRenderedPageBreak/>
        <w:t xml:space="preserve">proposed approach to the other three Call Report schedules in which </w:t>
      </w:r>
      <w:proofErr w:type="spellStart"/>
      <w:r w:rsidRPr="00AD158C">
        <w:rPr>
          <w:rFonts w:ascii="Times New Roman" w:hAnsi="Times New Roman"/>
        </w:rPr>
        <w:t>repricing</w:t>
      </w:r>
      <w:proofErr w:type="spellEnd"/>
      <w:r w:rsidRPr="00AD158C">
        <w:rPr>
          <w:rFonts w:ascii="Times New Roman" w:hAnsi="Times New Roman"/>
        </w:rPr>
        <w:t xml:space="preserve"> data are reported for certain other floating rate instruments because its “members believe that not enough research has been completed” to understand the effect of the proposed instructional change on how these other instruments would be reported.  The other bankers’ association recommended against proceeding with the proposed instructional change because of the implementation burden associated with the multiple systems that would need to be revised.  This association also observed that the revised information for floating rate instruments at contractual ceilings and floors would be commingled with the maturity and </w:t>
      </w:r>
      <w:proofErr w:type="spellStart"/>
      <w:r w:rsidRPr="00AD158C">
        <w:rPr>
          <w:rFonts w:ascii="Times New Roman" w:hAnsi="Times New Roman"/>
        </w:rPr>
        <w:t>repricing</w:t>
      </w:r>
      <w:proofErr w:type="spellEnd"/>
      <w:r w:rsidRPr="00AD158C">
        <w:rPr>
          <w:rFonts w:ascii="Times New Roman" w:hAnsi="Times New Roman"/>
        </w:rPr>
        <w:t xml:space="preserve"> information for all of the other instruments in the same asset or liability category.  </w:t>
      </w:r>
    </w:p>
    <w:p w:rsidR="00265108" w:rsidRDefault="00265108" w:rsidP="00AD158C">
      <w:pPr>
        <w:ind w:firstLine="720"/>
        <w:rPr>
          <w:rFonts w:ascii="Times New Roman" w:hAnsi="Times New Roman"/>
        </w:rPr>
      </w:pPr>
    </w:p>
    <w:p w:rsidR="00265108" w:rsidRPr="00265108" w:rsidRDefault="00265108" w:rsidP="00AD158C">
      <w:pPr>
        <w:ind w:firstLine="720"/>
        <w:rPr>
          <w:rFonts w:ascii="Times New Roman" w:hAnsi="Times New Roman"/>
        </w:rPr>
      </w:pPr>
      <w:r w:rsidRPr="00265108">
        <w:rPr>
          <w:rFonts w:ascii="Times New Roman" w:hAnsi="Times New Roman"/>
        </w:rPr>
        <w:t>Like their comments to proposed revisions to the FR Y-9C, two bankers’ associations commented that the Federal Reserve should defer proposed FR Y-9LP instructional modifications until the FASB finalizes proposed clarifications to the accounting for troubled debt restructurings by creditors.</w:t>
      </w:r>
    </w:p>
    <w:p w:rsidR="0033008E" w:rsidRDefault="0033008E">
      <w:pPr>
        <w:widowControl/>
        <w:rPr>
          <w:rFonts w:ascii="Times New Roman" w:hAnsi="Times New Roman"/>
        </w:rPr>
      </w:pPr>
    </w:p>
    <w:p w:rsidR="00436C23" w:rsidRDefault="00436C23" w:rsidP="00436C23">
      <w:pPr>
        <w:ind w:firstLine="720"/>
        <w:jc w:val="both"/>
        <w:rPr>
          <w:rFonts w:ascii="Times New Roman" w:hAnsi="Times New Roman"/>
        </w:rPr>
      </w:pPr>
      <w:r w:rsidRPr="003571A3">
        <w:rPr>
          <w:rFonts w:ascii="Times New Roman" w:hAnsi="Times New Roman"/>
        </w:rPr>
        <w:t xml:space="preserve">In summary, after considering the comments received on the proposed </w:t>
      </w:r>
      <w:r w:rsidR="00177929">
        <w:rPr>
          <w:rFonts w:ascii="Times New Roman" w:hAnsi="Times New Roman"/>
        </w:rPr>
        <w:t>FR Y-9C and FR Y-9LP and</w:t>
      </w:r>
      <w:r w:rsidRPr="003571A3">
        <w:rPr>
          <w:rFonts w:ascii="Times New Roman" w:hAnsi="Times New Roman"/>
        </w:rPr>
        <w:t xml:space="preserve"> revisions, the </w:t>
      </w:r>
      <w:r w:rsidR="00177929">
        <w:rPr>
          <w:rFonts w:ascii="Times New Roman" w:hAnsi="Times New Roman"/>
        </w:rPr>
        <w:t>Federal Reserve</w:t>
      </w:r>
      <w:r w:rsidRPr="003571A3">
        <w:rPr>
          <w:rFonts w:ascii="Times New Roman" w:hAnsi="Times New Roman"/>
        </w:rPr>
        <w:t xml:space="preserve"> plan</w:t>
      </w:r>
      <w:r w:rsidR="00177929">
        <w:rPr>
          <w:rFonts w:ascii="Times New Roman" w:hAnsi="Times New Roman"/>
        </w:rPr>
        <w:t>s</w:t>
      </w:r>
      <w:r w:rsidRPr="003571A3">
        <w:rPr>
          <w:rFonts w:ascii="Times New Roman" w:hAnsi="Times New Roman"/>
        </w:rPr>
        <w:t xml:space="preserve"> to move forward as of the March 31, 2011, report date with most, but not all, of the proposed reporting changes after making certain modifications in response to the comments.  The </w:t>
      </w:r>
      <w:r w:rsidR="00A26FA3">
        <w:rPr>
          <w:rFonts w:ascii="Times New Roman" w:hAnsi="Times New Roman"/>
        </w:rPr>
        <w:t xml:space="preserve">Federal Reserve </w:t>
      </w:r>
      <w:r w:rsidRPr="003571A3">
        <w:rPr>
          <w:rFonts w:ascii="Times New Roman" w:hAnsi="Times New Roman"/>
        </w:rPr>
        <w:t xml:space="preserve">will not implement the items for interest income and quarterly averages for automobile loans as had been proposed, but will add items for automobile loans to the other </w:t>
      </w:r>
      <w:r w:rsidR="00177929">
        <w:rPr>
          <w:rFonts w:ascii="Times New Roman" w:hAnsi="Times New Roman"/>
        </w:rPr>
        <w:t>FR Y-9C</w:t>
      </w:r>
      <w:r w:rsidRPr="003571A3">
        <w:rPr>
          <w:rFonts w:ascii="Times New Roman" w:hAnsi="Times New Roman"/>
        </w:rPr>
        <w:t xml:space="preserve"> schedules for which this revision had been proposed.  After evaluating the automobile loan data that banks report, the </w:t>
      </w:r>
      <w:r w:rsidR="00177929">
        <w:rPr>
          <w:rFonts w:ascii="Times New Roman" w:hAnsi="Times New Roman"/>
        </w:rPr>
        <w:t>Federal Reserve</w:t>
      </w:r>
      <w:r w:rsidRPr="003571A3">
        <w:rPr>
          <w:rFonts w:ascii="Times New Roman" w:hAnsi="Times New Roman"/>
        </w:rPr>
        <w:t xml:space="preserve"> may propose in the future to collect interest income and quarterly averages for such loans.  </w:t>
      </w:r>
      <w:r w:rsidR="00177929">
        <w:rPr>
          <w:rFonts w:ascii="Times New Roman" w:hAnsi="Times New Roman"/>
        </w:rPr>
        <w:t xml:space="preserve">The Federal Reserve also is not proceeding with a </w:t>
      </w:r>
      <w:r w:rsidRPr="003571A3">
        <w:rPr>
          <w:rFonts w:ascii="Times New Roman" w:hAnsi="Times New Roman"/>
        </w:rPr>
        <w:t xml:space="preserve">proposed instructional change that would have revised the treatment of assets and liabilities whose interest rates have reached contractual ceilings or floors when reporting </w:t>
      </w:r>
      <w:proofErr w:type="spellStart"/>
      <w:r w:rsidRPr="003571A3">
        <w:rPr>
          <w:rFonts w:ascii="Times New Roman" w:hAnsi="Times New Roman"/>
        </w:rPr>
        <w:t>repricing</w:t>
      </w:r>
      <w:proofErr w:type="spellEnd"/>
      <w:r w:rsidRPr="003571A3">
        <w:rPr>
          <w:rFonts w:ascii="Times New Roman" w:hAnsi="Times New Roman"/>
        </w:rPr>
        <w:t xml:space="preserve"> data.  The proposed breakdown of life insurance assets into general and separate account assets will be modified to also include a category for hybrid account assets.  </w:t>
      </w:r>
    </w:p>
    <w:p w:rsidR="00436C23" w:rsidRDefault="00436C23" w:rsidP="00436C23">
      <w:pPr>
        <w:ind w:firstLine="720"/>
        <w:jc w:val="both"/>
        <w:rPr>
          <w:rFonts w:ascii="Times New Roman" w:hAnsi="Times New Roman"/>
          <w:highlight w:val="yellow"/>
        </w:rPr>
      </w:pPr>
    </w:p>
    <w:p w:rsidR="00436C23" w:rsidRDefault="00177929" w:rsidP="00436C23">
      <w:pPr>
        <w:ind w:firstLine="720"/>
        <w:jc w:val="both"/>
        <w:rPr>
          <w:rFonts w:ascii="Times New Roman" w:hAnsi="Times New Roman"/>
        </w:rPr>
      </w:pPr>
      <w:r>
        <w:rPr>
          <w:rFonts w:ascii="Times New Roman" w:hAnsi="Times New Roman"/>
        </w:rPr>
        <w:t>The Federal Reserve</w:t>
      </w:r>
      <w:r w:rsidR="00436C23" w:rsidRPr="003571A3">
        <w:rPr>
          <w:rFonts w:ascii="Times New Roman" w:hAnsi="Times New Roman"/>
        </w:rPr>
        <w:t xml:space="preserve"> recognize</w:t>
      </w:r>
      <w:r>
        <w:rPr>
          <w:rFonts w:ascii="Times New Roman" w:hAnsi="Times New Roman"/>
        </w:rPr>
        <w:t>s</w:t>
      </w:r>
      <w:r w:rsidR="00436C23" w:rsidRPr="003571A3">
        <w:rPr>
          <w:rFonts w:ascii="Times New Roman" w:hAnsi="Times New Roman"/>
        </w:rPr>
        <w:t xml:space="preserve"> institutions’ need for lead time to prepare for reporting changes.  Thus, consistent with longstanding practice, for the March 31, 2011, report date, banks may provide reasonable estimates fo</w:t>
      </w:r>
      <w:r>
        <w:rPr>
          <w:rFonts w:ascii="Times New Roman" w:hAnsi="Times New Roman"/>
        </w:rPr>
        <w:t xml:space="preserve">r any new or revised FR Y-9C </w:t>
      </w:r>
      <w:r w:rsidR="00436C23" w:rsidRPr="003571A3">
        <w:rPr>
          <w:rFonts w:ascii="Times New Roman" w:hAnsi="Times New Roman"/>
        </w:rPr>
        <w:t>item initially required to be reported as of that date for which the requested information is not readily available.  Furthermore, the specific wording of the captions for</w:t>
      </w:r>
      <w:r>
        <w:rPr>
          <w:rFonts w:ascii="Times New Roman" w:hAnsi="Times New Roman"/>
        </w:rPr>
        <w:t xml:space="preserve"> the new or revised FR Y-9C </w:t>
      </w:r>
      <w:r w:rsidR="00436C23" w:rsidRPr="003571A3">
        <w:rPr>
          <w:rFonts w:ascii="Times New Roman" w:hAnsi="Times New Roman"/>
        </w:rPr>
        <w:t xml:space="preserve">data items and the numbering of these data items discussed in this notice should be regarded as preliminary.  </w:t>
      </w:r>
    </w:p>
    <w:p w:rsidR="0020361A" w:rsidRDefault="0020361A">
      <w:pPr>
        <w:keepNext/>
        <w:keepLines/>
        <w:widowControl/>
        <w:rPr>
          <w:rFonts w:ascii="Times New Roman" w:hAnsi="Times New Roman"/>
        </w:rPr>
      </w:pPr>
      <w:r>
        <w:rPr>
          <w:rFonts w:ascii="Times New Roman" w:hAnsi="Times New Roman"/>
        </w:rPr>
        <w:tab/>
      </w:r>
    </w:p>
    <w:p w:rsidR="0020361A" w:rsidRDefault="0020361A">
      <w:pPr>
        <w:keepNext/>
        <w:keepLines/>
        <w:widowControl/>
        <w:rPr>
          <w:rFonts w:ascii="Times New Roman" w:hAnsi="Times New Roman"/>
        </w:rPr>
      </w:pPr>
      <w:r>
        <w:rPr>
          <w:rFonts w:ascii="Times New Roman" w:hAnsi="Times New Roman"/>
        </w:rPr>
        <w:tab/>
      </w:r>
      <w:r w:rsidR="00436C23">
        <w:rPr>
          <w:rFonts w:ascii="Times New Roman" w:hAnsi="Times New Roman"/>
        </w:rPr>
        <w:t xml:space="preserve">For a more detailed discussion of the changes proposed, the comments received, and the </w:t>
      </w:r>
      <w:r w:rsidR="006B7527">
        <w:rPr>
          <w:rFonts w:ascii="Times New Roman" w:hAnsi="Times New Roman"/>
        </w:rPr>
        <w:t>Federal Reserve’s response</w:t>
      </w:r>
      <w:r w:rsidR="00436C23">
        <w:rPr>
          <w:rFonts w:ascii="Times New Roman" w:hAnsi="Times New Roman"/>
        </w:rPr>
        <w:t xml:space="preserve">, please refer to the “Current Actions” section of the final </w:t>
      </w:r>
      <w:r w:rsidR="00436C23">
        <w:rPr>
          <w:rFonts w:ascii="Times New Roman" w:hAnsi="Times New Roman"/>
          <w:i/>
        </w:rPr>
        <w:t>Federal Register</w:t>
      </w:r>
      <w:r w:rsidR="00436C23">
        <w:rPr>
          <w:rFonts w:ascii="Times New Roman" w:hAnsi="Times New Roman"/>
        </w:rPr>
        <w:t xml:space="preserve"> notice for this submission.</w:t>
      </w:r>
    </w:p>
    <w:p w:rsidR="0020361A" w:rsidRDefault="0020361A">
      <w:pPr>
        <w:keepNext/>
        <w:keepLines/>
        <w:widowControl/>
        <w:rPr>
          <w:rFonts w:ascii="Times New Roman" w:hAnsi="Times New Roman"/>
        </w:rPr>
      </w:pPr>
    </w:p>
    <w:p w:rsidR="00061552" w:rsidRDefault="00061552">
      <w:pPr>
        <w:keepNext/>
        <w:keepLines/>
        <w:widowControl/>
        <w:rPr>
          <w:rFonts w:ascii="Times New Roman" w:hAnsi="Times New Roman"/>
        </w:rPr>
      </w:pPr>
      <w:r>
        <w:rPr>
          <w:rFonts w:ascii="Times New Roman" w:hAnsi="Times New Roman"/>
          <w:b/>
        </w:rPr>
        <w:t>Sensitive Questions</w:t>
      </w:r>
    </w:p>
    <w:p w:rsidR="00061552" w:rsidRDefault="00061552">
      <w:pPr>
        <w:keepNext/>
        <w:keepLines/>
        <w:widowControl/>
        <w:rPr>
          <w:rFonts w:ascii="Times New Roman" w:hAnsi="Times New Roman"/>
        </w:rPr>
      </w:pPr>
    </w:p>
    <w:p w:rsidR="0020361A" w:rsidRDefault="0020361A">
      <w:pPr>
        <w:widowControl/>
        <w:rPr>
          <w:rFonts w:ascii="Times New Roman" w:hAnsi="Times New Roman"/>
        </w:rPr>
      </w:pPr>
      <w:r>
        <w:rPr>
          <w:rFonts w:ascii="Times New Roman" w:hAnsi="Times New Roman"/>
        </w:rPr>
        <w:tab/>
      </w:r>
      <w:r w:rsidR="00061552">
        <w:rPr>
          <w:rFonts w:ascii="Times New Roman" w:hAnsi="Times New Roman"/>
        </w:rPr>
        <w:t xml:space="preserve">This collection of information contains no questions of a sensitive nature, as defined by OMB guidelines. </w:t>
      </w:r>
    </w:p>
    <w:p w:rsidR="0020361A" w:rsidRDefault="0020361A">
      <w:pPr>
        <w:widowControl/>
        <w:rPr>
          <w:rFonts w:ascii="Times New Roman" w:hAnsi="Times New Roman"/>
        </w:rPr>
      </w:pPr>
    </w:p>
    <w:p w:rsidR="005F4D27" w:rsidRDefault="005F4D27">
      <w:pPr>
        <w:widowControl/>
        <w:rPr>
          <w:rFonts w:ascii="Times New Roman" w:hAnsi="Times New Roman"/>
        </w:rPr>
      </w:pPr>
    </w:p>
    <w:p w:rsidR="005F4D27" w:rsidRDefault="005F4D27">
      <w:pPr>
        <w:widowControl/>
        <w:rPr>
          <w:rFonts w:ascii="Times New Roman" w:hAnsi="Times New Roman"/>
        </w:rPr>
      </w:pPr>
    </w:p>
    <w:p w:rsidR="005F4D27" w:rsidRDefault="005F4D27">
      <w:pPr>
        <w:widowControl/>
        <w:rPr>
          <w:rFonts w:ascii="Times New Roman" w:hAnsi="Times New Roman"/>
        </w:rPr>
      </w:pPr>
    </w:p>
    <w:p w:rsidR="00061552" w:rsidRDefault="00061552">
      <w:pPr>
        <w:widowControl/>
        <w:rPr>
          <w:rFonts w:ascii="Times New Roman" w:hAnsi="Times New Roman"/>
        </w:rPr>
      </w:pPr>
      <w:r>
        <w:rPr>
          <w:rFonts w:ascii="Times New Roman" w:hAnsi="Times New Roman"/>
          <w:b/>
        </w:rPr>
        <w:lastRenderedPageBreak/>
        <w:t>Estimates of Respondent Burden</w:t>
      </w:r>
    </w:p>
    <w:p w:rsidR="00061552" w:rsidRDefault="00061552">
      <w:pPr>
        <w:widowControl/>
        <w:rPr>
          <w:rFonts w:ascii="Times New Roman" w:hAnsi="Times New Roman"/>
        </w:rPr>
      </w:pPr>
    </w:p>
    <w:p w:rsidR="00061552" w:rsidRDefault="009B2FF3" w:rsidP="00CF6878">
      <w:pPr>
        <w:widowControl/>
        <w:rPr>
          <w:rFonts w:ascii="Times New Roman" w:hAnsi="Times New Roman"/>
        </w:rPr>
      </w:pPr>
      <w:r>
        <w:rPr>
          <w:rFonts w:ascii="Times New Roman" w:hAnsi="Times New Roman"/>
        </w:rPr>
        <w:tab/>
      </w:r>
      <w:r w:rsidR="00061552">
        <w:rPr>
          <w:rFonts w:ascii="Times New Roman" w:hAnsi="Times New Roman"/>
        </w:rPr>
        <w:t xml:space="preserve">The current annual reporting burden for the FR </w:t>
      </w:r>
      <w:r w:rsidR="0001086E">
        <w:rPr>
          <w:rFonts w:ascii="Times New Roman" w:hAnsi="Times New Roman"/>
        </w:rPr>
        <w:t xml:space="preserve">Y-9 </w:t>
      </w:r>
      <w:r w:rsidR="00214A5A">
        <w:rPr>
          <w:rFonts w:ascii="Times New Roman" w:hAnsi="Times New Roman"/>
        </w:rPr>
        <w:t xml:space="preserve">family of </w:t>
      </w:r>
      <w:r w:rsidR="0001086E">
        <w:rPr>
          <w:rFonts w:ascii="Times New Roman" w:hAnsi="Times New Roman"/>
        </w:rPr>
        <w:t xml:space="preserve">reports is </w:t>
      </w:r>
      <w:r w:rsidR="00A1430D">
        <w:rPr>
          <w:rFonts w:ascii="Times New Roman" w:hAnsi="Times New Roman"/>
        </w:rPr>
        <w:t xml:space="preserve">estimated to be </w:t>
      </w:r>
      <w:r w:rsidR="00BF677E">
        <w:rPr>
          <w:rFonts w:ascii="Times New Roman" w:hAnsi="Times New Roman"/>
        </w:rPr>
        <w:t>250,129</w:t>
      </w:r>
      <w:r w:rsidR="00061552">
        <w:rPr>
          <w:rFonts w:ascii="Times New Roman" w:hAnsi="Times New Roman"/>
        </w:rPr>
        <w:t xml:space="preserve"> hours and woul</w:t>
      </w:r>
      <w:r w:rsidR="00590C7C">
        <w:rPr>
          <w:rFonts w:ascii="Times New Roman" w:hAnsi="Times New Roman"/>
        </w:rPr>
        <w:t xml:space="preserve">d </w:t>
      </w:r>
      <w:r w:rsidR="007E0751">
        <w:rPr>
          <w:rFonts w:ascii="Times New Roman" w:hAnsi="Times New Roman"/>
        </w:rPr>
        <w:t>in</w:t>
      </w:r>
      <w:r w:rsidR="000E09FE">
        <w:rPr>
          <w:rFonts w:ascii="Times New Roman" w:hAnsi="Times New Roman"/>
        </w:rPr>
        <w:t xml:space="preserve">crease </w:t>
      </w:r>
      <w:r w:rsidR="00590C7C">
        <w:rPr>
          <w:rFonts w:ascii="Times New Roman" w:hAnsi="Times New Roman"/>
        </w:rPr>
        <w:t xml:space="preserve">to </w:t>
      </w:r>
      <w:r w:rsidR="005402BD">
        <w:rPr>
          <w:rFonts w:ascii="Times New Roman" w:hAnsi="Times New Roman"/>
          <w:szCs w:val="24"/>
        </w:rPr>
        <w:t xml:space="preserve">261,668 </w:t>
      </w:r>
      <w:r w:rsidR="00061552">
        <w:rPr>
          <w:rFonts w:ascii="Times New Roman" w:hAnsi="Times New Roman"/>
        </w:rPr>
        <w:t>hours as shown in the</w:t>
      </w:r>
      <w:r w:rsidR="000A2B06">
        <w:rPr>
          <w:rFonts w:ascii="Times New Roman" w:hAnsi="Times New Roman"/>
        </w:rPr>
        <w:t xml:space="preserve"> following</w:t>
      </w:r>
      <w:r w:rsidR="00061552">
        <w:rPr>
          <w:rFonts w:ascii="Times New Roman" w:hAnsi="Times New Roman"/>
        </w:rPr>
        <w:t xml:space="preserve"> table</w:t>
      </w:r>
      <w:r w:rsidR="00C84425">
        <w:rPr>
          <w:rFonts w:ascii="Times New Roman" w:hAnsi="Times New Roman"/>
        </w:rPr>
        <w:t xml:space="preserve">. </w:t>
      </w:r>
      <w:r w:rsidR="00325975">
        <w:rPr>
          <w:rFonts w:ascii="Times New Roman" w:hAnsi="Times New Roman"/>
        </w:rPr>
        <w:t>The</w:t>
      </w:r>
      <w:r w:rsidR="00590C7C">
        <w:rPr>
          <w:rFonts w:ascii="Times New Roman" w:hAnsi="Times New Roman"/>
        </w:rPr>
        <w:t xml:space="preserve"> </w:t>
      </w:r>
      <w:r w:rsidR="000014B2">
        <w:rPr>
          <w:rFonts w:ascii="Times New Roman" w:hAnsi="Times New Roman"/>
        </w:rPr>
        <w:t xml:space="preserve">average </w:t>
      </w:r>
      <w:r w:rsidR="000E09FE">
        <w:rPr>
          <w:rFonts w:ascii="Times New Roman" w:hAnsi="Times New Roman"/>
        </w:rPr>
        <w:t>estimated hours</w:t>
      </w:r>
      <w:r w:rsidR="000014B2">
        <w:rPr>
          <w:rFonts w:ascii="Times New Roman" w:hAnsi="Times New Roman"/>
        </w:rPr>
        <w:t xml:space="preserve"> </w:t>
      </w:r>
      <w:r w:rsidR="000E09FE">
        <w:rPr>
          <w:rFonts w:ascii="Times New Roman" w:hAnsi="Times New Roman"/>
        </w:rPr>
        <w:t>per response</w:t>
      </w:r>
      <w:r w:rsidR="000014B2">
        <w:rPr>
          <w:rFonts w:ascii="Times New Roman" w:hAnsi="Times New Roman"/>
        </w:rPr>
        <w:t xml:space="preserve"> for</w:t>
      </w:r>
      <w:r w:rsidR="00590C7C">
        <w:rPr>
          <w:rFonts w:ascii="Times New Roman" w:hAnsi="Times New Roman"/>
        </w:rPr>
        <w:t xml:space="preserve"> FR Y-9C </w:t>
      </w:r>
      <w:r w:rsidR="008618CE">
        <w:rPr>
          <w:rFonts w:ascii="Times New Roman" w:hAnsi="Times New Roman"/>
        </w:rPr>
        <w:t>filers</w:t>
      </w:r>
      <w:r w:rsidR="000014B2">
        <w:rPr>
          <w:rFonts w:ascii="Times New Roman" w:hAnsi="Times New Roman"/>
        </w:rPr>
        <w:t xml:space="preserve"> </w:t>
      </w:r>
      <w:r>
        <w:rPr>
          <w:rFonts w:ascii="Times New Roman" w:hAnsi="Times New Roman"/>
        </w:rPr>
        <w:t xml:space="preserve">would </w:t>
      </w:r>
      <w:r w:rsidR="000E09FE">
        <w:rPr>
          <w:rFonts w:ascii="Times New Roman" w:hAnsi="Times New Roman"/>
        </w:rPr>
        <w:t xml:space="preserve">increase from </w:t>
      </w:r>
      <w:r w:rsidR="00BF677E">
        <w:rPr>
          <w:rFonts w:ascii="Times New Roman" w:hAnsi="Times New Roman"/>
        </w:rPr>
        <w:t>42.25</w:t>
      </w:r>
      <w:r w:rsidR="007E0751">
        <w:rPr>
          <w:rFonts w:ascii="Times New Roman" w:hAnsi="Times New Roman"/>
        </w:rPr>
        <w:t xml:space="preserve"> hours to </w:t>
      </w:r>
      <w:r w:rsidR="006D237C">
        <w:rPr>
          <w:rFonts w:ascii="Times New Roman" w:hAnsi="Times New Roman"/>
        </w:rPr>
        <w:t>45.</w:t>
      </w:r>
      <w:r w:rsidR="005402BD">
        <w:rPr>
          <w:rFonts w:ascii="Times New Roman" w:hAnsi="Times New Roman"/>
        </w:rPr>
        <w:t xml:space="preserve">00 </w:t>
      </w:r>
      <w:r w:rsidR="000E09FE">
        <w:rPr>
          <w:rFonts w:ascii="Times New Roman" w:hAnsi="Times New Roman"/>
        </w:rPr>
        <w:t xml:space="preserve">hours </w:t>
      </w:r>
      <w:r w:rsidR="00590C7C">
        <w:rPr>
          <w:rFonts w:ascii="Times New Roman" w:hAnsi="Times New Roman"/>
        </w:rPr>
        <w:t>result</w:t>
      </w:r>
      <w:r w:rsidR="000E09FE">
        <w:rPr>
          <w:rFonts w:ascii="Times New Roman" w:hAnsi="Times New Roman"/>
        </w:rPr>
        <w:t>ing</w:t>
      </w:r>
      <w:r w:rsidR="00590C7C">
        <w:rPr>
          <w:rFonts w:ascii="Times New Roman" w:hAnsi="Times New Roman"/>
        </w:rPr>
        <w:t xml:space="preserve"> from </w:t>
      </w:r>
      <w:r w:rsidR="002D079B">
        <w:rPr>
          <w:rFonts w:ascii="Times New Roman" w:hAnsi="Times New Roman"/>
        </w:rPr>
        <w:t>an</w:t>
      </w:r>
      <w:r w:rsidR="000E09FE">
        <w:rPr>
          <w:rFonts w:ascii="Times New Roman" w:hAnsi="Times New Roman"/>
        </w:rPr>
        <w:t xml:space="preserve"> increase of </w:t>
      </w:r>
      <w:r w:rsidR="00153C3D">
        <w:rPr>
          <w:rFonts w:ascii="Times New Roman" w:hAnsi="Times New Roman"/>
        </w:rPr>
        <w:t xml:space="preserve">2.75 </w:t>
      </w:r>
      <w:r w:rsidR="000E09FE">
        <w:rPr>
          <w:rFonts w:ascii="Times New Roman" w:hAnsi="Times New Roman"/>
        </w:rPr>
        <w:t xml:space="preserve">hours for </w:t>
      </w:r>
      <w:r w:rsidR="007E0751">
        <w:rPr>
          <w:rFonts w:ascii="Times New Roman" w:hAnsi="Times New Roman"/>
        </w:rPr>
        <w:t xml:space="preserve">proposed new </w:t>
      </w:r>
      <w:r w:rsidR="004C2D7C">
        <w:rPr>
          <w:rFonts w:ascii="Times New Roman" w:hAnsi="Times New Roman"/>
        </w:rPr>
        <w:t xml:space="preserve">data </w:t>
      </w:r>
      <w:r w:rsidR="007E0751">
        <w:rPr>
          <w:rFonts w:ascii="Times New Roman" w:hAnsi="Times New Roman"/>
        </w:rPr>
        <w:t>items</w:t>
      </w:r>
      <w:r w:rsidR="000E09FE">
        <w:rPr>
          <w:rFonts w:ascii="Times New Roman" w:hAnsi="Times New Roman"/>
        </w:rPr>
        <w:t>.</w:t>
      </w:r>
      <w:r w:rsidR="00325975">
        <w:rPr>
          <w:rFonts w:ascii="Times New Roman" w:hAnsi="Times New Roman"/>
        </w:rPr>
        <w:t xml:space="preserve">  </w:t>
      </w:r>
      <w:r w:rsidR="00384360">
        <w:rPr>
          <w:rFonts w:ascii="Times New Roman" w:hAnsi="Times New Roman"/>
        </w:rPr>
        <w:t>The Federal Reserve</w:t>
      </w:r>
      <w:r w:rsidR="002D079B">
        <w:rPr>
          <w:rFonts w:ascii="Times New Roman" w:hAnsi="Times New Roman"/>
        </w:rPr>
        <w:t xml:space="preserve"> anticipates that </w:t>
      </w:r>
      <w:r w:rsidR="00907895">
        <w:rPr>
          <w:rFonts w:ascii="Times New Roman" w:hAnsi="Times New Roman"/>
        </w:rPr>
        <w:t xml:space="preserve">nearly all respondents would be required to report the proposed breakdown of </w:t>
      </w:r>
      <w:r w:rsidR="006D237C">
        <w:rPr>
          <w:rFonts w:ascii="Times New Roman" w:hAnsi="Times New Roman"/>
        </w:rPr>
        <w:t>auto loans</w:t>
      </w:r>
      <w:r w:rsidR="00907895">
        <w:rPr>
          <w:rFonts w:ascii="Times New Roman" w:hAnsi="Times New Roman"/>
        </w:rPr>
        <w:t xml:space="preserve">. </w:t>
      </w:r>
      <w:r w:rsidR="00F85629">
        <w:rPr>
          <w:rFonts w:ascii="Times New Roman" w:hAnsi="Times New Roman"/>
        </w:rPr>
        <w:t xml:space="preserve"> </w:t>
      </w:r>
      <w:r w:rsidR="00384360">
        <w:rPr>
          <w:rFonts w:ascii="Times New Roman" w:hAnsi="Times New Roman"/>
        </w:rPr>
        <w:t>The Federal Reserve</w:t>
      </w:r>
      <w:r w:rsidR="00F85629">
        <w:rPr>
          <w:rFonts w:ascii="Times New Roman" w:hAnsi="Times New Roman"/>
        </w:rPr>
        <w:t xml:space="preserve"> </w:t>
      </w:r>
      <w:r w:rsidR="002D079B">
        <w:rPr>
          <w:rFonts w:ascii="Times New Roman" w:hAnsi="Times New Roman"/>
        </w:rPr>
        <w:t>estimate</w:t>
      </w:r>
      <w:r w:rsidR="0094774E">
        <w:rPr>
          <w:rFonts w:ascii="Times New Roman" w:hAnsi="Times New Roman"/>
        </w:rPr>
        <w:t>s</w:t>
      </w:r>
      <w:r w:rsidR="002D079B">
        <w:rPr>
          <w:rFonts w:ascii="Times New Roman" w:hAnsi="Times New Roman"/>
        </w:rPr>
        <w:t xml:space="preserve"> that </w:t>
      </w:r>
      <w:r w:rsidR="00907895">
        <w:rPr>
          <w:rFonts w:ascii="Times New Roman" w:hAnsi="Times New Roman"/>
        </w:rPr>
        <w:t>about</w:t>
      </w:r>
      <w:r w:rsidR="002D079B">
        <w:rPr>
          <w:rFonts w:ascii="Times New Roman" w:hAnsi="Times New Roman"/>
        </w:rPr>
        <w:t xml:space="preserve"> </w:t>
      </w:r>
      <w:r w:rsidR="006D237C">
        <w:rPr>
          <w:rFonts w:ascii="Times New Roman" w:hAnsi="Times New Roman"/>
        </w:rPr>
        <w:t xml:space="preserve">three-quarters </w:t>
      </w:r>
      <w:r w:rsidR="002D079B">
        <w:rPr>
          <w:rFonts w:ascii="Times New Roman" w:hAnsi="Times New Roman"/>
        </w:rPr>
        <w:t xml:space="preserve">of the respondents would be required to provide </w:t>
      </w:r>
      <w:r w:rsidR="00BE19A9">
        <w:rPr>
          <w:rFonts w:ascii="Times New Roman" w:hAnsi="Times New Roman"/>
        </w:rPr>
        <w:t xml:space="preserve">new </w:t>
      </w:r>
      <w:r w:rsidR="006D237C">
        <w:rPr>
          <w:rFonts w:ascii="Times New Roman" w:hAnsi="Times New Roman"/>
        </w:rPr>
        <w:t>breakdowns of restructured “other” loans and of life insurance assets</w:t>
      </w:r>
      <w:r w:rsidR="00DB786A">
        <w:rPr>
          <w:rFonts w:ascii="Times New Roman" w:hAnsi="Times New Roman"/>
        </w:rPr>
        <w:t>,</w:t>
      </w:r>
      <w:r w:rsidR="00316C14">
        <w:rPr>
          <w:rFonts w:ascii="Times New Roman" w:hAnsi="Times New Roman"/>
        </w:rPr>
        <w:t xml:space="preserve"> </w:t>
      </w:r>
      <w:r w:rsidR="00DB786A">
        <w:rPr>
          <w:rFonts w:ascii="Times New Roman" w:hAnsi="Times New Roman"/>
        </w:rPr>
        <w:t>and estimate</w:t>
      </w:r>
      <w:r w:rsidR="00695A46">
        <w:rPr>
          <w:rFonts w:ascii="Times New Roman" w:hAnsi="Times New Roman"/>
        </w:rPr>
        <w:t>s</w:t>
      </w:r>
      <w:r w:rsidR="00DB786A">
        <w:rPr>
          <w:rFonts w:ascii="Times New Roman" w:hAnsi="Times New Roman"/>
        </w:rPr>
        <w:t xml:space="preserve"> that less than </w:t>
      </w:r>
      <w:r w:rsidR="006D237C">
        <w:rPr>
          <w:rFonts w:ascii="Times New Roman" w:hAnsi="Times New Roman"/>
        </w:rPr>
        <w:t xml:space="preserve">one-fifth </w:t>
      </w:r>
      <w:r w:rsidR="00DB786A">
        <w:rPr>
          <w:rFonts w:ascii="Times New Roman" w:hAnsi="Times New Roman"/>
        </w:rPr>
        <w:t xml:space="preserve">of respondents would be required to report </w:t>
      </w:r>
      <w:r w:rsidR="00292CE6">
        <w:rPr>
          <w:rFonts w:ascii="Times New Roman" w:hAnsi="Times New Roman"/>
        </w:rPr>
        <w:t>all other proposed new or revised data items.</w:t>
      </w:r>
      <w:r w:rsidR="00DB786A">
        <w:rPr>
          <w:rFonts w:ascii="Times New Roman" w:hAnsi="Times New Roman"/>
        </w:rPr>
        <w:t xml:space="preserve">  </w:t>
      </w:r>
      <w:r w:rsidR="00384360">
        <w:rPr>
          <w:rFonts w:ascii="Times" w:hAnsi="Times"/>
        </w:rPr>
        <w:t>The Federal Reserve</w:t>
      </w:r>
      <w:r w:rsidR="009A5BC1" w:rsidRPr="002F2B69">
        <w:rPr>
          <w:rFonts w:ascii="Times" w:hAnsi="Times"/>
        </w:rPr>
        <w:t xml:space="preserve"> believes that the </w:t>
      </w:r>
      <w:r w:rsidR="009A5BC1">
        <w:rPr>
          <w:rFonts w:ascii="Times" w:hAnsi="Times"/>
        </w:rPr>
        <w:t xml:space="preserve">increase to the </w:t>
      </w:r>
      <w:r w:rsidR="009A5BC1" w:rsidRPr="002F2B69">
        <w:rPr>
          <w:rFonts w:ascii="Times" w:hAnsi="Times"/>
        </w:rPr>
        <w:t xml:space="preserve">burden for the </w:t>
      </w:r>
      <w:r w:rsidR="009A5BC1" w:rsidRPr="007E00E4">
        <w:rPr>
          <w:rFonts w:ascii="Times New Roman" w:hAnsi="Times New Roman"/>
        </w:rPr>
        <w:t xml:space="preserve">FR </w:t>
      </w:r>
      <w:r w:rsidR="009A5BC1">
        <w:rPr>
          <w:rFonts w:ascii="Times New Roman" w:hAnsi="Times New Roman"/>
        </w:rPr>
        <w:t xml:space="preserve">Y-9LP </w:t>
      </w:r>
      <w:r w:rsidR="009A5BC1" w:rsidRPr="002F2B69">
        <w:rPr>
          <w:rFonts w:ascii="Times" w:hAnsi="Times"/>
        </w:rPr>
        <w:t>report</w:t>
      </w:r>
      <w:r w:rsidR="009A5BC1">
        <w:rPr>
          <w:rFonts w:ascii="Times" w:hAnsi="Times"/>
        </w:rPr>
        <w:t xml:space="preserve"> would be negligible based on the proposed revision and, therefore, the average </w:t>
      </w:r>
      <w:r w:rsidR="009A5BC1" w:rsidRPr="002F2B69">
        <w:rPr>
          <w:rFonts w:ascii="Times" w:hAnsi="Times"/>
        </w:rPr>
        <w:t xml:space="preserve">ongoing annual burden for </w:t>
      </w:r>
      <w:r w:rsidR="009A5BC1">
        <w:rPr>
          <w:rFonts w:ascii="Times New Roman" w:hAnsi="Times New Roman"/>
          <w:szCs w:val="24"/>
        </w:rPr>
        <w:t xml:space="preserve">the FR Y-9LP </w:t>
      </w:r>
      <w:r w:rsidR="009A5BC1" w:rsidRPr="002F2B69">
        <w:rPr>
          <w:rFonts w:ascii="Times" w:hAnsi="Times"/>
        </w:rPr>
        <w:t>would remain unchanged from current estimates</w:t>
      </w:r>
      <w:r w:rsidR="009A5BC1">
        <w:rPr>
          <w:rFonts w:ascii="Times" w:hAnsi="Times"/>
        </w:rPr>
        <w:t xml:space="preserve">.  </w:t>
      </w:r>
      <w:r w:rsidR="00061552">
        <w:rPr>
          <w:rFonts w:ascii="Times New Roman" w:hAnsi="Times New Roman"/>
        </w:rPr>
        <w:t xml:space="preserve">The </w:t>
      </w:r>
      <w:r w:rsidR="00686BAF">
        <w:rPr>
          <w:rFonts w:ascii="Times New Roman" w:hAnsi="Times New Roman"/>
        </w:rPr>
        <w:t xml:space="preserve">revised </w:t>
      </w:r>
      <w:r w:rsidR="00144CB4">
        <w:rPr>
          <w:rFonts w:ascii="Times New Roman" w:hAnsi="Times New Roman"/>
        </w:rPr>
        <w:t xml:space="preserve">annual </w:t>
      </w:r>
      <w:r w:rsidR="00061552">
        <w:rPr>
          <w:rFonts w:ascii="Times New Roman" w:hAnsi="Times New Roman"/>
        </w:rPr>
        <w:t xml:space="preserve">burden for the FR Y-9 </w:t>
      </w:r>
      <w:r w:rsidR="00214A5A">
        <w:rPr>
          <w:rFonts w:ascii="Times New Roman" w:hAnsi="Times New Roman"/>
        </w:rPr>
        <w:t xml:space="preserve">family of </w:t>
      </w:r>
      <w:r w:rsidR="00061552">
        <w:rPr>
          <w:rFonts w:ascii="Times New Roman" w:hAnsi="Times New Roman"/>
        </w:rPr>
        <w:t xml:space="preserve">reports </w:t>
      </w:r>
      <w:r w:rsidR="00686BAF">
        <w:rPr>
          <w:rFonts w:ascii="Times New Roman" w:hAnsi="Times New Roman"/>
        </w:rPr>
        <w:t xml:space="preserve">would </w:t>
      </w:r>
      <w:r w:rsidR="00061552">
        <w:rPr>
          <w:rFonts w:ascii="Times New Roman" w:hAnsi="Times New Roman"/>
        </w:rPr>
        <w:t xml:space="preserve">represent less than 4 percent of total Federal Reserve System </w:t>
      </w:r>
      <w:r w:rsidR="00E309FA">
        <w:rPr>
          <w:rFonts w:ascii="Times New Roman" w:hAnsi="Times New Roman"/>
        </w:rPr>
        <w:t>p</w:t>
      </w:r>
      <w:r w:rsidR="00144CB4">
        <w:rPr>
          <w:rFonts w:ascii="Times New Roman" w:hAnsi="Times New Roman"/>
        </w:rPr>
        <w:t xml:space="preserve">aperwork </w:t>
      </w:r>
      <w:r w:rsidR="00061552">
        <w:rPr>
          <w:rFonts w:ascii="Times New Roman" w:hAnsi="Times New Roman"/>
        </w:rPr>
        <w:t>burden.</w:t>
      </w:r>
    </w:p>
    <w:p w:rsidR="00061552" w:rsidRDefault="00061552">
      <w:pPr>
        <w:widowControl/>
        <w:rPr>
          <w:rFonts w:ascii="Times New Roman" w:hAnsi="Times New Roman"/>
        </w:rPr>
      </w:pPr>
    </w:p>
    <w:p w:rsidR="0033008E" w:rsidRDefault="0033008E">
      <w:pPr>
        <w:widowControl/>
        <w:rPr>
          <w:rFonts w:ascii="Times New Roman" w:hAnsi="Times New Roman"/>
        </w:rPr>
      </w:pPr>
    </w:p>
    <w:tbl>
      <w:tblPr>
        <w:tblW w:w="0" w:type="auto"/>
        <w:jc w:val="center"/>
        <w:tblInd w:w="18" w:type="dxa"/>
        <w:tblBorders>
          <w:top w:val="single" w:sz="4" w:space="0" w:color="auto"/>
          <w:bottom w:val="single" w:sz="4" w:space="0" w:color="auto"/>
        </w:tblBorders>
        <w:tblLayout w:type="fixed"/>
        <w:tblLook w:val="01E0"/>
      </w:tblPr>
      <w:tblGrid>
        <w:gridCol w:w="2880"/>
        <w:gridCol w:w="1625"/>
        <w:gridCol w:w="1625"/>
        <w:gridCol w:w="1625"/>
        <w:gridCol w:w="1625"/>
      </w:tblGrid>
      <w:tr w:rsidR="00395DBA" w:rsidRPr="00C1209C" w:rsidTr="00C1209C">
        <w:trPr>
          <w:jc w:val="center"/>
        </w:trPr>
        <w:tc>
          <w:tcPr>
            <w:tcW w:w="2880" w:type="dxa"/>
            <w:tcBorders>
              <w:top w:val="single" w:sz="4" w:space="0" w:color="auto"/>
              <w:bottom w:val="single" w:sz="4" w:space="0" w:color="auto"/>
            </w:tcBorders>
            <w:vAlign w:val="bottom"/>
          </w:tcPr>
          <w:p w:rsidR="00395DBA" w:rsidRPr="00C1209C" w:rsidRDefault="00395DBA" w:rsidP="00C1209C">
            <w:pPr>
              <w:widowControl/>
              <w:rPr>
                <w:rFonts w:ascii="Times New Roman" w:hAnsi="Times New Roman"/>
                <w:szCs w:val="24"/>
              </w:rPr>
            </w:pPr>
          </w:p>
        </w:tc>
        <w:tc>
          <w:tcPr>
            <w:tcW w:w="1625" w:type="dxa"/>
            <w:tcBorders>
              <w:top w:val="single" w:sz="4" w:space="0" w:color="auto"/>
              <w:bottom w:val="single" w:sz="4" w:space="0" w:color="auto"/>
            </w:tcBorders>
            <w:vAlign w:val="bottom"/>
          </w:tcPr>
          <w:p w:rsidR="00395DBA" w:rsidRPr="00C1209C" w:rsidRDefault="00395DBA" w:rsidP="00C1209C">
            <w:pPr>
              <w:widowControl/>
              <w:tabs>
                <w:tab w:val="left" w:pos="720"/>
              </w:tabs>
              <w:jc w:val="center"/>
              <w:rPr>
                <w:rFonts w:ascii="Times New Roman" w:hAnsi="Times New Roman"/>
                <w:i/>
                <w:szCs w:val="24"/>
              </w:rPr>
            </w:pPr>
            <w:r w:rsidRPr="00C1209C">
              <w:rPr>
                <w:rFonts w:ascii="Times New Roman" w:hAnsi="Times New Roman"/>
                <w:i/>
                <w:szCs w:val="24"/>
              </w:rPr>
              <w:t>Number</w:t>
            </w:r>
          </w:p>
          <w:p w:rsidR="00395DBA" w:rsidRPr="00C1209C" w:rsidRDefault="00395DBA" w:rsidP="00C1209C">
            <w:pPr>
              <w:widowControl/>
              <w:tabs>
                <w:tab w:val="left" w:pos="720"/>
              </w:tabs>
              <w:jc w:val="center"/>
              <w:rPr>
                <w:rFonts w:ascii="Times New Roman" w:hAnsi="Times New Roman"/>
                <w:i/>
                <w:szCs w:val="24"/>
              </w:rPr>
            </w:pPr>
            <w:r w:rsidRPr="00C1209C">
              <w:rPr>
                <w:rFonts w:ascii="Times New Roman" w:hAnsi="Times New Roman"/>
                <w:i/>
                <w:szCs w:val="24"/>
              </w:rPr>
              <w:t>of</w:t>
            </w:r>
          </w:p>
          <w:p w:rsidR="00395DBA" w:rsidRPr="00C1209C" w:rsidRDefault="007213C9" w:rsidP="00C1209C">
            <w:pPr>
              <w:widowControl/>
              <w:tabs>
                <w:tab w:val="left" w:pos="720"/>
              </w:tabs>
              <w:jc w:val="center"/>
              <w:rPr>
                <w:rFonts w:ascii="Times New Roman" w:hAnsi="Times New Roman"/>
                <w:i/>
                <w:szCs w:val="24"/>
              </w:rPr>
            </w:pPr>
            <w:r w:rsidRPr="00C1209C">
              <w:rPr>
                <w:rFonts w:ascii="Times New Roman" w:hAnsi="Times New Roman"/>
                <w:i/>
                <w:szCs w:val="24"/>
              </w:rPr>
              <w:t>r</w:t>
            </w:r>
            <w:r w:rsidR="00395DBA" w:rsidRPr="00C1209C">
              <w:rPr>
                <w:rFonts w:ascii="Times New Roman" w:hAnsi="Times New Roman"/>
                <w:i/>
                <w:szCs w:val="24"/>
              </w:rPr>
              <w:t>espondents</w:t>
            </w:r>
          </w:p>
        </w:tc>
        <w:tc>
          <w:tcPr>
            <w:tcW w:w="1625" w:type="dxa"/>
            <w:tcBorders>
              <w:top w:val="single" w:sz="4" w:space="0" w:color="auto"/>
              <w:bottom w:val="single" w:sz="4" w:space="0" w:color="auto"/>
            </w:tcBorders>
            <w:vAlign w:val="bottom"/>
          </w:tcPr>
          <w:p w:rsidR="00395DBA" w:rsidRPr="00C1209C" w:rsidRDefault="00395DBA" w:rsidP="00C1209C">
            <w:pPr>
              <w:widowControl/>
              <w:tabs>
                <w:tab w:val="left" w:pos="720"/>
              </w:tabs>
              <w:jc w:val="center"/>
              <w:rPr>
                <w:rFonts w:ascii="Times New Roman" w:hAnsi="Times New Roman"/>
                <w:i/>
                <w:szCs w:val="24"/>
              </w:rPr>
            </w:pPr>
            <w:r w:rsidRPr="00C1209C">
              <w:rPr>
                <w:rFonts w:ascii="Times New Roman" w:hAnsi="Times New Roman"/>
                <w:i/>
                <w:szCs w:val="24"/>
              </w:rPr>
              <w:t>Annual</w:t>
            </w:r>
          </w:p>
          <w:p w:rsidR="00395DBA" w:rsidRPr="00C1209C" w:rsidRDefault="007213C9" w:rsidP="00C1209C">
            <w:pPr>
              <w:widowControl/>
              <w:tabs>
                <w:tab w:val="left" w:pos="720"/>
              </w:tabs>
              <w:jc w:val="center"/>
              <w:rPr>
                <w:rFonts w:ascii="Times New Roman" w:hAnsi="Times New Roman"/>
                <w:i/>
                <w:szCs w:val="24"/>
              </w:rPr>
            </w:pPr>
            <w:r w:rsidRPr="00C1209C">
              <w:rPr>
                <w:rFonts w:ascii="Times New Roman" w:hAnsi="Times New Roman"/>
                <w:i/>
                <w:szCs w:val="24"/>
              </w:rPr>
              <w:t>f</w:t>
            </w:r>
            <w:r w:rsidR="00395DBA" w:rsidRPr="00C1209C">
              <w:rPr>
                <w:rFonts w:ascii="Times New Roman" w:hAnsi="Times New Roman"/>
                <w:i/>
                <w:szCs w:val="24"/>
              </w:rPr>
              <w:t>requency</w:t>
            </w:r>
          </w:p>
        </w:tc>
        <w:tc>
          <w:tcPr>
            <w:tcW w:w="1625" w:type="dxa"/>
            <w:tcBorders>
              <w:top w:val="single" w:sz="4" w:space="0" w:color="auto"/>
              <w:bottom w:val="single" w:sz="4" w:space="0" w:color="auto"/>
            </w:tcBorders>
            <w:vAlign w:val="bottom"/>
          </w:tcPr>
          <w:p w:rsidR="00395DBA" w:rsidRPr="00C1209C" w:rsidRDefault="00395DBA" w:rsidP="00C1209C">
            <w:pPr>
              <w:widowControl/>
              <w:tabs>
                <w:tab w:val="left" w:pos="720"/>
              </w:tabs>
              <w:jc w:val="center"/>
              <w:rPr>
                <w:rFonts w:ascii="Times New Roman" w:hAnsi="Times New Roman"/>
                <w:i/>
                <w:szCs w:val="24"/>
              </w:rPr>
            </w:pPr>
            <w:r w:rsidRPr="00C1209C">
              <w:rPr>
                <w:rFonts w:ascii="Times New Roman" w:hAnsi="Times New Roman"/>
                <w:i/>
                <w:szCs w:val="24"/>
              </w:rPr>
              <w:t>Estimated</w:t>
            </w:r>
          </w:p>
          <w:p w:rsidR="00395DBA" w:rsidRPr="00C1209C" w:rsidRDefault="007213C9" w:rsidP="00C1209C">
            <w:pPr>
              <w:widowControl/>
              <w:tabs>
                <w:tab w:val="left" w:pos="720"/>
              </w:tabs>
              <w:jc w:val="center"/>
              <w:rPr>
                <w:rFonts w:ascii="Times New Roman" w:hAnsi="Times New Roman"/>
                <w:i/>
                <w:szCs w:val="24"/>
              </w:rPr>
            </w:pPr>
            <w:r w:rsidRPr="00C1209C">
              <w:rPr>
                <w:rFonts w:ascii="Times New Roman" w:hAnsi="Times New Roman"/>
                <w:i/>
                <w:szCs w:val="24"/>
              </w:rPr>
              <w:t>a</w:t>
            </w:r>
            <w:r w:rsidR="00395DBA" w:rsidRPr="00C1209C">
              <w:rPr>
                <w:rFonts w:ascii="Times New Roman" w:hAnsi="Times New Roman"/>
                <w:i/>
                <w:szCs w:val="24"/>
              </w:rPr>
              <w:t xml:space="preserve">verage </w:t>
            </w:r>
            <w:r w:rsidRPr="00C1209C">
              <w:rPr>
                <w:rFonts w:ascii="Times New Roman" w:hAnsi="Times New Roman"/>
                <w:i/>
                <w:szCs w:val="24"/>
              </w:rPr>
              <w:t>h</w:t>
            </w:r>
            <w:r w:rsidR="00395DBA" w:rsidRPr="00C1209C">
              <w:rPr>
                <w:rFonts w:ascii="Times New Roman" w:hAnsi="Times New Roman"/>
                <w:i/>
                <w:szCs w:val="24"/>
              </w:rPr>
              <w:t>ours</w:t>
            </w:r>
          </w:p>
          <w:p w:rsidR="00395DBA" w:rsidRPr="00C1209C" w:rsidRDefault="00963C86" w:rsidP="00C1209C">
            <w:pPr>
              <w:widowControl/>
              <w:tabs>
                <w:tab w:val="left" w:pos="720"/>
              </w:tabs>
              <w:jc w:val="center"/>
              <w:rPr>
                <w:rFonts w:ascii="Times New Roman" w:hAnsi="Times New Roman"/>
                <w:i/>
                <w:szCs w:val="24"/>
              </w:rPr>
            </w:pPr>
            <w:r w:rsidRPr="00C1209C">
              <w:rPr>
                <w:rFonts w:ascii="Times New Roman" w:hAnsi="Times New Roman"/>
                <w:i/>
                <w:szCs w:val="24"/>
              </w:rPr>
              <w:t xml:space="preserve">per </w:t>
            </w:r>
            <w:r w:rsidR="007213C9" w:rsidRPr="00C1209C">
              <w:rPr>
                <w:rFonts w:ascii="Times New Roman" w:hAnsi="Times New Roman"/>
                <w:i/>
                <w:szCs w:val="24"/>
              </w:rPr>
              <w:t>r</w:t>
            </w:r>
            <w:r w:rsidR="00395DBA" w:rsidRPr="00C1209C">
              <w:rPr>
                <w:rFonts w:ascii="Times New Roman" w:hAnsi="Times New Roman"/>
                <w:i/>
                <w:szCs w:val="24"/>
              </w:rPr>
              <w:t>esponse</w:t>
            </w:r>
          </w:p>
        </w:tc>
        <w:tc>
          <w:tcPr>
            <w:tcW w:w="1625" w:type="dxa"/>
            <w:tcBorders>
              <w:top w:val="single" w:sz="4" w:space="0" w:color="auto"/>
              <w:bottom w:val="single" w:sz="4" w:space="0" w:color="auto"/>
            </w:tcBorders>
            <w:vAlign w:val="bottom"/>
          </w:tcPr>
          <w:p w:rsidR="00395DBA" w:rsidRPr="00C1209C" w:rsidRDefault="00395DBA" w:rsidP="00C1209C">
            <w:pPr>
              <w:widowControl/>
              <w:tabs>
                <w:tab w:val="left" w:pos="720"/>
              </w:tabs>
              <w:jc w:val="center"/>
              <w:rPr>
                <w:rFonts w:ascii="Times New Roman" w:hAnsi="Times New Roman"/>
                <w:i/>
                <w:szCs w:val="24"/>
              </w:rPr>
            </w:pPr>
            <w:r w:rsidRPr="00C1209C">
              <w:rPr>
                <w:rFonts w:ascii="Times New Roman" w:hAnsi="Times New Roman"/>
                <w:i/>
                <w:szCs w:val="24"/>
              </w:rPr>
              <w:t>Estimated</w:t>
            </w:r>
          </w:p>
          <w:p w:rsidR="00395DBA" w:rsidRPr="00C1209C" w:rsidRDefault="007213C9" w:rsidP="00C1209C">
            <w:pPr>
              <w:widowControl/>
              <w:tabs>
                <w:tab w:val="left" w:pos="720"/>
              </w:tabs>
              <w:jc w:val="center"/>
              <w:rPr>
                <w:rFonts w:ascii="Times New Roman" w:hAnsi="Times New Roman"/>
                <w:i/>
                <w:szCs w:val="24"/>
              </w:rPr>
            </w:pPr>
            <w:r w:rsidRPr="00C1209C">
              <w:rPr>
                <w:rFonts w:ascii="Times New Roman" w:hAnsi="Times New Roman"/>
                <w:i/>
                <w:szCs w:val="24"/>
              </w:rPr>
              <w:t>a</w:t>
            </w:r>
            <w:r w:rsidR="00395DBA" w:rsidRPr="00C1209C">
              <w:rPr>
                <w:rFonts w:ascii="Times New Roman" w:hAnsi="Times New Roman"/>
                <w:i/>
                <w:szCs w:val="24"/>
              </w:rPr>
              <w:t xml:space="preserve">nnual </w:t>
            </w:r>
            <w:r w:rsidRPr="00C1209C">
              <w:rPr>
                <w:rFonts w:ascii="Times New Roman" w:hAnsi="Times New Roman"/>
                <w:i/>
                <w:szCs w:val="24"/>
              </w:rPr>
              <w:t>b</w:t>
            </w:r>
            <w:r w:rsidR="00395DBA" w:rsidRPr="00C1209C">
              <w:rPr>
                <w:rFonts w:ascii="Times New Roman" w:hAnsi="Times New Roman"/>
                <w:i/>
                <w:szCs w:val="24"/>
              </w:rPr>
              <w:t xml:space="preserve">urden </w:t>
            </w:r>
            <w:r w:rsidRPr="00C1209C">
              <w:rPr>
                <w:rFonts w:ascii="Times New Roman" w:hAnsi="Times New Roman"/>
                <w:i/>
                <w:szCs w:val="24"/>
              </w:rPr>
              <w:t>h</w:t>
            </w:r>
            <w:r w:rsidR="00395DBA" w:rsidRPr="00C1209C">
              <w:rPr>
                <w:rFonts w:ascii="Times New Roman" w:hAnsi="Times New Roman"/>
                <w:i/>
                <w:szCs w:val="24"/>
              </w:rPr>
              <w:t>ours</w:t>
            </w:r>
          </w:p>
        </w:tc>
      </w:tr>
      <w:tr w:rsidR="00395DBA" w:rsidRPr="00C1209C" w:rsidTr="00C1209C">
        <w:trPr>
          <w:trHeight w:val="288"/>
          <w:jc w:val="center"/>
        </w:trPr>
        <w:tc>
          <w:tcPr>
            <w:tcW w:w="2880" w:type="dxa"/>
            <w:tcBorders>
              <w:top w:val="single" w:sz="4" w:space="0" w:color="auto"/>
            </w:tcBorders>
          </w:tcPr>
          <w:p w:rsidR="00395DBA" w:rsidRPr="00C1209C" w:rsidRDefault="00395DBA" w:rsidP="00C1209C">
            <w:pPr>
              <w:widowControl/>
              <w:rPr>
                <w:rFonts w:ascii="Times New Roman" w:hAnsi="Times New Roman"/>
                <w:szCs w:val="24"/>
              </w:rPr>
            </w:pPr>
          </w:p>
        </w:tc>
        <w:tc>
          <w:tcPr>
            <w:tcW w:w="1625" w:type="dxa"/>
            <w:tcBorders>
              <w:top w:val="single" w:sz="4" w:space="0" w:color="auto"/>
            </w:tcBorders>
            <w:vAlign w:val="center"/>
          </w:tcPr>
          <w:p w:rsidR="00395DBA" w:rsidRPr="00C1209C" w:rsidRDefault="00395DBA" w:rsidP="00C1209C">
            <w:pPr>
              <w:widowControl/>
              <w:tabs>
                <w:tab w:val="right" w:pos="972"/>
              </w:tabs>
              <w:rPr>
                <w:rFonts w:ascii="Times New Roman" w:hAnsi="Times New Roman"/>
                <w:szCs w:val="24"/>
              </w:rPr>
            </w:pPr>
          </w:p>
        </w:tc>
        <w:tc>
          <w:tcPr>
            <w:tcW w:w="1625" w:type="dxa"/>
            <w:tcBorders>
              <w:top w:val="single" w:sz="4" w:space="0" w:color="auto"/>
            </w:tcBorders>
          </w:tcPr>
          <w:p w:rsidR="00395DBA" w:rsidRPr="00C1209C" w:rsidRDefault="00395DBA" w:rsidP="00C1209C">
            <w:pPr>
              <w:widowControl/>
              <w:jc w:val="center"/>
              <w:rPr>
                <w:rFonts w:ascii="Times New Roman" w:hAnsi="Times New Roman"/>
                <w:szCs w:val="24"/>
              </w:rPr>
            </w:pPr>
          </w:p>
        </w:tc>
        <w:tc>
          <w:tcPr>
            <w:tcW w:w="1625" w:type="dxa"/>
            <w:tcBorders>
              <w:top w:val="single" w:sz="4" w:space="0" w:color="auto"/>
            </w:tcBorders>
            <w:vAlign w:val="center"/>
          </w:tcPr>
          <w:p w:rsidR="00395DBA" w:rsidRPr="00C1209C" w:rsidRDefault="00395DBA" w:rsidP="00C1209C">
            <w:pPr>
              <w:widowControl/>
              <w:tabs>
                <w:tab w:val="decimal" w:pos="770"/>
              </w:tabs>
              <w:rPr>
                <w:rFonts w:ascii="Times New Roman" w:hAnsi="Times New Roman"/>
                <w:szCs w:val="24"/>
              </w:rPr>
            </w:pPr>
          </w:p>
        </w:tc>
        <w:tc>
          <w:tcPr>
            <w:tcW w:w="1625" w:type="dxa"/>
            <w:tcBorders>
              <w:top w:val="single" w:sz="4" w:space="0" w:color="auto"/>
            </w:tcBorders>
            <w:vAlign w:val="bottom"/>
          </w:tcPr>
          <w:p w:rsidR="00395DBA" w:rsidRPr="00C1209C" w:rsidRDefault="00395DBA" w:rsidP="00C1209C">
            <w:pPr>
              <w:widowControl/>
              <w:jc w:val="center"/>
              <w:rPr>
                <w:rFonts w:ascii="Times New Roman" w:hAnsi="Times New Roman"/>
                <w:szCs w:val="24"/>
              </w:rPr>
            </w:pPr>
          </w:p>
        </w:tc>
      </w:tr>
      <w:tr w:rsidR="00395DBA" w:rsidRPr="00C1209C" w:rsidTr="00C1209C">
        <w:trPr>
          <w:trHeight w:val="288"/>
          <w:jc w:val="center"/>
        </w:trPr>
        <w:tc>
          <w:tcPr>
            <w:tcW w:w="2880" w:type="dxa"/>
            <w:vAlign w:val="center"/>
          </w:tcPr>
          <w:p w:rsidR="00395DBA" w:rsidRPr="00C1209C" w:rsidRDefault="00395DBA" w:rsidP="00C1209C">
            <w:pPr>
              <w:widowControl/>
              <w:tabs>
                <w:tab w:val="left" w:pos="-1080"/>
                <w:tab w:val="left" w:pos="-90"/>
                <w:tab w:val="left" w:pos="1440"/>
                <w:tab w:val="left" w:pos="2880"/>
                <w:tab w:val="left" w:pos="4320"/>
              </w:tabs>
              <w:rPr>
                <w:rFonts w:ascii="Times New Roman" w:hAnsi="Times New Roman"/>
                <w:b/>
                <w:szCs w:val="24"/>
                <w:u w:val="single"/>
              </w:rPr>
            </w:pPr>
            <w:r w:rsidRPr="00C1209C">
              <w:rPr>
                <w:rFonts w:ascii="Times New Roman" w:hAnsi="Times New Roman"/>
                <w:i/>
                <w:szCs w:val="24"/>
                <w:u w:val="single"/>
              </w:rPr>
              <w:t>Current</w:t>
            </w:r>
          </w:p>
        </w:tc>
        <w:tc>
          <w:tcPr>
            <w:tcW w:w="1625" w:type="dxa"/>
            <w:vAlign w:val="center"/>
          </w:tcPr>
          <w:p w:rsidR="00395DBA" w:rsidRPr="00C1209C" w:rsidRDefault="00395DBA" w:rsidP="00C1209C">
            <w:pPr>
              <w:widowControl/>
              <w:tabs>
                <w:tab w:val="right" w:pos="972"/>
              </w:tabs>
              <w:rPr>
                <w:rFonts w:ascii="Times New Roman" w:hAnsi="Times New Roman"/>
                <w:szCs w:val="24"/>
              </w:rPr>
            </w:pPr>
          </w:p>
        </w:tc>
        <w:tc>
          <w:tcPr>
            <w:tcW w:w="1625" w:type="dxa"/>
          </w:tcPr>
          <w:p w:rsidR="00395DBA" w:rsidRPr="00C1209C" w:rsidRDefault="00395DBA" w:rsidP="00C1209C">
            <w:pPr>
              <w:widowControl/>
              <w:jc w:val="center"/>
              <w:rPr>
                <w:rFonts w:ascii="Times New Roman" w:hAnsi="Times New Roman"/>
                <w:szCs w:val="24"/>
              </w:rPr>
            </w:pPr>
          </w:p>
        </w:tc>
        <w:tc>
          <w:tcPr>
            <w:tcW w:w="1625" w:type="dxa"/>
            <w:vAlign w:val="center"/>
          </w:tcPr>
          <w:p w:rsidR="00395DBA" w:rsidRPr="00C1209C" w:rsidRDefault="00395DBA" w:rsidP="00C1209C">
            <w:pPr>
              <w:widowControl/>
              <w:tabs>
                <w:tab w:val="decimal" w:pos="770"/>
              </w:tabs>
              <w:rPr>
                <w:rFonts w:ascii="Times New Roman" w:hAnsi="Times New Roman"/>
                <w:szCs w:val="24"/>
              </w:rPr>
            </w:pPr>
          </w:p>
        </w:tc>
        <w:tc>
          <w:tcPr>
            <w:tcW w:w="1625" w:type="dxa"/>
            <w:tcBorders>
              <w:bottom w:val="nil"/>
            </w:tcBorders>
            <w:vAlign w:val="bottom"/>
          </w:tcPr>
          <w:p w:rsidR="00395DBA" w:rsidRPr="00C1209C" w:rsidRDefault="00395DBA" w:rsidP="00C1209C">
            <w:pPr>
              <w:widowControl/>
              <w:jc w:val="center"/>
              <w:rPr>
                <w:rFonts w:ascii="Times New Roman" w:hAnsi="Times New Roman"/>
                <w:szCs w:val="24"/>
              </w:rPr>
            </w:pPr>
          </w:p>
        </w:tc>
      </w:tr>
      <w:tr w:rsidR="00395DBA" w:rsidRPr="00C1209C" w:rsidTr="00C1209C">
        <w:trPr>
          <w:trHeight w:val="288"/>
          <w:jc w:val="center"/>
        </w:trPr>
        <w:tc>
          <w:tcPr>
            <w:tcW w:w="2880" w:type="dxa"/>
            <w:vAlign w:val="center"/>
          </w:tcPr>
          <w:p w:rsidR="00395DBA" w:rsidRPr="00C1209C" w:rsidRDefault="00395DBA" w:rsidP="00C1209C">
            <w:pPr>
              <w:widowControl/>
              <w:rPr>
                <w:rFonts w:ascii="Times New Roman" w:hAnsi="Times New Roman"/>
                <w:szCs w:val="24"/>
              </w:rPr>
            </w:pPr>
            <w:r w:rsidRPr="00C1209C">
              <w:rPr>
                <w:rFonts w:ascii="Times New Roman" w:hAnsi="Times New Roman"/>
                <w:szCs w:val="24"/>
              </w:rPr>
              <w:t>FR Y-9C</w:t>
            </w:r>
          </w:p>
        </w:tc>
        <w:tc>
          <w:tcPr>
            <w:tcW w:w="1625" w:type="dxa"/>
            <w:vAlign w:val="center"/>
          </w:tcPr>
          <w:p w:rsidR="00395DBA" w:rsidRPr="00C1209C" w:rsidRDefault="00395DBA" w:rsidP="00DB786A">
            <w:pPr>
              <w:widowControl/>
              <w:tabs>
                <w:tab w:val="right" w:pos="972"/>
              </w:tabs>
              <w:rPr>
                <w:rFonts w:ascii="Times New Roman" w:hAnsi="Times New Roman"/>
                <w:szCs w:val="24"/>
              </w:rPr>
            </w:pPr>
            <w:r w:rsidRPr="00C1209C">
              <w:rPr>
                <w:rFonts w:ascii="Times New Roman" w:hAnsi="Times New Roman"/>
                <w:szCs w:val="24"/>
              </w:rPr>
              <w:tab/>
            </w:r>
            <w:r w:rsidR="00DB786A">
              <w:rPr>
                <w:rFonts w:ascii="Times New Roman" w:hAnsi="Times New Roman"/>
                <w:szCs w:val="24"/>
              </w:rPr>
              <w:t>1,0</w:t>
            </w:r>
            <w:r w:rsidR="00BF677E">
              <w:rPr>
                <w:rFonts w:ascii="Times New Roman" w:hAnsi="Times New Roman"/>
                <w:szCs w:val="24"/>
              </w:rPr>
              <w:t>49</w:t>
            </w:r>
          </w:p>
        </w:tc>
        <w:tc>
          <w:tcPr>
            <w:tcW w:w="1625" w:type="dxa"/>
            <w:vAlign w:val="center"/>
          </w:tcPr>
          <w:p w:rsidR="00395DBA" w:rsidRPr="00C1209C" w:rsidRDefault="00395DBA" w:rsidP="00C1209C">
            <w:pPr>
              <w:widowControl/>
              <w:jc w:val="center"/>
              <w:rPr>
                <w:rFonts w:ascii="Times New Roman" w:hAnsi="Times New Roman"/>
                <w:szCs w:val="24"/>
              </w:rPr>
            </w:pPr>
            <w:r w:rsidRPr="00C1209C">
              <w:rPr>
                <w:rFonts w:ascii="Times New Roman" w:hAnsi="Times New Roman"/>
                <w:szCs w:val="24"/>
              </w:rPr>
              <w:t>4</w:t>
            </w:r>
          </w:p>
        </w:tc>
        <w:tc>
          <w:tcPr>
            <w:tcW w:w="1625" w:type="dxa"/>
            <w:vAlign w:val="center"/>
          </w:tcPr>
          <w:p w:rsidR="00395DBA" w:rsidRPr="00C1209C" w:rsidRDefault="00B33B64" w:rsidP="00C1209C">
            <w:pPr>
              <w:widowControl/>
              <w:tabs>
                <w:tab w:val="decimal" w:pos="770"/>
              </w:tabs>
              <w:rPr>
                <w:rFonts w:ascii="Times New Roman" w:hAnsi="Times New Roman"/>
                <w:szCs w:val="24"/>
              </w:rPr>
            </w:pPr>
            <w:r>
              <w:rPr>
                <w:rFonts w:ascii="Times New Roman" w:hAnsi="Times New Roman"/>
                <w:szCs w:val="24"/>
              </w:rPr>
              <w:t>4</w:t>
            </w:r>
            <w:r w:rsidR="00DF02FC">
              <w:rPr>
                <w:rFonts w:ascii="Times New Roman" w:hAnsi="Times New Roman"/>
                <w:szCs w:val="24"/>
              </w:rPr>
              <w:t>2.25</w:t>
            </w:r>
          </w:p>
        </w:tc>
        <w:tc>
          <w:tcPr>
            <w:tcW w:w="1625" w:type="dxa"/>
            <w:tcBorders>
              <w:top w:val="nil"/>
              <w:bottom w:val="nil"/>
            </w:tcBorders>
            <w:shd w:val="clear" w:color="auto" w:fill="auto"/>
            <w:vAlign w:val="bottom"/>
          </w:tcPr>
          <w:p w:rsidR="00395DBA" w:rsidRPr="00C1209C" w:rsidRDefault="00B33B64" w:rsidP="00C1209C">
            <w:pPr>
              <w:widowControl/>
              <w:tabs>
                <w:tab w:val="right" w:pos="1132"/>
              </w:tabs>
              <w:jc w:val="center"/>
              <w:rPr>
                <w:rFonts w:ascii="Times New Roman" w:hAnsi="Times New Roman"/>
                <w:szCs w:val="24"/>
              </w:rPr>
            </w:pPr>
            <w:r>
              <w:rPr>
                <w:rFonts w:ascii="Times New Roman" w:hAnsi="Times New Roman"/>
                <w:szCs w:val="24"/>
              </w:rPr>
              <w:t>17</w:t>
            </w:r>
            <w:r w:rsidR="00DF02FC">
              <w:rPr>
                <w:rFonts w:ascii="Times New Roman" w:hAnsi="Times New Roman"/>
                <w:szCs w:val="24"/>
              </w:rPr>
              <w:t>7,281</w:t>
            </w:r>
          </w:p>
        </w:tc>
      </w:tr>
      <w:tr w:rsidR="00395DBA" w:rsidRPr="00C1209C" w:rsidTr="00C1209C">
        <w:trPr>
          <w:trHeight w:val="288"/>
          <w:jc w:val="center"/>
        </w:trPr>
        <w:tc>
          <w:tcPr>
            <w:tcW w:w="2880" w:type="dxa"/>
            <w:vAlign w:val="center"/>
          </w:tcPr>
          <w:p w:rsidR="00395DBA" w:rsidRPr="00C1209C" w:rsidRDefault="00395DBA" w:rsidP="00C1209C">
            <w:pPr>
              <w:widowControl/>
              <w:rPr>
                <w:rFonts w:ascii="Times New Roman" w:hAnsi="Times New Roman"/>
                <w:szCs w:val="24"/>
              </w:rPr>
            </w:pPr>
            <w:r w:rsidRPr="00C1209C">
              <w:rPr>
                <w:rFonts w:ascii="Times New Roman" w:hAnsi="Times New Roman"/>
                <w:szCs w:val="24"/>
              </w:rPr>
              <w:t>FR Y-9LP</w:t>
            </w:r>
          </w:p>
        </w:tc>
        <w:tc>
          <w:tcPr>
            <w:tcW w:w="1625" w:type="dxa"/>
            <w:vAlign w:val="center"/>
          </w:tcPr>
          <w:p w:rsidR="00395DBA" w:rsidRPr="00C1209C" w:rsidRDefault="00395DBA" w:rsidP="00DB786A">
            <w:pPr>
              <w:widowControl/>
              <w:tabs>
                <w:tab w:val="right" w:pos="972"/>
              </w:tabs>
              <w:rPr>
                <w:rFonts w:ascii="Times New Roman" w:hAnsi="Times New Roman"/>
                <w:szCs w:val="24"/>
              </w:rPr>
            </w:pPr>
            <w:r w:rsidRPr="00C1209C">
              <w:rPr>
                <w:rFonts w:ascii="Times New Roman" w:hAnsi="Times New Roman"/>
                <w:szCs w:val="24"/>
              </w:rPr>
              <w:tab/>
            </w:r>
            <w:r w:rsidR="00744CE6" w:rsidRPr="00C1209C">
              <w:rPr>
                <w:rFonts w:ascii="Times New Roman" w:hAnsi="Times New Roman"/>
                <w:szCs w:val="24"/>
              </w:rPr>
              <w:t>1,</w:t>
            </w:r>
            <w:r w:rsidR="00DB786A" w:rsidRPr="00C1209C">
              <w:rPr>
                <w:rFonts w:ascii="Times New Roman" w:hAnsi="Times New Roman"/>
                <w:szCs w:val="24"/>
              </w:rPr>
              <w:t>2</w:t>
            </w:r>
            <w:r w:rsidR="00BF677E">
              <w:rPr>
                <w:rFonts w:ascii="Times New Roman" w:hAnsi="Times New Roman"/>
                <w:szCs w:val="24"/>
              </w:rPr>
              <w:t>95</w:t>
            </w:r>
          </w:p>
        </w:tc>
        <w:tc>
          <w:tcPr>
            <w:tcW w:w="1625" w:type="dxa"/>
            <w:vAlign w:val="center"/>
          </w:tcPr>
          <w:p w:rsidR="00395DBA" w:rsidRPr="00C1209C" w:rsidRDefault="00395DBA" w:rsidP="00C1209C">
            <w:pPr>
              <w:widowControl/>
              <w:jc w:val="center"/>
              <w:rPr>
                <w:rFonts w:ascii="Times New Roman" w:hAnsi="Times New Roman"/>
                <w:szCs w:val="24"/>
              </w:rPr>
            </w:pPr>
            <w:r w:rsidRPr="00C1209C">
              <w:rPr>
                <w:rFonts w:ascii="Times New Roman" w:hAnsi="Times New Roman"/>
                <w:szCs w:val="24"/>
              </w:rPr>
              <w:t>4</w:t>
            </w:r>
          </w:p>
        </w:tc>
        <w:tc>
          <w:tcPr>
            <w:tcW w:w="1625" w:type="dxa"/>
            <w:vAlign w:val="center"/>
          </w:tcPr>
          <w:p w:rsidR="00395DBA" w:rsidRPr="00C1209C" w:rsidRDefault="00E37A35" w:rsidP="00C1209C">
            <w:pPr>
              <w:widowControl/>
              <w:tabs>
                <w:tab w:val="decimal" w:pos="770"/>
              </w:tabs>
              <w:rPr>
                <w:rFonts w:ascii="Times New Roman" w:hAnsi="Times New Roman"/>
                <w:szCs w:val="24"/>
              </w:rPr>
            </w:pPr>
            <w:r w:rsidRPr="00C1209C">
              <w:rPr>
                <w:rFonts w:ascii="Times New Roman" w:hAnsi="Times New Roman"/>
                <w:szCs w:val="24"/>
              </w:rPr>
              <w:t>5.25</w:t>
            </w:r>
          </w:p>
        </w:tc>
        <w:tc>
          <w:tcPr>
            <w:tcW w:w="1625" w:type="dxa"/>
            <w:tcBorders>
              <w:top w:val="nil"/>
              <w:bottom w:val="nil"/>
            </w:tcBorders>
            <w:shd w:val="clear" w:color="auto" w:fill="auto"/>
            <w:vAlign w:val="bottom"/>
          </w:tcPr>
          <w:p w:rsidR="00395DBA" w:rsidRPr="00C1209C" w:rsidRDefault="00A8424A" w:rsidP="00DB786A">
            <w:pPr>
              <w:widowControl/>
              <w:tabs>
                <w:tab w:val="right" w:pos="1132"/>
              </w:tabs>
              <w:jc w:val="center"/>
              <w:rPr>
                <w:rFonts w:ascii="Times New Roman" w:hAnsi="Times New Roman"/>
                <w:szCs w:val="24"/>
              </w:rPr>
            </w:pPr>
            <w:r w:rsidRPr="00C1209C">
              <w:rPr>
                <w:rFonts w:ascii="Times New Roman" w:hAnsi="Times New Roman"/>
                <w:szCs w:val="24"/>
              </w:rPr>
              <w:t xml:space="preserve">  </w:t>
            </w:r>
            <w:r w:rsidR="00DB786A">
              <w:rPr>
                <w:rFonts w:ascii="Times New Roman" w:hAnsi="Times New Roman"/>
                <w:szCs w:val="24"/>
              </w:rPr>
              <w:t>2</w:t>
            </w:r>
            <w:r w:rsidR="00DF02FC">
              <w:rPr>
                <w:rFonts w:ascii="Times New Roman" w:hAnsi="Times New Roman"/>
                <w:szCs w:val="24"/>
              </w:rPr>
              <w:t>7,195</w:t>
            </w:r>
          </w:p>
        </w:tc>
      </w:tr>
      <w:tr w:rsidR="00395DBA" w:rsidRPr="00C1209C" w:rsidTr="00C1209C">
        <w:trPr>
          <w:trHeight w:val="288"/>
          <w:jc w:val="center"/>
        </w:trPr>
        <w:tc>
          <w:tcPr>
            <w:tcW w:w="2880" w:type="dxa"/>
            <w:vAlign w:val="center"/>
          </w:tcPr>
          <w:p w:rsidR="00395DBA" w:rsidRPr="00C1209C" w:rsidRDefault="00395DBA" w:rsidP="00C1209C">
            <w:pPr>
              <w:widowControl/>
              <w:rPr>
                <w:rFonts w:ascii="Times New Roman" w:hAnsi="Times New Roman"/>
                <w:szCs w:val="24"/>
              </w:rPr>
            </w:pPr>
            <w:r w:rsidRPr="00C1209C">
              <w:rPr>
                <w:rFonts w:ascii="Times New Roman" w:hAnsi="Times New Roman"/>
                <w:szCs w:val="24"/>
              </w:rPr>
              <w:t>FR Y-9SP</w:t>
            </w:r>
          </w:p>
        </w:tc>
        <w:tc>
          <w:tcPr>
            <w:tcW w:w="1625" w:type="dxa"/>
            <w:vAlign w:val="center"/>
          </w:tcPr>
          <w:p w:rsidR="00395DBA" w:rsidRPr="00C1209C" w:rsidRDefault="00395DBA" w:rsidP="00DB786A">
            <w:pPr>
              <w:widowControl/>
              <w:tabs>
                <w:tab w:val="right" w:pos="972"/>
              </w:tabs>
              <w:rPr>
                <w:rFonts w:ascii="Times New Roman" w:hAnsi="Times New Roman"/>
                <w:szCs w:val="24"/>
              </w:rPr>
            </w:pPr>
            <w:r w:rsidRPr="00C1209C">
              <w:rPr>
                <w:rFonts w:ascii="Times New Roman" w:hAnsi="Times New Roman"/>
                <w:szCs w:val="24"/>
              </w:rPr>
              <w:tab/>
            </w:r>
            <w:r w:rsidR="00744CE6" w:rsidRPr="00C1209C">
              <w:rPr>
                <w:rFonts w:ascii="Times New Roman" w:hAnsi="Times New Roman"/>
                <w:szCs w:val="24"/>
              </w:rPr>
              <w:t>4,</w:t>
            </w:r>
            <w:r w:rsidR="00BF677E">
              <w:rPr>
                <w:rFonts w:ascii="Times New Roman" w:hAnsi="Times New Roman"/>
                <w:szCs w:val="24"/>
              </w:rPr>
              <w:t>186</w:t>
            </w:r>
          </w:p>
        </w:tc>
        <w:tc>
          <w:tcPr>
            <w:tcW w:w="1625" w:type="dxa"/>
            <w:vAlign w:val="center"/>
          </w:tcPr>
          <w:p w:rsidR="00395DBA" w:rsidRPr="00C1209C" w:rsidRDefault="00395DBA" w:rsidP="00C1209C">
            <w:pPr>
              <w:widowControl/>
              <w:jc w:val="center"/>
              <w:rPr>
                <w:rFonts w:ascii="Times New Roman" w:hAnsi="Times New Roman"/>
                <w:szCs w:val="24"/>
              </w:rPr>
            </w:pPr>
            <w:r w:rsidRPr="00C1209C">
              <w:rPr>
                <w:rFonts w:ascii="Times New Roman" w:hAnsi="Times New Roman"/>
                <w:szCs w:val="24"/>
              </w:rPr>
              <w:t>2</w:t>
            </w:r>
          </w:p>
        </w:tc>
        <w:tc>
          <w:tcPr>
            <w:tcW w:w="1625" w:type="dxa"/>
            <w:vAlign w:val="center"/>
          </w:tcPr>
          <w:p w:rsidR="00395DBA" w:rsidRPr="00C1209C" w:rsidRDefault="00B33B64" w:rsidP="00C1209C">
            <w:pPr>
              <w:widowControl/>
              <w:tabs>
                <w:tab w:val="decimal" w:pos="770"/>
              </w:tabs>
              <w:rPr>
                <w:rFonts w:ascii="Times New Roman" w:hAnsi="Times New Roman"/>
                <w:szCs w:val="24"/>
              </w:rPr>
            </w:pPr>
            <w:r>
              <w:rPr>
                <w:rFonts w:ascii="Times New Roman" w:hAnsi="Times New Roman"/>
                <w:szCs w:val="24"/>
              </w:rPr>
              <w:t>5.40</w:t>
            </w:r>
          </w:p>
        </w:tc>
        <w:tc>
          <w:tcPr>
            <w:tcW w:w="1625" w:type="dxa"/>
            <w:tcBorders>
              <w:top w:val="nil"/>
              <w:bottom w:val="nil"/>
            </w:tcBorders>
            <w:shd w:val="clear" w:color="auto" w:fill="auto"/>
            <w:vAlign w:val="bottom"/>
          </w:tcPr>
          <w:p w:rsidR="00395DBA" w:rsidRPr="00C1209C" w:rsidRDefault="00744CE6" w:rsidP="00B33B64">
            <w:pPr>
              <w:widowControl/>
              <w:tabs>
                <w:tab w:val="right" w:pos="1132"/>
              </w:tabs>
              <w:jc w:val="center"/>
              <w:rPr>
                <w:rFonts w:ascii="Times New Roman" w:hAnsi="Times New Roman"/>
                <w:szCs w:val="24"/>
              </w:rPr>
            </w:pPr>
            <w:r w:rsidRPr="00C1209C">
              <w:rPr>
                <w:rFonts w:ascii="Times New Roman" w:hAnsi="Times New Roman"/>
                <w:szCs w:val="24"/>
              </w:rPr>
              <w:t xml:space="preserve">  </w:t>
            </w:r>
            <w:r w:rsidR="00B33B64">
              <w:rPr>
                <w:rFonts w:ascii="Times New Roman" w:hAnsi="Times New Roman"/>
                <w:szCs w:val="24"/>
              </w:rPr>
              <w:t>4</w:t>
            </w:r>
            <w:r w:rsidR="00DF02FC">
              <w:rPr>
                <w:rFonts w:ascii="Times New Roman" w:hAnsi="Times New Roman"/>
                <w:szCs w:val="24"/>
              </w:rPr>
              <w:t>5,209</w:t>
            </w:r>
          </w:p>
        </w:tc>
      </w:tr>
      <w:tr w:rsidR="00395DBA" w:rsidRPr="00C1209C" w:rsidTr="00C1209C">
        <w:trPr>
          <w:trHeight w:val="288"/>
          <w:jc w:val="center"/>
        </w:trPr>
        <w:tc>
          <w:tcPr>
            <w:tcW w:w="2880" w:type="dxa"/>
            <w:vAlign w:val="center"/>
          </w:tcPr>
          <w:p w:rsidR="00395DBA" w:rsidRPr="00C1209C" w:rsidRDefault="00395DBA" w:rsidP="00C1209C">
            <w:pPr>
              <w:widowControl/>
              <w:rPr>
                <w:rFonts w:ascii="Times New Roman" w:hAnsi="Times New Roman"/>
                <w:szCs w:val="24"/>
              </w:rPr>
            </w:pPr>
            <w:r w:rsidRPr="00C1209C">
              <w:rPr>
                <w:rFonts w:ascii="Times New Roman" w:hAnsi="Times New Roman"/>
                <w:szCs w:val="24"/>
              </w:rPr>
              <w:t>FR Y-9ES</w:t>
            </w:r>
          </w:p>
        </w:tc>
        <w:tc>
          <w:tcPr>
            <w:tcW w:w="1625" w:type="dxa"/>
            <w:vAlign w:val="center"/>
          </w:tcPr>
          <w:p w:rsidR="00395DBA" w:rsidRPr="00C1209C" w:rsidRDefault="00395DBA" w:rsidP="00DB786A">
            <w:pPr>
              <w:widowControl/>
              <w:tabs>
                <w:tab w:val="right" w:pos="972"/>
              </w:tabs>
              <w:rPr>
                <w:rFonts w:ascii="Times New Roman" w:hAnsi="Times New Roman"/>
                <w:szCs w:val="24"/>
              </w:rPr>
            </w:pPr>
            <w:r w:rsidRPr="00C1209C">
              <w:rPr>
                <w:rFonts w:ascii="Times New Roman" w:hAnsi="Times New Roman"/>
                <w:szCs w:val="24"/>
              </w:rPr>
              <w:tab/>
            </w:r>
            <w:r w:rsidR="00BF677E">
              <w:rPr>
                <w:rFonts w:ascii="Times New Roman" w:hAnsi="Times New Roman"/>
                <w:szCs w:val="24"/>
              </w:rPr>
              <w:t>87</w:t>
            </w:r>
          </w:p>
        </w:tc>
        <w:tc>
          <w:tcPr>
            <w:tcW w:w="1625" w:type="dxa"/>
            <w:vAlign w:val="center"/>
          </w:tcPr>
          <w:p w:rsidR="00395DBA" w:rsidRPr="00C1209C" w:rsidRDefault="00395DBA" w:rsidP="00C1209C">
            <w:pPr>
              <w:widowControl/>
              <w:jc w:val="center"/>
              <w:rPr>
                <w:rFonts w:ascii="Times New Roman" w:hAnsi="Times New Roman"/>
                <w:szCs w:val="24"/>
              </w:rPr>
            </w:pPr>
            <w:r w:rsidRPr="00C1209C">
              <w:rPr>
                <w:rFonts w:ascii="Times New Roman" w:hAnsi="Times New Roman"/>
                <w:szCs w:val="24"/>
              </w:rPr>
              <w:t>1</w:t>
            </w:r>
          </w:p>
        </w:tc>
        <w:tc>
          <w:tcPr>
            <w:tcW w:w="1625" w:type="dxa"/>
            <w:vAlign w:val="center"/>
          </w:tcPr>
          <w:p w:rsidR="00395DBA" w:rsidRPr="00C1209C" w:rsidRDefault="00395DBA" w:rsidP="00C1209C">
            <w:pPr>
              <w:widowControl/>
              <w:tabs>
                <w:tab w:val="decimal" w:pos="770"/>
              </w:tabs>
              <w:rPr>
                <w:rFonts w:ascii="Times New Roman" w:hAnsi="Times New Roman"/>
                <w:szCs w:val="24"/>
              </w:rPr>
            </w:pPr>
            <w:r w:rsidRPr="00C1209C">
              <w:rPr>
                <w:rFonts w:ascii="Times New Roman" w:hAnsi="Times New Roman"/>
                <w:szCs w:val="24"/>
              </w:rPr>
              <w:t>0.50</w:t>
            </w:r>
          </w:p>
        </w:tc>
        <w:tc>
          <w:tcPr>
            <w:tcW w:w="1625" w:type="dxa"/>
            <w:tcBorders>
              <w:top w:val="nil"/>
              <w:bottom w:val="nil"/>
            </w:tcBorders>
            <w:shd w:val="clear" w:color="auto" w:fill="auto"/>
            <w:vAlign w:val="bottom"/>
          </w:tcPr>
          <w:p w:rsidR="00395DBA" w:rsidRPr="00C1209C" w:rsidRDefault="00A8424A" w:rsidP="00DB786A">
            <w:pPr>
              <w:widowControl/>
              <w:tabs>
                <w:tab w:val="right" w:pos="1132"/>
              </w:tabs>
              <w:jc w:val="center"/>
              <w:rPr>
                <w:rFonts w:ascii="Times New Roman" w:hAnsi="Times New Roman"/>
                <w:szCs w:val="24"/>
              </w:rPr>
            </w:pPr>
            <w:r w:rsidRPr="00C1209C">
              <w:rPr>
                <w:rFonts w:ascii="Times New Roman" w:hAnsi="Times New Roman"/>
                <w:szCs w:val="24"/>
              </w:rPr>
              <w:t xml:space="preserve">         </w:t>
            </w:r>
            <w:r w:rsidR="00DB786A">
              <w:rPr>
                <w:rFonts w:ascii="Times New Roman" w:hAnsi="Times New Roman"/>
                <w:szCs w:val="24"/>
              </w:rPr>
              <w:t>4</w:t>
            </w:r>
            <w:r w:rsidR="00DF02FC">
              <w:rPr>
                <w:rFonts w:ascii="Times New Roman" w:hAnsi="Times New Roman"/>
                <w:szCs w:val="24"/>
              </w:rPr>
              <w:t>4</w:t>
            </w:r>
          </w:p>
        </w:tc>
      </w:tr>
      <w:tr w:rsidR="00395DBA" w:rsidRPr="00C1209C" w:rsidTr="00C1209C">
        <w:trPr>
          <w:trHeight w:val="288"/>
          <w:jc w:val="center"/>
        </w:trPr>
        <w:tc>
          <w:tcPr>
            <w:tcW w:w="2880" w:type="dxa"/>
            <w:vAlign w:val="center"/>
          </w:tcPr>
          <w:p w:rsidR="00395DBA" w:rsidRPr="00C1209C" w:rsidRDefault="00395DBA" w:rsidP="00C1209C">
            <w:pPr>
              <w:widowControl/>
              <w:rPr>
                <w:rFonts w:ascii="Times New Roman" w:hAnsi="Times New Roman"/>
                <w:szCs w:val="24"/>
              </w:rPr>
            </w:pPr>
            <w:r w:rsidRPr="00C1209C">
              <w:rPr>
                <w:rFonts w:ascii="Times New Roman" w:hAnsi="Times New Roman"/>
                <w:szCs w:val="24"/>
              </w:rPr>
              <w:t>FR Y-9CS</w:t>
            </w:r>
          </w:p>
        </w:tc>
        <w:tc>
          <w:tcPr>
            <w:tcW w:w="1625" w:type="dxa"/>
            <w:vAlign w:val="center"/>
          </w:tcPr>
          <w:p w:rsidR="00395DBA" w:rsidRPr="00C1209C" w:rsidRDefault="00395DBA" w:rsidP="00C1209C">
            <w:pPr>
              <w:widowControl/>
              <w:tabs>
                <w:tab w:val="right" w:pos="972"/>
              </w:tabs>
              <w:rPr>
                <w:rFonts w:ascii="Times New Roman" w:hAnsi="Times New Roman"/>
                <w:szCs w:val="24"/>
              </w:rPr>
            </w:pPr>
            <w:r w:rsidRPr="00C1209C">
              <w:rPr>
                <w:rFonts w:ascii="Times New Roman" w:hAnsi="Times New Roman"/>
                <w:szCs w:val="24"/>
              </w:rPr>
              <w:tab/>
            </w:r>
            <w:r w:rsidR="009F6FAE" w:rsidRPr="00C1209C">
              <w:rPr>
                <w:rFonts w:ascii="Times New Roman" w:hAnsi="Times New Roman"/>
                <w:szCs w:val="24"/>
              </w:rPr>
              <w:t>200</w:t>
            </w:r>
          </w:p>
        </w:tc>
        <w:tc>
          <w:tcPr>
            <w:tcW w:w="1625" w:type="dxa"/>
            <w:vAlign w:val="center"/>
          </w:tcPr>
          <w:p w:rsidR="00395DBA" w:rsidRPr="00C1209C" w:rsidRDefault="00395DBA" w:rsidP="00C1209C">
            <w:pPr>
              <w:widowControl/>
              <w:jc w:val="center"/>
              <w:rPr>
                <w:rFonts w:ascii="Times New Roman" w:hAnsi="Times New Roman"/>
                <w:szCs w:val="24"/>
              </w:rPr>
            </w:pPr>
            <w:r w:rsidRPr="00C1209C">
              <w:rPr>
                <w:rFonts w:ascii="Times New Roman" w:hAnsi="Times New Roman"/>
                <w:szCs w:val="24"/>
              </w:rPr>
              <w:t>4</w:t>
            </w:r>
          </w:p>
        </w:tc>
        <w:tc>
          <w:tcPr>
            <w:tcW w:w="1625" w:type="dxa"/>
            <w:vAlign w:val="center"/>
          </w:tcPr>
          <w:p w:rsidR="00395DBA" w:rsidRPr="00C1209C" w:rsidRDefault="00395DBA" w:rsidP="00C1209C">
            <w:pPr>
              <w:widowControl/>
              <w:tabs>
                <w:tab w:val="decimal" w:pos="770"/>
              </w:tabs>
              <w:rPr>
                <w:rFonts w:ascii="Times New Roman" w:hAnsi="Times New Roman"/>
                <w:szCs w:val="24"/>
              </w:rPr>
            </w:pPr>
            <w:r w:rsidRPr="00C1209C">
              <w:rPr>
                <w:rFonts w:ascii="Times New Roman" w:hAnsi="Times New Roman"/>
                <w:szCs w:val="24"/>
              </w:rPr>
              <w:t>0.50</w:t>
            </w:r>
          </w:p>
        </w:tc>
        <w:tc>
          <w:tcPr>
            <w:tcW w:w="1625" w:type="dxa"/>
            <w:tcBorders>
              <w:top w:val="nil"/>
              <w:bottom w:val="nil"/>
            </w:tcBorders>
            <w:shd w:val="clear" w:color="auto" w:fill="auto"/>
            <w:vAlign w:val="bottom"/>
          </w:tcPr>
          <w:p w:rsidR="00395DBA" w:rsidRPr="00C1209C" w:rsidRDefault="00A8424A" w:rsidP="00C1209C">
            <w:pPr>
              <w:widowControl/>
              <w:tabs>
                <w:tab w:val="right" w:pos="1132"/>
              </w:tabs>
              <w:jc w:val="center"/>
              <w:rPr>
                <w:rFonts w:ascii="Times New Roman" w:hAnsi="Times New Roman"/>
                <w:szCs w:val="24"/>
                <w:u w:val="single"/>
              </w:rPr>
            </w:pPr>
            <w:r w:rsidRPr="00C1209C">
              <w:rPr>
                <w:rFonts w:ascii="Times New Roman" w:hAnsi="Times New Roman"/>
                <w:szCs w:val="24"/>
                <w:u w:val="single"/>
              </w:rPr>
              <w:t xml:space="preserve">   </w:t>
            </w:r>
            <w:r w:rsidR="00744CE6" w:rsidRPr="00C1209C">
              <w:rPr>
                <w:rFonts w:ascii="Times New Roman" w:hAnsi="Times New Roman"/>
                <w:szCs w:val="24"/>
                <w:u w:val="single"/>
              </w:rPr>
              <w:t xml:space="preserve">   </w:t>
            </w:r>
            <w:r w:rsidRPr="00C1209C">
              <w:rPr>
                <w:rFonts w:ascii="Times New Roman" w:hAnsi="Times New Roman"/>
                <w:szCs w:val="24"/>
                <w:u w:val="single"/>
              </w:rPr>
              <w:t xml:space="preserve"> </w:t>
            </w:r>
            <w:r w:rsidR="009F6FAE" w:rsidRPr="00C1209C">
              <w:rPr>
                <w:rFonts w:ascii="Times New Roman" w:hAnsi="Times New Roman"/>
                <w:szCs w:val="24"/>
                <w:u w:val="single"/>
              </w:rPr>
              <w:t>400</w:t>
            </w:r>
          </w:p>
        </w:tc>
      </w:tr>
      <w:tr w:rsidR="00395DBA" w:rsidRPr="00C1209C" w:rsidTr="00C1209C">
        <w:trPr>
          <w:trHeight w:val="288"/>
          <w:jc w:val="center"/>
        </w:trPr>
        <w:tc>
          <w:tcPr>
            <w:tcW w:w="2880" w:type="dxa"/>
            <w:vAlign w:val="center"/>
          </w:tcPr>
          <w:p w:rsidR="00395DBA" w:rsidRPr="00C1209C" w:rsidRDefault="00395DBA" w:rsidP="00C1209C">
            <w:pPr>
              <w:widowControl/>
              <w:jc w:val="right"/>
              <w:rPr>
                <w:rFonts w:ascii="Times New Roman" w:hAnsi="Times New Roman"/>
                <w:szCs w:val="24"/>
              </w:rPr>
            </w:pPr>
            <w:r w:rsidRPr="00C1209C">
              <w:rPr>
                <w:rFonts w:ascii="Times New Roman" w:hAnsi="Times New Roman"/>
                <w:i/>
                <w:szCs w:val="24"/>
              </w:rPr>
              <w:t>Total</w:t>
            </w:r>
          </w:p>
        </w:tc>
        <w:tc>
          <w:tcPr>
            <w:tcW w:w="1625" w:type="dxa"/>
            <w:vAlign w:val="center"/>
          </w:tcPr>
          <w:p w:rsidR="00395DBA" w:rsidRPr="00C1209C" w:rsidRDefault="00395DBA" w:rsidP="00C1209C">
            <w:pPr>
              <w:widowControl/>
              <w:tabs>
                <w:tab w:val="right" w:pos="972"/>
              </w:tabs>
              <w:rPr>
                <w:rFonts w:ascii="Times New Roman" w:hAnsi="Times New Roman"/>
                <w:szCs w:val="24"/>
              </w:rPr>
            </w:pPr>
          </w:p>
        </w:tc>
        <w:tc>
          <w:tcPr>
            <w:tcW w:w="1625" w:type="dxa"/>
          </w:tcPr>
          <w:p w:rsidR="00395DBA" w:rsidRPr="00C1209C" w:rsidRDefault="00395DBA" w:rsidP="00C1209C">
            <w:pPr>
              <w:widowControl/>
              <w:jc w:val="center"/>
              <w:rPr>
                <w:rFonts w:ascii="Times New Roman" w:hAnsi="Times New Roman"/>
                <w:szCs w:val="24"/>
              </w:rPr>
            </w:pPr>
          </w:p>
        </w:tc>
        <w:tc>
          <w:tcPr>
            <w:tcW w:w="1625" w:type="dxa"/>
            <w:vAlign w:val="center"/>
          </w:tcPr>
          <w:p w:rsidR="00395DBA" w:rsidRPr="00C1209C" w:rsidRDefault="00395DBA" w:rsidP="00C1209C">
            <w:pPr>
              <w:widowControl/>
              <w:tabs>
                <w:tab w:val="decimal" w:pos="770"/>
              </w:tabs>
              <w:rPr>
                <w:rFonts w:ascii="Times New Roman" w:hAnsi="Times New Roman"/>
                <w:szCs w:val="24"/>
              </w:rPr>
            </w:pPr>
          </w:p>
        </w:tc>
        <w:tc>
          <w:tcPr>
            <w:tcW w:w="1625" w:type="dxa"/>
            <w:tcBorders>
              <w:top w:val="nil"/>
              <w:bottom w:val="nil"/>
            </w:tcBorders>
            <w:shd w:val="clear" w:color="auto" w:fill="auto"/>
            <w:vAlign w:val="bottom"/>
          </w:tcPr>
          <w:p w:rsidR="00395DBA" w:rsidRPr="00C1209C" w:rsidRDefault="00B33B64" w:rsidP="00C1209C">
            <w:pPr>
              <w:widowControl/>
              <w:tabs>
                <w:tab w:val="right" w:pos="1132"/>
              </w:tabs>
              <w:jc w:val="center"/>
              <w:rPr>
                <w:rFonts w:ascii="Times New Roman" w:hAnsi="Times New Roman"/>
                <w:szCs w:val="24"/>
              </w:rPr>
            </w:pPr>
            <w:r>
              <w:rPr>
                <w:rFonts w:ascii="Times New Roman" w:hAnsi="Times New Roman"/>
                <w:szCs w:val="24"/>
              </w:rPr>
              <w:t>2</w:t>
            </w:r>
            <w:r w:rsidR="00DF02FC">
              <w:rPr>
                <w:rFonts w:ascii="Times New Roman" w:hAnsi="Times New Roman"/>
                <w:szCs w:val="24"/>
              </w:rPr>
              <w:t>50,129</w:t>
            </w:r>
          </w:p>
        </w:tc>
      </w:tr>
      <w:tr w:rsidR="00395DBA" w:rsidRPr="00C1209C" w:rsidTr="00C1209C">
        <w:trPr>
          <w:trHeight w:val="288"/>
          <w:jc w:val="center"/>
        </w:trPr>
        <w:tc>
          <w:tcPr>
            <w:tcW w:w="2880" w:type="dxa"/>
            <w:vAlign w:val="center"/>
          </w:tcPr>
          <w:p w:rsidR="00395DBA" w:rsidRPr="00C1209C" w:rsidRDefault="00395DBA" w:rsidP="00C1209C">
            <w:pPr>
              <w:widowControl/>
              <w:rPr>
                <w:rFonts w:ascii="Times New Roman" w:hAnsi="Times New Roman"/>
                <w:szCs w:val="24"/>
              </w:rPr>
            </w:pPr>
          </w:p>
        </w:tc>
        <w:tc>
          <w:tcPr>
            <w:tcW w:w="1625" w:type="dxa"/>
            <w:vAlign w:val="center"/>
          </w:tcPr>
          <w:p w:rsidR="00395DBA" w:rsidRPr="00C1209C" w:rsidRDefault="00395DBA" w:rsidP="00C1209C">
            <w:pPr>
              <w:widowControl/>
              <w:tabs>
                <w:tab w:val="right" w:pos="972"/>
              </w:tabs>
              <w:rPr>
                <w:rFonts w:ascii="Times New Roman" w:hAnsi="Times New Roman"/>
                <w:szCs w:val="24"/>
              </w:rPr>
            </w:pPr>
          </w:p>
        </w:tc>
        <w:tc>
          <w:tcPr>
            <w:tcW w:w="1625" w:type="dxa"/>
          </w:tcPr>
          <w:p w:rsidR="00395DBA" w:rsidRPr="00C1209C" w:rsidRDefault="00395DBA" w:rsidP="00C1209C">
            <w:pPr>
              <w:widowControl/>
              <w:jc w:val="center"/>
              <w:rPr>
                <w:rFonts w:ascii="Times New Roman" w:hAnsi="Times New Roman"/>
                <w:szCs w:val="24"/>
              </w:rPr>
            </w:pPr>
          </w:p>
        </w:tc>
        <w:tc>
          <w:tcPr>
            <w:tcW w:w="1625" w:type="dxa"/>
            <w:vAlign w:val="center"/>
          </w:tcPr>
          <w:p w:rsidR="00395DBA" w:rsidRPr="00C1209C" w:rsidRDefault="00395DBA" w:rsidP="00C1209C">
            <w:pPr>
              <w:widowControl/>
              <w:tabs>
                <w:tab w:val="decimal" w:pos="770"/>
              </w:tabs>
              <w:rPr>
                <w:rFonts w:ascii="Times New Roman" w:hAnsi="Times New Roman"/>
                <w:szCs w:val="24"/>
              </w:rPr>
            </w:pPr>
          </w:p>
        </w:tc>
        <w:tc>
          <w:tcPr>
            <w:tcW w:w="1625" w:type="dxa"/>
            <w:tcBorders>
              <w:top w:val="nil"/>
              <w:bottom w:val="nil"/>
            </w:tcBorders>
            <w:shd w:val="clear" w:color="auto" w:fill="auto"/>
            <w:vAlign w:val="bottom"/>
          </w:tcPr>
          <w:p w:rsidR="00395DBA" w:rsidRPr="00C1209C" w:rsidRDefault="00395DBA" w:rsidP="00C1209C">
            <w:pPr>
              <w:widowControl/>
              <w:jc w:val="center"/>
              <w:rPr>
                <w:rFonts w:ascii="Times New Roman" w:hAnsi="Times New Roman"/>
                <w:szCs w:val="24"/>
              </w:rPr>
            </w:pPr>
          </w:p>
        </w:tc>
      </w:tr>
      <w:tr w:rsidR="00395DBA" w:rsidRPr="00C1209C" w:rsidTr="00C1209C">
        <w:trPr>
          <w:trHeight w:val="288"/>
          <w:jc w:val="center"/>
        </w:trPr>
        <w:tc>
          <w:tcPr>
            <w:tcW w:w="2880" w:type="dxa"/>
            <w:vAlign w:val="center"/>
          </w:tcPr>
          <w:p w:rsidR="00395DBA" w:rsidRPr="00C1209C" w:rsidRDefault="00395DBA" w:rsidP="00C1209C">
            <w:pPr>
              <w:widowControl/>
              <w:rPr>
                <w:rFonts w:ascii="Times New Roman" w:hAnsi="Times New Roman"/>
                <w:szCs w:val="24"/>
                <w:u w:val="single"/>
              </w:rPr>
            </w:pPr>
            <w:r w:rsidRPr="00C1209C">
              <w:rPr>
                <w:rFonts w:ascii="Times New Roman" w:hAnsi="Times New Roman"/>
                <w:i/>
                <w:szCs w:val="24"/>
                <w:u w:val="single"/>
              </w:rPr>
              <w:t>Proposed</w:t>
            </w:r>
          </w:p>
        </w:tc>
        <w:tc>
          <w:tcPr>
            <w:tcW w:w="1625" w:type="dxa"/>
            <w:vAlign w:val="center"/>
          </w:tcPr>
          <w:p w:rsidR="00395DBA" w:rsidRPr="00C1209C" w:rsidRDefault="00395DBA" w:rsidP="00C1209C">
            <w:pPr>
              <w:widowControl/>
              <w:tabs>
                <w:tab w:val="right" w:pos="972"/>
              </w:tabs>
              <w:rPr>
                <w:rFonts w:ascii="Times New Roman" w:hAnsi="Times New Roman"/>
                <w:szCs w:val="24"/>
              </w:rPr>
            </w:pPr>
          </w:p>
        </w:tc>
        <w:tc>
          <w:tcPr>
            <w:tcW w:w="1625" w:type="dxa"/>
          </w:tcPr>
          <w:p w:rsidR="00395DBA" w:rsidRPr="00C1209C" w:rsidRDefault="00395DBA" w:rsidP="00C1209C">
            <w:pPr>
              <w:widowControl/>
              <w:jc w:val="center"/>
              <w:rPr>
                <w:rFonts w:ascii="Times New Roman" w:hAnsi="Times New Roman"/>
                <w:szCs w:val="24"/>
              </w:rPr>
            </w:pPr>
          </w:p>
        </w:tc>
        <w:tc>
          <w:tcPr>
            <w:tcW w:w="1625" w:type="dxa"/>
            <w:vAlign w:val="center"/>
          </w:tcPr>
          <w:p w:rsidR="00395DBA" w:rsidRPr="00C1209C" w:rsidRDefault="00395DBA" w:rsidP="00C1209C">
            <w:pPr>
              <w:widowControl/>
              <w:tabs>
                <w:tab w:val="decimal" w:pos="770"/>
              </w:tabs>
              <w:rPr>
                <w:rFonts w:ascii="Times New Roman" w:hAnsi="Times New Roman"/>
                <w:szCs w:val="24"/>
              </w:rPr>
            </w:pPr>
          </w:p>
        </w:tc>
        <w:tc>
          <w:tcPr>
            <w:tcW w:w="1625" w:type="dxa"/>
            <w:tcBorders>
              <w:top w:val="nil"/>
              <w:bottom w:val="nil"/>
            </w:tcBorders>
            <w:shd w:val="clear" w:color="auto" w:fill="auto"/>
            <w:vAlign w:val="bottom"/>
          </w:tcPr>
          <w:p w:rsidR="00395DBA" w:rsidRPr="00C1209C" w:rsidRDefault="00395DBA" w:rsidP="00C1209C">
            <w:pPr>
              <w:widowControl/>
              <w:jc w:val="center"/>
              <w:rPr>
                <w:rFonts w:ascii="Times New Roman" w:hAnsi="Times New Roman"/>
                <w:szCs w:val="24"/>
              </w:rPr>
            </w:pPr>
          </w:p>
        </w:tc>
      </w:tr>
      <w:tr w:rsidR="00395DBA" w:rsidRPr="00C1209C" w:rsidTr="00C1209C">
        <w:trPr>
          <w:trHeight w:val="288"/>
          <w:jc w:val="center"/>
        </w:trPr>
        <w:tc>
          <w:tcPr>
            <w:tcW w:w="2880" w:type="dxa"/>
            <w:vAlign w:val="center"/>
          </w:tcPr>
          <w:p w:rsidR="00395DBA" w:rsidRPr="00C1209C" w:rsidRDefault="00395DBA" w:rsidP="00C1209C">
            <w:pPr>
              <w:widowControl/>
              <w:rPr>
                <w:rFonts w:ascii="Times New Roman" w:hAnsi="Times New Roman"/>
                <w:szCs w:val="24"/>
              </w:rPr>
            </w:pPr>
            <w:r w:rsidRPr="00C1209C">
              <w:rPr>
                <w:rFonts w:ascii="Times New Roman" w:hAnsi="Times New Roman"/>
                <w:szCs w:val="24"/>
              </w:rPr>
              <w:t>FR Y-9C</w:t>
            </w:r>
          </w:p>
        </w:tc>
        <w:tc>
          <w:tcPr>
            <w:tcW w:w="1625" w:type="dxa"/>
            <w:vAlign w:val="center"/>
          </w:tcPr>
          <w:p w:rsidR="00395DBA" w:rsidRPr="00C1209C" w:rsidRDefault="00395DBA" w:rsidP="00DB786A">
            <w:pPr>
              <w:widowControl/>
              <w:tabs>
                <w:tab w:val="right" w:pos="972"/>
              </w:tabs>
              <w:rPr>
                <w:rFonts w:ascii="Times New Roman" w:hAnsi="Times New Roman"/>
                <w:szCs w:val="24"/>
              </w:rPr>
            </w:pPr>
            <w:r w:rsidRPr="00C1209C">
              <w:rPr>
                <w:rFonts w:ascii="Times New Roman" w:hAnsi="Times New Roman"/>
                <w:szCs w:val="24"/>
              </w:rPr>
              <w:tab/>
            </w:r>
            <w:r w:rsidR="00DB786A">
              <w:rPr>
                <w:rFonts w:ascii="Times New Roman" w:hAnsi="Times New Roman"/>
                <w:szCs w:val="24"/>
              </w:rPr>
              <w:t>1,0</w:t>
            </w:r>
            <w:r w:rsidR="00BF677E">
              <w:rPr>
                <w:rFonts w:ascii="Times New Roman" w:hAnsi="Times New Roman"/>
                <w:szCs w:val="24"/>
              </w:rPr>
              <w:t>49</w:t>
            </w:r>
          </w:p>
        </w:tc>
        <w:tc>
          <w:tcPr>
            <w:tcW w:w="1625" w:type="dxa"/>
            <w:vAlign w:val="center"/>
          </w:tcPr>
          <w:p w:rsidR="00395DBA" w:rsidRPr="00C1209C" w:rsidRDefault="00395DBA" w:rsidP="00C1209C">
            <w:pPr>
              <w:widowControl/>
              <w:jc w:val="center"/>
              <w:rPr>
                <w:rFonts w:ascii="Times New Roman" w:hAnsi="Times New Roman"/>
                <w:szCs w:val="24"/>
              </w:rPr>
            </w:pPr>
            <w:r w:rsidRPr="00C1209C">
              <w:rPr>
                <w:rFonts w:ascii="Times New Roman" w:hAnsi="Times New Roman"/>
                <w:szCs w:val="24"/>
              </w:rPr>
              <w:t>4</w:t>
            </w:r>
          </w:p>
        </w:tc>
        <w:tc>
          <w:tcPr>
            <w:tcW w:w="1625" w:type="dxa"/>
            <w:vAlign w:val="center"/>
          </w:tcPr>
          <w:p w:rsidR="00395DBA" w:rsidRPr="00C1209C" w:rsidRDefault="005402BD" w:rsidP="0020361A">
            <w:pPr>
              <w:widowControl/>
              <w:tabs>
                <w:tab w:val="decimal" w:pos="770"/>
              </w:tabs>
              <w:rPr>
                <w:rFonts w:ascii="Times New Roman" w:hAnsi="Times New Roman"/>
                <w:szCs w:val="24"/>
              </w:rPr>
            </w:pPr>
            <w:r>
              <w:rPr>
                <w:rFonts w:ascii="Times New Roman" w:hAnsi="Times New Roman"/>
                <w:szCs w:val="24"/>
              </w:rPr>
              <w:t>45.0</w:t>
            </w:r>
            <w:r w:rsidR="0020361A">
              <w:rPr>
                <w:rFonts w:ascii="Times New Roman" w:hAnsi="Times New Roman"/>
                <w:szCs w:val="24"/>
              </w:rPr>
              <w:t>0</w:t>
            </w:r>
          </w:p>
        </w:tc>
        <w:tc>
          <w:tcPr>
            <w:tcW w:w="1625" w:type="dxa"/>
            <w:tcBorders>
              <w:top w:val="nil"/>
              <w:bottom w:val="nil"/>
            </w:tcBorders>
            <w:shd w:val="clear" w:color="auto" w:fill="auto"/>
            <w:vAlign w:val="bottom"/>
          </w:tcPr>
          <w:p w:rsidR="00395DBA" w:rsidRPr="00C1209C" w:rsidRDefault="005402BD" w:rsidP="00C226D3">
            <w:pPr>
              <w:widowControl/>
              <w:tabs>
                <w:tab w:val="right" w:pos="1132"/>
              </w:tabs>
              <w:jc w:val="center"/>
              <w:rPr>
                <w:rFonts w:ascii="Times New Roman" w:hAnsi="Times New Roman"/>
                <w:szCs w:val="24"/>
              </w:rPr>
            </w:pPr>
            <w:r>
              <w:rPr>
                <w:rFonts w:ascii="Times New Roman" w:hAnsi="Times New Roman"/>
                <w:szCs w:val="24"/>
              </w:rPr>
              <w:t>188,820</w:t>
            </w:r>
          </w:p>
        </w:tc>
      </w:tr>
      <w:tr w:rsidR="00395DBA" w:rsidRPr="00C1209C" w:rsidTr="00C1209C">
        <w:trPr>
          <w:trHeight w:val="288"/>
          <w:jc w:val="center"/>
        </w:trPr>
        <w:tc>
          <w:tcPr>
            <w:tcW w:w="2880" w:type="dxa"/>
            <w:vAlign w:val="center"/>
          </w:tcPr>
          <w:p w:rsidR="00395DBA" w:rsidRPr="00C1209C" w:rsidRDefault="00395DBA" w:rsidP="00C1209C">
            <w:pPr>
              <w:widowControl/>
              <w:rPr>
                <w:rFonts w:ascii="Times New Roman" w:hAnsi="Times New Roman"/>
                <w:szCs w:val="24"/>
              </w:rPr>
            </w:pPr>
            <w:r w:rsidRPr="00C1209C">
              <w:rPr>
                <w:rFonts w:ascii="Times New Roman" w:hAnsi="Times New Roman"/>
                <w:szCs w:val="24"/>
              </w:rPr>
              <w:t>FR Y-9LP</w:t>
            </w:r>
          </w:p>
        </w:tc>
        <w:tc>
          <w:tcPr>
            <w:tcW w:w="1625" w:type="dxa"/>
            <w:vAlign w:val="center"/>
          </w:tcPr>
          <w:p w:rsidR="00395DBA" w:rsidRPr="00C1209C" w:rsidRDefault="00395DBA" w:rsidP="00DB786A">
            <w:pPr>
              <w:widowControl/>
              <w:tabs>
                <w:tab w:val="right" w:pos="972"/>
              </w:tabs>
              <w:rPr>
                <w:rFonts w:ascii="Times New Roman" w:hAnsi="Times New Roman"/>
                <w:szCs w:val="24"/>
              </w:rPr>
            </w:pPr>
            <w:r w:rsidRPr="00C1209C">
              <w:rPr>
                <w:rFonts w:ascii="Times New Roman" w:hAnsi="Times New Roman"/>
                <w:szCs w:val="24"/>
              </w:rPr>
              <w:tab/>
            </w:r>
            <w:r w:rsidR="00744CE6" w:rsidRPr="00C1209C">
              <w:rPr>
                <w:rFonts w:ascii="Times New Roman" w:hAnsi="Times New Roman"/>
                <w:szCs w:val="24"/>
              </w:rPr>
              <w:t>1,</w:t>
            </w:r>
            <w:r w:rsidR="00DB786A">
              <w:rPr>
                <w:rFonts w:ascii="Times New Roman" w:hAnsi="Times New Roman"/>
                <w:szCs w:val="24"/>
              </w:rPr>
              <w:t>2</w:t>
            </w:r>
            <w:r w:rsidR="00DF02FC">
              <w:rPr>
                <w:rFonts w:ascii="Times New Roman" w:hAnsi="Times New Roman"/>
                <w:szCs w:val="24"/>
              </w:rPr>
              <w:t>95</w:t>
            </w:r>
          </w:p>
        </w:tc>
        <w:tc>
          <w:tcPr>
            <w:tcW w:w="1625" w:type="dxa"/>
            <w:vAlign w:val="center"/>
          </w:tcPr>
          <w:p w:rsidR="00395DBA" w:rsidRPr="00C1209C" w:rsidRDefault="00395DBA" w:rsidP="00C1209C">
            <w:pPr>
              <w:widowControl/>
              <w:jc w:val="center"/>
              <w:rPr>
                <w:rFonts w:ascii="Times New Roman" w:hAnsi="Times New Roman"/>
                <w:szCs w:val="24"/>
              </w:rPr>
            </w:pPr>
            <w:r w:rsidRPr="00C1209C">
              <w:rPr>
                <w:rFonts w:ascii="Times New Roman" w:hAnsi="Times New Roman"/>
                <w:szCs w:val="24"/>
              </w:rPr>
              <w:t>4</w:t>
            </w:r>
          </w:p>
        </w:tc>
        <w:tc>
          <w:tcPr>
            <w:tcW w:w="1625" w:type="dxa"/>
            <w:vAlign w:val="center"/>
          </w:tcPr>
          <w:p w:rsidR="00395DBA" w:rsidRPr="00C1209C" w:rsidRDefault="006164E7" w:rsidP="00C1209C">
            <w:pPr>
              <w:widowControl/>
              <w:tabs>
                <w:tab w:val="decimal" w:pos="770"/>
              </w:tabs>
              <w:rPr>
                <w:rFonts w:ascii="Times New Roman" w:hAnsi="Times New Roman"/>
                <w:szCs w:val="24"/>
              </w:rPr>
            </w:pPr>
            <w:r w:rsidRPr="00C1209C">
              <w:rPr>
                <w:rFonts w:ascii="Times New Roman" w:hAnsi="Times New Roman"/>
                <w:szCs w:val="24"/>
              </w:rPr>
              <w:t>5.25</w:t>
            </w:r>
          </w:p>
        </w:tc>
        <w:tc>
          <w:tcPr>
            <w:tcW w:w="1625" w:type="dxa"/>
            <w:tcBorders>
              <w:top w:val="nil"/>
              <w:bottom w:val="nil"/>
            </w:tcBorders>
            <w:shd w:val="clear" w:color="auto" w:fill="auto"/>
            <w:vAlign w:val="bottom"/>
          </w:tcPr>
          <w:p w:rsidR="00395DBA" w:rsidRPr="00C1209C" w:rsidRDefault="00A8424A" w:rsidP="00DB786A">
            <w:pPr>
              <w:widowControl/>
              <w:tabs>
                <w:tab w:val="right" w:pos="1132"/>
              </w:tabs>
              <w:jc w:val="center"/>
              <w:rPr>
                <w:rFonts w:ascii="Times New Roman" w:hAnsi="Times New Roman"/>
                <w:szCs w:val="24"/>
              </w:rPr>
            </w:pPr>
            <w:r w:rsidRPr="00C1209C">
              <w:rPr>
                <w:rFonts w:ascii="Times New Roman" w:hAnsi="Times New Roman"/>
                <w:szCs w:val="24"/>
              </w:rPr>
              <w:t xml:space="preserve">  </w:t>
            </w:r>
            <w:r w:rsidR="00DB786A">
              <w:rPr>
                <w:rFonts w:ascii="Times New Roman" w:hAnsi="Times New Roman"/>
                <w:szCs w:val="24"/>
              </w:rPr>
              <w:t>2</w:t>
            </w:r>
            <w:r w:rsidR="00DF02FC">
              <w:rPr>
                <w:rFonts w:ascii="Times New Roman" w:hAnsi="Times New Roman"/>
                <w:szCs w:val="24"/>
              </w:rPr>
              <w:t>7,195</w:t>
            </w:r>
          </w:p>
        </w:tc>
      </w:tr>
      <w:tr w:rsidR="00395DBA" w:rsidRPr="00C1209C" w:rsidTr="00C1209C">
        <w:trPr>
          <w:trHeight w:val="288"/>
          <w:jc w:val="center"/>
        </w:trPr>
        <w:tc>
          <w:tcPr>
            <w:tcW w:w="2880" w:type="dxa"/>
            <w:vAlign w:val="center"/>
          </w:tcPr>
          <w:p w:rsidR="00395DBA" w:rsidRPr="00C1209C" w:rsidRDefault="00395DBA" w:rsidP="00C1209C">
            <w:pPr>
              <w:widowControl/>
              <w:rPr>
                <w:rFonts w:ascii="Times New Roman" w:hAnsi="Times New Roman"/>
                <w:szCs w:val="24"/>
              </w:rPr>
            </w:pPr>
            <w:r w:rsidRPr="00C1209C">
              <w:rPr>
                <w:rFonts w:ascii="Times New Roman" w:hAnsi="Times New Roman"/>
                <w:szCs w:val="24"/>
              </w:rPr>
              <w:t>FR Y-9SP</w:t>
            </w:r>
          </w:p>
        </w:tc>
        <w:tc>
          <w:tcPr>
            <w:tcW w:w="1625" w:type="dxa"/>
            <w:vAlign w:val="center"/>
          </w:tcPr>
          <w:p w:rsidR="00395DBA" w:rsidRPr="00C1209C" w:rsidRDefault="00395DBA" w:rsidP="00DB786A">
            <w:pPr>
              <w:widowControl/>
              <w:tabs>
                <w:tab w:val="right" w:pos="972"/>
              </w:tabs>
              <w:rPr>
                <w:rFonts w:ascii="Times New Roman" w:hAnsi="Times New Roman"/>
                <w:szCs w:val="24"/>
              </w:rPr>
            </w:pPr>
            <w:r w:rsidRPr="00C1209C">
              <w:rPr>
                <w:rFonts w:ascii="Times New Roman" w:hAnsi="Times New Roman"/>
                <w:szCs w:val="24"/>
              </w:rPr>
              <w:tab/>
            </w:r>
            <w:r w:rsidR="00744CE6" w:rsidRPr="00C1209C">
              <w:rPr>
                <w:rFonts w:ascii="Times New Roman" w:hAnsi="Times New Roman"/>
                <w:szCs w:val="24"/>
              </w:rPr>
              <w:t>4,</w:t>
            </w:r>
            <w:r w:rsidR="00DF02FC">
              <w:rPr>
                <w:rFonts w:ascii="Times New Roman" w:hAnsi="Times New Roman"/>
                <w:szCs w:val="24"/>
              </w:rPr>
              <w:t>186</w:t>
            </w:r>
          </w:p>
        </w:tc>
        <w:tc>
          <w:tcPr>
            <w:tcW w:w="1625" w:type="dxa"/>
            <w:vAlign w:val="center"/>
          </w:tcPr>
          <w:p w:rsidR="00395DBA" w:rsidRPr="00C1209C" w:rsidRDefault="00395DBA" w:rsidP="00C1209C">
            <w:pPr>
              <w:widowControl/>
              <w:jc w:val="center"/>
              <w:rPr>
                <w:rFonts w:ascii="Times New Roman" w:hAnsi="Times New Roman"/>
                <w:szCs w:val="24"/>
              </w:rPr>
            </w:pPr>
            <w:r w:rsidRPr="00C1209C">
              <w:rPr>
                <w:rFonts w:ascii="Times New Roman" w:hAnsi="Times New Roman"/>
                <w:szCs w:val="24"/>
              </w:rPr>
              <w:t>2</w:t>
            </w:r>
          </w:p>
        </w:tc>
        <w:tc>
          <w:tcPr>
            <w:tcW w:w="1625" w:type="dxa"/>
            <w:vAlign w:val="center"/>
          </w:tcPr>
          <w:p w:rsidR="00395DBA" w:rsidRPr="00C1209C" w:rsidRDefault="00C20665" w:rsidP="00C1209C">
            <w:pPr>
              <w:widowControl/>
              <w:tabs>
                <w:tab w:val="decimal" w:pos="770"/>
              </w:tabs>
              <w:rPr>
                <w:rFonts w:ascii="Times New Roman" w:hAnsi="Times New Roman"/>
                <w:szCs w:val="24"/>
              </w:rPr>
            </w:pPr>
            <w:r>
              <w:rPr>
                <w:rFonts w:ascii="Times New Roman" w:hAnsi="Times New Roman"/>
                <w:szCs w:val="24"/>
              </w:rPr>
              <w:t>5.40</w:t>
            </w:r>
          </w:p>
        </w:tc>
        <w:tc>
          <w:tcPr>
            <w:tcW w:w="1625" w:type="dxa"/>
            <w:tcBorders>
              <w:top w:val="nil"/>
              <w:bottom w:val="nil"/>
            </w:tcBorders>
            <w:shd w:val="clear" w:color="auto" w:fill="auto"/>
            <w:vAlign w:val="bottom"/>
          </w:tcPr>
          <w:p w:rsidR="00395DBA" w:rsidRPr="00C1209C" w:rsidRDefault="00A8424A" w:rsidP="00C20665">
            <w:pPr>
              <w:widowControl/>
              <w:tabs>
                <w:tab w:val="right" w:pos="1132"/>
              </w:tabs>
              <w:jc w:val="center"/>
              <w:rPr>
                <w:rFonts w:ascii="Times New Roman" w:hAnsi="Times New Roman"/>
                <w:szCs w:val="24"/>
              </w:rPr>
            </w:pPr>
            <w:r w:rsidRPr="00C1209C">
              <w:rPr>
                <w:rFonts w:ascii="Times New Roman" w:hAnsi="Times New Roman"/>
                <w:szCs w:val="24"/>
              </w:rPr>
              <w:t xml:space="preserve">  </w:t>
            </w:r>
            <w:r w:rsidR="00C20665">
              <w:rPr>
                <w:rFonts w:ascii="Times New Roman" w:hAnsi="Times New Roman"/>
                <w:szCs w:val="24"/>
              </w:rPr>
              <w:t>4</w:t>
            </w:r>
            <w:r w:rsidR="00DF02FC">
              <w:rPr>
                <w:rFonts w:ascii="Times New Roman" w:hAnsi="Times New Roman"/>
                <w:szCs w:val="24"/>
              </w:rPr>
              <w:t>5,209</w:t>
            </w:r>
          </w:p>
        </w:tc>
      </w:tr>
      <w:tr w:rsidR="00395DBA" w:rsidRPr="00C1209C" w:rsidTr="00C1209C">
        <w:trPr>
          <w:trHeight w:val="288"/>
          <w:jc w:val="center"/>
        </w:trPr>
        <w:tc>
          <w:tcPr>
            <w:tcW w:w="2880" w:type="dxa"/>
            <w:vAlign w:val="center"/>
          </w:tcPr>
          <w:p w:rsidR="00395DBA" w:rsidRPr="00C1209C" w:rsidRDefault="00395DBA" w:rsidP="00C1209C">
            <w:pPr>
              <w:widowControl/>
              <w:rPr>
                <w:rFonts w:ascii="Times New Roman" w:hAnsi="Times New Roman"/>
                <w:szCs w:val="24"/>
              </w:rPr>
            </w:pPr>
            <w:r w:rsidRPr="00C1209C">
              <w:rPr>
                <w:rFonts w:ascii="Times New Roman" w:hAnsi="Times New Roman"/>
                <w:szCs w:val="24"/>
              </w:rPr>
              <w:t>FR Y-9ES</w:t>
            </w:r>
          </w:p>
        </w:tc>
        <w:tc>
          <w:tcPr>
            <w:tcW w:w="1625" w:type="dxa"/>
            <w:vAlign w:val="center"/>
          </w:tcPr>
          <w:p w:rsidR="00395DBA" w:rsidRPr="00C1209C" w:rsidRDefault="00395DBA" w:rsidP="00DB786A">
            <w:pPr>
              <w:widowControl/>
              <w:tabs>
                <w:tab w:val="right" w:pos="972"/>
              </w:tabs>
              <w:rPr>
                <w:rFonts w:ascii="Times New Roman" w:hAnsi="Times New Roman"/>
                <w:szCs w:val="24"/>
              </w:rPr>
            </w:pPr>
            <w:r w:rsidRPr="00C1209C">
              <w:rPr>
                <w:rFonts w:ascii="Times New Roman" w:hAnsi="Times New Roman"/>
                <w:szCs w:val="24"/>
              </w:rPr>
              <w:tab/>
            </w:r>
            <w:r w:rsidR="00DF02FC">
              <w:rPr>
                <w:rFonts w:ascii="Times New Roman" w:hAnsi="Times New Roman"/>
                <w:szCs w:val="24"/>
              </w:rPr>
              <w:t>87</w:t>
            </w:r>
          </w:p>
        </w:tc>
        <w:tc>
          <w:tcPr>
            <w:tcW w:w="1625" w:type="dxa"/>
            <w:vAlign w:val="center"/>
          </w:tcPr>
          <w:p w:rsidR="00395DBA" w:rsidRPr="00C1209C" w:rsidRDefault="00395DBA" w:rsidP="00C1209C">
            <w:pPr>
              <w:widowControl/>
              <w:jc w:val="center"/>
              <w:rPr>
                <w:rFonts w:ascii="Times New Roman" w:hAnsi="Times New Roman"/>
                <w:szCs w:val="24"/>
              </w:rPr>
            </w:pPr>
            <w:r w:rsidRPr="00C1209C">
              <w:rPr>
                <w:rFonts w:ascii="Times New Roman" w:hAnsi="Times New Roman"/>
                <w:szCs w:val="24"/>
              </w:rPr>
              <w:t>1</w:t>
            </w:r>
          </w:p>
        </w:tc>
        <w:tc>
          <w:tcPr>
            <w:tcW w:w="1625" w:type="dxa"/>
            <w:vAlign w:val="center"/>
          </w:tcPr>
          <w:p w:rsidR="00395DBA" w:rsidRPr="00C1209C" w:rsidRDefault="00395DBA" w:rsidP="00C1209C">
            <w:pPr>
              <w:widowControl/>
              <w:tabs>
                <w:tab w:val="decimal" w:pos="770"/>
              </w:tabs>
              <w:rPr>
                <w:rFonts w:ascii="Times New Roman" w:hAnsi="Times New Roman"/>
                <w:szCs w:val="24"/>
              </w:rPr>
            </w:pPr>
            <w:r w:rsidRPr="00C1209C">
              <w:rPr>
                <w:rFonts w:ascii="Times New Roman" w:hAnsi="Times New Roman"/>
                <w:szCs w:val="24"/>
              </w:rPr>
              <w:t>0.50</w:t>
            </w:r>
          </w:p>
        </w:tc>
        <w:tc>
          <w:tcPr>
            <w:tcW w:w="1625" w:type="dxa"/>
            <w:tcBorders>
              <w:top w:val="nil"/>
              <w:bottom w:val="nil"/>
            </w:tcBorders>
            <w:shd w:val="clear" w:color="auto" w:fill="auto"/>
            <w:vAlign w:val="bottom"/>
          </w:tcPr>
          <w:p w:rsidR="00395DBA" w:rsidRPr="00C1209C" w:rsidRDefault="00A8424A" w:rsidP="00DB786A">
            <w:pPr>
              <w:widowControl/>
              <w:tabs>
                <w:tab w:val="right" w:pos="1132"/>
              </w:tabs>
              <w:jc w:val="center"/>
              <w:rPr>
                <w:rFonts w:ascii="Times New Roman" w:hAnsi="Times New Roman"/>
                <w:szCs w:val="24"/>
              </w:rPr>
            </w:pPr>
            <w:r w:rsidRPr="00C1209C">
              <w:rPr>
                <w:rFonts w:ascii="Times New Roman" w:hAnsi="Times New Roman"/>
                <w:szCs w:val="24"/>
              </w:rPr>
              <w:t xml:space="preserve">        </w:t>
            </w:r>
            <w:r w:rsidR="00DB786A">
              <w:rPr>
                <w:rFonts w:ascii="Times New Roman" w:hAnsi="Times New Roman"/>
                <w:szCs w:val="24"/>
              </w:rPr>
              <w:t>4</w:t>
            </w:r>
            <w:r w:rsidR="00DF02FC">
              <w:rPr>
                <w:rFonts w:ascii="Times New Roman" w:hAnsi="Times New Roman"/>
                <w:szCs w:val="24"/>
              </w:rPr>
              <w:t>4</w:t>
            </w:r>
          </w:p>
        </w:tc>
      </w:tr>
      <w:tr w:rsidR="00395DBA" w:rsidRPr="00C1209C" w:rsidTr="00C1209C">
        <w:trPr>
          <w:trHeight w:val="288"/>
          <w:jc w:val="center"/>
        </w:trPr>
        <w:tc>
          <w:tcPr>
            <w:tcW w:w="2880" w:type="dxa"/>
            <w:vAlign w:val="center"/>
          </w:tcPr>
          <w:p w:rsidR="00395DBA" w:rsidRPr="00C1209C" w:rsidRDefault="00395DBA" w:rsidP="00C1209C">
            <w:pPr>
              <w:widowControl/>
              <w:rPr>
                <w:rFonts w:ascii="Times New Roman" w:hAnsi="Times New Roman"/>
                <w:szCs w:val="24"/>
              </w:rPr>
            </w:pPr>
            <w:r w:rsidRPr="00C1209C">
              <w:rPr>
                <w:rFonts w:ascii="Times New Roman" w:hAnsi="Times New Roman"/>
                <w:szCs w:val="24"/>
              </w:rPr>
              <w:t>FR Y-9CS</w:t>
            </w:r>
          </w:p>
        </w:tc>
        <w:tc>
          <w:tcPr>
            <w:tcW w:w="1625" w:type="dxa"/>
            <w:vAlign w:val="center"/>
          </w:tcPr>
          <w:p w:rsidR="00395DBA" w:rsidRPr="00C1209C" w:rsidRDefault="00395DBA" w:rsidP="00C1209C">
            <w:pPr>
              <w:widowControl/>
              <w:tabs>
                <w:tab w:val="right" w:pos="972"/>
              </w:tabs>
              <w:rPr>
                <w:rFonts w:ascii="Times New Roman" w:hAnsi="Times New Roman"/>
                <w:szCs w:val="24"/>
              </w:rPr>
            </w:pPr>
            <w:r w:rsidRPr="00C1209C">
              <w:rPr>
                <w:rFonts w:ascii="Times New Roman" w:hAnsi="Times New Roman"/>
                <w:szCs w:val="24"/>
              </w:rPr>
              <w:tab/>
            </w:r>
            <w:r w:rsidR="009F6FAE" w:rsidRPr="00C1209C">
              <w:rPr>
                <w:rFonts w:ascii="Times New Roman" w:hAnsi="Times New Roman"/>
                <w:szCs w:val="24"/>
              </w:rPr>
              <w:t>200</w:t>
            </w:r>
          </w:p>
        </w:tc>
        <w:tc>
          <w:tcPr>
            <w:tcW w:w="1625" w:type="dxa"/>
            <w:vAlign w:val="center"/>
          </w:tcPr>
          <w:p w:rsidR="00395DBA" w:rsidRPr="00C1209C" w:rsidRDefault="00395DBA" w:rsidP="00C1209C">
            <w:pPr>
              <w:widowControl/>
              <w:jc w:val="center"/>
              <w:rPr>
                <w:rFonts w:ascii="Times New Roman" w:hAnsi="Times New Roman"/>
                <w:szCs w:val="24"/>
              </w:rPr>
            </w:pPr>
            <w:r w:rsidRPr="00C1209C">
              <w:rPr>
                <w:rFonts w:ascii="Times New Roman" w:hAnsi="Times New Roman"/>
                <w:szCs w:val="24"/>
              </w:rPr>
              <w:t>4</w:t>
            </w:r>
          </w:p>
        </w:tc>
        <w:tc>
          <w:tcPr>
            <w:tcW w:w="1625" w:type="dxa"/>
            <w:vAlign w:val="center"/>
          </w:tcPr>
          <w:p w:rsidR="00395DBA" w:rsidRPr="00C1209C" w:rsidRDefault="00395DBA" w:rsidP="00C1209C">
            <w:pPr>
              <w:widowControl/>
              <w:tabs>
                <w:tab w:val="decimal" w:pos="770"/>
              </w:tabs>
              <w:rPr>
                <w:rFonts w:ascii="Times New Roman" w:hAnsi="Times New Roman"/>
                <w:szCs w:val="24"/>
              </w:rPr>
            </w:pPr>
            <w:r w:rsidRPr="00C1209C">
              <w:rPr>
                <w:rFonts w:ascii="Times New Roman" w:hAnsi="Times New Roman"/>
                <w:szCs w:val="24"/>
              </w:rPr>
              <w:t>0.50</w:t>
            </w:r>
          </w:p>
        </w:tc>
        <w:tc>
          <w:tcPr>
            <w:tcW w:w="1625" w:type="dxa"/>
            <w:tcBorders>
              <w:top w:val="nil"/>
              <w:bottom w:val="nil"/>
            </w:tcBorders>
            <w:shd w:val="clear" w:color="auto" w:fill="auto"/>
            <w:vAlign w:val="bottom"/>
          </w:tcPr>
          <w:p w:rsidR="00395DBA" w:rsidRPr="00C1209C" w:rsidRDefault="00A8424A" w:rsidP="00C1209C">
            <w:pPr>
              <w:widowControl/>
              <w:tabs>
                <w:tab w:val="right" w:pos="1132"/>
              </w:tabs>
              <w:jc w:val="center"/>
              <w:rPr>
                <w:rFonts w:ascii="Times New Roman" w:hAnsi="Times New Roman"/>
                <w:szCs w:val="24"/>
                <w:u w:val="single"/>
              </w:rPr>
            </w:pPr>
            <w:r w:rsidRPr="00C1209C">
              <w:rPr>
                <w:rFonts w:ascii="Times New Roman" w:hAnsi="Times New Roman"/>
                <w:szCs w:val="24"/>
                <w:u w:val="single"/>
              </w:rPr>
              <w:t xml:space="preserve">   </w:t>
            </w:r>
            <w:r w:rsidR="00A1430D" w:rsidRPr="00C1209C">
              <w:rPr>
                <w:rFonts w:ascii="Times New Roman" w:hAnsi="Times New Roman"/>
                <w:szCs w:val="24"/>
                <w:u w:val="single"/>
              </w:rPr>
              <w:t xml:space="preserve">   </w:t>
            </w:r>
            <w:r w:rsidR="009F6FAE" w:rsidRPr="00C1209C">
              <w:rPr>
                <w:rFonts w:ascii="Times New Roman" w:hAnsi="Times New Roman"/>
                <w:szCs w:val="24"/>
                <w:u w:val="single"/>
              </w:rPr>
              <w:t>400</w:t>
            </w:r>
          </w:p>
        </w:tc>
      </w:tr>
      <w:tr w:rsidR="00395DBA" w:rsidRPr="00C1209C" w:rsidTr="00C1209C">
        <w:trPr>
          <w:trHeight w:val="288"/>
          <w:jc w:val="center"/>
        </w:trPr>
        <w:tc>
          <w:tcPr>
            <w:tcW w:w="2880" w:type="dxa"/>
            <w:vAlign w:val="center"/>
          </w:tcPr>
          <w:p w:rsidR="00395DBA" w:rsidRPr="00C1209C" w:rsidRDefault="00395DBA" w:rsidP="00C1209C">
            <w:pPr>
              <w:widowControl/>
              <w:jc w:val="right"/>
              <w:rPr>
                <w:rFonts w:ascii="Times New Roman" w:hAnsi="Times New Roman"/>
                <w:szCs w:val="24"/>
              </w:rPr>
            </w:pPr>
            <w:r w:rsidRPr="00C1209C">
              <w:rPr>
                <w:rFonts w:ascii="Times New Roman" w:hAnsi="Times New Roman"/>
                <w:i/>
                <w:szCs w:val="24"/>
              </w:rPr>
              <w:t>Total</w:t>
            </w:r>
          </w:p>
        </w:tc>
        <w:tc>
          <w:tcPr>
            <w:tcW w:w="1625" w:type="dxa"/>
            <w:vAlign w:val="center"/>
          </w:tcPr>
          <w:p w:rsidR="00395DBA" w:rsidRPr="00C1209C" w:rsidRDefault="00395DBA" w:rsidP="00C1209C">
            <w:pPr>
              <w:widowControl/>
              <w:tabs>
                <w:tab w:val="right" w:pos="972"/>
              </w:tabs>
              <w:rPr>
                <w:rFonts w:ascii="Times New Roman" w:hAnsi="Times New Roman"/>
                <w:szCs w:val="24"/>
              </w:rPr>
            </w:pPr>
          </w:p>
        </w:tc>
        <w:tc>
          <w:tcPr>
            <w:tcW w:w="1625" w:type="dxa"/>
          </w:tcPr>
          <w:p w:rsidR="00395DBA" w:rsidRPr="00C1209C" w:rsidRDefault="00395DBA" w:rsidP="00C1209C">
            <w:pPr>
              <w:widowControl/>
              <w:jc w:val="center"/>
              <w:rPr>
                <w:rFonts w:ascii="Times New Roman" w:hAnsi="Times New Roman"/>
                <w:szCs w:val="24"/>
              </w:rPr>
            </w:pPr>
          </w:p>
        </w:tc>
        <w:tc>
          <w:tcPr>
            <w:tcW w:w="1625" w:type="dxa"/>
            <w:vAlign w:val="center"/>
          </w:tcPr>
          <w:p w:rsidR="00395DBA" w:rsidRPr="00C1209C" w:rsidRDefault="00395DBA" w:rsidP="00C1209C">
            <w:pPr>
              <w:widowControl/>
              <w:tabs>
                <w:tab w:val="decimal" w:pos="770"/>
              </w:tabs>
              <w:rPr>
                <w:rFonts w:ascii="Times New Roman" w:hAnsi="Times New Roman"/>
                <w:szCs w:val="24"/>
              </w:rPr>
            </w:pPr>
          </w:p>
        </w:tc>
        <w:tc>
          <w:tcPr>
            <w:tcW w:w="1625" w:type="dxa"/>
            <w:tcBorders>
              <w:top w:val="nil"/>
              <w:bottom w:val="nil"/>
            </w:tcBorders>
            <w:shd w:val="clear" w:color="auto" w:fill="auto"/>
            <w:vAlign w:val="bottom"/>
          </w:tcPr>
          <w:p w:rsidR="00395DBA" w:rsidRPr="00C1209C" w:rsidRDefault="005402BD" w:rsidP="00C226D3">
            <w:pPr>
              <w:widowControl/>
              <w:tabs>
                <w:tab w:val="right" w:pos="1132"/>
              </w:tabs>
              <w:jc w:val="center"/>
              <w:rPr>
                <w:rFonts w:ascii="Times New Roman" w:hAnsi="Times New Roman"/>
                <w:szCs w:val="24"/>
              </w:rPr>
            </w:pPr>
            <w:r>
              <w:rPr>
                <w:rFonts w:ascii="Times New Roman" w:hAnsi="Times New Roman"/>
                <w:szCs w:val="24"/>
              </w:rPr>
              <w:t>261,668</w:t>
            </w:r>
          </w:p>
        </w:tc>
      </w:tr>
      <w:tr w:rsidR="00395DBA" w:rsidRPr="00C1209C" w:rsidTr="00C1209C">
        <w:trPr>
          <w:trHeight w:val="288"/>
          <w:jc w:val="center"/>
        </w:trPr>
        <w:tc>
          <w:tcPr>
            <w:tcW w:w="2880" w:type="dxa"/>
            <w:vAlign w:val="center"/>
          </w:tcPr>
          <w:p w:rsidR="00395DBA" w:rsidRPr="00C1209C" w:rsidRDefault="00395DBA" w:rsidP="00C1209C">
            <w:pPr>
              <w:widowControl/>
              <w:jc w:val="right"/>
              <w:rPr>
                <w:rFonts w:ascii="Times New Roman" w:hAnsi="Times New Roman"/>
                <w:i/>
                <w:szCs w:val="24"/>
              </w:rPr>
            </w:pPr>
            <w:r w:rsidRPr="00C1209C">
              <w:rPr>
                <w:rFonts w:ascii="Times New Roman" w:hAnsi="Times New Roman"/>
                <w:i/>
                <w:szCs w:val="24"/>
              </w:rPr>
              <w:t>Change</w:t>
            </w:r>
          </w:p>
        </w:tc>
        <w:tc>
          <w:tcPr>
            <w:tcW w:w="1625" w:type="dxa"/>
            <w:vAlign w:val="center"/>
          </w:tcPr>
          <w:p w:rsidR="00395DBA" w:rsidRPr="00C1209C" w:rsidRDefault="00395DBA" w:rsidP="00C1209C">
            <w:pPr>
              <w:widowControl/>
              <w:tabs>
                <w:tab w:val="right" w:pos="972"/>
              </w:tabs>
              <w:rPr>
                <w:rFonts w:ascii="Times New Roman" w:hAnsi="Times New Roman"/>
                <w:szCs w:val="24"/>
              </w:rPr>
            </w:pPr>
          </w:p>
        </w:tc>
        <w:tc>
          <w:tcPr>
            <w:tcW w:w="1625" w:type="dxa"/>
          </w:tcPr>
          <w:p w:rsidR="00395DBA" w:rsidRPr="00C1209C" w:rsidRDefault="00395DBA" w:rsidP="00C1209C">
            <w:pPr>
              <w:widowControl/>
              <w:jc w:val="center"/>
              <w:rPr>
                <w:rFonts w:ascii="Times New Roman" w:hAnsi="Times New Roman"/>
                <w:szCs w:val="24"/>
              </w:rPr>
            </w:pPr>
          </w:p>
        </w:tc>
        <w:tc>
          <w:tcPr>
            <w:tcW w:w="1625" w:type="dxa"/>
            <w:vAlign w:val="center"/>
          </w:tcPr>
          <w:p w:rsidR="00395DBA" w:rsidRPr="00C1209C" w:rsidRDefault="00395DBA" w:rsidP="00C1209C">
            <w:pPr>
              <w:widowControl/>
              <w:tabs>
                <w:tab w:val="decimal" w:pos="770"/>
              </w:tabs>
              <w:rPr>
                <w:rFonts w:ascii="Times New Roman" w:hAnsi="Times New Roman"/>
                <w:szCs w:val="24"/>
              </w:rPr>
            </w:pPr>
          </w:p>
        </w:tc>
        <w:tc>
          <w:tcPr>
            <w:tcW w:w="1625" w:type="dxa"/>
            <w:tcBorders>
              <w:top w:val="nil"/>
              <w:bottom w:val="single" w:sz="4" w:space="0" w:color="auto"/>
            </w:tcBorders>
            <w:shd w:val="clear" w:color="auto" w:fill="auto"/>
            <w:vAlign w:val="bottom"/>
          </w:tcPr>
          <w:p w:rsidR="00395DBA" w:rsidRPr="00C1209C" w:rsidRDefault="007E0751" w:rsidP="005402BD">
            <w:pPr>
              <w:tabs>
                <w:tab w:val="right" w:pos="1152"/>
              </w:tabs>
              <w:jc w:val="center"/>
              <w:rPr>
                <w:rFonts w:ascii="Times New Roman" w:hAnsi="Times New Roman"/>
                <w:szCs w:val="24"/>
              </w:rPr>
            </w:pPr>
            <w:r w:rsidRPr="00C1209C">
              <w:rPr>
                <w:rFonts w:ascii="Times New Roman" w:hAnsi="Times New Roman"/>
                <w:szCs w:val="24"/>
              </w:rPr>
              <w:t>+</w:t>
            </w:r>
            <w:r w:rsidR="005402BD">
              <w:rPr>
                <w:rFonts w:ascii="Times New Roman" w:hAnsi="Times New Roman"/>
                <w:szCs w:val="24"/>
              </w:rPr>
              <w:t>11,539</w:t>
            </w:r>
          </w:p>
        </w:tc>
      </w:tr>
    </w:tbl>
    <w:p w:rsidR="007C0DA2" w:rsidRDefault="00696E8A" w:rsidP="00590C7C">
      <w:pPr>
        <w:widowControl/>
        <w:rPr>
          <w:rFonts w:ascii="Times New Roman" w:hAnsi="Times New Roman"/>
        </w:rPr>
      </w:pPr>
      <w:r>
        <w:rPr>
          <w:rFonts w:ascii="Times New Roman" w:hAnsi="Times New Roman"/>
          <w:noProof/>
          <w:snapToGrid/>
        </w:rPr>
        <w:pict>
          <v:rect id="_x0000_s1031" style="position:absolute;margin-left:1in;margin-top:0;width:468pt;height:.95pt;z-index:-251658752;mso-position-horizontal-relative:page;mso-position-vertical-relative:text" o:allowincell="f" fillcolor="black" stroked="f" strokeweight="0">
            <v:fill color2="black"/>
            <w10:wrap anchorx="page"/>
            <w10:anchorlock/>
          </v:rect>
        </w:pict>
      </w:r>
    </w:p>
    <w:p w:rsidR="00061552" w:rsidRDefault="000C3E30">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rPr>
      </w:pPr>
      <w:r w:rsidRPr="004C1DDD">
        <w:rPr>
          <w:rFonts w:ascii="Times New Roman" w:hAnsi="Times New Roman"/>
          <w:szCs w:val="24"/>
        </w:rPr>
        <w:t xml:space="preserve">The total cost to the public is estimated to </w:t>
      </w:r>
      <w:r>
        <w:rPr>
          <w:rFonts w:ascii="Times New Roman" w:hAnsi="Times New Roman"/>
        </w:rPr>
        <w:t>increase</w:t>
      </w:r>
      <w:r w:rsidRPr="004C1DDD">
        <w:rPr>
          <w:rFonts w:ascii="Times New Roman" w:hAnsi="Times New Roman"/>
        </w:rPr>
        <w:t xml:space="preserve"> from the current level of $</w:t>
      </w:r>
      <w:r w:rsidR="00CB59B6">
        <w:rPr>
          <w:rFonts w:ascii="Times New Roman" w:hAnsi="Times New Roman"/>
        </w:rPr>
        <w:t>10,530,431</w:t>
      </w:r>
      <w:r w:rsidRPr="004C1DDD">
        <w:rPr>
          <w:rFonts w:ascii="Times New Roman" w:hAnsi="Times New Roman"/>
        </w:rPr>
        <w:t xml:space="preserve"> to $</w:t>
      </w:r>
      <w:r w:rsidR="00153C3D">
        <w:rPr>
          <w:rFonts w:ascii="Times New Roman" w:hAnsi="Times New Roman"/>
        </w:rPr>
        <w:t xml:space="preserve">11,160,140 </w:t>
      </w:r>
      <w:r w:rsidRPr="004C1DDD">
        <w:rPr>
          <w:rFonts w:ascii="Times New Roman" w:hAnsi="Times New Roman"/>
        </w:rPr>
        <w:t xml:space="preserve">for the revised </w:t>
      </w:r>
      <w:r>
        <w:rPr>
          <w:rFonts w:ascii="Times New Roman" w:hAnsi="Times New Roman"/>
        </w:rPr>
        <w:t>BHC</w:t>
      </w:r>
      <w:r w:rsidRPr="004C1DDD">
        <w:rPr>
          <w:rFonts w:ascii="Times New Roman" w:hAnsi="Times New Roman"/>
        </w:rPr>
        <w:t xml:space="preserve"> reports.</w:t>
      </w:r>
      <w:r w:rsidRPr="004C1DDD">
        <w:rPr>
          <w:rStyle w:val="FootnoteReference"/>
          <w:szCs w:val="24"/>
          <w:vertAlign w:val="superscript"/>
        </w:rPr>
        <w:footnoteReference w:id="10"/>
      </w:r>
      <w:r w:rsidRPr="004C1DDD">
        <w:rPr>
          <w:rFonts w:ascii="Times New Roman" w:hAnsi="Times New Roman"/>
        </w:rPr>
        <w:t xml:space="preserve"> </w:t>
      </w:r>
    </w:p>
    <w:p w:rsidR="000A0078" w:rsidRDefault="000A0078">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b/>
        </w:rPr>
      </w:pPr>
    </w:p>
    <w:p w:rsidR="00061552" w:rsidRDefault="00061552">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rPr>
      </w:pPr>
      <w:r>
        <w:rPr>
          <w:rFonts w:ascii="Times New Roman" w:hAnsi="Times New Roman"/>
          <w:b/>
        </w:rPr>
        <w:t xml:space="preserve">Estimate of Cost to the Federal Reserve System </w:t>
      </w:r>
    </w:p>
    <w:p w:rsidR="00061552" w:rsidRDefault="00061552" w:rsidP="009A5BC1">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rPr>
      </w:pPr>
    </w:p>
    <w:p w:rsidR="00CD4A29" w:rsidRPr="00F2664D" w:rsidRDefault="00695A46" w:rsidP="00695A46">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rPr>
      </w:pPr>
      <w:r>
        <w:rPr>
          <w:rFonts w:ascii="Times New Roman" w:hAnsi="Times New Roman"/>
          <w:szCs w:val="24"/>
        </w:rPr>
        <w:t xml:space="preserve">          </w:t>
      </w:r>
      <w:r w:rsidR="00CD4A29">
        <w:rPr>
          <w:rFonts w:ascii="Times New Roman" w:hAnsi="Times New Roman"/>
          <w:szCs w:val="24"/>
        </w:rPr>
        <w:t>Current costs to the Federal Reserve System for collecting and processing these reports are estimated to be $</w:t>
      </w:r>
      <w:r w:rsidR="00C1117B">
        <w:rPr>
          <w:rFonts w:ascii="Times New Roman" w:hAnsi="Times New Roman"/>
          <w:szCs w:val="24"/>
        </w:rPr>
        <w:t>1,938,567</w:t>
      </w:r>
      <w:r w:rsidR="00CD4A29">
        <w:rPr>
          <w:rFonts w:ascii="Times New Roman" w:hAnsi="Times New Roman"/>
          <w:szCs w:val="24"/>
        </w:rPr>
        <w:t xml:space="preserve"> per year.  With the revisions the estimated costs will </w:t>
      </w:r>
      <w:r w:rsidR="00C1117B">
        <w:rPr>
          <w:rFonts w:ascii="Times New Roman" w:hAnsi="Times New Roman"/>
          <w:szCs w:val="24"/>
        </w:rPr>
        <w:t>increase to</w:t>
      </w:r>
      <w:r>
        <w:rPr>
          <w:rFonts w:ascii="Times New Roman" w:hAnsi="Times New Roman"/>
          <w:szCs w:val="24"/>
        </w:rPr>
        <w:t xml:space="preserve"> </w:t>
      </w:r>
      <w:r w:rsidR="00C1117B">
        <w:rPr>
          <w:rFonts w:ascii="Times New Roman" w:hAnsi="Times New Roman"/>
        </w:rPr>
        <w:t>$1,961,549</w:t>
      </w:r>
      <w:r w:rsidR="00CD4A29">
        <w:rPr>
          <w:rFonts w:ascii="Times New Roman" w:hAnsi="Times New Roman"/>
          <w:szCs w:val="24"/>
        </w:rPr>
        <w:t xml:space="preserve"> per year.  </w:t>
      </w:r>
      <w:r w:rsidR="00CD4A29">
        <w:rPr>
          <w:rFonts w:ascii="Times" w:hAnsi="Times" w:cs="Times"/>
        </w:rPr>
        <w:t>The one</w:t>
      </w:r>
      <w:r w:rsidR="00CD4A29">
        <w:rPr>
          <w:rFonts w:ascii="Times" w:hAnsi="Times" w:cs="Times"/>
        </w:rPr>
        <w:noBreakHyphen/>
        <w:t>time costs to implement the revise</w:t>
      </w:r>
      <w:r>
        <w:rPr>
          <w:rFonts w:ascii="Times" w:hAnsi="Times" w:cs="Times"/>
        </w:rPr>
        <w:t>d reports are estimated to be $</w:t>
      </w:r>
      <w:r w:rsidR="00C1117B">
        <w:rPr>
          <w:rFonts w:ascii="Times" w:hAnsi="Times" w:cs="Times"/>
        </w:rPr>
        <w:t>89,297.</w:t>
      </w:r>
    </w:p>
    <w:p w:rsidR="00C36328" w:rsidRPr="00A82722" w:rsidRDefault="00C36328" w:rsidP="00CD4A29">
      <w:pPr>
        <w:rPr>
          <w:rFonts w:ascii="Times New Roman" w:hAnsi="Times New Roman"/>
        </w:rPr>
      </w:pPr>
    </w:p>
    <w:sectPr w:rsidR="00C36328" w:rsidRPr="00A82722" w:rsidSect="006B3693">
      <w:headerReference w:type="even" r:id="rId8"/>
      <w:headerReference w:type="default" r:id="rId9"/>
      <w:footerReference w:type="even" r:id="rId10"/>
      <w:footerReference w:type="default" r:id="rId11"/>
      <w:headerReference w:type="first" r:id="rId12"/>
      <w:endnotePr>
        <w:numFmt w:val="decimal"/>
      </w:endnotePr>
      <w:pgSz w:w="12240" w:h="15840" w:code="1"/>
      <w:pgMar w:top="1440" w:right="1080" w:bottom="1440" w:left="1080" w:header="965" w:footer="144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104" w:rsidRDefault="00DD2104">
      <w:r>
        <w:separator/>
      </w:r>
    </w:p>
  </w:endnote>
  <w:endnote w:type="continuationSeparator" w:id="0">
    <w:p w:rsidR="00DD2104" w:rsidRDefault="00DD21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B4F" w:rsidRDefault="00696E8A">
    <w:pPr>
      <w:pStyle w:val="Footer"/>
      <w:framePr w:wrap="around" w:vAnchor="text" w:hAnchor="margin" w:xAlign="center" w:y="1"/>
      <w:rPr>
        <w:rStyle w:val="PageNumber"/>
      </w:rPr>
    </w:pPr>
    <w:r>
      <w:rPr>
        <w:rStyle w:val="PageNumber"/>
      </w:rPr>
      <w:fldChar w:fldCharType="begin"/>
    </w:r>
    <w:r w:rsidR="00226B4F">
      <w:rPr>
        <w:rStyle w:val="PageNumber"/>
      </w:rPr>
      <w:instrText xml:space="preserve">PAGE  </w:instrText>
    </w:r>
    <w:r>
      <w:rPr>
        <w:rStyle w:val="PageNumber"/>
      </w:rPr>
      <w:fldChar w:fldCharType="end"/>
    </w:r>
  </w:p>
  <w:p w:rsidR="00226B4F" w:rsidRDefault="00226B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B4F" w:rsidRDefault="00226B4F">
    <w:pPr>
      <w:pStyle w:val="Footer"/>
      <w:framePr w:wrap="around" w:vAnchor="text" w:hAnchor="margin" w:xAlign="center" w:y="1"/>
      <w:rPr>
        <w:rStyle w:val="PageNumber"/>
        <w:rFonts w:ascii="Times New Roman" w:hAnsi="Times New Roman"/>
      </w:rPr>
    </w:pPr>
  </w:p>
  <w:p w:rsidR="00226B4F" w:rsidRDefault="00226B4F">
    <w:pPr>
      <w:pStyle w:val="Footer"/>
      <w:framePr w:wrap="around" w:vAnchor="text" w:hAnchor="margin" w:xAlign="center" w:y="1"/>
      <w:rPr>
        <w:rStyle w:val="PageNumber"/>
        <w:rFonts w:ascii="Times New Roman" w:hAnsi="Times New Roman"/>
      </w:rPr>
    </w:pPr>
  </w:p>
  <w:p w:rsidR="00226B4F" w:rsidRDefault="00696E8A">
    <w:pPr>
      <w:pStyle w:val="Footer"/>
      <w:framePr w:wrap="around" w:vAnchor="text" w:hAnchor="margin" w:xAlign="center" w:y="1"/>
      <w:jc w:val="center"/>
      <w:rPr>
        <w:rStyle w:val="PageNumber"/>
        <w:rFonts w:ascii="Times New Roman" w:hAnsi="Times New Roman"/>
      </w:rPr>
    </w:pPr>
    <w:r>
      <w:rPr>
        <w:rStyle w:val="PageNumber"/>
        <w:rFonts w:ascii="Times New Roman" w:hAnsi="Times New Roman"/>
      </w:rPr>
      <w:fldChar w:fldCharType="begin"/>
    </w:r>
    <w:r w:rsidR="00226B4F">
      <w:rPr>
        <w:rStyle w:val="PageNumber"/>
        <w:rFonts w:ascii="Times New Roman" w:hAnsi="Times New Roman"/>
      </w:rPr>
      <w:instrText xml:space="preserve">PAGE  </w:instrText>
    </w:r>
    <w:r>
      <w:rPr>
        <w:rStyle w:val="PageNumber"/>
        <w:rFonts w:ascii="Times New Roman" w:hAnsi="Times New Roman"/>
      </w:rPr>
      <w:fldChar w:fldCharType="separate"/>
    </w:r>
    <w:r w:rsidR="005F4D27">
      <w:rPr>
        <w:rStyle w:val="PageNumber"/>
        <w:rFonts w:ascii="Times New Roman" w:hAnsi="Times New Roman"/>
        <w:noProof/>
      </w:rPr>
      <w:t>19</w:t>
    </w:r>
    <w:r>
      <w:rPr>
        <w:rStyle w:val="PageNumber"/>
        <w:rFonts w:ascii="Times New Roman" w:hAnsi="Times New Roman"/>
      </w:rPr>
      <w:fldChar w:fldCharType="end"/>
    </w:r>
  </w:p>
  <w:p w:rsidR="00226B4F" w:rsidRDefault="00226B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104" w:rsidRDefault="00DD2104">
      <w:r>
        <w:separator/>
      </w:r>
    </w:p>
  </w:footnote>
  <w:footnote w:type="continuationSeparator" w:id="0">
    <w:p w:rsidR="00DD2104" w:rsidRDefault="00DD2104">
      <w:r>
        <w:continuationSeparator/>
      </w:r>
    </w:p>
  </w:footnote>
  <w:footnote w:id="1">
    <w:p w:rsidR="00226B4F" w:rsidRPr="009161BB" w:rsidRDefault="00226B4F" w:rsidP="00C6425D">
      <w:pPr>
        <w:pStyle w:val="FootnoteText"/>
        <w:rPr>
          <w:rFonts w:ascii="Times New Roman" w:hAnsi="Times New Roman"/>
          <w:sz w:val="22"/>
          <w:szCs w:val="22"/>
        </w:rPr>
      </w:pPr>
      <w:r w:rsidRPr="00C52F18">
        <w:rPr>
          <w:rStyle w:val="FootnoteReference"/>
          <w:sz w:val="22"/>
          <w:szCs w:val="22"/>
          <w:vertAlign w:val="superscript"/>
        </w:rPr>
        <w:footnoteRef/>
      </w:r>
      <w:r w:rsidRPr="00C52F18">
        <w:rPr>
          <w:sz w:val="22"/>
          <w:szCs w:val="22"/>
        </w:rPr>
        <w:t xml:space="preserve"> </w:t>
      </w:r>
      <w:r w:rsidRPr="009161BB">
        <w:rPr>
          <w:rFonts w:ascii="Times New Roman" w:hAnsi="Times New Roman"/>
          <w:sz w:val="22"/>
          <w:szCs w:val="22"/>
        </w:rPr>
        <w:t>Under certain circumstances described in the General Instructions, BHCs with assets under $500 million may be required to file the FR Y-9C.</w:t>
      </w:r>
    </w:p>
  </w:footnote>
  <w:footnote w:id="2">
    <w:p w:rsidR="00226B4F" w:rsidRPr="009161BB" w:rsidRDefault="00226B4F">
      <w:pPr>
        <w:pStyle w:val="FootnoteText"/>
        <w:rPr>
          <w:rFonts w:ascii="Times New Roman" w:hAnsi="Times New Roman"/>
          <w:sz w:val="22"/>
          <w:szCs w:val="22"/>
        </w:rPr>
      </w:pPr>
      <w:r w:rsidRPr="00EA1490">
        <w:rPr>
          <w:rStyle w:val="FootnoteReference"/>
          <w:sz w:val="22"/>
          <w:szCs w:val="22"/>
          <w:vertAlign w:val="superscript"/>
        </w:rPr>
        <w:footnoteRef/>
      </w:r>
      <w:r w:rsidRPr="00EA1490">
        <w:rPr>
          <w:sz w:val="22"/>
          <w:szCs w:val="22"/>
        </w:rPr>
        <w:t xml:space="preserve"> </w:t>
      </w:r>
      <w:r w:rsidRPr="009161BB">
        <w:rPr>
          <w:rFonts w:ascii="Times New Roman" w:hAnsi="Times New Roman"/>
          <w:sz w:val="22"/>
          <w:szCs w:val="22"/>
        </w:rPr>
        <w:t>Interagency Statement on Meeting the Credit Needs of Creditworthy Small Business Borrowers, issued February 12, 2010, and Policy Statement on Prudent Commercial Real Estate Loan Workouts, issued October 30, 2009.</w:t>
      </w:r>
    </w:p>
  </w:footnote>
  <w:footnote w:id="3">
    <w:p w:rsidR="00226B4F" w:rsidRPr="009161BB" w:rsidRDefault="00226B4F" w:rsidP="00192D34">
      <w:pPr>
        <w:pStyle w:val="FootnoteText"/>
        <w:rPr>
          <w:rFonts w:ascii="Times New Roman" w:hAnsi="Times New Roman"/>
          <w:sz w:val="22"/>
          <w:szCs w:val="22"/>
        </w:rPr>
      </w:pPr>
      <w:r w:rsidRPr="009161BB">
        <w:rPr>
          <w:rStyle w:val="FootnoteReference"/>
          <w:sz w:val="22"/>
          <w:szCs w:val="22"/>
          <w:vertAlign w:val="superscript"/>
        </w:rPr>
        <w:footnoteRef/>
      </w:r>
      <w:r w:rsidRPr="009161BB">
        <w:rPr>
          <w:rFonts w:ascii="Times New Roman" w:hAnsi="Times New Roman"/>
          <w:sz w:val="22"/>
          <w:szCs w:val="22"/>
          <w:vertAlign w:val="superscript"/>
        </w:rPr>
        <w:t xml:space="preserve"> </w:t>
      </w:r>
      <w:r w:rsidRPr="009161BB">
        <w:rPr>
          <w:rFonts w:ascii="Times New Roman" w:hAnsi="Times New Roman"/>
          <w:sz w:val="22"/>
          <w:szCs w:val="22"/>
        </w:rPr>
        <w:t xml:space="preserve"> </w:t>
      </w:r>
      <w:proofErr w:type="gramStart"/>
      <w:r w:rsidRPr="009161BB">
        <w:rPr>
          <w:rFonts w:ascii="Times New Roman" w:hAnsi="Times New Roman"/>
          <w:sz w:val="22"/>
          <w:szCs w:val="22"/>
        </w:rPr>
        <w:t>Accounting Standards Codification paragraph 470-60-15-11.</w:t>
      </w:r>
      <w:proofErr w:type="gramEnd"/>
    </w:p>
  </w:footnote>
  <w:footnote w:id="4">
    <w:p w:rsidR="00226B4F" w:rsidRPr="009161BB" w:rsidRDefault="00226B4F" w:rsidP="00BA07A9">
      <w:pPr>
        <w:pStyle w:val="FootnoteText"/>
        <w:rPr>
          <w:rFonts w:ascii="Times New Roman" w:hAnsi="Times New Roman"/>
          <w:sz w:val="22"/>
          <w:szCs w:val="22"/>
        </w:rPr>
      </w:pPr>
      <w:r w:rsidRPr="009161BB">
        <w:rPr>
          <w:rStyle w:val="FootnoteReference"/>
          <w:sz w:val="22"/>
          <w:szCs w:val="22"/>
          <w:vertAlign w:val="superscript"/>
        </w:rPr>
        <w:footnoteRef/>
      </w:r>
      <w:r w:rsidRPr="009161BB">
        <w:rPr>
          <w:rFonts w:ascii="Times New Roman" w:hAnsi="Times New Roman"/>
          <w:sz w:val="22"/>
          <w:szCs w:val="22"/>
        </w:rPr>
        <w:t xml:space="preserve">  For BHCs with foreign offices, the Memorandum items for restructured real estate loans would cover such loans in domestic offices.  In addition, BHCs would also provide a breakdown of restructured commercial and industrial loans between U.S. and non-U.S. addressees.</w:t>
      </w:r>
    </w:p>
  </w:footnote>
  <w:footnote w:id="5">
    <w:p w:rsidR="00226B4F" w:rsidRPr="009161BB" w:rsidRDefault="00226B4F">
      <w:pPr>
        <w:pStyle w:val="FootnoteText"/>
        <w:rPr>
          <w:sz w:val="22"/>
          <w:szCs w:val="22"/>
        </w:rPr>
      </w:pPr>
      <w:r w:rsidRPr="00166CC8">
        <w:rPr>
          <w:rStyle w:val="FootnoteReference"/>
          <w:vertAlign w:val="superscript"/>
        </w:rPr>
        <w:footnoteRef/>
      </w:r>
      <w:r>
        <w:t xml:space="preserve"> </w:t>
      </w:r>
      <w:r w:rsidRPr="009161BB">
        <w:rPr>
          <w:rFonts w:ascii="Times New Roman" w:hAnsi="Times New Roman"/>
          <w:sz w:val="22"/>
          <w:szCs w:val="22"/>
        </w:rPr>
        <w:t xml:space="preserve">Formerly Statement of Financial Accounting Standards (SFAS) No. 166, </w:t>
      </w:r>
      <w:r w:rsidRPr="009161BB">
        <w:rPr>
          <w:rFonts w:ascii="Times New Roman" w:hAnsi="Times New Roman"/>
          <w:i/>
          <w:iCs/>
          <w:sz w:val="22"/>
          <w:szCs w:val="22"/>
        </w:rPr>
        <w:t>Accounting for Transfers of Financial Assets</w:t>
      </w:r>
      <w:r w:rsidRPr="009161BB">
        <w:rPr>
          <w:rFonts w:ascii="Times New Roman" w:hAnsi="Times New Roman"/>
          <w:iCs/>
          <w:sz w:val="22"/>
          <w:szCs w:val="22"/>
        </w:rPr>
        <w:t xml:space="preserve"> (FAS 166).</w:t>
      </w:r>
    </w:p>
  </w:footnote>
  <w:footnote w:id="6">
    <w:p w:rsidR="00226B4F" w:rsidRPr="009161BB" w:rsidRDefault="00226B4F">
      <w:pPr>
        <w:pStyle w:val="FootnoteText"/>
        <w:rPr>
          <w:sz w:val="22"/>
          <w:szCs w:val="22"/>
        </w:rPr>
      </w:pPr>
      <w:r w:rsidRPr="009161BB">
        <w:rPr>
          <w:rStyle w:val="FootnoteReference"/>
          <w:sz w:val="22"/>
          <w:szCs w:val="22"/>
          <w:vertAlign w:val="superscript"/>
        </w:rPr>
        <w:footnoteRef/>
      </w:r>
      <w:r w:rsidRPr="009161BB">
        <w:rPr>
          <w:sz w:val="22"/>
          <w:szCs w:val="22"/>
        </w:rPr>
        <w:t xml:space="preserve"> </w:t>
      </w:r>
      <w:proofErr w:type="gramStart"/>
      <w:r w:rsidRPr="009161BB">
        <w:rPr>
          <w:rFonts w:ascii="Times New Roman" w:hAnsi="Times New Roman"/>
          <w:sz w:val="22"/>
          <w:szCs w:val="22"/>
        </w:rPr>
        <w:t xml:space="preserve">Formerly SFAS No. 167, </w:t>
      </w:r>
      <w:r w:rsidRPr="009161BB">
        <w:rPr>
          <w:rFonts w:ascii="Times New Roman" w:hAnsi="Times New Roman"/>
          <w:i/>
          <w:iCs/>
          <w:sz w:val="22"/>
          <w:szCs w:val="22"/>
        </w:rPr>
        <w:t>Amendments to FASB Interpretation No. 46(R)</w:t>
      </w:r>
      <w:r w:rsidRPr="009161BB">
        <w:rPr>
          <w:rFonts w:ascii="Times New Roman" w:hAnsi="Times New Roman"/>
          <w:iCs/>
          <w:sz w:val="22"/>
          <w:szCs w:val="22"/>
        </w:rPr>
        <w:t xml:space="preserve"> (FAS 167).</w:t>
      </w:r>
      <w:proofErr w:type="gramEnd"/>
    </w:p>
  </w:footnote>
  <w:footnote w:id="7">
    <w:p w:rsidR="00226B4F" w:rsidRPr="009161BB" w:rsidRDefault="00226B4F" w:rsidP="00BA07A9">
      <w:pPr>
        <w:pStyle w:val="FootnoteText"/>
        <w:rPr>
          <w:rFonts w:ascii="Times New Roman" w:hAnsi="Times New Roman"/>
          <w:sz w:val="22"/>
          <w:szCs w:val="22"/>
        </w:rPr>
      </w:pPr>
      <w:r w:rsidRPr="004B5CF6">
        <w:rPr>
          <w:rStyle w:val="FootnoteReference"/>
          <w:vertAlign w:val="superscript"/>
        </w:rPr>
        <w:footnoteRef/>
      </w:r>
      <w:r w:rsidRPr="004B5CF6">
        <w:rPr>
          <w:rFonts w:ascii="Times New Roman" w:hAnsi="Times New Roman"/>
          <w:vertAlign w:val="superscript"/>
        </w:rPr>
        <w:t xml:space="preserve"> </w:t>
      </w:r>
      <w:r w:rsidRPr="008834AD">
        <w:rPr>
          <w:rFonts w:ascii="Times New Roman" w:hAnsi="Times New Roman"/>
        </w:rPr>
        <w:t xml:space="preserve"> </w:t>
      </w:r>
      <w:proofErr w:type="gramStart"/>
      <w:r w:rsidRPr="009161BB">
        <w:rPr>
          <w:rFonts w:ascii="Times New Roman" w:hAnsi="Times New Roman"/>
          <w:sz w:val="22"/>
          <w:szCs w:val="22"/>
        </w:rPr>
        <w:t>Formerly paragraph 22A of FIN 46(R), as amended by FAS 167.</w:t>
      </w:r>
      <w:proofErr w:type="gramEnd"/>
    </w:p>
  </w:footnote>
  <w:footnote w:id="8">
    <w:p w:rsidR="00226B4F" w:rsidRPr="009161BB" w:rsidRDefault="00226B4F" w:rsidP="00BA07A9">
      <w:pPr>
        <w:pStyle w:val="FootnoteText"/>
        <w:rPr>
          <w:rFonts w:ascii="Times New Roman" w:hAnsi="Times New Roman"/>
          <w:sz w:val="22"/>
          <w:szCs w:val="22"/>
        </w:rPr>
      </w:pPr>
      <w:r w:rsidRPr="009161BB">
        <w:rPr>
          <w:rStyle w:val="FootnoteReference"/>
          <w:sz w:val="22"/>
          <w:szCs w:val="22"/>
          <w:vertAlign w:val="superscript"/>
        </w:rPr>
        <w:footnoteRef/>
      </w:r>
      <w:r w:rsidRPr="009161BB">
        <w:rPr>
          <w:rFonts w:ascii="Times New Roman" w:hAnsi="Times New Roman"/>
          <w:sz w:val="22"/>
          <w:szCs w:val="22"/>
          <w:vertAlign w:val="superscript"/>
        </w:rPr>
        <w:t xml:space="preserve"> </w:t>
      </w:r>
      <w:r w:rsidRPr="009161BB">
        <w:rPr>
          <w:rFonts w:ascii="Times New Roman" w:hAnsi="Times New Roman"/>
          <w:sz w:val="22"/>
          <w:szCs w:val="22"/>
        </w:rPr>
        <w:t xml:space="preserve"> Deloitte &amp; </w:t>
      </w:r>
      <w:proofErr w:type="spellStart"/>
      <w:r w:rsidRPr="009161BB">
        <w:rPr>
          <w:rFonts w:ascii="Times New Roman" w:hAnsi="Times New Roman"/>
          <w:sz w:val="22"/>
          <w:szCs w:val="22"/>
        </w:rPr>
        <w:t>Touche</w:t>
      </w:r>
      <w:proofErr w:type="spellEnd"/>
      <w:r w:rsidRPr="009161BB">
        <w:rPr>
          <w:rFonts w:ascii="Times New Roman" w:hAnsi="Times New Roman"/>
          <w:sz w:val="22"/>
          <w:szCs w:val="22"/>
        </w:rPr>
        <w:t xml:space="preserve"> LLP, “Back on-balance sheet:  Observations from the adoption of FAS 167,” May 2010, page 4 (http://www.deloitte.com/view/en_US/us/Services/audit-enterprise-risk-services/Financial-Accounting-Reporting/f3a70ca28d9f8210VgnVCM200000bb42f00aRCRD.htm).</w:t>
      </w:r>
    </w:p>
  </w:footnote>
  <w:footnote w:id="9">
    <w:p w:rsidR="00226B4F" w:rsidRPr="009161BB" w:rsidRDefault="00226B4F" w:rsidP="00BA07A9">
      <w:pPr>
        <w:pStyle w:val="FootnoteText"/>
        <w:rPr>
          <w:rFonts w:ascii="Times New Roman" w:hAnsi="Times New Roman"/>
          <w:sz w:val="22"/>
          <w:szCs w:val="22"/>
        </w:rPr>
      </w:pPr>
      <w:r w:rsidRPr="009161BB">
        <w:rPr>
          <w:rStyle w:val="FootnoteReference"/>
          <w:sz w:val="22"/>
          <w:szCs w:val="22"/>
          <w:vertAlign w:val="superscript"/>
        </w:rPr>
        <w:footnoteRef/>
      </w:r>
      <w:r w:rsidRPr="009161BB">
        <w:rPr>
          <w:rFonts w:ascii="Times New Roman" w:hAnsi="Times New Roman"/>
          <w:sz w:val="22"/>
          <w:szCs w:val="22"/>
          <w:vertAlign w:val="superscript"/>
        </w:rPr>
        <w:t xml:space="preserve"> </w:t>
      </w:r>
      <w:r w:rsidRPr="009161BB">
        <w:rPr>
          <w:rFonts w:ascii="Times New Roman" w:hAnsi="Times New Roman"/>
          <w:sz w:val="22"/>
          <w:szCs w:val="22"/>
        </w:rPr>
        <w:t xml:space="preserve"> See paragraphs A80 and A81 of FAS 167.</w:t>
      </w:r>
    </w:p>
  </w:footnote>
  <w:footnote w:id="10">
    <w:p w:rsidR="00226B4F" w:rsidRPr="004C1DDD" w:rsidRDefault="00226B4F" w:rsidP="000C3E30">
      <w:pPr>
        <w:pStyle w:val="FootnoteText"/>
        <w:rPr>
          <w:rFonts w:ascii="Times New Roman" w:hAnsi="Times New Roman"/>
        </w:rPr>
      </w:pPr>
      <w:r w:rsidRPr="00C52F18">
        <w:rPr>
          <w:rFonts w:ascii="Times New Roman" w:hAnsi="Times New Roman"/>
          <w:sz w:val="22"/>
          <w:szCs w:val="22"/>
          <w:vertAlign w:val="superscript"/>
        </w:rPr>
        <w:footnoteRef/>
      </w:r>
      <w:r w:rsidRPr="00C52F18">
        <w:rPr>
          <w:rFonts w:ascii="Times New Roman" w:hAnsi="Times New Roman"/>
          <w:sz w:val="22"/>
          <w:szCs w:val="22"/>
        </w:rPr>
        <w:t xml:space="preserve"> </w:t>
      </w:r>
      <w:r w:rsidRPr="00CB59B6">
        <w:rPr>
          <w:rFonts w:ascii="Times New Roman" w:hAnsi="Times New Roman"/>
          <w:sz w:val="22"/>
          <w:szCs w:val="22"/>
        </w:rPr>
        <w:t>Total cost to the public was estimated using the following formula: percent of staff time, multiplied by annual burden hours, multiplied by hourly rate (30% Office &amp; Administrative Support @ $16, 45% Financial Managers @ $4</w:t>
      </w:r>
      <w:r>
        <w:rPr>
          <w:rFonts w:ascii="Times New Roman" w:hAnsi="Times New Roman"/>
          <w:sz w:val="22"/>
          <w:szCs w:val="22"/>
        </w:rPr>
        <w:t>9</w:t>
      </w:r>
      <w:r w:rsidRPr="00CB59B6">
        <w:rPr>
          <w:rFonts w:ascii="Times New Roman" w:hAnsi="Times New Roman"/>
          <w:sz w:val="22"/>
          <w:szCs w:val="22"/>
        </w:rPr>
        <w:t>, 15% Legal Counsel @ $54, and 10% Chief Executives @ $7</w:t>
      </w:r>
      <w:r>
        <w:rPr>
          <w:rFonts w:ascii="Times New Roman" w:hAnsi="Times New Roman"/>
          <w:sz w:val="22"/>
          <w:szCs w:val="22"/>
        </w:rPr>
        <w:t>7</w:t>
      </w:r>
      <w:r w:rsidRPr="00CB59B6">
        <w:rPr>
          <w:rFonts w:ascii="Times New Roman" w:hAnsi="Times New Roman"/>
          <w:sz w:val="22"/>
          <w:szCs w:val="22"/>
        </w:rPr>
        <w:t xml:space="preserve">).  Hourly rate for each occupational group are the median hourly wages (rounded up) from the Bureau of Labor and Statistics (BLS), Occupational Employment and Wages 2008, www.bls.gov/news.release/ocwage.nr0.htm  Occupations are defined using the BLS Occupational Classification System,  www.bls.gov/soc/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B4F" w:rsidRDefault="00696E8A">
    <w:pPr>
      <w:pStyle w:val="Header"/>
      <w:framePr w:wrap="around" w:vAnchor="text" w:hAnchor="margin" w:xAlign="center" w:y="1"/>
      <w:rPr>
        <w:rStyle w:val="PageNumber"/>
      </w:rPr>
    </w:pPr>
    <w:r>
      <w:rPr>
        <w:rStyle w:val="PageNumber"/>
      </w:rPr>
      <w:fldChar w:fldCharType="begin"/>
    </w:r>
    <w:r w:rsidR="00226B4F">
      <w:rPr>
        <w:rStyle w:val="PageNumber"/>
      </w:rPr>
      <w:instrText xml:space="preserve">PAGE  </w:instrText>
    </w:r>
    <w:r>
      <w:rPr>
        <w:rStyle w:val="PageNumber"/>
      </w:rPr>
      <w:fldChar w:fldCharType="separate"/>
    </w:r>
    <w:r w:rsidR="00226B4F">
      <w:rPr>
        <w:rStyle w:val="PageNumber"/>
        <w:noProof/>
      </w:rPr>
      <w:t>2</w:t>
    </w:r>
    <w:r>
      <w:rPr>
        <w:rStyle w:val="PageNumber"/>
      </w:rPr>
      <w:fldChar w:fldCharType="end"/>
    </w:r>
  </w:p>
  <w:p w:rsidR="00226B4F" w:rsidRDefault="00226B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B4F" w:rsidRPr="00FC66A7" w:rsidRDefault="00226B4F" w:rsidP="0088598B">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B4F" w:rsidRDefault="00226B4F" w:rsidP="00316C14">
    <w:pPr>
      <w:pStyle w:val="Header"/>
      <w:ind w:left="360"/>
      <w:rPr>
        <w:rFonts w:ascii="Times New Roman" w:hAnsi="Times New Roman"/>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87A9A"/>
    <w:multiLevelType w:val="multilevel"/>
    <w:tmpl w:val="779053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531E24"/>
    <w:multiLevelType w:val="hybridMultilevel"/>
    <w:tmpl w:val="C05ACE5C"/>
    <w:lvl w:ilvl="0" w:tplc="E22A15E8">
      <w:numFmt w:val="bullet"/>
      <w:lvlText w:val=""/>
      <w:lvlJc w:val="left"/>
      <w:pPr>
        <w:ind w:left="720" w:hanging="360"/>
      </w:pPr>
      <w:rPr>
        <w:rFonts w:ascii="Wingdings" w:eastAsia="Times New Roman" w:hAnsi="Wingdings"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210A89"/>
    <w:multiLevelType w:val="singleLevel"/>
    <w:tmpl w:val="A57AC838"/>
    <w:lvl w:ilvl="0">
      <w:start w:val="1"/>
      <w:numFmt w:val="decimal"/>
      <w:lvlText w:val="%1."/>
      <w:legacy w:legacy="1" w:legacySpace="0" w:legacyIndent="0"/>
      <w:lvlJc w:val="left"/>
      <w:rPr>
        <w:rFonts w:ascii="Helv" w:hAnsi="Helv" w:hint="default"/>
        <w:b w:val="0"/>
      </w:rPr>
    </w:lvl>
  </w:abstractNum>
  <w:abstractNum w:abstractNumId="3">
    <w:nsid w:val="4B955786"/>
    <w:multiLevelType w:val="singleLevel"/>
    <w:tmpl w:val="2358548C"/>
    <w:lvl w:ilvl="0">
      <w:start w:val="1"/>
      <w:numFmt w:val="upperLetter"/>
      <w:pStyle w:val="Heading6"/>
      <w:lvlText w:val="%1."/>
      <w:lvlJc w:val="left"/>
      <w:pPr>
        <w:tabs>
          <w:tab w:val="num" w:pos="1080"/>
        </w:tabs>
        <w:ind w:left="1080" w:hanging="360"/>
      </w:pPr>
      <w:rPr>
        <w:rFonts w:hint="default"/>
      </w:rPr>
    </w:lvl>
  </w:abstractNum>
  <w:abstractNum w:abstractNumId="4">
    <w:nsid w:val="5B5D3597"/>
    <w:multiLevelType w:val="hybridMultilevel"/>
    <w:tmpl w:val="26D65B22"/>
    <w:lvl w:ilvl="0" w:tplc="8ACC1F26">
      <w:start w:val="1"/>
      <w:numFmt w:val="decimal"/>
      <w:lvlText w:val="(%1)"/>
      <w:lvlJc w:val="left"/>
      <w:pPr>
        <w:tabs>
          <w:tab w:val="num" w:pos="360"/>
        </w:tabs>
        <w:ind w:left="360" w:hanging="36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33C32EE"/>
    <w:multiLevelType w:val="hybridMultilevel"/>
    <w:tmpl w:val="12162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5F0F6C"/>
    <w:multiLevelType w:val="hybridMultilevel"/>
    <w:tmpl w:val="CE2855E8"/>
    <w:lvl w:ilvl="0" w:tplc="43045812">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4F260C5"/>
    <w:multiLevelType w:val="multilevel"/>
    <w:tmpl w:val="6352B1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96518E"/>
    <w:multiLevelType w:val="hybridMultilevel"/>
    <w:tmpl w:val="DDC69F44"/>
    <w:lvl w:ilvl="0" w:tplc="9FA88420">
      <w:start w:val="1"/>
      <w:numFmt w:val="bullet"/>
      <w:lvlText w:val=""/>
      <w:lvlJc w:val="left"/>
      <w:pPr>
        <w:tabs>
          <w:tab w:val="num" w:pos="360"/>
        </w:tabs>
        <w:ind w:left="360" w:hanging="360"/>
      </w:pPr>
      <w:rPr>
        <w:rFonts w:ascii="Symbol" w:hAnsi="Symbol" w:hint="default"/>
      </w:rPr>
    </w:lvl>
    <w:lvl w:ilvl="1" w:tplc="5F6C2E30">
      <w:start w:val="1"/>
      <w:numFmt w:val="bullet"/>
      <w:lvlText w:val="o"/>
      <w:lvlJc w:val="left"/>
      <w:pPr>
        <w:tabs>
          <w:tab w:val="num" w:pos="1080"/>
        </w:tabs>
        <w:ind w:left="1080" w:hanging="360"/>
      </w:pPr>
      <w:rPr>
        <w:rFonts w:ascii="Courier New" w:hAnsi="Courier New" w:hint="default"/>
      </w:rPr>
    </w:lvl>
    <w:lvl w:ilvl="2" w:tplc="349E084A">
      <w:start w:val="1"/>
      <w:numFmt w:val="bullet"/>
      <w:lvlText w:val=""/>
      <w:lvlJc w:val="left"/>
      <w:pPr>
        <w:tabs>
          <w:tab w:val="num" w:pos="1800"/>
        </w:tabs>
        <w:ind w:left="1800" w:hanging="360"/>
      </w:pPr>
      <w:rPr>
        <w:rFonts w:ascii="Wingdings" w:hAnsi="Wingdings" w:hint="default"/>
      </w:rPr>
    </w:lvl>
    <w:lvl w:ilvl="3" w:tplc="605872D0" w:tentative="1">
      <w:start w:val="1"/>
      <w:numFmt w:val="bullet"/>
      <w:lvlText w:val=""/>
      <w:lvlJc w:val="left"/>
      <w:pPr>
        <w:tabs>
          <w:tab w:val="num" w:pos="2520"/>
        </w:tabs>
        <w:ind w:left="2520" w:hanging="360"/>
      </w:pPr>
      <w:rPr>
        <w:rFonts w:ascii="Symbol" w:hAnsi="Symbol" w:hint="default"/>
      </w:rPr>
    </w:lvl>
    <w:lvl w:ilvl="4" w:tplc="1EB2E336" w:tentative="1">
      <w:start w:val="1"/>
      <w:numFmt w:val="bullet"/>
      <w:lvlText w:val="o"/>
      <w:lvlJc w:val="left"/>
      <w:pPr>
        <w:tabs>
          <w:tab w:val="num" w:pos="3240"/>
        </w:tabs>
        <w:ind w:left="3240" w:hanging="360"/>
      </w:pPr>
      <w:rPr>
        <w:rFonts w:ascii="Courier New" w:hAnsi="Courier New" w:hint="default"/>
      </w:rPr>
    </w:lvl>
    <w:lvl w:ilvl="5" w:tplc="4282CB16" w:tentative="1">
      <w:start w:val="1"/>
      <w:numFmt w:val="bullet"/>
      <w:lvlText w:val=""/>
      <w:lvlJc w:val="left"/>
      <w:pPr>
        <w:tabs>
          <w:tab w:val="num" w:pos="3960"/>
        </w:tabs>
        <w:ind w:left="3960" w:hanging="360"/>
      </w:pPr>
      <w:rPr>
        <w:rFonts w:ascii="Wingdings" w:hAnsi="Wingdings" w:hint="default"/>
      </w:rPr>
    </w:lvl>
    <w:lvl w:ilvl="6" w:tplc="85FEC89E" w:tentative="1">
      <w:start w:val="1"/>
      <w:numFmt w:val="bullet"/>
      <w:lvlText w:val=""/>
      <w:lvlJc w:val="left"/>
      <w:pPr>
        <w:tabs>
          <w:tab w:val="num" w:pos="4680"/>
        </w:tabs>
        <w:ind w:left="4680" w:hanging="360"/>
      </w:pPr>
      <w:rPr>
        <w:rFonts w:ascii="Symbol" w:hAnsi="Symbol" w:hint="default"/>
      </w:rPr>
    </w:lvl>
    <w:lvl w:ilvl="7" w:tplc="F1529CA2" w:tentative="1">
      <w:start w:val="1"/>
      <w:numFmt w:val="bullet"/>
      <w:lvlText w:val="o"/>
      <w:lvlJc w:val="left"/>
      <w:pPr>
        <w:tabs>
          <w:tab w:val="num" w:pos="5400"/>
        </w:tabs>
        <w:ind w:left="5400" w:hanging="360"/>
      </w:pPr>
      <w:rPr>
        <w:rFonts w:ascii="Courier New" w:hAnsi="Courier New" w:hint="default"/>
      </w:rPr>
    </w:lvl>
    <w:lvl w:ilvl="8" w:tplc="A440D48C" w:tentative="1">
      <w:start w:val="1"/>
      <w:numFmt w:val="bullet"/>
      <w:lvlText w:val=""/>
      <w:lvlJc w:val="left"/>
      <w:pPr>
        <w:tabs>
          <w:tab w:val="num" w:pos="6120"/>
        </w:tabs>
        <w:ind w:left="6120" w:hanging="360"/>
      </w:pPr>
      <w:rPr>
        <w:rFonts w:ascii="Wingdings" w:hAnsi="Wingdings" w:hint="default"/>
      </w:rPr>
    </w:lvl>
  </w:abstractNum>
  <w:abstractNum w:abstractNumId="9">
    <w:nsid w:val="7FD1526E"/>
    <w:multiLevelType w:val="hybridMultilevel"/>
    <w:tmpl w:val="F7FE4F60"/>
    <w:lvl w:ilvl="0" w:tplc="43045812">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8"/>
  </w:num>
  <w:num w:numId="4">
    <w:abstractNumId w:val="1"/>
  </w:num>
  <w:num w:numId="5">
    <w:abstractNumId w:val="2"/>
  </w:num>
  <w:num w:numId="6">
    <w:abstractNumId w:val="5"/>
  </w:num>
  <w:num w:numId="7">
    <w:abstractNumId w:val="6"/>
  </w:num>
  <w:num w:numId="8">
    <w:abstractNumId w:val="9"/>
  </w:num>
  <w:num w:numId="9">
    <w:abstractNumId w:val="0"/>
  </w:num>
  <w:num w:numId="10">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rsids>
    <w:rsidRoot w:val="003F6F39"/>
    <w:rsid w:val="000014B2"/>
    <w:rsid w:val="0001086E"/>
    <w:rsid w:val="000126EA"/>
    <w:rsid w:val="000214E3"/>
    <w:rsid w:val="0002176B"/>
    <w:rsid w:val="00024915"/>
    <w:rsid w:val="000253B8"/>
    <w:rsid w:val="0003335E"/>
    <w:rsid w:val="0003438C"/>
    <w:rsid w:val="00035D70"/>
    <w:rsid w:val="00037D99"/>
    <w:rsid w:val="0004128B"/>
    <w:rsid w:val="00042445"/>
    <w:rsid w:val="000459CB"/>
    <w:rsid w:val="0005255D"/>
    <w:rsid w:val="000601B4"/>
    <w:rsid w:val="00060507"/>
    <w:rsid w:val="00060710"/>
    <w:rsid w:val="00061552"/>
    <w:rsid w:val="000670E9"/>
    <w:rsid w:val="00070E9B"/>
    <w:rsid w:val="00071ECB"/>
    <w:rsid w:val="00083E83"/>
    <w:rsid w:val="000911DD"/>
    <w:rsid w:val="00092147"/>
    <w:rsid w:val="000A0078"/>
    <w:rsid w:val="000A2A76"/>
    <w:rsid w:val="000A2B06"/>
    <w:rsid w:val="000A3F4C"/>
    <w:rsid w:val="000A4738"/>
    <w:rsid w:val="000A773D"/>
    <w:rsid w:val="000A7C19"/>
    <w:rsid w:val="000B161D"/>
    <w:rsid w:val="000B26E9"/>
    <w:rsid w:val="000B56CC"/>
    <w:rsid w:val="000B7D93"/>
    <w:rsid w:val="000C0945"/>
    <w:rsid w:val="000C0C1F"/>
    <w:rsid w:val="000C0FCC"/>
    <w:rsid w:val="000C1A6A"/>
    <w:rsid w:val="000C3E30"/>
    <w:rsid w:val="000C47DA"/>
    <w:rsid w:val="000C79D8"/>
    <w:rsid w:val="000C7E36"/>
    <w:rsid w:val="000D4B92"/>
    <w:rsid w:val="000D51EC"/>
    <w:rsid w:val="000D7314"/>
    <w:rsid w:val="000D744B"/>
    <w:rsid w:val="000E02C5"/>
    <w:rsid w:val="000E09FE"/>
    <w:rsid w:val="000E0F0F"/>
    <w:rsid w:val="000E4759"/>
    <w:rsid w:val="000E6060"/>
    <w:rsid w:val="000E7C83"/>
    <w:rsid w:val="000F0264"/>
    <w:rsid w:val="000F0421"/>
    <w:rsid w:val="000F0CA1"/>
    <w:rsid w:val="000F31A4"/>
    <w:rsid w:val="000F3AA8"/>
    <w:rsid w:val="000F4B98"/>
    <w:rsid w:val="000F7537"/>
    <w:rsid w:val="0010046A"/>
    <w:rsid w:val="0010123A"/>
    <w:rsid w:val="001012B6"/>
    <w:rsid w:val="0010352F"/>
    <w:rsid w:val="001036F9"/>
    <w:rsid w:val="0010414F"/>
    <w:rsid w:val="00104257"/>
    <w:rsid w:val="00112550"/>
    <w:rsid w:val="0011541E"/>
    <w:rsid w:val="00116269"/>
    <w:rsid w:val="00126B4C"/>
    <w:rsid w:val="00131942"/>
    <w:rsid w:val="00132904"/>
    <w:rsid w:val="00136A24"/>
    <w:rsid w:val="00137D30"/>
    <w:rsid w:val="00140300"/>
    <w:rsid w:val="00141949"/>
    <w:rsid w:val="00144CB4"/>
    <w:rsid w:val="00146E92"/>
    <w:rsid w:val="00147B98"/>
    <w:rsid w:val="001510D5"/>
    <w:rsid w:val="00152FA5"/>
    <w:rsid w:val="00153C3D"/>
    <w:rsid w:val="00154625"/>
    <w:rsid w:val="00157635"/>
    <w:rsid w:val="00160091"/>
    <w:rsid w:val="00160643"/>
    <w:rsid w:val="001621B7"/>
    <w:rsid w:val="00164CA7"/>
    <w:rsid w:val="00166CC8"/>
    <w:rsid w:val="00171106"/>
    <w:rsid w:val="00172675"/>
    <w:rsid w:val="00173589"/>
    <w:rsid w:val="001735F3"/>
    <w:rsid w:val="00174F05"/>
    <w:rsid w:val="00177929"/>
    <w:rsid w:val="00183189"/>
    <w:rsid w:val="00183A21"/>
    <w:rsid w:val="00183B27"/>
    <w:rsid w:val="001876A8"/>
    <w:rsid w:val="001923C2"/>
    <w:rsid w:val="00192D34"/>
    <w:rsid w:val="00192DE2"/>
    <w:rsid w:val="001934BA"/>
    <w:rsid w:val="00194B97"/>
    <w:rsid w:val="001B00BC"/>
    <w:rsid w:val="001B17C8"/>
    <w:rsid w:val="001B32A3"/>
    <w:rsid w:val="001B40E4"/>
    <w:rsid w:val="001B46BF"/>
    <w:rsid w:val="001B5B33"/>
    <w:rsid w:val="001C47AF"/>
    <w:rsid w:val="001C6872"/>
    <w:rsid w:val="001D32AB"/>
    <w:rsid w:val="001D3BC4"/>
    <w:rsid w:val="001D406C"/>
    <w:rsid w:val="001D4B82"/>
    <w:rsid w:val="001D5002"/>
    <w:rsid w:val="001D51D4"/>
    <w:rsid w:val="001D7659"/>
    <w:rsid w:val="001E0046"/>
    <w:rsid w:val="001E33E4"/>
    <w:rsid w:val="001E3E51"/>
    <w:rsid w:val="001E4FFA"/>
    <w:rsid w:val="001E6F76"/>
    <w:rsid w:val="001E7263"/>
    <w:rsid w:val="001F0728"/>
    <w:rsid w:val="001F0D73"/>
    <w:rsid w:val="001F19F8"/>
    <w:rsid w:val="001F3FC6"/>
    <w:rsid w:val="001F5A94"/>
    <w:rsid w:val="00201B6D"/>
    <w:rsid w:val="002028D2"/>
    <w:rsid w:val="0020293E"/>
    <w:rsid w:val="0020361A"/>
    <w:rsid w:val="00204D02"/>
    <w:rsid w:val="002068E5"/>
    <w:rsid w:val="00210262"/>
    <w:rsid w:val="002141FA"/>
    <w:rsid w:val="00214A5A"/>
    <w:rsid w:val="002161AE"/>
    <w:rsid w:val="002208B4"/>
    <w:rsid w:val="00223072"/>
    <w:rsid w:val="00226552"/>
    <w:rsid w:val="002269DF"/>
    <w:rsid w:val="00226B4F"/>
    <w:rsid w:val="002303F8"/>
    <w:rsid w:val="002328B8"/>
    <w:rsid w:val="002334DB"/>
    <w:rsid w:val="00233B78"/>
    <w:rsid w:val="00234CD4"/>
    <w:rsid w:val="00236F05"/>
    <w:rsid w:val="00237250"/>
    <w:rsid w:val="00237A0B"/>
    <w:rsid w:val="0024052F"/>
    <w:rsid w:val="00241763"/>
    <w:rsid w:val="00245B3C"/>
    <w:rsid w:val="00246608"/>
    <w:rsid w:val="00247228"/>
    <w:rsid w:val="00255426"/>
    <w:rsid w:val="0026330F"/>
    <w:rsid w:val="00263927"/>
    <w:rsid w:val="00265108"/>
    <w:rsid w:val="00271C8C"/>
    <w:rsid w:val="00273AF6"/>
    <w:rsid w:val="002746A4"/>
    <w:rsid w:val="00283644"/>
    <w:rsid w:val="00284944"/>
    <w:rsid w:val="00284AD2"/>
    <w:rsid w:val="002860C9"/>
    <w:rsid w:val="00292CE6"/>
    <w:rsid w:val="002931EE"/>
    <w:rsid w:val="0029324F"/>
    <w:rsid w:val="00294459"/>
    <w:rsid w:val="0029509F"/>
    <w:rsid w:val="00297701"/>
    <w:rsid w:val="002A076D"/>
    <w:rsid w:val="002A1563"/>
    <w:rsid w:val="002A3EF4"/>
    <w:rsid w:val="002A4C85"/>
    <w:rsid w:val="002B3740"/>
    <w:rsid w:val="002C32F3"/>
    <w:rsid w:val="002C7834"/>
    <w:rsid w:val="002C7B52"/>
    <w:rsid w:val="002C7EA3"/>
    <w:rsid w:val="002C7F55"/>
    <w:rsid w:val="002D0387"/>
    <w:rsid w:val="002D079B"/>
    <w:rsid w:val="002D0B4C"/>
    <w:rsid w:val="002D4215"/>
    <w:rsid w:val="002D5235"/>
    <w:rsid w:val="002E4607"/>
    <w:rsid w:val="002F3B88"/>
    <w:rsid w:val="002F715C"/>
    <w:rsid w:val="003014D4"/>
    <w:rsid w:val="00301553"/>
    <w:rsid w:val="00316214"/>
    <w:rsid w:val="00316C14"/>
    <w:rsid w:val="00316D82"/>
    <w:rsid w:val="00316F77"/>
    <w:rsid w:val="00320A75"/>
    <w:rsid w:val="003240EB"/>
    <w:rsid w:val="0032452E"/>
    <w:rsid w:val="00324FAC"/>
    <w:rsid w:val="00325745"/>
    <w:rsid w:val="00325975"/>
    <w:rsid w:val="00326B90"/>
    <w:rsid w:val="00327420"/>
    <w:rsid w:val="00327BE7"/>
    <w:rsid w:val="0033008E"/>
    <w:rsid w:val="003306EB"/>
    <w:rsid w:val="003315C0"/>
    <w:rsid w:val="00332081"/>
    <w:rsid w:val="00347A9E"/>
    <w:rsid w:val="00350002"/>
    <w:rsid w:val="00350E6C"/>
    <w:rsid w:val="00352B34"/>
    <w:rsid w:val="003641F4"/>
    <w:rsid w:val="00367295"/>
    <w:rsid w:val="00367E58"/>
    <w:rsid w:val="00371330"/>
    <w:rsid w:val="003730B7"/>
    <w:rsid w:val="0038057F"/>
    <w:rsid w:val="00382CEC"/>
    <w:rsid w:val="00384360"/>
    <w:rsid w:val="00390B0F"/>
    <w:rsid w:val="00392F83"/>
    <w:rsid w:val="00395DBA"/>
    <w:rsid w:val="003A05A8"/>
    <w:rsid w:val="003A245C"/>
    <w:rsid w:val="003A67EF"/>
    <w:rsid w:val="003A717A"/>
    <w:rsid w:val="003B3E21"/>
    <w:rsid w:val="003B3FE4"/>
    <w:rsid w:val="003B4772"/>
    <w:rsid w:val="003B73EE"/>
    <w:rsid w:val="003C3D36"/>
    <w:rsid w:val="003C5A80"/>
    <w:rsid w:val="003C6815"/>
    <w:rsid w:val="003C715D"/>
    <w:rsid w:val="003D0A87"/>
    <w:rsid w:val="003E339E"/>
    <w:rsid w:val="003E3962"/>
    <w:rsid w:val="003E4D02"/>
    <w:rsid w:val="003E4E98"/>
    <w:rsid w:val="003E690A"/>
    <w:rsid w:val="003F29D1"/>
    <w:rsid w:val="003F6F39"/>
    <w:rsid w:val="0040195A"/>
    <w:rsid w:val="0040306E"/>
    <w:rsid w:val="004106FC"/>
    <w:rsid w:val="00414304"/>
    <w:rsid w:val="00414813"/>
    <w:rsid w:val="00417333"/>
    <w:rsid w:val="00417661"/>
    <w:rsid w:val="0042018B"/>
    <w:rsid w:val="00423CD3"/>
    <w:rsid w:val="004306CA"/>
    <w:rsid w:val="00430D4A"/>
    <w:rsid w:val="0043349E"/>
    <w:rsid w:val="00435AE7"/>
    <w:rsid w:val="00436C23"/>
    <w:rsid w:val="00440596"/>
    <w:rsid w:val="00441438"/>
    <w:rsid w:val="00444888"/>
    <w:rsid w:val="00454461"/>
    <w:rsid w:val="00454E80"/>
    <w:rsid w:val="00455B66"/>
    <w:rsid w:val="00455DD1"/>
    <w:rsid w:val="004560D1"/>
    <w:rsid w:val="0045669C"/>
    <w:rsid w:val="00456E3E"/>
    <w:rsid w:val="00461176"/>
    <w:rsid w:val="00462C53"/>
    <w:rsid w:val="004643D7"/>
    <w:rsid w:val="004674A1"/>
    <w:rsid w:val="00467E07"/>
    <w:rsid w:val="004717D1"/>
    <w:rsid w:val="00471B42"/>
    <w:rsid w:val="00472389"/>
    <w:rsid w:val="0047387A"/>
    <w:rsid w:val="0047519F"/>
    <w:rsid w:val="004753B5"/>
    <w:rsid w:val="0048353E"/>
    <w:rsid w:val="00483BE5"/>
    <w:rsid w:val="00486BB7"/>
    <w:rsid w:val="00487745"/>
    <w:rsid w:val="00490C33"/>
    <w:rsid w:val="00491279"/>
    <w:rsid w:val="004936D9"/>
    <w:rsid w:val="00496319"/>
    <w:rsid w:val="004A1A48"/>
    <w:rsid w:val="004A45B4"/>
    <w:rsid w:val="004A4BF5"/>
    <w:rsid w:val="004A67C9"/>
    <w:rsid w:val="004A7766"/>
    <w:rsid w:val="004B5CF6"/>
    <w:rsid w:val="004B77C3"/>
    <w:rsid w:val="004C1DDD"/>
    <w:rsid w:val="004C2D7C"/>
    <w:rsid w:val="004C6483"/>
    <w:rsid w:val="004C6CE8"/>
    <w:rsid w:val="004C79D7"/>
    <w:rsid w:val="004D1EA2"/>
    <w:rsid w:val="004D24B5"/>
    <w:rsid w:val="004D2FFB"/>
    <w:rsid w:val="004D5C7F"/>
    <w:rsid w:val="004E1F4D"/>
    <w:rsid w:val="004E2EF6"/>
    <w:rsid w:val="004E3D10"/>
    <w:rsid w:val="004E4332"/>
    <w:rsid w:val="004E6022"/>
    <w:rsid w:val="00503823"/>
    <w:rsid w:val="00504CD0"/>
    <w:rsid w:val="00504D71"/>
    <w:rsid w:val="005136C4"/>
    <w:rsid w:val="00513AED"/>
    <w:rsid w:val="005240DB"/>
    <w:rsid w:val="00525DDC"/>
    <w:rsid w:val="00526AB3"/>
    <w:rsid w:val="00526FA2"/>
    <w:rsid w:val="0053045C"/>
    <w:rsid w:val="00530CFF"/>
    <w:rsid w:val="00530E69"/>
    <w:rsid w:val="00533754"/>
    <w:rsid w:val="0053768F"/>
    <w:rsid w:val="00537FBF"/>
    <w:rsid w:val="005402BD"/>
    <w:rsid w:val="005405B7"/>
    <w:rsid w:val="00540D41"/>
    <w:rsid w:val="00542D4A"/>
    <w:rsid w:val="005439D7"/>
    <w:rsid w:val="005473FD"/>
    <w:rsid w:val="00552764"/>
    <w:rsid w:val="0055298A"/>
    <w:rsid w:val="005568A2"/>
    <w:rsid w:val="00562C8C"/>
    <w:rsid w:val="00565844"/>
    <w:rsid w:val="00567CEC"/>
    <w:rsid w:val="00570462"/>
    <w:rsid w:val="00571325"/>
    <w:rsid w:val="005716F4"/>
    <w:rsid w:val="00577B08"/>
    <w:rsid w:val="00582913"/>
    <w:rsid w:val="005847EA"/>
    <w:rsid w:val="0058581E"/>
    <w:rsid w:val="00590C7C"/>
    <w:rsid w:val="00594526"/>
    <w:rsid w:val="00597AE8"/>
    <w:rsid w:val="005A30C3"/>
    <w:rsid w:val="005A7C56"/>
    <w:rsid w:val="005B230D"/>
    <w:rsid w:val="005B48D1"/>
    <w:rsid w:val="005B5278"/>
    <w:rsid w:val="005B7B7F"/>
    <w:rsid w:val="005C0E3B"/>
    <w:rsid w:val="005C6CE1"/>
    <w:rsid w:val="005C7A39"/>
    <w:rsid w:val="005C7B63"/>
    <w:rsid w:val="005D0072"/>
    <w:rsid w:val="005D3E31"/>
    <w:rsid w:val="005D5D86"/>
    <w:rsid w:val="005D7557"/>
    <w:rsid w:val="005E2192"/>
    <w:rsid w:val="005E2B0E"/>
    <w:rsid w:val="005E2F76"/>
    <w:rsid w:val="005E3653"/>
    <w:rsid w:val="005E6E43"/>
    <w:rsid w:val="005F024B"/>
    <w:rsid w:val="005F42F4"/>
    <w:rsid w:val="005F4D27"/>
    <w:rsid w:val="005F601C"/>
    <w:rsid w:val="005F6D5F"/>
    <w:rsid w:val="005F7347"/>
    <w:rsid w:val="005F7488"/>
    <w:rsid w:val="0060194E"/>
    <w:rsid w:val="00601DD4"/>
    <w:rsid w:val="006044B6"/>
    <w:rsid w:val="0060537E"/>
    <w:rsid w:val="00605E71"/>
    <w:rsid w:val="006067AE"/>
    <w:rsid w:val="00614EFE"/>
    <w:rsid w:val="006164E7"/>
    <w:rsid w:val="00616F1B"/>
    <w:rsid w:val="006202D3"/>
    <w:rsid w:val="0062034F"/>
    <w:rsid w:val="00622FAA"/>
    <w:rsid w:val="00624EF1"/>
    <w:rsid w:val="00625167"/>
    <w:rsid w:val="006312E5"/>
    <w:rsid w:val="0063345A"/>
    <w:rsid w:val="00633995"/>
    <w:rsid w:val="00634E77"/>
    <w:rsid w:val="00635587"/>
    <w:rsid w:val="00635A45"/>
    <w:rsid w:val="0063673B"/>
    <w:rsid w:val="0063743A"/>
    <w:rsid w:val="006374DB"/>
    <w:rsid w:val="006420DB"/>
    <w:rsid w:val="006435F8"/>
    <w:rsid w:val="0064485B"/>
    <w:rsid w:val="00645AA1"/>
    <w:rsid w:val="00647365"/>
    <w:rsid w:val="0066230C"/>
    <w:rsid w:val="0066271C"/>
    <w:rsid w:val="00663157"/>
    <w:rsid w:val="00665852"/>
    <w:rsid w:val="0066595D"/>
    <w:rsid w:val="006666E3"/>
    <w:rsid w:val="006704A9"/>
    <w:rsid w:val="00670884"/>
    <w:rsid w:val="00670C29"/>
    <w:rsid w:val="00681CBD"/>
    <w:rsid w:val="00686525"/>
    <w:rsid w:val="00686BAF"/>
    <w:rsid w:val="00687890"/>
    <w:rsid w:val="006915F0"/>
    <w:rsid w:val="0069296B"/>
    <w:rsid w:val="00695A46"/>
    <w:rsid w:val="00696E8A"/>
    <w:rsid w:val="00697796"/>
    <w:rsid w:val="006A089E"/>
    <w:rsid w:val="006A22E0"/>
    <w:rsid w:val="006A4ED8"/>
    <w:rsid w:val="006A53E5"/>
    <w:rsid w:val="006A6533"/>
    <w:rsid w:val="006A707A"/>
    <w:rsid w:val="006B3693"/>
    <w:rsid w:val="006B36BC"/>
    <w:rsid w:val="006B47F3"/>
    <w:rsid w:val="006B71A1"/>
    <w:rsid w:val="006B74F0"/>
    <w:rsid w:val="006B7527"/>
    <w:rsid w:val="006C2EED"/>
    <w:rsid w:val="006C46CE"/>
    <w:rsid w:val="006C5265"/>
    <w:rsid w:val="006C53D3"/>
    <w:rsid w:val="006C5CF4"/>
    <w:rsid w:val="006D237C"/>
    <w:rsid w:val="006D3E26"/>
    <w:rsid w:val="006D627A"/>
    <w:rsid w:val="006E4E9E"/>
    <w:rsid w:val="006E5199"/>
    <w:rsid w:val="006E5679"/>
    <w:rsid w:val="006E7109"/>
    <w:rsid w:val="006E7AAC"/>
    <w:rsid w:val="006E7D43"/>
    <w:rsid w:val="006F0E40"/>
    <w:rsid w:val="006F187F"/>
    <w:rsid w:val="006F31DC"/>
    <w:rsid w:val="006F416A"/>
    <w:rsid w:val="00703DFD"/>
    <w:rsid w:val="00704CEC"/>
    <w:rsid w:val="00717620"/>
    <w:rsid w:val="007213C9"/>
    <w:rsid w:val="00725DF1"/>
    <w:rsid w:val="00727D89"/>
    <w:rsid w:val="007337E6"/>
    <w:rsid w:val="007369BD"/>
    <w:rsid w:val="00742800"/>
    <w:rsid w:val="00744CE6"/>
    <w:rsid w:val="00751582"/>
    <w:rsid w:val="00751896"/>
    <w:rsid w:val="007528CA"/>
    <w:rsid w:val="00753146"/>
    <w:rsid w:val="007533DE"/>
    <w:rsid w:val="007540C9"/>
    <w:rsid w:val="0075525A"/>
    <w:rsid w:val="00756C3B"/>
    <w:rsid w:val="00762B80"/>
    <w:rsid w:val="007653B6"/>
    <w:rsid w:val="007725A3"/>
    <w:rsid w:val="00775A2A"/>
    <w:rsid w:val="00775D65"/>
    <w:rsid w:val="0077612D"/>
    <w:rsid w:val="00776167"/>
    <w:rsid w:val="00786096"/>
    <w:rsid w:val="007877A5"/>
    <w:rsid w:val="00790227"/>
    <w:rsid w:val="00790FCC"/>
    <w:rsid w:val="007911CA"/>
    <w:rsid w:val="00791FCB"/>
    <w:rsid w:val="00793DED"/>
    <w:rsid w:val="00795F06"/>
    <w:rsid w:val="007A2785"/>
    <w:rsid w:val="007A42C7"/>
    <w:rsid w:val="007A5561"/>
    <w:rsid w:val="007A5B23"/>
    <w:rsid w:val="007A78B8"/>
    <w:rsid w:val="007B092C"/>
    <w:rsid w:val="007B2181"/>
    <w:rsid w:val="007B2EA7"/>
    <w:rsid w:val="007B6A58"/>
    <w:rsid w:val="007C0DA2"/>
    <w:rsid w:val="007C5F8A"/>
    <w:rsid w:val="007C687A"/>
    <w:rsid w:val="007D073A"/>
    <w:rsid w:val="007D0A1F"/>
    <w:rsid w:val="007D15C8"/>
    <w:rsid w:val="007E0013"/>
    <w:rsid w:val="007E0751"/>
    <w:rsid w:val="007E3357"/>
    <w:rsid w:val="007E3546"/>
    <w:rsid w:val="007E38BA"/>
    <w:rsid w:val="007E55BC"/>
    <w:rsid w:val="007E5C89"/>
    <w:rsid w:val="007E5FCC"/>
    <w:rsid w:val="007E716C"/>
    <w:rsid w:val="008010A9"/>
    <w:rsid w:val="00801C93"/>
    <w:rsid w:val="00801EA8"/>
    <w:rsid w:val="00802DBA"/>
    <w:rsid w:val="00804380"/>
    <w:rsid w:val="008063B0"/>
    <w:rsid w:val="008100DF"/>
    <w:rsid w:val="008140E9"/>
    <w:rsid w:val="008160D1"/>
    <w:rsid w:val="00816B2C"/>
    <w:rsid w:val="00816EB9"/>
    <w:rsid w:val="00817975"/>
    <w:rsid w:val="00820364"/>
    <w:rsid w:val="00824954"/>
    <w:rsid w:val="008264F6"/>
    <w:rsid w:val="00830B25"/>
    <w:rsid w:val="008324E0"/>
    <w:rsid w:val="008342DA"/>
    <w:rsid w:val="0084078E"/>
    <w:rsid w:val="00841793"/>
    <w:rsid w:val="008427BE"/>
    <w:rsid w:val="008465C2"/>
    <w:rsid w:val="0084768C"/>
    <w:rsid w:val="00847D89"/>
    <w:rsid w:val="008550B6"/>
    <w:rsid w:val="00855A6F"/>
    <w:rsid w:val="00855EE3"/>
    <w:rsid w:val="008618CE"/>
    <w:rsid w:val="00861FA4"/>
    <w:rsid w:val="00862D8F"/>
    <w:rsid w:val="00865713"/>
    <w:rsid w:val="00866C19"/>
    <w:rsid w:val="00866F57"/>
    <w:rsid w:val="008759FC"/>
    <w:rsid w:val="00877D8F"/>
    <w:rsid w:val="00883250"/>
    <w:rsid w:val="008832A6"/>
    <w:rsid w:val="008834AD"/>
    <w:rsid w:val="0088598B"/>
    <w:rsid w:val="008949D8"/>
    <w:rsid w:val="00895983"/>
    <w:rsid w:val="008A5227"/>
    <w:rsid w:val="008A75DA"/>
    <w:rsid w:val="008A7977"/>
    <w:rsid w:val="008B5963"/>
    <w:rsid w:val="008B5CCA"/>
    <w:rsid w:val="008C18A4"/>
    <w:rsid w:val="008C1C5C"/>
    <w:rsid w:val="008C2A69"/>
    <w:rsid w:val="008C38B6"/>
    <w:rsid w:val="008C40DD"/>
    <w:rsid w:val="008D1695"/>
    <w:rsid w:val="008D2867"/>
    <w:rsid w:val="008D63C1"/>
    <w:rsid w:val="008D7925"/>
    <w:rsid w:val="008E071D"/>
    <w:rsid w:val="008E0BE2"/>
    <w:rsid w:val="008E2BFA"/>
    <w:rsid w:val="008E31DB"/>
    <w:rsid w:val="008E3D66"/>
    <w:rsid w:val="008F21CB"/>
    <w:rsid w:val="008F4EBA"/>
    <w:rsid w:val="00901803"/>
    <w:rsid w:val="00905766"/>
    <w:rsid w:val="009072B5"/>
    <w:rsid w:val="0090735D"/>
    <w:rsid w:val="00907895"/>
    <w:rsid w:val="0091307A"/>
    <w:rsid w:val="00914127"/>
    <w:rsid w:val="00915783"/>
    <w:rsid w:val="0091596C"/>
    <w:rsid w:val="00915E3F"/>
    <w:rsid w:val="009161BB"/>
    <w:rsid w:val="0092139F"/>
    <w:rsid w:val="00921528"/>
    <w:rsid w:val="009221E3"/>
    <w:rsid w:val="009248F1"/>
    <w:rsid w:val="00926B0C"/>
    <w:rsid w:val="00930EC0"/>
    <w:rsid w:val="0093398B"/>
    <w:rsid w:val="0093559C"/>
    <w:rsid w:val="00944870"/>
    <w:rsid w:val="00946650"/>
    <w:rsid w:val="00946AE4"/>
    <w:rsid w:val="0094774E"/>
    <w:rsid w:val="009523DB"/>
    <w:rsid w:val="00952DFF"/>
    <w:rsid w:val="00953E90"/>
    <w:rsid w:val="00955D37"/>
    <w:rsid w:val="009579B9"/>
    <w:rsid w:val="00960877"/>
    <w:rsid w:val="00963C86"/>
    <w:rsid w:val="00966844"/>
    <w:rsid w:val="00966FE7"/>
    <w:rsid w:val="00970ACE"/>
    <w:rsid w:val="009710E7"/>
    <w:rsid w:val="009715D6"/>
    <w:rsid w:val="0097202F"/>
    <w:rsid w:val="009726A7"/>
    <w:rsid w:val="00974383"/>
    <w:rsid w:val="00975903"/>
    <w:rsid w:val="009770F8"/>
    <w:rsid w:val="00977883"/>
    <w:rsid w:val="0098131D"/>
    <w:rsid w:val="009815BC"/>
    <w:rsid w:val="009820FF"/>
    <w:rsid w:val="009821BD"/>
    <w:rsid w:val="009864A8"/>
    <w:rsid w:val="009927EF"/>
    <w:rsid w:val="0099521C"/>
    <w:rsid w:val="00996F98"/>
    <w:rsid w:val="00997040"/>
    <w:rsid w:val="009A267D"/>
    <w:rsid w:val="009A3CFC"/>
    <w:rsid w:val="009A53B0"/>
    <w:rsid w:val="009A5BC1"/>
    <w:rsid w:val="009A7396"/>
    <w:rsid w:val="009B0DF1"/>
    <w:rsid w:val="009B2508"/>
    <w:rsid w:val="009B2FF3"/>
    <w:rsid w:val="009B7220"/>
    <w:rsid w:val="009C1931"/>
    <w:rsid w:val="009C1941"/>
    <w:rsid w:val="009C1AF4"/>
    <w:rsid w:val="009C29D2"/>
    <w:rsid w:val="009C423A"/>
    <w:rsid w:val="009D40A4"/>
    <w:rsid w:val="009D4135"/>
    <w:rsid w:val="009D6B91"/>
    <w:rsid w:val="009E099D"/>
    <w:rsid w:val="009E7B1D"/>
    <w:rsid w:val="009E7C7D"/>
    <w:rsid w:val="009F014D"/>
    <w:rsid w:val="009F0898"/>
    <w:rsid w:val="009F191D"/>
    <w:rsid w:val="009F2A6C"/>
    <w:rsid w:val="009F6D4A"/>
    <w:rsid w:val="009F6FAE"/>
    <w:rsid w:val="009F74C2"/>
    <w:rsid w:val="00A01401"/>
    <w:rsid w:val="00A01444"/>
    <w:rsid w:val="00A0194B"/>
    <w:rsid w:val="00A02785"/>
    <w:rsid w:val="00A06721"/>
    <w:rsid w:val="00A07873"/>
    <w:rsid w:val="00A1094D"/>
    <w:rsid w:val="00A10B21"/>
    <w:rsid w:val="00A1430D"/>
    <w:rsid w:val="00A1507E"/>
    <w:rsid w:val="00A2040B"/>
    <w:rsid w:val="00A204D4"/>
    <w:rsid w:val="00A235F2"/>
    <w:rsid w:val="00A24FC8"/>
    <w:rsid w:val="00A2612E"/>
    <w:rsid w:val="00A26FA3"/>
    <w:rsid w:val="00A277AF"/>
    <w:rsid w:val="00A27A10"/>
    <w:rsid w:val="00A3682E"/>
    <w:rsid w:val="00A40EE9"/>
    <w:rsid w:val="00A50043"/>
    <w:rsid w:val="00A51CED"/>
    <w:rsid w:val="00A5256B"/>
    <w:rsid w:val="00A53F4E"/>
    <w:rsid w:val="00A544F5"/>
    <w:rsid w:val="00A55EAA"/>
    <w:rsid w:val="00A57D7E"/>
    <w:rsid w:val="00A60D97"/>
    <w:rsid w:val="00A60DFD"/>
    <w:rsid w:val="00A6134C"/>
    <w:rsid w:val="00A626A2"/>
    <w:rsid w:val="00A646F1"/>
    <w:rsid w:val="00A66878"/>
    <w:rsid w:val="00A6692D"/>
    <w:rsid w:val="00A67A2C"/>
    <w:rsid w:val="00A70E4E"/>
    <w:rsid w:val="00A7114F"/>
    <w:rsid w:val="00A73728"/>
    <w:rsid w:val="00A740AD"/>
    <w:rsid w:val="00A748C7"/>
    <w:rsid w:val="00A75C9D"/>
    <w:rsid w:val="00A7731E"/>
    <w:rsid w:val="00A8108B"/>
    <w:rsid w:val="00A82722"/>
    <w:rsid w:val="00A838D8"/>
    <w:rsid w:val="00A8424A"/>
    <w:rsid w:val="00A84A4D"/>
    <w:rsid w:val="00A84AFE"/>
    <w:rsid w:val="00A9066B"/>
    <w:rsid w:val="00A90C8E"/>
    <w:rsid w:val="00A9203C"/>
    <w:rsid w:val="00A94117"/>
    <w:rsid w:val="00A94D1F"/>
    <w:rsid w:val="00A97048"/>
    <w:rsid w:val="00AA0274"/>
    <w:rsid w:val="00AA2121"/>
    <w:rsid w:val="00AA6B75"/>
    <w:rsid w:val="00AA71F8"/>
    <w:rsid w:val="00AA7716"/>
    <w:rsid w:val="00AB04E6"/>
    <w:rsid w:val="00AC7A66"/>
    <w:rsid w:val="00AD158C"/>
    <w:rsid w:val="00AD515F"/>
    <w:rsid w:val="00AD7616"/>
    <w:rsid w:val="00AF00F6"/>
    <w:rsid w:val="00AF33C9"/>
    <w:rsid w:val="00AF5C01"/>
    <w:rsid w:val="00AF5F29"/>
    <w:rsid w:val="00B004A9"/>
    <w:rsid w:val="00B05049"/>
    <w:rsid w:val="00B1353E"/>
    <w:rsid w:val="00B14DD2"/>
    <w:rsid w:val="00B17446"/>
    <w:rsid w:val="00B24277"/>
    <w:rsid w:val="00B24F39"/>
    <w:rsid w:val="00B26B4F"/>
    <w:rsid w:val="00B3040D"/>
    <w:rsid w:val="00B3066C"/>
    <w:rsid w:val="00B33B64"/>
    <w:rsid w:val="00B33E30"/>
    <w:rsid w:val="00B3678F"/>
    <w:rsid w:val="00B450F1"/>
    <w:rsid w:val="00B45766"/>
    <w:rsid w:val="00B45B47"/>
    <w:rsid w:val="00B5166F"/>
    <w:rsid w:val="00B51D94"/>
    <w:rsid w:val="00B522A5"/>
    <w:rsid w:val="00B5466A"/>
    <w:rsid w:val="00B5674A"/>
    <w:rsid w:val="00B56AE1"/>
    <w:rsid w:val="00B57707"/>
    <w:rsid w:val="00B6174F"/>
    <w:rsid w:val="00B64807"/>
    <w:rsid w:val="00B65D98"/>
    <w:rsid w:val="00B7080D"/>
    <w:rsid w:val="00B70A48"/>
    <w:rsid w:val="00B70B00"/>
    <w:rsid w:val="00B728D0"/>
    <w:rsid w:val="00B75515"/>
    <w:rsid w:val="00B77D87"/>
    <w:rsid w:val="00B81884"/>
    <w:rsid w:val="00B83717"/>
    <w:rsid w:val="00B84782"/>
    <w:rsid w:val="00B8662E"/>
    <w:rsid w:val="00B87081"/>
    <w:rsid w:val="00B91407"/>
    <w:rsid w:val="00B9165D"/>
    <w:rsid w:val="00B93E67"/>
    <w:rsid w:val="00B946FF"/>
    <w:rsid w:val="00B95756"/>
    <w:rsid w:val="00B96C24"/>
    <w:rsid w:val="00BA07A9"/>
    <w:rsid w:val="00BA07AA"/>
    <w:rsid w:val="00BA3D10"/>
    <w:rsid w:val="00BA5CE0"/>
    <w:rsid w:val="00BA7A09"/>
    <w:rsid w:val="00BB27C2"/>
    <w:rsid w:val="00BB3939"/>
    <w:rsid w:val="00BB5C6C"/>
    <w:rsid w:val="00BC3278"/>
    <w:rsid w:val="00BC3D27"/>
    <w:rsid w:val="00BC3E0F"/>
    <w:rsid w:val="00BC6C5C"/>
    <w:rsid w:val="00BD02B7"/>
    <w:rsid w:val="00BD7887"/>
    <w:rsid w:val="00BE028D"/>
    <w:rsid w:val="00BE0841"/>
    <w:rsid w:val="00BE1686"/>
    <w:rsid w:val="00BE19A9"/>
    <w:rsid w:val="00BE6A7E"/>
    <w:rsid w:val="00BF2EAF"/>
    <w:rsid w:val="00BF3D90"/>
    <w:rsid w:val="00BF4D13"/>
    <w:rsid w:val="00BF677E"/>
    <w:rsid w:val="00BF6F34"/>
    <w:rsid w:val="00BF78ED"/>
    <w:rsid w:val="00BF7A51"/>
    <w:rsid w:val="00C00388"/>
    <w:rsid w:val="00C00B3D"/>
    <w:rsid w:val="00C02343"/>
    <w:rsid w:val="00C028AD"/>
    <w:rsid w:val="00C02C57"/>
    <w:rsid w:val="00C03CDA"/>
    <w:rsid w:val="00C04D23"/>
    <w:rsid w:val="00C0678E"/>
    <w:rsid w:val="00C10809"/>
    <w:rsid w:val="00C108D8"/>
    <w:rsid w:val="00C1117B"/>
    <w:rsid w:val="00C11823"/>
    <w:rsid w:val="00C1209C"/>
    <w:rsid w:val="00C120A0"/>
    <w:rsid w:val="00C138CA"/>
    <w:rsid w:val="00C14DA1"/>
    <w:rsid w:val="00C15C94"/>
    <w:rsid w:val="00C16B91"/>
    <w:rsid w:val="00C20665"/>
    <w:rsid w:val="00C21421"/>
    <w:rsid w:val="00C215D9"/>
    <w:rsid w:val="00C2251F"/>
    <w:rsid w:val="00C226D3"/>
    <w:rsid w:val="00C23960"/>
    <w:rsid w:val="00C254CE"/>
    <w:rsid w:val="00C25D69"/>
    <w:rsid w:val="00C265FE"/>
    <w:rsid w:val="00C2728E"/>
    <w:rsid w:val="00C326A2"/>
    <w:rsid w:val="00C35A55"/>
    <w:rsid w:val="00C36328"/>
    <w:rsid w:val="00C41C91"/>
    <w:rsid w:val="00C41D3C"/>
    <w:rsid w:val="00C467DD"/>
    <w:rsid w:val="00C46C78"/>
    <w:rsid w:val="00C52F18"/>
    <w:rsid w:val="00C53458"/>
    <w:rsid w:val="00C53DB3"/>
    <w:rsid w:val="00C53E70"/>
    <w:rsid w:val="00C579BF"/>
    <w:rsid w:val="00C6026E"/>
    <w:rsid w:val="00C6425D"/>
    <w:rsid w:val="00C65915"/>
    <w:rsid w:val="00C660F8"/>
    <w:rsid w:val="00C66416"/>
    <w:rsid w:val="00C71E3B"/>
    <w:rsid w:val="00C742FB"/>
    <w:rsid w:val="00C74B06"/>
    <w:rsid w:val="00C752FC"/>
    <w:rsid w:val="00C76FB3"/>
    <w:rsid w:val="00C81912"/>
    <w:rsid w:val="00C84425"/>
    <w:rsid w:val="00C873EF"/>
    <w:rsid w:val="00C907C5"/>
    <w:rsid w:val="00C90D20"/>
    <w:rsid w:val="00C92789"/>
    <w:rsid w:val="00C96181"/>
    <w:rsid w:val="00C96334"/>
    <w:rsid w:val="00C970C2"/>
    <w:rsid w:val="00CA22D7"/>
    <w:rsid w:val="00CA49AE"/>
    <w:rsid w:val="00CA4E33"/>
    <w:rsid w:val="00CA704F"/>
    <w:rsid w:val="00CA71A5"/>
    <w:rsid w:val="00CA7FDF"/>
    <w:rsid w:val="00CB2C84"/>
    <w:rsid w:val="00CB4F24"/>
    <w:rsid w:val="00CB59B6"/>
    <w:rsid w:val="00CB758D"/>
    <w:rsid w:val="00CB778A"/>
    <w:rsid w:val="00CB7DF4"/>
    <w:rsid w:val="00CC03E7"/>
    <w:rsid w:val="00CC0B17"/>
    <w:rsid w:val="00CC1A3F"/>
    <w:rsid w:val="00CC1B96"/>
    <w:rsid w:val="00CC33BD"/>
    <w:rsid w:val="00CC585B"/>
    <w:rsid w:val="00CC67B2"/>
    <w:rsid w:val="00CC76D7"/>
    <w:rsid w:val="00CD3DFB"/>
    <w:rsid w:val="00CD4A29"/>
    <w:rsid w:val="00CD79D7"/>
    <w:rsid w:val="00CE0448"/>
    <w:rsid w:val="00CE2C37"/>
    <w:rsid w:val="00CE37F6"/>
    <w:rsid w:val="00CE50E5"/>
    <w:rsid w:val="00CE5248"/>
    <w:rsid w:val="00CE778C"/>
    <w:rsid w:val="00CF289D"/>
    <w:rsid w:val="00CF36E2"/>
    <w:rsid w:val="00CF4B8E"/>
    <w:rsid w:val="00CF6878"/>
    <w:rsid w:val="00D024BF"/>
    <w:rsid w:val="00D036A8"/>
    <w:rsid w:val="00D075F1"/>
    <w:rsid w:val="00D07AD9"/>
    <w:rsid w:val="00D104A5"/>
    <w:rsid w:val="00D135A3"/>
    <w:rsid w:val="00D15F85"/>
    <w:rsid w:val="00D16820"/>
    <w:rsid w:val="00D20618"/>
    <w:rsid w:val="00D30CEB"/>
    <w:rsid w:val="00D42DFD"/>
    <w:rsid w:val="00D513C3"/>
    <w:rsid w:val="00D56005"/>
    <w:rsid w:val="00D602E0"/>
    <w:rsid w:val="00D61AC8"/>
    <w:rsid w:val="00D62433"/>
    <w:rsid w:val="00D717F3"/>
    <w:rsid w:val="00D72180"/>
    <w:rsid w:val="00D72D47"/>
    <w:rsid w:val="00D76A54"/>
    <w:rsid w:val="00D80D41"/>
    <w:rsid w:val="00D81AE2"/>
    <w:rsid w:val="00D84111"/>
    <w:rsid w:val="00D8619D"/>
    <w:rsid w:val="00D87608"/>
    <w:rsid w:val="00D90FD9"/>
    <w:rsid w:val="00D92186"/>
    <w:rsid w:val="00D927E0"/>
    <w:rsid w:val="00D93221"/>
    <w:rsid w:val="00D9686E"/>
    <w:rsid w:val="00D96C09"/>
    <w:rsid w:val="00DA0201"/>
    <w:rsid w:val="00DA7DCB"/>
    <w:rsid w:val="00DB1ACB"/>
    <w:rsid w:val="00DB786A"/>
    <w:rsid w:val="00DC1790"/>
    <w:rsid w:val="00DC4965"/>
    <w:rsid w:val="00DC7FCC"/>
    <w:rsid w:val="00DD07D8"/>
    <w:rsid w:val="00DD0C82"/>
    <w:rsid w:val="00DD2104"/>
    <w:rsid w:val="00DD2228"/>
    <w:rsid w:val="00DD3918"/>
    <w:rsid w:val="00DD4DC7"/>
    <w:rsid w:val="00DD5DC8"/>
    <w:rsid w:val="00DD66E1"/>
    <w:rsid w:val="00DE02E8"/>
    <w:rsid w:val="00DE1031"/>
    <w:rsid w:val="00DE2652"/>
    <w:rsid w:val="00DE2F09"/>
    <w:rsid w:val="00DE3C35"/>
    <w:rsid w:val="00DE4E79"/>
    <w:rsid w:val="00DE6DE5"/>
    <w:rsid w:val="00DE6F37"/>
    <w:rsid w:val="00DF02FC"/>
    <w:rsid w:val="00DF19B8"/>
    <w:rsid w:val="00DF1AB9"/>
    <w:rsid w:val="00DF46B3"/>
    <w:rsid w:val="00DF512E"/>
    <w:rsid w:val="00DF7985"/>
    <w:rsid w:val="00DF7A10"/>
    <w:rsid w:val="00DF7DAE"/>
    <w:rsid w:val="00DF7E44"/>
    <w:rsid w:val="00E0347B"/>
    <w:rsid w:val="00E0641F"/>
    <w:rsid w:val="00E11379"/>
    <w:rsid w:val="00E126D6"/>
    <w:rsid w:val="00E167B5"/>
    <w:rsid w:val="00E20926"/>
    <w:rsid w:val="00E237DB"/>
    <w:rsid w:val="00E273F2"/>
    <w:rsid w:val="00E275A4"/>
    <w:rsid w:val="00E309FA"/>
    <w:rsid w:val="00E30DC6"/>
    <w:rsid w:val="00E32CF8"/>
    <w:rsid w:val="00E338A1"/>
    <w:rsid w:val="00E351C6"/>
    <w:rsid w:val="00E378BF"/>
    <w:rsid w:val="00E37A35"/>
    <w:rsid w:val="00E37F76"/>
    <w:rsid w:val="00E51E11"/>
    <w:rsid w:val="00E52F8C"/>
    <w:rsid w:val="00E54BCF"/>
    <w:rsid w:val="00E57620"/>
    <w:rsid w:val="00E62F28"/>
    <w:rsid w:val="00E64371"/>
    <w:rsid w:val="00E64BB5"/>
    <w:rsid w:val="00E73176"/>
    <w:rsid w:val="00E75E35"/>
    <w:rsid w:val="00E8368F"/>
    <w:rsid w:val="00E83E54"/>
    <w:rsid w:val="00E87339"/>
    <w:rsid w:val="00E9224F"/>
    <w:rsid w:val="00E95692"/>
    <w:rsid w:val="00E96F0A"/>
    <w:rsid w:val="00EA0734"/>
    <w:rsid w:val="00EA07C2"/>
    <w:rsid w:val="00EA1490"/>
    <w:rsid w:val="00EA164B"/>
    <w:rsid w:val="00EA52F5"/>
    <w:rsid w:val="00EA5B45"/>
    <w:rsid w:val="00EA62A5"/>
    <w:rsid w:val="00EB0D04"/>
    <w:rsid w:val="00EB7373"/>
    <w:rsid w:val="00EC6F1D"/>
    <w:rsid w:val="00ED2AE6"/>
    <w:rsid w:val="00ED2B3C"/>
    <w:rsid w:val="00ED41D8"/>
    <w:rsid w:val="00ED6345"/>
    <w:rsid w:val="00ED7CE6"/>
    <w:rsid w:val="00EE2F2F"/>
    <w:rsid w:val="00EF513D"/>
    <w:rsid w:val="00EF65B0"/>
    <w:rsid w:val="00F0162D"/>
    <w:rsid w:val="00F0205F"/>
    <w:rsid w:val="00F032F8"/>
    <w:rsid w:val="00F050BC"/>
    <w:rsid w:val="00F07DD5"/>
    <w:rsid w:val="00F1125D"/>
    <w:rsid w:val="00F11687"/>
    <w:rsid w:val="00F11E8D"/>
    <w:rsid w:val="00F15680"/>
    <w:rsid w:val="00F231D6"/>
    <w:rsid w:val="00F27A05"/>
    <w:rsid w:val="00F30B6B"/>
    <w:rsid w:val="00F30CF6"/>
    <w:rsid w:val="00F32159"/>
    <w:rsid w:val="00F324ED"/>
    <w:rsid w:val="00F327F2"/>
    <w:rsid w:val="00F4053D"/>
    <w:rsid w:val="00F42E25"/>
    <w:rsid w:val="00F433ED"/>
    <w:rsid w:val="00F43A4B"/>
    <w:rsid w:val="00F44314"/>
    <w:rsid w:val="00F47998"/>
    <w:rsid w:val="00F5287C"/>
    <w:rsid w:val="00F52C60"/>
    <w:rsid w:val="00F5413E"/>
    <w:rsid w:val="00F604DF"/>
    <w:rsid w:val="00F6363F"/>
    <w:rsid w:val="00F63BC7"/>
    <w:rsid w:val="00F66B47"/>
    <w:rsid w:val="00F66C74"/>
    <w:rsid w:val="00F70A9E"/>
    <w:rsid w:val="00F76847"/>
    <w:rsid w:val="00F76CCF"/>
    <w:rsid w:val="00F77A2C"/>
    <w:rsid w:val="00F81E4E"/>
    <w:rsid w:val="00F82843"/>
    <w:rsid w:val="00F82DBE"/>
    <w:rsid w:val="00F85629"/>
    <w:rsid w:val="00F9418E"/>
    <w:rsid w:val="00FA279D"/>
    <w:rsid w:val="00FA5FE8"/>
    <w:rsid w:val="00FA6734"/>
    <w:rsid w:val="00FA74C9"/>
    <w:rsid w:val="00FB3A37"/>
    <w:rsid w:val="00FB4E0E"/>
    <w:rsid w:val="00FB5C91"/>
    <w:rsid w:val="00FB78FD"/>
    <w:rsid w:val="00FC1DB0"/>
    <w:rsid w:val="00FC21CB"/>
    <w:rsid w:val="00FC223D"/>
    <w:rsid w:val="00FC5709"/>
    <w:rsid w:val="00FC66A7"/>
    <w:rsid w:val="00FD25F1"/>
    <w:rsid w:val="00FD43EA"/>
    <w:rsid w:val="00FD619C"/>
    <w:rsid w:val="00FE29CC"/>
    <w:rsid w:val="00FE3D5E"/>
    <w:rsid w:val="00FE750D"/>
    <w:rsid w:val="00FE7B65"/>
    <w:rsid w:val="00FF47D4"/>
    <w:rsid w:val="00FF7E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458"/>
    <w:pPr>
      <w:widowControl w:val="0"/>
    </w:pPr>
    <w:rPr>
      <w:rFonts w:ascii="Courier" w:hAnsi="Courier"/>
      <w:snapToGrid w:val="0"/>
      <w:sz w:val="24"/>
    </w:rPr>
  </w:style>
  <w:style w:type="paragraph" w:styleId="Heading1">
    <w:name w:val="heading 1"/>
    <w:basedOn w:val="Normal"/>
    <w:next w:val="Normal"/>
    <w:qFormat/>
    <w:rsid w:val="00C53458"/>
    <w:pPr>
      <w:keepNext/>
      <w:widowControl/>
      <w:ind w:firstLine="720"/>
      <w:outlineLvl w:val="0"/>
    </w:pPr>
    <w:rPr>
      <w:rFonts w:ascii="Times New Roman" w:hAnsi="Times New Roman"/>
      <w:b/>
    </w:rPr>
  </w:style>
  <w:style w:type="paragraph" w:styleId="Heading2">
    <w:name w:val="heading 2"/>
    <w:basedOn w:val="Normal"/>
    <w:next w:val="Normal"/>
    <w:qFormat/>
    <w:rsid w:val="00C53458"/>
    <w:pPr>
      <w:keepNext/>
      <w:widowControl/>
      <w:ind w:left="720"/>
      <w:outlineLvl w:val="1"/>
    </w:pPr>
    <w:rPr>
      <w:rFonts w:ascii="Times" w:hAnsi="Times"/>
      <w:b/>
    </w:rPr>
  </w:style>
  <w:style w:type="paragraph" w:styleId="Heading3">
    <w:name w:val="heading 3"/>
    <w:basedOn w:val="Normal"/>
    <w:next w:val="Normal"/>
    <w:qFormat/>
    <w:rsid w:val="00C53458"/>
    <w:pPr>
      <w:keepNext/>
      <w:widowControl/>
      <w:tabs>
        <w:tab w:val="left" w:pos="-1080"/>
        <w:tab w:val="left" w:pos="-90"/>
        <w:tab w:val="left" w:pos="1440"/>
        <w:tab w:val="left" w:pos="1980"/>
        <w:tab w:val="left" w:pos="3960"/>
        <w:tab w:val="left" w:pos="4230"/>
        <w:tab w:val="left" w:pos="5760"/>
        <w:tab w:val="left" w:pos="7650"/>
        <w:tab w:val="left" w:pos="8640"/>
      </w:tabs>
      <w:jc w:val="center"/>
      <w:outlineLvl w:val="2"/>
    </w:pPr>
    <w:rPr>
      <w:rFonts w:ascii="Times New Roman" w:hAnsi="Times New Roman"/>
      <w:b/>
    </w:rPr>
  </w:style>
  <w:style w:type="paragraph" w:styleId="Heading4">
    <w:name w:val="heading 4"/>
    <w:basedOn w:val="Normal"/>
    <w:next w:val="Normal"/>
    <w:qFormat/>
    <w:rsid w:val="00C53458"/>
    <w:pPr>
      <w:keepNext/>
      <w:ind w:firstLine="720"/>
      <w:outlineLvl w:val="3"/>
    </w:pPr>
    <w:rPr>
      <w:rFonts w:ascii="Times New Roman" w:hAnsi="Times New Roman"/>
      <w:u w:val="single"/>
    </w:rPr>
  </w:style>
  <w:style w:type="paragraph" w:styleId="Heading5">
    <w:name w:val="heading 5"/>
    <w:basedOn w:val="Normal"/>
    <w:next w:val="Normal"/>
    <w:qFormat/>
    <w:rsid w:val="00C53458"/>
    <w:pPr>
      <w:keepNext/>
      <w:widowControl/>
      <w:outlineLvl w:val="4"/>
    </w:pPr>
    <w:rPr>
      <w:rFonts w:ascii="Times New Roman" w:hAnsi="Times New Roman"/>
      <w:b/>
    </w:rPr>
  </w:style>
  <w:style w:type="paragraph" w:styleId="Heading6">
    <w:name w:val="heading 6"/>
    <w:basedOn w:val="Normal"/>
    <w:next w:val="Normal"/>
    <w:qFormat/>
    <w:rsid w:val="00C53458"/>
    <w:pPr>
      <w:keepNext/>
      <w:widowControl/>
      <w:numPr>
        <w:numId w:val="1"/>
      </w:numPr>
      <w:outlineLvl w:val="5"/>
    </w:pPr>
    <w:rPr>
      <w:rFonts w:ascii="Times New Roman" w:hAnsi="Times New Roman"/>
      <w:b/>
    </w:rPr>
  </w:style>
  <w:style w:type="paragraph" w:styleId="Heading7">
    <w:name w:val="heading 7"/>
    <w:basedOn w:val="Normal"/>
    <w:next w:val="Normal"/>
    <w:qFormat/>
    <w:rsid w:val="00C53458"/>
    <w:pPr>
      <w:keepNext/>
      <w:widowControl/>
      <w:ind w:firstLine="720"/>
      <w:jc w:val="center"/>
      <w:outlineLvl w:val="6"/>
    </w:pPr>
    <w:rPr>
      <w:rFonts w:ascii="Times New Roman" w:hAnsi="Times New Roman"/>
      <w:bCs/>
      <w:i/>
      <w:iCs/>
    </w:rPr>
  </w:style>
  <w:style w:type="paragraph" w:styleId="Heading8">
    <w:name w:val="heading 8"/>
    <w:basedOn w:val="Normal"/>
    <w:next w:val="Normal"/>
    <w:qFormat/>
    <w:rsid w:val="00C53458"/>
    <w:pPr>
      <w:keepNext/>
      <w:widowControl/>
      <w:tabs>
        <w:tab w:val="left" w:pos="-1080"/>
        <w:tab w:val="left" w:pos="-90"/>
        <w:tab w:val="left" w:pos="1440"/>
        <w:tab w:val="left" w:pos="1980"/>
        <w:tab w:val="left" w:pos="3960"/>
        <w:tab w:val="left" w:pos="4230"/>
        <w:tab w:val="left" w:pos="5760"/>
        <w:tab w:val="left" w:pos="7650"/>
        <w:tab w:val="left" w:pos="8640"/>
      </w:tabs>
      <w:jc w:val="center"/>
      <w:outlineLvl w:val="7"/>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53458"/>
    <w:rPr>
      <w:rFonts w:ascii="Times New Roman" w:hAnsi="Times New Roman"/>
    </w:rPr>
  </w:style>
  <w:style w:type="paragraph" w:styleId="FootnoteText">
    <w:name w:val="footnote text"/>
    <w:aliases w:val="ft"/>
    <w:basedOn w:val="Normal"/>
    <w:link w:val="FootnoteTextChar"/>
    <w:semiHidden/>
    <w:rsid w:val="00C53458"/>
  </w:style>
  <w:style w:type="paragraph" w:styleId="BodyTextIndent">
    <w:name w:val="Body Text Indent"/>
    <w:basedOn w:val="Normal"/>
    <w:rsid w:val="00C53458"/>
    <w:pPr>
      <w:widowControl/>
      <w:ind w:firstLine="720"/>
    </w:pPr>
    <w:rPr>
      <w:rFonts w:ascii="Times New Roman" w:hAnsi="Times New Roman"/>
    </w:rPr>
  </w:style>
  <w:style w:type="paragraph" w:styleId="BodyTextIndent2">
    <w:name w:val="Body Text Indent 2"/>
    <w:basedOn w:val="Normal"/>
    <w:rsid w:val="00C53458"/>
    <w:pPr>
      <w:widowControl/>
      <w:ind w:left="720"/>
    </w:pPr>
    <w:rPr>
      <w:rFonts w:ascii="Times" w:hAnsi="Times"/>
      <w:b/>
    </w:rPr>
  </w:style>
  <w:style w:type="paragraph" w:styleId="Title">
    <w:name w:val="Title"/>
    <w:basedOn w:val="Normal"/>
    <w:qFormat/>
    <w:rsid w:val="00C53458"/>
    <w:pPr>
      <w:widowControl/>
      <w:jc w:val="center"/>
    </w:pPr>
    <w:rPr>
      <w:rFonts w:ascii="Times New Roman" w:hAnsi="Times New Roman"/>
      <w:b/>
      <w:snapToGrid/>
    </w:rPr>
  </w:style>
  <w:style w:type="paragraph" w:styleId="Header">
    <w:name w:val="header"/>
    <w:basedOn w:val="Normal"/>
    <w:link w:val="HeaderChar"/>
    <w:uiPriority w:val="99"/>
    <w:rsid w:val="00C53458"/>
    <w:pPr>
      <w:tabs>
        <w:tab w:val="center" w:pos="4320"/>
        <w:tab w:val="right" w:pos="8640"/>
      </w:tabs>
    </w:pPr>
  </w:style>
  <w:style w:type="paragraph" w:styleId="BodyTextIndent3">
    <w:name w:val="Body Text Indent 3"/>
    <w:basedOn w:val="Normal"/>
    <w:rsid w:val="00C53458"/>
    <w:pPr>
      <w:ind w:left="360"/>
    </w:pPr>
    <w:rPr>
      <w:rFonts w:ascii="Times New Roman" w:hAnsi="Times New Roman"/>
    </w:rPr>
  </w:style>
  <w:style w:type="paragraph" w:styleId="BodyText">
    <w:name w:val="Body Text"/>
    <w:basedOn w:val="Normal"/>
    <w:rsid w:val="00C53458"/>
    <w:pPr>
      <w:tabs>
        <w:tab w:val="left" w:pos="-720"/>
        <w:tab w:val="left" w:pos="134"/>
        <w:tab w:val="left" w:pos="432"/>
        <w:tab w:val="left" w:pos="864"/>
        <w:tab w:val="left" w:pos="4320"/>
        <w:tab w:val="left" w:pos="5040"/>
        <w:tab w:val="left" w:pos="5760"/>
      </w:tabs>
      <w:suppressAutoHyphens/>
      <w:spacing w:line="480" w:lineRule="auto"/>
      <w:jc w:val="both"/>
    </w:pPr>
    <w:rPr>
      <w:rFonts w:ascii="CG Times (W1)" w:hAnsi="CG Times (W1)"/>
      <w:spacing w:val="-2"/>
    </w:rPr>
  </w:style>
  <w:style w:type="character" w:styleId="Hyperlink">
    <w:name w:val="Hyperlink"/>
    <w:basedOn w:val="DefaultParagraphFont"/>
    <w:rsid w:val="00C53458"/>
    <w:rPr>
      <w:color w:val="0000FF"/>
      <w:u w:val="single"/>
    </w:rPr>
  </w:style>
  <w:style w:type="paragraph" w:styleId="Footer">
    <w:name w:val="footer"/>
    <w:basedOn w:val="Normal"/>
    <w:link w:val="FooterChar"/>
    <w:uiPriority w:val="99"/>
    <w:rsid w:val="00C53458"/>
    <w:pPr>
      <w:tabs>
        <w:tab w:val="center" w:pos="4320"/>
        <w:tab w:val="right" w:pos="8640"/>
      </w:tabs>
    </w:pPr>
  </w:style>
  <w:style w:type="character" w:styleId="PageNumber">
    <w:name w:val="page number"/>
    <w:basedOn w:val="DefaultParagraphFont"/>
    <w:rsid w:val="00C53458"/>
  </w:style>
  <w:style w:type="paragraph" w:styleId="BodyText2">
    <w:name w:val="Body Text 2"/>
    <w:basedOn w:val="Normal"/>
    <w:rsid w:val="00C53458"/>
    <w:pPr>
      <w:widowControl/>
      <w:spacing w:line="480" w:lineRule="auto"/>
    </w:pPr>
    <w:rPr>
      <w:rFonts w:ascii="Times New Roman" w:hAnsi="Times New Roman"/>
      <w:snapToGrid/>
      <w:sz w:val="20"/>
    </w:rPr>
  </w:style>
  <w:style w:type="paragraph" w:styleId="NormalWeb">
    <w:name w:val="Normal (Web)"/>
    <w:basedOn w:val="Normal"/>
    <w:rsid w:val="00791FCB"/>
    <w:pPr>
      <w:widowControl/>
      <w:spacing w:before="100" w:beforeAutospacing="1" w:after="100" w:afterAutospacing="1"/>
    </w:pPr>
    <w:rPr>
      <w:rFonts w:ascii="Times New Roman" w:hAnsi="Times New Roman"/>
      <w:snapToGrid/>
      <w:szCs w:val="24"/>
    </w:rPr>
  </w:style>
  <w:style w:type="paragraph" w:styleId="BalloonText">
    <w:name w:val="Balloon Text"/>
    <w:basedOn w:val="Normal"/>
    <w:semiHidden/>
    <w:rsid w:val="009F6D4A"/>
    <w:rPr>
      <w:rFonts w:ascii="Tahoma" w:hAnsi="Tahoma" w:cs="Tahoma"/>
      <w:sz w:val="16"/>
      <w:szCs w:val="16"/>
    </w:rPr>
  </w:style>
  <w:style w:type="table" w:styleId="TableGrid">
    <w:name w:val="Table Grid"/>
    <w:basedOn w:val="TableNormal"/>
    <w:rsid w:val="00C752F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565844"/>
    <w:rPr>
      <w:sz w:val="16"/>
      <w:szCs w:val="16"/>
    </w:rPr>
  </w:style>
  <w:style w:type="paragraph" w:styleId="CommentText">
    <w:name w:val="annotation text"/>
    <w:basedOn w:val="Normal"/>
    <w:semiHidden/>
    <w:rsid w:val="00565844"/>
    <w:rPr>
      <w:sz w:val="20"/>
    </w:rPr>
  </w:style>
  <w:style w:type="paragraph" w:styleId="CommentSubject">
    <w:name w:val="annotation subject"/>
    <w:basedOn w:val="CommentText"/>
    <w:next w:val="CommentText"/>
    <w:semiHidden/>
    <w:rsid w:val="00565844"/>
    <w:rPr>
      <w:b/>
      <w:bCs/>
    </w:rPr>
  </w:style>
  <w:style w:type="paragraph" w:customStyle="1" w:styleId="maincontent">
    <w:name w:val="maincontent"/>
    <w:basedOn w:val="Normal"/>
    <w:rsid w:val="00EA62A5"/>
    <w:pPr>
      <w:widowControl/>
      <w:spacing w:before="100" w:beforeAutospacing="1" w:after="100" w:afterAutospacing="1"/>
    </w:pPr>
    <w:rPr>
      <w:rFonts w:ascii="Times New Roman" w:hAnsi="Times New Roman"/>
      <w:snapToGrid/>
      <w:color w:val="000000"/>
      <w:sz w:val="22"/>
      <w:szCs w:val="22"/>
    </w:rPr>
  </w:style>
  <w:style w:type="paragraph" w:styleId="HTMLPreformatted">
    <w:name w:val="HTML Preformatted"/>
    <w:basedOn w:val="Normal"/>
    <w:rsid w:val="00B87081"/>
    <w:rPr>
      <w:rFonts w:ascii="Courier New" w:hAnsi="Courier New" w:cs="Courier New"/>
      <w:sz w:val="20"/>
    </w:rPr>
  </w:style>
  <w:style w:type="paragraph" w:styleId="DocumentMap">
    <w:name w:val="Document Map"/>
    <w:basedOn w:val="Normal"/>
    <w:semiHidden/>
    <w:rsid w:val="00F07DD5"/>
    <w:pPr>
      <w:shd w:val="clear" w:color="auto" w:fill="000080"/>
    </w:pPr>
    <w:rPr>
      <w:rFonts w:ascii="Tahoma" w:hAnsi="Tahoma" w:cs="Tahoma"/>
    </w:rPr>
  </w:style>
  <w:style w:type="character" w:styleId="FollowedHyperlink">
    <w:name w:val="FollowedHyperlink"/>
    <w:basedOn w:val="DefaultParagraphFont"/>
    <w:rsid w:val="006B36BC"/>
    <w:rPr>
      <w:color w:val="800080"/>
      <w:u w:val="single"/>
    </w:rPr>
  </w:style>
  <w:style w:type="character" w:customStyle="1" w:styleId="HeaderChar">
    <w:name w:val="Header Char"/>
    <w:basedOn w:val="DefaultParagraphFont"/>
    <w:link w:val="Header"/>
    <w:uiPriority w:val="99"/>
    <w:rsid w:val="006420DB"/>
    <w:rPr>
      <w:rFonts w:ascii="Courier" w:hAnsi="Courier"/>
      <w:snapToGrid w:val="0"/>
      <w:sz w:val="24"/>
    </w:rPr>
  </w:style>
  <w:style w:type="character" w:styleId="Emphasis">
    <w:name w:val="Emphasis"/>
    <w:basedOn w:val="DefaultParagraphFont"/>
    <w:qFormat/>
    <w:rsid w:val="00866F57"/>
    <w:rPr>
      <w:i/>
      <w:iCs/>
    </w:rPr>
  </w:style>
  <w:style w:type="paragraph" w:styleId="Revision">
    <w:name w:val="Revision"/>
    <w:hidden/>
    <w:uiPriority w:val="99"/>
    <w:semiHidden/>
    <w:rsid w:val="00997040"/>
    <w:rPr>
      <w:rFonts w:ascii="Courier" w:hAnsi="Courier"/>
      <w:snapToGrid w:val="0"/>
      <w:sz w:val="24"/>
    </w:rPr>
  </w:style>
  <w:style w:type="character" w:customStyle="1" w:styleId="FooterChar">
    <w:name w:val="Footer Char"/>
    <w:basedOn w:val="DefaultParagraphFont"/>
    <w:link w:val="Footer"/>
    <w:uiPriority w:val="99"/>
    <w:rsid w:val="000A2A76"/>
    <w:rPr>
      <w:rFonts w:ascii="Courier" w:hAnsi="Courier"/>
      <w:snapToGrid w:val="0"/>
      <w:sz w:val="24"/>
    </w:rPr>
  </w:style>
  <w:style w:type="character" w:customStyle="1" w:styleId="FootnoteTextChar">
    <w:name w:val="Footnote Text Char"/>
    <w:aliases w:val="ft Char"/>
    <w:basedOn w:val="DefaultParagraphFont"/>
    <w:link w:val="FootnoteText"/>
    <w:semiHidden/>
    <w:rsid w:val="0010123A"/>
    <w:rPr>
      <w:rFonts w:ascii="Courier" w:hAnsi="Courier"/>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8B7E6-D5BF-43A3-BC76-4C8F04831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8960</Words>
  <Characters>50176</Characters>
  <Application>Microsoft Office Word</Application>
  <DocSecurity>0</DocSecurity>
  <Lines>418</Lines>
  <Paragraphs>118</Paragraphs>
  <ScaleCrop>false</ScaleCrop>
  <HeadingPairs>
    <vt:vector size="2" baseType="variant">
      <vt:variant>
        <vt:lpstr>Title</vt:lpstr>
      </vt:variant>
      <vt:variant>
        <vt:i4>1</vt:i4>
      </vt:variant>
    </vt:vector>
  </HeadingPairs>
  <TitlesOfParts>
    <vt:vector size="1" baseType="lpstr">
      <vt:lpstr/>
    </vt:vector>
  </TitlesOfParts>
  <Company>Federal Reserve Board</Company>
  <LinksUpToDate>false</LinksUpToDate>
  <CharactersWithSpaces>59018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W. Carpenter</dc:creator>
  <cp:keywords/>
  <cp:lastModifiedBy>m1nsp00</cp:lastModifiedBy>
  <cp:revision>3</cp:revision>
  <cp:lastPrinted>2010-11-03T15:19:00Z</cp:lastPrinted>
  <dcterms:created xsi:type="dcterms:W3CDTF">2011-03-11T14:57:00Z</dcterms:created>
  <dcterms:modified xsi:type="dcterms:W3CDTF">2011-03-11T15:00:00Z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811415369</vt:i4>
  </property>
</Properties>
</file>