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A12" w:rsidRDefault="00436FAB" w:rsidP="00436FAB">
      <w:pPr>
        <w:jc w:val="center"/>
        <w:rPr>
          <w:rFonts w:ascii="Times" w:hAnsi="Times" w:cs="Times"/>
          <w:b/>
          <w:bCs/>
        </w:rPr>
      </w:pPr>
      <w:r>
        <w:rPr>
          <w:rFonts w:ascii="Times" w:hAnsi="Times" w:cs="Times"/>
          <w:b/>
          <w:bCs/>
          <w:color w:val="000000"/>
          <w:szCs w:val="24"/>
        </w:rPr>
        <w:t xml:space="preserve">Supporting Statement for </w:t>
      </w:r>
      <w:r>
        <w:rPr>
          <w:rFonts w:ascii="Times" w:hAnsi="Times" w:cs="Times"/>
          <w:b/>
          <w:bCs/>
        </w:rPr>
        <w:t xml:space="preserve">the </w:t>
      </w:r>
    </w:p>
    <w:p w:rsidR="00436FAB" w:rsidRDefault="00436FAB" w:rsidP="00436FAB">
      <w:pPr>
        <w:jc w:val="center"/>
        <w:rPr>
          <w:rFonts w:ascii="Times" w:hAnsi="Times" w:cs="Times"/>
          <w:b/>
          <w:bCs/>
        </w:rPr>
      </w:pPr>
      <w:r>
        <w:rPr>
          <w:rFonts w:ascii="Times" w:hAnsi="Times" w:cs="Times"/>
          <w:b/>
          <w:bCs/>
        </w:rPr>
        <w:t xml:space="preserve">Ongoing Intermittent Survey of Households </w:t>
      </w:r>
    </w:p>
    <w:p w:rsidR="00436FAB" w:rsidRDefault="00436FAB" w:rsidP="00436FAB">
      <w:pPr>
        <w:jc w:val="center"/>
        <w:rPr>
          <w:rFonts w:ascii="Times" w:hAnsi="Times" w:cs="Times"/>
          <w:color w:val="000000"/>
          <w:szCs w:val="24"/>
        </w:rPr>
      </w:pPr>
      <w:r>
        <w:rPr>
          <w:rFonts w:ascii="Times" w:hAnsi="Times" w:cs="Times"/>
          <w:b/>
          <w:bCs/>
          <w:color w:val="000000"/>
          <w:szCs w:val="24"/>
        </w:rPr>
        <w:t>(FR 3016; OMB No. 7100-0150)</w:t>
      </w:r>
    </w:p>
    <w:p w:rsidR="00436FAB" w:rsidRDefault="00436FAB" w:rsidP="00436FAB">
      <w:pPr>
        <w:jc w:val="both"/>
        <w:rPr>
          <w:rFonts w:ascii="Times" w:hAnsi="Times" w:cs="Times"/>
          <w:color w:val="000000"/>
          <w:szCs w:val="24"/>
        </w:rPr>
      </w:pPr>
    </w:p>
    <w:p w:rsidR="00436FAB" w:rsidRPr="006A4A12" w:rsidRDefault="00436FAB" w:rsidP="00436FAB">
      <w:pPr>
        <w:rPr>
          <w:rFonts w:ascii="Times New Roman" w:hAnsi="Times New Roman"/>
        </w:rPr>
      </w:pPr>
      <w:r w:rsidRPr="006A4A12">
        <w:rPr>
          <w:rFonts w:ascii="Times New Roman" w:hAnsi="Times New Roman"/>
          <w:b/>
          <w:bCs/>
        </w:rPr>
        <w:t>Summary</w:t>
      </w:r>
    </w:p>
    <w:p w:rsidR="00436FAB" w:rsidRPr="006A4A12" w:rsidRDefault="00436FAB" w:rsidP="00436FAB">
      <w:pPr>
        <w:rPr>
          <w:rFonts w:ascii="Times New Roman" w:hAnsi="Times New Roman"/>
        </w:rPr>
      </w:pPr>
    </w:p>
    <w:p w:rsidR="00D0054A" w:rsidRPr="006A4A12" w:rsidRDefault="00436FAB" w:rsidP="00B769DC">
      <w:pPr>
        <w:widowControl/>
        <w:ind w:firstLine="720"/>
        <w:jc w:val="both"/>
        <w:rPr>
          <w:rFonts w:ascii="Times New Roman" w:hAnsi="Times New Roman"/>
        </w:rPr>
      </w:pPr>
      <w:r w:rsidRPr="006A4A12">
        <w:rPr>
          <w:rFonts w:ascii="Times New Roman" w:hAnsi="Times New Roman"/>
          <w:color w:val="000000"/>
          <w:szCs w:val="24"/>
        </w:rPr>
        <w:t xml:space="preserve">The Board of Governors of the Federal Reserve System, under delegated authority from the Office of Management and Budget (OMB), proposes </w:t>
      </w:r>
      <w:r w:rsidRPr="006A4A12">
        <w:rPr>
          <w:rFonts w:ascii="Times New Roman" w:hAnsi="Times New Roman"/>
          <w:color w:val="000000"/>
        </w:rPr>
        <w:t>t</w:t>
      </w:r>
      <w:r w:rsidRPr="006A4A12">
        <w:rPr>
          <w:rFonts w:ascii="Times New Roman" w:hAnsi="Times New Roman"/>
        </w:rPr>
        <w:t xml:space="preserve">o </w:t>
      </w:r>
      <w:r w:rsidR="00920D31" w:rsidRPr="006A4A12">
        <w:rPr>
          <w:rFonts w:ascii="Times New Roman" w:hAnsi="Times New Roman"/>
        </w:rPr>
        <w:t xml:space="preserve">extend for three years, </w:t>
      </w:r>
      <w:r w:rsidR="00CA4AE5" w:rsidRPr="006A4A12">
        <w:rPr>
          <w:rFonts w:ascii="Times New Roman" w:hAnsi="Times New Roman"/>
        </w:rPr>
        <w:t>with</w:t>
      </w:r>
      <w:r w:rsidR="00C0233D" w:rsidRPr="006A4A12">
        <w:rPr>
          <w:rFonts w:ascii="Times New Roman" w:hAnsi="Times New Roman"/>
        </w:rPr>
        <w:t xml:space="preserve"> </w:t>
      </w:r>
      <w:r w:rsidR="00920D31" w:rsidRPr="006A4A12">
        <w:rPr>
          <w:rFonts w:ascii="Times New Roman" w:hAnsi="Times New Roman"/>
        </w:rPr>
        <w:t>revision, the Ongoing Intermittent Survey of Households (FR 3016; OMB No. 7100</w:t>
      </w:r>
      <w:r w:rsidR="00920D31" w:rsidRPr="006A4A12">
        <w:rPr>
          <w:rFonts w:ascii="Times New Roman" w:hAnsi="Times New Roman"/>
        </w:rPr>
        <w:noBreakHyphen/>
        <w:t>0150).</w:t>
      </w:r>
      <w:r w:rsidR="00D0054A" w:rsidRPr="006A4A12">
        <w:rPr>
          <w:rFonts w:ascii="Times New Roman" w:hAnsi="Times New Roman"/>
        </w:rPr>
        <w:t xml:space="preserve">  </w:t>
      </w:r>
      <w:r w:rsidR="00920D31" w:rsidRPr="006A4A12">
        <w:rPr>
          <w:rFonts w:ascii="Times New Roman" w:hAnsi="Times New Roman"/>
        </w:rPr>
        <w:t>The Federal Reserve uses this voluntary survey to obtain household-based information specifically tailored to the Federal Reserve</w:t>
      </w:r>
      <w:r w:rsidR="007203EE" w:rsidRPr="006A4A12">
        <w:rPr>
          <w:rFonts w:ascii="Times New Roman" w:hAnsi="Times New Roman"/>
        </w:rPr>
        <w:t>’</w:t>
      </w:r>
      <w:r w:rsidR="00920D31" w:rsidRPr="006A4A12">
        <w:rPr>
          <w:rFonts w:ascii="Times New Roman" w:hAnsi="Times New Roman"/>
        </w:rPr>
        <w:t xml:space="preserve">s policy, regulatory, and operational responsibilities.  </w:t>
      </w:r>
      <w:r w:rsidR="00DD5935" w:rsidRPr="006A4A12">
        <w:rPr>
          <w:rFonts w:ascii="Times New Roman" w:hAnsi="Times New Roman"/>
        </w:rPr>
        <w:t>Currently, t</w:t>
      </w:r>
      <w:r w:rsidR="00920D31" w:rsidRPr="006A4A12">
        <w:rPr>
          <w:rFonts w:ascii="Times New Roman" w:hAnsi="Times New Roman"/>
        </w:rPr>
        <w:t>he University of Michigan</w:t>
      </w:r>
      <w:r w:rsidR="007203EE" w:rsidRPr="006A4A12">
        <w:rPr>
          <w:rFonts w:ascii="Times New Roman" w:hAnsi="Times New Roman"/>
        </w:rPr>
        <w:t>’</w:t>
      </w:r>
      <w:r w:rsidR="00920D31" w:rsidRPr="006A4A12">
        <w:rPr>
          <w:rFonts w:ascii="Times New Roman" w:hAnsi="Times New Roman"/>
        </w:rPr>
        <w:t>s Survey Research Center (SRC) includes survey questions on behalf of the Federal Reserve in an addendum to their regular monthly Survey of Consumer Attitudes and Expectations</w:t>
      </w:r>
      <w:r w:rsidR="00D0054A" w:rsidRPr="006A4A12">
        <w:rPr>
          <w:rFonts w:ascii="Times New Roman" w:hAnsi="Times New Roman"/>
        </w:rPr>
        <w:t>.</w:t>
      </w:r>
      <w:r w:rsidR="00920D31" w:rsidRPr="006A4A12">
        <w:rPr>
          <w:rFonts w:ascii="Times New Roman" w:hAnsi="Times New Roman"/>
        </w:rPr>
        <w:t xml:space="preserve"> </w:t>
      </w:r>
      <w:r w:rsidR="00D0054A" w:rsidRPr="006A4A12">
        <w:rPr>
          <w:rFonts w:ascii="Times New Roman" w:hAnsi="Times New Roman"/>
        </w:rPr>
        <w:t xml:space="preserve"> </w:t>
      </w:r>
      <w:r w:rsidR="00920D31" w:rsidRPr="006A4A12">
        <w:rPr>
          <w:rFonts w:ascii="Times New Roman" w:hAnsi="Times New Roman"/>
        </w:rPr>
        <w:t>The SRC conducts the survey by telephone with a sample of</w:t>
      </w:r>
      <w:r w:rsidR="00C0233D" w:rsidRPr="006A4A12">
        <w:rPr>
          <w:rFonts w:ascii="Times New Roman" w:hAnsi="Times New Roman"/>
        </w:rPr>
        <w:t xml:space="preserve"> </w:t>
      </w:r>
      <w:r w:rsidR="003623B5" w:rsidRPr="006A4A12">
        <w:rPr>
          <w:rFonts w:ascii="Times New Roman" w:hAnsi="Times New Roman"/>
        </w:rPr>
        <w:t xml:space="preserve">500 </w:t>
      </w:r>
      <w:r w:rsidR="00920D31" w:rsidRPr="006A4A12">
        <w:rPr>
          <w:rFonts w:ascii="Times New Roman" w:hAnsi="Times New Roman"/>
        </w:rPr>
        <w:t xml:space="preserve">households and </w:t>
      </w:r>
      <w:r w:rsidR="00975041" w:rsidRPr="006A4A12">
        <w:rPr>
          <w:rFonts w:ascii="Times New Roman" w:hAnsi="Times New Roman"/>
        </w:rPr>
        <w:t>asks</w:t>
      </w:r>
      <w:r w:rsidR="00920D31" w:rsidRPr="006A4A12">
        <w:rPr>
          <w:rFonts w:ascii="Times New Roman" w:hAnsi="Times New Roman"/>
        </w:rPr>
        <w:t xml:space="preserve"> questions of special interest to </w:t>
      </w:r>
      <w:r w:rsidR="006A4A12" w:rsidRPr="006A4A12">
        <w:rPr>
          <w:rFonts w:ascii="Times New Roman" w:hAnsi="Times New Roman"/>
        </w:rPr>
        <w:t xml:space="preserve">the </w:t>
      </w:r>
      <w:r w:rsidR="00E90C81" w:rsidRPr="006A4A12">
        <w:rPr>
          <w:rFonts w:ascii="Times New Roman" w:hAnsi="Times New Roman"/>
        </w:rPr>
        <w:t xml:space="preserve">Federal Reserve </w:t>
      </w:r>
      <w:r w:rsidR="00920D31" w:rsidRPr="006A4A12">
        <w:rPr>
          <w:rFonts w:ascii="Times New Roman" w:hAnsi="Times New Roman"/>
        </w:rPr>
        <w:t xml:space="preserve">Board intermittently, as needed.  </w:t>
      </w:r>
    </w:p>
    <w:p w:rsidR="00D0054A" w:rsidRPr="006A4A12" w:rsidRDefault="00D0054A" w:rsidP="00B769DC">
      <w:pPr>
        <w:widowControl/>
        <w:jc w:val="both"/>
        <w:rPr>
          <w:rFonts w:ascii="Times New Roman" w:hAnsi="Times New Roman"/>
        </w:rPr>
      </w:pPr>
    </w:p>
    <w:p w:rsidR="00CA2A37" w:rsidRPr="006A4A12" w:rsidRDefault="00920D31" w:rsidP="00B769DC">
      <w:pPr>
        <w:ind w:firstLine="720"/>
        <w:jc w:val="both"/>
        <w:rPr>
          <w:rFonts w:ascii="Times New Roman" w:hAnsi="Times New Roman"/>
        </w:rPr>
      </w:pPr>
      <w:r w:rsidRPr="006A4A12">
        <w:rPr>
          <w:rFonts w:ascii="Times New Roman" w:hAnsi="Times New Roman"/>
        </w:rPr>
        <w:t>The frequency and content of the questions depend on changing economic, regulatory, and legislative developments</w:t>
      </w:r>
      <w:r w:rsidR="003148DD" w:rsidRPr="006A4A12">
        <w:rPr>
          <w:rFonts w:ascii="Times New Roman" w:hAnsi="Times New Roman"/>
        </w:rPr>
        <w:t xml:space="preserve">.  </w:t>
      </w:r>
      <w:r w:rsidR="000774B0" w:rsidRPr="006A4A12">
        <w:rPr>
          <w:rFonts w:ascii="Times New Roman" w:hAnsi="Times New Roman"/>
          <w:szCs w:val="24"/>
        </w:rPr>
        <w:t xml:space="preserve">The </w:t>
      </w:r>
      <w:r w:rsidR="00B769DC" w:rsidRPr="006A4A12">
        <w:rPr>
          <w:rFonts w:ascii="Times New Roman" w:hAnsi="Times New Roman"/>
          <w:szCs w:val="24"/>
        </w:rPr>
        <w:t xml:space="preserve">Federal Reserve </w:t>
      </w:r>
      <w:r w:rsidR="000774B0" w:rsidRPr="006A4A12">
        <w:rPr>
          <w:rFonts w:ascii="Times New Roman" w:hAnsi="Times New Roman"/>
          <w:szCs w:val="24"/>
        </w:rPr>
        <w:t>primarily use</w:t>
      </w:r>
      <w:r w:rsidR="00B769DC" w:rsidRPr="006A4A12">
        <w:rPr>
          <w:rFonts w:ascii="Times New Roman" w:hAnsi="Times New Roman"/>
          <w:szCs w:val="24"/>
        </w:rPr>
        <w:t>s</w:t>
      </w:r>
      <w:r w:rsidR="000774B0" w:rsidRPr="006A4A12">
        <w:rPr>
          <w:rFonts w:ascii="Times New Roman" w:hAnsi="Times New Roman"/>
          <w:szCs w:val="24"/>
        </w:rPr>
        <w:t xml:space="preserve"> the survey to study consumer financial decisions, attitudes, and payment behavior.  </w:t>
      </w:r>
      <w:r w:rsidR="00904D66" w:rsidRPr="006A4A12">
        <w:rPr>
          <w:rFonts w:ascii="Times New Roman" w:hAnsi="Times New Roman"/>
          <w:szCs w:val="24"/>
        </w:rPr>
        <w:t>The Federal Reserve</w:t>
      </w:r>
      <w:r w:rsidR="00BB1D5E" w:rsidRPr="006A4A12">
        <w:rPr>
          <w:rFonts w:ascii="Times New Roman" w:hAnsi="Times New Roman"/>
          <w:szCs w:val="24"/>
        </w:rPr>
        <w:t xml:space="preserve"> proposes to revise </w:t>
      </w:r>
      <w:r w:rsidR="006269B5" w:rsidRPr="006A4A12">
        <w:rPr>
          <w:rFonts w:ascii="Times New Roman" w:hAnsi="Times New Roman"/>
          <w:szCs w:val="24"/>
        </w:rPr>
        <w:t>its</w:t>
      </w:r>
      <w:r w:rsidR="00BB1D5E" w:rsidRPr="006A4A12">
        <w:rPr>
          <w:rFonts w:ascii="Times New Roman" w:hAnsi="Times New Roman"/>
          <w:szCs w:val="24"/>
        </w:rPr>
        <w:t xml:space="preserve"> portion of </w:t>
      </w:r>
      <w:r w:rsidR="009E1E9D" w:rsidRPr="006A4A12">
        <w:rPr>
          <w:rFonts w:ascii="Times New Roman" w:hAnsi="Times New Roman"/>
          <w:szCs w:val="24"/>
        </w:rPr>
        <w:t xml:space="preserve">the FR 3016 </w:t>
      </w:r>
      <w:r w:rsidR="00BB1D5E" w:rsidRPr="006A4A12">
        <w:rPr>
          <w:rFonts w:ascii="Times New Roman" w:hAnsi="Times New Roman"/>
          <w:szCs w:val="24"/>
        </w:rPr>
        <w:t xml:space="preserve">by decreasing the number of SRC surveys that would be conducted </w:t>
      </w:r>
      <w:r w:rsidR="00164BC6" w:rsidRPr="006A4A12">
        <w:rPr>
          <w:rFonts w:ascii="Times New Roman" w:hAnsi="Times New Roman"/>
          <w:szCs w:val="24"/>
        </w:rPr>
        <w:t>per year</w:t>
      </w:r>
      <w:r w:rsidR="00BB1D5E" w:rsidRPr="006A4A12">
        <w:rPr>
          <w:rFonts w:ascii="Times New Roman" w:hAnsi="Times New Roman"/>
          <w:szCs w:val="24"/>
        </w:rPr>
        <w:t xml:space="preserve"> from </w:t>
      </w:r>
      <w:r w:rsidR="00164BC6" w:rsidRPr="006A4A12">
        <w:rPr>
          <w:rFonts w:ascii="Times New Roman" w:hAnsi="Times New Roman"/>
          <w:szCs w:val="24"/>
        </w:rPr>
        <w:t>four</w:t>
      </w:r>
      <w:r w:rsidR="00BB1D5E" w:rsidRPr="006A4A12">
        <w:rPr>
          <w:rFonts w:ascii="Times New Roman" w:hAnsi="Times New Roman"/>
          <w:szCs w:val="24"/>
        </w:rPr>
        <w:t xml:space="preserve"> to </w:t>
      </w:r>
      <w:r w:rsidR="00164BC6" w:rsidRPr="006A4A12">
        <w:rPr>
          <w:rFonts w:ascii="Times New Roman" w:hAnsi="Times New Roman"/>
          <w:szCs w:val="24"/>
        </w:rPr>
        <w:t>two</w:t>
      </w:r>
      <w:r w:rsidR="009E1E9D" w:rsidRPr="006A4A12">
        <w:rPr>
          <w:rFonts w:ascii="Times New Roman" w:hAnsi="Times New Roman"/>
          <w:szCs w:val="24"/>
        </w:rPr>
        <w:t>.  Th</w:t>
      </w:r>
      <w:r w:rsidR="00164BC6" w:rsidRPr="006A4A12">
        <w:rPr>
          <w:rFonts w:ascii="Times New Roman" w:hAnsi="Times New Roman"/>
          <w:szCs w:val="24"/>
        </w:rPr>
        <w:t>is</w:t>
      </w:r>
      <w:r w:rsidR="00BB1D5E" w:rsidRPr="006A4A12">
        <w:rPr>
          <w:rFonts w:ascii="Times New Roman" w:hAnsi="Times New Roman"/>
          <w:snapToGrid/>
          <w:szCs w:val="24"/>
        </w:rPr>
        <w:t xml:space="preserve"> decrease is due to </w:t>
      </w:r>
      <w:r w:rsidR="00F94B5F" w:rsidRPr="006A4A12">
        <w:rPr>
          <w:rFonts w:ascii="Times New Roman" w:hAnsi="Times New Roman"/>
          <w:snapToGrid/>
          <w:szCs w:val="24"/>
        </w:rPr>
        <w:t xml:space="preserve">the </w:t>
      </w:r>
      <w:r w:rsidR="00F94B5F" w:rsidRPr="006A4A12">
        <w:rPr>
          <w:rFonts w:ascii="Times New Roman" w:hAnsi="Times New Roman"/>
        </w:rPr>
        <w:t>Division of Consumer and Community Affairs (</w:t>
      </w:r>
      <w:r w:rsidR="00D26AF3" w:rsidRPr="006A4A12">
        <w:rPr>
          <w:rFonts w:ascii="Times New Roman" w:hAnsi="Times New Roman"/>
          <w:snapToGrid/>
          <w:szCs w:val="24"/>
        </w:rPr>
        <w:t>DCCA</w:t>
      </w:r>
      <w:r w:rsidR="00F94B5F" w:rsidRPr="006A4A12">
        <w:rPr>
          <w:rFonts w:ascii="Times New Roman" w:hAnsi="Times New Roman"/>
          <w:snapToGrid/>
          <w:szCs w:val="24"/>
        </w:rPr>
        <w:t>)</w:t>
      </w:r>
      <w:r w:rsidR="007203EE" w:rsidRPr="006A4A12">
        <w:rPr>
          <w:rFonts w:ascii="Times New Roman" w:hAnsi="Times New Roman"/>
          <w:snapToGrid/>
          <w:szCs w:val="24"/>
        </w:rPr>
        <w:t>’</w:t>
      </w:r>
      <w:r w:rsidR="00BB1D5E" w:rsidRPr="006A4A12">
        <w:rPr>
          <w:rFonts w:ascii="Times New Roman" w:hAnsi="Times New Roman"/>
          <w:snapToGrid/>
          <w:szCs w:val="24"/>
        </w:rPr>
        <w:t xml:space="preserve">s </w:t>
      </w:r>
      <w:r w:rsidR="009E1E9D" w:rsidRPr="006A4A12">
        <w:rPr>
          <w:rFonts w:ascii="Times New Roman" w:hAnsi="Times New Roman"/>
          <w:snapToGrid/>
          <w:szCs w:val="24"/>
        </w:rPr>
        <w:t>restructur</w:t>
      </w:r>
      <w:r w:rsidR="00164BC6" w:rsidRPr="006A4A12">
        <w:rPr>
          <w:rFonts w:ascii="Times New Roman" w:hAnsi="Times New Roman"/>
          <w:snapToGrid/>
          <w:szCs w:val="24"/>
        </w:rPr>
        <w:t xml:space="preserve">ing of </w:t>
      </w:r>
      <w:r w:rsidR="009E1E9D" w:rsidRPr="006A4A12">
        <w:rPr>
          <w:rFonts w:ascii="Times New Roman" w:hAnsi="Times New Roman"/>
          <w:snapToGrid/>
          <w:szCs w:val="24"/>
        </w:rPr>
        <w:t xml:space="preserve">its research function </w:t>
      </w:r>
      <w:r w:rsidR="00BB1D5E" w:rsidRPr="006A4A12">
        <w:rPr>
          <w:rFonts w:ascii="Times New Roman" w:hAnsi="Times New Roman"/>
          <w:snapToGrid/>
          <w:szCs w:val="24"/>
        </w:rPr>
        <w:t xml:space="preserve">as a result of the </w:t>
      </w:r>
      <w:r w:rsidR="00BB1D5E" w:rsidRPr="006A4A12">
        <w:rPr>
          <w:rFonts w:ascii="Times New Roman" w:hAnsi="Times New Roman"/>
          <w:szCs w:val="24"/>
        </w:rPr>
        <w:t>Dodd-Frank Wall Street Reform and Consumer Protection</w:t>
      </w:r>
      <w:r w:rsidR="009E1E9D" w:rsidRPr="006A4A12">
        <w:rPr>
          <w:rFonts w:ascii="Times New Roman" w:hAnsi="Times New Roman"/>
          <w:szCs w:val="24"/>
        </w:rPr>
        <w:t xml:space="preserve"> Act</w:t>
      </w:r>
      <w:r w:rsidR="00F15E77" w:rsidRPr="006A4A12">
        <w:rPr>
          <w:rFonts w:ascii="Times New Roman" w:hAnsi="Times New Roman"/>
          <w:szCs w:val="24"/>
        </w:rPr>
        <w:t xml:space="preserve"> (Dodd-Frank)</w:t>
      </w:r>
      <w:r w:rsidR="00BB1D5E" w:rsidRPr="006A4A12">
        <w:rPr>
          <w:rFonts w:ascii="Times New Roman" w:hAnsi="Times New Roman"/>
          <w:snapToGrid/>
          <w:szCs w:val="24"/>
        </w:rPr>
        <w:t>.</w:t>
      </w:r>
      <w:r w:rsidR="009E1E9D" w:rsidRPr="006A4A12">
        <w:rPr>
          <w:rStyle w:val="FootnoteReference"/>
          <w:rFonts w:ascii="Times New Roman" w:hAnsi="Times New Roman"/>
          <w:snapToGrid/>
          <w:szCs w:val="24"/>
          <w:vertAlign w:val="superscript"/>
        </w:rPr>
        <w:footnoteReference w:id="1"/>
      </w:r>
      <w:r w:rsidR="00BB1D5E" w:rsidRPr="006A4A12">
        <w:rPr>
          <w:rFonts w:ascii="Times New Roman" w:hAnsi="Times New Roman"/>
          <w:snapToGrid/>
          <w:szCs w:val="24"/>
        </w:rPr>
        <w:t xml:space="preserve">  </w:t>
      </w:r>
      <w:r w:rsidR="004A698A" w:rsidRPr="006A4A12">
        <w:rPr>
          <w:rFonts w:ascii="Times New Roman" w:hAnsi="Times New Roman"/>
          <w:szCs w:val="24"/>
        </w:rPr>
        <w:t xml:space="preserve">The current </w:t>
      </w:r>
      <w:r w:rsidR="00164BC6" w:rsidRPr="006A4A12">
        <w:rPr>
          <w:rFonts w:ascii="Times New Roman" w:hAnsi="Times New Roman"/>
          <w:szCs w:val="24"/>
        </w:rPr>
        <w:t>annual</w:t>
      </w:r>
      <w:r w:rsidR="004A698A" w:rsidRPr="006A4A12">
        <w:rPr>
          <w:rFonts w:ascii="Times New Roman" w:hAnsi="Times New Roman"/>
          <w:szCs w:val="24"/>
        </w:rPr>
        <w:t xml:space="preserve"> burden for the </w:t>
      </w:r>
      <w:r w:rsidR="00164BC6" w:rsidRPr="006A4A12">
        <w:rPr>
          <w:rFonts w:ascii="Times New Roman" w:hAnsi="Times New Roman"/>
          <w:szCs w:val="24"/>
        </w:rPr>
        <w:t>FR 3016</w:t>
      </w:r>
      <w:r w:rsidR="004A698A" w:rsidRPr="006A4A12">
        <w:rPr>
          <w:rFonts w:ascii="Times New Roman" w:hAnsi="Times New Roman"/>
          <w:szCs w:val="24"/>
        </w:rPr>
        <w:t xml:space="preserve"> </w:t>
      </w:r>
      <w:r w:rsidR="00164BC6" w:rsidRPr="006A4A12">
        <w:rPr>
          <w:rFonts w:ascii="Times New Roman" w:hAnsi="Times New Roman"/>
          <w:szCs w:val="24"/>
        </w:rPr>
        <w:t xml:space="preserve">is </w:t>
      </w:r>
      <w:r w:rsidR="00CA2A37" w:rsidRPr="006A4A12">
        <w:rPr>
          <w:rFonts w:ascii="Times New Roman" w:hAnsi="Times New Roman"/>
          <w:szCs w:val="24"/>
        </w:rPr>
        <w:t>6</w:t>
      </w:r>
      <w:r w:rsidR="00164BC6" w:rsidRPr="006A4A12">
        <w:rPr>
          <w:rFonts w:ascii="Times New Roman" w:hAnsi="Times New Roman"/>
          <w:szCs w:val="24"/>
        </w:rPr>
        <w:t>8</w:t>
      </w:r>
      <w:r w:rsidR="00CA2A37" w:rsidRPr="006A4A12">
        <w:rPr>
          <w:rFonts w:ascii="Times New Roman" w:hAnsi="Times New Roman"/>
          <w:szCs w:val="24"/>
        </w:rPr>
        <w:t>3</w:t>
      </w:r>
      <w:r w:rsidR="008F780F" w:rsidRPr="006A4A12">
        <w:rPr>
          <w:rFonts w:ascii="Times New Roman" w:hAnsi="Times New Roman"/>
          <w:szCs w:val="24"/>
        </w:rPr>
        <w:t xml:space="preserve"> </w:t>
      </w:r>
      <w:r w:rsidR="004A698A" w:rsidRPr="006A4A12">
        <w:rPr>
          <w:rFonts w:ascii="Times New Roman" w:hAnsi="Times New Roman"/>
          <w:szCs w:val="24"/>
        </w:rPr>
        <w:t>hours</w:t>
      </w:r>
      <w:r w:rsidR="00164BC6" w:rsidRPr="006A4A12">
        <w:rPr>
          <w:rFonts w:ascii="Times New Roman" w:hAnsi="Times New Roman"/>
          <w:szCs w:val="24"/>
        </w:rPr>
        <w:t xml:space="preserve"> and is estimated to decrease to 633 hours</w:t>
      </w:r>
      <w:r w:rsidR="004A698A" w:rsidRPr="006A4A12">
        <w:rPr>
          <w:rFonts w:ascii="Times New Roman" w:hAnsi="Times New Roman"/>
          <w:szCs w:val="24"/>
        </w:rPr>
        <w:t>.</w:t>
      </w:r>
      <w:r w:rsidR="00CA2A37" w:rsidRPr="006A4A12">
        <w:rPr>
          <w:rFonts w:ascii="Times New Roman" w:hAnsi="Times New Roman"/>
          <w:szCs w:val="24"/>
        </w:rPr>
        <w:t xml:space="preserve">  </w:t>
      </w:r>
    </w:p>
    <w:p w:rsidR="007203EE" w:rsidRPr="006A4A12" w:rsidRDefault="007203EE" w:rsidP="003148DD">
      <w:pPr>
        <w:rPr>
          <w:rFonts w:ascii="Times New Roman" w:hAnsi="Times New Roman"/>
          <w:szCs w:val="24"/>
        </w:rPr>
      </w:pPr>
    </w:p>
    <w:p w:rsidR="00920D31" w:rsidRPr="006A4A12" w:rsidRDefault="00920D31" w:rsidP="00765790">
      <w:pPr>
        <w:rPr>
          <w:rFonts w:ascii="Times New Roman" w:hAnsi="Times New Roman"/>
          <w:b/>
        </w:rPr>
      </w:pPr>
      <w:r w:rsidRPr="006A4A12">
        <w:rPr>
          <w:rFonts w:ascii="Times New Roman" w:hAnsi="Times New Roman"/>
          <w:b/>
        </w:rPr>
        <w:t>Background and Justification</w:t>
      </w:r>
    </w:p>
    <w:p w:rsidR="00920D31" w:rsidRPr="006A4A12" w:rsidRDefault="00920D31" w:rsidP="00765790">
      <w:pPr>
        <w:widowControl/>
        <w:rPr>
          <w:rFonts w:ascii="Times New Roman" w:hAnsi="Times New Roman"/>
        </w:rPr>
      </w:pPr>
    </w:p>
    <w:p w:rsidR="00920D31" w:rsidRPr="006A4A12" w:rsidRDefault="00920D31" w:rsidP="0079378F">
      <w:pPr>
        <w:widowControl/>
        <w:ind w:firstLine="576"/>
        <w:jc w:val="both"/>
        <w:rPr>
          <w:rFonts w:ascii="Times New Roman" w:hAnsi="Times New Roman"/>
        </w:rPr>
      </w:pPr>
      <w:r w:rsidRPr="006A4A12">
        <w:rPr>
          <w:rFonts w:ascii="Times New Roman" w:hAnsi="Times New Roman"/>
        </w:rPr>
        <w:t xml:space="preserve">Many functional areas of the Federal Reserve need to gather </w:t>
      </w:r>
      <w:r w:rsidR="00A71282" w:rsidRPr="006A4A12">
        <w:rPr>
          <w:rFonts w:ascii="Times New Roman" w:hAnsi="Times New Roman"/>
        </w:rPr>
        <w:t>data on a timely basis from consumers on their financial attitudes and decisions</w:t>
      </w:r>
      <w:r w:rsidRPr="006A4A12">
        <w:rPr>
          <w:rFonts w:ascii="Times New Roman" w:hAnsi="Times New Roman"/>
        </w:rPr>
        <w:t xml:space="preserve">.  These data are needed to address issues of immediate concern arising from </w:t>
      </w:r>
      <w:r w:rsidR="00A71282" w:rsidRPr="006A4A12">
        <w:rPr>
          <w:rFonts w:ascii="Times New Roman" w:hAnsi="Times New Roman"/>
        </w:rPr>
        <w:t xml:space="preserve">Federal Reserve </w:t>
      </w:r>
      <w:r w:rsidRPr="006A4A12">
        <w:rPr>
          <w:rFonts w:ascii="Times New Roman" w:hAnsi="Times New Roman"/>
        </w:rPr>
        <w:t>committee initiatives and working groups</w:t>
      </w:r>
      <w:r w:rsidR="00A71282" w:rsidRPr="006A4A12">
        <w:rPr>
          <w:rFonts w:ascii="Times New Roman" w:hAnsi="Times New Roman"/>
        </w:rPr>
        <w:t>, economic developments or requests from the Congress</w:t>
      </w:r>
      <w:r w:rsidRPr="006A4A12">
        <w:rPr>
          <w:rFonts w:ascii="Times New Roman" w:hAnsi="Times New Roman"/>
        </w:rPr>
        <w:t xml:space="preserve">.  It is not always feasible to propose a </w:t>
      </w:r>
      <w:proofErr w:type="gramStart"/>
      <w:r w:rsidRPr="006A4A12">
        <w:rPr>
          <w:rFonts w:ascii="Times New Roman" w:hAnsi="Times New Roman"/>
        </w:rPr>
        <w:t>survey</w:t>
      </w:r>
      <w:proofErr w:type="gramEnd"/>
      <w:r w:rsidRPr="006A4A12">
        <w:rPr>
          <w:rFonts w:ascii="Times New Roman" w:hAnsi="Times New Roman"/>
        </w:rPr>
        <w:t xml:space="preserve"> and wait for the completion of the </w:t>
      </w:r>
      <w:r w:rsidR="006269B5" w:rsidRPr="006A4A12">
        <w:rPr>
          <w:rFonts w:ascii="Times New Roman" w:hAnsi="Times New Roman"/>
        </w:rPr>
        <w:t>60</w:t>
      </w:r>
      <w:r w:rsidRPr="006A4A12">
        <w:rPr>
          <w:rFonts w:ascii="Times New Roman" w:hAnsi="Times New Roman"/>
        </w:rPr>
        <w:t xml:space="preserve">-day public comment period and the remainder of the clearance process </w:t>
      </w:r>
      <w:r w:rsidR="00982C76" w:rsidRPr="006A4A12">
        <w:rPr>
          <w:rFonts w:ascii="Times New Roman" w:hAnsi="Times New Roman"/>
        </w:rPr>
        <w:t xml:space="preserve">to </w:t>
      </w:r>
      <w:r w:rsidRPr="006A4A12">
        <w:rPr>
          <w:rFonts w:ascii="Times New Roman" w:hAnsi="Times New Roman"/>
        </w:rPr>
        <w:t xml:space="preserve">obtain timely and accurate data.  The Federal Reserve has no other information collection that supplies these data.  </w:t>
      </w:r>
    </w:p>
    <w:p w:rsidR="00920D31" w:rsidRPr="006A4A12" w:rsidRDefault="00920D31">
      <w:pPr>
        <w:widowControl/>
        <w:tabs>
          <w:tab w:val="left" w:pos="576"/>
          <w:tab w:val="left" w:pos="1008"/>
          <w:tab w:val="left" w:pos="5904"/>
        </w:tabs>
        <w:rPr>
          <w:rFonts w:ascii="Times New Roman" w:hAnsi="Times New Roman"/>
        </w:rPr>
      </w:pPr>
    </w:p>
    <w:p w:rsidR="00920D31" w:rsidRPr="006A4A12" w:rsidRDefault="00920D31" w:rsidP="0079378F">
      <w:pPr>
        <w:widowControl/>
        <w:tabs>
          <w:tab w:val="left" w:pos="576"/>
          <w:tab w:val="left" w:pos="1008"/>
          <w:tab w:val="left" w:pos="5904"/>
        </w:tabs>
        <w:ind w:firstLine="576"/>
        <w:jc w:val="both"/>
        <w:rPr>
          <w:rFonts w:ascii="Times New Roman" w:hAnsi="Times New Roman"/>
        </w:rPr>
      </w:pPr>
      <w:r w:rsidRPr="006A4A12">
        <w:rPr>
          <w:rFonts w:ascii="Times New Roman" w:hAnsi="Times New Roman"/>
        </w:rPr>
        <w:t>In the subject areas covered by past surveys and future proposed surveys, much of the information needs to be obtained via a survey of individual households, either because (1) personal attitudes or opinions are sought or (2) the desired information is not, or could not be, systematically compiled by financial institutions.  In several instances, the surveys have provided the only reliable source of information about developing events in the financial markets.  The findings of the surveys have been widely used in the press and extensively by researchers outside the Federal Reserve System.</w:t>
      </w:r>
    </w:p>
    <w:p w:rsidR="00B06CA9" w:rsidRDefault="00B06CA9" w:rsidP="00B06CA9">
      <w:pPr>
        <w:widowControl/>
        <w:tabs>
          <w:tab w:val="left" w:pos="576"/>
          <w:tab w:val="left" w:pos="1008"/>
          <w:tab w:val="left" w:pos="5904"/>
        </w:tabs>
        <w:rPr>
          <w:rFonts w:ascii="Times New Roman" w:hAnsi="Times New Roman"/>
        </w:rPr>
      </w:pPr>
    </w:p>
    <w:p w:rsidR="00D26AF3" w:rsidRDefault="00D26AF3" w:rsidP="00B06CA9">
      <w:pPr>
        <w:widowControl/>
        <w:tabs>
          <w:tab w:val="left" w:pos="576"/>
          <w:tab w:val="left" w:pos="1008"/>
          <w:tab w:val="left" w:pos="5904"/>
        </w:tabs>
        <w:rPr>
          <w:rFonts w:ascii="Times New Roman" w:hAnsi="Times New Roman"/>
        </w:rPr>
      </w:pPr>
    </w:p>
    <w:p w:rsidR="00D26AF3" w:rsidRDefault="00D26AF3" w:rsidP="00B06CA9">
      <w:pPr>
        <w:widowControl/>
        <w:tabs>
          <w:tab w:val="left" w:pos="576"/>
          <w:tab w:val="left" w:pos="1008"/>
          <w:tab w:val="left" w:pos="5904"/>
        </w:tabs>
        <w:rPr>
          <w:rFonts w:ascii="Times New Roman" w:hAnsi="Times New Roman"/>
        </w:rPr>
      </w:pPr>
    </w:p>
    <w:p w:rsidR="00D26AF3" w:rsidRDefault="00D26AF3" w:rsidP="00B06CA9">
      <w:pPr>
        <w:widowControl/>
        <w:tabs>
          <w:tab w:val="left" w:pos="576"/>
          <w:tab w:val="left" w:pos="1008"/>
          <w:tab w:val="left" w:pos="5904"/>
        </w:tabs>
        <w:rPr>
          <w:rFonts w:ascii="Times New Roman" w:hAnsi="Times New Roman"/>
        </w:rPr>
      </w:pPr>
    </w:p>
    <w:p w:rsidR="00D26AF3" w:rsidRPr="000B3621" w:rsidRDefault="00D26AF3" w:rsidP="00B06CA9">
      <w:pPr>
        <w:widowControl/>
        <w:tabs>
          <w:tab w:val="left" w:pos="576"/>
          <w:tab w:val="left" w:pos="1008"/>
          <w:tab w:val="left" w:pos="5904"/>
        </w:tabs>
        <w:rPr>
          <w:rFonts w:ascii="Times New Roman" w:hAnsi="Times New Roman"/>
        </w:rPr>
      </w:pPr>
    </w:p>
    <w:p w:rsidR="00920D31" w:rsidRPr="000B3621" w:rsidRDefault="00920D31" w:rsidP="000B3621">
      <w:pPr>
        <w:widowControl/>
        <w:ind w:firstLine="720"/>
        <w:rPr>
          <w:rFonts w:ascii="Times New Roman" w:hAnsi="Times New Roman"/>
          <w:b/>
        </w:rPr>
      </w:pPr>
      <w:r w:rsidRPr="000B3621">
        <w:rPr>
          <w:rFonts w:ascii="Times New Roman" w:hAnsi="Times New Roman"/>
          <w:b/>
        </w:rPr>
        <w:t>Division of Research and Statistics</w:t>
      </w:r>
      <w:r w:rsidR="00B769DC">
        <w:rPr>
          <w:rFonts w:ascii="Times New Roman" w:hAnsi="Times New Roman"/>
          <w:b/>
        </w:rPr>
        <w:t xml:space="preserve"> </w:t>
      </w:r>
    </w:p>
    <w:p w:rsidR="00920D31" w:rsidRPr="000B3621" w:rsidRDefault="00920D31" w:rsidP="000B3621">
      <w:pPr>
        <w:widowControl/>
        <w:rPr>
          <w:rFonts w:ascii="Times New Roman" w:hAnsi="Times New Roman"/>
        </w:rPr>
      </w:pPr>
    </w:p>
    <w:p w:rsidR="000774B0" w:rsidRPr="000B3621" w:rsidRDefault="000774B0" w:rsidP="0079378F">
      <w:pPr>
        <w:ind w:firstLine="720"/>
        <w:jc w:val="both"/>
        <w:rPr>
          <w:rFonts w:ascii="Times New Roman" w:hAnsi="Times New Roman"/>
        </w:rPr>
      </w:pPr>
      <w:r w:rsidRPr="000B3621">
        <w:rPr>
          <w:rFonts w:ascii="Times New Roman" w:hAnsi="Times New Roman"/>
          <w:szCs w:val="24"/>
        </w:rPr>
        <w:t xml:space="preserve">The Ongoing Intermittent Survey of Households was initiated in 1981 by </w:t>
      </w:r>
      <w:r w:rsidR="00B769DC">
        <w:rPr>
          <w:rFonts w:ascii="Times New Roman" w:hAnsi="Times New Roman"/>
          <w:szCs w:val="24"/>
        </w:rPr>
        <w:t>the Division of Research and Statistics (</w:t>
      </w:r>
      <w:r w:rsidRPr="000B3621">
        <w:rPr>
          <w:rFonts w:ascii="Times New Roman" w:hAnsi="Times New Roman"/>
          <w:szCs w:val="24"/>
        </w:rPr>
        <w:t>R&amp;S</w:t>
      </w:r>
      <w:r w:rsidR="00B769DC">
        <w:rPr>
          <w:rFonts w:ascii="Times New Roman" w:hAnsi="Times New Roman"/>
          <w:szCs w:val="24"/>
        </w:rPr>
        <w:t>)</w:t>
      </w:r>
      <w:r w:rsidRPr="000B3621">
        <w:rPr>
          <w:rFonts w:ascii="Times New Roman" w:hAnsi="Times New Roman"/>
          <w:szCs w:val="24"/>
        </w:rPr>
        <w:t xml:space="preserve">.  Over the past </w:t>
      </w:r>
      <w:r w:rsidR="006269B5" w:rsidRPr="000B3621">
        <w:rPr>
          <w:rFonts w:ascii="Times New Roman" w:hAnsi="Times New Roman"/>
        </w:rPr>
        <w:t xml:space="preserve">29 </w:t>
      </w:r>
      <w:r w:rsidRPr="000B3621">
        <w:rPr>
          <w:rFonts w:ascii="Times New Roman" w:hAnsi="Times New Roman"/>
          <w:szCs w:val="24"/>
        </w:rPr>
        <w:t xml:space="preserve">years, the survey data have </w:t>
      </w:r>
      <w:r w:rsidRPr="000B3621">
        <w:rPr>
          <w:rFonts w:ascii="Times New Roman" w:hAnsi="Times New Roman"/>
        </w:rPr>
        <w:t xml:space="preserve">helped the Federal Reserve understand </w:t>
      </w:r>
      <w:r w:rsidRPr="000B3621">
        <w:rPr>
          <w:rFonts w:ascii="Times New Roman" w:hAnsi="Times New Roman"/>
          <w:szCs w:val="24"/>
        </w:rPr>
        <w:t xml:space="preserve">consumer credit markets and consumer behavior.  </w:t>
      </w:r>
      <w:r w:rsidRPr="000B3621">
        <w:rPr>
          <w:rFonts w:ascii="Times New Roman" w:hAnsi="Times New Roman"/>
        </w:rPr>
        <w:t xml:space="preserve"> The Federal Reserve has used the data to meet the current analysis needs of the </w:t>
      </w:r>
      <w:r w:rsidR="00E90C81" w:rsidRPr="000B3621">
        <w:rPr>
          <w:rFonts w:ascii="Times New Roman" w:hAnsi="Times New Roman"/>
        </w:rPr>
        <w:t xml:space="preserve">Federal Reserve </w:t>
      </w:r>
      <w:r w:rsidRPr="000B3621">
        <w:rPr>
          <w:rFonts w:ascii="Times New Roman" w:hAnsi="Times New Roman"/>
        </w:rPr>
        <w:t xml:space="preserve">Board, to respond to mandates from the Congress, </w:t>
      </w:r>
      <w:r w:rsidR="00164BC6" w:rsidRPr="000B3621">
        <w:rPr>
          <w:rFonts w:ascii="Times New Roman" w:hAnsi="Times New Roman"/>
        </w:rPr>
        <w:t xml:space="preserve">to prepare academic research papers, </w:t>
      </w:r>
      <w:r w:rsidRPr="000B3621">
        <w:rPr>
          <w:rFonts w:ascii="Times New Roman" w:hAnsi="Times New Roman"/>
        </w:rPr>
        <w:t>and to provide information to the public.</w:t>
      </w:r>
    </w:p>
    <w:p w:rsidR="000774B0" w:rsidRPr="000B3621" w:rsidRDefault="00B769DC" w:rsidP="000B3621">
      <w:pPr>
        <w:rPr>
          <w:rFonts w:ascii="Times New Roman" w:hAnsi="Times New Roman"/>
        </w:rPr>
      </w:pPr>
      <w:r>
        <w:rPr>
          <w:rFonts w:ascii="Times New Roman" w:hAnsi="Times New Roman"/>
        </w:rPr>
        <w:tab/>
      </w:r>
    </w:p>
    <w:p w:rsidR="002932B0" w:rsidRDefault="000774B0" w:rsidP="00B769DC">
      <w:pPr>
        <w:ind w:firstLine="720"/>
        <w:jc w:val="both"/>
        <w:rPr>
          <w:rFonts w:ascii="Times New Roman" w:hAnsi="Times New Roman"/>
        </w:rPr>
      </w:pPr>
      <w:r w:rsidRPr="000B3621">
        <w:rPr>
          <w:rFonts w:ascii="Times New Roman" w:hAnsi="Times New Roman"/>
        </w:rPr>
        <w:t xml:space="preserve">To help meet current analysis needs, R&amp;S sponsors monthly questions on household expectations of future changes in inflation and house prices.  R&amp;S </w:t>
      </w:r>
      <w:r w:rsidR="00AA212A" w:rsidRPr="000B3621">
        <w:rPr>
          <w:rFonts w:ascii="Times New Roman" w:hAnsi="Times New Roman"/>
        </w:rPr>
        <w:t xml:space="preserve">is currently </w:t>
      </w:r>
      <w:r w:rsidRPr="000B3621">
        <w:rPr>
          <w:rFonts w:ascii="Times New Roman" w:hAnsi="Times New Roman"/>
        </w:rPr>
        <w:t>sponsor</w:t>
      </w:r>
      <w:r w:rsidR="00AA212A" w:rsidRPr="000B3621">
        <w:rPr>
          <w:rFonts w:ascii="Times New Roman" w:hAnsi="Times New Roman"/>
        </w:rPr>
        <w:t>ing</w:t>
      </w:r>
      <w:r w:rsidRPr="000B3621">
        <w:rPr>
          <w:rFonts w:ascii="Times New Roman" w:hAnsi="Times New Roman"/>
        </w:rPr>
        <w:t xml:space="preserve"> </w:t>
      </w:r>
      <w:r w:rsidR="00AA212A" w:rsidRPr="000B3621">
        <w:rPr>
          <w:rFonts w:ascii="Times New Roman" w:hAnsi="Times New Roman"/>
        </w:rPr>
        <w:t xml:space="preserve">ongoing </w:t>
      </w:r>
      <w:r w:rsidRPr="000B3621">
        <w:rPr>
          <w:rFonts w:ascii="Times New Roman" w:hAnsi="Times New Roman"/>
        </w:rPr>
        <w:t xml:space="preserve">questions on home mortgage refinancing </w:t>
      </w:r>
      <w:r w:rsidR="00AA212A" w:rsidRPr="000B3621">
        <w:rPr>
          <w:rFonts w:ascii="Times New Roman" w:hAnsi="Times New Roman"/>
        </w:rPr>
        <w:t xml:space="preserve">three times a year </w:t>
      </w:r>
      <w:r w:rsidRPr="000B3621">
        <w:rPr>
          <w:rFonts w:ascii="Times New Roman" w:hAnsi="Times New Roman"/>
        </w:rPr>
        <w:t xml:space="preserve">and </w:t>
      </w:r>
      <w:r w:rsidR="00164BC6" w:rsidRPr="000B3621">
        <w:rPr>
          <w:rFonts w:ascii="Times New Roman" w:hAnsi="Times New Roman"/>
        </w:rPr>
        <w:t xml:space="preserve">on </w:t>
      </w:r>
      <w:r w:rsidRPr="000B3621">
        <w:rPr>
          <w:rFonts w:ascii="Times New Roman" w:hAnsi="Times New Roman"/>
        </w:rPr>
        <w:t>automobile financing</w:t>
      </w:r>
      <w:r w:rsidR="00AA212A" w:rsidRPr="000B3621">
        <w:rPr>
          <w:rFonts w:ascii="Times New Roman" w:hAnsi="Times New Roman"/>
        </w:rPr>
        <w:t xml:space="preserve"> four times a year</w:t>
      </w:r>
      <w:r w:rsidRPr="000B3621">
        <w:rPr>
          <w:rFonts w:ascii="Times New Roman" w:hAnsi="Times New Roman"/>
        </w:rPr>
        <w:t>.</w:t>
      </w:r>
      <w:r w:rsidR="00E85C51" w:rsidRPr="000B3621">
        <w:rPr>
          <w:rFonts w:ascii="Times New Roman" w:hAnsi="Times New Roman"/>
        </w:rPr>
        <w:t xml:space="preserve"> </w:t>
      </w:r>
      <w:r w:rsidR="00883A1C" w:rsidRPr="000B3621">
        <w:rPr>
          <w:rFonts w:ascii="Times New Roman" w:hAnsi="Times New Roman"/>
        </w:rPr>
        <w:t xml:space="preserve"> </w:t>
      </w:r>
      <w:r w:rsidR="00E85C51" w:rsidRPr="000B3621">
        <w:rPr>
          <w:rFonts w:ascii="Times New Roman" w:hAnsi="Times New Roman"/>
        </w:rPr>
        <w:t>Recently, R&amp;S sponsored two modules designed to measure the response of household consumption to the 2008 economic stimulus payments and to the 2009 tax credit and stimulus payments to retirees</w:t>
      </w:r>
      <w:r w:rsidR="00977B6B" w:rsidRPr="000B3621">
        <w:rPr>
          <w:rFonts w:ascii="Times New Roman" w:hAnsi="Times New Roman"/>
        </w:rPr>
        <w:t xml:space="preserve"> and other specified</w:t>
      </w:r>
      <w:r w:rsidR="00AF4522" w:rsidRPr="000B3621">
        <w:rPr>
          <w:rFonts w:ascii="Times New Roman" w:hAnsi="Times New Roman"/>
        </w:rPr>
        <w:t xml:space="preserve"> groups</w:t>
      </w:r>
      <w:r w:rsidR="00E85C51" w:rsidRPr="000B3621">
        <w:rPr>
          <w:rFonts w:ascii="Times New Roman" w:hAnsi="Times New Roman"/>
        </w:rPr>
        <w:t>.</w:t>
      </w:r>
      <w:r w:rsidR="00883A1C" w:rsidRPr="000B3621">
        <w:rPr>
          <w:rFonts w:ascii="Times New Roman" w:hAnsi="Times New Roman"/>
        </w:rPr>
        <w:t xml:space="preserve">  </w:t>
      </w:r>
      <w:r w:rsidRPr="000B3621">
        <w:rPr>
          <w:rFonts w:ascii="Times New Roman" w:hAnsi="Times New Roman"/>
        </w:rPr>
        <w:t xml:space="preserve">In the past, R&amp;S has also sponsored questions on home purchase behavior, the rate of return households expect to receive on their stock portfolios, and other topics.  Analyses based on these data are released to the public through </w:t>
      </w:r>
      <w:r w:rsidRPr="000B3621">
        <w:rPr>
          <w:rFonts w:ascii="Times New Roman" w:hAnsi="Times New Roman"/>
          <w:i/>
        </w:rPr>
        <w:t>Federal Reserve Bulletin</w:t>
      </w:r>
      <w:r w:rsidRPr="000B3621">
        <w:rPr>
          <w:rFonts w:ascii="Times New Roman" w:hAnsi="Times New Roman"/>
        </w:rPr>
        <w:t xml:space="preserve"> articles, speeches and testimony, and academic research papers.</w:t>
      </w:r>
    </w:p>
    <w:p w:rsidR="000774B0" w:rsidRPr="000B3621" w:rsidRDefault="000774B0" w:rsidP="000B3621">
      <w:pPr>
        <w:rPr>
          <w:rFonts w:ascii="Times New Roman" w:hAnsi="Times New Roman"/>
        </w:rPr>
      </w:pPr>
    </w:p>
    <w:p w:rsidR="000774B0" w:rsidRPr="000B3621" w:rsidRDefault="000774B0" w:rsidP="0079378F">
      <w:pPr>
        <w:widowControl/>
        <w:ind w:firstLine="720"/>
        <w:jc w:val="both"/>
        <w:rPr>
          <w:rFonts w:ascii="Times New Roman" w:hAnsi="Times New Roman"/>
        </w:rPr>
      </w:pPr>
      <w:r w:rsidRPr="000B3621">
        <w:rPr>
          <w:rFonts w:ascii="Times New Roman" w:hAnsi="Times New Roman"/>
        </w:rPr>
        <w:t xml:space="preserve">R&amp;S also sponsors questions periodically in response to requests from Congress.  In 2004, R&amp;S sponsored surveys on consumer knowledge of and attitudes toward prescreened credit card offers, privacy notices, debit card fees, and credit card disclosures.  The data helped </w:t>
      </w:r>
      <w:r w:rsidR="00A16B90" w:rsidRPr="000B3621">
        <w:rPr>
          <w:rFonts w:ascii="Times New Roman" w:hAnsi="Times New Roman"/>
        </w:rPr>
        <w:t xml:space="preserve">the </w:t>
      </w:r>
      <w:r w:rsidR="00904D66">
        <w:rPr>
          <w:rFonts w:ascii="Times New Roman" w:hAnsi="Times New Roman"/>
        </w:rPr>
        <w:t>Federal Reserve</w:t>
      </w:r>
      <w:r w:rsidRPr="000B3621">
        <w:rPr>
          <w:rFonts w:ascii="Times New Roman" w:hAnsi="Times New Roman"/>
        </w:rPr>
        <w:t xml:space="preserve"> analyze issues raised by the Fair and Accurate Credit Transaction Act of 2003, the Gramm-Leach-Bliley Act (GLB Act), the Truth in Lending Act, and Regulation Z.  In addition, the data contributed to the </w:t>
      </w:r>
      <w:r w:rsidR="00E90C81" w:rsidRPr="000B3621">
        <w:rPr>
          <w:rFonts w:ascii="Times New Roman" w:hAnsi="Times New Roman"/>
        </w:rPr>
        <w:t xml:space="preserve">Federal Reserve </w:t>
      </w:r>
      <w:r w:rsidRPr="000B3621">
        <w:rPr>
          <w:rFonts w:ascii="Times New Roman" w:hAnsi="Times New Roman"/>
        </w:rPr>
        <w:t>Board</w:t>
      </w:r>
      <w:r w:rsidR="007203EE" w:rsidRPr="000B3621">
        <w:rPr>
          <w:rFonts w:ascii="Times New Roman" w:hAnsi="Times New Roman"/>
        </w:rPr>
        <w:t>’</w:t>
      </w:r>
      <w:r w:rsidRPr="000B3621">
        <w:rPr>
          <w:rFonts w:ascii="Times New Roman" w:hAnsi="Times New Roman"/>
        </w:rPr>
        <w:t xml:space="preserve">s ongoing research and policy work on the payments industry.  </w:t>
      </w:r>
      <w:r w:rsidR="00904D66">
        <w:rPr>
          <w:rFonts w:ascii="Times New Roman" w:hAnsi="Times New Roman"/>
        </w:rPr>
        <w:t>The Federal Reserve</w:t>
      </w:r>
      <w:r w:rsidRPr="000B3621">
        <w:rPr>
          <w:rFonts w:ascii="Times New Roman" w:hAnsi="Times New Roman"/>
        </w:rPr>
        <w:t xml:space="preserve"> anticipate</w:t>
      </w:r>
      <w:r w:rsidR="00A16B90" w:rsidRPr="000B3621">
        <w:rPr>
          <w:rFonts w:ascii="Times New Roman" w:hAnsi="Times New Roman"/>
        </w:rPr>
        <w:t>s</w:t>
      </w:r>
      <w:r w:rsidRPr="000B3621">
        <w:rPr>
          <w:rFonts w:ascii="Times New Roman" w:hAnsi="Times New Roman"/>
        </w:rPr>
        <w:t xml:space="preserve"> an ongoing need to sponsor modules in response to Congressional requests.</w:t>
      </w:r>
    </w:p>
    <w:p w:rsidR="00920D31" w:rsidRPr="000B3621" w:rsidRDefault="00920D31">
      <w:pPr>
        <w:widowControl/>
        <w:tabs>
          <w:tab w:val="left" w:pos="576"/>
          <w:tab w:val="left" w:pos="1008"/>
          <w:tab w:val="left" w:pos="5904"/>
        </w:tabs>
        <w:rPr>
          <w:rFonts w:ascii="Times New Roman" w:hAnsi="Times New Roman"/>
        </w:rPr>
      </w:pPr>
    </w:p>
    <w:p w:rsidR="00920D31" w:rsidRPr="000B3621" w:rsidRDefault="00920D31" w:rsidP="00A54DFC">
      <w:pPr>
        <w:widowControl/>
        <w:ind w:firstLine="720"/>
        <w:rPr>
          <w:rFonts w:ascii="Times New Roman" w:hAnsi="Times New Roman"/>
        </w:rPr>
      </w:pPr>
      <w:r w:rsidRPr="000B3621">
        <w:rPr>
          <w:rFonts w:ascii="Times New Roman" w:hAnsi="Times New Roman"/>
          <w:b/>
        </w:rPr>
        <w:t>Division of Consumer and Community Affairs</w:t>
      </w:r>
    </w:p>
    <w:p w:rsidR="00920D31" w:rsidRPr="000B3621" w:rsidRDefault="00920D31">
      <w:pPr>
        <w:widowControl/>
        <w:tabs>
          <w:tab w:val="left" w:pos="576"/>
          <w:tab w:val="left" w:pos="1008"/>
          <w:tab w:val="left" w:pos="5904"/>
        </w:tabs>
        <w:rPr>
          <w:rFonts w:ascii="Times New Roman" w:hAnsi="Times New Roman"/>
        </w:rPr>
      </w:pPr>
    </w:p>
    <w:p w:rsidR="00920D31" w:rsidRPr="000B3621" w:rsidRDefault="00920D31" w:rsidP="0079378F">
      <w:pPr>
        <w:pStyle w:val="BodyTextIndent"/>
        <w:tabs>
          <w:tab w:val="clear" w:pos="576"/>
          <w:tab w:val="clear" w:pos="1008"/>
          <w:tab w:val="clear" w:pos="5904"/>
        </w:tabs>
        <w:ind w:firstLine="720"/>
      </w:pPr>
      <w:r w:rsidRPr="000B3621">
        <w:t xml:space="preserve">DCCA entered into its own contract with the </w:t>
      </w:r>
      <w:r w:rsidR="00CC1B0E" w:rsidRPr="000B3621">
        <w:t>SRC</w:t>
      </w:r>
      <w:r w:rsidRPr="000B3621">
        <w:t xml:space="preserve"> for use of the Survey of Households in 1995.  The survey results have contributed to a better understanding of consumer credit markets and consumer behavior.  The questions have investigated timely subjects relating to the Federal Reserve</w:t>
      </w:r>
      <w:r w:rsidR="007203EE" w:rsidRPr="000B3621">
        <w:t>’</w:t>
      </w:r>
      <w:r w:rsidRPr="000B3621">
        <w:t>s responsibilities for consumer credit, financial services</w:t>
      </w:r>
      <w:r w:rsidR="00CA18A7" w:rsidRPr="000B3621">
        <w:t>,</w:t>
      </w:r>
      <w:r w:rsidRPr="000B3621">
        <w:t xml:space="preserve"> and consumer leasing. </w:t>
      </w:r>
      <w:r w:rsidR="00D0054A" w:rsidRPr="000B3621">
        <w:t xml:space="preserve"> </w:t>
      </w:r>
      <w:r w:rsidRPr="000B3621">
        <w:t xml:space="preserve">Topics covered in </w:t>
      </w:r>
      <w:r w:rsidR="006269B5" w:rsidRPr="000B3621">
        <w:t>past</w:t>
      </w:r>
      <w:r w:rsidRPr="000B3621">
        <w:t xml:space="preserve"> surveys include consumers</w:t>
      </w:r>
      <w:r w:rsidR="007203EE" w:rsidRPr="000B3621">
        <w:t>’</w:t>
      </w:r>
      <w:r w:rsidRPr="000B3621">
        <w:t xml:space="preserve"> use of electronic banking services (October and November 19</w:t>
      </w:r>
      <w:r w:rsidR="00754FDC" w:rsidRPr="000B3621">
        <w:t>99</w:t>
      </w:r>
      <w:r w:rsidR="00807D2D" w:rsidRPr="000B3621">
        <w:t>;</w:t>
      </w:r>
      <w:r w:rsidR="00975041" w:rsidRPr="000B3621">
        <w:t xml:space="preserve"> </w:t>
      </w:r>
      <w:r w:rsidR="00807D2D" w:rsidRPr="000B3621">
        <w:t xml:space="preserve"> </w:t>
      </w:r>
      <w:r w:rsidR="00754FDC" w:rsidRPr="000B3621">
        <w:t>June and July 2003</w:t>
      </w:r>
      <w:r w:rsidR="00807D2D" w:rsidRPr="000B3621">
        <w:t>; and November and December 2006)</w:t>
      </w:r>
      <w:r w:rsidR="00754FDC" w:rsidRPr="000B3621">
        <w:t>, consumers</w:t>
      </w:r>
      <w:r w:rsidR="007203EE" w:rsidRPr="000B3621">
        <w:t>’</w:t>
      </w:r>
      <w:r w:rsidR="00754FDC" w:rsidRPr="000B3621">
        <w:t xml:space="preserve"> response to privacy noti</w:t>
      </w:r>
      <w:r w:rsidR="00975041" w:rsidRPr="000B3621">
        <w:t>ces under the GLB Act (December</w:t>
      </w:r>
      <w:r w:rsidR="00754FDC" w:rsidRPr="000B3621">
        <w:t xml:space="preserve"> 2004), and consumers</w:t>
      </w:r>
      <w:r w:rsidR="007203EE" w:rsidRPr="000B3621">
        <w:t>’</w:t>
      </w:r>
      <w:r w:rsidR="00754FDC" w:rsidRPr="000B3621">
        <w:t xml:space="preserve"> use of store-value </w:t>
      </w:r>
      <w:r w:rsidR="00975041" w:rsidRPr="000B3621">
        <w:t>cards (March and April</w:t>
      </w:r>
      <w:r w:rsidR="00754FDC" w:rsidRPr="000B3621">
        <w:t xml:space="preserve"> 2005)</w:t>
      </w:r>
      <w:r w:rsidRPr="000B3621">
        <w:t>.</w:t>
      </w:r>
      <w:r w:rsidR="006B4FD0" w:rsidRPr="000B3621">
        <w:t xml:space="preserve">  In the fall of 2010, DCCA repeated the 2004 </w:t>
      </w:r>
      <w:r w:rsidR="00164BC6" w:rsidRPr="000B3621">
        <w:t>questions</w:t>
      </w:r>
      <w:r w:rsidR="006B4FD0" w:rsidRPr="000B3621">
        <w:t xml:space="preserve"> on privacy </w:t>
      </w:r>
      <w:r w:rsidR="00164BC6" w:rsidRPr="000B3621">
        <w:t xml:space="preserve">related to the </w:t>
      </w:r>
      <w:r w:rsidR="006B4FD0" w:rsidRPr="000B3621">
        <w:t>GLB Ac</w:t>
      </w:r>
      <w:r w:rsidR="00164BC6" w:rsidRPr="000B3621">
        <w:t>t,</w:t>
      </w:r>
      <w:r w:rsidR="006B4FD0" w:rsidRPr="000B3621">
        <w:t xml:space="preserve"> initially collected</w:t>
      </w:r>
      <w:r w:rsidR="00164BC6" w:rsidRPr="000B3621">
        <w:t xml:space="preserve"> by</w:t>
      </w:r>
      <w:r w:rsidR="006B4FD0" w:rsidRPr="000B3621">
        <w:t xml:space="preserve"> </w:t>
      </w:r>
      <w:r w:rsidR="00904D66">
        <w:t>the Federal Reserve</w:t>
      </w:r>
      <w:r w:rsidR="006B4FD0" w:rsidRPr="000B3621">
        <w:t>.</w:t>
      </w:r>
    </w:p>
    <w:p w:rsidR="00920D31" w:rsidRPr="000B3621" w:rsidRDefault="00920D31">
      <w:pPr>
        <w:widowControl/>
        <w:tabs>
          <w:tab w:val="left" w:pos="576"/>
          <w:tab w:val="left" w:pos="1008"/>
          <w:tab w:val="left" w:pos="5904"/>
        </w:tabs>
        <w:rPr>
          <w:rFonts w:ascii="Times New Roman" w:hAnsi="Times New Roman"/>
        </w:rPr>
      </w:pPr>
    </w:p>
    <w:p w:rsidR="00920D31" w:rsidRPr="000B3621" w:rsidRDefault="00920D31" w:rsidP="0079378F">
      <w:pPr>
        <w:widowControl/>
        <w:ind w:firstLine="720"/>
        <w:jc w:val="both"/>
        <w:rPr>
          <w:rFonts w:ascii="Times New Roman" w:hAnsi="Times New Roman"/>
        </w:rPr>
      </w:pPr>
      <w:r w:rsidRPr="000B3621">
        <w:rPr>
          <w:rFonts w:ascii="Times New Roman" w:hAnsi="Times New Roman"/>
        </w:rPr>
        <w:t>Survey data on these topics have been used by the Federal Reserve to respond to information requests by the Congress and the Federal Reserve</w:t>
      </w:r>
      <w:r w:rsidR="007203EE" w:rsidRPr="000B3621">
        <w:rPr>
          <w:rFonts w:ascii="Times New Roman" w:hAnsi="Times New Roman"/>
        </w:rPr>
        <w:t>’</w:t>
      </w:r>
      <w:r w:rsidRPr="000B3621">
        <w:rPr>
          <w:rFonts w:ascii="Times New Roman" w:hAnsi="Times New Roman"/>
        </w:rPr>
        <w:t>s Consumer Advisory Council, to verify trends in potentially problematic banking practices,</w:t>
      </w:r>
      <w:r w:rsidR="00904D66">
        <w:rPr>
          <w:rFonts w:ascii="Times New Roman" w:hAnsi="Times New Roman"/>
        </w:rPr>
        <w:t xml:space="preserve"> to provide information to the Federal </w:t>
      </w:r>
      <w:r w:rsidR="00904D66">
        <w:rPr>
          <w:rFonts w:ascii="Times New Roman" w:hAnsi="Times New Roman"/>
        </w:rPr>
        <w:lastRenderedPageBreak/>
        <w:t>Reserve</w:t>
      </w:r>
      <w:r w:rsidRPr="000B3621">
        <w:rPr>
          <w:rFonts w:ascii="Times New Roman" w:hAnsi="Times New Roman"/>
        </w:rPr>
        <w:t xml:space="preserve"> as they conduct reviews of </w:t>
      </w:r>
      <w:r w:rsidR="00B769DC">
        <w:rPr>
          <w:rFonts w:ascii="Times New Roman" w:hAnsi="Times New Roman"/>
        </w:rPr>
        <w:t xml:space="preserve">its </w:t>
      </w:r>
      <w:r w:rsidRPr="000B3621">
        <w:rPr>
          <w:rFonts w:ascii="Times New Roman" w:hAnsi="Times New Roman"/>
        </w:rPr>
        <w:t>regulations, and to prepare Federal Reserve reports and testimony for the Congress.</w:t>
      </w:r>
    </w:p>
    <w:p w:rsidR="00920D31" w:rsidRPr="000B3621" w:rsidRDefault="00920D31">
      <w:pPr>
        <w:widowControl/>
        <w:tabs>
          <w:tab w:val="left" w:pos="576"/>
          <w:tab w:val="left" w:pos="1008"/>
          <w:tab w:val="left" w:pos="5904"/>
        </w:tabs>
        <w:rPr>
          <w:rFonts w:ascii="Times New Roman" w:hAnsi="Times New Roman"/>
        </w:rPr>
      </w:pPr>
    </w:p>
    <w:p w:rsidR="00920D31" w:rsidRPr="000B3621" w:rsidRDefault="00920D31" w:rsidP="00A54DFC">
      <w:pPr>
        <w:widowControl/>
        <w:ind w:firstLine="720"/>
        <w:rPr>
          <w:rFonts w:ascii="Times New Roman" w:hAnsi="Times New Roman"/>
        </w:rPr>
      </w:pPr>
      <w:r w:rsidRPr="000B3621">
        <w:rPr>
          <w:rFonts w:ascii="Times New Roman" w:hAnsi="Times New Roman"/>
          <w:b/>
        </w:rPr>
        <w:t xml:space="preserve">Other </w:t>
      </w:r>
      <w:r w:rsidR="00FC692D" w:rsidRPr="000B3621">
        <w:rPr>
          <w:rFonts w:ascii="Times New Roman" w:hAnsi="Times New Roman"/>
          <w:b/>
        </w:rPr>
        <w:t>Divisions</w:t>
      </w:r>
    </w:p>
    <w:p w:rsidR="00920D31" w:rsidRPr="000B3621" w:rsidRDefault="00920D31">
      <w:pPr>
        <w:widowControl/>
        <w:tabs>
          <w:tab w:val="left" w:pos="576"/>
          <w:tab w:val="left" w:pos="1008"/>
          <w:tab w:val="left" w:pos="5904"/>
        </w:tabs>
        <w:rPr>
          <w:rFonts w:ascii="Times New Roman" w:hAnsi="Times New Roman"/>
        </w:rPr>
      </w:pPr>
    </w:p>
    <w:p w:rsidR="00920D31" w:rsidRPr="000B3621" w:rsidRDefault="00920D31" w:rsidP="0079378F">
      <w:pPr>
        <w:pStyle w:val="BodyTextIndent"/>
        <w:tabs>
          <w:tab w:val="clear" w:pos="576"/>
          <w:tab w:val="clear" w:pos="1008"/>
          <w:tab w:val="clear" w:pos="5904"/>
        </w:tabs>
        <w:ind w:firstLine="720"/>
      </w:pPr>
      <w:r w:rsidRPr="000B3621">
        <w:t xml:space="preserve">From time to time other divisions may need to conduct similar surveys.  </w:t>
      </w:r>
      <w:r w:rsidR="00CC1B0E" w:rsidRPr="000B3621">
        <w:t>If these surveys are conducted by vendors other than SRC</w:t>
      </w:r>
      <w:r w:rsidR="00975041" w:rsidRPr="000B3621">
        <w:t>,</w:t>
      </w:r>
      <w:r w:rsidR="00CC1B0E" w:rsidRPr="000B3621">
        <w:t xml:space="preserve"> they would be contracted for separately.  </w:t>
      </w:r>
      <w:r w:rsidR="00F94B5F">
        <w:t xml:space="preserve">The Division of Reserve Bank Operations and Payment Systems (RBOPS) and other divisions </w:t>
      </w:r>
      <w:r w:rsidRPr="000B3621">
        <w:t xml:space="preserve">may conduct surveys that would cover a broad range of topics.  For example, a survey on consumer retail payments </w:t>
      </w:r>
      <w:r w:rsidR="00975041" w:rsidRPr="000B3621">
        <w:t>might</w:t>
      </w:r>
      <w:r w:rsidRPr="000B3621">
        <w:t xml:space="preserve"> document current patterns of consumer retail payment use and </w:t>
      </w:r>
      <w:r w:rsidR="00975041" w:rsidRPr="000B3621">
        <w:t>also</w:t>
      </w:r>
      <w:r w:rsidRPr="000B3621">
        <w:t xml:space="preserve"> help to examine the determinants of payment choice.</w:t>
      </w:r>
    </w:p>
    <w:p w:rsidR="00920D31" w:rsidRPr="000B3621" w:rsidRDefault="00920D31">
      <w:pPr>
        <w:tabs>
          <w:tab w:val="left" w:pos="576"/>
          <w:tab w:val="left" w:pos="1008"/>
          <w:tab w:val="left" w:pos="5904"/>
        </w:tabs>
        <w:rPr>
          <w:rFonts w:ascii="Times New Roman" w:hAnsi="Times New Roman"/>
        </w:rPr>
      </w:pPr>
    </w:p>
    <w:p w:rsidR="005F0BEE" w:rsidRPr="000B3621" w:rsidRDefault="00920D31" w:rsidP="0079378F">
      <w:pPr>
        <w:widowControl/>
        <w:ind w:firstLine="720"/>
        <w:jc w:val="both"/>
        <w:rPr>
          <w:rFonts w:ascii="Times New Roman" w:hAnsi="Times New Roman"/>
        </w:rPr>
      </w:pPr>
      <w:r w:rsidRPr="000B3621">
        <w:rPr>
          <w:rFonts w:ascii="Times New Roman" w:hAnsi="Times New Roman"/>
        </w:rPr>
        <w:t>The</w:t>
      </w:r>
      <w:r w:rsidR="00975041" w:rsidRPr="000B3621">
        <w:rPr>
          <w:rFonts w:ascii="Times New Roman" w:hAnsi="Times New Roman"/>
        </w:rPr>
        <w:t>se</w:t>
      </w:r>
      <w:r w:rsidRPr="000B3621">
        <w:rPr>
          <w:rFonts w:ascii="Times New Roman" w:hAnsi="Times New Roman"/>
        </w:rPr>
        <w:t xml:space="preserve"> survey</w:t>
      </w:r>
      <w:r w:rsidR="00975041" w:rsidRPr="000B3621">
        <w:rPr>
          <w:rFonts w:ascii="Times New Roman" w:hAnsi="Times New Roman"/>
        </w:rPr>
        <w:t>s</w:t>
      </w:r>
      <w:r w:rsidRPr="000B3621">
        <w:rPr>
          <w:rFonts w:ascii="Times New Roman" w:hAnsi="Times New Roman"/>
        </w:rPr>
        <w:t xml:space="preserve"> would be designed to meet three goals to document current patterns of consumer retail payment use</w:t>
      </w:r>
      <w:r w:rsidR="006269B5" w:rsidRPr="000B3621">
        <w:rPr>
          <w:rFonts w:ascii="Times New Roman" w:hAnsi="Times New Roman"/>
        </w:rPr>
        <w:t>,</w:t>
      </w:r>
      <w:r w:rsidRPr="000B3621">
        <w:rPr>
          <w:rFonts w:ascii="Times New Roman" w:hAnsi="Times New Roman"/>
        </w:rPr>
        <w:t xml:space="preserve"> to determine consumer attitudes toward different types of retail payment instruments</w:t>
      </w:r>
      <w:r w:rsidR="006269B5" w:rsidRPr="000B3621">
        <w:rPr>
          <w:rFonts w:ascii="Times New Roman" w:hAnsi="Times New Roman"/>
        </w:rPr>
        <w:t>,</w:t>
      </w:r>
      <w:r w:rsidRPr="000B3621">
        <w:rPr>
          <w:rFonts w:ascii="Times New Roman" w:hAnsi="Times New Roman"/>
        </w:rPr>
        <w:t xml:space="preserve"> and to examine the determinants of payment choice.  </w:t>
      </w:r>
      <w:r w:rsidR="00737B75" w:rsidRPr="000B3621">
        <w:rPr>
          <w:rFonts w:ascii="Times New Roman" w:hAnsi="Times New Roman"/>
        </w:rPr>
        <w:t>The proposed areas of inquiry would include the characteristics of different type</w:t>
      </w:r>
      <w:r w:rsidR="00164BC6" w:rsidRPr="000B3621">
        <w:rPr>
          <w:rFonts w:ascii="Times New Roman" w:hAnsi="Times New Roman"/>
        </w:rPr>
        <w:t>s of payment transactions (for example,</w:t>
      </w:r>
      <w:r w:rsidR="00737B75" w:rsidRPr="000B3621">
        <w:rPr>
          <w:rFonts w:ascii="Times New Roman" w:hAnsi="Times New Roman"/>
        </w:rPr>
        <w:t xml:space="preserve"> cash, check, debit card, credit card, and A</w:t>
      </w:r>
      <w:r w:rsidR="00164BC6" w:rsidRPr="000B3621">
        <w:rPr>
          <w:rFonts w:ascii="Times New Roman" w:hAnsi="Times New Roman"/>
        </w:rPr>
        <w:t xml:space="preserve">utomated Clearing House </w:t>
      </w:r>
      <w:r w:rsidR="00737B75" w:rsidRPr="000B3621">
        <w:rPr>
          <w:rFonts w:ascii="Times New Roman" w:hAnsi="Times New Roman"/>
        </w:rPr>
        <w:t xml:space="preserve">transactions) as well as the financial characteristics of households and certain types of </w:t>
      </w:r>
      <w:r w:rsidR="00164BC6" w:rsidRPr="000B3621">
        <w:rPr>
          <w:rFonts w:ascii="Times New Roman" w:hAnsi="Times New Roman"/>
        </w:rPr>
        <w:t>household</w:t>
      </w:r>
      <w:r w:rsidR="00737B75" w:rsidRPr="000B3621">
        <w:rPr>
          <w:rFonts w:ascii="Times New Roman" w:hAnsi="Times New Roman"/>
        </w:rPr>
        <w:t xml:space="preserve"> accounts.  </w:t>
      </w:r>
      <w:r w:rsidR="00B769DC">
        <w:rPr>
          <w:rFonts w:ascii="Times New Roman" w:hAnsi="Times New Roman"/>
        </w:rPr>
        <w:t xml:space="preserve">The </w:t>
      </w:r>
      <w:r w:rsidR="00E90C81" w:rsidRPr="000B3621">
        <w:rPr>
          <w:rFonts w:ascii="Times New Roman" w:hAnsi="Times New Roman"/>
        </w:rPr>
        <w:t xml:space="preserve">Federal Reserve </w:t>
      </w:r>
      <w:r w:rsidR="00904D66">
        <w:rPr>
          <w:rFonts w:ascii="Times New Roman" w:hAnsi="Times New Roman"/>
        </w:rPr>
        <w:t xml:space="preserve">Board </w:t>
      </w:r>
      <w:r w:rsidRPr="000B3621">
        <w:rPr>
          <w:rFonts w:ascii="Times New Roman" w:hAnsi="Times New Roman"/>
        </w:rPr>
        <w:t>cannot anticipate what information will be needed, and the need for information may be t</w:t>
      </w:r>
      <w:r w:rsidR="00A71282" w:rsidRPr="000B3621">
        <w:rPr>
          <w:rFonts w:ascii="Times New Roman" w:hAnsi="Times New Roman"/>
        </w:rPr>
        <w:t>ime-</w:t>
      </w:r>
      <w:r w:rsidRPr="000B3621">
        <w:rPr>
          <w:rFonts w:ascii="Times New Roman" w:hAnsi="Times New Roman"/>
        </w:rPr>
        <w:t>critical.  General approval is sought to conduct the surveys as needed.</w:t>
      </w:r>
    </w:p>
    <w:p w:rsidR="00920D31" w:rsidRPr="000B3621" w:rsidRDefault="00920D31" w:rsidP="000B3621">
      <w:pPr>
        <w:widowControl/>
        <w:rPr>
          <w:rFonts w:ascii="Times New Roman" w:hAnsi="Times New Roman"/>
        </w:rPr>
      </w:pPr>
    </w:p>
    <w:p w:rsidR="00920D31" w:rsidRPr="000B3621" w:rsidRDefault="00920D31" w:rsidP="000B3621">
      <w:pPr>
        <w:rPr>
          <w:rFonts w:ascii="Times New Roman" w:hAnsi="Times New Roman"/>
          <w:b/>
        </w:rPr>
      </w:pPr>
      <w:r w:rsidRPr="000B3621">
        <w:rPr>
          <w:rFonts w:ascii="Times New Roman" w:hAnsi="Times New Roman"/>
          <w:b/>
        </w:rPr>
        <w:t>Description of the Information Collection</w:t>
      </w:r>
    </w:p>
    <w:p w:rsidR="00920D31" w:rsidRPr="000B3621" w:rsidRDefault="00920D31">
      <w:pPr>
        <w:widowControl/>
        <w:tabs>
          <w:tab w:val="left" w:pos="576"/>
          <w:tab w:val="left" w:pos="1008"/>
          <w:tab w:val="left" w:pos="5904"/>
        </w:tabs>
        <w:rPr>
          <w:rFonts w:ascii="Times New Roman" w:hAnsi="Times New Roman"/>
        </w:rPr>
      </w:pPr>
    </w:p>
    <w:p w:rsidR="00920D31" w:rsidRPr="000B3621" w:rsidRDefault="00920D31" w:rsidP="0079378F">
      <w:pPr>
        <w:widowControl/>
        <w:ind w:firstLine="720"/>
        <w:jc w:val="both"/>
        <w:rPr>
          <w:rFonts w:ascii="Times New Roman" w:hAnsi="Times New Roman"/>
        </w:rPr>
      </w:pPr>
      <w:r w:rsidRPr="000B3621">
        <w:rPr>
          <w:rFonts w:ascii="Times New Roman" w:hAnsi="Times New Roman"/>
        </w:rPr>
        <w:t xml:space="preserve">For each monthly </w:t>
      </w:r>
      <w:r w:rsidR="00CC1B0E" w:rsidRPr="000B3621">
        <w:rPr>
          <w:rFonts w:ascii="Times New Roman" w:hAnsi="Times New Roman"/>
        </w:rPr>
        <w:t xml:space="preserve">SRC </w:t>
      </w:r>
      <w:r w:rsidRPr="000B3621">
        <w:rPr>
          <w:rFonts w:ascii="Times New Roman" w:hAnsi="Times New Roman"/>
        </w:rPr>
        <w:t xml:space="preserve">survey </w:t>
      </w:r>
      <w:r w:rsidR="00C73BE2" w:rsidRPr="000B3621">
        <w:rPr>
          <w:rFonts w:ascii="Times New Roman" w:hAnsi="Times New Roman"/>
        </w:rPr>
        <w:t>conducted</w:t>
      </w:r>
      <w:r w:rsidRPr="000B3621">
        <w:rPr>
          <w:rFonts w:ascii="Times New Roman" w:hAnsi="Times New Roman"/>
        </w:rPr>
        <w:t xml:space="preserve"> the SRC staff samples </w:t>
      </w:r>
      <w:r w:rsidR="003623B5" w:rsidRPr="000B3621">
        <w:rPr>
          <w:rFonts w:ascii="Times New Roman" w:hAnsi="Times New Roman"/>
        </w:rPr>
        <w:t xml:space="preserve">approximately 500 </w:t>
      </w:r>
      <w:r w:rsidRPr="000B3621">
        <w:rPr>
          <w:rFonts w:ascii="Times New Roman" w:hAnsi="Times New Roman"/>
        </w:rPr>
        <w:t>households from the universe of all private households in the coterminous U</w:t>
      </w:r>
      <w:r w:rsidR="00FC692D" w:rsidRPr="000B3621">
        <w:rPr>
          <w:rFonts w:ascii="Times New Roman" w:hAnsi="Times New Roman"/>
        </w:rPr>
        <w:t xml:space="preserve">nited </w:t>
      </w:r>
      <w:r w:rsidR="007B08D1" w:rsidRPr="000B3621">
        <w:rPr>
          <w:rFonts w:ascii="Times New Roman" w:hAnsi="Times New Roman"/>
        </w:rPr>
        <w:t>States</w:t>
      </w:r>
      <w:r w:rsidRPr="000B3621">
        <w:rPr>
          <w:rFonts w:ascii="Times New Roman" w:hAnsi="Times New Roman"/>
        </w:rPr>
        <w:t xml:space="preserve">. </w:t>
      </w:r>
      <w:r w:rsidR="00D0054A" w:rsidRPr="000B3621">
        <w:rPr>
          <w:rFonts w:ascii="Times New Roman" w:hAnsi="Times New Roman"/>
        </w:rPr>
        <w:t xml:space="preserve"> </w:t>
      </w:r>
      <w:r w:rsidR="00C73BE2" w:rsidRPr="000B3621">
        <w:rPr>
          <w:rFonts w:ascii="Times New Roman" w:hAnsi="Times New Roman"/>
        </w:rPr>
        <w:t xml:space="preserve">The sample is designed to be representative of the national population of households.  </w:t>
      </w:r>
      <w:r w:rsidRPr="000B3621">
        <w:rPr>
          <w:rFonts w:ascii="Times New Roman" w:hAnsi="Times New Roman"/>
        </w:rPr>
        <w:t xml:space="preserve">The SRC staff conducts the interviews by telephone and respondent participation is voluntary.  If the staff cannot obtain interviews with selected respondents, they select replacement respondents until they complete approximately </w:t>
      </w:r>
      <w:r w:rsidR="006B4FD0" w:rsidRPr="000B3621">
        <w:rPr>
          <w:rFonts w:ascii="Times New Roman" w:hAnsi="Times New Roman"/>
        </w:rPr>
        <w:t>500</w:t>
      </w:r>
      <w:r w:rsidR="00C0233D" w:rsidRPr="000B3621">
        <w:rPr>
          <w:rFonts w:ascii="Times New Roman" w:hAnsi="Times New Roman"/>
        </w:rPr>
        <w:t xml:space="preserve"> </w:t>
      </w:r>
      <w:r w:rsidRPr="000B3621">
        <w:rPr>
          <w:rFonts w:ascii="Times New Roman" w:hAnsi="Times New Roman"/>
        </w:rPr>
        <w:t>interviews.</w:t>
      </w:r>
      <w:r w:rsidR="00A54DFC" w:rsidRPr="000B3621">
        <w:rPr>
          <w:rFonts w:ascii="Times New Roman" w:hAnsi="Times New Roman"/>
        </w:rPr>
        <w:t xml:space="preserve">  </w:t>
      </w:r>
      <w:r w:rsidR="003148DD">
        <w:rPr>
          <w:rFonts w:ascii="Times New Roman" w:hAnsi="Times New Roman"/>
        </w:rPr>
        <w:t xml:space="preserve">The </w:t>
      </w:r>
      <w:r w:rsidR="00E90C81" w:rsidRPr="000B3621">
        <w:rPr>
          <w:rFonts w:ascii="Times New Roman" w:hAnsi="Times New Roman"/>
        </w:rPr>
        <w:t xml:space="preserve">Federal Reserve </w:t>
      </w:r>
      <w:r w:rsidRPr="000B3621">
        <w:rPr>
          <w:rFonts w:ascii="Times New Roman" w:hAnsi="Times New Roman"/>
        </w:rPr>
        <w:t>Board</w:t>
      </w:r>
      <w:r w:rsidR="003148DD">
        <w:rPr>
          <w:rFonts w:ascii="Times New Roman" w:hAnsi="Times New Roman"/>
        </w:rPr>
        <w:t xml:space="preserve"> </w:t>
      </w:r>
      <w:r w:rsidRPr="000B3621">
        <w:rPr>
          <w:rFonts w:ascii="Times New Roman" w:hAnsi="Times New Roman"/>
        </w:rPr>
        <w:t>draft</w:t>
      </w:r>
      <w:r w:rsidR="00B769DC">
        <w:rPr>
          <w:rFonts w:ascii="Times New Roman" w:hAnsi="Times New Roman"/>
        </w:rPr>
        <w:t>s</w:t>
      </w:r>
      <w:r w:rsidRPr="000B3621">
        <w:rPr>
          <w:rFonts w:ascii="Times New Roman" w:hAnsi="Times New Roman"/>
        </w:rPr>
        <w:t xml:space="preserve"> and edit</w:t>
      </w:r>
      <w:r w:rsidR="00B769DC">
        <w:rPr>
          <w:rFonts w:ascii="Times New Roman" w:hAnsi="Times New Roman"/>
        </w:rPr>
        <w:t>s</w:t>
      </w:r>
      <w:r w:rsidRPr="000B3621">
        <w:rPr>
          <w:rFonts w:ascii="Times New Roman" w:hAnsi="Times New Roman"/>
        </w:rPr>
        <w:t xml:space="preserve"> the questions in consultation with the SRC personnel.  The SRC conducts a field pretest of the questions; however, the Federal Reserve is charged only for the time used on the actual survey.</w:t>
      </w:r>
    </w:p>
    <w:p w:rsidR="00920D31" w:rsidRPr="000B3621" w:rsidRDefault="00920D31">
      <w:pPr>
        <w:widowControl/>
        <w:tabs>
          <w:tab w:val="left" w:pos="576"/>
          <w:tab w:val="left" w:pos="1008"/>
          <w:tab w:val="left" w:pos="5904"/>
        </w:tabs>
        <w:rPr>
          <w:rFonts w:ascii="Times New Roman" w:hAnsi="Times New Roman"/>
        </w:rPr>
      </w:pPr>
    </w:p>
    <w:p w:rsidR="00920D31" w:rsidRPr="000B3621" w:rsidRDefault="00920D31" w:rsidP="0079378F">
      <w:pPr>
        <w:widowControl/>
        <w:ind w:firstLine="720"/>
        <w:jc w:val="both"/>
        <w:rPr>
          <w:rFonts w:ascii="Times New Roman" w:hAnsi="Times New Roman"/>
        </w:rPr>
      </w:pPr>
      <w:r w:rsidRPr="000B3621">
        <w:rPr>
          <w:rFonts w:ascii="Times New Roman" w:hAnsi="Times New Roman"/>
        </w:rPr>
        <w:t xml:space="preserve">The survey </w:t>
      </w:r>
      <w:r w:rsidR="00884F74" w:rsidRPr="000B3621">
        <w:rPr>
          <w:rFonts w:ascii="Times New Roman" w:hAnsi="Times New Roman"/>
        </w:rPr>
        <w:t>includes questions about inflation and house prices expectations monthly and includes</w:t>
      </w:r>
      <w:r w:rsidRPr="000B3621">
        <w:rPr>
          <w:rFonts w:ascii="Times New Roman" w:hAnsi="Times New Roman"/>
        </w:rPr>
        <w:t xml:space="preserve"> questions of special interest to the </w:t>
      </w:r>
      <w:r w:rsidR="00E90C81" w:rsidRPr="000B3621">
        <w:rPr>
          <w:rFonts w:ascii="Times New Roman" w:hAnsi="Times New Roman"/>
        </w:rPr>
        <w:t xml:space="preserve">Federal Reserve </w:t>
      </w:r>
      <w:r w:rsidRPr="000B3621">
        <w:rPr>
          <w:rFonts w:ascii="Times New Roman" w:hAnsi="Times New Roman"/>
        </w:rPr>
        <w:t xml:space="preserve">Board </w:t>
      </w:r>
      <w:r w:rsidR="00CE3B13" w:rsidRPr="000B3621">
        <w:rPr>
          <w:rFonts w:ascii="Times New Roman" w:hAnsi="Times New Roman"/>
        </w:rPr>
        <w:t>intermittently, when needed,</w:t>
      </w:r>
      <w:r w:rsidR="00884F74" w:rsidRPr="000B3621">
        <w:rPr>
          <w:rFonts w:ascii="Times New Roman" w:hAnsi="Times New Roman"/>
        </w:rPr>
        <w:t xml:space="preserve"> </w:t>
      </w:r>
      <w:r w:rsidRPr="000B3621">
        <w:rPr>
          <w:rFonts w:ascii="Times New Roman" w:hAnsi="Times New Roman"/>
        </w:rPr>
        <w:t>as additions to the SRC</w:t>
      </w:r>
      <w:r w:rsidR="007203EE" w:rsidRPr="000B3621">
        <w:rPr>
          <w:rFonts w:ascii="Times New Roman" w:hAnsi="Times New Roman"/>
        </w:rPr>
        <w:t>’</w:t>
      </w:r>
      <w:r w:rsidRPr="000B3621">
        <w:rPr>
          <w:rFonts w:ascii="Times New Roman" w:hAnsi="Times New Roman"/>
        </w:rPr>
        <w:t xml:space="preserve">s regular survey format.  These questions relate to various aspects of consumer financial behavior and the impact of regulations affecting consumer financial services. </w:t>
      </w:r>
      <w:r w:rsidR="00D0054A" w:rsidRPr="000B3621">
        <w:rPr>
          <w:rFonts w:ascii="Times New Roman" w:hAnsi="Times New Roman"/>
        </w:rPr>
        <w:t xml:space="preserve"> </w:t>
      </w:r>
      <w:r w:rsidRPr="000B3621">
        <w:rPr>
          <w:rFonts w:ascii="Times New Roman" w:hAnsi="Times New Roman"/>
        </w:rPr>
        <w:t>Other questions cover consumer retail, depository institution, and corporate retail payment systems usage, processing, and technology.</w:t>
      </w:r>
    </w:p>
    <w:p w:rsidR="00920D31" w:rsidRPr="000B3621" w:rsidRDefault="00920D31">
      <w:pPr>
        <w:widowControl/>
        <w:tabs>
          <w:tab w:val="left" w:pos="576"/>
          <w:tab w:val="left" w:pos="1008"/>
          <w:tab w:val="left" w:pos="5904"/>
        </w:tabs>
        <w:rPr>
          <w:rFonts w:ascii="Times New Roman" w:hAnsi="Times New Roman"/>
        </w:rPr>
      </w:pPr>
    </w:p>
    <w:p w:rsidR="00920D31" w:rsidRPr="000B3621" w:rsidRDefault="00920D31" w:rsidP="0079378F">
      <w:pPr>
        <w:pStyle w:val="BodyTextIndent"/>
        <w:tabs>
          <w:tab w:val="clear" w:pos="576"/>
          <w:tab w:val="clear" w:pos="1008"/>
          <w:tab w:val="clear" w:pos="5904"/>
        </w:tabs>
        <w:ind w:firstLine="720"/>
      </w:pPr>
      <w:r w:rsidRPr="000B3621">
        <w:t xml:space="preserve">It is difficult to determine in advance the specific number of times the </w:t>
      </w:r>
      <w:r w:rsidR="00E90C81" w:rsidRPr="000B3621">
        <w:t xml:space="preserve">Federal Reserve </w:t>
      </w:r>
      <w:r w:rsidR="00904D66">
        <w:t xml:space="preserve">Board </w:t>
      </w:r>
      <w:r w:rsidRPr="000B3621">
        <w:t xml:space="preserve">will ask the SRC to obtain survey data since the need for data often arises from unpredictable legislative and economic developments, or from unforeseen congressional requests for information.  </w:t>
      </w:r>
      <w:r w:rsidR="00C73BE2" w:rsidRPr="000B3621">
        <w:t xml:space="preserve">In the past, the Federal Reserve has participated in about </w:t>
      </w:r>
      <w:r w:rsidR="00D12892" w:rsidRPr="000B3621">
        <w:t xml:space="preserve">six </w:t>
      </w:r>
      <w:r w:rsidR="00C73BE2" w:rsidRPr="000B3621">
        <w:t xml:space="preserve">SRC surveys each year in addition to the standard R&amp;S inflation </w:t>
      </w:r>
      <w:r w:rsidR="00D12892" w:rsidRPr="000B3621">
        <w:t xml:space="preserve">and house price </w:t>
      </w:r>
      <w:r w:rsidR="00C73BE2" w:rsidRPr="000B3621">
        <w:t xml:space="preserve">expectation questions.  </w:t>
      </w:r>
      <w:r w:rsidRPr="000B3621">
        <w:t xml:space="preserve">Although the </w:t>
      </w:r>
      <w:r w:rsidR="00E90C81" w:rsidRPr="000B3621">
        <w:t xml:space="preserve">Federal Reserve </w:t>
      </w:r>
      <w:r w:rsidR="00904D66">
        <w:t xml:space="preserve">Board </w:t>
      </w:r>
      <w:r w:rsidRPr="000B3621">
        <w:t>plans some surveys well in advance, the survey</w:t>
      </w:r>
      <w:r w:rsidR="007203EE" w:rsidRPr="000B3621">
        <w:t>’</w:t>
      </w:r>
      <w:r w:rsidRPr="000B3621">
        <w:t xml:space="preserve">s principal value is </w:t>
      </w:r>
      <w:r w:rsidRPr="000B3621">
        <w:lastRenderedPageBreak/>
        <w:t xml:space="preserve">the flexibility it provides the </w:t>
      </w:r>
      <w:r w:rsidR="00E90C81" w:rsidRPr="000B3621">
        <w:t xml:space="preserve">Federal Reserve </w:t>
      </w:r>
      <w:r w:rsidRPr="000B3621">
        <w:t>Board to respond quickly to changing economic, legislative, and regulatory developments.</w:t>
      </w:r>
    </w:p>
    <w:p w:rsidR="00920D31" w:rsidRPr="000B3621" w:rsidRDefault="00920D31">
      <w:pPr>
        <w:widowControl/>
        <w:tabs>
          <w:tab w:val="left" w:pos="576"/>
          <w:tab w:val="left" w:pos="1008"/>
          <w:tab w:val="left" w:pos="5904"/>
        </w:tabs>
        <w:rPr>
          <w:rFonts w:ascii="Times New Roman" w:hAnsi="Times New Roman"/>
          <w:b/>
        </w:rPr>
      </w:pPr>
    </w:p>
    <w:p w:rsidR="00F15E77" w:rsidRPr="000B3621" w:rsidRDefault="00F15E77" w:rsidP="0086488B">
      <w:pPr>
        <w:widowControl/>
        <w:ind w:firstLine="720"/>
        <w:rPr>
          <w:rFonts w:ascii="Times New Roman" w:hAnsi="Times New Roman"/>
        </w:rPr>
      </w:pPr>
      <w:r w:rsidRPr="000B3621">
        <w:rPr>
          <w:rFonts w:ascii="Times New Roman" w:hAnsi="Times New Roman"/>
          <w:b/>
        </w:rPr>
        <w:t>Proposed Revision</w:t>
      </w:r>
    </w:p>
    <w:p w:rsidR="00F15E77" w:rsidRPr="000B3621" w:rsidRDefault="00F15E77" w:rsidP="00F15E77">
      <w:pPr>
        <w:widowControl/>
        <w:tabs>
          <w:tab w:val="left" w:pos="576"/>
          <w:tab w:val="left" w:pos="1008"/>
          <w:tab w:val="left" w:pos="5904"/>
        </w:tabs>
        <w:rPr>
          <w:rFonts w:ascii="Times New Roman" w:hAnsi="Times New Roman"/>
        </w:rPr>
      </w:pPr>
    </w:p>
    <w:p w:rsidR="00F15E77" w:rsidRPr="000B3621" w:rsidRDefault="00F15E77" w:rsidP="0079378F">
      <w:pPr>
        <w:widowControl/>
        <w:ind w:firstLine="720"/>
        <w:jc w:val="both"/>
        <w:rPr>
          <w:rFonts w:ascii="Times New Roman" w:hAnsi="Times New Roman"/>
          <w:snapToGrid/>
          <w:szCs w:val="24"/>
        </w:rPr>
      </w:pPr>
      <w:r w:rsidRPr="000B3621">
        <w:rPr>
          <w:rFonts w:ascii="Times New Roman" w:hAnsi="Times New Roman"/>
          <w:szCs w:val="24"/>
        </w:rPr>
        <w:t xml:space="preserve">DCCA proposes to revise their portion of the FR 3016 by decreasing the number of SRC surveys that would be conducted in 2011 from </w:t>
      </w:r>
      <w:r w:rsidR="00164BC6" w:rsidRPr="000B3621">
        <w:rPr>
          <w:rFonts w:ascii="Times New Roman" w:hAnsi="Times New Roman"/>
          <w:szCs w:val="24"/>
        </w:rPr>
        <w:t>four</w:t>
      </w:r>
      <w:r w:rsidRPr="000B3621">
        <w:rPr>
          <w:rFonts w:ascii="Times New Roman" w:hAnsi="Times New Roman"/>
          <w:szCs w:val="24"/>
        </w:rPr>
        <w:t xml:space="preserve"> to </w:t>
      </w:r>
      <w:r w:rsidR="00164BC6" w:rsidRPr="000B3621">
        <w:rPr>
          <w:rFonts w:ascii="Times New Roman" w:hAnsi="Times New Roman"/>
          <w:szCs w:val="24"/>
        </w:rPr>
        <w:t>two</w:t>
      </w:r>
      <w:r w:rsidRPr="000B3621">
        <w:rPr>
          <w:rFonts w:ascii="Times New Roman" w:hAnsi="Times New Roman"/>
          <w:szCs w:val="24"/>
        </w:rPr>
        <w:t xml:space="preserve"> surveys.  A</w:t>
      </w:r>
      <w:r w:rsidRPr="000B3621">
        <w:rPr>
          <w:rFonts w:ascii="Times New Roman" w:hAnsi="Times New Roman"/>
          <w:snapToGrid/>
          <w:szCs w:val="24"/>
        </w:rPr>
        <w:t xml:space="preserve">s a result of </w:t>
      </w:r>
      <w:r w:rsidR="00ED0F65" w:rsidRPr="000B3621">
        <w:rPr>
          <w:rFonts w:ascii="Times New Roman" w:hAnsi="Times New Roman"/>
          <w:szCs w:val="24"/>
        </w:rPr>
        <w:t xml:space="preserve">Dodd-Frank, </w:t>
      </w:r>
      <w:r w:rsidRPr="000B3621">
        <w:rPr>
          <w:rFonts w:ascii="Times New Roman" w:hAnsi="Times New Roman"/>
          <w:szCs w:val="24"/>
        </w:rPr>
        <w:t xml:space="preserve">DCCA would decrease their participation in SRC surveys in order to focus on </w:t>
      </w:r>
      <w:r w:rsidRPr="000B3621">
        <w:rPr>
          <w:rFonts w:ascii="Times New Roman" w:hAnsi="Times New Roman"/>
          <w:snapToGrid/>
          <w:szCs w:val="24"/>
        </w:rPr>
        <w:t>consumer testing under other Federal Reserve authorizations.  In addition, as DCCA reshape</w:t>
      </w:r>
      <w:r w:rsidR="00164BC6" w:rsidRPr="000B3621">
        <w:rPr>
          <w:rFonts w:ascii="Times New Roman" w:hAnsi="Times New Roman"/>
          <w:snapToGrid/>
          <w:szCs w:val="24"/>
        </w:rPr>
        <w:t>s</w:t>
      </w:r>
      <w:r w:rsidRPr="000B3621">
        <w:rPr>
          <w:rFonts w:ascii="Times New Roman" w:hAnsi="Times New Roman"/>
          <w:snapToGrid/>
          <w:szCs w:val="24"/>
        </w:rPr>
        <w:t xml:space="preserve"> its research focus through their new responsibilities, the division is considering other approaches to surveys.  For example, DCCA </w:t>
      </w:r>
      <w:r w:rsidR="002B0F0E" w:rsidRPr="000B3621">
        <w:rPr>
          <w:rFonts w:ascii="Times New Roman" w:hAnsi="Times New Roman"/>
          <w:snapToGrid/>
          <w:szCs w:val="24"/>
        </w:rPr>
        <w:t xml:space="preserve">may </w:t>
      </w:r>
      <w:r w:rsidRPr="000B3621">
        <w:rPr>
          <w:rFonts w:ascii="Times New Roman" w:hAnsi="Times New Roman"/>
          <w:snapToGrid/>
          <w:szCs w:val="24"/>
        </w:rPr>
        <w:t xml:space="preserve">enter into contracts with private firms that would provide random-sample internet panels. These surveys </w:t>
      </w:r>
      <w:r w:rsidR="00164BC6" w:rsidRPr="000B3621">
        <w:rPr>
          <w:rFonts w:ascii="Times New Roman" w:hAnsi="Times New Roman"/>
          <w:snapToGrid/>
          <w:szCs w:val="24"/>
        </w:rPr>
        <w:t>allow</w:t>
      </w:r>
      <w:r w:rsidRPr="000B3621">
        <w:rPr>
          <w:rFonts w:ascii="Times New Roman" w:hAnsi="Times New Roman"/>
          <w:snapToGrid/>
          <w:szCs w:val="24"/>
        </w:rPr>
        <w:t xml:space="preserve"> </w:t>
      </w:r>
      <w:r w:rsidR="00ED0F65" w:rsidRPr="000B3621">
        <w:rPr>
          <w:rFonts w:ascii="Times New Roman" w:hAnsi="Times New Roman"/>
          <w:snapToGrid/>
          <w:szCs w:val="24"/>
        </w:rPr>
        <w:t xml:space="preserve">DCCA </w:t>
      </w:r>
      <w:r w:rsidR="00164BC6" w:rsidRPr="000B3621">
        <w:rPr>
          <w:rFonts w:ascii="Times New Roman" w:hAnsi="Times New Roman"/>
          <w:snapToGrid/>
          <w:szCs w:val="24"/>
        </w:rPr>
        <w:t xml:space="preserve">to </w:t>
      </w:r>
      <w:r w:rsidR="00ED0F65" w:rsidRPr="000B3621">
        <w:rPr>
          <w:rFonts w:ascii="Times New Roman" w:hAnsi="Times New Roman"/>
          <w:snapToGrid/>
          <w:szCs w:val="24"/>
        </w:rPr>
        <w:t xml:space="preserve">show </w:t>
      </w:r>
      <w:r w:rsidRPr="000B3621">
        <w:rPr>
          <w:rFonts w:ascii="Times New Roman" w:hAnsi="Times New Roman"/>
          <w:snapToGrid/>
          <w:szCs w:val="24"/>
        </w:rPr>
        <w:t>consumers</w:t>
      </w:r>
      <w:r w:rsidR="00164BC6" w:rsidRPr="000B3621">
        <w:rPr>
          <w:rFonts w:ascii="Times New Roman" w:hAnsi="Times New Roman"/>
          <w:snapToGrid/>
          <w:szCs w:val="24"/>
        </w:rPr>
        <w:t xml:space="preserve"> </w:t>
      </w:r>
      <w:r w:rsidRPr="000B3621">
        <w:rPr>
          <w:rFonts w:ascii="Times New Roman" w:hAnsi="Times New Roman"/>
          <w:snapToGrid/>
          <w:szCs w:val="24"/>
        </w:rPr>
        <w:t xml:space="preserve">a disclosure </w:t>
      </w:r>
      <w:r w:rsidR="00164BC6" w:rsidRPr="000B3621">
        <w:rPr>
          <w:rFonts w:ascii="Times New Roman" w:hAnsi="Times New Roman"/>
          <w:snapToGrid/>
          <w:szCs w:val="24"/>
        </w:rPr>
        <w:t xml:space="preserve">or </w:t>
      </w:r>
      <w:r w:rsidRPr="000B3621">
        <w:rPr>
          <w:rFonts w:ascii="Times New Roman" w:hAnsi="Times New Roman"/>
          <w:snapToGrid/>
          <w:szCs w:val="24"/>
        </w:rPr>
        <w:t>a publication</w:t>
      </w:r>
      <w:r w:rsidR="00164BC6" w:rsidRPr="000B3621">
        <w:rPr>
          <w:rFonts w:ascii="Times New Roman" w:hAnsi="Times New Roman"/>
          <w:snapToGrid/>
          <w:szCs w:val="24"/>
        </w:rPr>
        <w:t xml:space="preserve"> </w:t>
      </w:r>
      <w:r w:rsidRPr="000B3621">
        <w:rPr>
          <w:rFonts w:ascii="Times New Roman" w:hAnsi="Times New Roman"/>
          <w:snapToGrid/>
          <w:szCs w:val="24"/>
        </w:rPr>
        <w:t xml:space="preserve">and </w:t>
      </w:r>
      <w:r w:rsidR="00164BC6" w:rsidRPr="000B3621">
        <w:rPr>
          <w:rFonts w:ascii="Times New Roman" w:hAnsi="Times New Roman"/>
          <w:snapToGrid/>
          <w:szCs w:val="24"/>
        </w:rPr>
        <w:t>solicit their feedback</w:t>
      </w:r>
      <w:r w:rsidR="00221E50" w:rsidRPr="000B3621">
        <w:rPr>
          <w:rFonts w:ascii="Times New Roman" w:hAnsi="Times New Roman"/>
          <w:snapToGrid/>
          <w:szCs w:val="24"/>
        </w:rPr>
        <w:t>.</w:t>
      </w:r>
    </w:p>
    <w:p w:rsidR="00F15E77" w:rsidRPr="000B3621" w:rsidRDefault="00F15E77" w:rsidP="00F15E77">
      <w:pPr>
        <w:widowControl/>
        <w:tabs>
          <w:tab w:val="left" w:pos="576"/>
          <w:tab w:val="left" w:pos="1008"/>
          <w:tab w:val="left" w:pos="5904"/>
        </w:tabs>
        <w:rPr>
          <w:rFonts w:ascii="Times New Roman" w:hAnsi="Times New Roman"/>
          <w:b/>
        </w:rPr>
      </w:pPr>
    </w:p>
    <w:p w:rsidR="00D0054A" w:rsidRPr="000B3621" w:rsidRDefault="00D0054A" w:rsidP="000B3621">
      <w:pPr>
        <w:widowControl/>
        <w:ind w:firstLine="720"/>
        <w:rPr>
          <w:rFonts w:ascii="Times New Roman" w:hAnsi="Times New Roman"/>
          <w:b/>
        </w:rPr>
      </w:pPr>
      <w:r w:rsidRPr="000B3621">
        <w:rPr>
          <w:rFonts w:ascii="Times New Roman" w:hAnsi="Times New Roman"/>
          <w:b/>
        </w:rPr>
        <w:t>Non-SRC Surveys</w:t>
      </w:r>
    </w:p>
    <w:p w:rsidR="00D0054A" w:rsidRPr="000B3621" w:rsidRDefault="00D0054A" w:rsidP="00D0054A">
      <w:pPr>
        <w:widowControl/>
        <w:tabs>
          <w:tab w:val="left" w:pos="576"/>
          <w:tab w:val="left" w:pos="1008"/>
          <w:tab w:val="left" w:pos="5904"/>
        </w:tabs>
        <w:rPr>
          <w:rFonts w:ascii="Times New Roman" w:hAnsi="Times New Roman"/>
        </w:rPr>
      </w:pPr>
    </w:p>
    <w:p w:rsidR="00790126" w:rsidRPr="000B3621" w:rsidRDefault="00D0054A" w:rsidP="0079378F">
      <w:pPr>
        <w:widowControl/>
        <w:ind w:firstLine="720"/>
        <w:jc w:val="both"/>
        <w:rPr>
          <w:rFonts w:ascii="Times New Roman" w:hAnsi="Times New Roman"/>
          <w:szCs w:val="24"/>
        </w:rPr>
      </w:pPr>
      <w:r w:rsidRPr="000B3621">
        <w:rPr>
          <w:rFonts w:ascii="Times New Roman" w:hAnsi="Times New Roman"/>
        </w:rPr>
        <w:t xml:space="preserve">Beginning in 2004, </w:t>
      </w:r>
      <w:r w:rsidRPr="000B3621">
        <w:rPr>
          <w:rFonts w:ascii="Times New Roman" w:hAnsi="Times New Roman"/>
          <w:szCs w:val="24"/>
        </w:rPr>
        <w:t xml:space="preserve">the Federal Reserve conducted other consumer and household surveys as needed not more than twice a year.  These surveys were conducted as one-on-one interviews or focus group sessions.  Experience has shown that focused discussions of twelve to fifteen respondents are most productive.  For example, topics related to personal finance choices including, the quality, format, and understanding of the disclosures received from a financial institution about those product choices, can be better addressed in small focus group discussions. The goal for such focused discussions would be to identify what issues consumers want addressed and how they would like to receive this information.  The Federal Reserve would work with the appropriate stakeholders to recruit small groups of consumers to serve as voluntary respondents.  The Federal Reserve estimates these discussions may take up to </w:t>
      </w:r>
      <w:r w:rsidR="00063AE3" w:rsidRPr="000B3621">
        <w:rPr>
          <w:rFonts w:ascii="Times New Roman" w:hAnsi="Times New Roman"/>
          <w:szCs w:val="24"/>
        </w:rPr>
        <w:t>90</w:t>
      </w:r>
      <w:r w:rsidRPr="000B3621">
        <w:rPr>
          <w:rFonts w:ascii="Times New Roman" w:hAnsi="Times New Roman"/>
          <w:szCs w:val="24"/>
        </w:rPr>
        <w:t xml:space="preserve"> minutes.  </w:t>
      </w:r>
    </w:p>
    <w:p w:rsidR="000B3621" w:rsidRPr="000B3621" w:rsidRDefault="000B3621">
      <w:pPr>
        <w:widowControl/>
        <w:rPr>
          <w:rFonts w:ascii="Times New Roman" w:hAnsi="Times New Roman"/>
          <w:b/>
        </w:rPr>
      </w:pPr>
    </w:p>
    <w:p w:rsidR="00920D31" w:rsidRPr="000B3621" w:rsidRDefault="00920D31">
      <w:pPr>
        <w:widowControl/>
        <w:tabs>
          <w:tab w:val="left" w:pos="576"/>
          <w:tab w:val="left" w:pos="1008"/>
          <w:tab w:val="left" w:pos="5904"/>
        </w:tabs>
        <w:rPr>
          <w:rFonts w:ascii="Times New Roman" w:hAnsi="Times New Roman"/>
        </w:rPr>
      </w:pPr>
      <w:r w:rsidRPr="000B3621">
        <w:rPr>
          <w:rFonts w:ascii="Times New Roman" w:hAnsi="Times New Roman"/>
          <w:b/>
        </w:rPr>
        <w:t>Time Schedule for Information Collection and Publication</w:t>
      </w:r>
    </w:p>
    <w:p w:rsidR="00920D31" w:rsidRPr="000B3621" w:rsidRDefault="00920D31">
      <w:pPr>
        <w:widowControl/>
        <w:tabs>
          <w:tab w:val="left" w:pos="576"/>
          <w:tab w:val="left" w:pos="1008"/>
          <w:tab w:val="left" w:pos="5904"/>
        </w:tabs>
        <w:rPr>
          <w:rFonts w:ascii="Times New Roman" w:hAnsi="Times New Roman"/>
        </w:rPr>
      </w:pPr>
    </w:p>
    <w:p w:rsidR="00920D31" w:rsidRPr="000B3621" w:rsidRDefault="00920D31" w:rsidP="0079378F">
      <w:pPr>
        <w:widowControl/>
        <w:ind w:firstLine="720"/>
        <w:jc w:val="both"/>
        <w:rPr>
          <w:rFonts w:ascii="Times New Roman" w:hAnsi="Times New Roman"/>
        </w:rPr>
      </w:pPr>
      <w:r w:rsidRPr="000B3621">
        <w:rPr>
          <w:rFonts w:ascii="Times New Roman" w:hAnsi="Times New Roman"/>
        </w:rPr>
        <w:t xml:space="preserve">Under its current contract, the </w:t>
      </w:r>
      <w:r w:rsidR="00E90C81" w:rsidRPr="000B3621">
        <w:rPr>
          <w:rFonts w:ascii="Times New Roman" w:hAnsi="Times New Roman"/>
        </w:rPr>
        <w:t xml:space="preserve">Federal Reserve </w:t>
      </w:r>
      <w:r w:rsidR="00904D66">
        <w:rPr>
          <w:rFonts w:ascii="Times New Roman" w:hAnsi="Times New Roman"/>
        </w:rPr>
        <w:t xml:space="preserve">Board </w:t>
      </w:r>
      <w:r w:rsidRPr="000B3621">
        <w:rPr>
          <w:rFonts w:ascii="Times New Roman" w:hAnsi="Times New Roman"/>
        </w:rPr>
        <w:t xml:space="preserve">can ask the SRC to obtain survey data as often as monthly; however, there may be months when no survey data are collected for the Federal Reserve. </w:t>
      </w:r>
      <w:r w:rsidR="00D0054A" w:rsidRPr="000B3621">
        <w:rPr>
          <w:rFonts w:ascii="Times New Roman" w:hAnsi="Times New Roman"/>
        </w:rPr>
        <w:t xml:space="preserve"> </w:t>
      </w:r>
      <w:r w:rsidRPr="000B3621">
        <w:rPr>
          <w:rFonts w:ascii="Times New Roman" w:hAnsi="Times New Roman"/>
        </w:rPr>
        <w:t>When a survey is conducted for the Federal Reserve</w:t>
      </w:r>
      <w:r w:rsidR="00E640CB" w:rsidRPr="000B3621">
        <w:rPr>
          <w:rFonts w:ascii="Times New Roman" w:hAnsi="Times New Roman"/>
        </w:rPr>
        <w:t>,</w:t>
      </w:r>
      <w:r w:rsidRPr="000B3621">
        <w:rPr>
          <w:rFonts w:ascii="Times New Roman" w:hAnsi="Times New Roman"/>
        </w:rPr>
        <w:t xml:space="preserve"> the SRC staff code</w:t>
      </w:r>
      <w:r w:rsidR="00982C76" w:rsidRPr="000B3621">
        <w:rPr>
          <w:rFonts w:ascii="Times New Roman" w:hAnsi="Times New Roman"/>
        </w:rPr>
        <w:t>s</w:t>
      </w:r>
      <w:r w:rsidRPr="000B3621">
        <w:rPr>
          <w:rFonts w:ascii="Times New Roman" w:hAnsi="Times New Roman"/>
        </w:rPr>
        <w:t xml:space="preserve"> and edit</w:t>
      </w:r>
      <w:r w:rsidR="00982C76" w:rsidRPr="000B3621">
        <w:rPr>
          <w:rFonts w:ascii="Times New Roman" w:hAnsi="Times New Roman"/>
        </w:rPr>
        <w:t>s</w:t>
      </w:r>
      <w:r w:rsidRPr="000B3621">
        <w:rPr>
          <w:rFonts w:ascii="Times New Roman" w:hAnsi="Times New Roman"/>
        </w:rPr>
        <w:t xml:space="preserve"> the interview responses and then transmit</w:t>
      </w:r>
      <w:r w:rsidR="00982C76" w:rsidRPr="000B3621">
        <w:rPr>
          <w:rFonts w:ascii="Times New Roman" w:hAnsi="Times New Roman"/>
        </w:rPr>
        <w:t>s</w:t>
      </w:r>
      <w:r w:rsidRPr="000B3621">
        <w:rPr>
          <w:rFonts w:ascii="Times New Roman" w:hAnsi="Times New Roman"/>
        </w:rPr>
        <w:t xml:space="preserve"> the data </w:t>
      </w:r>
      <w:r w:rsidR="00D12892" w:rsidRPr="000B3621">
        <w:rPr>
          <w:rFonts w:ascii="Times New Roman" w:hAnsi="Times New Roman"/>
        </w:rPr>
        <w:t xml:space="preserve">via email </w:t>
      </w:r>
      <w:r w:rsidRPr="000B3621">
        <w:rPr>
          <w:rFonts w:ascii="Times New Roman" w:hAnsi="Times New Roman"/>
        </w:rPr>
        <w:t>or the University</w:t>
      </w:r>
      <w:r w:rsidR="007203EE" w:rsidRPr="000B3621">
        <w:rPr>
          <w:rFonts w:ascii="Times New Roman" w:hAnsi="Times New Roman"/>
        </w:rPr>
        <w:t>’</w:t>
      </w:r>
      <w:r w:rsidRPr="000B3621">
        <w:rPr>
          <w:rFonts w:ascii="Times New Roman" w:hAnsi="Times New Roman"/>
        </w:rPr>
        <w:t xml:space="preserve">s secure website to </w:t>
      </w:r>
      <w:r w:rsidR="00E90C81" w:rsidRPr="000B3621">
        <w:rPr>
          <w:rFonts w:ascii="Times New Roman" w:hAnsi="Times New Roman"/>
        </w:rPr>
        <w:t xml:space="preserve">Federal Reserve </w:t>
      </w:r>
      <w:r w:rsidR="00904D66">
        <w:rPr>
          <w:rFonts w:ascii="Times New Roman" w:hAnsi="Times New Roman"/>
        </w:rPr>
        <w:t>Board</w:t>
      </w:r>
      <w:r w:rsidRPr="000B3621">
        <w:rPr>
          <w:rFonts w:ascii="Times New Roman" w:hAnsi="Times New Roman"/>
        </w:rPr>
        <w:t>, who tabulates and analyzes the data.</w:t>
      </w:r>
    </w:p>
    <w:p w:rsidR="00920D31" w:rsidRPr="000B3621" w:rsidRDefault="00920D31" w:rsidP="000B3621">
      <w:pPr>
        <w:rPr>
          <w:rFonts w:ascii="Times New Roman" w:hAnsi="Times New Roman"/>
        </w:rPr>
      </w:pPr>
    </w:p>
    <w:p w:rsidR="00AC24BB" w:rsidRDefault="00920D31" w:rsidP="0079378F">
      <w:pPr>
        <w:widowControl/>
        <w:ind w:firstLine="720"/>
        <w:jc w:val="both"/>
        <w:rPr>
          <w:rFonts w:ascii="Times New Roman" w:hAnsi="Times New Roman"/>
        </w:rPr>
      </w:pPr>
      <w:r w:rsidRPr="000B3621">
        <w:rPr>
          <w:rFonts w:ascii="Times New Roman" w:hAnsi="Times New Roman"/>
        </w:rPr>
        <w:t xml:space="preserve">The </w:t>
      </w:r>
      <w:r w:rsidR="00E90C81" w:rsidRPr="000B3621">
        <w:rPr>
          <w:rFonts w:ascii="Times New Roman" w:hAnsi="Times New Roman"/>
        </w:rPr>
        <w:t xml:space="preserve">Federal Reserve </w:t>
      </w:r>
      <w:r w:rsidRPr="000B3621">
        <w:rPr>
          <w:rFonts w:ascii="Times New Roman" w:hAnsi="Times New Roman"/>
        </w:rPr>
        <w:t>Board does not publish the survey data</w:t>
      </w:r>
      <w:r w:rsidR="00F10129" w:rsidRPr="000B3621">
        <w:rPr>
          <w:rFonts w:ascii="Times New Roman" w:hAnsi="Times New Roman"/>
        </w:rPr>
        <w:t xml:space="preserve"> that it obtains from the SRC. </w:t>
      </w:r>
      <w:r w:rsidRPr="000B3621">
        <w:rPr>
          <w:rFonts w:ascii="Times New Roman" w:hAnsi="Times New Roman"/>
        </w:rPr>
        <w:t xml:space="preserve">Survey information is frequently cited, however, in published material such as </w:t>
      </w:r>
      <w:r w:rsidR="00B0623B" w:rsidRPr="000B3621">
        <w:rPr>
          <w:rFonts w:ascii="Times New Roman" w:hAnsi="Times New Roman"/>
        </w:rPr>
        <w:t xml:space="preserve">professional journals, </w:t>
      </w:r>
      <w:r w:rsidRPr="000B3621">
        <w:rPr>
          <w:rFonts w:ascii="Times New Roman" w:hAnsi="Times New Roman"/>
        </w:rPr>
        <w:t xml:space="preserve">the </w:t>
      </w:r>
      <w:r w:rsidRPr="000B3621">
        <w:rPr>
          <w:rFonts w:ascii="Times New Roman" w:hAnsi="Times New Roman"/>
          <w:i/>
        </w:rPr>
        <w:t>Federal Reserve Bulletin,</w:t>
      </w:r>
      <w:r w:rsidRPr="000B3621">
        <w:rPr>
          <w:rFonts w:ascii="Times New Roman" w:hAnsi="Times New Roman"/>
        </w:rPr>
        <w:t xml:space="preserve"> and testimony and reports to the Congress.  Under the terms of the contract, the SRC routinely places individual respondent data, stripped of names and other characteristics that would permit personal identification of respondents, in the public domain one year after collection.</w:t>
      </w:r>
      <w:r w:rsidR="00A54DFC" w:rsidRPr="000B3621">
        <w:rPr>
          <w:rFonts w:ascii="Times New Roman" w:hAnsi="Times New Roman"/>
        </w:rPr>
        <w:t xml:space="preserve">  </w:t>
      </w:r>
      <w:r w:rsidR="00AC24BB" w:rsidRPr="000B3621">
        <w:rPr>
          <w:rFonts w:ascii="Times New Roman" w:hAnsi="Times New Roman"/>
        </w:rPr>
        <w:t>The time schedule and publication of data collected from surveys, other than those conducted by the SRC, w</w:t>
      </w:r>
      <w:r w:rsidR="00FC692D" w:rsidRPr="000B3621">
        <w:rPr>
          <w:rFonts w:ascii="Times New Roman" w:hAnsi="Times New Roman"/>
        </w:rPr>
        <w:t>ould</w:t>
      </w:r>
      <w:r w:rsidR="00AC24BB" w:rsidRPr="000B3621">
        <w:rPr>
          <w:rFonts w:ascii="Times New Roman" w:hAnsi="Times New Roman"/>
        </w:rPr>
        <w:t xml:space="preserve"> be detailed in the</w:t>
      </w:r>
      <w:r w:rsidR="000B3621">
        <w:rPr>
          <w:rFonts w:ascii="Times New Roman" w:hAnsi="Times New Roman"/>
        </w:rPr>
        <w:t xml:space="preserve"> individual contract documents.</w:t>
      </w:r>
    </w:p>
    <w:p w:rsidR="00B769DC" w:rsidRDefault="00B769DC" w:rsidP="0079378F">
      <w:pPr>
        <w:widowControl/>
        <w:ind w:firstLine="720"/>
        <w:jc w:val="both"/>
        <w:rPr>
          <w:rFonts w:ascii="Times New Roman" w:hAnsi="Times New Roman"/>
        </w:rPr>
      </w:pPr>
    </w:p>
    <w:p w:rsidR="00B769DC" w:rsidRPr="000B3621" w:rsidRDefault="00B769DC" w:rsidP="0079378F">
      <w:pPr>
        <w:widowControl/>
        <w:ind w:firstLine="720"/>
        <w:jc w:val="both"/>
        <w:rPr>
          <w:rFonts w:ascii="Times New Roman" w:hAnsi="Times New Roman"/>
        </w:rPr>
      </w:pPr>
    </w:p>
    <w:p w:rsidR="00920D31" w:rsidRPr="000B3621" w:rsidRDefault="00920D31">
      <w:pPr>
        <w:widowControl/>
        <w:tabs>
          <w:tab w:val="left" w:pos="576"/>
          <w:tab w:val="left" w:pos="1008"/>
          <w:tab w:val="left" w:pos="5904"/>
        </w:tabs>
        <w:jc w:val="both"/>
        <w:rPr>
          <w:rFonts w:ascii="Times New Roman" w:hAnsi="Times New Roman"/>
        </w:rPr>
      </w:pPr>
    </w:p>
    <w:p w:rsidR="00920D31" w:rsidRPr="000B3621" w:rsidRDefault="00920D31">
      <w:pPr>
        <w:widowControl/>
        <w:tabs>
          <w:tab w:val="left" w:pos="576"/>
          <w:tab w:val="left" w:pos="1008"/>
          <w:tab w:val="left" w:pos="5904"/>
        </w:tabs>
        <w:rPr>
          <w:rFonts w:ascii="Times New Roman" w:hAnsi="Times New Roman"/>
        </w:rPr>
      </w:pPr>
      <w:r w:rsidRPr="000B3621">
        <w:rPr>
          <w:rFonts w:ascii="Times New Roman" w:hAnsi="Times New Roman"/>
          <w:b/>
        </w:rPr>
        <w:lastRenderedPageBreak/>
        <w:t>Legal Status</w:t>
      </w:r>
    </w:p>
    <w:p w:rsidR="00920D31" w:rsidRPr="000B3621" w:rsidRDefault="00920D31">
      <w:pPr>
        <w:widowControl/>
        <w:tabs>
          <w:tab w:val="left" w:pos="576"/>
          <w:tab w:val="left" w:pos="1008"/>
          <w:tab w:val="left" w:pos="5904"/>
        </w:tabs>
        <w:rPr>
          <w:rFonts w:ascii="Times New Roman" w:hAnsi="Times New Roman"/>
        </w:rPr>
      </w:pPr>
    </w:p>
    <w:p w:rsidR="00C0233D" w:rsidRPr="000B3621" w:rsidRDefault="00920D31" w:rsidP="0079378F">
      <w:pPr>
        <w:ind w:firstLine="720"/>
        <w:jc w:val="both"/>
        <w:rPr>
          <w:rFonts w:ascii="Times New Roman" w:hAnsi="Times New Roman"/>
        </w:rPr>
      </w:pPr>
      <w:r w:rsidRPr="000B3621">
        <w:rPr>
          <w:rFonts w:ascii="Times New Roman" w:hAnsi="Times New Roman"/>
        </w:rPr>
        <w:t xml:space="preserve">The </w:t>
      </w:r>
      <w:r w:rsidR="00E90C81" w:rsidRPr="000B3621">
        <w:rPr>
          <w:rFonts w:ascii="Times New Roman" w:hAnsi="Times New Roman"/>
        </w:rPr>
        <w:t xml:space="preserve">Federal Reserve </w:t>
      </w:r>
      <w:r w:rsidRPr="000B3621">
        <w:rPr>
          <w:rFonts w:ascii="Times New Roman" w:hAnsi="Times New Roman"/>
        </w:rPr>
        <w:t>Board</w:t>
      </w:r>
      <w:r w:rsidR="007203EE" w:rsidRPr="000B3621">
        <w:rPr>
          <w:rFonts w:ascii="Times New Roman" w:hAnsi="Times New Roman"/>
        </w:rPr>
        <w:t>’</w:t>
      </w:r>
      <w:r w:rsidRPr="000B3621">
        <w:rPr>
          <w:rFonts w:ascii="Times New Roman" w:hAnsi="Times New Roman"/>
        </w:rPr>
        <w:t xml:space="preserve">s </w:t>
      </w:r>
      <w:r w:rsidR="00B769DC" w:rsidRPr="003769A9">
        <w:rPr>
          <w:rFonts w:ascii="Times New Roman" w:hAnsi="Times New Roman"/>
        </w:rPr>
        <w:t xml:space="preserve">has determined that the </w:t>
      </w:r>
      <w:r w:rsidR="00B769DC" w:rsidRPr="003769A9">
        <w:rPr>
          <w:rFonts w:ascii="Times New Roman" w:hAnsi="Times New Roman"/>
          <w:szCs w:val="24"/>
        </w:rPr>
        <w:t xml:space="preserve">FR </w:t>
      </w:r>
      <w:r w:rsidR="00B769DC">
        <w:rPr>
          <w:rFonts w:ascii="Times New Roman" w:hAnsi="Times New Roman"/>
          <w:szCs w:val="24"/>
        </w:rPr>
        <w:t xml:space="preserve">3016 is </w:t>
      </w:r>
      <w:r w:rsidR="00B769DC" w:rsidRPr="003769A9">
        <w:rPr>
          <w:rFonts w:ascii="Times New Roman" w:hAnsi="Times New Roman"/>
        </w:rPr>
        <w:t>authorized by</w:t>
      </w:r>
      <w:r w:rsidR="00B769DC">
        <w:rPr>
          <w:rFonts w:ascii="Times New Roman" w:hAnsi="Times New Roman"/>
        </w:rPr>
        <w:t xml:space="preserve"> the Federal Reserve Act </w:t>
      </w:r>
      <w:r w:rsidRPr="000B3621">
        <w:rPr>
          <w:rFonts w:ascii="Times New Roman" w:hAnsi="Times New Roman"/>
        </w:rPr>
        <w:t xml:space="preserve">(12 U.S.C. </w:t>
      </w:r>
      <w:r w:rsidR="008F780F" w:rsidRPr="000B3621">
        <w:rPr>
          <w:rFonts w:ascii="Times New Roman" w:hAnsi="Times New Roman"/>
        </w:rPr>
        <w:t>§</w:t>
      </w:r>
      <w:r w:rsidR="000B3621">
        <w:rPr>
          <w:rFonts w:ascii="Times New Roman" w:hAnsi="Times New Roman"/>
        </w:rPr>
        <w:t xml:space="preserve"> </w:t>
      </w:r>
      <w:r w:rsidRPr="000B3621">
        <w:rPr>
          <w:rFonts w:ascii="Times New Roman" w:hAnsi="Times New Roman"/>
        </w:rPr>
        <w:t>225a, 263</w:t>
      </w:r>
      <w:r w:rsidR="007E4CE2">
        <w:rPr>
          <w:rFonts w:ascii="Times New Roman" w:hAnsi="Times New Roman"/>
        </w:rPr>
        <w:t xml:space="preserve">) </w:t>
      </w:r>
      <w:r w:rsidRPr="000B3621">
        <w:rPr>
          <w:rFonts w:ascii="Times New Roman" w:hAnsi="Times New Roman"/>
        </w:rPr>
        <w:t xml:space="preserve">and </w:t>
      </w:r>
      <w:r w:rsidR="00606B3F">
        <w:rPr>
          <w:rFonts w:ascii="Times New Roman" w:hAnsi="Times New Roman"/>
        </w:rPr>
        <w:t xml:space="preserve">the </w:t>
      </w:r>
      <w:r w:rsidR="00606B3F" w:rsidRPr="00606B3F">
        <w:rPr>
          <w:rFonts w:ascii="Times New Roman" w:hAnsi="Times New Roman"/>
        </w:rPr>
        <w:t>Securities Exchange Act of 1934</w:t>
      </w:r>
      <w:r w:rsidR="00606B3F">
        <w:rPr>
          <w:rFonts w:ascii="Times New Roman" w:hAnsi="Times New Roman"/>
        </w:rPr>
        <w:t xml:space="preserve"> (</w:t>
      </w:r>
      <w:r w:rsidRPr="000B3621">
        <w:rPr>
          <w:rFonts w:ascii="Times New Roman" w:hAnsi="Times New Roman"/>
        </w:rPr>
        <w:t xml:space="preserve">15 U.S.C. </w:t>
      </w:r>
      <w:r w:rsidR="000B3621" w:rsidRPr="000B3621">
        <w:rPr>
          <w:rFonts w:ascii="Times New Roman" w:hAnsi="Times New Roman"/>
        </w:rPr>
        <w:t>§</w:t>
      </w:r>
      <w:r w:rsidR="000B3621">
        <w:rPr>
          <w:rFonts w:ascii="Times New Roman" w:hAnsi="Times New Roman"/>
        </w:rPr>
        <w:t xml:space="preserve"> </w:t>
      </w:r>
      <w:r w:rsidRPr="000B3621">
        <w:rPr>
          <w:rFonts w:ascii="Times New Roman" w:hAnsi="Times New Roman"/>
        </w:rPr>
        <w:t xml:space="preserve">1691b) and that respondent participation in the SRC survey is voluntary.  No issue of confidentiality normally arises because names and any other characteristics that would permit personal identification of respondents are not reported to the </w:t>
      </w:r>
      <w:r w:rsidR="00E90C81" w:rsidRPr="000B3621">
        <w:rPr>
          <w:rFonts w:ascii="Times New Roman" w:hAnsi="Times New Roman"/>
        </w:rPr>
        <w:t xml:space="preserve">Federal Reserve </w:t>
      </w:r>
      <w:r w:rsidRPr="000B3621">
        <w:rPr>
          <w:rFonts w:ascii="Times New Roman" w:hAnsi="Times New Roman"/>
        </w:rPr>
        <w:t xml:space="preserve">Board. However, exemption 6 of the Freedom of Information Act (5 U.S.C. </w:t>
      </w:r>
      <w:r w:rsidR="008F780F" w:rsidRPr="000B3621">
        <w:rPr>
          <w:rFonts w:ascii="Times New Roman" w:hAnsi="Times New Roman"/>
        </w:rPr>
        <w:t>§</w:t>
      </w:r>
      <w:r w:rsidR="000B3621">
        <w:rPr>
          <w:rFonts w:ascii="Times New Roman" w:hAnsi="Times New Roman"/>
        </w:rPr>
        <w:t xml:space="preserve"> </w:t>
      </w:r>
      <w:r w:rsidRPr="000B3621">
        <w:rPr>
          <w:rFonts w:ascii="Times New Roman" w:hAnsi="Times New Roman"/>
        </w:rPr>
        <w:t>552(b</w:t>
      </w:r>
      <w:proofErr w:type="gramStart"/>
      <w:r w:rsidRPr="000B3621">
        <w:rPr>
          <w:rFonts w:ascii="Times New Roman" w:hAnsi="Times New Roman"/>
        </w:rPr>
        <w:t>)(</w:t>
      </w:r>
      <w:proofErr w:type="gramEnd"/>
      <w:r w:rsidRPr="000B3621">
        <w:rPr>
          <w:rFonts w:ascii="Times New Roman" w:hAnsi="Times New Roman"/>
        </w:rPr>
        <w:t>6)) would exempt this information from disclosure.</w:t>
      </w:r>
    </w:p>
    <w:p w:rsidR="00D0054A" w:rsidRPr="000B3621" w:rsidRDefault="00D0054A">
      <w:pPr>
        <w:widowControl/>
        <w:tabs>
          <w:tab w:val="left" w:pos="576"/>
          <w:tab w:val="left" w:pos="1008"/>
          <w:tab w:val="left" w:pos="5904"/>
        </w:tabs>
        <w:rPr>
          <w:rFonts w:ascii="Times New Roman" w:hAnsi="Times New Roman"/>
        </w:rPr>
      </w:pPr>
    </w:p>
    <w:p w:rsidR="00920D31" w:rsidRPr="000B3621" w:rsidRDefault="00920D31">
      <w:pPr>
        <w:widowControl/>
        <w:tabs>
          <w:tab w:val="left" w:pos="576"/>
          <w:tab w:val="left" w:pos="1008"/>
          <w:tab w:val="left" w:pos="5904"/>
        </w:tabs>
        <w:rPr>
          <w:rFonts w:ascii="Times New Roman" w:hAnsi="Times New Roman"/>
        </w:rPr>
      </w:pPr>
      <w:r w:rsidRPr="000B3621">
        <w:rPr>
          <w:rFonts w:ascii="Times New Roman" w:hAnsi="Times New Roman"/>
          <w:b/>
        </w:rPr>
        <w:t xml:space="preserve">Consultation </w:t>
      </w:r>
      <w:proofErr w:type="gramStart"/>
      <w:r w:rsidRPr="000B3621">
        <w:rPr>
          <w:rFonts w:ascii="Times New Roman" w:hAnsi="Times New Roman"/>
          <w:b/>
        </w:rPr>
        <w:t>Outside</w:t>
      </w:r>
      <w:proofErr w:type="gramEnd"/>
      <w:r w:rsidRPr="000B3621">
        <w:rPr>
          <w:rFonts w:ascii="Times New Roman" w:hAnsi="Times New Roman"/>
          <w:b/>
        </w:rPr>
        <w:t xml:space="preserve"> the Agency</w:t>
      </w:r>
    </w:p>
    <w:p w:rsidR="00920D31" w:rsidRPr="000B3621" w:rsidRDefault="00920D31">
      <w:pPr>
        <w:widowControl/>
        <w:tabs>
          <w:tab w:val="left" w:pos="576"/>
          <w:tab w:val="left" w:pos="1008"/>
          <w:tab w:val="left" w:pos="5904"/>
        </w:tabs>
        <w:rPr>
          <w:rFonts w:ascii="Times New Roman" w:hAnsi="Times New Roman"/>
        </w:rPr>
      </w:pPr>
    </w:p>
    <w:p w:rsidR="00DA342E" w:rsidRPr="00F31888" w:rsidRDefault="003148DD" w:rsidP="00DA342E">
      <w:pPr>
        <w:widowControl/>
        <w:tabs>
          <w:tab w:val="left" w:pos="450"/>
        </w:tabs>
        <w:ind w:firstLine="720"/>
        <w:rPr>
          <w:rFonts w:ascii="Times New Roman" w:hAnsi="Times New Roman"/>
        </w:rPr>
      </w:pPr>
      <w:r w:rsidRPr="003148DD">
        <w:rPr>
          <w:rFonts w:ascii="Times New Roman" w:hAnsi="Times New Roman"/>
        </w:rPr>
        <w:t xml:space="preserve">On </w:t>
      </w:r>
      <w:r>
        <w:rPr>
          <w:rFonts w:ascii="Times New Roman" w:hAnsi="Times New Roman"/>
        </w:rPr>
        <w:t>November 19</w:t>
      </w:r>
      <w:r w:rsidRPr="003148DD">
        <w:rPr>
          <w:rFonts w:ascii="Times New Roman" w:hAnsi="Times New Roman"/>
        </w:rPr>
        <w:t xml:space="preserve">, 2010, the Federal Reserve published a notice in the </w:t>
      </w:r>
      <w:r w:rsidRPr="003148DD">
        <w:rPr>
          <w:rFonts w:ascii="Times New Roman" w:hAnsi="Times New Roman"/>
          <w:i/>
        </w:rPr>
        <w:t>Federal Register</w:t>
      </w:r>
      <w:r w:rsidRPr="003148DD">
        <w:rPr>
          <w:rFonts w:ascii="Times New Roman" w:hAnsi="Times New Roman"/>
        </w:rPr>
        <w:t xml:space="preserve"> (75 FR </w:t>
      </w:r>
      <w:r>
        <w:rPr>
          <w:rFonts w:ascii="Times New Roman" w:hAnsi="Times New Roman"/>
        </w:rPr>
        <w:t>70919</w:t>
      </w:r>
      <w:r w:rsidRPr="003148DD">
        <w:rPr>
          <w:rFonts w:ascii="Times New Roman" w:hAnsi="Times New Roman"/>
        </w:rPr>
        <w:t xml:space="preserve">) requesting public comment for 60 days on the extension, with revision, of </w:t>
      </w:r>
      <w:r w:rsidR="005F7921">
        <w:rPr>
          <w:rFonts w:ascii="Times New Roman" w:hAnsi="Times New Roman"/>
        </w:rPr>
        <w:t xml:space="preserve">the </w:t>
      </w:r>
      <w:r w:rsidR="005F7921" w:rsidRPr="006A4A12">
        <w:rPr>
          <w:rFonts w:ascii="Times New Roman" w:hAnsi="Times New Roman"/>
        </w:rPr>
        <w:t>Ongoing Intermittent Survey of Households</w:t>
      </w:r>
      <w:r w:rsidRPr="003148DD">
        <w:rPr>
          <w:rFonts w:ascii="Times New Roman" w:hAnsi="Times New Roman"/>
        </w:rPr>
        <w:t>.  The comment period for this notice expire</w:t>
      </w:r>
      <w:r w:rsidR="005F7921">
        <w:rPr>
          <w:rFonts w:ascii="Times New Roman" w:hAnsi="Times New Roman"/>
        </w:rPr>
        <w:t>d</w:t>
      </w:r>
      <w:r w:rsidRPr="003148DD">
        <w:rPr>
          <w:rFonts w:ascii="Times New Roman" w:hAnsi="Times New Roman"/>
        </w:rPr>
        <w:t xml:space="preserve"> on </w:t>
      </w:r>
      <w:r>
        <w:rPr>
          <w:rFonts w:ascii="Times New Roman" w:hAnsi="Times New Roman"/>
        </w:rPr>
        <w:t>January 18</w:t>
      </w:r>
      <w:r w:rsidRPr="003148DD">
        <w:rPr>
          <w:rFonts w:ascii="Times New Roman" w:hAnsi="Times New Roman"/>
        </w:rPr>
        <w:t>, 201</w:t>
      </w:r>
      <w:r>
        <w:rPr>
          <w:rFonts w:ascii="Times New Roman" w:hAnsi="Times New Roman"/>
        </w:rPr>
        <w:t>1</w:t>
      </w:r>
      <w:r w:rsidRPr="003148DD">
        <w:rPr>
          <w:rFonts w:ascii="Times New Roman" w:hAnsi="Times New Roman"/>
        </w:rPr>
        <w:t>.</w:t>
      </w:r>
      <w:r w:rsidR="005F7921">
        <w:rPr>
          <w:rFonts w:ascii="Times New Roman" w:hAnsi="Times New Roman"/>
        </w:rPr>
        <w:t xml:space="preserve">   The Federal Reserve did not receive any comments</w:t>
      </w:r>
      <w:r w:rsidR="000B202F">
        <w:rPr>
          <w:rFonts w:ascii="Times New Roman" w:hAnsi="Times New Roman"/>
        </w:rPr>
        <w:t xml:space="preserve">; </w:t>
      </w:r>
      <w:r w:rsidR="000B202F" w:rsidRPr="00F31888">
        <w:rPr>
          <w:rFonts w:ascii="Times New Roman" w:hAnsi="Times New Roman"/>
        </w:rPr>
        <w:t>the revisions will be implemented as proposed</w:t>
      </w:r>
      <w:r w:rsidR="000B202F">
        <w:rPr>
          <w:rFonts w:ascii="Times New Roman" w:hAnsi="Times New Roman"/>
        </w:rPr>
        <w:t xml:space="preserve">.  </w:t>
      </w:r>
      <w:r w:rsidR="00DA342E">
        <w:rPr>
          <w:rFonts w:ascii="Times New Roman" w:hAnsi="Times New Roman"/>
        </w:rPr>
        <w:t>On February 1, 2011</w:t>
      </w:r>
      <w:r w:rsidR="00DA342E" w:rsidRPr="00F31888">
        <w:rPr>
          <w:rFonts w:ascii="Times New Roman" w:hAnsi="Times New Roman"/>
        </w:rPr>
        <w:t xml:space="preserve"> the Federal Reserve published a final notice in the </w:t>
      </w:r>
      <w:r w:rsidR="00DA342E" w:rsidRPr="00F31888">
        <w:rPr>
          <w:rFonts w:ascii="Times New Roman" w:hAnsi="Times New Roman"/>
          <w:i/>
        </w:rPr>
        <w:t xml:space="preserve">Federal Register </w:t>
      </w:r>
      <w:r w:rsidR="00DA342E">
        <w:rPr>
          <w:rFonts w:ascii="Times New Roman" w:hAnsi="Times New Roman"/>
        </w:rPr>
        <w:t xml:space="preserve">(76 </w:t>
      </w:r>
      <w:r w:rsidR="00DA342E" w:rsidRPr="00F31888">
        <w:rPr>
          <w:rFonts w:ascii="Times New Roman" w:hAnsi="Times New Roman"/>
        </w:rPr>
        <w:t>FR</w:t>
      </w:r>
      <w:r w:rsidR="00DA342E">
        <w:rPr>
          <w:rFonts w:ascii="Times New Roman" w:hAnsi="Times New Roman"/>
        </w:rPr>
        <w:t xml:space="preserve"> 5590</w:t>
      </w:r>
      <w:r w:rsidR="00DA342E" w:rsidRPr="00F31888">
        <w:rPr>
          <w:rFonts w:ascii="Times New Roman" w:hAnsi="Times New Roman"/>
        </w:rPr>
        <w:t xml:space="preserve">).  </w:t>
      </w:r>
    </w:p>
    <w:p w:rsidR="00920D31" w:rsidRPr="000B3621" w:rsidRDefault="00920D31" w:rsidP="00DA342E">
      <w:pPr>
        <w:widowControl/>
        <w:ind w:firstLine="720"/>
        <w:jc w:val="both"/>
        <w:rPr>
          <w:rFonts w:ascii="Times New Roman" w:hAnsi="Times New Roman"/>
        </w:rPr>
      </w:pPr>
    </w:p>
    <w:p w:rsidR="00920D31" w:rsidRPr="000B3621" w:rsidRDefault="00920D31">
      <w:pPr>
        <w:widowControl/>
        <w:tabs>
          <w:tab w:val="left" w:pos="576"/>
          <w:tab w:val="left" w:pos="1008"/>
          <w:tab w:val="left" w:pos="5904"/>
        </w:tabs>
        <w:rPr>
          <w:rFonts w:ascii="Times New Roman" w:hAnsi="Times New Roman"/>
        </w:rPr>
      </w:pPr>
      <w:r w:rsidRPr="000B3621">
        <w:rPr>
          <w:rFonts w:ascii="Times New Roman" w:hAnsi="Times New Roman"/>
          <w:b/>
        </w:rPr>
        <w:t>Sensitive Questions</w:t>
      </w:r>
    </w:p>
    <w:p w:rsidR="00920D31" w:rsidRPr="000B3621" w:rsidRDefault="00920D31">
      <w:pPr>
        <w:widowControl/>
        <w:tabs>
          <w:tab w:val="left" w:pos="576"/>
          <w:tab w:val="left" w:pos="1008"/>
          <w:tab w:val="left" w:pos="5904"/>
        </w:tabs>
        <w:rPr>
          <w:rFonts w:ascii="Times New Roman" w:hAnsi="Times New Roman"/>
        </w:rPr>
      </w:pPr>
    </w:p>
    <w:p w:rsidR="00920D31" w:rsidRDefault="00920D31" w:rsidP="0079378F">
      <w:pPr>
        <w:widowControl/>
        <w:ind w:firstLine="720"/>
        <w:jc w:val="both"/>
        <w:rPr>
          <w:rFonts w:ascii="Times New Roman" w:hAnsi="Times New Roman"/>
        </w:rPr>
      </w:pPr>
      <w:r w:rsidRPr="000B3621">
        <w:rPr>
          <w:rFonts w:ascii="Times New Roman" w:hAnsi="Times New Roman"/>
        </w:rPr>
        <w:t>This collection of information contains no questions of a sensitive nature, as defined by OMB guidelines.</w:t>
      </w:r>
    </w:p>
    <w:p w:rsidR="000B3621" w:rsidRPr="000B3621" w:rsidRDefault="000B3621" w:rsidP="000B3621">
      <w:pPr>
        <w:widowControl/>
        <w:rPr>
          <w:rFonts w:ascii="Times New Roman" w:hAnsi="Times New Roman"/>
        </w:rPr>
      </w:pPr>
    </w:p>
    <w:p w:rsidR="00920D31" w:rsidRPr="000B3621" w:rsidRDefault="00920D31">
      <w:pPr>
        <w:widowControl/>
        <w:tabs>
          <w:tab w:val="left" w:pos="576"/>
          <w:tab w:val="left" w:pos="1008"/>
          <w:tab w:val="left" w:pos="5904"/>
        </w:tabs>
        <w:rPr>
          <w:rFonts w:ascii="Times New Roman" w:hAnsi="Times New Roman"/>
          <w:b/>
        </w:rPr>
      </w:pPr>
      <w:r w:rsidRPr="000B3621">
        <w:rPr>
          <w:rFonts w:ascii="Times New Roman" w:hAnsi="Times New Roman"/>
          <w:b/>
        </w:rPr>
        <w:t>Estimate of Respondent Burden</w:t>
      </w:r>
    </w:p>
    <w:p w:rsidR="00F601CD" w:rsidRPr="000B3621" w:rsidRDefault="00F601CD">
      <w:pPr>
        <w:widowControl/>
        <w:tabs>
          <w:tab w:val="left" w:pos="576"/>
          <w:tab w:val="left" w:pos="1008"/>
          <w:tab w:val="left" w:pos="5904"/>
        </w:tabs>
        <w:rPr>
          <w:rFonts w:ascii="Times New Roman" w:hAnsi="Times New Roman"/>
        </w:rPr>
      </w:pPr>
    </w:p>
    <w:p w:rsidR="002C44B1" w:rsidRPr="000B3621" w:rsidRDefault="00F601CD" w:rsidP="0079378F">
      <w:pPr>
        <w:ind w:firstLine="720"/>
        <w:jc w:val="both"/>
        <w:rPr>
          <w:rFonts w:ascii="Times New Roman" w:hAnsi="Times New Roman"/>
          <w:szCs w:val="24"/>
        </w:rPr>
      </w:pPr>
      <w:r w:rsidRPr="000B3621">
        <w:rPr>
          <w:rFonts w:ascii="Times New Roman" w:hAnsi="Times New Roman"/>
        </w:rPr>
        <w:t>The current annual respondent burden for the Federal Reserve</w:t>
      </w:r>
      <w:r w:rsidR="007203EE" w:rsidRPr="000B3621">
        <w:rPr>
          <w:rFonts w:ascii="Times New Roman" w:hAnsi="Times New Roman"/>
        </w:rPr>
        <w:t>’</w:t>
      </w:r>
      <w:r w:rsidRPr="000B3621">
        <w:rPr>
          <w:rFonts w:ascii="Times New Roman" w:hAnsi="Times New Roman"/>
        </w:rPr>
        <w:t xml:space="preserve">s portion of the surveys to be conducted by the SRC is </w:t>
      </w:r>
      <w:r w:rsidR="005F0BEE" w:rsidRPr="000B3621">
        <w:rPr>
          <w:rFonts w:ascii="Times New Roman" w:hAnsi="Times New Roman"/>
        </w:rPr>
        <w:t xml:space="preserve">estimated to be </w:t>
      </w:r>
      <w:r w:rsidR="00B52515" w:rsidRPr="000B3621">
        <w:rPr>
          <w:rFonts w:ascii="Times New Roman" w:hAnsi="Times New Roman"/>
        </w:rPr>
        <w:t>383</w:t>
      </w:r>
      <w:r w:rsidR="005305A3" w:rsidRPr="000B3621">
        <w:rPr>
          <w:rFonts w:ascii="Times New Roman" w:hAnsi="Times New Roman"/>
        </w:rPr>
        <w:t xml:space="preserve"> </w:t>
      </w:r>
      <w:r w:rsidRPr="000B3621">
        <w:rPr>
          <w:rFonts w:ascii="Times New Roman" w:hAnsi="Times New Roman"/>
        </w:rPr>
        <w:t xml:space="preserve">hours.  The Federal Reserve proposes to decrease the total annual respondent </w:t>
      </w:r>
      <w:r w:rsidR="00F10129" w:rsidRPr="000B3621">
        <w:rPr>
          <w:rFonts w:ascii="Times New Roman" w:hAnsi="Times New Roman"/>
        </w:rPr>
        <w:t xml:space="preserve">burden for the SRC surveys </w:t>
      </w:r>
      <w:r w:rsidRPr="000B3621">
        <w:rPr>
          <w:rFonts w:ascii="Times New Roman" w:hAnsi="Times New Roman"/>
        </w:rPr>
        <w:t xml:space="preserve">to </w:t>
      </w:r>
      <w:r w:rsidR="00221E50" w:rsidRPr="000B3621">
        <w:rPr>
          <w:rFonts w:ascii="Times New Roman" w:hAnsi="Times New Roman"/>
        </w:rPr>
        <w:t>333</w:t>
      </w:r>
      <w:r w:rsidRPr="000B3621">
        <w:rPr>
          <w:rFonts w:ascii="Times New Roman" w:hAnsi="Times New Roman"/>
        </w:rPr>
        <w:t xml:space="preserve"> hours</w:t>
      </w:r>
      <w:r w:rsidR="00221E50" w:rsidRPr="000B3621">
        <w:rPr>
          <w:rFonts w:ascii="Times New Roman" w:hAnsi="Times New Roman"/>
        </w:rPr>
        <w:t>,</w:t>
      </w:r>
      <w:r w:rsidR="004A698A" w:rsidRPr="000B3621">
        <w:rPr>
          <w:rFonts w:ascii="Times New Roman" w:hAnsi="Times New Roman"/>
        </w:rPr>
        <w:t xml:space="preserve"> </w:t>
      </w:r>
      <w:r w:rsidR="00221E50" w:rsidRPr="000B3621">
        <w:rPr>
          <w:rFonts w:ascii="Times New Roman" w:hAnsi="Times New Roman"/>
        </w:rPr>
        <w:t>attributed to the reduction</w:t>
      </w:r>
      <w:r w:rsidR="00F10129" w:rsidRPr="000B3621">
        <w:rPr>
          <w:rFonts w:ascii="Times New Roman" w:hAnsi="Times New Roman"/>
        </w:rPr>
        <w:t xml:space="preserve"> in the number of S</w:t>
      </w:r>
      <w:r w:rsidR="004A698A" w:rsidRPr="000B3621">
        <w:rPr>
          <w:rFonts w:ascii="Times New Roman" w:hAnsi="Times New Roman"/>
        </w:rPr>
        <w:t>R</w:t>
      </w:r>
      <w:r w:rsidR="00F10129" w:rsidRPr="000B3621">
        <w:rPr>
          <w:rFonts w:ascii="Times New Roman" w:hAnsi="Times New Roman"/>
        </w:rPr>
        <w:t>C</w:t>
      </w:r>
      <w:r w:rsidR="004A698A" w:rsidRPr="000B3621">
        <w:rPr>
          <w:rFonts w:ascii="Times New Roman" w:hAnsi="Times New Roman"/>
        </w:rPr>
        <w:t xml:space="preserve"> surveys that DCCA would conduct </w:t>
      </w:r>
      <w:r w:rsidR="00F10129" w:rsidRPr="000B3621">
        <w:rPr>
          <w:rFonts w:ascii="Times New Roman" w:hAnsi="Times New Roman"/>
        </w:rPr>
        <w:t>per year</w:t>
      </w:r>
      <w:r w:rsidR="00B52515" w:rsidRPr="000B3621">
        <w:rPr>
          <w:rFonts w:ascii="Times New Roman" w:hAnsi="Times New Roman"/>
        </w:rPr>
        <w:t xml:space="preserve">.  </w:t>
      </w:r>
      <w:r w:rsidR="004A698A" w:rsidRPr="000B3621">
        <w:rPr>
          <w:rFonts w:ascii="Times New Roman" w:hAnsi="Times New Roman"/>
        </w:rPr>
        <w:t>T</w:t>
      </w:r>
      <w:r w:rsidRPr="000B3621">
        <w:rPr>
          <w:rFonts w:ascii="Times New Roman" w:hAnsi="Times New Roman"/>
        </w:rPr>
        <w:t>he burden allocated for participation in SRC surveys by the</w:t>
      </w:r>
      <w:r w:rsidR="00E843D6" w:rsidRPr="000B3621">
        <w:rPr>
          <w:rFonts w:ascii="Times New Roman" w:hAnsi="Times New Roman"/>
        </w:rPr>
        <w:t xml:space="preserve"> other</w:t>
      </w:r>
      <w:r w:rsidR="008F780F" w:rsidRPr="000B3621">
        <w:rPr>
          <w:rFonts w:ascii="Times New Roman" w:hAnsi="Times New Roman"/>
        </w:rPr>
        <w:t xml:space="preserve"> </w:t>
      </w:r>
      <w:r w:rsidR="00E843D6" w:rsidRPr="000B3621">
        <w:rPr>
          <w:rFonts w:ascii="Times New Roman" w:hAnsi="Times New Roman"/>
        </w:rPr>
        <w:t>d</w:t>
      </w:r>
      <w:r w:rsidR="008F780F" w:rsidRPr="000B3621">
        <w:rPr>
          <w:rFonts w:ascii="Times New Roman" w:hAnsi="Times New Roman"/>
        </w:rPr>
        <w:t>ivisions</w:t>
      </w:r>
      <w:r w:rsidR="00E843D6" w:rsidRPr="000B3621">
        <w:rPr>
          <w:rFonts w:ascii="Times New Roman" w:hAnsi="Times New Roman"/>
        </w:rPr>
        <w:t xml:space="preserve"> would</w:t>
      </w:r>
      <w:r w:rsidR="008F780F" w:rsidRPr="000B3621">
        <w:rPr>
          <w:rFonts w:ascii="Times New Roman" w:hAnsi="Times New Roman"/>
        </w:rPr>
        <w:t xml:space="preserve"> remain unchanged.  </w:t>
      </w:r>
      <w:r w:rsidR="008F780F" w:rsidRPr="000B3621">
        <w:rPr>
          <w:rFonts w:ascii="Times New Roman" w:hAnsi="Times New Roman"/>
          <w:szCs w:val="24"/>
        </w:rPr>
        <w:t xml:space="preserve">The total proposed annual burden for the FR 3016 would decrease </w:t>
      </w:r>
      <w:r w:rsidR="005F0BEE" w:rsidRPr="000B3621">
        <w:rPr>
          <w:rFonts w:ascii="Times New Roman" w:hAnsi="Times New Roman"/>
          <w:szCs w:val="24"/>
        </w:rPr>
        <w:t xml:space="preserve">by </w:t>
      </w:r>
      <w:r w:rsidR="00221E50" w:rsidRPr="000B3621">
        <w:rPr>
          <w:rFonts w:ascii="Times New Roman" w:hAnsi="Times New Roman"/>
          <w:szCs w:val="24"/>
        </w:rPr>
        <w:t xml:space="preserve">50 hours </w:t>
      </w:r>
      <w:r w:rsidR="008F780F" w:rsidRPr="000B3621">
        <w:rPr>
          <w:rFonts w:ascii="Times New Roman" w:hAnsi="Times New Roman"/>
          <w:szCs w:val="24"/>
        </w:rPr>
        <w:t xml:space="preserve">from 683 to </w:t>
      </w:r>
      <w:r w:rsidR="00221E50" w:rsidRPr="000B3621">
        <w:rPr>
          <w:rFonts w:ascii="Times New Roman" w:hAnsi="Times New Roman"/>
          <w:szCs w:val="24"/>
        </w:rPr>
        <w:t>633</w:t>
      </w:r>
      <w:r w:rsidR="00F85D64">
        <w:rPr>
          <w:rFonts w:ascii="Times New Roman" w:hAnsi="Times New Roman"/>
          <w:szCs w:val="24"/>
        </w:rPr>
        <w:t xml:space="preserve"> hours.</w:t>
      </w:r>
    </w:p>
    <w:p w:rsidR="005F0BEE" w:rsidRPr="000B3621" w:rsidRDefault="005F0BEE" w:rsidP="00F85D64">
      <w:pPr>
        <w:rPr>
          <w:rFonts w:ascii="Times New Roman" w:hAnsi="Times New Roman"/>
        </w:rPr>
      </w:pPr>
    </w:p>
    <w:p w:rsidR="00606B3F" w:rsidRDefault="00F601CD" w:rsidP="0079378F">
      <w:pPr>
        <w:widowControl/>
        <w:ind w:firstLine="720"/>
        <w:jc w:val="both"/>
        <w:rPr>
          <w:rFonts w:ascii="Times New Roman" w:hAnsi="Times New Roman"/>
        </w:rPr>
      </w:pPr>
      <w:r w:rsidRPr="000B3621">
        <w:rPr>
          <w:rFonts w:ascii="Times New Roman" w:hAnsi="Times New Roman"/>
        </w:rPr>
        <w:t>The following table shows estimates of current and proposed annual respondent burden.  These estimates are based on the recent experiences of</w:t>
      </w:r>
      <w:r w:rsidR="004A698A" w:rsidRPr="000B3621">
        <w:rPr>
          <w:rFonts w:ascii="Times New Roman" w:hAnsi="Times New Roman"/>
        </w:rPr>
        <w:t xml:space="preserve"> R&amp;S, </w:t>
      </w:r>
      <w:r w:rsidRPr="000B3621">
        <w:rPr>
          <w:rFonts w:ascii="Times New Roman" w:hAnsi="Times New Roman"/>
        </w:rPr>
        <w:t>DCCA</w:t>
      </w:r>
      <w:r w:rsidR="004A698A" w:rsidRPr="000B3621">
        <w:rPr>
          <w:rFonts w:ascii="Times New Roman" w:hAnsi="Times New Roman"/>
        </w:rPr>
        <w:t xml:space="preserve"> and </w:t>
      </w:r>
      <w:r w:rsidR="00063AE3" w:rsidRPr="000B3621">
        <w:rPr>
          <w:rFonts w:ascii="Times New Roman" w:hAnsi="Times New Roman"/>
        </w:rPr>
        <w:t>o</w:t>
      </w:r>
      <w:r w:rsidR="004A698A" w:rsidRPr="000B3621">
        <w:rPr>
          <w:rFonts w:ascii="Times New Roman" w:hAnsi="Times New Roman"/>
        </w:rPr>
        <w:t xml:space="preserve">ther </w:t>
      </w:r>
      <w:r w:rsidR="00063AE3" w:rsidRPr="000B3621">
        <w:rPr>
          <w:rFonts w:ascii="Times New Roman" w:hAnsi="Times New Roman"/>
        </w:rPr>
        <w:t>d</w:t>
      </w:r>
      <w:r w:rsidR="004A698A" w:rsidRPr="000B3621">
        <w:rPr>
          <w:rFonts w:ascii="Times New Roman" w:hAnsi="Times New Roman"/>
        </w:rPr>
        <w:t>ivisions</w:t>
      </w:r>
      <w:r w:rsidRPr="000B3621">
        <w:rPr>
          <w:rFonts w:ascii="Times New Roman" w:hAnsi="Times New Roman"/>
        </w:rPr>
        <w:t>.</w:t>
      </w:r>
      <w:r w:rsidR="004A698A" w:rsidRPr="000B3621">
        <w:rPr>
          <w:rFonts w:ascii="Times New Roman" w:hAnsi="Times New Roman"/>
        </w:rPr>
        <w:t xml:space="preserve">  </w:t>
      </w:r>
      <w:r w:rsidR="00D0054A" w:rsidRPr="000B3621">
        <w:rPr>
          <w:rFonts w:ascii="Times New Roman" w:hAnsi="Times New Roman"/>
        </w:rPr>
        <w:t xml:space="preserve">In total, the divisions anticipate fielding </w:t>
      </w:r>
      <w:r w:rsidRPr="000B3621">
        <w:rPr>
          <w:rFonts w:ascii="Times New Roman" w:hAnsi="Times New Roman"/>
        </w:rPr>
        <w:t xml:space="preserve">17 </w:t>
      </w:r>
      <w:r w:rsidR="00D0054A" w:rsidRPr="000B3621">
        <w:rPr>
          <w:rFonts w:ascii="Times New Roman" w:hAnsi="Times New Roman"/>
        </w:rPr>
        <w:t xml:space="preserve">SRC survey and </w:t>
      </w:r>
      <w:proofErr w:type="gramStart"/>
      <w:r w:rsidR="00987844" w:rsidRPr="000B3621">
        <w:rPr>
          <w:rFonts w:ascii="Times New Roman" w:hAnsi="Times New Roman"/>
        </w:rPr>
        <w:t xml:space="preserve">2 </w:t>
      </w:r>
      <w:r w:rsidR="00063AE3" w:rsidRPr="000B3621">
        <w:rPr>
          <w:rFonts w:ascii="Times New Roman" w:hAnsi="Times New Roman"/>
        </w:rPr>
        <w:t>n</w:t>
      </w:r>
      <w:r w:rsidR="00F10129" w:rsidRPr="000B3621">
        <w:rPr>
          <w:rFonts w:ascii="Times New Roman" w:hAnsi="Times New Roman"/>
        </w:rPr>
        <w:t>on-SRC</w:t>
      </w:r>
      <w:proofErr w:type="gramEnd"/>
      <w:r w:rsidR="00F10129" w:rsidRPr="000B3621">
        <w:rPr>
          <w:rFonts w:ascii="Times New Roman" w:hAnsi="Times New Roman"/>
        </w:rPr>
        <w:t xml:space="preserve"> survey components per year</w:t>
      </w:r>
      <w:r w:rsidR="00D0054A" w:rsidRPr="000B3621">
        <w:rPr>
          <w:rFonts w:ascii="Times New Roman" w:hAnsi="Times New Roman"/>
        </w:rPr>
        <w:t>, although actual usage will depend on the divisions</w:t>
      </w:r>
      <w:r w:rsidR="007203EE" w:rsidRPr="000B3621">
        <w:rPr>
          <w:rFonts w:ascii="Times New Roman" w:hAnsi="Times New Roman"/>
        </w:rPr>
        <w:t>’</w:t>
      </w:r>
      <w:r w:rsidR="00D0054A" w:rsidRPr="000B3621">
        <w:rPr>
          <w:rFonts w:ascii="Times New Roman" w:hAnsi="Times New Roman"/>
        </w:rPr>
        <w:t xml:space="preserve"> needs.  However, the total estimated burden hours will not exceed the amount </w:t>
      </w:r>
      <w:r w:rsidR="002B521F" w:rsidRPr="000B3621">
        <w:rPr>
          <w:rFonts w:ascii="Times New Roman" w:hAnsi="Times New Roman"/>
        </w:rPr>
        <w:t xml:space="preserve">budgeted.  The </w:t>
      </w:r>
      <w:r w:rsidR="005F0BEE" w:rsidRPr="000B3621">
        <w:rPr>
          <w:rFonts w:ascii="Times New Roman" w:hAnsi="Times New Roman"/>
        </w:rPr>
        <w:t>estimated a</w:t>
      </w:r>
      <w:r w:rsidR="002B521F" w:rsidRPr="000B3621">
        <w:rPr>
          <w:rFonts w:ascii="Times New Roman" w:hAnsi="Times New Roman"/>
        </w:rPr>
        <w:t>nnual burden for the FR</w:t>
      </w:r>
      <w:r w:rsidR="0079378F">
        <w:rPr>
          <w:rFonts w:ascii="Times New Roman" w:hAnsi="Times New Roman"/>
        </w:rPr>
        <w:t> </w:t>
      </w:r>
      <w:r w:rsidR="002B521F" w:rsidRPr="000B3621">
        <w:rPr>
          <w:rFonts w:ascii="Times New Roman" w:hAnsi="Times New Roman"/>
        </w:rPr>
        <w:t>3016 represent</w:t>
      </w:r>
      <w:r w:rsidR="005F0BEE" w:rsidRPr="000B3621">
        <w:rPr>
          <w:rFonts w:ascii="Times New Roman" w:hAnsi="Times New Roman"/>
        </w:rPr>
        <w:t>s</w:t>
      </w:r>
      <w:r w:rsidR="002B521F" w:rsidRPr="000B3621">
        <w:rPr>
          <w:rFonts w:ascii="Times New Roman" w:hAnsi="Times New Roman"/>
        </w:rPr>
        <w:t xml:space="preserve"> less than </w:t>
      </w:r>
      <w:r w:rsidR="00D1542C" w:rsidRPr="000B3621">
        <w:rPr>
          <w:rFonts w:ascii="Times New Roman" w:hAnsi="Times New Roman"/>
        </w:rPr>
        <w:t xml:space="preserve">1 </w:t>
      </w:r>
      <w:r w:rsidR="002B521F" w:rsidRPr="000B3621">
        <w:rPr>
          <w:rFonts w:ascii="Times New Roman" w:hAnsi="Times New Roman"/>
        </w:rPr>
        <w:t>percent of total Federal Reserve System paperwork burden.</w:t>
      </w:r>
    </w:p>
    <w:p w:rsidR="00606B3F" w:rsidRDefault="00606B3F">
      <w:pPr>
        <w:widowControl/>
        <w:rPr>
          <w:rFonts w:ascii="Times New Roman" w:hAnsi="Times New Roman"/>
        </w:rPr>
      </w:pPr>
      <w:r>
        <w:rPr>
          <w:rFonts w:ascii="Times New Roman" w:hAnsi="Times New Roman"/>
        </w:rPr>
        <w:br w:type="page"/>
      </w:r>
    </w:p>
    <w:p w:rsidR="00F601CD" w:rsidRPr="000B3621" w:rsidRDefault="00F601CD" w:rsidP="0079378F">
      <w:pPr>
        <w:widowControl/>
        <w:ind w:firstLine="720"/>
        <w:jc w:val="both"/>
        <w:rPr>
          <w:rFonts w:ascii="Times New Roman" w:hAnsi="Times New Roman"/>
        </w:rPr>
      </w:pPr>
    </w:p>
    <w:p w:rsidR="002C44B1" w:rsidRPr="000B3621" w:rsidRDefault="002C44B1" w:rsidP="00D0054A">
      <w:pPr>
        <w:widowControl/>
        <w:tabs>
          <w:tab w:val="left" w:pos="576"/>
          <w:tab w:val="left" w:pos="1008"/>
          <w:tab w:val="left" w:pos="5904"/>
        </w:tabs>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1710"/>
        <w:gridCol w:w="1677"/>
        <w:gridCol w:w="1915"/>
        <w:gridCol w:w="1916"/>
      </w:tblGrid>
      <w:tr w:rsidR="00F601CD" w:rsidRPr="006A4A12" w:rsidTr="006A4A12">
        <w:tc>
          <w:tcPr>
            <w:tcW w:w="2250" w:type="dxa"/>
            <w:tcBorders>
              <w:left w:val="nil"/>
              <w:bottom w:val="nil"/>
              <w:right w:val="nil"/>
            </w:tcBorders>
            <w:vAlign w:val="center"/>
          </w:tcPr>
          <w:p w:rsidR="00F601CD" w:rsidRPr="006A4A12" w:rsidRDefault="00F601CD" w:rsidP="006A4A12">
            <w:pPr>
              <w:widowControl/>
              <w:tabs>
                <w:tab w:val="left" w:pos="576"/>
                <w:tab w:val="left" w:pos="1008"/>
                <w:tab w:val="left" w:pos="5904"/>
              </w:tabs>
              <w:jc w:val="center"/>
              <w:rPr>
                <w:rFonts w:ascii="Times New Roman" w:hAnsi="Times New Roman"/>
                <w:szCs w:val="24"/>
              </w:rPr>
            </w:pPr>
          </w:p>
        </w:tc>
        <w:tc>
          <w:tcPr>
            <w:tcW w:w="1710" w:type="dxa"/>
            <w:tcBorders>
              <w:left w:val="nil"/>
              <w:bottom w:val="nil"/>
              <w:right w:val="nil"/>
            </w:tcBorders>
            <w:vAlign w:val="center"/>
          </w:tcPr>
          <w:p w:rsidR="006A4A12" w:rsidRDefault="00F601CD" w:rsidP="006A4A12">
            <w:pPr>
              <w:widowControl/>
              <w:tabs>
                <w:tab w:val="left" w:pos="576"/>
                <w:tab w:val="left" w:pos="1008"/>
                <w:tab w:val="left" w:pos="5904"/>
              </w:tabs>
              <w:jc w:val="center"/>
              <w:rPr>
                <w:rFonts w:ascii="Times New Roman" w:hAnsi="Times New Roman"/>
                <w:i/>
                <w:szCs w:val="24"/>
              </w:rPr>
            </w:pPr>
            <w:r w:rsidRPr="006A4A12">
              <w:rPr>
                <w:rFonts w:ascii="Times New Roman" w:hAnsi="Times New Roman"/>
                <w:i/>
                <w:szCs w:val="24"/>
              </w:rPr>
              <w:t>Number</w:t>
            </w:r>
          </w:p>
          <w:p w:rsidR="006A4A12" w:rsidRDefault="006A4A12" w:rsidP="006A4A12">
            <w:pPr>
              <w:widowControl/>
              <w:tabs>
                <w:tab w:val="left" w:pos="576"/>
                <w:tab w:val="left" w:pos="1008"/>
                <w:tab w:val="left" w:pos="5904"/>
              </w:tabs>
              <w:jc w:val="center"/>
              <w:rPr>
                <w:rFonts w:ascii="Times New Roman" w:hAnsi="Times New Roman"/>
                <w:i/>
                <w:szCs w:val="24"/>
              </w:rPr>
            </w:pPr>
            <w:r>
              <w:rPr>
                <w:rFonts w:ascii="Times New Roman" w:hAnsi="Times New Roman"/>
                <w:i/>
                <w:szCs w:val="24"/>
              </w:rPr>
              <w:t>o</w:t>
            </w:r>
            <w:r w:rsidR="00F601CD" w:rsidRPr="006A4A12">
              <w:rPr>
                <w:rFonts w:ascii="Times New Roman" w:hAnsi="Times New Roman"/>
                <w:i/>
                <w:szCs w:val="24"/>
              </w:rPr>
              <w:t>f</w:t>
            </w:r>
          </w:p>
          <w:p w:rsidR="00F601CD" w:rsidRPr="006A4A12" w:rsidRDefault="00F601CD" w:rsidP="006A4A12">
            <w:pPr>
              <w:widowControl/>
              <w:tabs>
                <w:tab w:val="left" w:pos="576"/>
                <w:tab w:val="left" w:pos="1008"/>
                <w:tab w:val="left" w:pos="5904"/>
              </w:tabs>
              <w:jc w:val="center"/>
              <w:rPr>
                <w:rFonts w:ascii="Times New Roman" w:hAnsi="Times New Roman"/>
                <w:i/>
                <w:szCs w:val="24"/>
              </w:rPr>
            </w:pPr>
            <w:r w:rsidRPr="006A4A12">
              <w:rPr>
                <w:rFonts w:ascii="Times New Roman" w:hAnsi="Times New Roman"/>
                <w:i/>
                <w:szCs w:val="24"/>
              </w:rPr>
              <w:t>respondents</w:t>
            </w:r>
          </w:p>
        </w:tc>
        <w:tc>
          <w:tcPr>
            <w:tcW w:w="1677" w:type="dxa"/>
            <w:tcBorders>
              <w:left w:val="nil"/>
              <w:bottom w:val="nil"/>
              <w:right w:val="nil"/>
            </w:tcBorders>
            <w:vAlign w:val="center"/>
          </w:tcPr>
          <w:p w:rsidR="00F601CD" w:rsidRPr="006A4A12" w:rsidRDefault="00F601CD" w:rsidP="006A4A12">
            <w:pPr>
              <w:widowControl/>
              <w:tabs>
                <w:tab w:val="left" w:pos="576"/>
                <w:tab w:val="left" w:pos="1008"/>
                <w:tab w:val="left" w:pos="5904"/>
              </w:tabs>
              <w:jc w:val="center"/>
              <w:rPr>
                <w:rFonts w:ascii="Times New Roman" w:hAnsi="Times New Roman"/>
                <w:i/>
                <w:szCs w:val="24"/>
              </w:rPr>
            </w:pPr>
            <w:r w:rsidRPr="006A4A12">
              <w:rPr>
                <w:rFonts w:ascii="Times New Roman" w:hAnsi="Times New Roman"/>
                <w:i/>
                <w:szCs w:val="24"/>
              </w:rPr>
              <w:t>Annual frequency</w:t>
            </w:r>
          </w:p>
        </w:tc>
        <w:tc>
          <w:tcPr>
            <w:tcW w:w="1915" w:type="dxa"/>
            <w:tcBorders>
              <w:left w:val="nil"/>
              <w:bottom w:val="nil"/>
              <w:right w:val="nil"/>
            </w:tcBorders>
            <w:vAlign w:val="center"/>
          </w:tcPr>
          <w:p w:rsidR="00F601CD" w:rsidRPr="006A4A12" w:rsidRDefault="00F601CD" w:rsidP="006A4A12">
            <w:pPr>
              <w:widowControl/>
              <w:tabs>
                <w:tab w:val="left" w:pos="576"/>
                <w:tab w:val="left" w:pos="1008"/>
                <w:tab w:val="left" w:pos="5904"/>
              </w:tabs>
              <w:jc w:val="center"/>
              <w:rPr>
                <w:rFonts w:ascii="Times New Roman" w:hAnsi="Times New Roman"/>
                <w:i/>
                <w:szCs w:val="24"/>
              </w:rPr>
            </w:pPr>
            <w:r w:rsidRPr="006A4A12">
              <w:rPr>
                <w:rFonts w:ascii="Times New Roman" w:hAnsi="Times New Roman"/>
                <w:i/>
                <w:szCs w:val="24"/>
              </w:rPr>
              <w:t>Estimated average minutes per response</w:t>
            </w:r>
          </w:p>
        </w:tc>
        <w:tc>
          <w:tcPr>
            <w:tcW w:w="1916" w:type="dxa"/>
            <w:tcBorders>
              <w:left w:val="nil"/>
              <w:bottom w:val="nil"/>
              <w:right w:val="nil"/>
            </w:tcBorders>
            <w:vAlign w:val="center"/>
          </w:tcPr>
          <w:p w:rsidR="006A4A12" w:rsidRDefault="00F601CD" w:rsidP="006A4A12">
            <w:pPr>
              <w:widowControl/>
              <w:tabs>
                <w:tab w:val="left" w:pos="576"/>
                <w:tab w:val="left" w:pos="1008"/>
                <w:tab w:val="left" w:pos="5904"/>
              </w:tabs>
              <w:jc w:val="center"/>
              <w:rPr>
                <w:rFonts w:ascii="Times New Roman" w:hAnsi="Times New Roman"/>
                <w:i/>
                <w:szCs w:val="24"/>
              </w:rPr>
            </w:pPr>
            <w:r w:rsidRPr="006A4A12">
              <w:rPr>
                <w:rFonts w:ascii="Times New Roman" w:hAnsi="Times New Roman"/>
                <w:i/>
                <w:szCs w:val="24"/>
              </w:rPr>
              <w:t>Estimated</w:t>
            </w:r>
          </w:p>
          <w:p w:rsidR="006A4A12" w:rsidRDefault="00F601CD" w:rsidP="006A4A12">
            <w:pPr>
              <w:widowControl/>
              <w:tabs>
                <w:tab w:val="left" w:pos="576"/>
                <w:tab w:val="left" w:pos="1008"/>
                <w:tab w:val="left" w:pos="5904"/>
              </w:tabs>
              <w:jc w:val="center"/>
              <w:rPr>
                <w:rFonts w:ascii="Times New Roman" w:hAnsi="Times New Roman"/>
                <w:i/>
                <w:szCs w:val="24"/>
              </w:rPr>
            </w:pPr>
            <w:r w:rsidRPr="006A4A12">
              <w:rPr>
                <w:rFonts w:ascii="Times New Roman" w:hAnsi="Times New Roman"/>
                <w:i/>
                <w:szCs w:val="24"/>
              </w:rPr>
              <w:t>annual</w:t>
            </w:r>
          </w:p>
          <w:p w:rsidR="00F601CD" w:rsidRPr="006A4A12" w:rsidRDefault="00F601CD" w:rsidP="006A4A12">
            <w:pPr>
              <w:widowControl/>
              <w:tabs>
                <w:tab w:val="left" w:pos="576"/>
                <w:tab w:val="left" w:pos="1008"/>
                <w:tab w:val="left" w:pos="5904"/>
              </w:tabs>
              <w:jc w:val="center"/>
              <w:rPr>
                <w:rFonts w:ascii="Times New Roman" w:hAnsi="Times New Roman"/>
                <w:i/>
                <w:szCs w:val="24"/>
              </w:rPr>
            </w:pPr>
            <w:r w:rsidRPr="006A4A12">
              <w:rPr>
                <w:rFonts w:ascii="Times New Roman" w:hAnsi="Times New Roman"/>
                <w:i/>
                <w:szCs w:val="24"/>
              </w:rPr>
              <w:t>burden hours</w:t>
            </w:r>
          </w:p>
        </w:tc>
      </w:tr>
      <w:tr w:rsidR="00F601CD" w:rsidRPr="006A4A12" w:rsidTr="00EE3E16">
        <w:tc>
          <w:tcPr>
            <w:tcW w:w="2250" w:type="dxa"/>
            <w:tcBorders>
              <w:top w:val="nil"/>
              <w:left w:val="nil"/>
              <w:bottom w:val="nil"/>
              <w:right w:val="nil"/>
            </w:tcBorders>
          </w:tcPr>
          <w:p w:rsidR="00F601CD" w:rsidRPr="006A4A12" w:rsidRDefault="00F601CD" w:rsidP="005F0BEE">
            <w:pPr>
              <w:widowControl/>
              <w:tabs>
                <w:tab w:val="left" w:pos="576"/>
                <w:tab w:val="left" w:pos="1008"/>
                <w:tab w:val="left" w:pos="5904"/>
              </w:tabs>
              <w:rPr>
                <w:rFonts w:ascii="Times New Roman" w:hAnsi="Times New Roman"/>
                <w:b/>
                <w:szCs w:val="24"/>
              </w:rPr>
            </w:pPr>
            <w:r w:rsidRPr="006A4A12">
              <w:rPr>
                <w:rFonts w:ascii="Times New Roman" w:hAnsi="Times New Roman"/>
                <w:b/>
                <w:szCs w:val="24"/>
              </w:rPr>
              <w:t xml:space="preserve">Current </w:t>
            </w:r>
          </w:p>
        </w:tc>
        <w:tc>
          <w:tcPr>
            <w:tcW w:w="1710" w:type="dxa"/>
            <w:tcBorders>
              <w:top w:val="nil"/>
              <w:left w:val="nil"/>
              <w:bottom w:val="nil"/>
              <w:right w:val="nil"/>
            </w:tcBorders>
          </w:tcPr>
          <w:p w:rsidR="00F601CD" w:rsidRPr="006A4A12" w:rsidRDefault="00F601CD" w:rsidP="00F601CD">
            <w:pPr>
              <w:widowControl/>
              <w:tabs>
                <w:tab w:val="left" w:pos="576"/>
                <w:tab w:val="left" w:pos="1008"/>
                <w:tab w:val="left" w:pos="5904"/>
              </w:tabs>
              <w:rPr>
                <w:rFonts w:ascii="Times New Roman" w:hAnsi="Times New Roman"/>
                <w:szCs w:val="24"/>
              </w:rPr>
            </w:pPr>
          </w:p>
        </w:tc>
        <w:tc>
          <w:tcPr>
            <w:tcW w:w="1677" w:type="dxa"/>
            <w:tcBorders>
              <w:top w:val="nil"/>
              <w:left w:val="nil"/>
              <w:bottom w:val="nil"/>
              <w:right w:val="nil"/>
            </w:tcBorders>
          </w:tcPr>
          <w:p w:rsidR="00F601CD" w:rsidRPr="006A4A12" w:rsidRDefault="00F601CD" w:rsidP="00F601CD">
            <w:pPr>
              <w:widowControl/>
              <w:tabs>
                <w:tab w:val="left" w:pos="576"/>
                <w:tab w:val="left" w:pos="1008"/>
                <w:tab w:val="left" w:pos="5904"/>
              </w:tabs>
              <w:rPr>
                <w:rFonts w:ascii="Times New Roman" w:hAnsi="Times New Roman"/>
                <w:szCs w:val="24"/>
              </w:rPr>
            </w:pPr>
          </w:p>
        </w:tc>
        <w:tc>
          <w:tcPr>
            <w:tcW w:w="1915" w:type="dxa"/>
            <w:tcBorders>
              <w:top w:val="nil"/>
              <w:left w:val="nil"/>
              <w:bottom w:val="nil"/>
              <w:right w:val="nil"/>
            </w:tcBorders>
          </w:tcPr>
          <w:p w:rsidR="00F601CD" w:rsidRPr="006A4A12" w:rsidRDefault="00F601CD" w:rsidP="00F601CD">
            <w:pPr>
              <w:widowControl/>
              <w:tabs>
                <w:tab w:val="left" w:pos="576"/>
                <w:tab w:val="left" w:pos="1008"/>
                <w:tab w:val="left" w:pos="5904"/>
              </w:tabs>
              <w:rPr>
                <w:rFonts w:ascii="Times New Roman" w:hAnsi="Times New Roman"/>
                <w:szCs w:val="24"/>
              </w:rPr>
            </w:pPr>
          </w:p>
        </w:tc>
        <w:tc>
          <w:tcPr>
            <w:tcW w:w="1916" w:type="dxa"/>
            <w:tcBorders>
              <w:top w:val="nil"/>
              <w:left w:val="nil"/>
              <w:bottom w:val="nil"/>
              <w:right w:val="nil"/>
            </w:tcBorders>
          </w:tcPr>
          <w:p w:rsidR="00F601CD" w:rsidRPr="006A4A12" w:rsidRDefault="00F601CD" w:rsidP="00F601CD">
            <w:pPr>
              <w:widowControl/>
              <w:tabs>
                <w:tab w:val="left" w:pos="576"/>
                <w:tab w:val="left" w:pos="1008"/>
                <w:tab w:val="left" w:pos="5904"/>
              </w:tabs>
              <w:rPr>
                <w:rFonts w:ascii="Times New Roman" w:hAnsi="Times New Roman"/>
                <w:szCs w:val="24"/>
              </w:rPr>
            </w:pPr>
          </w:p>
        </w:tc>
      </w:tr>
      <w:tr w:rsidR="00F601CD" w:rsidRPr="006A4A12" w:rsidTr="006A4A12">
        <w:trPr>
          <w:trHeight w:val="276"/>
        </w:trPr>
        <w:tc>
          <w:tcPr>
            <w:tcW w:w="2250" w:type="dxa"/>
            <w:tcBorders>
              <w:top w:val="nil"/>
              <w:left w:val="nil"/>
              <w:bottom w:val="nil"/>
              <w:right w:val="nil"/>
            </w:tcBorders>
          </w:tcPr>
          <w:p w:rsidR="00F601CD" w:rsidRPr="006A4A12" w:rsidRDefault="00F601CD" w:rsidP="00F601CD">
            <w:pPr>
              <w:widowControl/>
              <w:tabs>
                <w:tab w:val="left" w:pos="576"/>
                <w:tab w:val="left" w:pos="1008"/>
                <w:tab w:val="left" w:pos="5904"/>
              </w:tabs>
              <w:rPr>
                <w:rFonts w:ascii="Times New Roman" w:hAnsi="Times New Roman"/>
                <w:szCs w:val="24"/>
              </w:rPr>
            </w:pPr>
            <w:r w:rsidRPr="006A4A12">
              <w:rPr>
                <w:rFonts w:ascii="Times New Roman" w:hAnsi="Times New Roman"/>
                <w:szCs w:val="24"/>
              </w:rPr>
              <w:t>R&amp;S</w:t>
            </w:r>
          </w:p>
        </w:tc>
        <w:tc>
          <w:tcPr>
            <w:tcW w:w="1710" w:type="dxa"/>
            <w:tcBorders>
              <w:top w:val="nil"/>
              <w:left w:val="nil"/>
              <w:bottom w:val="nil"/>
              <w:right w:val="nil"/>
            </w:tcBorders>
          </w:tcPr>
          <w:p w:rsidR="00F601CD" w:rsidRPr="006A4A12" w:rsidRDefault="00F601CD" w:rsidP="00F601CD">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500</w:t>
            </w:r>
          </w:p>
        </w:tc>
        <w:tc>
          <w:tcPr>
            <w:tcW w:w="1677" w:type="dxa"/>
            <w:tcBorders>
              <w:top w:val="nil"/>
              <w:left w:val="nil"/>
              <w:bottom w:val="nil"/>
              <w:right w:val="nil"/>
            </w:tcBorders>
          </w:tcPr>
          <w:p w:rsidR="00F601CD" w:rsidRPr="006A4A12" w:rsidRDefault="00F601CD" w:rsidP="00F601CD">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12</w:t>
            </w:r>
          </w:p>
        </w:tc>
        <w:tc>
          <w:tcPr>
            <w:tcW w:w="1915" w:type="dxa"/>
            <w:tcBorders>
              <w:top w:val="nil"/>
              <w:left w:val="nil"/>
              <w:bottom w:val="nil"/>
              <w:right w:val="nil"/>
            </w:tcBorders>
            <w:vAlign w:val="center"/>
          </w:tcPr>
          <w:p w:rsidR="00F601CD" w:rsidRPr="006A4A12" w:rsidRDefault="00F601CD" w:rsidP="00F601CD">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1.58 minutes</w:t>
            </w:r>
          </w:p>
        </w:tc>
        <w:tc>
          <w:tcPr>
            <w:tcW w:w="1916" w:type="dxa"/>
            <w:tcBorders>
              <w:top w:val="nil"/>
              <w:left w:val="nil"/>
              <w:bottom w:val="nil"/>
              <w:right w:val="nil"/>
            </w:tcBorders>
          </w:tcPr>
          <w:p w:rsidR="00F601CD" w:rsidRPr="006A4A12" w:rsidRDefault="00F601CD" w:rsidP="00F601CD">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158</w:t>
            </w:r>
          </w:p>
        </w:tc>
      </w:tr>
      <w:tr w:rsidR="00F601CD" w:rsidRPr="006A4A12" w:rsidTr="006A4A12">
        <w:trPr>
          <w:trHeight w:val="276"/>
        </w:trPr>
        <w:tc>
          <w:tcPr>
            <w:tcW w:w="2250" w:type="dxa"/>
            <w:tcBorders>
              <w:top w:val="nil"/>
              <w:left w:val="nil"/>
              <w:bottom w:val="nil"/>
              <w:right w:val="nil"/>
            </w:tcBorders>
          </w:tcPr>
          <w:p w:rsidR="00F601CD" w:rsidRPr="006A4A12" w:rsidRDefault="00F601CD" w:rsidP="00F601CD">
            <w:pPr>
              <w:widowControl/>
              <w:tabs>
                <w:tab w:val="left" w:pos="576"/>
                <w:tab w:val="left" w:pos="1008"/>
                <w:tab w:val="left" w:pos="5904"/>
              </w:tabs>
              <w:rPr>
                <w:rFonts w:ascii="Times New Roman" w:hAnsi="Times New Roman"/>
                <w:szCs w:val="24"/>
              </w:rPr>
            </w:pPr>
            <w:r w:rsidRPr="006A4A12">
              <w:rPr>
                <w:rFonts w:ascii="Times New Roman" w:hAnsi="Times New Roman"/>
                <w:szCs w:val="24"/>
              </w:rPr>
              <w:t>DCCA</w:t>
            </w:r>
          </w:p>
        </w:tc>
        <w:tc>
          <w:tcPr>
            <w:tcW w:w="1710" w:type="dxa"/>
            <w:tcBorders>
              <w:top w:val="nil"/>
              <w:left w:val="nil"/>
              <w:bottom w:val="nil"/>
              <w:right w:val="nil"/>
            </w:tcBorders>
          </w:tcPr>
          <w:p w:rsidR="00F601CD" w:rsidRPr="006A4A12" w:rsidRDefault="00F601CD" w:rsidP="00F601CD">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500</w:t>
            </w:r>
          </w:p>
        </w:tc>
        <w:tc>
          <w:tcPr>
            <w:tcW w:w="1677" w:type="dxa"/>
            <w:tcBorders>
              <w:top w:val="nil"/>
              <w:left w:val="nil"/>
              <w:bottom w:val="nil"/>
              <w:right w:val="nil"/>
            </w:tcBorders>
          </w:tcPr>
          <w:p w:rsidR="00F601CD" w:rsidRPr="006A4A12" w:rsidRDefault="00F601CD" w:rsidP="00F601CD">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4</w:t>
            </w:r>
          </w:p>
        </w:tc>
        <w:tc>
          <w:tcPr>
            <w:tcW w:w="1915" w:type="dxa"/>
            <w:tcBorders>
              <w:top w:val="nil"/>
              <w:left w:val="nil"/>
              <w:bottom w:val="nil"/>
              <w:right w:val="nil"/>
            </w:tcBorders>
            <w:vAlign w:val="center"/>
          </w:tcPr>
          <w:p w:rsidR="00F601CD" w:rsidRPr="006A4A12" w:rsidRDefault="00F601CD" w:rsidP="00F601CD">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3 minutes</w:t>
            </w:r>
          </w:p>
        </w:tc>
        <w:tc>
          <w:tcPr>
            <w:tcW w:w="1916" w:type="dxa"/>
            <w:tcBorders>
              <w:top w:val="nil"/>
              <w:left w:val="nil"/>
              <w:bottom w:val="nil"/>
              <w:right w:val="nil"/>
            </w:tcBorders>
          </w:tcPr>
          <w:p w:rsidR="00F601CD" w:rsidRPr="006A4A12" w:rsidRDefault="00F601CD" w:rsidP="00F601CD">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100</w:t>
            </w:r>
          </w:p>
        </w:tc>
      </w:tr>
      <w:tr w:rsidR="00F601CD" w:rsidRPr="006A4A12" w:rsidTr="006A4A12">
        <w:trPr>
          <w:trHeight w:val="276"/>
        </w:trPr>
        <w:tc>
          <w:tcPr>
            <w:tcW w:w="2250" w:type="dxa"/>
            <w:tcBorders>
              <w:top w:val="nil"/>
              <w:left w:val="nil"/>
              <w:bottom w:val="nil"/>
              <w:right w:val="nil"/>
            </w:tcBorders>
          </w:tcPr>
          <w:p w:rsidR="00F601CD" w:rsidRPr="006A4A12" w:rsidRDefault="00F601CD" w:rsidP="00F601CD">
            <w:pPr>
              <w:widowControl/>
              <w:tabs>
                <w:tab w:val="left" w:pos="576"/>
                <w:tab w:val="left" w:pos="1008"/>
                <w:tab w:val="left" w:pos="5904"/>
              </w:tabs>
              <w:rPr>
                <w:rFonts w:ascii="Times New Roman" w:hAnsi="Times New Roman"/>
                <w:szCs w:val="24"/>
              </w:rPr>
            </w:pPr>
            <w:r w:rsidRPr="006A4A12">
              <w:rPr>
                <w:rFonts w:ascii="Times New Roman" w:hAnsi="Times New Roman"/>
                <w:szCs w:val="24"/>
              </w:rPr>
              <w:t>Other divisions</w:t>
            </w:r>
          </w:p>
        </w:tc>
        <w:tc>
          <w:tcPr>
            <w:tcW w:w="1710" w:type="dxa"/>
            <w:tcBorders>
              <w:top w:val="nil"/>
              <w:left w:val="nil"/>
              <w:bottom w:val="nil"/>
              <w:right w:val="nil"/>
            </w:tcBorders>
          </w:tcPr>
          <w:p w:rsidR="00F601CD" w:rsidRPr="006A4A12" w:rsidRDefault="00F601CD" w:rsidP="00F601CD">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500</w:t>
            </w:r>
          </w:p>
        </w:tc>
        <w:tc>
          <w:tcPr>
            <w:tcW w:w="1677" w:type="dxa"/>
            <w:tcBorders>
              <w:top w:val="nil"/>
              <w:left w:val="nil"/>
              <w:bottom w:val="nil"/>
              <w:right w:val="nil"/>
            </w:tcBorders>
          </w:tcPr>
          <w:p w:rsidR="00F601CD" w:rsidRPr="006A4A12" w:rsidRDefault="00F601CD" w:rsidP="00F601CD">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3</w:t>
            </w:r>
          </w:p>
        </w:tc>
        <w:tc>
          <w:tcPr>
            <w:tcW w:w="1915" w:type="dxa"/>
            <w:tcBorders>
              <w:top w:val="nil"/>
              <w:left w:val="nil"/>
              <w:bottom w:val="nil"/>
              <w:right w:val="nil"/>
            </w:tcBorders>
            <w:vAlign w:val="center"/>
          </w:tcPr>
          <w:p w:rsidR="00F601CD" w:rsidRPr="006A4A12" w:rsidRDefault="00F601CD" w:rsidP="00F601CD">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5 minutes</w:t>
            </w:r>
          </w:p>
        </w:tc>
        <w:tc>
          <w:tcPr>
            <w:tcW w:w="1916" w:type="dxa"/>
            <w:tcBorders>
              <w:top w:val="nil"/>
              <w:left w:val="nil"/>
              <w:bottom w:val="nil"/>
              <w:right w:val="nil"/>
            </w:tcBorders>
          </w:tcPr>
          <w:p w:rsidR="00F601CD" w:rsidRPr="006A4A12" w:rsidRDefault="00F601CD" w:rsidP="00F601CD">
            <w:pPr>
              <w:widowControl/>
              <w:tabs>
                <w:tab w:val="left" w:pos="576"/>
                <w:tab w:val="left" w:pos="1008"/>
                <w:tab w:val="left" w:pos="5904"/>
              </w:tabs>
              <w:jc w:val="center"/>
              <w:rPr>
                <w:rFonts w:ascii="Times New Roman" w:hAnsi="Times New Roman"/>
                <w:szCs w:val="24"/>
                <w:u w:val="single"/>
              </w:rPr>
            </w:pPr>
            <w:r w:rsidRPr="006A4A12">
              <w:rPr>
                <w:rFonts w:ascii="Times New Roman" w:hAnsi="Times New Roman"/>
                <w:szCs w:val="24"/>
                <w:u w:val="single"/>
              </w:rPr>
              <w:t>125</w:t>
            </w:r>
          </w:p>
        </w:tc>
      </w:tr>
      <w:tr w:rsidR="001F5AC7" w:rsidRPr="006A4A12" w:rsidTr="006A4A12">
        <w:trPr>
          <w:trHeight w:val="276"/>
        </w:trPr>
        <w:tc>
          <w:tcPr>
            <w:tcW w:w="2250" w:type="dxa"/>
            <w:tcBorders>
              <w:top w:val="nil"/>
              <w:left w:val="nil"/>
              <w:bottom w:val="nil"/>
              <w:right w:val="nil"/>
            </w:tcBorders>
          </w:tcPr>
          <w:p w:rsidR="001F5AC7" w:rsidRPr="006A4A12" w:rsidRDefault="005305A3" w:rsidP="005305A3">
            <w:pPr>
              <w:widowControl/>
              <w:tabs>
                <w:tab w:val="left" w:pos="576"/>
                <w:tab w:val="left" w:pos="1008"/>
                <w:tab w:val="left" w:pos="5904"/>
              </w:tabs>
              <w:jc w:val="right"/>
              <w:rPr>
                <w:rFonts w:ascii="Times New Roman" w:hAnsi="Times New Roman"/>
                <w:i/>
                <w:szCs w:val="24"/>
              </w:rPr>
            </w:pPr>
            <w:r w:rsidRPr="006A4A12">
              <w:rPr>
                <w:rFonts w:ascii="Times New Roman" w:hAnsi="Times New Roman"/>
                <w:i/>
                <w:szCs w:val="24"/>
              </w:rPr>
              <w:t xml:space="preserve">       Subt</w:t>
            </w:r>
            <w:r w:rsidR="001F5AC7" w:rsidRPr="006A4A12">
              <w:rPr>
                <w:rFonts w:ascii="Times New Roman" w:hAnsi="Times New Roman"/>
                <w:i/>
                <w:szCs w:val="24"/>
              </w:rPr>
              <w:t>otal</w:t>
            </w:r>
          </w:p>
        </w:tc>
        <w:tc>
          <w:tcPr>
            <w:tcW w:w="1710" w:type="dxa"/>
            <w:tcBorders>
              <w:top w:val="nil"/>
              <w:left w:val="nil"/>
              <w:bottom w:val="nil"/>
              <w:right w:val="nil"/>
            </w:tcBorders>
          </w:tcPr>
          <w:p w:rsidR="001F5AC7" w:rsidRPr="006A4A12" w:rsidRDefault="001F5AC7" w:rsidP="005305A3">
            <w:pPr>
              <w:widowControl/>
              <w:tabs>
                <w:tab w:val="left" w:pos="576"/>
                <w:tab w:val="left" w:pos="1008"/>
                <w:tab w:val="left" w:pos="5904"/>
              </w:tabs>
              <w:jc w:val="center"/>
              <w:rPr>
                <w:rFonts w:ascii="Times New Roman" w:hAnsi="Times New Roman"/>
                <w:szCs w:val="24"/>
              </w:rPr>
            </w:pPr>
          </w:p>
        </w:tc>
        <w:tc>
          <w:tcPr>
            <w:tcW w:w="1677" w:type="dxa"/>
            <w:tcBorders>
              <w:top w:val="nil"/>
              <w:left w:val="nil"/>
              <w:bottom w:val="nil"/>
              <w:right w:val="nil"/>
            </w:tcBorders>
          </w:tcPr>
          <w:p w:rsidR="001F5AC7" w:rsidRPr="006A4A12" w:rsidRDefault="001F5AC7" w:rsidP="005305A3">
            <w:pPr>
              <w:widowControl/>
              <w:tabs>
                <w:tab w:val="left" w:pos="576"/>
                <w:tab w:val="left" w:pos="1008"/>
                <w:tab w:val="left" w:pos="5904"/>
              </w:tabs>
              <w:jc w:val="center"/>
              <w:rPr>
                <w:rFonts w:ascii="Times New Roman" w:hAnsi="Times New Roman"/>
                <w:szCs w:val="24"/>
              </w:rPr>
            </w:pPr>
          </w:p>
        </w:tc>
        <w:tc>
          <w:tcPr>
            <w:tcW w:w="1915" w:type="dxa"/>
            <w:tcBorders>
              <w:top w:val="nil"/>
              <w:left w:val="nil"/>
              <w:bottom w:val="nil"/>
              <w:right w:val="nil"/>
            </w:tcBorders>
          </w:tcPr>
          <w:p w:rsidR="001F5AC7" w:rsidRPr="006A4A12" w:rsidRDefault="001F5AC7" w:rsidP="005305A3">
            <w:pPr>
              <w:widowControl/>
              <w:tabs>
                <w:tab w:val="left" w:pos="576"/>
                <w:tab w:val="left" w:pos="1008"/>
                <w:tab w:val="left" w:pos="5904"/>
              </w:tabs>
              <w:jc w:val="center"/>
              <w:rPr>
                <w:rFonts w:ascii="Times New Roman" w:hAnsi="Times New Roman"/>
                <w:szCs w:val="24"/>
              </w:rPr>
            </w:pPr>
          </w:p>
        </w:tc>
        <w:tc>
          <w:tcPr>
            <w:tcW w:w="1916" w:type="dxa"/>
            <w:tcBorders>
              <w:top w:val="nil"/>
              <w:left w:val="nil"/>
              <w:bottom w:val="nil"/>
              <w:right w:val="nil"/>
            </w:tcBorders>
          </w:tcPr>
          <w:p w:rsidR="001F5AC7" w:rsidRPr="006A4A12" w:rsidRDefault="005305A3" w:rsidP="005305A3">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383</w:t>
            </w:r>
          </w:p>
        </w:tc>
      </w:tr>
      <w:tr w:rsidR="008F780F" w:rsidRPr="006A4A12" w:rsidTr="006A4A12">
        <w:trPr>
          <w:trHeight w:val="276"/>
        </w:trPr>
        <w:tc>
          <w:tcPr>
            <w:tcW w:w="2250" w:type="dxa"/>
            <w:tcBorders>
              <w:top w:val="nil"/>
              <w:left w:val="nil"/>
              <w:bottom w:val="nil"/>
              <w:right w:val="nil"/>
            </w:tcBorders>
          </w:tcPr>
          <w:p w:rsidR="008F780F" w:rsidRPr="006A4A12" w:rsidRDefault="008F780F" w:rsidP="00F96404">
            <w:pPr>
              <w:widowControl/>
              <w:tabs>
                <w:tab w:val="left" w:pos="576"/>
                <w:tab w:val="left" w:pos="1008"/>
                <w:tab w:val="left" w:pos="5904"/>
              </w:tabs>
              <w:rPr>
                <w:rFonts w:ascii="Times New Roman" w:hAnsi="Times New Roman"/>
                <w:szCs w:val="24"/>
              </w:rPr>
            </w:pPr>
            <w:r w:rsidRPr="006A4A12">
              <w:rPr>
                <w:rFonts w:ascii="Times New Roman" w:hAnsi="Times New Roman"/>
                <w:szCs w:val="24"/>
              </w:rPr>
              <w:t>Non-SRC surveys</w:t>
            </w:r>
          </w:p>
        </w:tc>
        <w:tc>
          <w:tcPr>
            <w:tcW w:w="1710" w:type="dxa"/>
            <w:tcBorders>
              <w:top w:val="nil"/>
              <w:left w:val="nil"/>
              <w:bottom w:val="nil"/>
              <w:right w:val="nil"/>
            </w:tcBorders>
          </w:tcPr>
          <w:p w:rsidR="008F780F" w:rsidRPr="006A4A12" w:rsidRDefault="008F780F" w:rsidP="00F96404">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100</w:t>
            </w:r>
          </w:p>
        </w:tc>
        <w:tc>
          <w:tcPr>
            <w:tcW w:w="1677" w:type="dxa"/>
            <w:tcBorders>
              <w:top w:val="nil"/>
              <w:left w:val="nil"/>
              <w:bottom w:val="nil"/>
              <w:right w:val="nil"/>
            </w:tcBorders>
          </w:tcPr>
          <w:p w:rsidR="008F780F" w:rsidRPr="006A4A12" w:rsidRDefault="008F780F" w:rsidP="00F96404">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2</w:t>
            </w:r>
          </w:p>
        </w:tc>
        <w:tc>
          <w:tcPr>
            <w:tcW w:w="1915" w:type="dxa"/>
            <w:tcBorders>
              <w:top w:val="nil"/>
              <w:left w:val="nil"/>
              <w:bottom w:val="nil"/>
              <w:right w:val="nil"/>
            </w:tcBorders>
          </w:tcPr>
          <w:p w:rsidR="008F780F" w:rsidRPr="006A4A12" w:rsidRDefault="008F780F" w:rsidP="00F96404">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90 minutes</w:t>
            </w:r>
          </w:p>
        </w:tc>
        <w:tc>
          <w:tcPr>
            <w:tcW w:w="1916" w:type="dxa"/>
            <w:tcBorders>
              <w:top w:val="nil"/>
              <w:left w:val="nil"/>
              <w:bottom w:val="nil"/>
              <w:right w:val="nil"/>
            </w:tcBorders>
          </w:tcPr>
          <w:p w:rsidR="008F780F" w:rsidRPr="006A4A12" w:rsidRDefault="008F780F" w:rsidP="00F96404">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u w:val="single"/>
              </w:rPr>
              <w:t>300</w:t>
            </w:r>
          </w:p>
        </w:tc>
      </w:tr>
      <w:tr w:rsidR="008F780F" w:rsidRPr="006A4A12" w:rsidTr="00EE3E16">
        <w:tc>
          <w:tcPr>
            <w:tcW w:w="2250" w:type="dxa"/>
            <w:tcBorders>
              <w:top w:val="nil"/>
              <w:left w:val="nil"/>
              <w:bottom w:val="nil"/>
              <w:right w:val="nil"/>
            </w:tcBorders>
          </w:tcPr>
          <w:p w:rsidR="008F780F" w:rsidRPr="006A4A12" w:rsidRDefault="008F780F" w:rsidP="00F601CD">
            <w:pPr>
              <w:widowControl/>
              <w:tabs>
                <w:tab w:val="left" w:pos="576"/>
                <w:tab w:val="left" w:pos="1008"/>
                <w:tab w:val="left" w:pos="5904"/>
              </w:tabs>
              <w:jc w:val="right"/>
              <w:rPr>
                <w:rFonts w:ascii="Times New Roman" w:hAnsi="Times New Roman"/>
                <w:i/>
                <w:szCs w:val="24"/>
              </w:rPr>
            </w:pPr>
          </w:p>
        </w:tc>
        <w:tc>
          <w:tcPr>
            <w:tcW w:w="1710" w:type="dxa"/>
            <w:tcBorders>
              <w:top w:val="nil"/>
              <w:left w:val="nil"/>
              <w:bottom w:val="nil"/>
              <w:right w:val="nil"/>
            </w:tcBorders>
          </w:tcPr>
          <w:p w:rsidR="008F780F" w:rsidRPr="006A4A12" w:rsidRDefault="008F780F" w:rsidP="005305A3">
            <w:pPr>
              <w:widowControl/>
              <w:tabs>
                <w:tab w:val="left" w:pos="576"/>
                <w:tab w:val="left" w:pos="1008"/>
                <w:tab w:val="left" w:pos="5904"/>
              </w:tabs>
              <w:jc w:val="center"/>
              <w:rPr>
                <w:rFonts w:ascii="Times New Roman" w:hAnsi="Times New Roman"/>
                <w:szCs w:val="24"/>
              </w:rPr>
            </w:pPr>
          </w:p>
        </w:tc>
        <w:tc>
          <w:tcPr>
            <w:tcW w:w="1677" w:type="dxa"/>
            <w:tcBorders>
              <w:top w:val="nil"/>
              <w:left w:val="nil"/>
              <w:bottom w:val="nil"/>
              <w:right w:val="nil"/>
            </w:tcBorders>
          </w:tcPr>
          <w:p w:rsidR="008F780F" w:rsidRPr="006A4A12" w:rsidRDefault="008F780F" w:rsidP="005305A3">
            <w:pPr>
              <w:widowControl/>
              <w:tabs>
                <w:tab w:val="left" w:pos="576"/>
                <w:tab w:val="left" w:pos="1008"/>
                <w:tab w:val="left" w:pos="5904"/>
              </w:tabs>
              <w:jc w:val="center"/>
              <w:rPr>
                <w:rFonts w:ascii="Times New Roman" w:hAnsi="Times New Roman"/>
                <w:szCs w:val="24"/>
              </w:rPr>
            </w:pPr>
          </w:p>
        </w:tc>
        <w:tc>
          <w:tcPr>
            <w:tcW w:w="1915" w:type="dxa"/>
            <w:tcBorders>
              <w:top w:val="nil"/>
              <w:left w:val="nil"/>
              <w:bottom w:val="nil"/>
              <w:right w:val="nil"/>
            </w:tcBorders>
          </w:tcPr>
          <w:p w:rsidR="008F780F" w:rsidRPr="006A4A12" w:rsidRDefault="008F780F" w:rsidP="005305A3">
            <w:pPr>
              <w:widowControl/>
              <w:tabs>
                <w:tab w:val="left" w:pos="576"/>
                <w:tab w:val="left" w:pos="1008"/>
                <w:tab w:val="left" w:pos="5904"/>
              </w:tabs>
              <w:jc w:val="center"/>
              <w:rPr>
                <w:rFonts w:ascii="Times New Roman" w:hAnsi="Times New Roman"/>
                <w:szCs w:val="24"/>
              </w:rPr>
            </w:pPr>
          </w:p>
        </w:tc>
        <w:tc>
          <w:tcPr>
            <w:tcW w:w="1916" w:type="dxa"/>
            <w:tcBorders>
              <w:top w:val="nil"/>
              <w:left w:val="nil"/>
              <w:bottom w:val="nil"/>
              <w:right w:val="nil"/>
            </w:tcBorders>
          </w:tcPr>
          <w:p w:rsidR="008F780F" w:rsidRPr="006A4A12" w:rsidRDefault="008F780F" w:rsidP="005305A3">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683</w:t>
            </w:r>
          </w:p>
        </w:tc>
      </w:tr>
      <w:tr w:rsidR="008F780F" w:rsidRPr="006A4A12" w:rsidTr="006A4A12">
        <w:trPr>
          <w:trHeight w:val="285"/>
        </w:trPr>
        <w:tc>
          <w:tcPr>
            <w:tcW w:w="2250" w:type="dxa"/>
            <w:tcBorders>
              <w:top w:val="nil"/>
              <w:left w:val="nil"/>
              <w:bottom w:val="nil"/>
              <w:right w:val="nil"/>
            </w:tcBorders>
          </w:tcPr>
          <w:p w:rsidR="008F780F" w:rsidRPr="006A4A12" w:rsidRDefault="008F780F" w:rsidP="005F0BEE">
            <w:pPr>
              <w:widowControl/>
              <w:tabs>
                <w:tab w:val="left" w:pos="576"/>
                <w:tab w:val="left" w:pos="1008"/>
                <w:tab w:val="left" w:pos="5904"/>
              </w:tabs>
              <w:rPr>
                <w:rFonts w:ascii="Times New Roman" w:hAnsi="Times New Roman"/>
                <w:b/>
                <w:szCs w:val="24"/>
              </w:rPr>
            </w:pPr>
            <w:r w:rsidRPr="006A4A12">
              <w:rPr>
                <w:rFonts w:ascii="Times New Roman" w:hAnsi="Times New Roman"/>
                <w:b/>
                <w:szCs w:val="24"/>
              </w:rPr>
              <w:t xml:space="preserve">Proposed </w:t>
            </w:r>
          </w:p>
        </w:tc>
        <w:tc>
          <w:tcPr>
            <w:tcW w:w="1710" w:type="dxa"/>
            <w:tcBorders>
              <w:top w:val="nil"/>
              <w:left w:val="nil"/>
              <w:bottom w:val="nil"/>
              <w:right w:val="nil"/>
            </w:tcBorders>
          </w:tcPr>
          <w:p w:rsidR="008F780F" w:rsidRPr="006A4A12" w:rsidRDefault="008F780F" w:rsidP="00F601CD">
            <w:pPr>
              <w:widowControl/>
              <w:tabs>
                <w:tab w:val="left" w:pos="576"/>
                <w:tab w:val="left" w:pos="1008"/>
                <w:tab w:val="left" w:pos="5904"/>
              </w:tabs>
              <w:jc w:val="center"/>
              <w:rPr>
                <w:rFonts w:ascii="Times New Roman" w:hAnsi="Times New Roman"/>
                <w:szCs w:val="24"/>
              </w:rPr>
            </w:pPr>
          </w:p>
        </w:tc>
        <w:tc>
          <w:tcPr>
            <w:tcW w:w="1677" w:type="dxa"/>
            <w:tcBorders>
              <w:top w:val="nil"/>
              <w:left w:val="nil"/>
              <w:bottom w:val="nil"/>
              <w:right w:val="nil"/>
            </w:tcBorders>
          </w:tcPr>
          <w:p w:rsidR="008F780F" w:rsidRPr="006A4A12" w:rsidRDefault="008F780F" w:rsidP="00F601CD">
            <w:pPr>
              <w:widowControl/>
              <w:tabs>
                <w:tab w:val="left" w:pos="576"/>
                <w:tab w:val="left" w:pos="1008"/>
                <w:tab w:val="left" w:pos="5904"/>
              </w:tabs>
              <w:jc w:val="center"/>
              <w:rPr>
                <w:rFonts w:ascii="Times New Roman" w:hAnsi="Times New Roman"/>
                <w:szCs w:val="24"/>
              </w:rPr>
            </w:pPr>
          </w:p>
        </w:tc>
        <w:tc>
          <w:tcPr>
            <w:tcW w:w="1915" w:type="dxa"/>
            <w:tcBorders>
              <w:top w:val="nil"/>
              <w:left w:val="nil"/>
              <w:bottom w:val="nil"/>
              <w:right w:val="nil"/>
            </w:tcBorders>
            <w:vAlign w:val="center"/>
          </w:tcPr>
          <w:p w:rsidR="008F780F" w:rsidRPr="006A4A12" w:rsidRDefault="008F780F" w:rsidP="00F601CD">
            <w:pPr>
              <w:widowControl/>
              <w:tabs>
                <w:tab w:val="left" w:pos="576"/>
                <w:tab w:val="left" w:pos="1008"/>
                <w:tab w:val="left" w:pos="5904"/>
              </w:tabs>
              <w:jc w:val="center"/>
              <w:rPr>
                <w:rFonts w:ascii="Times New Roman" w:hAnsi="Times New Roman"/>
                <w:szCs w:val="24"/>
              </w:rPr>
            </w:pPr>
          </w:p>
        </w:tc>
        <w:tc>
          <w:tcPr>
            <w:tcW w:w="1916" w:type="dxa"/>
            <w:tcBorders>
              <w:top w:val="nil"/>
              <w:left w:val="nil"/>
              <w:bottom w:val="nil"/>
              <w:right w:val="nil"/>
            </w:tcBorders>
          </w:tcPr>
          <w:p w:rsidR="008F780F" w:rsidRPr="006A4A12" w:rsidRDefault="008F780F" w:rsidP="00F601CD">
            <w:pPr>
              <w:widowControl/>
              <w:tabs>
                <w:tab w:val="left" w:pos="576"/>
                <w:tab w:val="left" w:pos="1008"/>
                <w:tab w:val="left" w:pos="5904"/>
              </w:tabs>
              <w:jc w:val="center"/>
              <w:rPr>
                <w:rFonts w:ascii="Times New Roman" w:hAnsi="Times New Roman"/>
                <w:szCs w:val="24"/>
              </w:rPr>
            </w:pPr>
          </w:p>
        </w:tc>
      </w:tr>
      <w:tr w:rsidR="008F780F" w:rsidRPr="006A4A12" w:rsidTr="006A4A12">
        <w:trPr>
          <w:trHeight w:val="285"/>
        </w:trPr>
        <w:tc>
          <w:tcPr>
            <w:tcW w:w="2250" w:type="dxa"/>
            <w:tcBorders>
              <w:top w:val="nil"/>
              <w:left w:val="nil"/>
              <w:bottom w:val="nil"/>
              <w:right w:val="nil"/>
            </w:tcBorders>
          </w:tcPr>
          <w:p w:rsidR="008F780F" w:rsidRPr="006A4A12" w:rsidRDefault="008F780F" w:rsidP="00F601CD">
            <w:pPr>
              <w:widowControl/>
              <w:tabs>
                <w:tab w:val="left" w:pos="576"/>
                <w:tab w:val="left" w:pos="1008"/>
                <w:tab w:val="left" w:pos="5904"/>
              </w:tabs>
              <w:rPr>
                <w:rFonts w:ascii="Times New Roman" w:hAnsi="Times New Roman"/>
                <w:szCs w:val="24"/>
              </w:rPr>
            </w:pPr>
            <w:r w:rsidRPr="006A4A12">
              <w:rPr>
                <w:rFonts w:ascii="Times New Roman" w:hAnsi="Times New Roman"/>
                <w:szCs w:val="24"/>
              </w:rPr>
              <w:t>R&amp;S</w:t>
            </w:r>
          </w:p>
        </w:tc>
        <w:tc>
          <w:tcPr>
            <w:tcW w:w="1710" w:type="dxa"/>
            <w:tcBorders>
              <w:top w:val="nil"/>
              <w:left w:val="nil"/>
              <w:bottom w:val="nil"/>
              <w:right w:val="nil"/>
            </w:tcBorders>
          </w:tcPr>
          <w:p w:rsidR="008F780F" w:rsidRPr="006A4A12" w:rsidRDefault="008F780F" w:rsidP="005305A3">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500</w:t>
            </w:r>
          </w:p>
        </w:tc>
        <w:tc>
          <w:tcPr>
            <w:tcW w:w="1677" w:type="dxa"/>
            <w:tcBorders>
              <w:top w:val="nil"/>
              <w:left w:val="nil"/>
              <w:bottom w:val="nil"/>
              <w:right w:val="nil"/>
            </w:tcBorders>
          </w:tcPr>
          <w:p w:rsidR="008F780F" w:rsidRPr="006A4A12" w:rsidRDefault="008F780F" w:rsidP="005305A3">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12</w:t>
            </w:r>
          </w:p>
        </w:tc>
        <w:tc>
          <w:tcPr>
            <w:tcW w:w="1915" w:type="dxa"/>
            <w:tcBorders>
              <w:top w:val="nil"/>
              <w:left w:val="nil"/>
              <w:bottom w:val="nil"/>
              <w:right w:val="nil"/>
            </w:tcBorders>
            <w:vAlign w:val="center"/>
          </w:tcPr>
          <w:p w:rsidR="008F780F" w:rsidRPr="006A4A12" w:rsidRDefault="008F780F" w:rsidP="005305A3">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1.58 minutes</w:t>
            </w:r>
          </w:p>
        </w:tc>
        <w:tc>
          <w:tcPr>
            <w:tcW w:w="1916" w:type="dxa"/>
            <w:tcBorders>
              <w:top w:val="nil"/>
              <w:left w:val="nil"/>
              <w:bottom w:val="nil"/>
              <w:right w:val="nil"/>
            </w:tcBorders>
          </w:tcPr>
          <w:p w:rsidR="008F780F" w:rsidRPr="006A4A12" w:rsidRDefault="008F780F" w:rsidP="005305A3">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158</w:t>
            </w:r>
          </w:p>
        </w:tc>
      </w:tr>
      <w:tr w:rsidR="008F780F" w:rsidRPr="006A4A12" w:rsidTr="006A4A12">
        <w:trPr>
          <w:trHeight w:val="285"/>
        </w:trPr>
        <w:tc>
          <w:tcPr>
            <w:tcW w:w="2250" w:type="dxa"/>
            <w:tcBorders>
              <w:top w:val="nil"/>
              <w:left w:val="nil"/>
              <w:bottom w:val="nil"/>
              <w:right w:val="nil"/>
            </w:tcBorders>
          </w:tcPr>
          <w:p w:rsidR="008F780F" w:rsidRPr="006A4A12" w:rsidRDefault="008F780F" w:rsidP="00F601CD">
            <w:pPr>
              <w:widowControl/>
              <w:tabs>
                <w:tab w:val="left" w:pos="576"/>
                <w:tab w:val="left" w:pos="1008"/>
                <w:tab w:val="left" w:pos="5904"/>
              </w:tabs>
              <w:rPr>
                <w:rFonts w:ascii="Times New Roman" w:hAnsi="Times New Roman"/>
                <w:szCs w:val="24"/>
              </w:rPr>
            </w:pPr>
            <w:r w:rsidRPr="006A4A12">
              <w:rPr>
                <w:rFonts w:ascii="Times New Roman" w:hAnsi="Times New Roman"/>
                <w:szCs w:val="24"/>
              </w:rPr>
              <w:t>DCCA</w:t>
            </w:r>
          </w:p>
        </w:tc>
        <w:tc>
          <w:tcPr>
            <w:tcW w:w="1710" w:type="dxa"/>
            <w:tcBorders>
              <w:top w:val="nil"/>
              <w:left w:val="nil"/>
              <w:bottom w:val="nil"/>
              <w:right w:val="nil"/>
            </w:tcBorders>
          </w:tcPr>
          <w:p w:rsidR="008F780F" w:rsidRPr="006A4A12" w:rsidRDefault="008F780F" w:rsidP="005305A3">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500</w:t>
            </w:r>
          </w:p>
        </w:tc>
        <w:tc>
          <w:tcPr>
            <w:tcW w:w="1677" w:type="dxa"/>
            <w:tcBorders>
              <w:top w:val="nil"/>
              <w:left w:val="nil"/>
              <w:bottom w:val="nil"/>
              <w:right w:val="nil"/>
            </w:tcBorders>
          </w:tcPr>
          <w:p w:rsidR="008F780F" w:rsidRPr="006A4A12" w:rsidRDefault="008F780F" w:rsidP="005305A3">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2</w:t>
            </w:r>
          </w:p>
        </w:tc>
        <w:tc>
          <w:tcPr>
            <w:tcW w:w="1915" w:type="dxa"/>
            <w:tcBorders>
              <w:top w:val="nil"/>
              <w:left w:val="nil"/>
              <w:bottom w:val="nil"/>
              <w:right w:val="nil"/>
            </w:tcBorders>
            <w:vAlign w:val="center"/>
          </w:tcPr>
          <w:p w:rsidR="008F780F" w:rsidRPr="006A4A12" w:rsidRDefault="008F780F" w:rsidP="005305A3">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3 minutes</w:t>
            </w:r>
          </w:p>
        </w:tc>
        <w:tc>
          <w:tcPr>
            <w:tcW w:w="1916" w:type="dxa"/>
            <w:tcBorders>
              <w:top w:val="nil"/>
              <w:left w:val="nil"/>
              <w:bottom w:val="nil"/>
              <w:right w:val="nil"/>
            </w:tcBorders>
          </w:tcPr>
          <w:p w:rsidR="008F780F" w:rsidRPr="006A4A12" w:rsidRDefault="008F780F" w:rsidP="005305A3">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 xml:space="preserve">  50</w:t>
            </w:r>
          </w:p>
        </w:tc>
      </w:tr>
      <w:tr w:rsidR="008F780F" w:rsidRPr="006A4A12" w:rsidTr="006A4A12">
        <w:trPr>
          <w:trHeight w:val="285"/>
        </w:trPr>
        <w:tc>
          <w:tcPr>
            <w:tcW w:w="2250" w:type="dxa"/>
            <w:tcBorders>
              <w:top w:val="nil"/>
              <w:left w:val="nil"/>
              <w:bottom w:val="nil"/>
              <w:right w:val="nil"/>
            </w:tcBorders>
          </w:tcPr>
          <w:p w:rsidR="008F780F" w:rsidRPr="006A4A12" w:rsidRDefault="008F780F" w:rsidP="00F601CD">
            <w:pPr>
              <w:widowControl/>
              <w:tabs>
                <w:tab w:val="left" w:pos="576"/>
                <w:tab w:val="left" w:pos="1008"/>
                <w:tab w:val="left" w:pos="5904"/>
              </w:tabs>
              <w:rPr>
                <w:rFonts w:ascii="Times New Roman" w:hAnsi="Times New Roman"/>
                <w:szCs w:val="24"/>
              </w:rPr>
            </w:pPr>
            <w:r w:rsidRPr="006A4A12">
              <w:rPr>
                <w:rFonts w:ascii="Times New Roman" w:hAnsi="Times New Roman"/>
                <w:szCs w:val="24"/>
              </w:rPr>
              <w:t>Other divisions</w:t>
            </w:r>
          </w:p>
        </w:tc>
        <w:tc>
          <w:tcPr>
            <w:tcW w:w="1710" w:type="dxa"/>
            <w:tcBorders>
              <w:top w:val="nil"/>
              <w:left w:val="nil"/>
              <w:bottom w:val="nil"/>
              <w:right w:val="nil"/>
            </w:tcBorders>
          </w:tcPr>
          <w:p w:rsidR="008F780F" w:rsidRPr="006A4A12" w:rsidRDefault="008F780F" w:rsidP="005305A3">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500</w:t>
            </w:r>
          </w:p>
        </w:tc>
        <w:tc>
          <w:tcPr>
            <w:tcW w:w="1677" w:type="dxa"/>
            <w:tcBorders>
              <w:top w:val="nil"/>
              <w:left w:val="nil"/>
              <w:bottom w:val="nil"/>
              <w:right w:val="nil"/>
            </w:tcBorders>
          </w:tcPr>
          <w:p w:rsidR="008F780F" w:rsidRPr="006A4A12" w:rsidRDefault="008F780F" w:rsidP="005305A3">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3</w:t>
            </w:r>
          </w:p>
        </w:tc>
        <w:tc>
          <w:tcPr>
            <w:tcW w:w="1915" w:type="dxa"/>
            <w:tcBorders>
              <w:top w:val="nil"/>
              <w:left w:val="nil"/>
              <w:bottom w:val="nil"/>
              <w:right w:val="nil"/>
            </w:tcBorders>
            <w:vAlign w:val="center"/>
          </w:tcPr>
          <w:p w:rsidR="008F780F" w:rsidRPr="006A4A12" w:rsidRDefault="008F780F" w:rsidP="005305A3">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5 minutes</w:t>
            </w:r>
          </w:p>
        </w:tc>
        <w:tc>
          <w:tcPr>
            <w:tcW w:w="1916" w:type="dxa"/>
            <w:tcBorders>
              <w:top w:val="nil"/>
              <w:left w:val="nil"/>
              <w:bottom w:val="nil"/>
              <w:right w:val="nil"/>
            </w:tcBorders>
          </w:tcPr>
          <w:p w:rsidR="008F780F" w:rsidRPr="006A4A12" w:rsidRDefault="008F780F" w:rsidP="005305A3">
            <w:pPr>
              <w:widowControl/>
              <w:tabs>
                <w:tab w:val="left" w:pos="576"/>
                <w:tab w:val="left" w:pos="1008"/>
                <w:tab w:val="left" w:pos="5904"/>
              </w:tabs>
              <w:jc w:val="center"/>
              <w:rPr>
                <w:rFonts w:ascii="Times New Roman" w:hAnsi="Times New Roman"/>
                <w:szCs w:val="24"/>
                <w:u w:val="single"/>
              </w:rPr>
            </w:pPr>
            <w:r w:rsidRPr="006A4A12">
              <w:rPr>
                <w:rFonts w:ascii="Times New Roman" w:hAnsi="Times New Roman"/>
                <w:szCs w:val="24"/>
                <w:u w:val="single"/>
              </w:rPr>
              <w:t>125</w:t>
            </w:r>
          </w:p>
        </w:tc>
      </w:tr>
      <w:tr w:rsidR="008F780F" w:rsidRPr="006A4A12" w:rsidTr="005305A3">
        <w:trPr>
          <w:trHeight w:val="315"/>
        </w:trPr>
        <w:tc>
          <w:tcPr>
            <w:tcW w:w="2250" w:type="dxa"/>
            <w:tcBorders>
              <w:top w:val="nil"/>
              <w:left w:val="nil"/>
              <w:bottom w:val="nil"/>
              <w:right w:val="nil"/>
            </w:tcBorders>
          </w:tcPr>
          <w:p w:rsidR="008F780F" w:rsidRPr="006A4A12" w:rsidRDefault="008F780F" w:rsidP="00F601CD">
            <w:pPr>
              <w:widowControl/>
              <w:tabs>
                <w:tab w:val="left" w:pos="576"/>
                <w:tab w:val="left" w:pos="1008"/>
                <w:tab w:val="left" w:pos="5904"/>
              </w:tabs>
              <w:rPr>
                <w:rFonts w:ascii="Times New Roman" w:hAnsi="Times New Roman"/>
                <w:i/>
                <w:szCs w:val="24"/>
              </w:rPr>
            </w:pPr>
            <w:r w:rsidRPr="006A4A12">
              <w:rPr>
                <w:rFonts w:ascii="Times New Roman" w:hAnsi="Times New Roman"/>
                <w:i/>
                <w:szCs w:val="24"/>
              </w:rPr>
              <w:t xml:space="preserve">                      Subtotal</w:t>
            </w:r>
          </w:p>
        </w:tc>
        <w:tc>
          <w:tcPr>
            <w:tcW w:w="1710" w:type="dxa"/>
            <w:tcBorders>
              <w:top w:val="nil"/>
              <w:left w:val="nil"/>
              <w:bottom w:val="nil"/>
              <w:right w:val="nil"/>
            </w:tcBorders>
          </w:tcPr>
          <w:p w:rsidR="008F780F" w:rsidRPr="006A4A12" w:rsidRDefault="008F780F" w:rsidP="005305A3">
            <w:pPr>
              <w:widowControl/>
              <w:tabs>
                <w:tab w:val="left" w:pos="576"/>
                <w:tab w:val="left" w:pos="1008"/>
                <w:tab w:val="left" w:pos="5904"/>
              </w:tabs>
              <w:jc w:val="center"/>
              <w:rPr>
                <w:rFonts w:ascii="Times New Roman" w:hAnsi="Times New Roman"/>
                <w:szCs w:val="24"/>
              </w:rPr>
            </w:pPr>
          </w:p>
        </w:tc>
        <w:tc>
          <w:tcPr>
            <w:tcW w:w="1677" w:type="dxa"/>
            <w:tcBorders>
              <w:top w:val="nil"/>
              <w:left w:val="nil"/>
              <w:bottom w:val="nil"/>
              <w:right w:val="nil"/>
            </w:tcBorders>
          </w:tcPr>
          <w:p w:rsidR="008F780F" w:rsidRPr="006A4A12" w:rsidRDefault="008F780F" w:rsidP="005305A3">
            <w:pPr>
              <w:widowControl/>
              <w:tabs>
                <w:tab w:val="left" w:pos="576"/>
                <w:tab w:val="left" w:pos="1008"/>
                <w:tab w:val="left" w:pos="5904"/>
              </w:tabs>
              <w:jc w:val="center"/>
              <w:rPr>
                <w:rFonts w:ascii="Times New Roman" w:hAnsi="Times New Roman"/>
                <w:szCs w:val="24"/>
              </w:rPr>
            </w:pPr>
          </w:p>
        </w:tc>
        <w:tc>
          <w:tcPr>
            <w:tcW w:w="1915" w:type="dxa"/>
            <w:tcBorders>
              <w:top w:val="nil"/>
              <w:left w:val="nil"/>
              <w:bottom w:val="nil"/>
              <w:right w:val="nil"/>
            </w:tcBorders>
            <w:vAlign w:val="center"/>
          </w:tcPr>
          <w:p w:rsidR="008F780F" w:rsidRPr="006A4A12" w:rsidRDefault="008F780F" w:rsidP="005305A3">
            <w:pPr>
              <w:widowControl/>
              <w:tabs>
                <w:tab w:val="left" w:pos="576"/>
                <w:tab w:val="left" w:pos="1008"/>
                <w:tab w:val="left" w:pos="5904"/>
              </w:tabs>
              <w:jc w:val="center"/>
              <w:rPr>
                <w:rFonts w:ascii="Times New Roman" w:hAnsi="Times New Roman"/>
                <w:szCs w:val="24"/>
              </w:rPr>
            </w:pPr>
          </w:p>
        </w:tc>
        <w:tc>
          <w:tcPr>
            <w:tcW w:w="1916" w:type="dxa"/>
            <w:tcBorders>
              <w:top w:val="nil"/>
              <w:left w:val="nil"/>
              <w:bottom w:val="nil"/>
              <w:right w:val="nil"/>
            </w:tcBorders>
          </w:tcPr>
          <w:p w:rsidR="008F780F" w:rsidRPr="006A4A12" w:rsidRDefault="00221E50" w:rsidP="005305A3">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333</w:t>
            </w:r>
          </w:p>
        </w:tc>
      </w:tr>
      <w:tr w:rsidR="008F780F" w:rsidRPr="006A4A12" w:rsidTr="00EE3E16">
        <w:tc>
          <w:tcPr>
            <w:tcW w:w="2250" w:type="dxa"/>
            <w:tcBorders>
              <w:top w:val="nil"/>
              <w:left w:val="nil"/>
              <w:bottom w:val="nil"/>
              <w:right w:val="nil"/>
            </w:tcBorders>
          </w:tcPr>
          <w:p w:rsidR="008F780F" w:rsidRPr="006A4A12" w:rsidRDefault="008F780F" w:rsidP="00F601CD">
            <w:pPr>
              <w:widowControl/>
              <w:tabs>
                <w:tab w:val="left" w:pos="576"/>
                <w:tab w:val="left" w:pos="1008"/>
                <w:tab w:val="left" w:pos="5904"/>
              </w:tabs>
              <w:rPr>
                <w:rFonts w:ascii="Times New Roman" w:hAnsi="Times New Roman"/>
                <w:szCs w:val="24"/>
              </w:rPr>
            </w:pPr>
            <w:r w:rsidRPr="006A4A12">
              <w:rPr>
                <w:rFonts w:ascii="Times New Roman" w:hAnsi="Times New Roman"/>
                <w:szCs w:val="24"/>
              </w:rPr>
              <w:t>Non-SRC surveys</w:t>
            </w:r>
          </w:p>
        </w:tc>
        <w:tc>
          <w:tcPr>
            <w:tcW w:w="1710" w:type="dxa"/>
            <w:tcBorders>
              <w:top w:val="nil"/>
              <w:left w:val="nil"/>
              <w:bottom w:val="nil"/>
              <w:right w:val="nil"/>
            </w:tcBorders>
          </w:tcPr>
          <w:p w:rsidR="008F780F" w:rsidRPr="006A4A12" w:rsidRDefault="008F780F" w:rsidP="005305A3">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100</w:t>
            </w:r>
          </w:p>
        </w:tc>
        <w:tc>
          <w:tcPr>
            <w:tcW w:w="1677" w:type="dxa"/>
            <w:tcBorders>
              <w:top w:val="nil"/>
              <w:left w:val="nil"/>
              <w:bottom w:val="nil"/>
              <w:right w:val="nil"/>
            </w:tcBorders>
          </w:tcPr>
          <w:p w:rsidR="008F780F" w:rsidRPr="006A4A12" w:rsidRDefault="008F780F" w:rsidP="005305A3">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2</w:t>
            </w:r>
          </w:p>
        </w:tc>
        <w:tc>
          <w:tcPr>
            <w:tcW w:w="1915" w:type="dxa"/>
            <w:tcBorders>
              <w:top w:val="nil"/>
              <w:left w:val="nil"/>
              <w:bottom w:val="nil"/>
              <w:right w:val="nil"/>
            </w:tcBorders>
          </w:tcPr>
          <w:p w:rsidR="008F780F" w:rsidRPr="006A4A12" w:rsidRDefault="008F780F" w:rsidP="00EE3E16">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90 minutes</w:t>
            </w:r>
          </w:p>
        </w:tc>
        <w:tc>
          <w:tcPr>
            <w:tcW w:w="1916" w:type="dxa"/>
            <w:tcBorders>
              <w:top w:val="nil"/>
              <w:left w:val="nil"/>
              <w:bottom w:val="nil"/>
              <w:right w:val="nil"/>
            </w:tcBorders>
          </w:tcPr>
          <w:p w:rsidR="008F780F" w:rsidRPr="006A4A12" w:rsidRDefault="008F780F" w:rsidP="00F601CD">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u w:val="single"/>
              </w:rPr>
              <w:t>300</w:t>
            </w:r>
          </w:p>
        </w:tc>
      </w:tr>
      <w:tr w:rsidR="008F780F" w:rsidRPr="006A4A12" w:rsidTr="00EE3E16">
        <w:tc>
          <w:tcPr>
            <w:tcW w:w="2250" w:type="dxa"/>
            <w:tcBorders>
              <w:top w:val="nil"/>
              <w:left w:val="nil"/>
              <w:bottom w:val="nil"/>
              <w:right w:val="nil"/>
            </w:tcBorders>
          </w:tcPr>
          <w:p w:rsidR="008F780F" w:rsidRPr="006A4A12" w:rsidRDefault="008F780F" w:rsidP="000B39A0">
            <w:pPr>
              <w:widowControl/>
              <w:tabs>
                <w:tab w:val="left" w:pos="576"/>
                <w:tab w:val="left" w:pos="1008"/>
                <w:tab w:val="left" w:pos="5904"/>
              </w:tabs>
              <w:jc w:val="center"/>
              <w:rPr>
                <w:rFonts w:ascii="Times New Roman" w:hAnsi="Times New Roman"/>
                <w:i/>
                <w:szCs w:val="24"/>
              </w:rPr>
            </w:pPr>
            <w:r w:rsidRPr="006A4A12">
              <w:rPr>
                <w:rFonts w:ascii="Times New Roman" w:hAnsi="Times New Roman"/>
                <w:i/>
                <w:szCs w:val="24"/>
              </w:rPr>
              <w:t xml:space="preserve">             Total</w:t>
            </w:r>
          </w:p>
        </w:tc>
        <w:tc>
          <w:tcPr>
            <w:tcW w:w="1710" w:type="dxa"/>
            <w:tcBorders>
              <w:top w:val="nil"/>
              <w:left w:val="nil"/>
              <w:bottom w:val="nil"/>
              <w:right w:val="nil"/>
            </w:tcBorders>
          </w:tcPr>
          <w:p w:rsidR="008F780F" w:rsidRPr="006A4A12" w:rsidRDefault="008F780F" w:rsidP="00F601CD">
            <w:pPr>
              <w:widowControl/>
              <w:tabs>
                <w:tab w:val="left" w:pos="576"/>
                <w:tab w:val="left" w:pos="1008"/>
                <w:tab w:val="left" w:pos="5904"/>
              </w:tabs>
              <w:jc w:val="center"/>
              <w:rPr>
                <w:rFonts w:ascii="Times New Roman" w:hAnsi="Times New Roman"/>
                <w:szCs w:val="24"/>
              </w:rPr>
            </w:pPr>
          </w:p>
        </w:tc>
        <w:tc>
          <w:tcPr>
            <w:tcW w:w="1677" w:type="dxa"/>
            <w:tcBorders>
              <w:top w:val="nil"/>
              <w:left w:val="nil"/>
              <w:bottom w:val="nil"/>
              <w:right w:val="nil"/>
            </w:tcBorders>
          </w:tcPr>
          <w:p w:rsidR="008F780F" w:rsidRPr="006A4A12" w:rsidRDefault="008F780F" w:rsidP="00F601CD">
            <w:pPr>
              <w:widowControl/>
              <w:tabs>
                <w:tab w:val="left" w:pos="576"/>
                <w:tab w:val="left" w:pos="1008"/>
                <w:tab w:val="left" w:pos="5904"/>
              </w:tabs>
              <w:jc w:val="center"/>
              <w:rPr>
                <w:rFonts w:ascii="Times New Roman" w:hAnsi="Times New Roman"/>
                <w:szCs w:val="24"/>
              </w:rPr>
            </w:pPr>
          </w:p>
        </w:tc>
        <w:tc>
          <w:tcPr>
            <w:tcW w:w="1915" w:type="dxa"/>
            <w:tcBorders>
              <w:top w:val="nil"/>
              <w:left w:val="nil"/>
              <w:bottom w:val="nil"/>
              <w:right w:val="nil"/>
            </w:tcBorders>
          </w:tcPr>
          <w:p w:rsidR="008F780F" w:rsidRPr="006A4A12" w:rsidRDefault="008F780F" w:rsidP="00F601CD">
            <w:pPr>
              <w:widowControl/>
              <w:tabs>
                <w:tab w:val="left" w:pos="576"/>
                <w:tab w:val="left" w:pos="1008"/>
                <w:tab w:val="left" w:pos="5904"/>
              </w:tabs>
              <w:jc w:val="center"/>
              <w:rPr>
                <w:rFonts w:ascii="Times New Roman" w:hAnsi="Times New Roman"/>
                <w:szCs w:val="24"/>
              </w:rPr>
            </w:pPr>
          </w:p>
        </w:tc>
        <w:tc>
          <w:tcPr>
            <w:tcW w:w="1916" w:type="dxa"/>
            <w:tcBorders>
              <w:top w:val="nil"/>
              <w:left w:val="nil"/>
              <w:bottom w:val="nil"/>
              <w:right w:val="nil"/>
            </w:tcBorders>
          </w:tcPr>
          <w:p w:rsidR="008F780F" w:rsidRPr="006A4A12" w:rsidRDefault="00221E50" w:rsidP="00F601CD">
            <w:pPr>
              <w:widowControl/>
              <w:tabs>
                <w:tab w:val="left" w:pos="576"/>
                <w:tab w:val="left" w:pos="1008"/>
                <w:tab w:val="left" w:pos="5904"/>
              </w:tabs>
              <w:jc w:val="center"/>
              <w:rPr>
                <w:rFonts w:ascii="Times New Roman" w:hAnsi="Times New Roman"/>
                <w:szCs w:val="24"/>
                <w:u w:val="single"/>
              </w:rPr>
            </w:pPr>
            <w:r w:rsidRPr="006A4A12">
              <w:rPr>
                <w:rFonts w:ascii="Times New Roman" w:hAnsi="Times New Roman"/>
                <w:szCs w:val="24"/>
              </w:rPr>
              <w:t>633</w:t>
            </w:r>
          </w:p>
        </w:tc>
      </w:tr>
      <w:tr w:rsidR="008F780F" w:rsidRPr="006A4A12" w:rsidTr="00EE3E16">
        <w:tc>
          <w:tcPr>
            <w:tcW w:w="2250" w:type="dxa"/>
            <w:tcBorders>
              <w:top w:val="nil"/>
              <w:left w:val="nil"/>
              <w:bottom w:val="nil"/>
              <w:right w:val="nil"/>
            </w:tcBorders>
          </w:tcPr>
          <w:p w:rsidR="008F780F" w:rsidRPr="006A4A12" w:rsidRDefault="008F780F" w:rsidP="00F601CD">
            <w:pPr>
              <w:widowControl/>
              <w:tabs>
                <w:tab w:val="left" w:pos="576"/>
                <w:tab w:val="left" w:pos="1008"/>
                <w:tab w:val="left" w:pos="5904"/>
              </w:tabs>
              <w:jc w:val="right"/>
              <w:rPr>
                <w:rFonts w:ascii="Times New Roman" w:hAnsi="Times New Roman"/>
                <w:i/>
                <w:szCs w:val="24"/>
              </w:rPr>
            </w:pPr>
          </w:p>
        </w:tc>
        <w:tc>
          <w:tcPr>
            <w:tcW w:w="1710" w:type="dxa"/>
            <w:tcBorders>
              <w:top w:val="nil"/>
              <w:left w:val="nil"/>
              <w:bottom w:val="nil"/>
              <w:right w:val="nil"/>
            </w:tcBorders>
          </w:tcPr>
          <w:p w:rsidR="008F780F" w:rsidRPr="006A4A12" w:rsidRDefault="008F780F" w:rsidP="00F601CD">
            <w:pPr>
              <w:widowControl/>
              <w:tabs>
                <w:tab w:val="left" w:pos="576"/>
                <w:tab w:val="left" w:pos="1008"/>
                <w:tab w:val="left" w:pos="5904"/>
              </w:tabs>
              <w:jc w:val="center"/>
              <w:rPr>
                <w:rFonts w:ascii="Times New Roman" w:hAnsi="Times New Roman"/>
                <w:szCs w:val="24"/>
              </w:rPr>
            </w:pPr>
          </w:p>
        </w:tc>
        <w:tc>
          <w:tcPr>
            <w:tcW w:w="1677" w:type="dxa"/>
            <w:tcBorders>
              <w:top w:val="nil"/>
              <w:left w:val="nil"/>
              <w:bottom w:val="nil"/>
              <w:right w:val="nil"/>
            </w:tcBorders>
          </w:tcPr>
          <w:p w:rsidR="008F780F" w:rsidRPr="006A4A12" w:rsidRDefault="008F780F" w:rsidP="00F601CD">
            <w:pPr>
              <w:widowControl/>
              <w:tabs>
                <w:tab w:val="left" w:pos="576"/>
                <w:tab w:val="left" w:pos="1008"/>
                <w:tab w:val="left" w:pos="5904"/>
              </w:tabs>
              <w:jc w:val="center"/>
              <w:rPr>
                <w:rFonts w:ascii="Times New Roman" w:hAnsi="Times New Roman"/>
                <w:szCs w:val="24"/>
              </w:rPr>
            </w:pPr>
          </w:p>
        </w:tc>
        <w:tc>
          <w:tcPr>
            <w:tcW w:w="1915" w:type="dxa"/>
            <w:tcBorders>
              <w:top w:val="nil"/>
              <w:left w:val="nil"/>
              <w:bottom w:val="nil"/>
              <w:right w:val="nil"/>
            </w:tcBorders>
          </w:tcPr>
          <w:p w:rsidR="008F780F" w:rsidRPr="006A4A12" w:rsidRDefault="008F780F" w:rsidP="00F601CD">
            <w:pPr>
              <w:widowControl/>
              <w:tabs>
                <w:tab w:val="left" w:pos="576"/>
                <w:tab w:val="left" w:pos="1008"/>
                <w:tab w:val="left" w:pos="5904"/>
              </w:tabs>
              <w:jc w:val="center"/>
              <w:rPr>
                <w:rFonts w:ascii="Times New Roman" w:hAnsi="Times New Roman"/>
                <w:szCs w:val="24"/>
              </w:rPr>
            </w:pPr>
          </w:p>
        </w:tc>
        <w:tc>
          <w:tcPr>
            <w:tcW w:w="1916" w:type="dxa"/>
            <w:tcBorders>
              <w:top w:val="nil"/>
              <w:left w:val="nil"/>
              <w:bottom w:val="nil"/>
              <w:right w:val="nil"/>
            </w:tcBorders>
          </w:tcPr>
          <w:p w:rsidR="008F780F" w:rsidRPr="006A4A12" w:rsidRDefault="008F780F" w:rsidP="00F601CD">
            <w:pPr>
              <w:widowControl/>
              <w:tabs>
                <w:tab w:val="left" w:pos="576"/>
                <w:tab w:val="left" w:pos="1008"/>
                <w:tab w:val="left" w:pos="5904"/>
              </w:tabs>
              <w:jc w:val="center"/>
              <w:rPr>
                <w:rFonts w:ascii="Times New Roman" w:hAnsi="Times New Roman"/>
                <w:szCs w:val="24"/>
              </w:rPr>
            </w:pPr>
          </w:p>
        </w:tc>
      </w:tr>
      <w:tr w:rsidR="008F780F" w:rsidRPr="006A4A12" w:rsidTr="00EE3E16">
        <w:trPr>
          <w:trHeight w:val="459"/>
        </w:trPr>
        <w:tc>
          <w:tcPr>
            <w:tcW w:w="2250" w:type="dxa"/>
            <w:tcBorders>
              <w:top w:val="nil"/>
              <w:left w:val="nil"/>
              <w:bottom w:val="single" w:sz="4" w:space="0" w:color="auto"/>
              <w:right w:val="nil"/>
            </w:tcBorders>
          </w:tcPr>
          <w:p w:rsidR="008F780F" w:rsidRPr="006A4A12" w:rsidRDefault="008F780F" w:rsidP="00F601CD">
            <w:pPr>
              <w:widowControl/>
              <w:tabs>
                <w:tab w:val="left" w:pos="576"/>
                <w:tab w:val="left" w:pos="1008"/>
                <w:tab w:val="left" w:pos="5904"/>
              </w:tabs>
              <w:jc w:val="right"/>
              <w:rPr>
                <w:rFonts w:ascii="Times New Roman" w:hAnsi="Times New Roman"/>
                <w:i/>
                <w:szCs w:val="24"/>
              </w:rPr>
            </w:pPr>
            <w:r w:rsidRPr="006A4A12">
              <w:rPr>
                <w:rFonts w:ascii="Times New Roman" w:hAnsi="Times New Roman"/>
                <w:i/>
                <w:szCs w:val="24"/>
              </w:rPr>
              <w:t>Difference</w:t>
            </w:r>
          </w:p>
        </w:tc>
        <w:tc>
          <w:tcPr>
            <w:tcW w:w="1710" w:type="dxa"/>
            <w:tcBorders>
              <w:top w:val="nil"/>
              <w:left w:val="nil"/>
              <w:bottom w:val="single" w:sz="4" w:space="0" w:color="auto"/>
              <w:right w:val="nil"/>
            </w:tcBorders>
          </w:tcPr>
          <w:p w:rsidR="008F780F" w:rsidRPr="006A4A12" w:rsidRDefault="008F780F" w:rsidP="00F601CD">
            <w:pPr>
              <w:widowControl/>
              <w:tabs>
                <w:tab w:val="left" w:pos="576"/>
                <w:tab w:val="left" w:pos="1008"/>
                <w:tab w:val="left" w:pos="5904"/>
              </w:tabs>
              <w:jc w:val="center"/>
              <w:rPr>
                <w:rFonts w:ascii="Times New Roman" w:hAnsi="Times New Roman"/>
                <w:szCs w:val="24"/>
              </w:rPr>
            </w:pPr>
          </w:p>
        </w:tc>
        <w:tc>
          <w:tcPr>
            <w:tcW w:w="1677" w:type="dxa"/>
            <w:tcBorders>
              <w:top w:val="nil"/>
              <w:left w:val="nil"/>
              <w:bottom w:val="single" w:sz="4" w:space="0" w:color="auto"/>
              <w:right w:val="nil"/>
            </w:tcBorders>
          </w:tcPr>
          <w:p w:rsidR="008F780F" w:rsidRPr="006A4A12" w:rsidRDefault="008F780F" w:rsidP="00F601CD">
            <w:pPr>
              <w:widowControl/>
              <w:tabs>
                <w:tab w:val="left" w:pos="576"/>
                <w:tab w:val="left" w:pos="1008"/>
                <w:tab w:val="left" w:pos="5904"/>
              </w:tabs>
              <w:jc w:val="center"/>
              <w:rPr>
                <w:rFonts w:ascii="Times New Roman" w:hAnsi="Times New Roman"/>
                <w:szCs w:val="24"/>
              </w:rPr>
            </w:pPr>
          </w:p>
        </w:tc>
        <w:tc>
          <w:tcPr>
            <w:tcW w:w="1915" w:type="dxa"/>
            <w:tcBorders>
              <w:top w:val="nil"/>
              <w:left w:val="nil"/>
              <w:bottom w:val="single" w:sz="4" w:space="0" w:color="auto"/>
              <w:right w:val="nil"/>
            </w:tcBorders>
          </w:tcPr>
          <w:p w:rsidR="008F780F" w:rsidRPr="006A4A12" w:rsidRDefault="008F780F" w:rsidP="00F601CD">
            <w:pPr>
              <w:widowControl/>
              <w:tabs>
                <w:tab w:val="left" w:pos="576"/>
                <w:tab w:val="left" w:pos="1008"/>
                <w:tab w:val="left" w:pos="5904"/>
              </w:tabs>
              <w:jc w:val="center"/>
              <w:rPr>
                <w:rFonts w:ascii="Times New Roman" w:hAnsi="Times New Roman"/>
                <w:szCs w:val="24"/>
              </w:rPr>
            </w:pPr>
          </w:p>
        </w:tc>
        <w:tc>
          <w:tcPr>
            <w:tcW w:w="1916" w:type="dxa"/>
            <w:tcBorders>
              <w:top w:val="nil"/>
              <w:left w:val="nil"/>
              <w:bottom w:val="single" w:sz="4" w:space="0" w:color="auto"/>
              <w:right w:val="nil"/>
            </w:tcBorders>
          </w:tcPr>
          <w:p w:rsidR="008F780F" w:rsidRPr="006A4A12" w:rsidRDefault="008F780F" w:rsidP="00221E50">
            <w:pPr>
              <w:widowControl/>
              <w:tabs>
                <w:tab w:val="left" w:pos="576"/>
                <w:tab w:val="left" w:pos="1008"/>
                <w:tab w:val="left" w:pos="5904"/>
              </w:tabs>
              <w:jc w:val="center"/>
              <w:rPr>
                <w:rFonts w:ascii="Times New Roman" w:hAnsi="Times New Roman"/>
                <w:szCs w:val="24"/>
              </w:rPr>
            </w:pPr>
            <w:r w:rsidRPr="006A4A12">
              <w:rPr>
                <w:rFonts w:ascii="Times New Roman" w:hAnsi="Times New Roman"/>
                <w:szCs w:val="24"/>
              </w:rPr>
              <w:t>-</w:t>
            </w:r>
            <w:r w:rsidR="00221E50" w:rsidRPr="006A4A12">
              <w:rPr>
                <w:rFonts w:ascii="Times New Roman" w:hAnsi="Times New Roman"/>
                <w:szCs w:val="24"/>
              </w:rPr>
              <w:t>50</w:t>
            </w:r>
          </w:p>
        </w:tc>
      </w:tr>
      <w:tr w:rsidR="008F780F" w:rsidRPr="006A4A12" w:rsidTr="00EE3E16">
        <w:tc>
          <w:tcPr>
            <w:tcW w:w="2250" w:type="dxa"/>
            <w:tcBorders>
              <w:top w:val="single" w:sz="4" w:space="0" w:color="auto"/>
              <w:left w:val="nil"/>
              <w:bottom w:val="nil"/>
              <w:right w:val="nil"/>
            </w:tcBorders>
          </w:tcPr>
          <w:p w:rsidR="008F780F" w:rsidRPr="006A4A12" w:rsidRDefault="008F780F" w:rsidP="00F601CD">
            <w:pPr>
              <w:widowControl/>
              <w:tabs>
                <w:tab w:val="left" w:pos="576"/>
                <w:tab w:val="left" w:pos="1008"/>
                <w:tab w:val="left" w:pos="5904"/>
              </w:tabs>
              <w:jc w:val="right"/>
              <w:rPr>
                <w:rFonts w:ascii="Times New Roman" w:hAnsi="Times New Roman"/>
                <w:i/>
                <w:szCs w:val="24"/>
              </w:rPr>
            </w:pPr>
          </w:p>
        </w:tc>
        <w:tc>
          <w:tcPr>
            <w:tcW w:w="1710" w:type="dxa"/>
            <w:tcBorders>
              <w:top w:val="single" w:sz="4" w:space="0" w:color="auto"/>
              <w:left w:val="nil"/>
              <w:bottom w:val="nil"/>
              <w:right w:val="nil"/>
            </w:tcBorders>
          </w:tcPr>
          <w:p w:rsidR="008F780F" w:rsidRPr="006A4A12" w:rsidRDefault="008F780F" w:rsidP="00F601CD">
            <w:pPr>
              <w:widowControl/>
              <w:tabs>
                <w:tab w:val="left" w:pos="576"/>
                <w:tab w:val="left" w:pos="1008"/>
                <w:tab w:val="left" w:pos="5904"/>
              </w:tabs>
              <w:jc w:val="center"/>
              <w:rPr>
                <w:rFonts w:ascii="Times New Roman" w:hAnsi="Times New Roman"/>
                <w:szCs w:val="24"/>
              </w:rPr>
            </w:pPr>
          </w:p>
        </w:tc>
        <w:tc>
          <w:tcPr>
            <w:tcW w:w="1677" w:type="dxa"/>
            <w:tcBorders>
              <w:top w:val="single" w:sz="4" w:space="0" w:color="auto"/>
              <w:left w:val="nil"/>
              <w:bottom w:val="nil"/>
              <w:right w:val="nil"/>
            </w:tcBorders>
          </w:tcPr>
          <w:p w:rsidR="008F780F" w:rsidRPr="006A4A12" w:rsidRDefault="008F780F" w:rsidP="00F601CD">
            <w:pPr>
              <w:widowControl/>
              <w:tabs>
                <w:tab w:val="left" w:pos="576"/>
                <w:tab w:val="left" w:pos="1008"/>
                <w:tab w:val="left" w:pos="5904"/>
              </w:tabs>
              <w:jc w:val="center"/>
              <w:rPr>
                <w:rFonts w:ascii="Times New Roman" w:hAnsi="Times New Roman"/>
                <w:szCs w:val="24"/>
              </w:rPr>
            </w:pPr>
          </w:p>
        </w:tc>
        <w:tc>
          <w:tcPr>
            <w:tcW w:w="1915" w:type="dxa"/>
            <w:tcBorders>
              <w:top w:val="single" w:sz="4" w:space="0" w:color="auto"/>
              <w:left w:val="nil"/>
              <w:bottom w:val="nil"/>
              <w:right w:val="nil"/>
            </w:tcBorders>
          </w:tcPr>
          <w:p w:rsidR="008F780F" w:rsidRPr="006A4A12" w:rsidRDefault="008F780F" w:rsidP="00F601CD">
            <w:pPr>
              <w:widowControl/>
              <w:tabs>
                <w:tab w:val="left" w:pos="576"/>
                <w:tab w:val="left" w:pos="1008"/>
                <w:tab w:val="left" w:pos="5904"/>
              </w:tabs>
              <w:jc w:val="center"/>
              <w:rPr>
                <w:rFonts w:ascii="Times New Roman" w:hAnsi="Times New Roman"/>
                <w:szCs w:val="24"/>
              </w:rPr>
            </w:pPr>
          </w:p>
        </w:tc>
        <w:tc>
          <w:tcPr>
            <w:tcW w:w="1916" w:type="dxa"/>
            <w:tcBorders>
              <w:top w:val="single" w:sz="4" w:space="0" w:color="auto"/>
              <w:left w:val="nil"/>
              <w:bottom w:val="nil"/>
              <w:right w:val="nil"/>
            </w:tcBorders>
          </w:tcPr>
          <w:p w:rsidR="008F780F" w:rsidRPr="006A4A12" w:rsidRDefault="008F780F" w:rsidP="00F601CD">
            <w:pPr>
              <w:widowControl/>
              <w:tabs>
                <w:tab w:val="left" w:pos="576"/>
                <w:tab w:val="left" w:pos="1008"/>
                <w:tab w:val="left" w:pos="5904"/>
              </w:tabs>
              <w:jc w:val="center"/>
              <w:rPr>
                <w:rFonts w:ascii="Times New Roman" w:hAnsi="Times New Roman"/>
                <w:szCs w:val="24"/>
              </w:rPr>
            </w:pPr>
          </w:p>
        </w:tc>
      </w:tr>
    </w:tbl>
    <w:p w:rsidR="00A54DFC" w:rsidRPr="000B3621" w:rsidRDefault="005B683B" w:rsidP="005B683B">
      <w:pPr>
        <w:pStyle w:val="Heading1"/>
        <w:tabs>
          <w:tab w:val="left" w:pos="0"/>
          <w:tab w:val="left" w:pos="433"/>
          <w:tab w:val="left" w:pos="864"/>
          <w:tab w:val="left" w:pos="1297"/>
          <w:tab w:val="left" w:pos="1728"/>
          <w:tab w:val="left" w:pos="2161"/>
          <w:tab w:val="left" w:pos="2592"/>
          <w:tab w:val="left" w:pos="3025"/>
          <w:tab w:val="left" w:pos="3456"/>
          <w:tab w:val="left" w:pos="3889"/>
          <w:tab w:val="left" w:pos="4320"/>
          <w:tab w:val="left" w:pos="4753"/>
          <w:tab w:val="left" w:pos="5184"/>
          <w:tab w:val="left" w:pos="5617"/>
          <w:tab w:val="left" w:pos="6048"/>
          <w:tab w:val="left" w:pos="6481"/>
          <w:tab w:val="left" w:pos="6912"/>
          <w:tab w:val="left" w:pos="7345"/>
          <w:tab w:val="left" w:pos="7776"/>
          <w:tab w:val="left" w:pos="8209"/>
          <w:tab w:val="left" w:pos="8640"/>
          <w:tab w:val="left" w:pos="9073"/>
        </w:tabs>
        <w:rPr>
          <w:rFonts w:ascii="Times New Roman" w:hAnsi="Times New Roman"/>
          <w:b w:val="0"/>
        </w:rPr>
      </w:pPr>
      <w:r w:rsidRPr="000B3621">
        <w:rPr>
          <w:rFonts w:ascii="Times New Roman" w:hAnsi="Times New Roman"/>
          <w:b w:val="0"/>
        </w:rPr>
        <w:t xml:space="preserve">The total cost to Federal Reserve respondents is estimated to </w:t>
      </w:r>
      <w:r w:rsidR="00606B3F">
        <w:rPr>
          <w:rFonts w:ascii="Times New Roman" w:hAnsi="Times New Roman"/>
          <w:b w:val="0"/>
        </w:rPr>
        <w:t>decrease by $</w:t>
      </w:r>
      <w:r w:rsidR="007E4CE2">
        <w:rPr>
          <w:rFonts w:ascii="Times New Roman" w:hAnsi="Times New Roman"/>
          <w:b w:val="0"/>
        </w:rPr>
        <w:t>2,105</w:t>
      </w:r>
      <w:r w:rsidR="00606B3F">
        <w:rPr>
          <w:rFonts w:ascii="Times New Roman" w:hAnsi="Times New Roman"/>
          <w:b w:val="0"/>
        </w:rPr>
        <w:t xml:space="preserve"> from $28,754 to </w:t>
      </w:r>
      <w:r w:rsidRPr="000B3621">
        <w:rPr>
          <w:rFonts w:ascii="Times New Roman" w:hAnsi="Times New Roman"/>
          <w:b w:val="0"/>
        </w:rPr>
        <w:t>$</w:t>
      </w:r>
      <w:r w:rsidR="00221E50" w:rsidRPr="000B3621">
        <w:rPr>
          <w:rFonts w:ascii="Times New Roman" w:hAnsi="Times New Roman"/>
          <w:b w:val="0"/>
        </w:rPr>
        <w:t>26,649</w:t>
      </w:r>
      <w:r w:rsidRPr="000B3621">
        <w:rPr>
          <w:rFonts w:ascii="Times New Roman" w:hAnsi="Times New Roman"/>
          <w:b w:val="0"/>
        </w:rPr>
        <w:t>.</w:t>
      </w:r>
      <w:r w:rsidR="00C0233D" w:rsidRPr="000B3621">
        <w:rPr>
          <w:rStyle w:val="FootnoteReference"/>
          <w:rFonts w:ascii="Times New Roman" w:hAnsi="Times New Roman"/>
          <w:b w:val="0"/>
          <w:vertAlign w:val="superscript"/>
        </w:rPr>
        <w:footnoteReference w:id="2"/>
      </w:r>
    </w:p>
    <w:p w:rsidR="002C44B1" w:rsidRPr="000B3621" w:rsidRDefault="002C44B1" w:rsidP="002C44B1">
      <w:pPr>
        <w:rPr>
          <w:rFonts w:ascii="Times New Roman" w:hAnsi="Times New Roman"/>
        </w:rPr>
      </w:pPr>
    </w:p>
    <w:p w:rsidR="00920D31" w:rsidRPr="000B3621" w:rsidRDefault="00221E50">
      <w:pPr>
        <w:widowControl/>
        <w:tabs>
          <w:tab w:val="left" w:pos="576"/>
          <w:tab w:val="left" w:pos="1008"/>
          <w:tab w:val="left" w:pos="5904"/>
        </w:tabs>
        <w:rPr>
          <w:rFonts w:ascii="Times New Roman" w:hAnsi="Times New Roman"/>
        </w:rPr>
      </w:pPr>
      <w:r w:rsidRPr="000B3621">
        <w:rPr>
          <w:rFonts w:ascii="Times New Roman" w:hAnsi="Times New Roman"/>
          <w:b/>
        </w:rPr>
        <w:t>E</w:t>
      </w:r>
      <w:r w:rsidR="00920D31" w:rsidRPr="000B3621">
        <w:rPr>
          <w:rFonts w:ascii="Times New Roman" w:hAnsi="Times New Roman"/>
          <w:b/>
        </w:rPr>
        <w:t>stimate of Cost to the Federal Reserve System</w:t>
      </w:r>
    </w:p>
    <w:p w:rsidR="00920D31" w:rsidRPr="000B3621" w:rsidRDefault="00920D31">
      <w:pPr>
        <w:widowControl/>
        <w:tabs>
          <w:tab w:val="left" w:pos="576"/>
          <w:tab w:val="left" w:pos="1008"/>
          <w:tab w:val="left" w:pos="5904"/>
        </w:tabs>
        <w:rPr>
          <w:rFonts w:ascii="Times New Roman" w:hAnsi="Times New Roman"/>
        </w:rPr>
      </w:pPr>
    </w:p>
    <w:p w:rsidR="00920D31" w:rsidRPr="000B3621" w:rsidRDefault="00920D31" w:rsidP="00F85D64">
      <w:pPr>
        <w:widowControl/>
        <w:ind w:firstLine="720"/>
        <w:rPr>
          <w:rFonts w:ascii="Times New Roman" w:hAnsi="Times New Roman"/>
        </w:rPr>
      </w:pPr>
      <w:r w:rsidRPr="000B3621">
        <w:rPr>
          <w:rFonts w:ascii="Times New Roman" w:hAnsi="Times New Roman"/>
          <w:b/>
        </w:rPr>
        <w:t>Division of Research and Statistics</w:t>
      </w:r>
    </w:p>
    <w:p w:rsidR="00920D31" w:rsidRPr="000B3621" w:rsidRDefault="00920D31">
      <w:pPr>
        <w:widowControl/>
        <w:tabs>
          <w:tab w:val="left" w:pos="576"/>
          <w:tab w:val="left" w:pos="1008"/>
          <w:tab w:val="left" w:pos="5904"/>
        </w:tabs>
        <w:rPr>
          <w:rFonts w:ascii="Times New Roman" w:hAnsi="Times New Roman"/>
        </w:rPr>
      </w:pPr>
    </w:p>
    <w:p w:rsidR="00920D31" w:rsidRPr="000B3621" w:rsidRDefault="0053229C" w:rsidP="0079378F">
      <w:pPr>
        <w:pStyle w:val="BodyTextIndent"/>
        <w:tabs>
          <w:tab w:val="clear" w:pos="576"/>
          <w:tab w:val="clear" w:pos="1008"/>
          <w:tab w:val="clear" w:pos="5904"/>
        </w:tabs>
        <w:ind w:firstLine="720"/>
      </w:pPr>
      <w:r w:rsidRPr="000B3621">
        <w:t xml:space="preserve">The contract between </w:t>
      </w:r>
      <w:r w:rsidR="00920D31" w:rsidRPr="000B3621">
        <w:t xml:space="preserve">the SRC </w:t>
      </w:r>
      <w:r w:rsidR="005E5F5A" w:rsidRPr="000B3621">
        <w:t xml:space="preserve">and R&amp;S </w:t>
      </w:r>
      <w:r w:rsidR="00920D31" w:rsidRPr="000B3621">
        <w:t xml:space="preserve">commits the </w:t>
      </w:r>
      <w:r w:rsidR="00E90C81" w:rsidRPr="000B3621">
        <w:t xml:space="preserve">Federal Reserve </w:t>
      </w:r>
      <w:r w:rsidR="00920D31" w:rsidRPr="000B3621">
        <w:t xml:space="preserve">Board to purchase </w:t>
      </w:r>
      <w:r w:rsidR="00A9243D" w:rsidRPr="000B3621">
        <w:t>12</w:t>
      </w:r>
      <w:r w:rsidR="005E5F5A" w:rsidRPr="000B3621">
        <w:t xml:space="preserve"> </w:t>
      </w:r>
      <w:r w:rsidR="00920D31" w:rsidRPr="000B3621">
        <w:t>minutes of interview time per year.</w:t>
      </w:r>
      <w:r w:rsidR="00987844" w:rsidRPr="000B3621">
        <w:t xml:space="preserve">  </w:t>
      </w:r>
      <w:r w:rsidR="00443190" w:rsidRPr="000B3621">
        <w:t>Under the 20</w:t>
      </w:r>
      <w:r w:rsidR="00C0233D" w:rsidRPr="000B3621">
        <w:t>11</w:t>
      </w:r>
      <w:r w:rsidR="00443190" w:rsidRPr="000B3621">
        <w:t xml:space="preserve"> R&amp;S contract, the cost per minute </w:t>
      </w:r>
      <w:r w:rsidR="00A16B90" w:rsidRPr="000B3621">
        <w:t xml:space="preserve">is estimated to </w:t>
      </w:r>
      <w:r w:rsidR="00443190" w:rsidRPr="000B3621">
        <w:t>be $</w:t>
      </w:r>
      <w:r w:rsidR="00A9243D" w:rsidRPr="000B3621">
        <w:t>5,211</w:t>
      </w:r>
      <w:r w:rsidR="00443190" w:rsidRPr="000B3621">
        <w:t>, for a minimum annual expenditure of $</w:t>
      </w:r>
      <w:r w:rsidR="00A9243D" w:rsidRPr="000B3621">
        <w:t>62,532</w:t>
      </w:r>
      <w:r w:rsidR="00443190" w:rsidRPr="000B3621">
        <w:t xml:space="preserve">.  </w:t>
      </w:r>
      <w:r w:rsidR="00920D31" w:rsidRPr="000B3621">
        <w:t xml:space="preserve">The purchase of interview time for subsequent years would require </w:t>
      </w:r>
      <w:r w:rsidR="00E90C81" w:rsidRPr="000B3621">
        <w:t xml:space="preserve">Federal Reserve </w:t>
      </w:r>
      <w:r w:rsidR="00920D31" w:rsidRPr="000B3621">
        <w:t>Board approval through normal budget procedures.</w:t>
      </w:r>
    </w:p>
    <w:p w:rsidR="00920D31" w:rsidRPr="000B3621" w:rsidRDefault="00920D31">
      <w:pPr>
        <w:widowControl/>
        <w:tabs>
          <w:tab w:val="left" w:pos="576"/>
          <w:tab w:val="left" w:pos="1008"/>
          <w:tab w:val="left" w:pos="5904"/>
        </w:tabs>
        <w:rPr>
          <w:rFonts w:ascii="Times New Roman" w:hAnsi="Times New Roman"/>
        </w:rPr>
      </w:pPr>
    </w:p>
    <w:p w:rsidR="00F85D64" w:rsidRDefault="00F85D64">
      <w:pPr>
        <w:widowControl/>
        <w:rPr>
          <w:rFonts w:ascii="Times New Roman" w:hAnsi="Times New Roman"/>
          <w:b/>
        </w:rPr>
      </w:pPr>
      <w:r>
        <w:rPr>
          <w:rFonts w:ascii="Times New Roman" w:hAnsi="Times New Roman"/>
          <w:b/>
        </w:rPr>
        <w:br w:type="page"/>
      </w:r>
    </w:p>
    <w:p w:rsidR="00920D31" w:rsidRPr="000B3621" w:rsidRDefault="00920D31" w:rsidP="00F85D64">
      <w:pPr>
        <w:widowControl/>
        <w:ind w:firstLine="720"/>
        <w:rPr>
          <w:rFonts w:ascii="Times New Roman" w:hAnsi="Times New Roman"/>
        </w:rPr>
      </w:pPr>
      <w:r w:rsidRPr="000B3621">
        <w:rPr>
          <w:rFonts w:ascii="Times New Roman" w:hAnsi="Times New Roman"/>
          <w:b/>
        </w:rPr>
        <w:lastRenderedPageBreak/>
        <w:t>Division of Consumer and Community Affairs</w:t>
      </w:r>
    </w:p>
    <w:p w:rsidR="00920D31" w:rsidRPr="000B3621" w:rsidRDefault="00920D31">
      <w:pPr>
        <w:widowControl/>
        <w:tabs>
          <w:tab w:val="left" w:pos="576"/>
          <w:tab w:val="left" w:pos="1008"/>
          <w:tab w:val="left" w:pos="5904"/>
        </w:tabs>
        <w:rPr>
          <w:rFonts w:ascii="Times New Roman" w:hAnsi="Times New Roman"/>
        </w:rPr>
      </w:pPr>
    </w:p>
    <w:p w:rsidR="00E640CB" w:rsidRPr="000B3621" w:rsidRDefault="00920D31" w:rsidP="0079378F">
      <w:pPr>
        <w:pStyle w:val="BodyTextIndent"/>
        <w:tabs>
          <w:tab w:val="clear" w:pos="576"/>
          <w:tab w:val="clear" w:pos="1008"/>
          <w:tab w:val="clear" w:pos="5904"/>
        </w:tabs>
        <w:ind w:firstLine="720"/>
      </w:pPr>
      <w:r w:rsidRPr="000B3621">
        <w:t xml:space="preserve">The DCCA addendum to the SRC contract commits the </w:t>
      </w:r>
      <w:r w:rsidR="00E90C81" w:rsidRPr="000B3621">
        <w:t xml:space="preserve">Federal Reserve </w:t>
      </w:r>
      <w:r w:rsidRPr="000B3621">
        <w:t xml:space="preserve">Board to purchase </w:t>
      </w:r>
      <w:r w:rsidR="006B4FD0" w:rsidRPr="000B3621">
        <w:t>12</w:t>
      </w:r>
      <w:r w:rsidRPr="000B3621">
        <w:t xml:space="preserve"> minutes of interview time per year, with an option to purchase up to fifteen additional minutes per year.  Using the </w:t>
      </w:r>
      <w:r w:rsidR="00807D2D" w:rsidRPr="000B3621">
        <w:t>20</w:t>
      </w:r>
      <w:r w:rsidR="00C0233D" w:rsidRPr="000B3621">
        <w:t>11</w:t>
      </w:r>
      <w:r w:rsidR="005B0291" w:rsidRPr="000B3621">
        <w:t xml:space="preserve"> DCCA contract </w:t>
      </w:r>
      <w:r w:rsidRPr="000B3621">
        <w:t xml:space="preserve">cost </w:t>
      </w:r>
      <w:r w:rsidRPr="000B3621">
        <w:rPr>
          <w:szCs w:val="24"/>
        </w:rPr>
        <w:t>of $</w:t>
      </w:r>
      <w:r w:rsidR="00691FC4" w:rsidRPr="000B3621">
        <w:rPr>
          <w:szCs w:val="24"/>
        </w:rPr>
        <w:t>5</w:t>
      </w:r>
      <w:r w:rsidR="00417ECC" w:rsidRPr="000B3621">
        <w:rPr>
          <w:szCs w:val="24"/>
        </w:rPr>
        <w:t>,</w:t>
      </w:r>
      <w:r w:rsidR="00691FC4" w:rsidRPr="000B3621">
        <w:rPr>
          <w:szCs w:val="24"/>
        </w:rPr>
        <w:t>211</w:t>
      </w:r>
      <w:r w:rsidR="00F10129" w:rsidRPr="000B3621">
        <w:rPr>
          <w:szCs w:val="24"/>
        </w:rPr>
        <w:t xml:space="preserve"> </w:t>
      </w:r>
      <w:r w:rsidRPr="000B3621">
        <w:rPr>
          <w:szCs w:val="24"/>
        </w:rPr>
        <w:t xml:space="preserve">per minute of interview time charged by the SRC, the Federal Reserve committed to a maximum of </w:t>
      </w:r>
      <w:r w:rsidR="00987844" w:rsidRPr="000B3621">
        <w:rPr>
          <w:szCs w:val="24"/>
        </w:rPr>
        <w:t>$62,532</w:t>
      </w:r>
      <w:r w:rsidR="00987844" w:rsidRPr="000B3621">
        <w:t xml:space="preserve"> </w:t>
      </w:r>
      <w:r w:rsidRPr="000B3621">
        <w:t xml:space="preserve">of its budget for surveys.  DCCA has budgeted for the purchase of up to </w:t>
      </w:r>
      <w:r w:rsidR="00691FC4" w:rsidRPr="000B3621">
        <w:t>12</w:t>
      </w:r>
      <w:r w:rsidR="00417ECC" w:rsidRPr="000B3621">
        <w:t xml:space="preserve"> </w:t>
      </w:r>
      <w:r w:rsidRPr="000B3621">
        <w:t xml:space="preserve">minutes of interview time. </w:t>
      </w:r>
      <w:r w:rsidR="00DE7033" w:rsidRPr="000B3621">
        <w:t xml:space="preserve"> </w:t>
      </w:r>
      <w:r w:rsidRPr="000B3621">
        <w:t xml:space="preserve">The purchase of interview time in subsequent years </w:t>
      </w:r>
      <w:r w:rsidR="005B0291" w:rsidRPr="000B3621">
        <w:t xml:space="preserve">would </w:t>
      </w:r>
      <w:r w:rsidRPr="000B3621">
        <w:t xml:space="preserve">require </w:t>
      </w:r>
      <w:r w:rsidR="00E90C81" w:rsidRPr="000B3621">
        <w:t xml:space="preserve">Federal Reserve </w:t>
      </w:r>
      <w:r w:rsidRPr="000B3621">
        <w:t>Board approval through normal budget procedures.</w:t>
      </w:r>
      <w:r w:rsidR="00DE7033" w:rsidRPr="000B3621">
        <w:t xml:space="preserve">  </w:t>
      </w:r>
      <w:r w:rsidR="00E640CB" w:rsidRPr="000B3621">
        <w:t>The division has also budgeted $</w:t>
      </w:r>
      <w:r w:rsidR="00691FC4" w:rsidRPr="000B3621">
        <w:t>85,000</w:t>
      </w:r>
      <w:r w:rsidR="00E640CB" w:rsidRPr="000B3621">
        <w:t xml:space="preserve"> for</w:t>
      </w:r>
      <w:r w:rsidR="005B0291" w:rsidRPr="000B3621">
        <w:t xml:space="preserve"> non-SRC</w:t>
      </w:r>
      <w:r w:rsidR="00E640CB" w:rsidRPr="000B3621">
        <w:t xml:space="preserve"> surveys to be conducted in </w:t>
      </w:r>
      <w:r w:rsidR="00691FC4" w:rsidRPr="000B3621">
        <w:t>2011</w:t>
      </w:r>
      <w:r w:rsidR="00F85D64">
        <w:t>, as needed.</w:t>
      </w:r>
    </w:p>
    <w:p w:rsidR="00417ECC" w:rsidRPr="000B3621" w:rsidRDefault="00417ECC">
      <w:pPr>
        <w:widowControl/>
        <w:tabs>
          <w:tab w:val="left" w:pos="576"/>
          <w:tab w:val="left" w:pos="1008"/>
          <w:tab w:val="left" w:pos="5904"/>
        </w:tabs>
        <w:jc w:val="both"/>
        <w:rPr>
          <w:rFonts w:ascii="Times New Roman" w:hAnsi="Times New Roman"/>
        </w:rPr>
      </w:pPr>
    </w:p>
    <w:p w:rsidR="00920D31" w:rsidRPr="000B3621" w:rsidRDefault="00920D31" w:rsidP="00F85D64">
      <w:pPr>
        <w:widowControl/>
        <w:ind w:firstLine="720"/>
        <w:rPr>
          <w:rFonts w:ascii="Times New Roman" w:hAnsi="Times New Roman"/>
        </w:rPr>
      </w:pPr>
      <w:r w:rsidRPr="000B3621">
        <w:rPr>
          <w:rFonts w:ascii="Times New Roman" w:hAnsi="Times New Roman"/>
          <w:b/>
        </w:rPr>
        <w:t xml:space="preserve">Other </w:t>
      </w:r>
      <w:r w:rsidR="00FC692D" w:rsidRPr="000B3621">
        <w:rPr>
          <w:rFonts w:ascii="Times New Roman" w:hAnsi="Times New Roman"/>
          <w:b/>
        </w:rPr>
        <w:t>Divisions</w:t>
      </w:r>
    </w:p>
    <w:p w:rsidR="00CA4AE5" w:rsidRPr="000B3621" w:rsidRDefault="00CA4AE5" w:rsidP="00CA4AE5">
      <w:pPr>
        <w:widowControl/>
        <w:tabs>
          <w:tab w:val="left" w:pos="576"/>
          <w:tab w:val="left" w:pos="1008"/>
          <w:tab w:val="left" w:pos="5904"/>
        </w:tabs>
        <w:rPr>
          <w:rFonts w:ascii="Times New Roman" w:hAnsi="Times New Roman"/>
        </w:rPr>
      </w:pPr>
    </w:p>
    <w:p w:rsidR="00920D31" w:rsidRPr="00F85D64" w:rsidRDefault="00CA4AE5" w:rsidP="0079378F">
      <w:pPr>
        <w:widowControl/>
        <w:ind w:firstLine="720"/>
        <w:jc w:val="both"/>
        <w:rPr>
          <w:rFonts w:ascii="Times New Roman" w:hAnsi="Times New Roman"/>
        </w:rPr>
      </w:pPr>
      <w:r w:rsidRPr="000B3621">
        <w:rPr>
          <w:rFonts w:ascii="Times New Roman" w:hAnsi="Times New Roman"/>
        </w:rPr>
        <w:t>Other divisions can choose at any time to enter into a contract with the SRC.  The purchase of interview time in subsequent years requires Federal Reserve Board approval through normal budget procedures.</w:t>
      </w:r>
    </w:p>
    <w:sectPr w:rsidR="00920D31" w:rsidRPr="00F85D64" w:rsidSect="007203EE">
      <w:headerReference w:type="default" r:id="rId8"/>
      <w:footerReference w:type="even" r:id="rId9"/>
      <w:footerReference w:type="default" r:id="rId10"/>
      <w:headerReference w:type="first" r:id="rId11"/>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320" w:rsidRDefault="00536320" w:rsidP="005B683B">
      <w:r>
        <w:separator/>
      </w:r>
    </w:p>
  </w:endnote>
  <w:endnote w:type="continuationSeparator" w:id="0">
    <w:p w:rsidR="00536320" w:rsidRDefault="00536320" w:rsidP="005B68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B3F" w:rsidRDefault="009D054E" w:rsidP="00D0054A">
    <w:pPr>
      <w:pStyle w:val="Footer"/>
      <w:framePr w:wrap="around" w:vAnchor="text" w:hAnchor="margin" w:xAlign="center" w:y="1"/>
      <w:rPr>
        <w:rStyle w:val="PageNumber"/>
      </w:rPr>
    </w:pPr>
    <w:r>
      <w:rPr>
        <w:rStyle w:val="PageNumber"/>
      </w:rPr>
      <w:fldChar w:fldCharType="begin"/>
    </w:r>
    <w:r w:rsidR="00606B3F">
      <w:rPr>
        <w:rStyle w:val="PageNumber"/>
      </w:rPr>
      <w:instrText xml:space="preserve">PAGE  </w:instrText>
    </w:r>
    <w:r>
      <w:rPr>
        <w:rStyle w:val="PageNumber"/>
      </w:rPr>
      <w:fldChar w:fldCharType="end"/>
    </w:r>
  </w:p>
  <w:p w:rsidR="00606B3F" w:rsidRDefault="00606B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119747079"/>
      <w:docPartObj>
        <w:docPartGallery w:val="Page Numbers (Bottom of Page)"/>
        <w:docPartUnique/>
      </w:docPartObj>
    </w:sdtPr>
    <w:sdtContent>
      <w:p w:rsidR="00606B3F" w:rsidRPr="007203EE" w:rsidRDefault="009D054E" w:rsidP="007203EE">
        <w:pPr>
          <w:pStyle w:val="Footer"/>
          <w:jc w:val="center"/>
          <w:rPr>
            <w:rFonts w:ascii="Times New Roman" w:hAnsi="Times New Roman"/>
          </w:rPr>
        </w:pPr>
        <w:r w:rsidRPr="007203EE">
          <w:rPr>
            <w:rFonts w:ascii="Times New Roman" w:hAnsi="Times New Roman"/>
          </w:rPr>
          <w:fldChar w:fldCharType="begin"/>
        </w:r>
        <w:r w:rsidR="00606B3F" w:rsidRPr="007203EE">
          <w:rPr>
            <w:rFonts w:ascii="Times New Roman" w:hAnsi="Times New Roman"/>
          </w:rPr>
          <w:instrText xml:space="preserve"> PAGE   \* MERGEFORMAT </w:instrText>
        </w:r>
        <w:r w:rsidRPr="007203EE">
          <w:rPr>
            <w:rFonts w:ascii="Times New Roman" w:hAnsi="Times New Roman"/>
          </w:rPr>
          <w:fldChar w:fldCharType="separate"/>
        </w:r>
        <w:r w:rsidR="000B202F">
          <w:rPr>
            <w:rFonts w:ascii="Times New Roman" w:hAnsi="Times New Roman"/>
            <w:noProof/>
          </w:rPr>
          <w:t>5</w:t>
        </w:r>
        <w:r w:rsidRPr="007203EE">
          <w:rPr>
            <w:rFonts w:ascii="Times New Roman" w:hAnsi="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320" w:rsidRDefault="00536320" w:rsidP="005B683B">
      <w:r>
        <w:separator/>
      </w:r>
    </w:p>
  </w:footnote>
  <w:footnote w:type="continuationSeparator" w:id="0">
    <w:p w:rsidR="00536320" w:rsidRDefault="00536320" w:rsidP="005B683B">
      <w:r>
        <w:continuationSeparator/>
      </w:r>
    </w:p>
  </w:footnote>
  <w:footnote w:id="1">
    <w:p w:rsidR="00606B3F" w:rsidRDefault="00606B3F" w:rsidP="0079378F">
      <w:pPr>
        <w:pStyle w:val="FootnoteText"/>
        <w:jc w:val="both"/>
      </w:pPr>
      <w:r w:rsidRPr="009E1E9D">
        <w:rPr>
          <w:rStyle w:val="FootnoteReference"/>
          <w:rFonts w:ascii="Times New Roman" w:hAnsi="Times New Roman"/>
          <w:vertAlign w:val="superscript"/>
        </w:rPr>
        <w:footnoteRef/>
      </w:r>
      <w:r w:rsidRPr="009E1E9D">
        <w:rPr>
          <w:rFonts w:ascii="Times New Roman" w:hAnsi="Times New Roman"/>
          <w:vertAlign w:val="superscript"/>
        </w:rPr>
        <w:t xml:space="preserve"> </w:t>
      </w:r>
      <w:proofErr w:type="spellStart"/>
      <w:r w:rsidRPr="00BB1D5E">
        <w:rPr>
          <w:rFonts w:ascii="Times New Roman" w:hAnsi="Times New Roman"/>
          <w:szCs w:val="24"/>
        </w:rPr>
        <w:t>Pub.L</w:t>
      </w:r>
      <w:proofErr w:type="spellEnd"/>
      <w:r w:rsidRPr="00BB1D5E">
        <w:rPr>
          <w:rFonts w:ascii="Times New Roman" w:hAnsi="Times New Roman"/>
          <w:szCs w:val="24"/>
        </w:rPr>
        <w:t>. 111-203, H.R. 4173</w:t>
      </w:r>
      <w:r>
        <w:rPr>
          <w:rFonts w:ascii="Times New Roman" w:hAnsi="Times New Roman"/>
          <w:szCs w:val="24"/>
        </w:rPr>
        <w:t>.</w:t>
      </w:r>
    </w:p>
  </w:footnote>
  <w:footnote w:id="2">
    <w:p w:rsidR="00606B3F" w:rsidRPr="006A4A12" w:rsidRDefault="00606B3F">
      <w:pPr>
        <w:pStyle w:val="FootnoteText"/>
        <w:rPr>
          <w:rFonts w:ascii="Times New Roman" w:hAnsi="Times New Roman"/>
        </w:rPr>
      </w:pPr>
      <w:r w:rsidRPr="006A4A12">
        <w:rPr>
          <w:rStyle w:val="FootnoteReference"/>
          <w:rFonts w:ascii="Times New Roman" w:hAnsi="Times New Roman"/>
          <w:vertAlign w:val="superscript"/>
        </w:rPr>
        <w:footnoteRef/>
      </w:r>
      <w:r w:rsidRPr="006A4A12">
        <w:rPr>
          <w:rFonts w:ascii="Times New Roman" w:hAnsi="Times New Roman"/>
          <w:vertAlign w:val="superscript"/>
        </w:rPr>
        <w:t xml:space="preserve">  </w:t>
      </w:r>
      <w:r w:rsidRPr="006A4A12">
        <w:rPr>
          <w:rFonts w:ascii="Times New Roman" w:hAnsi="Times New Roman"/>
        </w:rPr>
        <w:t xml:space="preserve">Total cost to the public was estimated using the following formula: percent of staff time, multiplied by annual burden hours, multiplied by hourly rate (30% Office &amp; Administrative Support @ $16, 45% Financial Managers @ $48, 15% Legal Counsel @ $54, and 10% Chief Executives @ $76).  Hourly rate for each occupational group are the median hourly wages (rounded up) from the Bureau of Labor and Statistics (BLS), Occupational Employment and Wages 2008, </w:t>
      </w:r>
      <w:hyperlink r:id="rId1" w:history="1">
        <w:r w:rsidR="006A4A12" w:rsidRPr="00D36180">
          <w:rPr>
            <w:rStyle w:val="Hyperlink"/>
            <w:rFonts w:ascii="Times New Roman" w:hAnsi="Times New Roman"/>
          </w:rPr>
          <w:t>www.bls.gov/news.release/ocwage.nr0.htm</w:t>
        </w:r>
      </w:hyperlink>
      <w:r w:rsidRPr="006A4A12">
        <w:rPr>
          <w:rFonts w:ascii="Times New Roman" w:hAnsi="Times New Roman"/>
        </w:rPr>
        <w:t>.  Occupations are defined using the BLS Occupational Classification System,</w:t>
      </w:r>
      <w:r w:rsidR="006A4A12">
        <w:rPr>
          <w:rFonts w:ascii="Times New Roman" w:hAnsi="Times New Roman"/>
        </w:rPr>
        <w:t xml:space="preserve"> </w:t>
      </w:r>
      <w:hyperlink r:id="rId2" w:history="1">
        <w:r w:rsidR="006A4A12" w:rsidRPr="00D36180">
          <w:rPr>
            <w:rStyle w:val="Hyperlink"/>
            <w:rFonts w:ascii="Times New Roman" w:hAnsi="Times New Roman"/>
          </w:rPr>
          <w:t>www.bls.gov/soc/</w:t>
        </w:r>
      </w:hyperlink>
      <w:r w:rsidR="006A4A12">
        <w:rPr>
          <w:rFonts w:ascii="Times New Roman" w:hAnsi="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B3F" w:rsidRPr="007203EE" w:rsidRDefault="00606B3F" w:rsidP="007203EE">
    <w:pPr>
      <w:widowControl/>
      <w:tabs>
        <w:tab w:val="right" w:pos="9360"/>
      </w:tabs>
      <w:rPr>
        <w:rFonts w:ascii="Times New Roman" w:hAnsi="Times New Roman"/>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B3F" w:rsidRPr="00474B79" w:rsidRDefault="00606B3F" w:rsidP="007203EE">
    <w:pPr>
      <w:widowControl/>
      <w:tabs>
        <w:tab w:val="right" w:pos="9360"/>
      </w:tabs>
      <w:rPr>
        <w:rFonts w:ascii="Times New Roman" w:hAnsi="Times New Roman"/>
        <w:b/>
        <w:color w:val="0000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322C0"/>
    <w:multiLevelType w:val="singleLevel"/>
    <w:tmpl w:val="2FEAB384"/>
    <w:lvl w:ilvl="0">
      <w:start w:val="1"/>
      <w:numFmt w:val="bullet"/>
      <w:lvlText w:val=""/>
      <w:lvlJc w:val="left"/>
      <w:pPr>
        <w:tabs>
          <w:tab w:val="num" w:pos="360"/>
        </w:tabs>
        <w:ind w:left="360" w:hanging="360"/>
      </w:pPr>
      <w:rPr>
        <w:rFonts w:ascii="Symbol" w:hAnsi="Symbol" w:hint="default"/>
        <w:sz w:val="20"/>
      </w:rPr>
    </w:lvl>
  </w:abstractNum>
  <w:abstractNum w:abstractNumId="1">
    <w:nsid w:val="2EFD68AF"/>
    <w:multiLevelType w:val="singleLevel"/>
    <w:tmpl w:val="2FEAB384"/>
    <w:lvl w:ilvl="0">
      <w:start w:val="1"/>
      <w:numFmt w:val="bullet"/>
      <w:lvlText w:val=""/>
      <w:lvlJc w:val="left"/>
      <w:pPr>
        <w:tabs>
          <w:tab w:val="num" w:pos="360"/>
        </w:tabs>
        <w:ind w:left="360" w:hanging="360"/>
      </w:pPr>
      <w:rPr>
        <w:rFonts w:ascii="Symbol" w:hAnsi="Symbol" w:hint="default"/>
        <w:sz w:val="20"/>
      </w:rPr>
    </w:lvl>
  </w:abstractNum>
  <w:abstractNum w:abstractNumId="2">
    <w:nsid w:val="3F892E54"/>
    <w:multiLevelType w:val="singleLevel"/>
    <w:tmpl w:val="2FEAB384"/>
    <w:lvl w:ilvl="0">
      <w:start w:val="1"/>
      <w:numFmt w:val="bullet"/>
      <w:lvlText w:val=""/>
      <w:lvlJc w:val="left"/>
      <w:pPr>
        <w:tabs>
          <w:tab w:val="num" w:pos="360"/>
        </w:tabs>
        <w:ind w:left="360" w:hanging="360"/>
      </w:pPr>
      <w:rPr>
        <w:rFonts w:ascii="Symbol" w:hAnsi="Symbol" w:hint="default"/>
        <w:sz w:val="20"/>
      </w:rPr>
    </w:lvl>
  </w:abstractNum>
  <w:abstractNum w:abstractNumId="3">
    <w:nsid w:val="49126C9B"/>
    <w:multiLevelType w:val="singleLevel"/>
    <w:tmpl w:val="2FEAB384"/>
    <w:lvl w:ilvl="0">
      <w:start w:val="1"/>
      <w:numFmt w:val="bullet"/>
      <w:lvlText w:val=""/>
      <w:lvlJc w:val="left"/>
      <w:pPr>
        <w:tabs>
          <w:tab w:val="num" w:pos="360"/>
        </w:tabs>
        <w:ind w:left="360" w:hanging="360"/>
      </w:pPr>
      <w:rPr>
        <w:rFonts w:ascii="Symbol" w:hAnsi="Symbol" w:hint="default"/>
        <w:sz w:val="20"/>
      </w:rPr>
    </w:lvl>
  </w:abstractNum>
  <w:abstractNum w:abstractNumId="4">
    <w:nsid w:val="62B628F0"/>
    <w:multiLevelType w:val="singleLevel"/>
    <w:tmpl w:val="2FEAB384"/>
    <w:lvl w:ilvl="0">
      <w:start w:val="1"/>
      <w:numFmt w:val="bullet"/>
      <w:lvlText w:val=""/>
      <w:lvlJc w:val="left"/>
      <w:pPr>
        <w:tabs>
          <w:tab w:val="num" w:pos="360"/>
        </w:tabs>
        <w:ind w:left="360" w:hanging="360"/>
      </w:pPr>
      <w:rPr>
        <w:rFonts w:ascii="Symbol" w:hAnsi="Symbol" w:hint="default"/>
        <w:sz w:val="20"/>
      </w:rPr>
    </w:lvl>
  </w:abstractNum>
  <w:abstractNum w:abstractNumId="5">
    <w:nsid w:val="77A420FC"/>
    <w:multiLevelType w:val="singleLevel"/>
    <w:tmpl w:val="2FEAB384"/>
    <w:lvl w:ilvl="0">
      <w:start w:val="1"/>
      <w:numFmt w:val="bullet"/>
      <w:lvlText w:val=""/>
      <w:lvlJc w:val="left"/>
      <w:pPr>
        <w:tabs>
          <w:tab w:val="num" w:pos="360"/>
        </w:tabs>
        <w:ind w:left="360" w:hanging="360"/>
      </w:pPr>
      <w:rPr>
        <w:rFonts w:ascii="Symbol" w:hAnsi="Symbol" w:hint="default"/>
        <w:sz w:val="20"/>
      </w:rPr>
    </w:lvl>
  </w:abstractNum>
  <w:abstractNum w:abstractNumId="6">
    <w:nsid w:val="7A17091A"/>
    <w:multiLevelType w:val="singleLevel"/>
    <w:tmpl w:val="2FEAB384"/>
    <w:lvl w:ilvl="0">
      <w:start w:val="1"/>
      <w:numFmt w:val="bullet"/>
      <w:lvlText w:val=""/>
      <w:lvlJc w:val="left"/>
      <w:pPr>
        <w:tabs>
          <w:tab w:val="num" w:pos="360"/>
        </w:tabs>
        <w:ind w:left="360" w:hanging="360"/>
      </w:pPr>
      <w:rPr>
        <w:rFonts w:ascii="Symbol" w:hAnsi="Symbol" w:hint="default"/>
        <w:sz w:val="20"/>
      </w:rPr>
    </w:lvl>
  </w:abstractNum>
  <w:num w:numId="1">
    <w:abstractNumId w:val="0"/>
  </w:num>
  <w:num w:numId="2">
    <w:abstractNumId w:val="6"/>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BC1365"/>
    <w:rsid w:val="000153B2"/>
    <w:rsid w:val="00032E5A"/>
    <w:rsid w:val="00047933"/>
    <w:rsid w:val="00062380"/>
    <w:rsid w:val="00063AE3"/>
    <w:rsid w:val="00066A1A"/>
    <w:rsid w:val="000774B0"/>
    <w:rsid w:val="00082D1B"/>
    <w:rsid w:val="000839CB"/>
    <w:rsid w:val="000846ED"/>
    <w:rsid w:val="000853AA"/>
    <w:rsid w:val="000A76DA"/>
    <w:rsid w:val="000A7746"/>
    <w:rsid w:val="000B202F"/>
    <w:rsid w:val="000B3621"/>
    <w:rsid w:val="000B39A0"/>
    <w:rsid w:val="000B6B32"/>
    <w:rsid w:val="00125C03"/>
    <w:rsid w:val="001502F6"/>
    <w:rsid w:val="001503FD"/>
    <w:rsid w:val="00157761"/>
    <w:rsid w:val="00160C9B"/>
    <w:rsid w:val="00164263"/>
    <w:rsid w:val="00164BC6"/>
    <w:rsid w:val="001B0C24"/>
    <w:rsid w:val="001F4E3C"/>
    <w:rsid w:val="001F5AC7"/>
    <w:rsid w:val="00204248"/>
    <w:rsid w:val="00221E50"/>
    <w:rsid w:val="00270D75"/>
    <w:rsid w:val="002932B0"/>
    <w:rsid w:val="002B0F0E"/>
    <w:rsid w:val="002B521F"/>
    <w:rsid w:val="002C092A"/>
    <w:rsid w:val="002C44B1"/>
    <w:rsid w:val="002D7E04"/>
    <w:rsid w:val="002E3581"/>
    <w:rsid w:val="002E504F"/>
    <w:rsid w:val="002F24E7"/>
    <w:rsid w:val="003002D9"/>
    <w:rsid w:val="0030417A"/>
    <w:rsid w:val="003148DD"/>
    <w:rsid w:val="00331F2E"/>
    <w:rsid w:val="0034624F"/>
    <w:rsid w:val="003510B2"/>
    <w:rsid w:val="00355E02"/>
    <w:rsid w:val="003623B5"/>
    <w:rsid w:val="00367C97"/>
    <w:rsid w:val="003A112D"/>
    <w:rsid w:val="003A62B5"/>
    <w:rsid w:val="003F467B"/>
    <w:rsid w:val="00417ECC"/>
    <w:rsid w:val="004257F3"/>
    <w:rsid w:val="00436FAB"/>
    <w:rsid w:val="00443190"/>
    <w:rsid w:val="00446C79"/>
    <w:rsid w:val="00474B79"/>
    <w:rsid w:val="00483119"/>
    <w:rsid w:val="00493F80"/>
    <w:rsid w:val="00494EA7"/>
    <w:rsid w:val="004A698A"/>
    <w:rsid w:val="004B1338"/>
    <w:rsid w:val="004B5678"/>
    <w:rsid w:val="004B5A56"/>
    <w:rsid w:val="004C660D"/>
    <w:rsid w:val="004D7344"/>
    <w:rsid w:val="00514218"/>
    <w:rsid w:val="005204E3"/>
    <w:rsid w:val="005244CF"/>
    <w:rsid w:val="00525067"/>
    <w:rsid w:val="005305A3"/>
    <w:rsid w:val="0053229C"/>
    <w:rsid w:val="00534EC7"/>
    <w:rsid w:val="00536320"/>
    <w:rsid w:val="005771BD"/>
    <w:rsid w:val="00590106"/>
    <w:rsid w:val="005B0291"/>
    <w:rsid w:val="005B683B"/>
    <w:rsid w:val="005C222E"/>
    <w:rsid w:val="005E2797"/>
    <w:rsid w:val="005E5F5A"/>
    <w:rsid w:val="005F0BEE"/>
    <w:rsid w:val="005F3A84"/>
    <w:rsid w:val="005F7921"/>
    <w:rsid w:val="00606B3F"/>
    <w:rsid w:val="00621929"/>
    <w:rsid w:val="00623924"/>
    <w:rsid w:val="00623AA0"/>
    <w:rsid w:val="006269B5"/>
    <w:rsid w:val="00636BF3"/>
    <w:rsid w:val="00657FB9"/>
    <w:rsid w:val="00677B20"/>
    <w:rsid w:val="006900CE"/>
    <w:rsid w:val="00691FC4"/>
    <w:rsid w:val="006A4A12"/>
    <w:rsid w:val="006B4FD0"/>
    <w:rsid w:val="006C6A1D"/>
    <w:rsid w:val="006D432A"/>
    <w:rsid w:val="006D5A54"/>
    <w:rsid w:val="006D5C39"/>
    <w:rsid w:val="007036D7"/>
    <w:rsid w:val="00706921"/>
    <w:rsid w:val="007203EE"/>
    <w:rsid w:val="00723E92"/>
    <w:rsid w:val="00732CDA"/>
    <w:rsid w:val="00732EC0"/>
    <w:rsid w:val="00737B75"/>
    <w:rsid w:val="00744CA1"/>
    <w:rsid w:val="00754FDC"/>
    <w:rsid w:val="00765790"/>
    <w:rsid w:val="00790126"/>
    <w:rsid w:val="0079378F"/>
    <w:rsid w:val="00797D60"/>
    <w:rsid w:val="007B0638"/>
    <w:rsid w:val="007B08D1"/>
    <w:rsid w:val="007B53B8"/>
    <w:rsid w:val="007B7843"/>
    <w:rsid w:val="007C37A2"/>
    <w:rsid w:val="007E06D2"/>
    <w:rsid w:val="007E2C14"/>
    <w:rsid w:val="007E4CE2"/>
    <w:rsid w:val="007E7762"/>
    <w:rsid w:val="00802A8D"/>
    <w:rsid w:val="00807D2D"/>
    <w:rsid w:val="008102F8"/>
    <w:rsid w:val="00831253"/>
    <w:rsid w:val="008464B3"/>
    <w:rsid w:val="0086488B"/>
    <w:rsid w:val="00864DE8"/>
    <w:rsid w:val="00876D09"/>
    <w:rsid w:val="00883A1C"/>
    <w:rsid w:val="00884F74"/>
    <w:rsid w:val="00895E4D"/>
    <w:rsid w:val="008B4EA8"/>
    <w:rsid w:val="008C1654"/>
    <w:rsid w:val="008C31DA"/>
    <w:rsid w:val="008D79E1"/>
    <w:rsid w:val="008E6DCB"/>
    <w:rsid w:val="008F780F"/>
    <w:rsid w:val="008F7DC7"/>
    <w:rsid w:val="00904D66"/>
    <w:rsid w:val="0091233B"/>
    <w:rsid w:val="00920D31"/>
    <w:rsid w:val="00936637"/>
    <w:rsid w:val="009467DF"/>
    <w:rsid w:val="00950049"/>
    <w:rsid w:val="0095121B"/>
    <w:rsid w:val="00952AF2"/>
    <w:rsid w:val="00956A5F"/>
    <w:rsid w:val="00975041"/>
    <w:rsid w:val="00977B6B"/>
    <w:rsid w:val="00982C76"/>
    <w:rsid w:val="00987844"/>
    <w:rsid w:val="00993576"/>
    <w:rsid w:val="009D054E"/>
    <w:rsid w:val="009D0A1D"/>
    <w:rsid w:val="009D305E"/>
    <w:rsid w:val="009D4CF8"/>
    <w:rsid w:val="009D5AEE"/>
    <w:rsid w:val="009D68F4"/>
    <w:rsid w:val="009E1E9D"/>
    <w:rsid w:val="009E637D"/>
    <w:rsid w:val="009F2614"/>
    <w:rsid w:val="009F47DB"/>
    <w:rsid w:val="009F4AC3"/>
    <w:rsid w:val="00A103CF"/>
    <w:rsid w:val="00A131C3"/>
    <w:rsid w:val="00A16B90"/>
    <w:rsid w:val="00A20FBF"/>
    <w:rsid w:val="00A3514F"/>
    <w:rsid w:val="00A54DFC"/>
    <w:rsid w:val="00A56A7F"/>
    <w:rsid w:val="00A60064"/>
    <w:rsid w:val="00A71282"/>
    <w:rsid w:val="00A873E7"/>
    <w:rsid w:val="00A9243D"/>
    <w:rsid w:val="00AA212A"/>
    <w:rsid w:val="00AA72EB"/>
    <w:rsid w:val="00AC24BB"/>
    <w:rsid w:val="00AD4F44"/>
    <w:rsid w:val="00AE1F8A"/>
    <w:rsid w:val="00AE42A2"/>
    <w:rsid w:val="00AE6960"/>
    <w:rsid w:val="00AF31B9"/>
    <w:rsid w:val="00AF450B"/>
    <w:rsid w:val="00AF4522"/>
    <w:rsid w:val="00B00267"/>
    <w:rsid w:val="00B0623B"/>
    <w:rsid w:val="00B06CA9"/>
    <w:rsid w:val="00B13286"/>
    <w:rsid w:val="00B453E9"/>
    <w:rsid w:val="00B50BF8"/>
    <w:rsid w:val="00B52515"/>
    <w:rsid w:val="00B6318F"/>
    <w:rsid w:val="00B769DC"/>
    <w:rsid w:val="00B907C6"/>
    <w:rsid w:val="00B96BF8"/>
    <w:rsid w:val="00BB1D5E"/>
    <w:rsid w:val="00BC1365"/>
    <w:rsid w:val="00BD153D"/>
    <w:rsid w:val="00BD3210"/>
    <w:rsid w:val="00BD35D7"/>
    <w:rsid w:val="00BE1B0A"/>
    <w:rsid w:val="00BE28E6"/>
    <w:rsid w:val="00BE6745"/>
    <w:rsid w:val="00BF0C59"/>
    <w:rsid w:val="00C0233D"/>
    <w:rsid w:val="00C310B3"/>
    <w:rsid w:val="00C33585"/>
    <w:rsid w:val="00C53BD9"/>
    <w:rsid w:val="00C577CB"/>
    <w:rsid w:val="00C64632"/>
    <w:rsid w:val="00C72ACC"/>
    <w:rsid w:val="00C73BE2"/>
    <w:rsid w:val="00C7528F"/>
    <w:rsid w:val="00C75989"/>
    <w:rsid w:val="00C9361C"/>
    <w:rsid w:val="00CA18A7"/>
    <w:rsid w:val="00CA2A37"/>
    <w:rsid w:val="00CA4AE5"/>
    <w:rsid w:val="00CB32B4"/>
    <w:rsid w:val="00CC1B0E"/>
    <w:rsid w:val="00CD0B51"/>
    <w:rsid w:val="00CD60AD"/>
    <w:rsid w:val="00CE3B13"/>
    <w:rsid w:val="00CE4F55"/>
    <w:rsid w:val="00CF41BB"/>
    <w:rsid w:val="00D0054A"/>
    <w:rsid w:val="00D12892"/>
    <w:rsid w:val="00D1542C"/>
    <w:rsid w:val="00D26AF3"/>
    <w:rsid w:val="00D33D2E"/>
    <w:rsid w:val="00D46AC1"/>
    <w:rsid w:val="00D51834"/>
    <w:rsid w:val="00D5396F"/>
    <w:rsid w:val="00D5508E"/>
    <w:rsid w:val="00D71982"/>
    <w:rsid w:val="00D72527"/>
    <w:rsid w:val="00D92347"/>
    <w:rsid w:val="00D92EC5"/>
    <w:rsid w:val="00DA342E"/>
    <w:rsid w:val="00DB0260"/>
    <w:rsid w:val="00DB2BEF"/>
    <w:rsid w:val="00DB3D0F"/>
    <w:rsid w:val="00DC0772"/>
    <w:rsid w:val="00DC3E5C"/>
    <w:rsid w:val="00DC4A54"/>
    <w:rsid w:val="00DC4C06"/>
    <w:rsid w:val="00DD2F1F"/>
    <w:rsid w:val="00DD5935"/>
    <w:rsid w:val="00DD6320"/>
    <w:rsid w:val="00DE7033"/>
    <w:rsid w:val="00E05A36"/>
    <w:rsid w:val="00E640CB"/>
    <w:rsid w:val="00E83A2C"/>
    <w:rsid w:val="00E843D6"/>
    <w:rsid w:val="00E844AE"/>
    <w:rsid w:val="00E85C51"/>
    <w:rsid w:val="00E90C81"/>
    <w:rsid w:val="00E9329B"/>
    <w:rsid w:val="00EA4008"/>
    <w:rsid w:val="00EA563C"/>
    <w:rsid w:val="00EC2B64"/>
    <w:rsid w:val="00EC620D"/>
    <w:rsid w:val="00EC6313"/>
    <w:rsid w:val="00ED0F65"/>
    <w:rsid w:val="00EE3E16"/>
    <w:rsid w:val="00EE6A6A"/>
    <w:rsid w:val="00EE6DE0"/>
    <w:rsid w:val="00F05471"/>
    <w:rsid w:val="00F10129"/>
    <w:rsid w:val="00F151A1"/>
    <w:rsid w:val="00F15E77"/>
    <w:rsid w:val="00F34140"/>
    <w:rsid w:val="00F5430D"/>
    <w:rsid w:val="00F601CD"/>
    <w:rsid w:val="00F649DB"/>
    <w:rsid w:val="00F8033D"/>
    <w:rsid w:val="00F84D8D"/>
    <w:rsid w:val="00F85D64"/>
    <w:rsid w:val="00F94B5F"/>
    <w:rsid w:val="00F96404"/>
    <w:rsid w:val="00FB6C8F"/>
    <w:rsid w:val="00FC3733"/>
    <w:rsid w:val="00FC692D"/>
    <w:rsid w:val="00FE4F05"/>
    <w:rsid w:val="00FE76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A84"/>
    <w:pPr>
      <w:widowControl w:val="0"/>
    </w:pPr>
    <w:rPr>
      <w:rFonts w:ascii="Courier" w:hAnsi="Courier"/>
      <w:snapToGrid w:val="0"/>
      <w:sz w:val="24"/>
    </w:rPr>
  </w:style>
  <w:style w:type="paragraph" w:styleId="Heading1">
    <w:name w:val="heading 1"/>
    <w:basedOn w:val="Normal"/>
    <w:next w:val="Normal"/>
    <w:qFormat/>
    <w:rsid w:val="005F3A84"/>
    <w:pPr>
      <w:keepNext/>
      <w:widowControl/>
      <w:tabs>
        <w:tab w:val="left" w:pos="576"/>
        <w:tab w:val="left" w:pos="1008"/>
        <w:tab w:val="left" w:pos="5904"/>
      </w:tabs>
      <w:outlineLvl w:val="0"/>
    </w:pPr>
    <w:rPr>
      <w:rFonts w:ascii="Times" w:hAnsi="Times"/>
      <w:b/>
    </w:rPr>
  </w:style>
  <w:style w:type="paragraph" w:styleId="Heading2">
    <w:name w:val="heading 2"/>
    <w:basedOn w:val="Normal"/>
    <w:next w:val="Normal"/>
    <w:qFormat/>
    <w:rsid w:val="005F3A84"/>
    <w:pPr>
      <w:keepNext/>
      <w:widowControl/>
      <w:tabs>
        <w:tab w:val="left" w:pos="576"/>
        <w:tab w:val="left" w:pos="1008"/>
        <w:tab w:val="left" w:pos="5904"/>
      </w:tabs>
      <w:spacing w:after="58"/>
      <w:jc w:val="right"/>
      <w:outlineLvl w:val="1"/>
    </w:pPr>
    <w:rPr>
      <w:rFonts w:ascii="Times New Roman" w:hAnsi="Times New Roman"/>
      <w:i/>
      <w:iCs/>
    </w:rPr>
  </w:style>
  <w:style w:type="paragraph" w:styleId="Heading3">
    <w:name w:val="heading 3"/>
    <w:basedOn w:val="Normal"/>
    <w:next w:val="Normal"/>
    <w:qFormat/>
    <w:rsid w:val="005F3A84"/>
    <w:pPr>
      <w:keepNext/>
      <w:tabs>
        <w:tab w:val="center" w:pos="4680"/>
      </w:tabs>
      <w:jc w:val="cente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F3A84"/>
  </w:style>
  <w:style w:type="paragraph" w:styleId="BodyText">
    <w:name w:val="Body Text"/>
    <w:basedOn w:val="Normal"/>
    <w:rsid w:val="005F3A84"/>
    <w:pPr>
      <w:widowControl/>
      <w:tabs>
        <w:tab w:val="left" w:pos="576"/>
        <w:tab w:val="left" w:pos="1008"/>
        <w:tab w:val="left" w:pos="5904"/>
      </w:tabs>
    </w:pPr>
    <w:rPr>
      <w:color w:val="000000"/>
      <w:szCs w:val="24"/>
    </w:rPr>
  </w:style>
  <w:style w:type="paragraph" w:styleId="BodyTextIndent">
    <w:name w:val="Body Text Indent"/>
    <w:basedOn w:val="Normal"/>
    <w:rsid w:val="005F3A84"/>
    <w:pPr>
      <w:widowControl/>
      <w:tabs>
        <w:tab w:val="left" w:pos="576"/>
        <w:tab w:val="left" w:pos="1008"/>
        <w:tab w:val="left" w:pos="5904"/>
      </w:tabs>
      <w:ind w:firstLine="576"/>
      <w:jc w:val="both"/>
    </w:pPr>
    <w:rPr>
      <w:rFonts w:ascii="Times New Roman" w:hAnsi="Times New Roman"/>
    </w:rPr>
  </w:style>
  <w:style w:type="paragraph" w:styleId="Title">
    <w:name w:val="Title"/>
    <w:basedOn w:val="Normal"/>
    <w:qFormat/>
    <w:rsid w:val="005F3A84"/>
    <w:pPr>
      <w:widowControl/>
      <w:jc w:val="center"/>
    </w:pPr>
    <w:rPr>
      <w:rFonts w:ascii="Times New Roman" w:hAnsi="Times New Roman"/>
      <w:b/>
      <w:snapToGrid/>
      <w:sz w:val="28"/>
      <w:u w:val="single"/>
    </w:rPr>
  </w:style>
  <w:style w:type="paragraph" w:styleId="Subtitle">
    <w:name w:val="Subtitle"/>
    <w:basedOn w:val="Normal"/>
    <w:qFormat/>
    <w:rsid w:val="005F3A84"/>
    <w:pPr>
      <w:widowControl/>
      <w:jc w:val="center"/>
    </w:pPr>
    <w:rPr>
      <w:rFonts w:ascii="Times New Roman" w:hAnsi="Times New Roman"/>
      <w:snapToGrid/>
    </w:rPr>
  </w:style>
  <w:style w:type="paragraph" w:styleId="BodyTextIndent3">
    <w:name w:val="Body Text Indent 3"/>
    <w:basedOn w:val="Normal"/>
    <w:rsid w:val="005F3A84"/>
    <w:pPr>
      <w:widowControl/>
      <w:ind w:left="720"/>
    </w:pPr>
    <w:rPr>
      <w:rFonts w:ascii="Times New Roman" w:hAnsi="Times New Roman"/>
      <w:snapToGrid/>
    </w:rPr>
  </w:style>
  <w:style w:type="paragraph" w:styleId="Footer">
    <w:name w:val="footer"/>
    <w:basedOn w:val="Normal"/>
    <w:link w:val="FooterChar"/>
    <w:uiPriority w:val="99"/>
    <w:rsid w:val="005F3A84"/>
    <w:pPr>
      <w:tabs>
        <w:tab w:val="center" w:pos="4320"/>
        <w:tab w:val="right" w:pos="8640"/>
      </w:tabs>
    </w:pPr>
  </w:style>
  <w:style w:type="character" w:styleId="PageNumber">
    <w:name w:val="page number"/>
    <w:basedOn w:val="DefaultParagraphFont"/>
    <w:rsid w:val="005F3A84"/>
  </w:style>
  <w:style w:type="paragraph" w:styleId="Header">
    <w:name w:val="header"/>
    <w:basedOn w:val="Normal"/>
    <w:rsid w:val="005F3A84"/>
    <w:pPr>
      <w:tabs>
        <w:tab w:val="center" w:pos="4320"/>
        <w:tab w:val="right" w:pos="8640"/>
      </w:tabs>
    </w:pPr>
  </w:style>
  <w:style w:type="paragraph" w:styleId="FootnoteText">
    <w:name w:val="footnote text"/>
    <w:aliases w:val="ft"/>
    <w:basedOn w:val="Normal"/>
    <w:link w:val="FootnoteTextChar"/>
    <w:uiPriority w:val="99"/>
    <w:semiHidden/>
    <w:rsid w:val="005F3A84"/>
    <w:rPr>
      <w:sz w:val="20"/>
    </w:rPr>
  </w:style>
  <w:style w:type="paragraph" w:styleId="BodyTextIndent2">
    <w:name w:val="Body Text Indent 2"/>
    <w:basedOn w:val="Normal"/>
    <w:rsid w:val="005F3A84"/>
    <w:pPr>
      <w:ind w:firstLine="540"/>
      <w:jc w:val="both"/>
    </w:pPr>
    <w:rPr>
      <w:rFonts w:ascii="Times New Roman" w:hAnsi="Times New Roman"/>
      <w:color w:val="000000"/>
      <w:szCs w:val="24"/>
    </w:rPr>
  </w:style>
  <w:style w:type="table" w:styleId="TableGrid">
    <w:name w:val="Table Grid"/>
    <w:basedOn w:val="TableNormal"/>
    <w:rsid w:val="003002D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55E02"/>
    <w:rPr>
      <w:rFonts w:ascii="Tahoma" w:hAnsi="Tahoma" w:cs="Tahoma"/>
      <w:sz w:val="16"/>
      <w:szCs w:val="16"/>
    </w:rPr>
  </w:style>
  <w:style w:type="character" w:styleId="CommentReference">
    <w:name w:val="annotation reference"/>
    <w:basedOn w:val="DefaultParagraphFont"/>
    <w:uiPriority w:val="99"/>
    <w:semiHidden/>
    <w:rsid w:val="007B08D1"/>
    <w:rPr>
      <w:sz w:val="16"/>
      <w:szCs w:val="16"/>
    </w:rPr>
  </w:style>
  <w:style w:type="paragraph" w:styleId="CommentText">
    <w:name w:val="annotation text"/>
    <w:basedOn w:val="Normal"/>
    <w:link w:val="CommentTextChar"/>
    <w:uiPriority w:val="99"/>
    <w:semiHidden/>
    <w:rsid w:val="007B08D1"/>
    <w:rPr>
      <w:sz w:val="20"/>
    </w:rPr>
  </w:style>
  <w:style w:type="paragraph" w:styleId="CommentSubject">
    <w:name w:val="annotation subject"/>
    <w:basedOn w:val="CommentText"/>
    <w:next w:val="CommentText"/>
    <w:semiHidden/>
    <w:rsid w:val="007B08D1"/>
    <w:rPr>
      <w:b/>
      <w:bCs/>
    </w:rPr>
  </w:style>
  <w:style w:type="character" w:styleId="Hyperlink">
    <w:name w:val="Hyperlink"/>
    <w:basedOn w:val="DefaultParagraphFont"/>
    <w:rsid w:val="00BE1B0A"/>
    <w:rPr>
      <w:color w:val="0000FF"/>
      <w:u w:val="single"/>
    </w:rPr>
  </w:style>
  <w:style w:type="character" w:styleId="FollowedHyperlink">
    <w:name w:val="FollowedHyperlink"/>
    <w:basedOn w:val="DefaultParagraphFont"/>
    <w:rsid w:val="00BE1B0A"/>
    <w:rPr>
      <w:color w:val="800080"/>
      <w:u w:val="single"/>
    </w:rPr>
  </w:style>
  <w:style w:type="character" w:customStyle="1" w:styleId="FootnoteTextChar">
    <w:name w:val="Footnote Text Char"/>
    <w:aliases w:val="ft Char"/>
    <w:basedOn w:val="DefaultParagraphFont"/>
    <w:link w:val="FootnoteText"/>
    <w:uiPriority w:val="99"/>
    <w:semiHidden/>
    <w:rsid w:val="005B683B"/>
    <w:rPr>
      <w:rFonts w:ascii="Courier" w:hAnsi="Courier"/>
      <w:snapToGrid w:val="0"/>
    </w:rPr>
  </w:style>
  <w:style w:type="character" w:customStyle="1" w:styleId="CommentTextChar">
    <w:name w:val="Comment Text Char"/>
    <w:basedOn w:val="DefaultParagraphFont"/>
    <w:link w:val="CommentText"/>
    <w:uiPriority w:val="99"/>
    <w:semiHidden/>
    <w:rsid w:val="005B683B"/>
    <w:rPr>
      <w:rFonts w:ascii="Courier" w:hAnsi="Courier"/>
      <w:snapToGrid w:val="0"/>
    </w:rPr>
  </w:style>
  <w:style w:type="character" w:styleId="Emphasis">
    <w:name w:val="Emphasis"/>
    <w:basedOn w:val="DefaultParagraphFont"/>
    <w:uiPriority w:val="20"/>
    <w:qFormat/>
    <w:rsid w:val="00BB1D5E"/>
    <w:rPr>
      <w:i/>
      <w:iCs/>
    </w:rPr>
  </w:style>
  <w:style w:type="character" w:customStyle="1" w:styleId="FooterChar">
    <w:name w:val="Footer Char"/>
    <w:basedOn w:val="DefaultParagraphFont"/>
    <w:link w:val="Footer"/>
    <w:uiPriority w:val="99"/>
    <w:rsid w:val="007203EE"/>
    <w:rPr>
      <w:rFonts w:ascii="Courier" w:hAnsi="Courie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soc/" TargetMode="External"/><Relationship Id="rId1" Type="http://schemas.openxmlformats.org/officeDocument/2006/relationships/hyperlink" Target="http://www.bls.gov/news.release/ocwage.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C6E64-3B2C-447C-AF80-7BF3AAEA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2526</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lpstr>
    </vt:vector>
  </TitlesOfParts>
  <Company>FRB-BOG</Company>
  <LinksUpToDate>false</LinksUpToDate>
  <CharactersWithSpaces>16571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frbuser</dc:creator>
  <cp:keywords/>
  <dc:description/>
  <cp:lastModifiedBy>frbuser</cp:lastModifiedBy>
  <cp:revision>4</cp:revision>
  <cp:lastPrinted>2010-12-02T12:42:00Z</cp:lastPrinted>
  <dcterms:created xsi:type="dcterms:W3CDTF">2011-02-01T14:45:00Z</dcterms:created>
  <dcterms:modified xsi:type="dcterms:W3CDTF">2011-02-01T15:25:00Z</dcterms:modified>
</cp:coreProperties>
</file>