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37659400" w:displacedByCustomXml="next"/>
    <w:sdt>
      <w:sdtPr>
        <w:rPr>
          <w:rFonts w:ascii="Calibri" w:eastAsia="Calibri" w:hAnsi="Calibri" w:cs="Times New Roman"/>
          <w:b w:val="0"/>
          <w:bCs w:val="0"/>
          <w:color w:val="auto"/>
          <w:sz w:val="22"/>
          <w:szCs w:val="22"/>
        </w:rPr>
        <w:id w:val="15013238"/>
        <w:docPartObj>
          <w:docPartGallery w:val="Table of Contents"/>
          <w:docPartUnique/>
        </w:docPartObj>
      </w:sdtPr>
      <w:sdtContent>
        <w:p w:rsidR="001E235B" w:rsidRDefault="001E235B">
          <w:pPr>
            <w:pStyle w:val="TOCHeading"/>
            <w:rPr>
              <w:rFonts w:asciiTheme="minorHAnsi" w:hAnsiTheme="minorHAnsi"/>
              <w:color w:val="auto"/>
            </w:rPr>
          </w:pPr>
          <w:r w:rsidRPr="001E235B">
            <w:rPr>
              <w:rFonts w:asciiTheme="minorHAnsi" w:hAnsiTheme="minorHAnsi"/>
              <w:color w:val="auto"/>
            </w:rPr>
            <w:t>Table of Contents</w:t>
          </w:r>
        </w:p>
        <w:p w:rsidR="00F7619E" w:rsidRPr="00F7619E" w:rsidRDefault="00F7619E" w:rsidP="00F7619E"/>
        <w:p w:rsidR="001E235B" w:rsidRPr="001E235B" w:rsidRDefault="00A266E5">
          <w:pPr>
            <w:pStyle w:val="TOC1"/>
            <w:tabs>
              <w:tab w:val="right" w:leader="dot" w:pos="9350"/>
            </w:tabs>
            <w:rPr>
              <w:rFonts w:asciiTheme="minorHAnsi" w:eastAsiaTheme="minorEastAsia" w:hAnsiTheme="minorHAnsi" w:cstheme="minorBidi"/>
              <w:b/>
              <w:noProof/>
            </w:rPr>
          </w:pPr>
          <w:r w:rsidRPr="001E235B">
            <w:rPr>
              <w:rFonts w:asciiTheme="minorHAnsi" w:hAnsiTheme="minorHAnsi"/>
              <w:b/>
            </w:rPr>
            <w:fldChar w:fldCharType="begin"/>
          </w:r>
          <w:r w:rsidR="001E235B" w:rsidRPr="001E235B">
            <w:rPr>
              <w:rFonts w:asciiTheme="minorHAnsi" w:hAnsiTheme="minorHAnsi"/>
              <w:b/>
            </w:rPr>
            <w:instrText xml:space="preserve"> TOC \o "1-3" \h \z \u </w:instrText>
          </w:r>
          <w:r w:rsidRPr="001E235B">
            <w:rPr>
              <w:rFonts w:asciiTheme="minorHAnsi" w:hAnsiTheme="minorHAnsi"/>
              <w:b/>
            </w:rPr>
            <w:fldChar w:fldCharType="separate"/>
          </w:r>
          <w:hyperlink w:anchor="_Toc283378345" w:history="1">
            <w:r w:rsidR="001E235B" w:rsidRPr="001E235B">
              <w:rPr>
                <w:rStyle w:val="Hyperlink"/>
                <w:rFonts w:asciiTheme="minorHAnsi" w:hAnsiTheme="minorHAnsi"/>
                <w:b/>
                <w:noProof/>
                <w:color w:val="auto"/>
              </w:rPr>
              <w:t>B.1</w:t>
            </w:r>
            <w:r w:rsidR="001E235B">
              <w:rPr>
                <w:rStyle w:val="Hyperlink"/>
                <w:rFonts w:asciiTheme="minorHAnsi" w:hAnsiTheme="minorHAnsi"/>
                <w:b/>
                <w:noProof/>
                <w:color w:val="auto"/>
              </w:rPr>
              <w:t xml:space="preserve"> </w:t>
            </w:r>
            <w:r w:rsidR="001E235B" w:rsidRPr="001E235B">
              <w:rPr>
                <w:rFonts w:eastAsia="Times New Roman"/>
                <w:b/>
                <w:u w:val="single"/>
              </w:rPr>
              <w:t xml:space="preserve"> </w:t>
            </w:r>
            <w:r w:rsidR="001E235B">
              <w:rPr>
                <w:rFonts w:eastAsia="Times New Roman"/>
                <w:b/>
                <w:u w:val="single"/>
              </w:rPr>
              <w:t>Respondent Universe and Sampling Methods</w:t>
            </w:r>
            <w:r w:rsidR="001E235B" w:rsidRPr="001E235B">
              <w:rPr>
                <w:rFonts w:asciiTheme="minorHAnsi" w:hAnsiTheme="minorHAnsi"/>
                <w:b/>
                <w:noProof/>
                <w:webHidden/>
              </w:rPr>
              <w:tab/>
            </w:r>
            <w:r w:rsidR="001E235B">
              <w:rPr>
                <w:rFonts w:asciiTheme="minorHAnsi" w:hAnsiTheme="minorHAnsi"/>
                <w:b/>
                <w:noProof/>
                <w:webHidden/>
              </w:rPr>
              <w:t>B1</w:t>
            </w:r>
          </w:hyperlink>
        </w:p>
        <w:p w:rsidR="001E235B" w:rsidRPr="001E235B" w:rsidRDefault="00A266E5">
          <w:pPr>
            <w:pStyle w:val="TOC1"/>
            <w:tabs>
              <w:tab w:val="right" w:leader="dot" w:pos="9350"/>
            </w:tabs>
            <w:rPr>
              <w:rFonts w:asciiTheme="minorHAnsi" w:eastAsiaTheme="minorEastAsia" w:hAnsiTheme="minorHAnsi" w:cstheme="minorBidi"/>
              <w:b/>
              <w:noProof/>
            </w:rPr>
          </w:pPr>
          <w:hyperlink w:anchor="_Toc283378346" w:history="1">
            <w:r w:rsidR="001E235B" w:rsidRPr="001E235B">
              <w:rPr>
                <w:rStyle w:val="Hyperlink"/>
                <w:rFonts w:asciiTheme="minorHAnsi" w:hAnsiTheme="minorHAnsi"/>
                <w:b/>
                <w:noProof/>
                <w:color w:val="auto"/>
              </w:rPr>
              <w:t>B.2</w:t>
            </w:r>
            <w:r w:rsidR="001E235B">
              <w:rPr>
                <w:rStyle w:val="Hyperlink"/>
                <w:rFonts w:asciiTheme="minorHAnsi" w:hAnsiTheme="minorHAnsi"/>
                <w:b/>
                <w:noProof/>
                <w:color w:val="auto"/>
              </w:rPr>
              <w:t xml:space="preserve">  </w:t>
            </w:r>
            <w:r w:rsidR="001E235B" w:rsidRPr="001E235B">
              <w:rPr>
                <w:rStyle w:val="Hyperlink"/>
                <w:rFonts w:asciiTheme="minorHAnsi" w:hAnsiTheme="minorHAnsi"/>
                <w:b/>
                <w:noProof/>
                <w:color w:val="auto"/>
              </w:rPr>
              <w:t>Describe the procedures for the collection of information including:</w:t>
            </w:r>
            <w:r w:rsidR="001E235B" w:rsidRPr="001E235B">
              <w:rPr>
                <w:rFonts w:asciiTheme="minorHAnsi" w:hAnsiTheme="minorHAnsi"/>
                <w:b/>
                <w:noProof/>
                <w:webHidden/>
              </w:rPr>
              <w:tab/>
            </w:r>
            <w:r w:rsidR="001E235B">
              <w:rPr>
                <w:rFonts w:asciiTheme="minorHAnsi" w:hAnsiTheme="minorHAnsi"/>
                <w:b/>
                <w:noProof/>
                <w:webHidden/>
              </w:rPr>
              <w:t>B</w:t>
            </w:r>
            <w:r w:rsidR="00F7619E">
              <w:rPr>
                <w:rFonts w:asciiTheme="minorHAnsi" w:hAnsiTheme="minorHAnsi"/>
                <w:b/>
                <w:noProof/>
                <w:webHidden/>
              </w:rPr>
              <w:t>6</w:t>
            </w:r>
          </w:hyperlink>
        </w:p>
        <w:p w:rsidR="001E235B" w:rsidRPr="001E235B" w:rsidRDefault="00A266E5">
          <w:pPr>
            <w:pStyle w:val="TOC1"/>
            <w:tabs>
              <w:tab w:val="right" w:leader="dot" w:pos="9350"/>
            </w:tabs>
            <w:rPr>
              <w:rFonts w:asciiTheme="minorHAnsi" w:eastAsiaTheme="minorEastAsia" w:hAnsiTheme="minorHAnsi" w:cstheme="minorBidi"/>
              <w:b/>
              <w:noProof/>
            </w:rPr>
          </w:pPr>
          <w:hyperlink w:anchor="_Toc283378352" w:history="1">
            <w:r w:rsidR="001E235B" w:rsidRPr="001E235B">
              <w:rPr>
                <w:rStyle w:val="Hyperlink"/>
                <w:rFonts w:asciiTheme="minorHAnsi" w:hAnsiTheme="minorHAnsi"/>
                <w:b/>
                <w:noProof/>
                <w:color w:val="auto"/>
              </w:rPr>
              <w:t>B.3</w:t>
            </w:r>
            <w:r w:rsidR="001E235B">
              <w:rPr>
                <w:rStyle w:val="Hyperlink"/>
                <w:rFonts w:asciiTheme="minorHAnsi" w:hAnsiTheme="minorHAnsi"/>
                <w:b/>
                <w:noProof/>
                <w:color w:val="auto"/>
              </w:rPr>
              <w:t xml:space="preserve">  </w:t>
            </w:r>
            <w:r w:rsidR="001E235B">
              <w:rPr>
                <w:rFonts w:eastAsia="Times New Roman"/>
                <w:b/>
                <w:u w:val="single"/>
              </w:rPr>
              <w:t>Methods to Maximize Response Rates and Deal with Nonresponse</w:t>
            </w:r>
            <w:r w:rsidR="001E235B" w:rsidRPr="001E235B">
              <w:rPr>
                <w:rFonts w:asciiTheme="minorHAnsi" w:hAnsiTheme="minorHAnsi"/>
                <w:b/>
                <w:noProof/>
                <w:webHidden/>
              </w:rPr>
              <w:tab/>
            </w:r>
            <w:r w:rsidR="001E235B">
              <w:rPr>
                <w:rFonts w:asciiTheme="minorHAnsi" w:hAnsiTheme="minorHAnsi"/>
                <w:b/>
                <w:noProof/>
                <w:webHidden/>
              </w:rPr>
              <w:t>B</w:t>
            </w:r>
            <w:r w:rsidR="00F7619E">
              <w:rPr>
                <w:rFonts w:asciiTheme="minorHAnsi" w:hAnsiTheme="minorHAnsi"/>
                <w:b/>
                <w:noProof/>
                <w:webHidden/>
              </w:rPr>
              <w:t>7</w:t>
            </w:r>
          </w:hyperlink>
        </w:p>
        <w:p w:rsidR="001E235B" w:rsidRPr="001E235B" w:rsidRDefault="00A266E5">
          <w:pPr>
            <w:pStyle w:val="TOC1"/>
            <w:tabs>
              <w:tab w:val="right" w:leader="dot" w:pos="9350"/>
            </w:tabs>
            <w:rPr>
              <w:rFonts w:asciiTheme="minorHAnsi" w:eastAsiaTheme="minorEastAsia" w:hAnsiTheme="minorHAnsi" w:cstheme="minorBidi"/>
              <w:b/>
              <w:noProof/>
            </w:rPr>
          </w:pPr>
          <w:hyperlink w:anchor="_Toc283378353" w:history="1">
            <w:r w:rsidR="001E235B" w:rsidRPr="001E235B">
              <w:rPr>
                <w:rStyle w:val="Hyperlink"/>
                <w:rFonts w:asciiTheme="minorHAnsi" w:hAnsiTheme="minorHAnsi"/>
                <w:b/>
                <w:noProof/>
                <w:color w:val="auto"/>
              </w:rPr>
              <w:t>B.4</w:t>
            </w:r>
            <w:r w:rsidR="001E235B">
              <w:rPr>
                <w:rStyle w:val="Hyperlink"/>
                <w:rFonts w:asciiTheme="minorHAnsi" w:hAnsiTheme="minorHAnsi"/>
                <w:b/>
                <w:noProof/>
                <w:color w:val="auto"/>
              </w:rPr>
              <w:t xml:space="preserve">  </w:t>
            </w:r>
            <w:r w:rsidR="001E235B">
              <w:rPr>
                <w:rFonts w:eastAsia="Times New Roman"/>
                <w:b/>
                <w:u w:val="single"/>
              </w:rPr>
              <w:t>Tests of Procedures or Methods to Be Undertaken</w:t>
            </w:r>
            <w:r w:rsidR="001E235B" w:rsidRPr="001E235B">
              <w:rPr>
                <w:rStyle w:val="Hyperlink"/>
                <w:rFonts w:asciiTheme="minorHAnsi" w:hAnsiTheme="minorHAnsi"/>
                <w:b/>
                <w:noProof/>
                <w:color w:val="auto"/>
              </w:rPr>
              <w:t>.</w:t>
            </w:r>
            <w:r w:rsidR="001E235B" w:rsidRPr="001E235B">
              <w:rPr>
                <w:rFonts w:asciiTheme="minorHAnsi" w:hAnsiTheme="minorHAnsi"/>
                <w:b/>
                <w:noProof/>
                <w:webHidden/>
              </w:rPr>
              <w:tab/>
            </w:r>
            <w:r w:rsidR="001E235B">
              <w:rPr>
                <w:rFonts w:asciiTheme="minorHAnsi" w:hAnsiTheme="minorHAnsi"/>
                <w:b/>
                <w:noProof/>
                <w:webHidden/>
              </w:rPr>
              <w:t>B</w:t>
            </w:r>
            <w:r w:rsidR="00F7619E">
              <w:rPr>
                <w:rFonts w:asciiTheme="minorHAnsi" w:hAnsiTheme="minorHAnsi"/>
                <w:b/>
                <w:noProof/>
                <w:webHidden/>
              </w:rPr>
              <w:t>8</w:t>
            </w:r>
          </w:hyperlink>
        </w:p>
        <w:p w:rsidR="001E235B" w:rsidRPr="001E235B" w:rsidRDefault="00A266E5">
          <w:pPr>
            <w:pStyle w:val="TOC1"/>
            <w:tabs>
              <w:tab w:val="right" w:leader="dot" w:pos="9350"/>
            </w:tabs>
            <w:rPr>
              <w:rFonts w:asciiTheme="minorHAnsi" w:eastAsiaTheme="minorEastAsia" w:hAnsiTheme="minorHAnsi" w:cstheme="minorBidi"/>
              <w:b/>
              <w:noProof/>
            </w:rPr>
          </w:pPr>
          <w:hyperlink w:anchor="_Toc283378354" w:history="1">
            <w:r w:rsidR="001E235B" w:rsidRPr="001E235B">
              <w:rPr>
                <w:rStyle w:val="Hyperlink"/>
                <w:rFonts w:asciiTheme="minorHAnsi" w:hAnsiTheme="minorHAnsi"/>
                <w:b/>
                <w:noProof/>
                <w:color w:val="auto"/>
              </w:rPr>
              <w:t>B.5</w:t>
            </w:r>
            <w:r w:rsidR="001E235B">
              <w:rPr>
                <w:rStyle w:val="Hyperlink"/>
                <w:rFonts w:asciiTheme="minorHAnsi" w:hAnsiTheme="minorHAnsi"/>
                <w:b/>
                <w:noProof/>
                <w:color w:val="auto"/>
              </w:rPr>
              <w:t xml:space="preserve">  </w:t>
            </w:r>
            <w:r w:rsidR="001E235B">
              <w:rPr>
                <w:rFonts w:eastAsia="Times New Roman"/>
                <w:b/>
                <w:u w:val="single"/>
              </w:rPr>
              <w:t>Individuals Consulted on Statistical Aspects and Individuals Collecting and/or Analyzing Data</w:t>
            </w:r>
            <w:r w:rsidR="001E235B" w:rsidRPr="001E235B">
              <w:rPr>
                <w:rFonts w:asciiTheme="minorHAnsi" w:hAnsiTheme="minorHAnsi"/>
                <w:b/>
                <w:noProof/>
                <w:webHidden/>
              </w:rPr>
              <w:tab/>
            </w:r>
            <w:r w:rsidR="001E235B">
              <w:rPr>
                <w:rFonts w:asciiTheme="minorHAnsi" w:hAnsiTheme="minorHAnsi"/>
                <w:b/>
                <w:noProof/>
                <w:webHidden/>
              </w:rPr>
              <w:t>B</w:t>
            </w:r>
            <w:r w:rsidR="00F7619E">
              <w:rPr>
                <w:rFonts w:asciiTheme="minorHAnsi" w:hAnsiTheme="minorHAnsi"/>
                <w:b/>
                <w:noProof/>
                <w:webHidden/>
              </w:rPr>
              <w:t>9</w:t>
            </w:r>
          </w:hyperlink>
        </w:p>
        <w:p w:rsidR="001E235B" w:rsidRDefault="00A266E5">
          <w:r w:rsidRPr="001E235B">
            <w:rPr>
              <w:rFonts w:asciiTheme="minorHAnsi" w:hAnsiTheme="minorHAnsi"/>
              <w:b/>
            </w:rPr>
            <w:fldChar w:fldCharType="end"/>
          </w:r>
        </w:p>
      </w:sdtContent>
    </w:sdt>
    <w:p w:rsidR="00F7619E" w:rsidRDefault="00F7619E" w:rsidP="00A655AA">
      <w:pPr>
        <w:rPr>
          <w:b/>
          <w:bCs/>
          <w:sz w:val="28"/>
          <w:szCs w:val="28"/>
        </w:rPr>
        <w:sectPr w:rsidR="00F7619E" w:rsidSect="008F1491">
          <w:footerReference w:type="default" r:id="rId8"/>
          <w:pgSz w:w="12240" w:h="15840"/>
          <w:pgMar w:top="1440" w:right="1440" w:bottom="1440" w:left="1440" w:header="720" w:footer="720" w:gutter="0"/>
          <w:pgNumType w:start="1"/>
          <w:cols w:space="720"/>
          <w:docGrid w:linePitch="360"/>
        </w:sectPr>
      </w:pPr>
    </w:p>
    <w:p w:rsidR="006D7797" w:rsidRPr="00A655AA" w:rsidRDefault="006D7797" w:rsidP="00A655AA">
      <w:pPr>
        <w:rPr>
          <w:b/>
          <w:bCs/>
          <w:sz w:val="28"/>
          <w:szCs w:val="28"/>
        </w:rPr>
      </w:pPr>
      <w:r w:rsidRPr="00A655AA">
        <w:rPr>
          <w:b/>
          <w:bCs/>
          <w:sz w:val="28"/>
          <w:szCs w:val="28"/>
        </w:rPr>
        <w:lastRenderedPageBreak/>
        <w:t>Part B</w:t>
      </w:r>
    </w:p>
    <w:p w:rsidR="006D7797" w:rsidRPr="00A655AA" w:rsidRDefault="006D7797" w:rsidP="006D7797">
      <w:pPr>
        <w:ind w:left="720" w:hanging="720"/>
        <w:rPr>
          <w:sz w:val="28"/>
          <w:szCs w:val="28"/>
        </w:rPr>
      </w:pPr>
      <w:r w:rsidRPr="00A655AA">
        <w:rPr>
          <w:b/>
          <w:sz w:val="28"/>
          <w:szCs w:val="28"/>
        </w:rPr>
        <w:t>Collections of Information Employing Statistical Methods</w:t>
      </w:r>
    </w:p>
    <w:p w:rsidR="00686BA2" w:rsidRPr="00D113F4" w:rsidRDefault="00686BA2" w:rsidP="00686BA2">
      <w:pPr>
        <w:autoSpaceDE w:val="0"/>
        <w:autoSpaceDN w:val="0"/>
        <w:adjustRightInd w:val="0"/>
        <w:spacing w:after="0" w:line="480" w:lineRule="auto"/>
        <w:rPr>
          <w:rFonts w:eastAsia="Times New Roman"/>
        </w:rPr>
      </w:pPr>
      <w:r w:rsidRPr="00D113F4">
        <w:rPr>
          <w:rFonts w:eastAsia="Times New Roman"/>
        </w:rPr>
        <w:t xml:space="preserve">This section of the Supporting Statement addresses the five points outlined in Part B of the </w:t>
      </w:r>
      <w:r w:rsidRPr="00584454">
        <w:rPr>
          <w:rFonts w:eastAsia="Times New Roman"/>
        </w:rPr>
        <w:t>OMB</w:t>
      </w:r>
      <w:r w:rsidRPr="00D113F4">
        <w:rPr>
          <w:rFonts w:eastAsia="Times New Roman"/>
        </w:rPr>
        <w:t xml:space="preserve"> guidelines and focuses on statistical methods related to the collection of information for the study. Because the process evaluation component of the study will primarily collect descriptive data from existing documentation, a purposeful selection of key informants, and a small group of participants, it will not require the use of statistical methods. For this reason, Part B of the Supporting Statement is for the impact evaluation component of the study only.</w:t>
      </w:r>
    </w:p>
    <w:p w:rsidR="006D7797" w:rsidRPr="00D113F4" w:rsidRDefault="00C02DBA" w:rsidP="00AC3FED">
      <w:pPr>
        <w:pStyle w:val="OMBsectionheaders"/>
        <w:spacing w:before="120" w:after="120"/>
      </w:pPr>
      <w:bookmarkStart w:id="1" w:name="_Toc283378345"/>
      <w:r w:rsidRPr="00D113F4">
        <w:t>B.1</w:t>
      </w:r>
      <w:r w:rsidR="00AE3947">
        <w:t>—</w:t>
      </w:r>
      <w:r w:rsidR="006D7797" w:rsidRPr="00D113F4">
        <w:t>Describe (including a numerical estimate) the potential respondent universe and any sam</w:t>
      </w:r>
      <w:r w:rsidR="006D7797" w:rsidRPr="00D113F4">
        <w:softHyphen/>
        <w:t>pling or other respondent selection method to be used. Data on the number of entities (e.g., establishments, State and local government units, households, or persons) in the universe covered by the collection and in the corre</w:t>
      </w:r>
      <w:r w:rsidR="006D7797" w:rsidRPr="00D113F4">
        <w:softHyphen/>
        <w:t>sponding sample are to be provided in tabular form for the uni</w:t>
      </w:r>
      <w:r w:rsidR="006D7797" w:rsidRPr="00D113F4">
        <w:softHyphen/>
        <w:t>verse as a whole and for each of the strata in the proposed sample. Indicate expected response rates for the collection as a whole. If the collection had been conducted previously, include the actual response rate achieved during the last collection.</w:t>
      </w:r>
      <w:bookmarkEnd w:id="1"/>
    </w:p>
    <w:bookmarkEnd w:id="0"/>
    <w:p w:rsidR="00AC3FED" w:rsidRDefault="00AC3FED" w:rsidP="00AC3FED">
      <w:pPr>
        <w:autoSpaceDE w:val="0"/>
        <w:autoSpaceDN w:val="0"/>
        <w:adjustRightInd w:val="0"/>
        <w:spacing w:after="0" w:line="240" w:lineRule="auto"/>
        <w:rPr>
          <w:rFonts w:eastAsia="Times New Roman"/>
        </w:rPr>
      </w:pPr>
    </w:p>
    <w:p w:rsidR="008F1491" w:rsidRPr="00D113F4" w:rsidRDefault="008F1491" w:rsidP="0086389C">
      <w:pPr>
        <w:autoSpaceDE w:val="0"/>
        <w:autoSpaceDN w:val="0"/>
        <w:adjustRightInd w:val="0"/>
        <w:spacing w:after="240" w:line="480" w:lineRule="auto"/>
        <w:rPr>
          <w:rFonts w:eastAsia="Times New Roman"/>
        </w:rPr>
      </w:pPr>
      <w:r w:rsidRPr="00D113F4">
        <w:rPr>
          <w:rFonts w:eastAsia="Times New Roman"/>
        </w:rPr>
        <w:t xml:space="preserve">The impact evaluation for the </w:t>
      </w:r>
      <w:r w:rsidR="003F4877" w:rsidRPr="00D113F4">
        <w:rPr>
          <w:rFonts w:eastAsia="Times New Roman"/>
        </w:rPr>
        <w:t xml:space="preserve">three </w:t>
      </w:r>
      <w:r w:rsidRPr="00D113F4">
        <w:rPr>
          <w:rFonts w:eastAsia="Times New Roman"/>
        </w:rPr>
        <w:t xml:space="preserve">demonstration projects includes conducting pre- and post-surveys </w:t>
      </w:r>
      <w:r w:rsidRPr="00A655AA">
        <w:rPr>
          <w:rFonts w:eastAsia="Times New Roman"/>
        </w:rPr>
        <w:t>of the intervention group and a control or comparison group. Table A.</w:t>
      </w:r>
      <w:r w:rsidR="00A655AA" w:rsidRPr="00A655AA">
        <w:rPr>
          <w:rFonts w:eastAsia="Times New Roman"/>
        </w:rPr>
        <w:t>1</w:t>
      </w:r>
      <w:r w:rsidRPr="00A655AA">
        <w:rPr>
          <w:rFonts w:eastAsia="Times New Roman"/>
        </w:rPr>
        <w:t>-1 in Part A provides a summary</w:t>
      </w:r>
      <w:r w:rsidRPr="00D113F4">
        <w:rPr>
          <w:rFonts w:eastAsia="Times New Roman"/>
        </w:rPr>
        <w:t xml:space="preserve"> of the research design and data collection methods for each of the </w:t>
      </w:r>
      <w:r w:rsidR="003F4877" w:rsidRPr="00D113F4">
        <w:rPr>
          <w:rFonts w:eastAsia="Times New Roman"/>
        </w:rPr>
        <w:t xml:space="preserve">three </w:t>
      </w:r>
      <w:r w:rsidRPr="00D113F4">
        <w:rPr>
          <w:rFonts w:eastAsia="Times New Roman"/>
        </w:rPr>
        <w:t xml:space="preserve">demonstration projects. The respondent universe (study population) and sampling method </w:t>
      </w:r>
      <w:r w:rsidR="003F4877" w:rsidRPr="00D113F4">
        <w:rPr>
          <w:rFonts w:eastAsia="Times New Roman"/>
        </w:rPr>
        <w:t xml:space="preserve">for each of the three </w:t>
      </w:r>
      <w:r w:rsidRPr="00D113F4">
        <w:rPr>
          <w:rFonts w:eastAsia="Times New Roman"/>
        </w:rPr>
        <w:t>demonstration projects is described below.</w:t>
      </w:r>
      <w:r w:rsidR="00584454">
        <w:rPr>
          <w:rFonts w:eastAsia="Times New Roman"/>
        </w:rPr>
        <w:t xml:space="preserve"> </w:t>
      </w:r>
      <w:r w:rsidRPr="00D113F4">
        <w:rPr>
          <w:rFonts w:eastAsia="Times New Roman"/>
        </w:rPr>
        <w:t>We also provide the expected overall response rates for each demonstration project.</w:t>
      </w:r>
      <w:r w:rsidR="00584454">
        <w:rPr>
          <w:rFonts w:eastAsia="Times New Roman"/>
        </w:rPr>
        <w:t xml:space="preserve"> </w:t>
      </w:r>
      <w:r w:rsidRPr="00D113F4">
        <w:rPr>
          <w:rFonts w:eastAsia="Times New Roman"/>
        </w:rPr>
        <w:t>We anticipate that the overall response rates may be lower than 75</w:t>
      </w:r>
      <w:r w:rsidR="00584454">
        <w:rPr>
          <w:rFonts w:eastAsia="Times New Roman"/>
        </w:rPr>
        <w:t xml:space="preserve"> percent</w:t>
      </w:r>
      <w:r w:rsidRPr="00D113F4">
        <w:rPr>
          <w:rFonts w:eastAsia="Times New Roman"/>
        </w:rPr>
        <w:t xml:space="preserve"> because of the multiple rounds of data collection (i.e., consent to provide parental contact information</w:t>
      </w:r>
      <w:r w:rsidR="0037748A">
        <w:rPr>
          <w:rFonts w:eastAsia="Times New Roman"/>
        </w:rPr>
        <w:t xml:space="preserve"> for the two school-based programs</w:t>
      </w:r>
      <w:r w:rsidRPr="00D113F4">
        <w:rPr>
          <w:rFonts w:eastAsia="Times New Roman"/>
        </w:rPr>
        <w:t>, pre-survey, and post-survey) and expected attrition between the pre- and post-surveys (e.g., participants move or change schools). As described in Section B.3, our analyses will use statistical models to correct for participant attrition.</w:t>
      </w:r>
    </w:p>
    <w:p w:rsidR="00257620" w:rsidRPr="00D113F4" w:rsidRDefault="0086389C" w:rsidP="00971295">
      <w:pPr>
        <w:autoSpaceDE w:val="0"/>
        <w:autoSpaceDN w:val="0"/>
        <w:adjustRightInd w:val="0"/>
        <w:spacing w:after="240" w:line="480" w:lineRule="auto"/>
        <w:rPr>
          <w:rFonts w:eastAsia="Times New Roman"/>
        </w:rPr>
      </w:pPr>
      <w:r w:rsidRPr="00D113F4">
        <w:rPr>
          <w:rFonts w:eastAsia="Times New Roman"/>
        </w:rPr>
        <w:lastRenderedPageBreak/>
        <w:t xml:space="preserve">For Wave </w:t>
      </w:r>
      <w:r w:rsidR="00463142">
        <w:rPr>
          <w:rFonts w:eastAsia="Times New Roman"/>
        </w:rPr>
        <w:t>I</w:t>
      </w:r>
      <w:r w:rsidRPr="00D113F4">
        <w:rPr>
          <w:rFonts w:eastAsia="Times New Roman"/>
        </w:rPr>
        <w:t xml:space="preserve"> of</w:t>
      </w:r>
      <w:r w:rsidR="00915EF2" w:rsidRPr="00D113F4">
        <w:rPr>
          <w:rFonts w:eastAsia="Times New Roman"/>
        </w:rPr>
        <w:t xml:space="preserve"> the</w:t>
      </w:r>
      <w:r w:rsidR="003B174E" w:rsidRPr="00D113F4">
        <w:rPr>
          <w:rFonts w:eastAsia="Times New Roman"/>
        </w:rPr>
        <w:t xml:space="preserve"> Models of SNAP-Ed and Evaluation study</w:t>
      </w:r>
      <w:r w:rsidRPr="00D113F4">
        <w:rPr>
          <w:rFonts w:eastAsia="Times New Roman"/>
        </w:rPr>
        <w:t>, data w</w:t>
      </w:r>
      <w:r w:rsidR="00584454">
        <w:rPr>
          <w:rFonts w:eastAsia="Times New Roman"/>
        </w:rPr>
        <w:t>ere</w:t>
      </w:r>
      <w:r w:rsidRPr="00D113F4">
        <w:rPr>
          <w:rFonts w:eastAsia="Times New Roman"/>
        </w:rPr>
        <w:t xml:space="preserve"> collected </w:t>
      </w:r>
      <w:r w:rsidR="00915EF2" w:rsidRPr="00D113F4">
        <w:rPr>
          <w:rFonts w:eastAsia="Times New Roman"/>
        </w:rPr>
        <w:t xml:space="preserve">from four </w:t>
      </w:r>
      <w:r w:rsidR="00651225" w:rsidRPr="00D113F4">
        <w:rPr>
          <w:rFonts w:eastAsia="Times New Roman"/>
        </w:rPr>
        <w:t>demonstration projects. Three of the four projects were interventions implemented in elementary schools</w:t>
      </w:r>
      <w:r w:rsidR="00584454">
        <w:rPr>
          <w:rFonts w:eastAsia="Times New Roman"/>
        </w:rPr>
        <w:t xml:space="preserve"> </w:t>
      </w:r>
      <w:r w:rsidR="00651225" w:rsidRPr="00D113F4">
        <w:rPr>
          <w:rFonts w:eastAsia="Times New Roman"/>
        </w:rPr>
        <w:t>or child care centers. The evaluations included pre- and post-surveys of parents</w:t>
      </w:r>
      <w:r w:rsidR="00584454">
        <w:rPr>
          <w:rFonts w:eastAsia="Times New Roman"/>
        </w:rPr>
        <w:t xml:space="preserve"> and </w:t>
      </w:r>
      <w:r w:rsidR="00651225" w:rsidRPr="00D113F4">
        <w:rPr>
          <w:rFonts w:eastAsia="Times New Roman"/>
        </w:rPr>
        <w:t xml:space="preserve">caregivers similar to the proposed study. </w:t>
      </w:r>
      <w:r w:rsidR="00915EF2" w:rsidRPr="00D113F4">
        <w:rPr>
          <w:rFonts w:eastAsia="Times New Roman"/>
        </w:rPr>
        <w:t xml:space="preserve">The </w:t>
      </w:r>
      <w:r w:rsidR="00651225" w:rsidRPr="00D113F4">
        <w:rPr>
          <w:rFonts w:eastAsia="Times New Roman"/>
        </w:rPr>
        <w:t xml:space="preserve">anticipated and actual cooperation </w:t>
      </w:r>
      <w:r w:rsidR="00915EF2" w:rsidRPr="00D113F4">
        <w:rPr>
          <w:rFonts w:eastAsia="Times New Roman"/>
        </w:rPr>
        <w:t>rate for each stage of data collection and the overall response rates</w:t>
      </w:r>
      <w:r w:rsidR="00651225" w:rsidRPr="00D113F4">
        <w:rPr>
          <w:rFonts w:eastAsia="Times New Roman"/>
        </w:rPr>
        <w:t xml:space="preserve"> for these three projects</w:t>
      </w:r>
      <w:r w:rsidR="00915EF2" w:rsidRPr="00D113F4">
        <w:rPr>
          <w:rFonts w:eastAsia="Times New Roman"/>
        </w:rPr>
        <w:t xml:space="preserve"> are shown in Table B.1-1.</w:t>
      </w:r>
      <w:r w:rsidR="00584454">
        <w:rPr>
          <w:rFonts w:eastAsia="Times New Roman"/>
        </w:rPr>
        <w:t xml:space="preserve"> </w:t>
      </w:r>
      <w:r w:rsidR="00257620" w:rsidRPr="00D113F4">
        <w:rPr>
          <w:rFonts w:eastAsia="Times New Roman"/>
        </w:rPr>
        <w:t xml:space="preserve">For </w:t>
      </w:r>
      <w:r w:rsidR="007D2670">
        <w:rPr>
          <w:rFonts w:eastAsia="Times New Roman"/>
        </w:rPr>
        <w:t>the Chickasaw Nation Nutrition Services</w:t>
      </w:r>
      <w:r w:rsidR="00584454">
        <w:rPr>
          <w:rFonts w:eastAsia="Times New Roman"/>
        </w:rPr>
        <w:t>’</w:t>
      </w:r>
      <w:r w:rsidR="007D2670">
        <w:rPr>
          <w:rFonts w:eastAsia="Times New Roman"/>
        </w:rPr>
        <w:t xml:space="preserve"> (CNNS) Eagle Adventure program</w:t>
      </w:r>
      <w:r w:rsidR="00257620" w:rsidRPr="00D113F4">
        <w:rPr>
          <w:rFonts w:eastAsia="Times New Roman"/>
        </w:rPr>
        <w:t>, we nearly achieved the target response rate</w:t>
      </w:r>
      <w:r w:rsidR="00971295">
        <w:rPr>
          <w:rFonts w:eastAsia="Times New Roman"/>
        </w:rPr>
        <w:t xml:space="preserve"> and </w:t>
      </w:r>
      <w:r w:rsidR="00971295" w:rsidRPr="00D113F4">
        <w:rPr>
          <w:rFonts w:eastAsia="Times New Roman"/>
        </w:rPr>
        <w:t xml:space="preserve">completed the required number of surveys needed for our analysis </w:t>
      </w:r>
      <w:r w:rsidR="00971295">
        <w:rPr>
          <w:rFonts w:eastAsia="Times New Roman"/>
        </w:rPr>
        <w:t>based on the power calculations</w:t>
      </w:r>
      <w:r w:rsidR="00257620" w:rsidRPr="00D113F4">
        <w:rPr>
          <w:rFonts w:eastAsia="Times New Roman"/>
        </w:rPr>
        <w:t xml:space="preserve">. For </w:t>
      </w:r>
      <w:r w:rsidR="007D2670">
        <w:rPr>
          <w:rFonts w:eastAsia="Times New Roman"/>
        </w:rPr>
        <w:t>the University of Nevada</w:t>
      </w:r>
      <w:r w:rsidR="00584454">
        <w:rPr>
          <w:rFonts w:eastAsia="Times New Roman"/>
        </w:rPr>
        <w:t>’</w:t>
      </w:r>
      <w:r w:rsidR="007D2670">
        <w:rPr>
          <w:rFonts w:eastAsia="Times New Roman"/>
        </w:rPr>
        <w:t>s (UNV) All 4 Kids Program</w:t>
      </w:r>
      <w:r w:rsidR="00257620" w:rsidRPr="00D113F4">
        <w:rPr>
          <w:rFonts w:eastAsia="Times New Roman"/>
        </w:rPr>
        <w:t xml:space="preserve">, we exceeded the target response rate for the treatment group, but did not achieve the target response rate for the control group; however, we completed the required number of </w:t>
      </w:r>
      <w:r w:rsidR="00971295">
        <w:rPr>
          <w:rFonts w:eastAsia="Times New Roman"/>
        </w:rPr>
        <w:t xml:space="preserve">surveys needed for our analysis. </w:t>
      </w:r>
      <w:r w:rsidR="00257620" w:rsidRPr="00D113F4">
        <w:rPr>
          <w:rFonts w:eastAsia="Times New Roman"/>
        </w:rPr>
        <w:t xml:space="preserve">For </w:t>
      </w:r>
      <w:r w:rsidR="007D2670">
        <w:rPr>
          <w:rFonts w:eastAsia="Times New Roman"/>
        </w:rPr>
        <w:t xml:space="preserve">the </w:t>
      </w:r>
      <w:r w:rsidR="007D2670" w:rsidRPr="007D2670">
        <w:rPr>
          <w:rFonts w:eastAsia="Times New Roman"/>
        </w:rPr>
        <w:t>New York State Department of Health</w:t>
      </w:r>
      <w:r w:rsidR="00584454">
        <w:rPr>
          <w:rFonts w:eastAsia="Times New Roman"/>
        </w:rPr>
        <w:t>’</w:t>
      </w:r>
      <w:r w:rsidR="007D2670" w:rsidRPr="007D2670">
        <w:rPr>
          <w:rFonts w:eastAsia="Times New Roman"/>
        </w:rPr>
        <w:t xml:space="preserve">s (NYSDOH) </w:t>
      </w:r>
      <w:r w:rsidR="007D2670" w:rsidRPr="007D2670">
        <w:rPr>
          <w:rFonts w:eastAsia="Times New Roman"/>
          <w:iCs/>
        </w:rPr>
        <w:t>Eat Well and Play Hard in Child Care Settings</w:t>
      </w:r>
      <w:r w:rsidR="00257620" w:rsidRPr="007D2670">
        <w:rPr>
          <w:rFonts w:eastAsia="Times New Roman"/>
        </w:rPr>
        <w:t>,</w:t>
      </w:r>
      <w:r w:rsidR="00257620" w:rsidRPr="00D113F4">
        <w:rPr>
          <w:rFonts w:eastAsia="Times New Roman"/>
        </w:rPr>
        <w:t xml:space="preserve"> we greatly ex</w:t>
      </w:r>
      <w:r w:rsidR="00971295">
        <w:rPr>
          <w:rFonts w:eastAsia="Times New Roman"/>
        </w:rPr>
        <w:t>ceeded the target response rate</w:t>
      </w:r>
      <w:r w:rsidR="00257620" w:rsidRPr="00D113F4">
        <w:rPr>
          <w:rFonts w:eastAsia="Times New Roman"/>
        </w:rPr>
        <w:t xml:space="preserve"> </w:t>
      </w:r>
      <w:r w:rsidR="00971295">
        <w:rPr>
          <w:rFonts w:eastAsia="Times New Roman"/>
        </w:rPr>
        <w:t xml:space="preserve">and </w:t>
      </w:r>
      <w:r w:rsidR="00971295" w:rsidRPr="00D113F4">
        <w:rPr>
          <w:rFonts w:eastAsia="Times New Roman"/>
        </w:rPr>
        <w:t xml:space="preserve">required number of surveys </w:t>
      </w:r>
      <w:r w:rsidR="00257620" w:rsidRPr="00D113F4">
        <w:rPr>
          <w:rFonts w:eastAsia="Times New Roman"/>
        </w:rPr>
        <w:t xml:space="preserve">for the treatment and control groups. </w:t>
      </w:r>
    </w:p>
    <w:p w:rsidR="0086389C" w:rsidRPr="00D113F4" w:rsidRDefault="00257620" w:rsidP="00B47C43">
      <w:pPr>
        <w:autoSpaceDE w:val="0"/>
        <w:autoSpaceDN w:val="0"/>
        <w:adjustRightInd w:val="0"/>
        <w:spacing w:after="240" w:line="480" w:lineRule="auto"/>
        <w:rPr>
          <w:rFonts w:eastAsia="Times New Roman"/>
        </w:rPr>
      </w:pPr>
      <w:r w:rsidRPr="00D113F4">
        <w:rPr>
          <w:rFonts w:eastAsia="Times New Roman"/>
        </w:rPr>
        <w:t>The CNNS study is most comparable to the INN and UKCES studies</w:t>
      </w:r>
      <w:r w:rsidR="00584454">
        <w:rPr>
          <w:rFonts w:eastAsia="Times New Roman"/>
        </w:rPr>
        <w:t>,</w:t>
      </w:r>
      <w:r w:rsidR="00971295">
        <w:rPr>
          <w:rFonts w:eastAsia="Times New Roman"/>
        </w:rPr>
        <w:t xml:space="preserve"> since the target population is elementary school children</w:t>
      </w:r>
      <w:r w:rsidRPr="00D113F4">
        <w:rPr>
          <w:rFonts w:eastAsia="Times New Roman"/>
        </w:rPr>
        <w:t xml:space="preserve">. </w:t>
      </w:r>
      <w:r w:rsidR="00651225" w:rsidRPr="00D113F4">
        <w:rPr>
          <w:rFonts w:eastAsia="Times New Roman"/>
        </w:rPr>
        <w:t xml:space="preserve">We anticipate that </w:t>
      </w:r>
      <w:r w:rsidRPr="00D113F4">
        <w:rPr>
          <w:rFonts w:eastAsia="Times New Roman"/>
        </w:rPr>
        <w:t xml:space="preserve">the overall </w:t>
      </w:r>
      <w:r w:rsidR="00651225" w:rsidRPr="00D113F4">
        <w:rPr>
          <w:rFonts w:eastAsia="Times New Roman"/>
        </w:rPr>
        <w:t xml:space="preserve">response rates </w:t>
      </w:r>
      <w:r w:rsidRPr="00D113F4">
        <w:rPr>
          <w:rFonts w:eastAsia="Times New Roman"/>
        </w:rPr>
        <w:t>for these studies will be 42</w:t>
      </w:r>
      <w:r w:rsidR="00584454">
        <w:rPr>
          <w:rFonts w:eastAsia="Times New Roman"/>
        </w:rPr>
        <w:t xml:space="preserve"> percent</w:t>
      </w:r>
      <w:r w:rsidRPr="00D113F4">
        <w:rPr>
          <w:rFonts w:eastAsia="Times New Roman"/>
        </w:rPr>
        <w:t xml:space="preserve">, which is </w:t>
      </w:r>
      <w:r w:rsidR="00B2172D" w:rsidRPr="00D113F4">
        <w:rPr>
          <w:rFonts w:eastAsia="Times New Roman"/>
        </w:rPr>
        <w:t xml:space="preserve">slightly </w:t>
      </w:r>
      <w:r w:rsidRPr="00D113F4">
        <w:rPr>
          <w:rFonts w:eastAsia="Times New Roman"/>
        </w:rPr>
        <w:t>lower than what we achieved for CNNS (46</w:t>
      </w:r>
      <w:r w:rsidR="00B817E0">
        <w:rPr>
          <w:rFonts w:eastAsia="Times New Roman"/>
        </w:rPr>
        <w:t>–</w:t>
      </w:r>
      <w:r w:rsidRPr="00D113F4">
        <w:rPr>
          <w:rFonts w:eastAsia="Times New Roman"/>
        </w:rPr>
        <w:t>49</w:t>
      </w:r>
      <w:r w:rsidR="00584454">
        <w:rPr>
          <w:rFonts w:eastAsia="Times New Roman"/>
        </w:rPr>
        <w:t xml:space="preserve"> percent</w:t>
      </w:r>
      <w:r w:rsidRPr="00D113F4">
        <w:rPr>
          <w:rFonts w:eastAsia="Times New Roman"/>
        </w:rPr>
        <w:t xml:space="preserve">). </w:t>
      </w:r>
      <w:r w:rsidR="00B2172D" w:rsidRPr="00D113F4">
        <w:rPr>
          <w:rFonts w:eastAsia="Times New Roman"/>
        </w:rPr>
        <w:t>For the INN and UKCES studies, w</w:t>
      </w:r>
      <w:r w:rsidRPr="00D113F4">
        <w:rPr>
          <w:rFonts w:eastAsia="Times New Roman"/>
        </w:rPr>
        <w:t xml:space="preserve">e are assuming </w:t>
      </w:r>
      <w:r w:rsidR="00B2172D" w:rsidRPr="00D113F4">
        <w:rPr>
          <w:rFonts w:eastAsia="Times New Roman"/>
        </w:rPr>
        <w:t>a lower return rate for the contact card to consent for study participation compared to the CNNS study</w:t>
      </w:r>
      <w:r w:rsidR="00B47C43">
        <w:rPr>
          <w:rFonts w:eastAsia="Times New Roman"/>
        </w:rPr>
        <w:t>. For MSUE, the overall response rate is expected to be 46 percent, based on previous experience with this study population and similar survey procedures.</w:t>
      </w:r>
    </w:p>
    <w:p w:rsidR="003A4FC7" w:rsidRPr="00D113F4" w:rsidRDefault="003A4FC7" w:rsidP="003A4FC7">
      <w:pPr>
        <w:pStyle w:val="TableTitle"/>
        <w:tabs>
          <w:tab w:val="clear" w:pos="1037"/>
          <w:tab w:val="clear" w:pos="2765"/>
        </w:tabs>
        <w:ind w:left="1440" w:hanging="1440"/>
        <w:sectPr w:rsidR="003A4FC7" w:rsidRPr="00D113F4" w:rsidSect="008F1491">
          <w:pgSz w:w="12240" w:h="15840"/>
          <w:pgMar w:top="1440" w:right="1440" w:bottom="1440" w:left="1440" w:header="720" w:footer="720" w:gutter="0"/>
          <w:pgNumType w:start="1"/>
          <w:cols w:space="720"/>
          <w:docGrid w:linePitch="360"/>
        </w:sectPr>
      </w:pPr>
    </w:p>
    <w:p w:rsidR="00261826" w:rsidRPr="00D113F4" w:rsidRDefault="003A4FC7" w:rsidP="003A4FC7">
      <w:pPr>
        <w:pStyle w:val="TableTitle"/>
        <w:tabs>
          <w:tab w:val="clear" w:pos="1037"/>
          <w:tab w:val="clear" w:pos="2765"/>
        </w:tabs>
        <w:ind w:left="1440" w:hanging="1440"/>
      </w:pPr>
      <w:r w:rsidRPr="00D113F4">
        <w:lastRenderedPageBreak/>
        <w:t>Table B.1-1.</w:t>
      </w:r>
      <w:r w:rsidRPr="00D113F4">
        <w:tab/>
        <w:t>Response Rates for Wave 1 of the Models of SNAP-Ed and Evaluation Study</w:t>
      </w:r>
    </w:p>
    <w:tbl>
      <w:tblPr>
        <w:tblW w:w="5000" w:type="pct"/>
        <w:tblInd w:w="86" w:type="dxa"/>
        <w:tblBorders>
          <w:top w:val="single" w:sz="12" w:space="0" w:color="auto"/>
          <w:bottom w:val="single" w:sz="12" w:space="0" w:color="auto"/>
        </w:tblBorders>
        <w:tblLayout w:type="fixed"/>
        <w:tblCellMar>
          <w:left w:w="86" w:type="dxa"/>
          <w:right w:w="86" w:type="dxa"/>
        </w:tblCellMar>
        <w:tblLook w:val="00A0"/>
      </w:tblPr>
      <w:tblGrid>
        <w:gridCol w:w="1800"/>
        <w:gridCol w:w="1416"/>
        <w:gridCol w:w="1417"/>
        <w:gridCol w:w="1416"/>
        <w:gridCol w:w="1417"/>
        <w:gridCol w:w="1416"/>
        <w:gridCol w:w="1417"/>
        <w:gridCol w:w="1416"/>
        <w:gridCol w:w="1417"/>
      </w:tblGrid>
      <w:tr w:rsidR="00C02DBA" w:rsidRPr="00D113F4" w:rsidTr="00C02DBA">
        <w:trPr>
          <w:cantSplit/>
        </w:trPr>
        <w:tc>
          <w:tcPr>
            <w:tcW w:w="1800" w:type="dxa"/>
            <w:tcBorders>
              <w:top w:val="single" w:sz="12" w:space="0" w:color="auto"/>
              <w:bottom w:val="nil"/>
            </w:tcBorders>
            <w:vAlign w:val="bottom"/>
          </w:tcPr>
          <w:p w:rsidR="00C02DBA" w:rsidRPr="00D113F4" w:rsidRDefault="00C02DBA" w:rsidP="00C02DBA">
            <w:pPr>
              <w:pStyle w:val="TableHeaders"/>
            </w:pPr>
          </w:p>
        </w:tc>
        <w:tc>
          <w:tcPr>
            <w:tcW w:w="5666" w:type="dxa"/>
            <w:gridSpan w:val="4"/>
            <w:tcBorders>
              <w:top w:val="single" w:sz="12" w:space="0" w:color="auto"/>
              <w:bottom w:val="single" w:sz="6" w:space="0" w:color="auto"/>
            </w:tcBorders>
            <w:vAlign w:val="bottom"/>
          </w:tcPr>
          <w:p w:rsidR="00C02DBA" w:rsidRPr="00D113F4" w:rsidRDefault="00C02DBA" w:rsidP="00C02DBA">
            <w:pPr>
              <w:pStyle w:val="TableHeaders"/>
            </w:pPr>
            <w:r w:rsidRPr="00D113F4">
              <w:t>Anticipated</w:t>
            </w:r>
          </w:p>
        </w:tc>
        <w:tc>
          <w:tcPr>
            <w:tcW w:w="5666" w:type="dxa"/>
            <w:gridSpan w:val="4"/>
            <w:tcBorders>
              <w:top w:val="single" w:sz="12" w:space="0" w:color="auto"/>
              <w:bottom w:val="single" w:sz="6" w:space="0" w:color="auto"/>
            </w:tcBorders>
            <w:vAlign w:val="bottom"/>
          </w:tcPr>
          <w:p w:rsidR="00C02DBA" w:rsidRPr="00D113F4" w:rsidRDefault="00C02DBA" w:rsidP="00C02DBA">
            <w:pPr>
              <w:pStyle w:val="TableHeaders"/>
            </w:pPr>
            <w:r w:rsidRPr="00D113F4">
              <w:t>Actual</w:t>
            </w:r>
          </w:p>
        </w:tc>
      </w:tr>
      <w:tr w:rsidR="00C02DBA" w:rsidRPr="00D113F4" w:rsidTr="00C02DBA">
        <w:trPr>
          <w:cantSplit/>
        </w:trPr>
        <w:tc>
          <w:tcPr>
            <w:tcW w:w="1800" w:type="dxa"/>
            <w:tcBorders>
              <w:top w:val="nil"/>
              <w:bottom w:val="single" w:sz="12" w:space="0" w:color="auto"/>
            </w:tcBorders>
            <w:vAlign w:val="bottom"/>
          </w:tcPr>
          <w:p w:rsidR="00C02DBA" w:rsidRPr="00D113F4" w:rsidRDefault="00C02DBA" w:rsidP="00C02DBA">
            <w:pPr>
              <w:pStyle w:val="TableHeaders"/>
            </w:pPr>
          </w:p>
        </w:tc>
        <w:tc>
          <w:tcPr>
            <w:tcW w:w="1416" w:type="dxa"/>
            <w:tcBorders>
              <w:top w:val="single" w:sz="6" w:space="0" w:color="auto"/>
              <w:bottom w:val="single" w:sz="12" w:space="0" w:color="auto"/>
            </w:tcBorders>
            <w:vAlign w:val="bottom"/>
          </w:tcPr>
          <w:p w:rsidR="00C02DBA" w:rsidRPr="00D113F4" w:rsidRDefault="00C02DBA" w:rsidP="00C02DBA">
            <w:pPr>
              <w:pStyle w:val="TableHeaders"/>
            </w:pPr>
            <w:r w:rsidRPr="00D113F4">
              <w:t xml:space="preserve">Return Rate for Contact Card </w:t>
            </w:r>
            <w:r w:rsidRPr="00D113F4">
              <w:br/>
              <w:t>(%)</w:t>
            </w:r>
            <w:r w:rsidRPr="00D113F4">
              <w:rPr>
                <w:vertAlign w:val="superscript"/>
              </w:rPr>
              <w:t>a</w:t>
            </w:r>
          </w:p>
        </w:tc>
        <w:tc>
          <w:tcPr>
            <w:tcW w:w="1417" w:type="dxa"/>
            <w:tcBorders>
              <w:top w:val="single" w:sz="6" w:space="0" w:color="auto"/>
              <w:bottom w:val="single" w:sz="12" w:space="0" w:color="auto"/>
            </w:tcBorders>
            <w:vAlign w:val="bottom"/>
          </w:tcPr>
          <w:p w:rsidR="00C02DBA" w:rsidRPr="00D113F4" w:rsidRDefault="00C02DBA" w:rsidP="00D72650">
            <w:pPr>
              <w:pStyle w:val="TableHeaders"/>
            </w:pPr>
            <w:r w:rsidRPr="00D113F4">
              <w:t>Cooperation Rate for Pre-</w:t>
            </w:r>
            <w:r w:rsidR="00D72650">
              <w:t>s</w:t>
            </w:r>
            <w:r w:rsidRPr="00D113F4">
              <w:t>urvey (%)</w:t>
            </w:r>
            <w:r w:rsidRPr="00D113F4">
              <w:rPr>
                <w:vertAlign w:val="superscript"/>
              </w:rPr>
              <w:t>b</w:t>
            </w:r>
          </w:p>
        </w:tc>
        <w:tc>
          <w:tcPr>
            <w:tcW w:w="1416" w:type="dxa"/>
            <w:tcBorders>
              <w:top w:val="single" w:sz="6" w:space="0" w:color="auto"/>
              <w:bottom w:val="single" w:sz="12" w:space="0" w:color="auto"/>
            </w:tcBorders>
            <w:vAlign w:val="bottom"/>
          </w:tcPr>
          <w:p w:rsidR="00C02DBA" w:rsidRPr="00D113F4" w:rsidRDefault="00C02DBA" w:rsidP="00D72650">
            <w:pPr>
              <w:pStyle w:val="TableHeaders"/>
            </w:pPr>
            <w:r w:rsidRPr="00D113F4">
              <w:t>Cooperation Rate for Post-</w:t>
            </w:r>
            <w:r w:rsidR="00D72650">
              <w:t>s</w:t>
            </w:r>
            <w:r w:rsidRPr="00D113F4">
              <w:t>urvey (%)</w:t>
            </w:r>
            <w:r w:rsidRPr="00D113F4">
              <w:rPr>
                <w:vertAlign w:val="superscript"/>
              </w:rPr>
              <w:t>c</w:t>
            </w:r>
          </w:p>
        </w:tc>
        <w:tc>
          <w:tcPr>
            <w:tcW w:w="1417" w:type="dxa"/>
            <w:tcBorders>
              <w:top w:val="single" w:sz="6" w:space="0" w:color="auto"/>
              <w:bottom w:val="single" w:sz="12" w:space="0" w:color="auto"/>
            </w:tcBorders>
            <w:vAlign w:val="bottom"/>
          </w:tcPr>
          <w:p w:rsidR="00C02DBA" w:rsidRPr="00D113F4" w:rsidRDefault="00C02DBA" w:rsidP="00C02DBA">
            <w:pPr>
              <w:pStyle w:val="TableHeaders"/>
            </w:pPr>
            <w:r w:rsidRPr="00D113F4">
              <w:t xml:space="preserve">Overall Response Rate </w:t>
            </w:r>
            <w:r w:rsidRPr="00D113F4">
              <w:br/>
              <w:t>(%)</w:t>
            </w:r>
            <w:r w:rsidRPr="00D113F4">
              <w:rPr>
                <w:vertAlign w:val="superscript"/>
              </w:rPr>
              <w:t>d</w:t>
            </w:r>
          </w:p>
        </w:tc>
        <w:tc>
          <w:tcPr>
            <w:tcW w:w="1416" w:type="dxa"/>
            <w:tcBorders>
              <w:top w:val="single" w:sz="6" w:space="0" w:color="auto"/>
              <w:bottom w:val="single" w:sz="12" w:space="0" w:color="auto"/>
            </w:tcBorders>
            <w:vAlign w:val="bottom"/>
          </w:tcPr>
          <w:p w:rsidR="00C02DBA" w:rsidRPr="00D113F4" w:rsidRDefault="00C02DBA" w:rsidP="00C02DBA">
            <w:pPr>
              <w:pStyle w:val="TableHeaders"/>
            </w:pPr>
            <w:r w:rsidRPr="00D113F4">
              <w:t xml:space="preserve">Return Rate for Contact Card </w:t>
            </w:r>
            <w:r w:rsidRPr="00D113F4">
              <w:br/>
              <w:t>(%)</w:t>
            </w:r>
            <w:r w:rsidRPr="00D113F4">
              <w:rPr>
                <w:vertAlign w:val="superscript"/>
              </w:rPr>
              <w:t>a</w:t>
            </w:r>
          </w:p>
        </w:tc>
        <w:tc>
          <w:tcPr>
            <w:tcW w:w="1417" w:type="dxa"/>
            <w:tcBorders>
              <w:top w:val="single" w:sz="6" w:space="0" w:color="auto"/>
              <w:bottom w:val="single" w:sz="12" w:space="0" w:color="auto"/>
            </w:tcBorders>
            <w:vAlign w:val="bottom"/>
          </w:tcPr>
          <w:p w:rsidR="00C02DBA" w:rsidRPr="00D113F4" w:rsidRDefault="00C02DBA" w:rsidP="00D72650">
            <w:pPr>
              <w:pStyle w:val="TableHeaders"/>
            </w:pPr>
            <w:r w:rsidRPr="00D113F4">
              <w:t>Cooperation Rate for Pre-</w:t>
            </w:r>
            <w:r w:rsidR="00D72650">
              <w:t>s</w:t>
            </w:r>
            <w:r w:rsidRPr="00D113F4">
              <w:t>urvey (%)</w:t>
            </w:r>
            <w:r w:rsidRPr="00D113F4">
              <w:rPr>
                <w:vertAlign w:val="superscript"/>
              </w:rPr>
              <w:t>b</w:t>
            </w:r>
          </w:p>
        </w:tc>
        <w:tc>
          <w:tcPr>
            <w:tcW w:w="1416" w:type="dxa"/>
            <w:tcBorders>
              <w:top w:val="single" w:sz="6" w:space="0" w:color="auto"/>
              <w:bottom w:val="single" w:sz="12" w:space="0" w:color="auto"/>
            </w:tcBorders>
            <w:vAlign w:val="bottom"/>
          </w:tcPr>
          <w:p w:rsidR="00C02DBA" w:rsidRPr="00D113F4" w:rsidRDefault="00C02DBA" w:rsidP="00D72650">
            <w:pPr>
              <w:pStyle w:val="TableHeaders"/>
            </w:pPr>
            <w:r w:rsidRPr="00D113F4">
              <w:t>Cooperation Rate for Post-</w:t>
            </w:r>
            <w:r w:rsidR="00D72650">
              <w:t>s</w:t>
            </w:r>
            <w:r w:rsidRPr="00D113F4">
              <w:t>urvey (%)</w:t>
            </w:r>
            <w:r w:rsidRPr="00D113F4">
              <w:rPr>
                <w:vertAlign w:val="superscript"/>
              </w:rPr>
              <w:t>c</w:t>
            </w:r>
          </w:p>
        </w:tc>
        <w:tc>
          <w:tcPr>
            <w:tcW w:w="1417" w:type="dxa"/>
            <w:tcBorders>
              <w:top w:val="single" w:sz="6" w:space="0" w:color="auto"/>
              <w:bottom w:val="single" w:sz="12" w:space="0" w:color="auto"/>
            </w:tcBorders>
            <w:vAlign w:val="bottom"/>
          </w:tcPr>
          <w:p w:rsidR="00C02DBA" w:rsidRPr="00D113F4" w:rsidRDefault="00C02DBA" w:rsidP="00C02DBA">
            <w:pPr>
              <w:pStyle w:val="TableHeaders"/>
            </w:pPr>
            <w:r w:rsidRPr="00D113F4">
              <w:t xml:space="preserve">Overall Response Rate </w:t>
            </w:r>
            <w:r w:rsidRPr="00D113F4">
              <w:br/>
              <w:t>(%)</w:t>
            </w:r>
            <w:r w:rsidRPr="00D113F4">
              <w:rPr>
                <w:vertAlign w:val="superscript"/>
              </w:rPr>
              <w:t>d</w:t>
            </w:r>
          </w:p>
        </w:tc>
      </w:tr>
      <w:tr w:rsidR="00C02DBA" w:rsidRPr="00D113F4" w:rsidTr="00C02DBA">
        <w:trPr>
          <w:cantSplit/>
        </w:trPr>
        <w:tc>
          <w:tcPr>
            <w:tcW w:w="1800" w:type="dxa"/>
            <w:tcBorders>
              <w:top w:val="single" w:sz="12" w:space="0" w:color="auto"/>
            </w:tcBorders>
          </w:tcPr>
          <w:p w:rsidR="00C02DBA" w:rsidRPr="00D113F4" w:rsidRDefault="00C02DBA" w:rsidP="003A4FC7">
            <w:pPr>
              <w:pStyle w:val="Tabletext1"/>
            </w:pPr>
            <w:r w:rsidRPr="00D113F4">
              <w:t>CNNS</w:t>
            </w:r>
          </w:p>
        </w:tc>
        <w:tc>
          <w:tcPr>
            <w:tcW w:w="1416" w:type="dxa"/>
            <w:tcBorders>
              <w:top w:val="single" w:sz="12" w:space="0" w:color="auto"/>
            </w:tcBorders>
          </w:tcPr>
          <w:p w:rsidR="00C02DBA" w:rsidRPr="00D113F4" w:rsidRDefault="00C02DBA" w:rsidP="00D72650">
            <w:pPr>
              <w:pStyle w:val="Tablenumbers"/>
              <w:tabs>
                <w:tab w:val="decimal" w:pos="724"/>
              </w:tabs>
              <w:jc w:val="left"/>
            </w:pPr>
          </w:p>
        </w:tc>
        <w:tc>
          <w:tcPr>
            <w:tcW w:w="1417" w:type="dxa"/>
            <w:tcBorders>
              <w:top w:val="single" w:sz="12" w:space="0" w:color="auto"/>
            </w:tcBorders>
          </w:tcPr>
          <w:p w:rsidR="00C02DBA" w:rsidRPr="00D113F4" w:rsidRDefault="00C02DBA" w:rsidP="00D72650">
            <w:pPr>
              <w:pStyle w:val="Tablenumbers"/>
              <w:tabs>
                <w:tab w:val="decimal" w:pos="724"/>
              </w:tabs>
              <w:jc w:val="left"/>
            </w:pPr>
          </w:p>
        </w:tc>
        <w:tc>
          <w:tcPr>
            <w:tcW w:w="1416" w:type="dxa"/>
            <w:tcBorders>
              <w:top w:val="single" w:sz="12" w:space="0" w:color="auto"/>
            </w:tcBorders>
          </w:tcPr>
          <w:p w:rsidR="00C02DBA" w:rsidRPr="00D113F4" w:rsidRDefault="00C02DBA" w:rsidP="00D72650">
            <w:pPr>
              <w:pStyle w:val="Tablenumbers"/>
              <w:tabs>
                <w:tab w:val="decimal" w:pos="724"/>
              </w:tabs>
              <w:jc w:val="left"/>
            </w:pPr>
          </w:p>
        </w:tc>
        <w:tc>
          <w:tcPr>
            <w:tcW w:w="1417" w:type="dxa"/>
            <w:tcBorders>
              <w:top w:val="single" w:sz="12" w:space="0" w:color="auto"/>
            </w:tcBorders>
          </w:tcPr>
          <w:p w:rsidR="00C02DBA" w:rsidRPr="00D113F4" w:rsidRDefault="00C02DBA" w:rsidP="00D72650">
            <w:pPr>
              <w:pStyle w:val="Tablenumbers"/>
              <w:tabs>
                <w:tab w:val="decimal" w:pos="724"/>
              </w:tabs>
              <w:jc w:val="left"/>
            </w:pPr>
          </w:p>
        </w:tc>
        <w:tc>
          <w:tcPr>
            <w:tcW w:w="1416" w:type="dxa"/>
            <w:tcBorders>
              <w:top w:val="single" w:sz="12" w:space="0" w:color="auto"/>
            </w:tcBorders>
          </w:tcPr>
          <w:p w:rsidR="00C02DBA" w:rsidRPr="00D113F4" w:rsidRDefault="00C02DBA" w:rsidP="00D72650">
            <w:pPr>
              <w:pStyle w:val="Tablenumbers"/>
              <w:tabs>
                <w:tab w:val="decimal" w:pos="724"/>
              </w:tabs>
              <w:jc w:val="left"/>
            </w:pPr>
          </w:p>
        </w:tc>
        <w:tc>
          <w:tcPr>
            <w:tcW w:w="1417" w:type="dxa"/>
            <w:tcBorders>
              <w:top w:val="single" w:sz="12" w:space="0" w:color="auto"/>
            </w:tcBorders>
          </w:tcPr>
          <w:p w:rsidR="00C02DBA" w:rsidRPr="00D113F4" w:rsidRDefault="00C02DBA" w:rsidP="00D72650">
            <w:pPr>
              <w:pStyle w:val="Tablenumbers"/>
              <w:tabs>
                <w:tab w:val="decimal" w:pos="724"/>
              </w:tabs>
              <w:jc w:val="left"/>
            </w:pPr>
          </w:p>
        </w:tc>
        <w:tc>
          <w:tcPr>
            <w:tcW w:w="1416" w:type="dxa"/>
            <w:tcBorders>
              <w:top w:val="single" w:sz="12" w:space="0" w:color="auto"/>
            </w:tcBorders>
          </w:tcPr>
          <w:p w:rsidR="00C02DBA" w:rsidRPr="00D113F4" w:rsidRDefault="00C02DBA" w:rsidP="00D72650">
            <w:pPr>
              <w:pStyle w:val="Tablenumbers"/>
              <w:tabs>
                <w:tab w:val="decimal" w:pos="724"/>
              </w:tabs>
              <w:jc w:val="left"/>
            </w:pPr>
          </w:p>
        </w:tc>
        <w:tc>
          <w:tcPr>
            <w:tcW w:w="1417" w:type="dxa"/>
            <w:tcBorders>
              <w:top w:val="single" w:sz="12" w:space="0" w:color="auto"/>
            </w:tcBorders>
          </w:tcPr>
          <w:p w:rsidR="00C02DBA" w:rsidRPr="00D113F4" w:rsidRDefault="00C02DBA" w:rsidP="00D72650">
            <w:pPr>
              <w:pStyle w:val="Tablenumbers"/>
              <w:tabs>
                <w:tab w:val="decimal" w:pos="724"/>
              </w:tabs>
              <w:jc w:val="left"/>
            </w:pPr>
          </w:p>
        </w:tc>
      </w:tr>
      <w:tr w:rsidR="00C02DBA" w:rsidRPr="00D113F4" w:rsidTr="00C02DBA">
        <w:trPr>
          <w:cantSplit/>
        </w:trPr>
        <w:tc>
          <w:tcPr>
            <w:tcW w:w="1800" w:type="dxa"/>
          </w:tcPr>
          <w:p w:rsidR="00C02DBA" w:rsidRPr="00D113F4" w:rsidRDefault="00C02DBA" w:rsidP="00C02DBA">
            <w:pPr>
              <w:pStyle w:val="Tabletext1"/>
              <w:ind w:left="403"/>
            </w:pPr>
            <w:r w:rsidRPr="00D113F4">
              <w:t>Treatment</w:t>
            </w:r>
          </w:p>
        </w:tc>
        <w:tc>
          <w:tcPr>
            <w:tcW w:w="1416" w:type="dxa"/>
          </w:tcPr>
          <w:p w:rsidR="00C02DBA" w:rsidRPr="00D113F4" w:rsidRDefault="00C02DBA" w:rsidP="00D72650">
            <w:pPr>
              <w:pStyle w:val="Tablenumbers"/>
              <w:tabs>
                <w:tab w:val="decimal" w:pos="724"/>
              </w:tabs>
              <w:jc w:val="left"/>
            </w:pPr>
            <w:r w:rsidRPr="00D113F4">
              <w:t>82</w:t>
            </w:r>
          </w:p>
        </w:tc>
        <w:tc>
          <w:tcPr>
            <w:tcW w:w="1417" w:type="dxa"/>
          </w:tcPr>
          <w:p w:rsidR="00C02DBA" w:rsidRPr="00D113F4" w:rsidRDefault="00C02DBA" w:rsidP="00D72650">
            <w:pPr>
              <w:pStyle w:val="Tablenumbers"/>
              <w:tabs>
                <w:tab w:val="decimal" w:pos="724"/>
              </w:tabs>
              <w:jc w:val="left"/>
            </w:pPr>
            <w:r w:rsidRPr="00D113F4">
              <w:t>75</w:t>
            </w:r>
          </w:p>
        </w:tc>
        <w:tc>
          <w:tcPr>
            <w:tcW w:w="1416" w:type="dxa"/>
          </w:tcPr>
          <w:p w:rsidR="00C02DBA" w:rsidRPr="00D113F4" w:rsidRDefault="00C02DBA" w:rsidP="00D72650">
            <w:pPr>
              <w:pStyle w:val="Tablenumbers"/>
              <w:tabs>
                <w:tab w:val="decimal" w:pos="724"/>
              </w:tabs>
              <w:jc w:val="left"/>
            </w:pPr>
            <w:r w:rsidRPr="00D113F4">
              <w:t>83</w:t>
            </w:r>
          </w:p>
        </w:tc>
        <w:tc>
          <w:tcPr>
            <w:tcW w:w="1417" w:type="dxa"/>
          </w:tcPr>
          <w:p w:rsidR="00C02DBA" w:rsidRPr="00D113F4" w:rsidRDefault="00C02DBA" w:rsidP="00D72650">
            <w:pPr>
              <w:pStyle w:val="Tablenumbers"/>
              <w:tabs>
                <w:tab w:val="decimal" w:pos="724"/>
              </w:tabs>
              <w:jc w:val="left"/>
            </w:pPr>
            <w:r w:rsidRPr="00D113F4">
              <w:t>51</w:t>
            </w:r>
          </w:p>
        </w:tc>
        <w:tc>
          <w:tcPr>
            <w:tcW w:w="1416" w:type="dxa"/>
          </w:tcPr>
          <w:p w:rsidR="00C02DBA" w:rsidRPr="00D113F4" w:rsidRDefault="00C02DBA" w:rsidP="00D72650">
            <w:pPr>
              <w:pStyle w:val="Tablenumbers"/>
              <w:tabs>
                <w:tab w:val="decimal" w:pos="724"/>
              </w:tabs>
              <w:jc w:val="left"/>
            </w:pPr>
            <w:r w:rsidRPr="00D113F4">
              <w:t>70</w:t>
            </w:r>
          </w:p>
        </w:tc>
        <w:tc>
          <w:tcPr>
            <w:tcW w:w="1417" w:type="dxa"/>
          </w:tcPr>
          <w:p w:rsidR="00C02DBA" w:rsidRPr="00D113F4" w:rsidRDefault="00C02DBA" w:rsidP="00D72650">
            <w:pPr>
              <w:pStyle w:val="Tablenumbers"/>
              <w:tabs>
                <w:tab w:val="decimal" w:pos="724"/>
              </w:tabs>
              <w:jc w:val="left"/>
            </w:pPr>
            <w:r w:rsidRPr="00D113F4">
              <w:t>83</w:t>
            </w:r>
          </w:p>
        </w:tc>
        <w:tc>
          <w:tcPr>
            <w:tcW w:w="1416" w:type="dxa"/>
          </w:tcPr>
          <w:p w:rsidR="00C02DBA" w:rsidRPr="00D113F4" w:rsidRDefault="00C02DBA" w:rsidP="00D72650">
            <w:pPr>
              <w:pStyle w:val="Tablenumbers"/>
              <w:tabs>
                <w:tab w:val="decimal" w:pos="724"/>
              </w:tabs>
              <w:jc w:val="left"/>
            </w:pPr>
            <w:r w:rsidRPr="00D113F4">
              <w:t>84</w:t>
            </w:r>
          </w:p>
        </w:tc>
        <w:tc>
          <w:tcPr>
            <w:tcW w:w="1417" w:type="dxa"/>
          </w:tcPr>
          <w:p w:rsidR="00C02DBA" w:rsidRPr="00D113F4" w:rsidRDefault="00C02DBA" w:rsidP="00D72650">
            <w:pPr>
              <w:pStyle w:val="Tablenumbers"/>
              <w:tabs>
                <w:tab w:val="decimal" w:pos="724"/>
              </w:tabs>
              <w:jc w:val="left"/>
            </w:pPr>
            <w:r w:rsidRPr="00D113F4">
              <w:t>49</w:t>
            </w:r>
          </w:p>
        </w:tc>
      </w:tr>
      <w:tr w:rsidR="00C02DBA" w:rsidRPr="00D113F4" w:rsidTr="00C02DBA">
        <w:trPr>
          <w:cantSplit/>
        </w:trPr>
        <w:tc>
          <w:tcPr>
            <w:tcW w:w="1800" w:type="dxa"/>
          </w:tcPr>
          <w:p w:rsidR="00C02DBA" w:rsidRPr="00D113F4" w:rsidRDefault="00C02DBA" w:rsidP="00C02DBA">
            <w:pPr>
              <w:pStyle w:val="Tabletext1"/>
              <w:ind w:left="403"/>
            </w:pPr>
            <w:r w:rsidRPr="00D113F4">
              <w:t>Comparison</w:t>
            </w:r>
          </w:p>
        </w:tc>
        <w:tc>
          <w:tcPr>
            <w:tcW w:w="1416" w:type="dxa"/>
          </w:tcPr>
          <w:p w:rsidR="00C02DBA" w:rsidRPr="00D113F4" w:rsidRDefault="00C02DBA" w:rsidP="00D72650">
            <w:pPr>
              <w:pStyle w:val="Tablenumbers"/>
              <w:tabs>
                <w:tab w:val="decimal" w:pos="724"/>
              </w:tabs>
              <w:jc w:val="left"/>
            </w:pPr>
            <w:r w:rsidRPr="00D113F4">
              <w:t>82</w:t>
            </w:r>
          </w:p>
        </w:tc>
        <w:tc>
          <w:tcPr>
            <w:tcW w:w="1417" w:type="dxa"/>
          </w:tcPr>
          <w:p w:rsidR="00C02DBA" w:rsidRPr="00D113F4" w:rsidRDefault="00C02DBA" w:rsidP="00D72650">
            <w:pPr>
              <w:pStyle w:val="Tablenumbers"/>
              <w:tabs>
                <w:tab w:val="decimal" w:pos="724"/>
              </w:tabs>
              <w:jc w:val="left"/>
            </w:pPr>
            <w:r w:rsidRPr="00D113F4">
              <w:t>75</w:t>
            </w:r>
          </w:p>
        </w:tc>
        <w:tc>
          <w:tcPr>
            <w:tcW w:w="1416" w:type="dxa"/>
          </w:tcPr>
          <w:p w:rsidR="00C02DBA" w:rsidRPr="00D113F4" w:rsidRDefault="00C02DBA" w:rsidP="00D72650">
            <w:pPr>
              <w:pStyle w:val="Tablenumbers"/>
              <w:tabs>
                <w:tab w:val="decimal" w:pos="724"/>
              </w:tabs>
              <w:jc w:val="left"/>
            </w:pPr>
            <w:r w:rsidRPr="00D113F4">
              <w:t>83</w:t>
            </w:r>
          </w:p>
        </w:tc>
        <w:tc>
          <w:tcPr>
            <w:tcW w:w="1417" w:type="dxa"/>
          </w:tcPr>
          <w:p w:rsidR="00C02DBA" w:rsidRPr="00D113F4" w:rsidRDefault="00C02DBA" w:rsidP="00D72650">
            <w:pPr>
              <w:pStyle w:val="Tablenumbers"/>
              <w:tabs>
                <w:tab w:val="decimal" w:pos="724"/>
              </w:tabs>
              <w:jc w:val="left"/>
            </w:pPr>
            <w:r w:rsidRPr="00D113F4">
              <w:t>51</w:t>
            </w:r>
          </w:p>
        </w:tc>
        <w:tc>
          <w:tcPr>
            <w:tcW w:w="1416" w:type="dxa"/>
          </w:tcPr>
          <w:p w:rsidR="00C02DBA" w:rsidRPr="00D113F4" w:rsidRDefault="00C02DBA" w:rsidP="00D72650">
            <w:pPr>
              <w:pStyle w:val="Tablenumbers"/>
              <w:tabs>
                <w:tab w:val="decimal" w:pos="724"/>
              </w:tabs>
              <w:jc w:val="left"/>
            </w:pPr>
            <w:r w:rsidRPr="00D113F4">
              <w:t>63</w:t>
            </w:r>
          </w:p>
        </w:tc>
        <w:tc>
          <w:tcPr>
            <w:tcW w:w="1417" w:type="dxa"/>
          </w:tcPr>
          <w:p w:rsidR="00C02DBA" w:rsidRPr="00D113F4" w:rsidRDefault="00C02DBA" w:rsidP="00D72650">
            <w:pPr>
              <w:pStyle w:val="Tablenumbers"/>
              <w:tabs>
                <w:tab w:val="decimal" w:pos="724"/>
              </w:tabs>
              <w:jc w:val="left"/>
            </w:pPr>
            <w:r w:rsidRPr="00D113F4">
              <w:t>85</w:t>
            </w:r>
          </w:p>
        </w:tc>
        <w:tc>
          <w:tcPr>
            <w:tcW w:w="1416" w:type="dxa"/>
          </w:tcPr>
          <w:p w:rsidR="00C02DBA" w:rsidRPr="00D113F4" w:rsidRDefault="00C02DBA" w:rsidP="00D72650">
            <w:pPr>
              <w:pStyle w:val="Tablenumbers"/>
              <w:tabs>
                <w:tab w:val="decimal" w:pos="724"/>
              </w:tabs>
              <w:jc w:val="left"/>
            </w:pPr>
            <w:r w:rsidRPr="00D113F4">
              <w:t>85</w:t>
            </w:r>
          </w:p>
        </w:tc>
        <w:tc>
          <w:tcPr>
            <w:tcW w:w="1417" w:type="dxa"/>
          </w:tcPr>
          <w:p w:rsidR="00C02DBA" w:rsidRPr="00D113F4" w:rsidRDefault="00C02DBA" w:rsidP="00D72650">
            <w:pPr>
              <w:pStyle w:val="Tablenumbers"/>
              <w:tabs>
                <w:tab w:val="decimal" w:pos="724"/>
              </w:tabs>
              <w:jc w:val="left"/>
            </w:pPr>
            <w:r w:rsidRPr="00D113F4">
              <w:t>46</w:t>
            </w:r>
          </w:p>
        </w:tc>
      </w:tr>
      <w:tr w:rsidR="00C02DBA" w:rsidRPr="00D113F4" w:rsidTr="00C02DBA">
        <w:trPr>
          <w:cantSplit/>
        </w:trPr>
        <w:tc>
          <w:tcPr>
            <w:tcW w:w="1800" w:type="dxa"/>
          </w:tcPr>
          <w:p w:rsidR="00C02DBA" w:rsidRPr="00D113F4" w:rsidRDefault="00C02DBA" w:rsidP="003A4FC7">
            <w:pPr>
              <w:pStyle w:val="Tabletext1"/>
            </w:pPr>
            <w:r w:rsidRPr="00D113F4">
              <w:t>UNV</w:t>
            </w:r>
          </w:p>
        </w:tc>
        <w:tc>
          <w:tcPr>
            <w:tcW w:w="1416" w:type="dxa"/>
          </w:tcPr>
          <w:p w:rsidR="00C02DBA" w:rsidRPr="00D113F4" w:rsidRDefault="00C02DBA" w:rsidP="00D72650">
            <w:pPr>
              <w:pStyle w:val="Tablenumbers"/>
              <w:tabs>
                <w:tab w:val="decimal" w:pos="724"/>
              </w:tabs>
              <w:jc w:val="left"/>
            </w:pPr>
          </w:p>
        </w:tc>
        <w:tc>
          <w:tcPr>
            <w:tcW w:w="1417" w:type="dxa"/>
          </w:tcPr>
          <w:p w:rsidR="00C02DBA" w:rsidRPr="00D113F4" w:rsidRDefault="00C02DBA" w:rsidP="00D72650">
            <w:pPr>
              <w:pStyle w:val="Tablenumbers"/>
              <w:tabs>
                <w:tab w:val="decimal" w:pos="724"/>
              </w:tabs>
              <w:jc w:val="left"/>
            </w:pPr>
          </w:p>
        </w:tc>
        <w:tc>
          <w:tcPr>
            <w:tcW w:w="1416" w:type="dxa"/>
          </w:tcPr>
          <w:p w:rsidR="00C02DBA" w:rsidRPr="00D113F4" w:rsidRDefault="00C02DBA" w:rsidP="00D72650">
            <w:pPr>
              <w:pStyle w:val="Tablenumbers"/>
              <w:tabs>
                <w:tab w:val="decimal" w:pos="724"/>
              </w:tabs>
              <w:jc w:val="left"/>
            </w:pPr>
          </w:p>
        </w:tc>
        <w:tc>
          <w:tcPr>
            <w:tcW w:w="1417" w:type="dxa"/>
          </w:tcPr>
          <w:p w:rsidR="00C02DBA" w:rsidRPr="00D113F4" w:rsidRDefault="00C02DBA" w:rsidP="00D72650">
            <w:pPr>
              <w:pStyle w:val="Tablenumbers"/>
              <w:tabs>
                <w:tab w:val="decimal" w:pos="724"/>
              </w:tabs>
              <w:jc w:val="left"/>
            </w:pPr>
          </w:p>
        </w:tc>
        <w:tc>
          <w:tcPr>
            <w:tcW w:w="1416" w:type="dxa"/>
          </w:tcPr>
          <w:p w:rsidR="00C02DBA" w:rsidRPr="00D113F4" w:rsidRDefault="00C02DBA" w:rsidP="00D72650">
            <w:pPr>
              <w:pStyle w:val="Tablenumbers"/>
              <w:tabs>
                <w:tab w:val="decimal" w:pos="724"/>
              </w:tabs>
              <w:jc w:val="left"/>
            </w:pPr>
          </w:p>
        </w:tc>
        <w:tc>
          <w:tcPr>
            <w:tcW w:w="1417" w:type="dxa"/>
          </w:tcPr>
          <w:p w:rsidR="00C02DBA" w:rsidRPr="00D113F4" w:rsidRDefault="00C02DBA" w:rsidP="00D72650">
            <w:pPr>
              <w:pStyle w:val="Tablenumbers"/>
              <w:tabs>
                <w:tab w:val="decimal" w:pos="724"/>
              </w:tabs>
              <w:jc w:val="left"/>
            </w:pPr>
          </w:p>
        </w:tc>
        <w:tc>
          <w:tcPr>
            <w:tcW w:w="1416" w:type="dxa"/>
          </w:tcPr>
          <w:p w:rsidR="00C02DBA" w:rsidRPr="00D113F4" w:rsidRDefault="00C02DBA" w:rsidP="00D72650">
            <w:pPr>
              <w:pStyle w:val="Tablenumbers"/>
              <w:tabs>
                <w:tab w:val="decimal" w:pos="724"/>
              </w:tabs>
              <w:jc w:val="left"/>
            </w:pPr>
          </w:p>
        </w:tc>
        <w:tc>
          <w:tcPr>
            <w:tcW w:w="1417" w:type="dxa"/>
          </w:tcPr>
          <w:p w:rsidR="00C02DBA" w:rsidRPr="00D113F4" w:rsidRDefault="00C02DBA" w:rsidP="00D72650">
            <w:pPr>
              <w:pStyle w:val="Tablenumbers"/>
              <w:tabs>
                <w:tab w:val="decimal" w:pos="724"/>
              </w:tabs>
              <w:jc w:val="left"/>
            </w:pPr>
          </w:p>
        </w:tc>
      </w:tr>
      <w:tr w:rsidR="00C02DBA" w:rsidRPr="00D113F4" w:rsidTr="00C02DBA">
        <w:trPr>
          <w:cantSplit/>
        </w:trPr>
        <w:tc>
          <w:tcPr>
            <w:tcW w:w="1800" w:type="dxa"/>
          </w:tcPr>
          <w:p w:rsidR="00C02DBA" w:rsidRPr="00D113F4" w:rsidRDefault="00C02DBA" w:rsidP="00C02DBA">
            <w:pPr>
              <w:pStyle w:val="Tabletext1"/>
              <w:ind w:left="403"/>
            </w:pPr>
            <w:r w:rsidRPr="00D113F4">
              <w:t>Treatment</w:t>
            </w:r>
          </w:p>
        </w:tc>
        <w:tc>
          <w:tcPr>
            <w:tcW w:w="1416" w:type="dxa"/>
          </w:tcPr>
          <w:p w:rsidR="00C02DBA" w:rsidRPr="00D113F4" w:rsidRDefault="00C02DBA" w:rsidP="00D72650">
            <w:pPr>
              <w:pStyle w:val="Tablenumbers"/>
              <w:tabs>
                <w:tab w:val="decimal" w:pos="724"/>
              </w:tabs>
              <w:jc w:val="left"/>
            </w:pPr>
            <w:r w:rsidRPr="00D113F4">
              <w:t>—</w:t>
            </w:r>
            <w:r w:rsidRPr="00D113F4">
              <w:rPr>
                <w:vertAlign w:val="superscript"/>
              </w:rPr>
              <w:t>e</w:t>
            </w:r>
          </w:p>
        </w:tc>
        <w:tc>
          <w:tcPr>
            <w:tcW w:w="1417" w:type="dxa"/>
          </w:tcPr>
          <w:p w:rsidR="00C02DBA" w:rsidRPr="00D113F4" w:rsidRDefault="00C02DBA" w:rsidP="00D72650">
            <w:pPr>
              <w:pStyle w:val="Tablenumbers"/>
              <w:tabs>
                <w:tab w:val="decimal" w:pos="724"/>
              </w:tabs>
              <w:jc w:val="left"/>
            </w:pPr>
            <w:r w:rsidRPr="00D113F4">
              <w:t>83</w:t>
            </w:r>
          </w:p>
        </w:tc>
        <w:tc>
          <w:tcPr>
            <w:tcW w:w="1416" w:type="dxa"/>
          </w:tcPr>
          <w:p w:rsidR="00C02DBA" w:rsidRPr="00D113F4" w:rsidRDefault="00C02DBA" w:rsidP="00D72650">
            <w:pPr>
              <w:pStyle w:val="Tablenumbers"/>
              <w:tabs>
                <w:tab w:val="decimal" w:pos="724"/>
              </w:tabs>
              <w:jc w:val="left"/>
            </w:pPr>
            <w:r w:rsidRPr="00D113F4">
              <w:t>80</w:t>
            </w:r>
          </w:p>
        </w:tc>
        <w:tc>
          <w:tcPr>
            <w:tcW w:w="1417" w:type="dxa"/>
          </w:tcPr>
          <w:p w:rsidR="00C02DBA" w:rsidRPr="00D113F4" w:rsidRDefault="00C02DBA" w:rsidP="00D72650">
            <w:pPr>
              <w:pStyle w:val="Tablenumbers"/>
              <w:tabs>
                <w:tab w:val="decimal" w:pos="724"/>
              </w:tabs>
              <w:jc w:val="left"/>
            </w:pPr>
            <w:r w:rsidRPr="00D113F4">
              <w:t>66</w:t>
            </w:r>
          </w:p>
        </w:tc>
        <w:tc>
          <w:tcPr>
            <w:tcW w:w="1416" w:type="dxa"/>
          </w:tcPr>
          <w:p w:rsidR="00C02DBA" w:rsidRPr="00D113F4" w:rsidRDefault="00C02DBA" w:rsidP="00D72650">
            <w:pPr>
              <w:pStyle w:val="Tablenumbers"/>
              <w:tabs>
                <w:tab w:val="decimal" w:pos="724"/>
              </w:tabs>
              <w:jc w:val="left"/>
            </w:pPr>
            <w:r w:rsidRPr="00D113F4">
              <w:t>—</w:t>
            </w:r>
            <w:r w:rsidRPr="00D113F4">
              <w:rPr>
                <w:vertAlign w:val="superscript"/>
              </w:rPr>
              <w:t>e</w:t>
            </w:r>
          </w:p>
        </w:tc>
        <w:tc>
          <w:tcPr>
            <w:tcW w:w="1417" w:type="dxa"/>
          </w:tcPr>
          <w:p w:rsidR="00C02DBA" w:rsidRPr="00D113F4" w:rsidRDefault="00C02DBA" w:rsidP="00D72650">
            <w:pPr>
              <w:pStyle w:val="Tablenumbers"/>
              <w:tabs>
                <w:tab w:val="decimal" w:pos="724"/>
              </w:tabs>
              <w:jc w:val="left"/>
            </w:pPr>
            <w:r w:rsidRPr="00D113F4">
              <w:t>85</w:t>
            </w:r>
          </w:p>
        </w:tc>
        <w:tc>
          <w:tcPr>
            <w:tcW w:w="1416" w:type="dxa"/>
          </w:tcPr>
          <w:p w:rsidR="00C02DBA" w:rsidRPr="00D113F4" w:rsidRDefault="00C02DBA" w:rsidP="00D72650">
            <w:pPr>
              <w:pStyle w:val="Tablenumbers"/>
              <w:tabs>
                <w:tab w:val="decimal" w:pos="724"/>
              </w:tabs>
              <w:jc w:val="left"/>
            </w:pPr>
            <w:r w:rsidRPr="00D113F4">
              <w:t>83</w:t>
            </w:r>
          </w:p>
        </w:tc>
        <w:tc>
          <w:tcPr>
            <w:tcW w:w="1417" w:type="dxa"/>
          </w:tcPr>
          <w:p w:rsidR="00C02DBA" w:rsidRPr="00D113F4" w:rsidRDefault="00C02DBA" w:rsidP="00D72650">
            <w:pPr>
              <w:pStyle w:val="Tablenumbers"/>
              <w:tabs>
                <w:tab w:val="decimal" w:pos="724"/>
              </w:tabs>
              <w:jc w:val="left"/>
            </w:pPr>
            <w:r w:rsidRPr="00D113F4">
              <w:t>71</w:t>
            </w:r>
          </w:p>
        </w:tc>
      </w:tr>
      <w:tr w:rsidR="00C02DBA" w:rsidRPr="00D113F4" w:rsidTr="00C02DBA">
        <w:trPr>
          <w:cantSplit/>
        </w:trPr>
        <w:tc>
          <w:tcPr>
            <w:tcW w:w="1800" w:type="dxa"/>
          </w:tcPr>
          <w:p w:rsidR="00C02DBA" w:rsidRPr="00D113F4" w:rsidRDefault="00C02DBA" w:rsidP="00C02DBA">
            <w:pPr>
              <w:pStyle w:val="Tabletext1"/>
              <w:ind w:left="403"/>
            </w:pPr>
            <w:r w:rsidRPr="00D113F4">
              <w:t>Control</w:t>
            </w:r>
          </w:p>
        </w:tc>
        <w:tc>
          <w:tcPr>
            <w:tcW w:w="1416" w:type="dxa"/>
          </w:tcPr>
          <w:p w:rsidR="00C02DBA" w:rsidRPr="00D113F4" w:rsidRDefault="00C02DBA" w:rsidP="00D72650">
            <w:pPr>
              <w:pStyle w:val="Tablenumbers"/>
              <w:tabs>
                <w:tab w:val="decimal" w:pos="724"/>
              </w:tabs>
              <w:jc w:val="left"/>
            </w:pPr>
            <w:r w:rsidRPr="00D113F4">
              <w:t>—</w:t>
            </w:r>
            <w:r w:rsidRPr="00D113F4">
              <w:rPr>
                <w:vertAlign w:val="superscript"/>
              </w:rPr>
              <w:t>e</w:t>
            </w:r>
          </w:p>
        </w:tc>
        <w:tc>
          <w:tcPr>
            <w:tcW w:w="1417" w:type="dxa"/>
          </w:tcPr>
          <w:p w:rsidR="00C02DBA" w:rsidRPr="00D113F4" w:rsidRDefault="00C02DBA" w:rsidP="00D72650">
            <w:pPr>
              <w:pStyle w:val="Tablenumbers"/>
              <w:tabs>
                <w:tab w:val="decimal" w:pos="724"/>
              </w:tabs>
              <w:jc w:val="left"/>
            </w:pPr>
            <w:r w:rsidRPr="00D113F4">
              <w:t>83</w:t>
            </w:r>
          </w:p>
        </w:tc>
        <w:tc>
          <w:tcPr>
            <w:tcW w:w="1416" w:type="dxa"/>
          </w:tcPr>
          <w:p w:rsidR="00C02DBA" w:rsidRPr="00D113F4" w:rsidRDefault="00C02DBA" w:rsidP="00D72650">
            <w:pPr>
              <w:pStyle w:val="Tablenumbers"/>
              <w:tabs>
                <w:tab w:val="decimal" w:pos="724"/>
              </w:tabs>
              <w:jc w:val="left"/>
            </w:pPr>
            <w:r w:rsidRPr="00D113F4">
              <w:t>80</w:t>
            </w:r>
          </w:p>
        </w:tc>
        <w:tc>
          <w:tcPr>
            <w:tcW w:w="1417" w:type="dxa"/>
          </w:tcPr>
          <w:p w:rsidR="00C02DBA" w:rsidRPr="00D113F4" w:rsidRDefault="00C02DBA" w:rsidP="00D72650">
            <w:pPr>
              <w:pStyle w:val="Tablenumbers"/>
              <w:tabs>
                <w:tab w:val="decimal" w:pos="724"/>
              </w:tabs>
              <w:jc w:val="left"/>
            </w:pPr>
            <w:r w:rsidRPr="00D113F4">
              <w:t>66</w:t>
            </w:r>
          </w:p>
        </w:tc>
        <w:tc>
          <w:tcPr>
            <w:tcW w:w="1416" w:type="dxa"/>
          </w:tcPr>
          <w:p w:rsidR="00C02DBA" w:rsidRPr="00D113F4" w:rsidRDefault="00C02DBA" w:rsidP="00D72650">
            <w:pPr>
              <w:pStyle w:val="Tablenumbers"/>
              <w:tabs>
                <w:tab w:val="decimal" w:pos="724"/>
              </w:tabs>
              <w:jc w:val="left"/>
            </w:pPr>
            <w:r w:rsidRPr="00D113F4">
              <w:t>—</w:t>
            </w:r>
            <w:r w:rsidRPr="00D113F4">
              <w:rPr>
                <w:vertAlign w:val="superscript"/>
              </w:rPr>
              <w:t>e</w:t>
            </w:r>
          </w:p>
        </w:tc>
        <w:tc>
          <w:tcPr>
            <w:tcW w:w="1417" w:type="dxa"/>
          </w:tcPr>
          <w:p w:rsidR="00C02DBA" w:rsidRPr="00D113F4" w:rsidRDefault="00C02DBA" w:rsidP="00D72650">
            <w:pPr>
              <w:pStyle w:val="Tablenumbers"/>
              <w:tabs>
                <w:tab w:val="decimal" w:pos="724"/>
              </w:tabs>
              <w:jc w:val="left"/>
            </w:pPr>
            <w:r w:rsidRPr="00D113F4">
              <w:t>54</w:t>
            </w:r>
            <w:r w:rsidR="00971295">
              <w:rPr>
                <w:vertAlign w:val="superscript"/>
              </w:rPr>
              <w:t>f</w:t>
            </w:r>
          </w:p>
        </w:tc>
        <w:tc>
          <w:tcPr>
            <w:tcW w:w="1416" w:type="dxa"/>
          </w:tcPr>
          <w:p w:rsidR="00C02DBA" w:rsidRPr="00D113F4" w:rsidRDefault="00C02DBA" w:rsidP="00D72650">
            <w:pPr>
              <w:pStyle w:val="Tablenumbers"/>
              <w:tabs>
                <w:tab w:val="decimal" w:pos="724"/>
              </w:tabs>
              <w:jc w:val="left"/>
            </w:pPr>
            <w:r w:rsidRPr="00D113F4">
              <w:t>81</w:t>
            </w:r>
          </w:p>
        </w:tc>
        <w:tc>
          <w:tcPr>
            <w:tcW w:w="1417" w:type="dxa"/>
          </w:tcPr>
          <w:p w:rsidR="00C02DBA" w:rsidRPr="00D113F4" w:rsidRDefault="00C02DBA" w:rsidP="00D72650">
            <w:pPr>
              <w:pStyle w:val="Tablenumbers"/>
              <w:tabs>
                <w:tab w:val="decimal" w:pos="724"/>
              </w:tabs>
              <w:jc w:val="left"/>
            </w:pPr>
            <w:r w:rsidRPr="00D113F4">
              <w:t>44</w:t>
            </w:r>
          </w:p>
        </w:tc>
      </w:tr>
      <w:tr w:rsidR="00C02DBA" w:rsidRPr="00D113F4" w:rsidTr="00C02DBA">
        <w:trPr>
          <w:cantSplit/>
        </w:trPr>
        <w:tc>
          <w:tcPr>
            <w:tcW w:w="1800" w:type="dxa"/>
          </w:tcPr>
          <w:p w:rsidR="00C02DBA" w:rsidRPr="00D113F4" w:rsidRDefault="00C02DBA" w:rsidP="003A4FC7">
            <w:pPr>
              <w:pStyle w:val="Tabletext1"/>
            </w:pPr>
            <w:r w:rsidRPr="00D113F4">
              <w:t>NYSDOH</w:t>
            </w:r>
          </w:p>
        </w:tc>
        <w:tc>
          <w:tcPr>
            <w:tcW w:w="1416" w:type="dxa"/>
          </w:tcPr>
          <w:p w:rsidR="00C02DBA" w:rsidRPr="00D113F4" w:rsidRDefault="00C02DBA" w:rsidP="00D72650">
            <w:pPr>
              <w:pStyle w:val="Tablenumbers"/>
              <w:tabs>
                <w:tab w:val="decimal" w:pos="724"/>
              </w:tabs>
              <w:jc w:val="left"/>
            </w:pPr>
          </w:p>
        </w:tc>
        <w:tc>
          <w:tcPr>
            <w:tcW w:w="1417" w:type="dxa"/>
          </w:tcPr>
          <w:p w:rsidR="00C02DBA" w:rsidRPr="00D113F4" w:rsidRDefault="00C02DBA" w:rsidP="00D72650">
            <w:pPr>
              <w:pStyle w:val="Tablenumbers"/>
              <w:tabs>
                <w:tab w:val="decimal" w:pos="724"/>
              </w:tabs>
              <w:jc w:val="left"/>
            </w:pPr>
          </w:p>
        </w:tc>
        <w:tc>
          <w:tcPr>
            <w:tcW w:w="1416" w:type="dxa"/>
          </w:tcPr>
          <w:p w:rsidR="00C02DBA" w:rsidRPr="00D113F4" w:rsidRDefault="00C02DBA" w:rsidP="00D72650">
            <w:pPr>
              <w:pStyle w:val="Tablenumbers"/>
              <w:tabs>
                <w:tab w:val="decimal" w:pos="724"/>
              </w:tabs>
              <w:jc w:val="left"/>
            </w:pPr>
          </w:p>
        </w:tc>
        <w:tc>
          <w:tcPr>
            <w:tcW w:w="1417" w:type="dxa"/>
          </w:tcPr>
          <w:p w:rsidR="00C02DBA" w:rsidRPr="00D113F4" w:rsidRDefault="00C02DBA" w:rsidP="00D72650">
            <w:pPr>
              <w:pStyle w:val="Tablenumbers"/>
              <w:tabs>
                <w:tab w:val="decimal" w:pos="724"/>
              </w:tabs>
              <w:jc w:val="left"/>
            </w:pPr>
          </w:p>
        </w:tc>
        <w:tc>
          <w:tcPr>
            <w:tcW w:w="1416" w:type="dxa"/>
          </w:tcPr>
          <w:p w:rsidR="00C02DBA" w:rsidRPr="00D113F4" w:rsidRDefault="00C02DBA" w:rsidP="00D72650">
            <w:pPr>
              <w:pStyle w:val="Tablenumbers"/>
              <w:tabs>
                <w:tab w:val="decimal" w:pos="724"/>
              </w:tabs>
              <w:jc w:val="left"/>
            </w:pPr>
          </w:p>
        </w:tc>
        <w:tc>
          <w:tcPr>
            <w:tcW w:w="1417" w:type="dxa"/>
          </w:tcPr>
          <w:p w:rsidR="00C02DBA" w:rsidRPr="00D113F4" w:rsidRDefault="00C02DBA" w:rsidP="00D72650">
            <w:pPr>
              <w:pStyle w:val="Tablenumbers"/>
              <w:tabs>
                <w:tab w:val="decimal" w:pos="724"/>
              </w:tabs>
              <w:jc w:val="left"/>
            </w:pPr>
          </w:p>
        </w:tc>
        <w:tc>
          <w:tcPr>
            <w:tcW w:w="1416" w:type="dxa"/>
          </w:tcPr>
          <w:p w:rsidR="00C02DBA" w:rsidRPr="00D113F4" w:rsidRDefault="00C02DBA" w:rsidP="00D72650">
            <w:pPr>
              <w:pStyle w:val="Tablenumbers"/>
              <w:tabs>
                <w:tab w:val="decimal" w:pos="724"/>
              </w:tabs>
              <w:jc w:val="left"/>
            </w:pPr>
          </w:p>
        </w:tc>
        <w:tc>
          <w:tcPr>
            <w:tcW w:w="1417" w:type="dxa"/>
          </w:tcPr>
          <w:p w:rsidR="00C02DBA" w:rsidRPr="00D113F4" w:rsidRDefault="00C02DBA" w:rsidP="00D72650">
            <w:pPr>
              <w:pStyle w:val="Tablenumbers"/>
              <w:tabs>
                <w:tab w:val="decimal" w:pos="724"/>
              </w:tabs>
              <w:jc w:val="left"/>
            </w:pPr>
          </w:p>
        </w:tc>
      </w:tr>
      <w:tr w:rsidR="00C02DBA" w:rsidRPr="00D113F4" w:rsidTr="00C02DBA">
        <w:trPr>
          <w:cantSplit/>
        </w:trPr>
        <w:tc>
          <w:tcPr>
            <w:tcW w:w="1800" w:type="dxa"/>
          </w:tcPr>
          <w:p w:rsidR="00C02DBA" w:rsidRPr="00D113F4" w:rsidRDefault="00C02DBA" w:rsidP="00C02DBA">
            <w:pPr>
              <w:pStyle w:val="Tabletext1"/>
              <w:ind w:left="403"/>
            </w:pPr>
            <w:r w:rsidRPr="00D113F4">
              <w:t>Treatment</w:t>
            </w:r>
          </w:p>
        </w:tc>
        <w:tc>
          <w:tcPr>
            <w:tcW w:w="1416" w:type="dxa"/>
          </w:tcPr>
          <w:p w:rsidR="00C02DBA" w:rsidRPr="00D113F4" w:rsidRDefault="00C02DBA" w:rsidP="00D72650">
            <w:pPr>
              <w:pStyle w:val="Tablenumbers"/>
              <w:tabs>
                <w:tab w:val="decimal" w:pos="724"/>
              </w:tabs>
              <w:jc w:val="left"/>
            </w:pPr>
            <w:r w:rsidRPr="00D113F4">
              <w:t>78</w:t>
            </w:r>
          </w:p>
        </w:tc>
        <w:tc>
          <w:tcPr>
            <w:tcW w:w="1417" w:type="dxa"/>
          </w:tcPr>
          <w:p w:rsidR="00C02DBA" w:rsidRPr="00D113F4" w:rsidRDefault="00C02DBA" w:rsidP="00D72650">
            <w:pPr>
              <w:pStyle w:val="Tablenumbers"/>
              <w:tabs>
                <w:tab w:val="decimal" w:pos="724"/>
              </w:tabs>
              <w:jc w:val="left"/>
            </w:pPr>
            <w:r w:rsidRPr="00D113F4">
              <w:t>70</w:t>
            </w:r>
          </w:p>
        </w:tc>
        <w:tc>
          <w:tcPr>
            <w:tcW w:w="1416" w:type="dxa"/>
          </w:tcPr>
          <w:p w:rsidR="00C02DBA" w:rsidRPr="00D113F4" w:rsidRDefault="00C02DBA" w:rsidP="00D72650">
            <w:pPr>
              <w:pStyle w:val="Tablenumbers"/>
              <w:tabs>
                <w:tab w:val="decimal" w:pos="724"/>
              </w:tabs>
              <w:jc w:val="left"/>
            </w:pPr>
            <w:r w:rsidRPr="00D113F4">
              <w:t>70</w:t>
            </w:r>
          </w:p>
        </w:tc>
        <w:tc>
          <w:tcPr>
            <w:tcW w:w="1417" w:type="dxa"/>
          </w:tcPr>
          <w:p w:rsidR="00C02DBA" w:rsidRPr="00D113F4" w:rsidRDefault="00C02DBA" w:rsidP="00D72650">
            <w:pPr>
              <w:pStyle w:val="Tablenumbers"/>
              <w:tabs>
                <w:tab w:val="decimal" w:pos="724"/>
              </w:tabs>
              <w:jc w:val="left"/>
            </w:pPr>
            <w:r w:rsidRPr="00D113F4">
              <w:t>38</w:t>
            </w:r>
          </w:p>
        </w:tc>
        <w:tc>
          <w:tcPr>
            <w:tcW w:w="1416" w:type="dxa"/>
          </w:tcPr>
          <w:p w:rsidR="00C02DBA" w:rsidRPr="00D113F4" w:rsidRDefault="00C02DBA" w:rsidP="00D72650">
            <w:pPr>
              <w:pStyle w:val="Tablenumbers"/>
              <w:tabs>
                <w:tab w:val="decimal" w:pos="724"/>
              </w:tabs>
              <w:jc w:val="left"/>
            </w:pPr>
            <w:r w:rsidRPr="00D113F4">
              <w:t>—</w:t>
            </w:r>
            <w:r w:rsidR="00971295">
              <w:rPr>
                <w:vertAlign w:val="superscript"/>
              </w:rPr>
              <w:t>g</w:t>
            </w:r>
          </w:p>
        </w:tc>
        <w:tc>
          <w:tcPr>
            <w:tcW w:w="1417" w:type="dxa"/>
          </w:tcPr>
          <w:p w:rsidR="00C02DBA" w:rsidRPr="00D113F4" w:rsidRDefault="00C02DBA" w:rsidP="00D72650">
            <w:pPr>
              <w:pStyle w:val="Tablenumbers"/>
              <w:tabs>
                <w:tab w:val="decimal" w:pos="724"/>
              </w:tabs>
              <w:jc w:val="left"/>
            </w:pPr>
            <w:r w:rsidRPr="00D113F4">
              <w:t>76</w:t>
            </w:r>
          </w:p>
        </w:tc>
        <w:tc>
          <w:tcPr>
            <w:tcW w:w="1416" w:type="dxa"/>
          </w:tcPr>
          <w:p w:rsidR="00C02DBA" w:rsidRPr="00D113F4" w:rsidRDefault="00C02DBA" w:rsidP="00D72650">
            <w:pPr>
              <w:pStyle w:val="Tablenumbers"/>
              <w:tabs>
                <w:tab w:val="decimal" w:pos="724"/>
              </w:tabs>
              <w:jc w:val="left"/>
            </w:pPr>
            <w:r w:rsidRPr="00D113F4">
              <w:t>80</w:t>
            </w:r>
          </w:p>
        </w:tc>
        <w:tc>
          <w:tcPr>
            <w:tcW w:w="1417" w:type="dxa"/>
          </w:tcPr>
          <w:p w:rsidR="00C02DBA" w:rsidRPr="00D113F4" w:rsidRDefault="00C02DBA" w:rsidP="00D72650">
            <w:pPr>
              <w:pStyle w:val="Tablenumbers"/>
              <w:tabs>
                <w:tab w:val="decimal" w:pos="724"/>
              </w:tabs>
              <w:jc w:val="left"/>
            </w:pPr>
            <w:r w:rsidRPr="00D113F4">
              <w:t>61</w:t>
            </w:r>
          </w:p>
        </w:tc>
      </w:tr>
      <w:tr w:rsidR="00C02DBA" w:rsidRPr="00D113F4" w:rsidTr="00C02DBA">
        <w:trPr>
          <w:cantSplit/>
        </w:trPr>
        <w:tc>
          <w:tcPr>
            <w:tcW w:w="1800" w:type="dxa"/>
          </w:tcPr>
          <w:p w:rsidR="00C02DBA" w:rsidRPr="00D113F4" w:rsidRDefault="00C02DBA" w:rsidP="00C02DBA">
            <w:pPr>
              <w:pStyle w:val="Tabletext1"/>
              <w:ind w:left="403"/>
            </w:pPr>
            <w:r w:rsidRPr="00D113F4">
              <w:t>Control</w:t>
            </w:r>
          </w:p>
        </w:tc>
        <w:tc>
          <w:tcPr>
            <w:tcW w:w="1416" w:type="dxa"/>
          </w:tcPr>
          <w:p w:rsidR="00C02DBA" w:rsidRPr="00D113F4" w:rsidRDefault="00C02DBA" w:rsidP="00D72650">
            <w:pPr>
              <w:pStyle w:val="Tablenumbers"/>
              <w:tabs>
                <w:tab w:val="decimal" w:pos="724"/>
              </w:tabs>
              <w:jc w:val="left"/>
            </w:pPr>
            <w:r w:rsidRPr="00D113F4">
              <w:t>78</w:t>
            </w:r>
          </w:p>
        </w:tc>
        <w:tc>
          <w:tcPr>
            <w:tcW w:w="1417" w:type="dxa"/>
          </w:tcPr>
          <w:p w:rsidR="00C02DBA" w:rsidRPr="00D113F4" w:rsidRDefault="00C02DBA" w:rsidP="00D72650">
            <w:pPr>
              <w:pStyle w:val="Tablenumbers"/>
              <w:tabs>
                <w:tab w:val="decimal" w:pos="724"/>
              </w:tabs>
              <w:jc w:val="left"/>
            </w:pPr>
            <w:r w:rsidRPr="00D113F4">
              <w:t>70</w:t>
            </w:r>
          </w:p>
        </w:tc>
        <w:tc>
          <w:tcPr>
            <w:tcW w:w="1416" w:type="dxa"/>
          </w:tcPr>
          <w:p w:rsidR="00C02DBA" w:rsidRPr="00D113F4" w:rsidRDefault="00C02DBA" w:rsidP="00D72650">
            <w:pPr>
              <w:pStyle w:val="Tablenumbers"/>
              <w:tabs>
                <w:tab w:val="decimal" w:pos="724"/>
              </w:tabs>
              <w:jc w:val="left"/>
            </w:pPr>
            <w:r w:rsidRPr="00D113F4">
              <w:t>70</w:t>
            </w:r>
          </w:p>
        </w:tc>
        <w:tc>
          <w:tcPr>
            <w:tcW w:w="1417" w:type="dxa"/>
          </w:tcPr>
          <w:p w:rsidR="00C02DBA" w:rsidRPr="00D113F4" w:rsidRDefault="00C02DBA" w:rsidP="00D72650">
            <w:pPr>
              <w:pStyle w:val="Tablenumbers"/>
              <w:tabs>
                <w:tab w:val="decimal" w:pos="724"/>
              </w:tabs>
              <w:jc w:val="left"/>
            </w:pPr>
            <w:r w:rsidRPr="00D113F4">
              <w:t>38</w:t>
            </w:r>
          </w:p>
        </w:tc>
        <w:tc>
          <w:tcPr>
            <w:tcW w:w="1416" w:type="dxa"/>
          </w:tcPr>
          <w:p w:rsidR="00C02DBA" w:rsidRPr="00D113F4" w:rsidRDefault="00C02DBA" w:rsidP="00D72650">
            <w:pPr>
              <w:pStyle w:val="Tablenumbers"/>
              <w:tabs>
                <w:tab w:val="decimal" w:pos="724"/>
              </w:tabs>
              <w:jc w:val="left"/>
            </w:pPr>
            <w:r w:rsidRPr="00D113F4">
              <w:t>—</w:t>
            </w:r>
            <w:r w:rsidR="00971295">
              <w:rPr>
                <w:vertAlign w:val="superscript"/>
              </w:rPr>
              <w:t>g</w:t>
            </w:r>
          </w:p>
        </w:tc>
        <w:tc>
          <w:tcPr>
            <w:tcW w:w="1417" w:type="dxa"/>
          </w:tcPr>
          <w:p w:rsidR="00C02DBA" w:rsidRPr="00D113F4" w:rsidRDefault="00C02DBA" w:rsidP="00D72650">
            <w:pPr>
              <w:pStyle w:val="Tablenumbers"/>
              <w:tabs>
                <w:tab w:val="decimal" w:pos="724"/>
              </w:tabs>
              <w:jc w:val="left"/>
            </w:pPr>
            <w:r w:rsidRPr="00D113F4">
              <w:t>74</w:t>
            </w:r>
          </w:p>
        </w:tc>
        <w:tc>
          <w:tcPr>
            <w:tcW w:w="1416" w:type="dxa"/>
          </w:tcPr>
          <w:p w:rsidR="00C02DBA" w:rsidRPr="00D113F4" w:rsidRDefault="00C02DBA" w:rsidP="00D72650">
            <w:pPr>
              <w:pStyle w:val="Tablenumbers"/>
              <w:tabs>
                <w:tab w:val="decimal" w:pos="724"/>
              </w:tabs>
              <w:jc w:val="left"/>
            </w:pPr>
            <w:r w:rsidRPr="00D113F4">
              <w:t>78</w:t>
            </w:r>
          </w:p>
        </w:tc>
        <w:tc>
          <w:tcPr>
            <w:tcW w:w="1417" w:type="dxa"/>
          </w:tcPr>
          <w:p w:rsidR="00C02DBA" w:rsidRPr="00D113F4" w:rsidRDefault="00C02DBA" w:rsidP="00D72650">
            <w:pPr>
              <w:pStyle w:val="Tablenumbers"/>
              <w:tabs>
                <w:tab w:val="decimal" w:pos="724"/>
              </w:tabs>
              <w:jc w:val="left"/>
            </w:pPr>
            <w:r w:rsidRPr="00D113F4">
              <w:t>58</w:t>
            </w:r>
          </w:p>
        </w:tc>
      </w:tr>
    </w:tbl>
    <w:p w:rsidR="00AC3FED" w:rsidRDefault="00AC3FED" w:rsidP="00261826">
      <w:pPr>
        <w:pStyle w:val="Source"/>
        <w:rPr>
          <w:vertAlign w:val="superscript"/>
        </w:rPr>
      </w:pPr>
    </w:p>
    <w:p w:rsidR="00261826" w:rsidRPr="00D113F4" w:rsidRDefault="00261826" w:rsidP="00261826">
      <w:pPr>
        <w:pStyle w:val="Source"/>
      </w:pPr>
      <w:r w:rsidRPr="00D113F4">
        <w:rPr>
          <w:vertAlign w:val="superscript"/>
        </w:rPr>
        <w:t>a</w:t>
      </w:r>
      <w:r w:rsidRPr="00D113F4">
        <w:t xml:space="preserve"> </w:t>
      </w:r>
      <w:r w:rsidR="00D72650">
        <w:t>Return rate for cont</w:t>
      </w:r>
      <w:r w:rsidR="003A4FC7" w:rsidRPr="00D113F4">
        <w:t xml:space="preserve">act card = number of parents who returned card </w:t>
      </w:r>
      <w:r w:rsidR="00D72650">
        <w:t xml:space="preserve">and </w:t>
      </w:r>
      <w:r w:rsidR="00C02DBA" w:rsidRPr="00D113F4">
        <w:t>consented</w:t>
      </w:r>
      <w:r w:rsidR="003A4FC7" w:rsidRPr="00D113F4">
        <w:t xml:space="preserve"> to participate in study / eligible population.</w:t>
      </w:r>
    </w:p>
    <w:p w:rsidR="00261826" w:rsidRPr="00D113F4" w:rsidRDefault="00261826" w:rsidP="00261826">
      <w:pPr>
        <w:pStyle w:val="Source"/>
      </w:pPr>
      <w:r w:rsidRPr="00D113F4">
        <w:rPr>
          <w:vertAlign w:val="superscript"/>
        </w:rPr>
        <w:t>b</w:t>
      </w:r>
      <w:r w:rsidRPr="00D113F4">
        <w:t xml:space="preserve"> </w:t>
      </w:r>
      <w:r w:rsidR="003A4FC7" w:rsidRPr="00D113F4">
        <w:t>Cooperation rate for pre-survey = number of parents who completed pre-survey / number of parents who returned contact card.</w:t>
      </w:r>
    </w:p>
    <w:p w:rsidR="00261826" w:rsidRPr="00D113F4" w:rsidRDefault="00261826" w:rsidP="00B47C43">
      <w:pPr>
        <w:pStyle w:val="Source"/>
      </w:pPr>
      <w:r w:rsidRPr="00D113F4">
        <w:rPr>
          <w:vertAlign w:val="superscript"/>
        </w:rPr>
        <w:t>c</w:t>
      </w:r>
      <w:r w:rsidRPr="00D113F4">
        <w:t xml:space="preserve"> </w:t>
      </w:r>
      <w:r w:rsidR="003A4FC7" w:rsidRPr="00D113F4">
        <w:t xml:space="preserve">Cooperation rate for post-survey = number of parents who </w:t>
      </w:r>
      <w:r w:rsidR="00B47C43" w:rsidRPr="00D113F4">
        <w:t xml:space="preserve">completed </w:t>
      </w:r>
      <w:r w:rsidR="003A4FC7" w:rsidRPr="00D113F4">
        <w:t xml:space="preserve">post-survey / number of parents who </w:t>
      </w:r>
      <w:r w:rsidR="00B47C43" w:rsidRPr="00D113F4">
        <w:t xml:space="preserve">completed </w:t>
      </w:r>
      <w:r w:rsidR="003A4FC7" w:rsidRPr="00D113F4">
        <w:t>pre-survey.</w:t>
      </w:r>
    </w:p>
    <w:p w:rsidR="00261826" w:rsidRPr="00D113F4" w:rsidRDefault="00261826" w:rsidP="00261826">
      <w:pPr>
        <w:pStyle w:val="Source"/>
      </w:pPr>
      <w:r w:rsidRPr="00D113F4">
        <w:rPr>
          <w:vertAlign w:val="superscript"/>
        </w:rPr>
        <w:t>d</w:t>
      </w:r>
      <w:r w:rsidRPr="00D113F4">
        <w:t xml:space="preserve"> </w:t>
      </w:r>
      <w:r w:rsidR="003A4FC7" w:rsidRPr="00D113F4">
        <w:t>Overall response rate = number of parents who completed post-survey / eligible population.</w:t>
      </w:r>
    </w:p>
    <w:p w:rsidR="00261826" w:rsidRPr="00D113F4" w:rsidRDefault="003A4FC7" w:rsidP="00261826">
      <w:pPr>
        <w:pStyle w:val="Source"/>
      </w:pPr>
      <w:r w:rsidRPr="00D113F4">
        <w:rPr>
          <w:vertAlign w:val="superscript"/>
        </w:rPr>
        <w:t>e</w:t>
      </w:r>
      <w:r w:rsidRPr="00D113F4">
        <w:t xml:space="preserve"> For the UN</w:t>
      </w:r>
      <w:r w:rsidR="00C02DBA" w:rsidRPr="00D113F4">
        <w:t>V</w:t>
      </w:r>
      <w:r w:rsidRPr="00D113F4">
        <w:t xml:space="preserve"> study</w:t>
      </w:r>
      <w:r w:rsidR="00D113F4" w:rsidRPr="00D113F4">
        <w:t>,</w:t>
      </w:r>
      <w:r w:rsidRPr="00D113F4">
        <w:t xml:space="preserve"> </w:t>
      </w:r>
      <w:r w:rsidR="00D72650">
        <w:t xml:space="preserve">the pre-survey was conducted in </w:t>
      </w:r>
      <w:r w:rsidRPr="00D113F4">
        <w:t>person</w:t>
      </w:r>
      <w:r w:rsidR="00D72650">
        <w:t>,</w:t>
      </w:r>
      <w:r w:rsidRPr="00D113F4">
        <w:t xml:space="preserve"> so it was not necessary to return the contact card.</w:t>
      </w:r>
    </w:p>
    <w:p w:rsidR="003A4FC7" w:rsidRPr="00D113F4" w:rsidRDefault="003A4FC7" w:rsidP="00971295">
      <w:pPr>
        <w:pStyle w:val="Source"/>
      </w:pPr>
      <w:r w:rsidRPr="00D113F4">
        <w:rPr>
          <w:vertAlign w:val="superscript"/>
        </w:rPr>
        <w:t xml:space="preserve">f </w:t>
      </w:r>
      <w:r w:rsidR="00971295">
        <w:t xml:space="preserve">The cooperation and overall response rate are lower than anticipated because study enrollment was open to the entire center, instead of specific classrooms, thus greatly increasing the </w:t>
      </w:r>
      <w:r w:rsidR="00B47C43">
        <w:t xml:space="preserve">size of the </w:t>
      </w:r>
      <w:r w:rsidR="00971295">
        <w:t>eligible population.</w:t>
      </w:r>
    </w:p>
    <w:p w:rsidR="00971295" w:rsidRPr="00D113F4" w:rsidRDefault="00971295" w:rsidP="00971295">
      <w:pPr>
        <w:pStyle w:val="Source"/>
      </w:pPr>
      <w:r>
        <w:rPr>
          <w:vertAlign w:val="superscript"/>
        </w:rPr>
        <w:t>g</w:t>
      </w:r>
      <w:r w:rsidRPr="00D113F4">
        <w:rPr>
          <w:vertAlign w:val="superscript"/>
        </w:rPr>
        <w:t xml:space="preserve"> </w:t>
      </w:r>
      <w:r w:rsidRPr="00D113F4">
        <w:t>For the actual data collection for NYSDOH, parents returned the contact card consenting to participate in the study and the survey at the same time.</w:t>
      </w:r>
    </w:p>
    <w:p w:rsidR="003A4FC7" w:rsidRPr="00D113F4" w:rsidRDefault="003A4FC7" w:rsidP="008F1491">
      <w:pPr>
        <w:spacing w:before="240" w:after="240" w:line="480" w:lineRule="auto"/>
        <w:rPr>
          <w:rFonts w:eastAsia="Times New Roman"/>
          <w:b/>
          <w:iCs/>
        </w:rPr>
        <w:sectPr w:rsidR="003A4FC7" w:rsidRPr="00D113F4" w:rsidSect="003A4FC7">
          <w:footerReference w:type="default" r:id="rId9"/>
          <w:pgSz w:w="15840" w:h="12240" w:orient="landscape"/>
          <w:pgMar w:top="1440" w:right="1440" w:bottom="1440" w:left="1440" w:header="720" w:footer="720" w:gutter="0"/>
          <w:cols w:space="720"/>
          <w:docGrid w:linePitch="360"/>
        </w:sectPr>
      </w:pPr>
    </w:p>
    <w:p w:rsidR="00772570" w:rsidRPr="00AC3FED" w:rsidRDefault="003F4877">
      <w:pPr>
        <w:spacing w:before="240" w:after="0" w:line="480" w:lineRule="auto"/>
        <w:rPr>
          <w:rFonts w:eastAsia="Times New Roman"/>
          <w:b/>
          <w:iCs/>
          <w:sz w:val="24"/>
          <w:szCs w:val="24"/>
        </w:rPr>
      </w:pPr>
      <w:r w:rsidRPr="00AC3FED">
        <w:rPr>
          <w:rFonts w:eastAsia="Times New Roman"/>
          <w:b/>
          <w:iCs/>
          <w:sz w:val="24"/>
          <w:szCs w:val="24"/>
        </w:rPr>
        <w:lastRenderedPageBreak/>
        <w:t>INN</w:t>
      </w:r>
    </w:p>
    <w:p w:rsidR="002F542C" w:rsidRPr="00D113F4" w:rsidRDefault="00167956" w:rsidP="002F542C">
      <w:pPr>
        <w:autoSpaceDE w:val="0"/>
        <w:autoSpaceDN w:val="0"/>
        <w:adjustRightInd w:val="0"/>
        <w:spacing w:after="240" w:line="480" w:lineRule="auto"/>
        <w:rPr>
          <w:rFonts w:eastAsia="Times New Roman"/>
        </w:rPr>
      </w:pPr>
      <w:r w:rsidRPr="00167956">
        <w:rPr>
          <w:rFonts w:eastAsia="Times New Roman"/>
        </w:rPr>
        <w:t>The population of interest is third grade students attending eligible schools in four Iowa school districts (Council Bluffs, Waterloo, Des Moines, and Davenport).  Data on this population will be gathered through surveys of children’s parents and/or guardians about dietary behavior in the family home.</w:t>
      </w:r>
      <w:r w:rsidR="002F542C">
        <w:rPr>
          <w:rFonts w:eastAsia="Times New Roman"/>
        </w:rPr>
        <w:t xml:space="preserve"> </w:t>
      </w:r>
      <w:r w:rsidR="00AB5C29" w:rsidRPr="00D113F4">
        <w:rPr>
          <w:rFonts w:eastAsia="Times New Roman"/>
        </w:rPr>
        <w:t xml:space="preserve">The evaluation of the INN BASICS and Pick a better snack™ nutrition education interventions is based on a quasi-experimental design. The study will include two active intervention conditions and one comparison condition, with 11 schools assigned to each condition. One of the active interventions includes the school-based BASICS curriculum (single channel); the other active intervention combines the school-based BASICS curriculum and the Pick a better snack™ social marketing campaign delivered in the community through grocery stores and supermarkets (multichannel). INN </w:t>
      </w:r>
      <w:r w:rsidR="003166D3" w:rsidRPr="00D113F4">
        <w:rPr>
          <w:rFonts w:eastAsia="Times New Roman"/>
        </w:rPr>
        <w:t xml:space="preserve">selected and purposively </w:t>
      </w:r>
      <w:r w:rsidR="00AB5C29" w:rsidRPr="00D113F4">
        <w:rPr>
          <w:rFonts w:eastAsia="Times New Roman"/>
        </w:rPr>
        <w:t xml:space="preserve">assigned </w:t>
      </w:r>
      <w:r w:rsidR="003166D3" w:rsidRPr="00D113F4">
        <w:rPr>
          <w:rFonts w:eastAsia="Times New Roman"/>
        </w:rPr>
        <w:t xml:space="preserve">school districts </w:t>
      </w:r>
      <w:r w:rsidR="00AB5C29" w:rsidRPr="00D113F4">
        <w:rPr>
          <w:rFonts w:eastAsia="Times New Roman"/>
        </w:rPr>
        <w:t>to treatment conditions</w:t>
      </w:r>
      <w:r w:rsidR="003166D3" w:rsidRPr="00D113F4">
        <w:rPr>
          <w:rFonts w:eastAsia="Times New Roman"/>
        </w:rPr>
        <w:t>:</w:t>
      </w:r>
      <w:r w:rsidR="00584454">
        <w:rPr>
          <w:rFonts w:eastAsia="Times New Roman"/>
        </w:rPr>
        <w:t xml:space="preserve"> </w:t>
      </w:r>
      <w:r w:rsidR="003166D3" w:rsidRPr="00D113F4">
        <w:rPr>
          <w:rFonts w:eastAsia="Times New Roman"/>
        </w:rPr>
        <w:t xml:space="preserve">the </w:t>
      </w:r>
      <w:r w:rsidR="00AB5C29" w:rsidRPr="00D113F4">
        <w:rPr>
          <w:rFonts w:eastAsia="Times New Roman"/>
        </w:rPr>
        <w:t xml:space="preserve">Waterloo and Council Bluffs school districts </w:t>
      </w:r>
      <w:r w:rsidR="003166D3" w:rsidRPr="00D113F4">
        <w:rPr>
          <w:rFonts w:eastAsia="Times New Roman"/>
        </w:rPr>
        <w:t xml:space="preserve">will receive the </w:t>
      </w:r>
      <w:r w:rsidR="00AB5C29" w:rsidRPr="00D113F4">
        <w:rPr>
          <w:rFonts w:eastAsia="Times New Roman"/>
        </w:rPr>
        <w:t xml:space="preserve">single-channel intervention, the Des Moines </w:t>
      </w:r>
      <w:r w:rsidR="003166D3" w:rsidRPr="00D113F4">
        <w:rPr>
          <w:rFonts w:eastAsia="Times New Roman"/>
        </w:rPr>
        <w:t xml:space="preserve">will receive the </w:t>
      </w:r>
      <w:r w:rsidR="00AB5C29" w:rsidRPr="00D113F4">
        <w:rPr>
          <w:rFonts w:eastAsia="Times New Roman"/>
        </w:rPr>
        <w:t xml:space="preserve">multichannel intervention, and the Davenport school district </w:t>
      </w:r>
      <w:r w:rsidR="003166D3" w:rsidRPr="00D113F4">
        <w:rPr>
          <w:rFonts w:eastAsia="Times New Roman"/>
        </w:rPr>
        <w:t xml:space="preserve">will </w:t>
      </w:r>
      <w:r w:rsidR="00AB5C29" w:rsidRPr="00D113F4">
        <w:rPr>
          <w:rFonts w:eastAsia="Times New Roman"/>
        </w:rPr>
        <w:t>serve as the comparison condition.</w:t>
      </w:r>
    </w:p>
    <w:p w:rsidR="00AB5C29" w:rsidRPr="00D113F4" w:rsidRDefault="00AB5C29" w:rsidP="00B47C43">
      <w:pPr>
        <w:autoSpaceDE w:val="0"/>
        <w:autoSpaceDN w:val="0"/>
        <w:adjustRightInd w:val="0"/>
        <w:spacing w:after="240" w:line="480" w:lineRule="auto"/>
        <w:rPr>
          <w:rFonts w:eastAsia="Times New Roman"/>
        </w:rPr>
      </w:pPr>
      <w:r w:rsidRPr="00D113F4">
        <w:rPr>
          <w:rFonts w:eastAsia="Times New Roman"/>
        </w:rPr>
        <w:t>Because of logistical considerations, the selection of schools for inclusion in the 2012 school</w:t>
      </w:r>
      <w:r w:rsidR="00584454">
        <w:rPr>
          <w:rFonts w:eastAsia="Times New Roman"/>
        </w:rPr>
        <w:t xml:space="preserve"> </w:t>
      </w:r>
      <w:r w:rsidRPr="00D113F4">
        <w:rPr>
          <w:rFonts w:eastAsia="Times New Roman"/>
        </w:rPr>
        <w:t>year evaluation will not be possible until the end of the 2011 school year. Selection of schools for inclusion in the study will occur in two steps. In the first step, a list of schools that meet inclusion criteria will be generated in each district. Inclusion criteria will ensure that schools in the study meet FNS</w:t>
      </w:r>
      <w:r w:rsidR="003166D3" w:rsidRPr="00D113F4">
        <w:rPr>
          <w:rFonts w:eastAsia="Times New Roman"/>
        </w:rPr>
        <w:t xml:space="preserve"> SNAP-Ed</w:t>
      </w:r>
      <w:r w:rsidRPr="00D113F4">
        <w:rPr>
          <w:rFonts w:eastAsia="Times New Roman"/>
        </w:rPr>
        <w:t xml:space="preserve"> eligibility requirements and are large enough to meet </w:t>
      </w:r>
      <w:r w:rsidR="00B47C43">
        <w:rPr>
          <w:rFonts w:eastAsia="Times New Roman"/>
        </w:rPr>
        <w:t xml:space="preserve">the </w:t>
      </w:r>
      <w:r w:rsidRPr="00D113F4">
        <w:rPr>
          <w:rFonts w:eastAsia="Times New Roman"/>
        </w:rPr>
        <w:t>sampling needs. Second, the lists of available schools (i.e., the universe) and the available data on each will be reviewed to determine whether a matching or stratification approach is likely to be beneficial. Matching and stratification processes are employed to ensure that potential confounds are similarly distributed across study conditions</w:t>
      </w:r>
      <w:r w:rsidR="001743A6" w:rsidRPr="00D113F4">
        <w:rPr>
          <w:rFonts w:eastAsia="Times New Roman"/>
        </w:rPr>
        <w:t xml:space="preserve">. </w:t>
      </w:r>
      <w:r w:rsidR="00597768" w:rsidRPr="00D113F4">
        <w:rPr>
          <w:rFonts w:eastAsia="Times New Roman"/>
        </w:rPr>
        <w:t>Table E-1 of Appendix E</w:t>
      </w:r>
      <w:r w:rsidRPr="00D113F4">
        <w:rPr>
          <w:rFonts w:eastAsia="Times New Roman"/>
        </w:rPr>
        <w:t xml:space="preserve"> provides the sample design with information on response</w:t>
      </w:r>
      <w:r w:rsidR="00B817E0">
        <w:rPr>
          <w:rFonts w:eastAsia="Times New Roman"/>
        </w:rPr>
        <w:t xml:space="preserve"> and </w:t>
      </w:r>
      <w:r w:rsidRPr="00D113F4">
        <w:rPr>
          <w:rFonts w:eastAsia="Times New Roman"/>
        </w:rPr>
        <w:t xml:space="preserve">attrition rates for each stage of data collection. The overall response rate is expected to be </w:t>
      </w:r>
      <w:r w:rsidR="003166D3" w:rsidRPr="00D113F4">
        <w:rPr>
          <w:rFonts w:eastAsia="Times New Roman"/>
        </w:rPr>
        <w:t>42</w:t>
      </w:r>
      <w:r w:rsidR="00B817E0">
        <w:rPr>
          <w:rFonts w:eastAsia="Times New Roman"/>
        </w:rPr>
        <w:t xml:space="preserve"> percent</w:t>
      </w:r>
      <w:r w:rsidR="003166D3" w:rsidRPr="00D113F4">
        <w:rPr>
          <w:rFonts w:eastAsia="Times New Roman"/>
        </w:rPr>
        <w:t>.</w:t>
      </w:r>
    </w:p>
    <w:p w:rsidR="00772570" w:rsidRPr="00AC3FED" w:rsidRDefault="003F4877">
      <w:pPr>
        <w:spacing w:before="240" w:after="0" w:line="480" w:lineRule="auto"/>
        <w:rPr>
          <w:rFonts w:eastAsia="Times New Roman"/>
          <w:b/>
          <w:iCs/>
          <w:sz w:val="24"/>
          <w:szCs w:val="24"/>
        </w:rPr>
      </w:pPr>
      <w:r w:rsidRPr="00AC3FED">
        <w:rPr>
          <w:rFonts w:eastAsia="Times New Roman"/>
          <w:b/>
          <w:iCs/>
          <w:sz w:val="24"/>
          <w:szCs w:val="24"/>
        </w:rPr>
        <w:lastRenderedPageBreak/>
        <w:t>UKCES</w:t>
      </w:r>
    </w:p>
    <w:p w:rsidR="003166D3" w:rsidRPr="00D113F4" w:rsidRDefault="002F542C" w:rsidP="003166D3">
      <w:pPr>
        <w:autoSpaceDE w:val="0"/>
        <w:autoSpaceDN w:val="0"/>
        <w:adjustRightInd w:val="0"/>
        <w:spacing w:after="240" w:line="480" w:lineRule="auto"/>
        <w:rPr>
          <w:rFonts w:eastAsia="Times New Roman"/>
        </w:rPr>
      </w:pPr>
      <w:r w:rsidRPr="00390932">
        <w:t xml:space="preserve">The population of interest is first through third grade students attending eligible schools in two Kentucky school districts. </w:t>
      </w:r>
      <w:r w:rsidR="003166D3" w:rsidRPr="00390932">
        <w:rPr>
          <w:rFonts w:eastAsia="Times New Roman"/>
        </w:rPr>
        <w:t>Ten schools in Laurel County and six schools in Perry County will be recruited by UKCES</w:t>
      </w:r>
      <w:r w:rsidR="003166D3" w:rsidRPr="00D113F4">
        <w:rPr>
          <w:rFonts w:eastAsia="Times New Roman"/>
        </w:rPr>
        <w:t xml:space="preserve"> to participate in the study. Because of the sample size requirements detailed below, schools with fewer than 40 first- through third-grade students were removed from consideration prior to selection and randomization.</w:t>
      </w:r>
    </w:p>
    <w:p w:rsidR="0086389C" w:rsidRPr="00D113F4" w:rsidRDefault="003166D3" w:rsidP="00971295">
      <w:pPr>
        <w:autoSpaceDE w:val="0"/>
        <w:autoSpaceDN w:val="0"/>
        <w:adjustRightInd w:val="0"/>
        <w:spacing w:after="240" w:line="480" w:lineRule="auto"/>
        <w:rPr>
          <w:rFonts w:eastAsia="Times New Roman"/>
        </w:rPr>
      </w:pPr>
      <w:r w:rsidRPr="00D113F4">
        <w:rPr>
          <w:rFonts w:eastAsia="Times New Roman"/>
        </w:rPr>
        <w:t>To control for potential differences between the two counties, schools were matched within county. One school from each pair was randomly selected to receive the intervention. Data provided by UKCES on school size (number of anticipated first- through third-grade students) and percentage of students receiving free and reduced-price meals (FARM) were used to create matched pairs.</w:t>
      </w:r>
      <w:r w:rsidR="00584454">
        <w:rPr>
          <w:rFonts w:eastAsia="Times New Roman"/>
        </w:rPr>
        <w:t xml:space="preserve"> </w:t>
      </w:r>
      <w:r w:rsidR="0086389C" w:rsidRPr="00D113F4">
        <w:rPr>
          <w:rFonts w:eastAsia="Times New Roman"/>
          <w:bCs/>
        </w:rPr>
        <w:t>Appendix E</w:t>
      </w:r>
      <w:r w:rsidR="0086389C" w:rsidRPr="00D113F4">
        <w:rPr>
          <w:rFonts w:eastAsia="Times New Roman"/>
        </w:rPr>
        <w:t xml:space="preserve"> describes the statistical methodology for sample selection</w:t>
      </w:r>
      <w:r w:rsidR="00971295">
        <w:rPr>
          <w:rFonts w:eastAsia="Times New Roman"/>
        </w:rPr>
        <w:t xml:space="preserve">. </w:t>
      </w:r>
      <w:r w:rsidR="00971295" w:rsidRPr="00D113F4">
        <w:rPr>
          <w:rFonts w:eastAsia="Times New Roman"/>
        </w:rPr>
        <w:t>Tables E-2 and E-3 of Appendix E</w:t>
      </w:r>
      <w:r w:rsidR="00971295">
        <w:rPr>
          <w:rFonts w:eastAsia="Times New Roman"/>
        </w:rPr>
        <w:t xml:space="preserve"> provides the assignment of schools to the treatment and control groups. </w:t>
      </w:r>
      <w:r w:rsidR="00597768" w:rsidRPr="00D113F4">
        <w:rPr>
          <w:rFonts w:eastAsia="Times New Roman"/>
        </w:rPr>
        <w:t>Table E-4</w:t>
      </w:r>
      <w:r w:rsidR="0086389C" w:rsidRPr="00D113F4">
        <w:rPr>
          <w:rFonts w:eastAsia="Times New Roman"/>
        </w:rPr>
        <w:t xml:space="preserve"> provides the sample design with information on response</w:t>
      </w:r>
      <w:r w:rsidR="00B817E0">
        <w:rPr>
          <w:rFonts w:eastAsia="Times New Roman"/>
        </w:rPr>
        <w:t xml:space="preserve"> and </w:t>
      </w:r>
      <w:r w:rsidR="0086389C" w:rsidRPr="00D113F4">
        <w:rPr>
          <w:rFonts w:eastAsia="Times New Roman"/>
        </w:rPr>
        <w:t>attrition rates for each stage of data collection. The overall response rate is expected to be 42</w:t>
      </w:r>
      <w:r w:rsidR="00B817E0">
        <w:rPr>
          <w:rFonts w:eastAsia="Times New Roman"/>
        </w:rPr>
        <w:t xml:space="preserve"> percent</w:t>
      </w:r>
      <w:r w:rsidR="0086389C" w:rsidRPr="00D113F4">
        <w:rPr>
          <w:rFonts w:eastAsia="Times New Roman"/>
        </w:rPr>
        <w:t>.</w:t>
      </w:r>
    </w:p>
    <w:p w:rsidR="00772570" w:rsidRPr="00AC3FED" w:rsidRDefault="003F4877">
      <w:pPr>
        <w:spacing w:before="240" w:after="0" w:line="480" w:lineRule="auto"/>
        <w:rPr>
          <w:rFonts w:eastAsia="Times New Roman"/>
          <w:b/>
          <w:iCs/>
          <w:sz w:val="24"/>
          <w:szCs w:val="24"/>
        </w:rPr>
      </w:pPr>
      <w:r w:rsidRPr="00AC3FED">
        <w:rPr>
          <w:rFonts w:eastAsia="Times New Roman"/>
          <w:b/>
          <w:iCs/>
          <w:sz w:val="24"/>
          <w:szCs w:val="24"/>
        </w:rPr>
        <w:t>MSUE</w:t>
      </w:r>
    </w:p>
    <w:p w:rsidR="0086389C" w:rsidRPr="00D113F4" w:rsidRDefault="0086389C" w:rsidP="00E02746">
      <w:pPr>
        <w:autoSpaceDE w:val="0"/>
        <w:autoSpaceDN w:val="0"/>
        <w:adjustRightInd w:val="0"/>
        <w:spacing w:after="240" w:line="480" w:lineRule="auto"/>
        <w:rPr>
          <w:rFonts w:eastAsia="Times New Roman"/>
        </w:rPr>
      </w:pPr>
      <w:r w:rsidRPr="00304136">
        <w:rPr>
          <w:rFonts w:eastAsia="Times New Roman"/>
        </w:rPr>
        <w:t>The study population consists of older adults (age</w:t>
      </w:r>
      <w:r w:rsidR="00B817E0">
        <w:rPr>
          <w:rFonts w:eastAsia="Times New Roman"/>
        </w:rPr>
        <w:t>d</w:t>
      </w:r>
      <w:r w:rsidRPr="00304136">
        <w:rPr>
          <w:rFonts w:eastAsia="Times New Roman"/>
        </w:rPr>
        <w:t xml:space="preserve"> 60 and </w:t>
      </w:r>
      <w:r w:rsidR="0086380C">
        <w:rPr>
          <w:rFonts w:eastAsia="Times New Roman"/>
        </w:rPr>
        <w:t>older</w:t>
      </w:r>
      <w:r w:rsidR="0086380C" w:rsidRPr="00304136">
        <w:rPr>
          <w:rFonts w:eastAsia="Times New Roman"/>
        </w:rPr>
        <w:t xml:space="preserve"> </w:t>
      </w:r>
      <w:r w:rsidRPr="00304136">
        <w:rPr>
          <w:rFonts w:eastAsia="Times New Roman"/>
        </w:rPr>
        <w:t xml:space="preserve">at the beginning of the intervention) who attend one of </w:t>
      </w:r>
      <w:r w:rsidR="00E02746">
        <w:rPr>
          <w:rFonts w:eastAsia="Times New Roman"/>
        </w:rPr>
        <w:t xml:space="preserve">approximately 30 </w:t>
      </w:r>
      <w:r w:rsidRPr="00304136">
        <w:rPr>
          <w:rFonts w:eastAsia="Times New Roman"/>
        </w:rPr>
        <w:t xml:space="preserve">senior centers </w:t>
      </w:r>
      <w:r w:rsidR="00971295" w:rsidRPr="00304136">
        <w:rPr>
          <w:rFonts w:eastAsia="Times New Roman"/>
        </w:rPr>
        <w:t xml:space="preserve">throughout the </w:t>
      </w:r>
      <w:r w:rsidR="00B817E0">
        <w:rPr>
          <w:rFonts w:eastAsia="Times New Roman"/>
        </w:rPr>
        <w:t>S</w:t>
      </w:r>
      <w:r w:rsidR="00971295" w:rsidRPr="00304136">
        <w:rPr>
          <w:rFonts w:eastAsia="Times New Roman"/>
        </w:rPr>
        <w:t>tate of Michigan</w:t>
      </w:r>
      <w:r w:rsidRPr="00304136">
        <w:rPr>
          <w:rFonts w:eastAsia="Times New Roman"/>
        </w:rPr>
        <w:t xml:space="preserve">. </w:t>
      </w:r>
      <w:r w:rsidR="00FC3393" w:rsidRPr="00304136">
        <w:rPr>
          <w:rFonts w:eastAsia="Times New Roman"/>
        </w:rPr>
        <w:t xml:space="preserve">For the purposes of this study, a senior center is defined as a facility that is open to the public and offers social services or support to seniors. </w:t>
      </w:r>
      <w:r w:rsidR="00E02746" w:rsidRPr="00D113F4">
        <w:rPr>
          <w:rFonts w:eastAsia="Times New Roman"/>
        </w:rPr>
        <w:t xml:space="preserve">Because of logistical considerations, the selection of </w:t>
      </w:r>
      <w:r w:rsidR="00E02746">
        <w:rPr>
          <w:rFonts w:eastAsia="Times New Roman"/>
        </w:rPr>
        <w:t xml:space="preserve">centers </w:t>
      </w:r>
      <w:r w:rsidR="00E02746" w:rsidRPr="00D113F4">
        <w:rPr>
          <w:rFonts w:eastAsia="Times New Roman"/>
        </w:rPr>
        <w:t>for inclusion in the evaluation will not be possible until</w:t>
      </w:r>
      <w:r w:rsidR="00E02746">
        <w:rPr>
          <w:rFonts w:eastAsia="Times New Roman"/>
        </w:rPr>
        <w:t xml:space="preserve"> spring 2011</w:t>
      </w:r>
      <w:r w:rsidR="00E02746" w:rsidRPr="00D113F4">
        <w:rPr>
          <w:rFonts w:eastAsia="Times New Roman"/>
        </w:rPr>
        <w:t xml:space="preserve">. </w:t>
      </w:r>
      <w:r w:rsidR="00E02746">
        <w:rPr>
          <w:rFonts w:eastAsia="Times New Roman"/>
        </w:rPr>
        <w:t>Selection of centers</w:t>
      </w:r>
      <w:r w:rsidR="00E02746" w:rsidRPr="00D113F4">
        <w:rPr>
          <w:rFonts w:eastAsia="Times New Roman"/>
        </w:rPr>
        <w:t xml:space="preserve"> for inclusion in the study will occur in two steps. In the first step, a list of </w:t>
      </w:r>
      <w:r w:rsidR="00E02746">
        <w:rPr>
          <w:rFonts w:eastAsia="Times New Roman"/>
        </w:rPr>
        <w:t xml:space="preserve">centers </w:t>
      </w:r>
      <w:r w:rsidR="00E02746" w:rsidRPr="00D113F4">
        <w:rPr>
          <w:rFonts w:eastAsia="Times New Roman"/>
        </w:rPr>
        <w:t xml:space="preserve">that meet inclusion criteria will be generated </w:t>
      </w:r>
      <w:r w:rsidR="00E02746">
        <w:rPr>
          <w:rFonts w:eastAsia="Times New Roman"/>
        </w:rPr>
        <w:t xml:space="preserve">to ensure that centers </w:t>
      </w:r>
      <w:r w:rsidR="00E02746" w:rsidRPr="00D113F4">
        <w:rPr>
          <w:rFonts w:eastAsia="Times New Roman"/>
        </w:rPr>
        <w:t xml:space="preserve">in the study meet FNS SNAP-Ed eligibility requirements and are large enough to meet </w:t>
      </w:r>
      <w:r w:rsidR="00E02746">
        <w:rPr>
          <w:rFonts w:eastAsia="Times New Roman"/>
        </w:rPr>
        <w:t xml:space="preserve">the </w:t>
      </w:r>
      <w:r w:rsidR="00E02746" w:rsidRPr="00D113F4">
        <w:rPr>
          <w:rFonts w:eastAsia="Times New Roman"/>
        </w:rPr>
        <w:t>sampling needs</w:t>
      </w:r>
      <w:r w:rsidR="00C13AB3">
        <w:rPr>
          <w:rFonts w:eastAsia="Times New Roman"/>
        </w:rPr>
        <w:t xml:space="preserve"> (i.e., serve at least 30 seniors)</w:t>
      </w:r>
      <w:r w:rsidR="00E02746" w:rsidRPr="00D113F4">
        <w:rPr>
          <w:rFonts w:eastAsia="Times New Roman"/>
        </w:rPr>
        <w:t xml:space="preserve">. </w:t>
      </w:r>
      <w:r w:rsidR="00E02746">
        <w:rPr>
          <w:rFonts w:eastAsia="Times New Roman"/>
        </w:rPr>
        <w:t xml:space="preserve">Centers that are </w:t>
      </w:r>
      <w:r w:rsidR="00DA28E9">
        <w:rPr>
          <w:rFonts w:eastAsia="Times New Roman"/>
        </w:rPr>
        <w:t xml:space="preserve">housing or </w:t>
      </w:r>
      <w:r w:rsidR="00E02746">
        <w:rPr>
          <w:rFonts w:eastAsia="Times New Roman"/>
        </w:rPr>
        <w:t xml:space="preserve">assisted living facilities or </w:t>
      </w:r>
      <w:r w:rsidR="00E02746">
        <w:rPr>
          <w:rFonts w:eastAsia="Times New Roman"/>
        </w:rPr>
        <w:lastRenderedPageBreak/>
        <w:t xml:space="preserve">that </w:t>
      </w:r>
      <w:r w:rsidR="00E02746" w:rsidRPr="00D113F4">
        <w:rPr>
          <w:rFonts w:eastAsia="Times New Roman"/>
        </w:rPr>
        <w:t>pr</w:t>
      </w:r>
      <w:r w:rsidR="00E02746">
        <w:rPr>
          <w:rFonts w:eastAsia="Times New Roman"/>
        </w:rPr>
        <w:t>ovide two or more meals per day will be excluded</w:t>
      </w:r>
      <w:r w:rsidR="00DA28E9">
        <w:rPr>
          <w:rFonts w:eastAsia="Times New Roman"/>
        </w:rPr>
        <w:t xml:space="preserve"> from the sampling frame</w:t>
      </w:r>
      <w:r w:rsidR="00E02746">
        <w:rPr>
          <w:rFonts w:eastAsia="Times New Roman"/>
        </w:rPr>
        <w:t xml:space="preserve">. </w:t>
      </w:r>
      <w:r w:rsidR="00E02746" w:rsidRPr="00D113F4">
        <w:rPr>
          <w:rFonts w:eastAsia="Times New Roman"/>
        </w:rPr>
        <w:t xml:space="preserve">Second, </w:t>
      </w:r>
      <w:r w:rsidR="00E02746">
        <w:rPr>
          <w:rFonts w:eastAsia="Times New Roman"/>
        </w:rPr>
        <w:t>u</w:t>
      </w:r>
      <w:r w:rsidR="00971295">
        <w:rPr>
          <w:rFonts w:eastAsia="Times New Roman"/>
        </w:rPr>
        <w:t xml:space="preserve">sing a stratified assignment process, </w:t>
      </w:r>
      <w:r w:rsidR="00FC3393">
        <w:rPr>
          <w:rFonts w:eastAsia="Times New Roman"/>
        </w:rPr>
        <w:t xml:space="preserve">remaining </w:t>
      </w:r>
      <w:r w:rsidR="005E2B9E">
        <w:rPr>
          <w:rFonts w:eastAsia="Times New Roman"/>
        </w:rPr>
        <w:t>c</w:t>
      </w:r>
      <w:r w:rsidR="005E2B9E" w:rsidRPr="00D113F4">
        <w:rPr>
          <w:rFonts w:eastAsia="Times New Roman"/>
        </w:rPr>
        <w:t xml:space="preserve">enters </w:t>
      </w:r>
      <w:r w:rsidR="00E02746">
        <w:rPr>
          <w:rFonts w:eastAsia="Times New Roman"/>
        </w:rPr>
        <w:t xml:space="preserve">will be </w:t>
      </w:r>
      <w:r w:rsidR="005E2B9E" w:rsidRPr="00D113F4">
        <w:rPr>
          <w:rFonts w:eastAsia="Times New Roman"/>
        </w:rPr>
        <w:t xml:space="preserve">randomly assigned </w:t>
      </w:r>
      <w:r w:rsidR="005E2B9E">
        <w:rPr>
          <w:rFonts w:eastAsia="Times New Roman"/>
        </w:rPr>
        <w:t xml:space="preserve">from within strata </w:t>
      </w:r>
      <w:r w:rsidR="005E2B9E" w:rsidRPr="00D113F4">
        <w:rPr>
          <w:rFonts w:eastAsia="Times New Roman"/>
        </w:rPr>
        <w:t xml:space="preserve">to a study condition (treatment versus </w:t>
      </w:r>
      <w:r w:rsidR="005E2B9E" w:rsidRPr="00FC3393">
        <w:rPr>
          <w:rFonts w:eastAsia="Times New Roman"/>
        </w:rPr>
        <w:t>control).</w:t>
      </w:r>
      <w:r w:rsidR="00584454">
        <w:rPr>
          <w:rFonts w:eastAsia="Times New Roman"/>
        </w:rPr>
        <w:t xml:space="preserve"> </w:t>
      </w:r>
      <w:r w:rsidRPr="00FC3393">
        <w:rPr>
          <w:rFonts w:eastAsia="Times New Roman"/>
          <w:bCs/>
        </w:rPr>
        <w:t>Appendix E</w:t>
      </w:r>
      <w:r w:rsidRPr="00FC3393">
        <w:rPr>
          <w:rFonts w:eastAsia="Times New Roman"/>
        </w:rPr>
        <w:t xml:space="preserve"> describes the statistical methodology for stratification and sample selection</w:t>
      </w:r>
      <w:r w:rsidR="00E02746">
        <w:rPr>
          <w:rFonts w:eastAsia="Times New Roman"/>
        </w:rPr>
        <w:t>.</w:t>
      </w:r>
      <w:r w:rsidR="00390932">
        <w:rPr>
          <w:rFonts w:eastAsia="Times New Roman"/>
        </w:rPr>
        <w:t xml:space="preserve"> </w:t>
      </w:r>
      <w:r w:rsidR="00597768" w:rsidRPr="00FC3393">
        <w:rPr>
          <w:rFonts w:eastAsia="Times New Roman"/>
        </w:rPr>
        <w:t>Table E</w:t>
      </w:r>
      <w:r w:rsidR="00304136">
        <w:rPr>
          <w:rFonts w:eastAsia="Times New Roman"/>
        </w:rPr>
        <w:t>-</w:t>
      </w:r>
      <w:r w:rsidR="00B551B5">
        <w:rPr>
          <w:rFonts w:eastAsia="Times New Roman"/>
        </w:rPr>
        <w:t>5</w:t>
      </w:r>
      <w:r w:rsidRPr="00FC3393">
        <w:rPr>
          <w:rFonts w:eastAsia="Times New Roman"/>
        </w:rPr>
        <w:t xml:space="preserve"> provides the sample design with information on response</w:t>
      </w:r>
      <w:r w:rsidR="00B817E0">
        <w:rPr>
          <w:rFonts w:eastAsia="Times New Roman"/>
        </w:rPr>
        <w:t xml:space="preserve"> and </w:t>
      </w:r>
      <w:r w:rsidRPr="00FC3393">
        <w:rPr>
          <w:rFonts w:eastAsia="Times New Roman"/>
        </w:rPr>
        <w:t>attrition rates for each stage of data collection. The overall response rate is expected to be 46</w:t>
      </w:r>
      <w:r w:rsidR="00B817E0">
        <w:rPr>
          <w:rFonts w:eastAsia="Times New Roman"/>
        </w:rPr>
        <w:t xml:space="preserve"> percent</w:t>
      </w:r>
      <w:r w:rsidRPr="00FC3393">
        <w:rPr>
          <w:rFonts w:eastAsia="Times New Roman"/>
        </w:rPr>
        <w:t>.</w:t>
      </w:r>
    </w:p>
    <w:p w:rsidR="00686BA2" w:rsidRPr="00D113F4" w:rsidRDefault="00AE3947" w:rsidP="00AE3947">
      <w:pPr>
        <w:pStyle w:val="OMBsectionheaders"/>
      </w:pPr>
      <w:bookmarkStart w:id="2" w:name="_Toc283378346"/>
      <w:r>
        <w:t>B</w:t>
      </w:r>
      <w:r w:rsidR="00B817E0">
        <w:t>.</w:t>
      </w:r>
      <w:r>
        <w:t>2—</w:t>
      </w:r>
      <w:r w:rsidR="00686BA2" w:rsidRPr="00D113F4">
        <w:t>Describe the procedures for the collection of information including:</w:t>
      </w:r>
      <w:bookmarkEnd w:id="2"/>
    </w:p>
    <w:p w:rsidR="00AE3947" w:rsidRDefault="00686BA2" w:rsidP="00AC3FED">
      <w:pPr>
        <w:pStyle w:val="OMBsectionheaders"/>
        <w:numPr>
          <w:ilvl w:val="0"/>
          <w:numId w:val="17"/>
        </w:numPr>
        <w:spacing w:before="0" w:after="0"/>
      </w:pPr>
      <w:bookmarkStart w:id="3" w:name="_Toc283378347"/>
      <w:r w:rsidRPr="00D113F4">
        <w:t>Statistical methodology for stratification and sample selection,</w:t>
      </w:r>
      <w:bookmarkEnd w:id="3"/>
    </w:p>
    <w:p w:rsidR="00AE3947" w:rsidRDefault="00686BA2" w:rsidP="00AC3FED">
      <w:pPr>
        <w:pStyle w:val="OMBsectionheaders"/>
        <w:numPr>
          <w:ilvl w:val="0"/>
          <w:numId w:val="17"/>
        </w:numPr>
        <w:spacing w:before="0" w:after="0"/>
      </w:pPr>
      <w:bookmarkStart w:id="4" w:name="_Toc283378348"/>
      <w:r w:rsidRPr="00D113F4">
        <w:t>Estimation procedure,</w:t>
      </w:r>
      <w:bookmarkEnd w:id="4"/>
    </w:p>
    <w:p w:rsidR="00AE3947" w:rsidRDefault="00686BA2" w:rsidP="00AC3FED">
      <w:pPr>
        <w:pStyle w:val="OMBsectionheaders"/>
        <w:numPr>
          <w:ilvl w:val="0"/>
          <w:numId w:val="17"/>
        </w:numPr>
        <w:spacing w:before="0" w:after="0"/>
      </w:pPr>
      <w:bookmarkStart w:id="5" w:name="_Toc283378349"/>
      <w:r w:rsidRPr="00D113F4">
        <w:t>Degree of accuracy needed for the pur</w:t>
      </w:r>
      <w:r w:rsidRPr="00D113F4">
        <w:softHyphen/>
        <w:t>pose described in the justification,</w:t>
      </w:r>
      <w:bookmarkEnd w:id="5"/>
    </w:p>
    <w:p w:rsidR="00686BA2" w:rsidRPr="00D113F4" w:rsidRDefault="00686BA2" w:rsidP="00AC3FED">
      <w:pPr>
        <w:pStyle w:val="OMBsectionheaders"/>
        <w:numPr>
          <w:ilvl w:val="0"/>
          <w:numId w:val="17"/>
        </w:numPr>
        <w:spacing w:before="0" w:after="0"/>
      </w:pPr>
      <w:bookmarkStart w:id="6" w:name="_Toc283378350"/>
      <w:r w:rsidRPr="00D113F4">
        <w:t>Unusual problems requiring specialized sampling procedures, and</w:t>
      </w:r>
      <w:bookmarkEnd w:id="6"/>
    </w:p>
    <w:p w:rsidR="00686BA2" w:rsidRPr="00D113F4" w:rsidRDefault="00686BA2" w:rsidP="00AC3FED">
      <w:pPr>
        <w:pStyle w:val="OMBsectionheaders"/>
        <w:numPr>
          <w:ilvl w:val="0"/>
          <w:numId w:val="17"/>
        </w:numPr>
        <w:spacing w:before="0" w:after="0"/>
      </w:pPr>
      <w:bookmarkStart w:id="7" w:name="_Toc283378351"/>
      <w:r w:rsidRPr="00D113F4">
        <w:t>Any use of periodic (less frequent than annual) data collection cycles to reduce burden.</w:t>
      </w:r>
      <w:bookmarkEnd w:id="7"/>
    </w:p>
    <w:p w:rsidR="008F1491" w:rsidRPr="00D113F4" w:rsidRDefault="008F1491" w:rsidP="00AC3FED">
      <w:pPr>
        <w:autoSpaceDE w:val="0"/>
        <w:autoSpaceDN w:val="0"/>
        <w:adjustRightInd w:val="0"/>
        <w:spacing w:before="200" w:line="480" w:lineRule="auto"/>
        <w:rPr>
          <w:rFonts w:eastAsia="Times New Roman"/>
        </w:rPr>
      </w:pPr>
      <w:r w:rsidRPr="00D113F4">
        <w:rPr>
          <w:rFonts w:eastAsia="Times New Roman"/>
          <w:bCs/>
        </w:rPr>
        <w:t>Appendix E</w:t>
      </w:r>
      <w:r w:rsidRPr="00D113F4">
        <w:rPr>
          <w:rFonts w:eastAsia="Times New Roman"/>
        </w:rPr>
        <w:t xml:space="preserve"> describes the statistical methodology for stratification and sample selection, the estimation and analysis procedures, and the degree of accuracy needed for the purpose described in the justification for each of the </w:t>
      </w:r>
      <w:r w:rsidR="003F4877" w:rsidRPr="00D113F4">
        <w:rPr>
          <w:rFonts w:eastAsia="Times New Roman"/>
        </w:rPr>
        <w:t xml:space="preserve">three </w:t>
      </w:r>
      <w:r w:rsidRPr="00D113F4">
        <w:rPr>
          <w:rFonts w:eastAsia="Times New Roman"/>
        </w:rPr>
        <w:t xml:space="preserve">demonstration projects. </w:t>
      </w:r>
      <w:r w:rsidRPr="00D113F4">
        <w:rPr>
          <w:rFonts w:eastAsia="Times New Roman"/>
          <w:bCs/>
        </w:rPr>
        <w:t>Appendix F</w:t>
      </w:r>
      <w:r w:rsidRPr="00D113F4">
        <w:rPr>
          <w:rFonts w:eastAsia="Times New Roman"/>
        </w:rPr>
        <w:t xml:space="preserve"> describes the data collection procedures for each of the </w:t>
      </w:r>
      <w:r w:rsidR="003F4877" w:rsidRPr="00D113F4">
        <w:rPr>
          <w:rFonts w:eastAsia="Times New Roman"/>
        </w:rPr>
        <w:t xml:space="preserve">three </w:t>
      </w:r>
      <w:r w:rsidRPr="00D113F4">
        <w:rPr>
          <w:rFonts w:eastAsia="Times New Roman"/>
        </w:rPr>
        <w:t>demonstration projects and Appendix G provides our assumptions for sample size estimation. Appendix H provides copies of advance letters, post cards, telephone scripts, and other materials used in contacting respondents for the impact evaluation and Appendix I provides similar materials used in contacting respondents for the process evaluation.</w:t>
      </w:r>
    </w:p>
    <w:p w:rsidR="008F1491" w:rsidRPr="00D113F4" w:rsidRDefault="008F1491" w:rsidP="008F1491">
      <w:pPr>
        <w:autoSpaceDE w:val="0"/>
        <w:autoSpaceDN w:val="0"/>
        <w:adjustRightInd w:val="0"/>
        <w:spacing w:before="120" w:after="120" w:line="240" w:lineRule="auto"/>
        <w:rPr>
          <w:rFonts w:eastAsia="Times New Roman" w:cs="Arial"/>
          <w:b/>
          <w:bCs/>
        </w:rPr>
      </w:pPr>
      <w:r w:rsidRPr="00D113F4">
        <w:rPr>
          <w:rFonts w:eastAsia="Times New Roman" w:cs="Arial"/>
          <w:b/>
          <w:bCs/>
        </w:rPr>
        <w:t>Unusual Problems Requiring Specialized Sampling Procedures</w:t>
      </w:r>
    </w:p>
    <w:p w:rsidR="008F1491" w:rsidRPr="00D113F4" w:rsidRDefault="008F1491" w:rsidP="008F1491">
      <w:pPr>
        <w:autoSpaceDE w:val="0"/>
        <w:autoSpaceDN w:val="0"/>
        <w:adjustRightInd w:val="0"/>
        <w:spacing w:after="0" w:line="480" w:lineRule="auto"/>
        <w:rPr>
          <w:rFonts w:eastAsia="Times New Roman"/>
        </w:rPr>
      </w:pPr>
      <w:r w:rsidRPr="00D113F4">
        <w:rPr>
          <w:rFonts w:eastAsia="Times New Roman"/>
        </w:rPr>
        <w:t>No specialized sampling procedures are involved.</w:t>
      </w:r>
    </w:p>
    <w:p w:rsidR="008F1491" w:rsidRPr="00D113F4" w:rsidRDefault="008F1491" w:rsidP="008F1491">
      <w:pPr>
        <w:autoSpaceDE w:val="0"/>
        <w:autoSpaceDN w:val="0"/>
        <w:adjustRightInd w:val="0"/>
        <w:spacing w:before="120" w:after="120" w:line="240" w:lineRule="auto"/>
        <w:rPr>
          <w:rFonts w:eastAsia="Times New Roman" w:cs="Arial"/>
          <w:b/>
          <w:bCs/>
        </w:rPr>
      </w:pPr>
      <w:r w:rsidRPr="00D113F4">
        <w:rPr>
          <w:rFonts w:eastAsia="Times New Roman" w:cs="Arial"/>
          <w:b/>
          <w:bCs/>
        </w:rPr>
        <w:t>Use of Periodic Data Collection Cycles to Reduce Burden</w:t>
      </w:r>
    </w:p>
    <w:p w:rsidR="008F1491" w:rsidRPr="00D113F4" w:rsidRDefault="008F1491" w:rsidP="008F1491">
      <w:pPr>
        <w:autoSpaceDE w:val="0"/>
        <w:autoSpaceDN w:val="0"/>
        <w:adjustRightInd w:val="0"/>
        <w:spacing w:after="0" w:line="480" w:lineRule="auto"/>
        <w:rPr>
          <w:rFonts w:eastAsia="Times New Roman"/>
        </w:rPr>
      </w:pPr>
      <w:r w:rsidRPr="00D113F4">
        <w:rPr>
          <w:rFonts w:eastAsia="Times New Roman"/>
        </w:rPr>
        <w:t>This is a one-time survey data collection effort.</w:t>
      </w:r>
    </w:p>
    <w:p w:rsidR="00686BA2" w:rsidRPr="00D113F4" w:rsidRDefault="00AE3947" w:rsidP="00AC3FED">
      <w:pPr>
        <w:pStyle w:val="OMBsectionheaders"/>
        <w:spacing w:before="120" w:after="120"/>
      </w:pPr>
      <w:bookmarkStart w:id="8" w:name="_Toc283378352"/>
      <w:r>
        <w:lastRenderedPageBreak/>
        <w:t>B</w:t>
      </w:r>
      <w:r w:rsidR="00B817E0">
        <w:t>.</w:t>
      </w:r>
      <w:r>
        <w:t>3—</w:t>
      </w:r>
      <w:r w:rsidR="00686BA2" w:rsidRPr="00D113F4">
        <w:t>Describe methods to maximize response rates and to deal with issues of non-response. The accuracy and reliability of information collected must be shown to be adequate for intended use</w:t>
      </w:r>
      <w:r w:rsidR="00332654">
        <w:t>s. For collections based on sam</w:t>
      </w:r>
      <w:r w:rsidR="00686BA2" w:rsidRPr="00D113F4">
        <w:t>pling, a speci</w:t>
      </w:r>
      <w:r w:rsidR="00332654">
        <w:t>al justification must be provid</w:t>
      </w:r>
      <w:r w:rsidR="00686BA2" w:rsidRPr="00D113F4">
        <w:t xml:space="preserve">ed for any collection that will not yield </w:t>
      </w:r>
      <w:r w:rsidR="00584454">
        <w:t>“</w:t>
      </w:r>
      <w:r w:rsidR="00686BA2" w:rsidRPr="00D113F4">
        <w:t>reli</w:t>
      </w:r>
      <w:r w:rsidR="00686BA2" w:rsidRPr="00D113F4">
        <w:softHyphen/>
        <w:t>able</w:t>
      </w:r>
      <w:r w:rsidR="00584454">
        <w:t>”</w:t>
      </w:r>
      <w:r w:rsidR="00686BA2" w:rsidRPr="00D113F4">
        <w:t xml:space="preserve"> data that can be generalized to the universe studied.</w:t>
      </w:r>
      <w:bookmarkEnd w:id="8"/>
    </w:p>
    <w:p w:rsidR="00AC3FED" w:rsidRDefault="00AC3FED" w:rsidP="00AC3FED">
      <w:pPr>
        <w:spacing w:after="0" w:line="240" w:lineRule="auto"/>
        <w:rPr>
          <w:rFonts w:eastAsia="Times New Roman"/>
        </w:rPr>
      </w:pPr>
    </w:p>
    <w:p w:rsidR="008F1491" w:rsidRPr="00D113F4" w:rsidRDefault="008F1491" w:rsidP="008F1491">
      <w:pPr>
        <w:spacing w:after="0" w:line="480" w:lineRule="auto"/>
        <w:rPr>
          <w:rFonts w:eastAsia="Times New Roman"/>
        </w:rPr>
      </w:pPr>
      <w:r w:rsidRPr="00D113F4">
        <w:rPr>
          <w:rFonts w:eastAsia="Times New Roman"/>
        </w:rPr>
        <w:t>The following methods will be employed to maximize the response rate for the study:</w:t>
      </w:r>
    </w:p>
    <w:p w:rsidR="008F1491" w:rsidRPr="00D113F4" w:rsidRDefault="008F1491" w:rsidP="00AC3FED">
      <w:pPr>
        <w:numPr>
          <w:ilvl w:val="0"/>
          <w:numId w:val="18"/>
        </w:numPr>
        <w:spacing w:after="0" w:line="480" w:lineRule="auto"/>
        <w:ind w:left="360"/>
        <w:rPr>
          <w:rFonts w:eastAsia="Times New Roman"/>
        </w:rPr>
      </w:pPr>
      <w:r w:rsidRPr="00D113F4">
        <w:rPr>
          <w:rFonts w:eastAsia="Times New Roman"/>
        </w:rPr>
        <w:t>Meet with school principals and teachers to establish buy-in for the study and enlist their cooperation (</w:t>
      </w:r>
      <w:r w:rsidR="003F4877" w:rsidRPr="00D113F4">
        <w:rPr>
          <w:rFonts w:eastAsia="Times New Roman"/>
        </w:rPr>
        <w:t>INN, UKCES</w:t>
      </w:r>
      <w:r w:rsidRPr="00D113F4">
        <w:rPr>
          <w:rFonts w:eastAsia="Times New Roman"/>
        </w:rPr>
        <w:t>).</w:t>
      </w:r>
      <w:r w:rsidR="003F4877" w:rsidRPr="00D113F4">
        <w:rPr>
          <w:rFonts w:eastAsia="Times New Roman"/>
        </w:rPr>
        <w:t xml:space="preserve"> </w:t>
      </w:r>
    </w:p>
    <w:p w:rsidR="003F4877" w:rsidRPr="00D113F4" w:rsidRDefault="003F4877" w:rsidP="00AC3FED">
      <w:pPr>
        <w:numPr>
          <w:ilvl w:val="0"/>
          <w:numId w:val="18"/>
        </w:numPr>
        <w:spacing w:after="0" w:line="480" w:lineRule="auto"/>
        <w:ind w:left="360"/>
        <w:rPr>
          <w:rFonts w:eastAsia="Times New Roman"/>
        </w:rPr>
      </w:pPr>
      <w:r w:rsidRPr="00D113F4">
        <w:rPr>
          <w:rFonts w:eastAsia="Times New Roman"/>
        </w:rPr>
        <w:t xml:space="preserve">Closely coordinate </w:t>
      </w:r>
      <w:r w:rsidR="00C01F37">
        <w:rPr>
          <w:rFonts w:eastAsia="Times New Roman"/>
        </w:rPr>
        <w:t xml:space="preserve">the pre-survey </w:t>
      </w:r>
      <w:r w:rsidRPr="00D113F4">
        <w:rPr>
          <w:rFonts w:eastAsia="Times New Roman"/>
        </w:rPr>
        <w:t>data collection efforts with MSUE who will be the primary liaison with the senior centers.</w:t>
      </w:r>
    </w:p>
    <w:p w:rsidR="008F1491" w:rsidRPr="00D113F4" w:rsidRDefault="008F1491" w:rsidP="00AC3FED">
      <w:pPr>
        <w:numPr>
          <w:ilvl w:val="0"/>
          <w:numId w:val="18"/>
        </w:numPr>
        <w:spacing w:after="0" w:line="480" w:lineRule="auto"/>
        <w:ind w:left="360"/>
        <w:rPr>
          <w:rFonts w:eastAsia="Times New Roman"/>
        </w:rPr>
      </w:pPr>
      <w:r w:rsidRPr="00D113F4">
        <w:rPr>
          <w:rFonts w:eastAsia="Times New Roman"/>
        </w:rPr>
        <w:t>Deliver an informational packet to parents</w:t>
      </w:r>
      <w:r w:rsidR="00B817E0">
        <w:rPr>
          <w:rFonts w:eastAsia="Times New Roman"/>
        </w:rPr>
        <w:t xml:space="preserve"> and </w:t>
      </w:r>
      <w:r w:rsidRPr="00D113F4">
        <w:rPr>
          <w:rFonts w:eastAsia="Times New Roman"/>
        </w:rPr>
        <w:t>caregivers explaining the purpose of the study, the importance of participation, and the contractor</w:t>
      </w:r>
      <w:r w:rsidR="00584454">
        <w:rPr>
          <w:rFonts w:eastAsia="Times New Roman"/>
        </w:rPr>
        <w:t>’</w:t>
      </w:r>
      <w:r w:rsidRPr="00D113F4">
        <w:rPr>
          <w:rFonts w:eastAsia="Times New Roman"/>
        </w:rPr>
        <w:t xml:space="preserve">s pledge of </w:t>
      </w:r>
      <w:r w:rsidR="000A7642" w:rsidRPr="00D113F4">
        <w:rPr>
          <w:rFonts w:eastAsia="Times New Roman"/>
        </w:rPr>
        <w:t xml:space="preserve">privacy </w:t>
      </w:r>
      <w:r w:rsidRPr="00D113F4">
        <w:rPr>
          <w:rFonts w:eastAsia="Times New Roman"/>
        </w:rPr>
        <w:t>(</w:t>
      </w:r>
      <w:r w:rsidR="003F4877" w:rsidRPr="00D113F4">
        <w:rPr>
          <w:rFonts w:eastAsia="Times New Roman"/>
        </w:rPr>
        <w:t>INN, UKCES</w:t>
      </w:r>
      <w:r w:rsidRPr="00D113F4">
        <w:rPr>
          <w:rFonts w:eastAsia="Times New Roman"/>
        </w:rPr>
        <w:t>).</w:t>
      </w:r>
    </w:p>
    <w:p w:rsidR="008F1491" w:rsidRPr="00D113F4" w:rsidRDefault="008F1491" w:rsidP="00AC3FED">
      <w:pPr>
        <w:numPr>
          <w:ilvl w:val="0"/>
          <w:numId w:val="18"/>
        </w:numPr>
        <w:spacing w:after="0" w:line="480" w:lineRule="auto"/>
        <w:ind w:left="360"/>
        <w:rPr>
          <w:rFonts w:eastAsia="Times New Roman"/>
        </w:rPr>
      </w:pPr>
      <w:r w:rsidRPr="00D113F4">
        <w:rPr>
          <w:rFonts w:eastAsia="Times New Roman"/>
        </w:rPr>
        <w:t>Design an instrument that minimizes respondent burden (short in length, written in easy-to-understand language, and us</w:t>
      </w:r>
      <w:r w:rsidR="00B817E0">
        <w:rPr>
          <w:rFonts w:eastAsia="Times New Roman"/>
        </w:rPr>
        <w:t>ing</w:t>
      </w:r>
      <w:r w:rsidRPr="00D113F4">
        <w:rPr>
          <w:rFonts w:eastAsia="Times New Roman"/>
        </w:rPr>
        <w:t xml:space="preserve"> visual aides to facilitate understanding).</w:t>
      </w:r>
    </w:p>
    <w:p w:rsidR="008F1491" w:rsidRPr="00D113F4" w:rsidRDefault="008F1491" w:rsidP="00AC3FED">
      <w:pPr>
        <w:numPr>
          <w:ilvl w:val="0"/>
          <w:numId w:val="18"/>
        </w:numPr>
        <w:spacing w:after="0" w:line="480" w:lineRule="auto"/>
        <w:ind w:left="360"/>
        <w:rPr>
          <w:rFonts w:eastAsia="Times New Roman"/>
        </w:rPr>
      </w:pPr>
      <w:r w:rsidRPr="00D113F4">
        <w:rPr>
          <w:rFonts w:eastAsia="Times New Roman"/>
        </w:rPr>
        <w:t>Test the draft instrument using cognitive interviews to ensure respondents can properly understand the questions and response options are robust.</w:t>
      </w:r>
    </w:p>
    <w:p w:rsidR="008F1491" w:rsidRPr="00D113F4" w:rsidRDefault="008F1491" w:rsidP="00AC3FED">
      <w:pPr>
        <w:numPr>
          <w:ilvl w:val="0"/>
          <w:numId w:val="18"/>
        </w:numPr>
        <w:spacing w:after="0" w:line="480" w:lineRule="auto"/>
        <w:ind w:left="360"/>
        <w:rPr>
          <w:rFonts w:eastAsia="Times New Roman"/>
        </w:rPr>
      </w:pPr>
      <w:r w:rsidRPr="00D113F4">
        <w:rPr>
          <w:rFonts w:eastAsia="Times New Roman"/>
        </w:rPr>
        <w:t>Mail postcard</w:t>
      </w:r>
      <w:r w:rsidR="00B817E0">
        <w:rPr>
          <w:rFonts w:eastAsia="Times New Roman"/>
        </w:rPr>
        <w:t>s</w:t>
      </w:r>
      <w:r w:rsidRPr="00D113F4">
        <w:rPr>
          <w:rFonts w:eastAsia="Times New Roman"/>
        </w:rPr>
        <w:t xml:space="preserve"> to remind participants to complete the survey and/or </w:t>
      </w:r>
      <w:r w:rsidR="00B817E0">
        <w:rPr>
          <w:rFonts w:eastAsia="Times New Roman"/>
        </w:rPr>
        <w:t xml:space="preserve">to </w:t>
      </w:r>
      <w:r w:rsidRPr="00D113F4">
        <w:rPr>
          <w:rFonts w:eastAsia="Times New Roman"/>
        </w:rPr>
        <w:t xml:space="preserve">thank them for their participation. </w:t>
      </w:r>
    </w:p>
    <w:p w:rsidR="008F1491" w:rsidRPr="00D113F4" w:rsidRDefault="008F1491" w:rsidP="00AC3FED">
      <w:pPr>
        <w:numPr>
          <w:ilvl w:val="0"/>
          <w:numId w:val="18"/>
        </w:numPr>
        <w:spacing w:after="0" w:line="480" w:lineRule="auto"/>
        <w:ind w:left="360"/>
        <w:rPr>
          <w:rFonts w:eastAsia="Times New Roman"/>
        </w:rPr>
      </w:pPr>
      <w:r w:rsidRPr="00D113F4">
        <w:rPr>
          <w:rFonts w:eastAsia="Times New Roman"/>
        </w:rPr>
        <w:t>Contact nonrespondents and program dropouts by telephone to complete the survey.</w:t>
      </w:r>
    </w:p>
    <w:p w:rsidR="008F1491" w:rsidRPr="00D113F4" w:rsidRDefault="008F1491" w:rsidP="00AC3FED">
      <w:pPr>
        <w:numPr>
          <w:ilvl w:val="0"/>
          <w:numId w:val="18"/>
        </w:numPr>
        <w:spacing w:after="0" w:line="480" w:lineRule="auto"/>
        <w:ind w:left="360"/>
        <w:rPr>
          <w:rFonts w:eastAsia="Times New Roman"/>
        </w:rPr>
      </w:pPr>
      <w:r w:rsidRPr="00D113F4">
        <w:rPr>
          <w:rFonts w:eastAsia="Times New Roman"/>
        </w:rPr>
        <w:t>Provide a monetary incentive to participants who complete each survey.</w:t>
      </w:r>
    </w:p>
    <w:p w:rsidR="008F1491" w:rsidRPr="00D113F4" w:rsidRDefault="008F1491" w:rsidP="00AC3FED">
      <w:pPr>
        <w:numPr>
          <w:ilvl w:val="0"/>
          <w:numId w:val="18"/>
        </w:numPr>
        <w:spacing w:after="0" w:line="480" w:lineRule="auto"/>
        <w:ind w:left="360"/>
        <w:rPr>
          <w:rFonts w:eastAsia="Times New Roman"/>
        </w:rPr>
      </w:pPr>
      <w:r w:rsidRPr="00D113F4">
        <w:rPr>
          <w:rFonts w:eastAsia="Times New Roman"/>
        </w:rPr>
        <w:t>Provide survey materials in Engl</w:t>
      </w:r>
      <w:r w:rsidR="003F4877" w:rsidRPr="00D113F4">
        <w:rPr>
          <w:rFonts w:eastAsia="Times New Roman"/>
        </w:rPr>
        <w:t>ish and Spanish for INN</w:t>
      </w:r>
      <w:r w:rsidR="00B817E0">
        <w:rPr>
          <w:rFonts w:eastAsia="Times New Roman"/>
        </w:rPr>
        <w:t>,</w:t>
      </w:r>
      <w:r w:rsidR="003F4877" w:rsidRPr="00D113F4">
        <w:rPr>
          <w:rFonts w:eastAsia="Times New Roman"/>
        </w:rPr>
        <w:t xml:space="preserve"> since the program materials are available in Spanish and </w:t>
      </w:r>
      <w:r w:rsidR="00651225" w:rsidRPr="00D113F4">
        <w:rPr>
          <w:rFonts w:eastAsia="Times New Roman"/>
        </w:rPr>
        <w:t>8</w:t>
      </w:r>
      <w:r w:rsidR="00B817E0">
        <w:rPr>
          <w:rFonts w:eastAsia="Times New Roman"/>
        </w:rPr>
        <w:t>–</w:t>
      </w:r>
      <w:r w:rsidR="00651225" w:rsidRPr="00D113F4">
        <w:rPr>
          <w:rFonts w:eastAsia="Times New Roman"/>
        </w:rPr>
        <w:t xml:space="preserve">17 percent of the population is </w:t>
      </w:r>
      <w:r w:rsidR="003F4877" w:rsidRPr="00D113F4">
        <w:rPr>
          <w:rFonts w:eastAsia="Times New Roman"/>
        </w:rPr>
        <w:t>Hispanic</w:t>
      </w:r>
      <w:r w:rsidR="00651225" w:rsidRPr="00D113F4">
        <w:rPr>
          <w:rFonts w:eastAsia="Times New Roman"/>
        </w:rPr>
        <w:t xml:space="preserve"> in the targeted school districts</w:t>
      </w:r>
      <w:r w:rsidR="003F4877" w:rsidRPr="00D113F4">
        <w:rPr>
          <w:rFonts w:eastAsia="Times New Roman"/>
        </w:rPr>
        <w:t xml:space="preserve">. (Spanish translated version of the instruments and survey materials are provided in Appendix </w:t>
      </w:r>
      <w:r w:rsidR="00597768" w:rsidRPr="00D113F4">
        <w:rPr>
          <w:rFonts w:eastAsia="Times New Roman"/>
        </w:rPr>
        <w:t xml:space="preserve">A </w:t>
      </w:r>
      <w:r w:rsidR="003F4877" w:rsidRPr="00D113F4">
        <w:rPr>
          <w:rFonts w:eastAsia="Times New Roman"/>
        </w:rPr>
        <w:t>and H, respectively</w:t>
      </w:r>
      <w:r w:rsidR="00C01F37">
        <w:rPr>
          <w:rFonts w:eastAsia="Times New Roman"/>
        </w:rPr>
        <w:t>)</w:t>
      </w:r>
      <w:r w:rsidR="003F4877" w:rsidRPr="00D113F4">
        <w:rPr>
          <w:rFonts w:eastAsia="Times New Roman"/>
        </w:rPr>
        <w:t>.</w:t>
      </w:r>
    </w:p>
    <w:p w:rsidR="008F1491" w:rsidRPr="00D113F4" w:rsidRDefault="008F1491" w:rsidP="00A55C75">
      <w:pPr>
        <w:spacing w:after="0" w:line="480" w:lineRule="auto"/>
        <w:rPr>
          <w:rFonts w:ascii="Times New Roman" w:eastAsia="Times New Roman" w:hAnsi="Times New Roman"/>
          <w:sz w:val="24"/>
          <w:szCs w:val="24"/>
        </w:rPr>
      </w:pPr>
      <w:r w:rsidRPr="00D113F4">
        <w:rPr>
          <w:rFonts w:eastAsia="Times New Roman"/>
        </w:rPr>
        <w:lastRenderedPageBreak/>
        <w:t>When evaluating experimental and quasi-experimental designs, attrition can bias program effects</w:t>
      </w:r>
      <w:r w:rsidR="00B817E0">
        <w:rPr>
          <w:rFonts w:eastAsia="Times New Roman"/>
        </w:rPr>
        <w:t>,</w:t>
      </w:r>
      <w:r w:rsidRPr="00D113F4">
        <w:rPr>
          <w:rFonts w:eastAsia="Times New Roman"/>
        </w:rPr>
        <w:t xml:space="preserve"> leading researchers to erroneous conclusions. Attrition refers to incomplete participation and occurs when individuals assigned to an experimental condition provide baseline information </w:t>
      </w:r>
      <w:r w:rsidR="00A55C75" w:rsidRPr="00D113F4">
        <w:rPr>
          <w:rFonts w:eastAsia="Times New Roman"/>
        </w:rPr>
        <w:t>but fail to provide</w:t>
      </w:r>
      <w:r w:rsidRPr="00D113F4">
        <w:rPr>
          <w:rFonts w:eastAsia="Times New Roman"/>
        </w:rPr>
        <w:t xml:space="preserve"> data at follow</w:t>
      </w:r>
      <w:r w:rsidR="00B817E0">
        <w:rPr>
          <w:rFonts w:eastAsia="Times New Roman"/>
        </w:rPr>
        <w:t>-</w:t>
      </w:r>
      <w:r w:rsidRPr="00D113F4">
        <w:rPr>
          <w:rFonts w:eastAsia="Times New Roman"/>
        </w:rPr>
        <w:t xml:space="preserve">up. To account for and correct </w:t>
      </w:r>
      <w:r w:rsidR="00A55C75" w:rsidRPr="00D113F4">
        <w:rPr>
          <w:rFonts w:eastAsia="Times New Roman"/>
        </w:rPr>
        <w:t xml:space="preserve">for </w:t>
      </w:r>
      <w:r w:rsidRPr="00D113F4">
        <w:rPr>
          <w:rFonts w:eastAsia="Times New Roman"/>
        </w:rPr>
        <w:t xml:space="preserve">potential bias due to attrition, </w:t>
      </w:r>
      <w:r w:rsidRPr="00D113F4">
        <w:rPr>
          <w:rFonts w:eastAsia="Times New Roman"/>
          <w:szCs w:val="24"/>
        </w:rPr>
        <w:t>we will compare baseline values of key outcome variables, covariates, and demographic variables between</w:t>
      </w:r>
      <w:r w:rsidRPr="00D113F4">
        <w:rPr>
          <w:rFonts w:eastAsia="Times New Roman" w:cs="Arial"/>
          <w:szCs w:val="20"/>
        </w:rPr>
        <w:t> study participants</w:t>
      </w:r>
      <w:r w:rsidRPr="00D113F4">
        <w:rPr>
          <w:rFonts w:eastAsia="Times New Roman"/>
          <w:szCs w:val="24"/>
        </w:rPr>
        <w:t xml:space="preserve"> who remain in the study for all survey</w:t>
      </w:r>
      <w:r w:rsidRPr="00D113F4">
        <w:rPr>
          <w:rFonts w:eastAsia="Times New Roman" w:cs="Arial"/>
          <w:szCs w:val="20"/>
        </w:rPr>
        <w:t>s</w:t>
      </w:r>
      <w:r w:rsidRPr="00D113F4">
        <w:rPr>
          <w:rFonts w:eastAsia="Times New Roman" w:cs="Arial"/>
          <w:color w:val="0000FF"/>
          <w:szCs w:val="20"/>
        </w:rPr>
        <w:t> </w:t>
      </w:r>
      <w:r w:rsidRPr="00D113F4">
        <w:rPr>
          <w:rFonts w:eastAsia="Times New Roman"/>
          <w:szCs w:val="24"/>
        </w:rPr>
        <w:t>and those who do not. Variables associated with attrition will be included as covariates in the main analysis to help remove any potential biases caused by differential attrition rates. Additionally, variables associated with attrition will be included in a propensity analysis that will allow us to assess the relationship between key predictor variables and failure to provide follow up data. This will help characterize </w:t>
      </w:r>
      <w:r w:rsidRPr="00D113F4">
        <w:rPr>
          <w:rFonts w:eastAsia="Times New Roman" w:cs="Arial"/>
          <w:szCs w:val="20"/>
        </w:rPr>
        <w:t>study participants</w:t>
      </w:r>
      <w:r w:rsidRPr="00D113F4">
        <w:rPr>
          <w:rFonts w:eastAsia="Times New Roman"/>
          <w:szCs w:val="24"/>
        </w:rPr>
        <w:t xml:space="preserve"> lost to follow-up, regardless of whether differences in attrition between the two experimental groups are observed. The propensity analysis is based on a logistic regression that quantifies the probability of noncompletion and provides a propensity weight that can be applied to statistical models to correct for participant attrition. </w:t>
      </w:r>
    </w:p>
    <w:p w:rsidR="00686BA2" w:rsidRPr="00D113F4" w:rsidRDefault="00AE3947" w:rsidP="00AC3FED">
      <w:pPr>
        <w:pStyle w:val="OMBsectionheaders"/>
        <w:spacing w:before="120" w:after="120"/>
      </w:pPr>
      <w:bookmarkStart w:id="9" w:name="_Toc283378353"/>
      <w:r>
        <w:t>B</w:t>
      </w:r>
      <w:r w:rsidR="00B817E0">
        <w:t>.</w:t>
      </w:r>
      <w:r>
        <w:t>4—</w:t>
      </w:r>
      <w:r w:rsidR="00686BA2" w:rsidRPr="00D113F4">
        <w:t>Describe any tests of procedures or methods to be undertaken.</w:t>
      </w:r>
      <w:r w:rsidR="00584454">
        <w:t xml:space="preserve"> </w:t>
      </w:r>
      <w:r w:rsidR="00686BA2" w:rsidRPr="00D113F4">
        <w:t>Testing is encouraged as an effective means of refining collections of information to minimize burden and improve utility.</w:t>
      </w:r>
      <w:r w:rsidR="00584454">
        <w:t xml:space="preserve"> </w:t>
      </w:r>
      <w:r w:rsidR="00686BA2" w:rsidRPr="00D113F4">
        <w:t>Tests must be approved if they call for answers to identical questions from 10 or more respondents. A proposed test or set of tests may be submitted for approval separate</w:t>
      </w:r>
      <w:r w:rsidR="00686BA2" w:rsidRPr="00D113F4">
        <w:softHyphen/>
        <w:t>ly or in combination with the main collection of information.</w:t>
      </w:r>
      <w:bookmarkEnd w:id="9"/>
    </w:p>
    <w:p w:rsidR="00AC3FED" w:rsidRDefault="00AC3FED" w:rsidP="00AC3FED">
      <w:pPr>
        <w:spacing w:after="0" w:line="240" w:lineRule="auto"/>
        <w:rPr>
          <w:rFonts w:eastAsia="Times New Roman"/>
          <w:szCs w:val="24"/>
        </w:rPr>
      </w:pPr>
    </w:p>
    <w:p w:rsidR="008F1491" w:rsidRPr="00D113F4" w:rsidRDefault="008F1491" w:rsidP="00A55C75">
      <w:pPr>
        <w:spacing w:after="0" w:line="480" w:lineRule="auto"/>
        <w:rPr>
          <w:rFonts w:eastAsia="Times New Roman"/>
          <w:szCs w:val="24"/>
        </w:rPr>
      </w:pPr>
      <w:r w:rsidRPr="00D113F4">
        <w:rPr>
          <w:rFonts w:eastAsia="Times New Roman"/>
          <w:szCs w:val="24"/>
        </w:rPr>
        <w:t xml:space="preserve">One-on-one cognitive interviews were used to evaluate whether the survey instruments were appropriate for the target audience in terms of comprehension and understanding and whether improvements to the instruments could be made. </w:t>
      </w:r>
      <w:r w:rsidR="00A55C75" w:rsidRPr="00D113F4">
        <w:rPr>
          <w:rFonts w:eastAsia="Times New Roman"/>
          <w:szCs w:val="24"/>
        </w:rPr>
        <w:t xml:space="preserve">Nine </w:t>
      </w:r>
      <w:r w:rsidRPr="00D113F4">
        <w:rPr>
          <w:rFonts w:eastAsia="Times New Roman"/>
          <w:szCs w:val="24"/>
        </w:rPr>
        <w:t xml:space="preserve">interviews were conducted </w:t>
      </w:r>
      <w:r w:rsidR="00A55C75" w:rsidRPr="00D113F4">
        <w:rPr>
          <w:rFonts w:eastAsia="Times New Roman"/>
          <w:szCs w:val="24"/>
        </w:rPr>
        <w:t xml:space="preserve">with parents </w:t>
      </w:r>
      <w:r w:rsidRPr="00D113F4">
        <w:rPr>
          <w:rFonts w:eastAsia="Times New Roman"/>
          <w:szCs w:val="24"/>
        </w:rPr>
        <w:t xml:space="preserve">to evaluate the instruments for the </w:t>
      </w:r>
      <w:r w:rsidR="00A55C75" w:rsidRPr="00D113F4">
        <w:rPr>
          <w:rFonts w:eastAsia="Times New Roman"/>
          <w:szCs w:val="24"/>
        </w:rPr>
        <w:t xml:space="preserve">INN and UKCES </w:t>
      </w:r>
      <w:r w:rsidRPr="00D113F4">
        <w:rPr>
          <w:rFonts w:eastAsia="Times New Roman"/>
          <w:szCs w:val="24"/>
        </w:rPr>
        <w:t>studies and</w:t>
      </w:r>
      <w:r w:rsidR="00A55C75" w:rsidRPr="00D113F4">
        <w:rPr>
          <w:rFonts w:eastAsia="Times New Roman"/>
          <w:szCs w:val="24"/>
        </w:rPr>
        <w:t xml:space="preserve"> nine</w:t>
      </w:r>
      <w:r w:rsidRPr="00D113F4">
        <w:rPr>
          <w:rFonts w:eastAsia="Times New Roman"/>
          <w:szCs w:val="24"/>
        </w:rPr>
        <w:t xml:space="preserve"> interviews were conducted</w:t>
      </w:r>
      <w:r w:rsidR="00A55C75" w:rsidRPr="00D113F4">
        <w:rPr>
          <w:rFonts w:eastAsia="Times New Roman"/>
          <w:szCs w:val="24"/>
        </w:rPr>
        <w:t xml:space="preserve"> with older adults</w:t>
      </w:r>
      <w:r w:rsidRPr="00D113F4">
        <w:rPr>
          <w:rFonts w:eastAsia="Times New Roman"/>
          <w:szCs w:val="24"/>
        </w:rPr>
        <w:t xml:space="preserve"> to evaluate the instrument for the </w:t>
      </w:r>
      <w:r w:rsidR="00A55C75" w:rsidRPr="00D113F4">
        <w:rPr>
          <w:rFonts w:eastAsia="Times New Roman"/>
          <w:szCs w:val="24"/>
        </w:rPr>
        <w:t xml:space="preserve">MSUE </w:t>
      </w:r>
      <w:r w:rsidRPr="00D113F4">
        <w:rPr>
          <w:rFonts w:eastAsia="Times New Roman"/>
          <w:szCs w:val="24"/>
        </w:rPr>
        <w:t>study.</w:t>
      </w:r>
      <w:r w:rsidR="00584454">
        <w:rPr>
          <w:rFonts w:eastAsia="Times New Roman"/>
          <w:szCs w:val="24"/>
        </w:rPr>
        <w:t xml:space="preserve"> </w:t>
      </w:r>
      <w:r w:rsidRPr="00D113F4">
        <w:rPr>
          <w:rFonts w:eastAsia="Times New Roman"/>
          <w:szCs w:val="24"/>
        </w:rPr>
        <w:t xml:space="preserve">A </w:t>
      </w:r>
      <w:r w:rsidR="00584454">
        <w:rPr>
          <w:rFonts w:eastAsia="Times New Roman"/>
          <w:szCs w:val="24"/>
        </w:rPr>
        <w:t>“</w:t>
      </w:r>
      <w:r w:rsidRPr="00D113F4">
        <w:rPr>
          <w:rFonts w:eastAsia="Times New Roman"/>
          <w:szCs w:val="24"/>
        </w:rPr>
        <w:t>think-aloud</w:t>
      </w:r>
      <w:r w:rsidR="00584454">
        <w:rPr>
          <w:rFonts w:eastAsia="Times New Roman"/>
          <w:szCs w:val="24"/>
        </w:rPr>
        <w:t>”</w:t>
      </w:r>
      <w:r w:rsidRPr="00D113F4">
        <w:rPr>
          <w:rFonts w:eastAsia="Times New Roman"/>
          <w:szCs w:val="24"/>
        </w:rPr>
        <w:t xml:space="preserve"> approach (Willis, 2004) was used to address cognitive dimensions and usability issues. Using this approach, the respondent completed the instrument, and then the interviewer asked the respondent specific questions about the survey </w:t>
      </w:r>
      <w:r w:rsidRPr="00D113F4">
        <w:rPr>
          <w:rFonts w:eastAsia="Times New Roman"/>
          <w:szCs w:val="24"/>
        </w:rPr>
        <w:lastRenderedPageBreak/>
        <w:t xml:space="preserve">questions and response options. Based on the cognitive interviews, revisions were made to the instruments, to clarify questions and response options and to delete questions </w:t>
      </w:r>
      <w:r w:rsidRPr="00D113F4">
        <w:rPr>
          <w:rFonts w:eastAsia="Times New Roman"/>
        </w:rPr>
        <w:t xml:space="preserve">that were redundant. </w:t>
      </w:r>
    </w:p>
    <w:p w:rsidR="00B47C43" w:rsidRPr="00B47C43" w:rsidRDefault="008F1491" w:rsidP="00B47C43">
      <w:pPr>
        <w:spacing w:after="0" w:line="480" w:lineRule="auto"/>
        <w:rPr>
          <w:rFonts w:eastAsia="Times New Roman"/>
          <w:szCs w:val="24"/>
        </w:rPr>
      </w:pPr>
      <w:r w:rsidRPr="00D113F4">
        <w:rPr>
          <w:rFonts w:eastAsia="Times New Roman"/>
          <w:szCs w:val="24"/>
        </w:rPr>
        <w:t xml:space="preserve">A Fry </w:t>
      </w:r>
      <w:r w:rsidR="009F45E9">
        <w:rPr>
          <w:rFonts w:eastAsia="Times New Roman"/>
          <w:szCs w:val="24"/>
        </w:rPr>
        <w:t>t</w:t>
      </w:r>
      <w:r w:rsidRPr="00D113F4">
        <w:rPr>
          <w:rFonts w:eastAsia="Times New Roman"/>
          <w:szCs w:val="24"/>
        </w:rPr>
        <w:t xml:space="preserve">est (Fry, 1968) was conducted to assess the readability of the instruments. This test examines the proportion of syllables and sentence length and is a commonly used measure of reading level. </w:t>
      </w:r>
      <w:r w:rsidR="00A55C75" w:rsidRPr="00B47C43">
        <w:rPr>
          <w:rFonts w:eastAsia="Times New Roman"/>
          <w:szCs w:val="24"/>
        </w:rPr>
        <w:t>Excluding the opening narrative, t</w:t>
      </w:r>
      <w:r w:rsidR="00A55C75" w:rsidRPr="00D113F4">
        <w:rPr>
          <w:rFonts w:eastAsia="Times New Roman"/>
          <w:szCs w:val="24"/>
        </w:rPr>
        <w:t>he INN draft instrument was between a fourth</w:t>
      </w:r>
      <w:r w:rsidR="009F45E9">
        <w:rPr>
          <w:rFonts w:eastAsia="Times New Roman"/>
          <w:szCs w:val="24"/>
        </w:rPr>
        <w:t>-</w:t>
      </w:r>
      <w:r w:rsidR="00A55C75" w:rsidRPr="00D113F4">
        <w:rPr>
          <w:rFonts w:eastAsia="Times New Roman"/>
          <w:szCs w:val="24"/>
        </w:rPr>
        <w:t xml:space="preserve"> and eighth</w:t>
      </w:r>
      <w:r w:rsidR="009F45E9">
        <w:rPr>
          <w:rFonts w:eastAsia="Times New Roman"/>
          <w:szCs w:val="24"/>
        </w:rPr>
        <w:t>-</w:t>
      </w:r>
      <w:r w:rsidR="00A55C75" w:rsidRPr="00D113F4">
        <w:rPr>
          <w:rFonts w:eastAsia="Times New Roman"/>
          <w:szCs w:val="24"/>
        </w:rPr>
        <w:t>grade reading level, and the UKCES instrument was between a fifth</w:t>
      </w:r>
      <w:r w:rsidR="009F45E9">
        <w:rPr>
          <w:rFonts w:eastAsia="Times New Roman"/>
          <w:szCs w:val="24"/>
        </w:rPr>
        <w:t>-</w:t>
      </w:r>
      <w:r w:rsidR="00A55C75" w:rsidRPr="00D113F4">
        <w:rPr>
          <w:rFonts w:eastAsia="Times New Roman"/>
          <w:szCs w:val="24"/>
        </w:rPr>
        <w:t xml:space="preserve"> and seventh</w:t>
      </w:r>
      <w:r w:rsidR="009F45E9">
        <w:rPr>
          <w:rFonts w:eastAsia="Times New Roman"/>
          <w:szCs w:val="24"/>
        </w:rPr>
        <w:t>-</w:t>
      </w:r>
      <w:r w:rsidR="00A55C75" w:rsidRPr="00D113F4">
        <w:rPr>
          <w:rFonts w:eastAsia="Times New Roman"/>
          <w:szCs w:val="24"/>
        </w:rPr>
        <w:t>grade reading level</w:t>
      </w:r>
      <w:r w:rsidR="00B47C43">
        <w:rPr>
          <w:rFonts w:eastAsia="Times New Roman"/>
          <w:szCs w:val="24"/>
        </w:rPr>
        <w:t xml:space="preserve">, and the MSUE instrument was </w:t>
      </w:r>
      <w:r w:rsidR="00B47C43" w:rsidRPr="00B47C43">
        <w:rPr>
          <w:rFonts w:eastAsia="Times New Roman"/>
          <w:szCs w:val="24"/>
        </w:rPr>
        <w:t>between a third</w:t>
      </w:r>
      <w:r w:rsidR="00B47C43">
        <w:rPr>
          <w:rFonts w:eastAsia="Times New Roman"/>
          <w:szCs w:val="24"/>
        </w:rPr>
        <w:t>- and sixth-</w:t>
      </w:r>
      <w:r w:rsidR="00B47C43" w:rsidRPr="00B47C43">
        <w:rPr>
          <w:rFonts w:eastAsia="Times New Roman"/>
          <w:szCs w:val="24"/>
        </w:rPr>
        <w:t>grade reading level.</w:t>
      </w:r>
    </w:p>
    <w:p w:rsidR="00AC3FED" w:rsidRDefault="00AC3FED" w:rsidP="00AC3FED">
      <w:pPr>
        <w:spacing w:after="0" w:line="240" w:lineRule="auto"/>
        <w:rPr>
          <w:rFonts w:eastAsia="Times New Roman"/>
          <w:szCs w:val="24"/>
        </w:rPr>
      </w:pPr>
    </w:p>
    <w:p w:rsidR="001743A6" w:rsidRPr="00D113F4" w:rsidRDefault="001743A6" w:rsidP="001743A6">
      <w:pPr>
        <w:spacing w:after="0" w:line="480" w:lineRule="auto"/>
        <w:rPr>
          <w:rFonts w:eastAsia="Times New Roman"/>
          <w:szCs w:val="24"/>
        </w:rPr>
      </w:pPr>
      <w:r w:rsidRPr="00D113F4">
        <w:rPr>
          <w:rFonts w:eastAsia="Times New Roman"/>
          <w:szCs w:val="24"/>
        </w:rPr>
        <w:t>Upon receiving OMB approval, cognitive interviews will be conducted with three Spanish-speaking individuals to test the Spanish-translated version of the instruments for the INN impact evaluation. Based on the interview findings, revisions will be made to improve understanding of the questions and response items for the Spanish-speaking population.</w:t>
      </w:r>
    </w:p>
    <w:p w:rsidR="00686BA2" w:rsidRPr="00D113F4" w:rsidRDefault="00AE3947" w:rsidP="00AC3FED">
      <w:pPr>
        <w:pStyle w:val="OMBsectionheaders"/>
        <w:spacing w:before="120" w:after="120"/>
      </w:pPr>
      <w:bookmarkStart w:id="10" w:name="_Toc283378354"/>
      <w:r>
        <w:t>B</w:t>
      </w:r>
      <w:r w:rsidR="009F45E9">
        <w:t>.</w:t>
      </w:r>
      <w:r>
        <w:t>5—</w:t>
      </w:r>
      <w:r w:rsidR="00686BA2" w:rsidRPr="00D113F4">
        <w:t>Provide the name and telephone number of individuals consulted on statistical aspects of the design and the name of the agency unit, contractor(s), grantee(s), or other person(s) who will actually collect and/or analyze the information for the agency.</w:t>
      </w:r>
      <w:bookmarkEnd w:id="10"/>
    </w:p>
    <w:p w:rsidR="00AC3FED" w:rsidRDefault="00AC3FED" w:rsidP="00AC3FED">
      <w:pPr>
        <w:spacing w:after="0" w:line="240" w:lineRule="auto"/>
        <w:rPr>
          <w:rFonts w:eastAsia="Times New Roman"/>
        </w:rPr>
      </w:pPr>
    </w:p>
    <w:p w:rsidR="00AC3FED" w:rsidRDefault="008F1491" w:rsidP="00C01F37">
      <w:pPr>
        <w:spacing w:after="240" w:line="480" w:lineRule="auto"/>
        <w:rPr>
          <w:rFonts w:eastAsia="Times New Roman"/>
        </w:rPr>
      </w:pPr>
      <w:r w:rsidRPr="00D113F4">
        <w:rPr>
          <w:rFonts w:eastAsia="Times New Roman"/>
        </w:rPr>
        <w:t xml:space="preserve">The contractors, Altarum Institute and RTI International, will collect the information and analyze the data on behalf of FNS. Altarum is leading the process evaluation, RTI is leading the impact evaluation, and both organizations will conduct the assessment of the </w:t>
      </w:r>
      <w:r w:rsidR="00C01F37">
        <w:rPr>
          <w:rFonts w:eastAsia="Times New Roman"/>
        </w:rPr>
        <w:t xml:space="preserve">demonstration-project </w:t>
      </w:r>
      <w:r w:rsidRPr="00D113F4">
        <w:rPr>
          <w:rFonts w:eastAsia="Times New Roman"/>
        </w:rPr>
        <w:t xml:space="preserve">led evaluations. Jonathan Blitstein, Ph.D., of RTI (919-541-7313) is the senior methodologist for the study. Sampling and statistical methodologies were reviewed </w:t>
      </w:r>
      <w:r w:rsidR="00B47C43">
        <w:rPr>
          <w:rFonts w:eastAsia="Times New Roman"/>
        </w:rPr>
        <w:t xml:space="preserve">by </w:t>
      </w:r>
      <w:r w:rsidRPr="00D113F4">
        <w:rPr>
          <w:rFonts w:eastAsia="Times New Roman"/>
        </w:rPr>
        <w:t>the National Agricultural Statistical Service (NASS).</w:t>
      </w:r>
      <w:r w:rsidR="00584454">
        <w:rPr>
          <w:rFonts w:eastAsia="Times New Roman"/>
        </w:rPr>
        <w:t xml:space="preserve"> </w:t>
      </w:r>
    </w:p>
    <w:p w:rsidR="00AC3FED" w:rsidRDefault="00AC3FED">
      <w:pPr>
        <w:spacing w:after="0" w:line="240" w:lineRule="auto"/>
        <w:rPr>
          <w:rFonts w:eastAsia="Times New Roman"/>
        </w:rPr>
      </w:pPr>
      <w:r>
        <w:rPr>
          <w:rFonts w:eastAsia="Times New Roman"/>
        </w:rPr>
        <w:br w:type="page"/>
      </w:r>
    </w:p>
    <w:p w:rsidR="008F1491" w:rsidRPr="00D113F4" w:rsidRDefault="008F1491" w:rsidP="008F1491">
      <w:pPr>
        <w:spacing w:after="240"/>
        <w:jc w:val="center"/>
        <w:rPr>
          <w:rFonts w:eastAsia="Times New Roman"/>
          <w:b/>
          <w:bCs/>
          <w:sz w:val="28"/>
          <w:szCs w:val="28"/>
        </w:rPr>
      </w:pPr>
      <w:r w:rsidRPr="00D113F4">
        <w:rPr>
          <w:rFonts w:eastAsia="Times New Roman"/>
          <w:b/>
          <w:bCs/>
          <w:sz w:val="28"/>
          <w:szCs w:val="28"/>
        </w:rPr>
        <w:lastRenderedPageBreak/>
        <w:t>References</w:t>
      </w:r>
    </w:p>
    <w:p w:rsidR="008F1491" w:rsidRPr="00D113F4" w:rsidRDefault="008F1491" w:rsidP="00C17C3F">
      <w:pPr>
        <w:spacing w:after="240"/>
        <w:ind w:left="720" w:hanging="720"/>
        <w:rPr>
          <w:rFonts w:eastAsia="Times New Roman"/>
          <w:color w:val="0000FF"/>
        </w:rPr>
      </w:pPr>
      <w:r w:rsidRPr="00D113F4">
        <w:rPr>
          <w:rFonts w:eastAsia="Times New Roman"/>
        </w:rPr>
        <w:t>Shadish, W. R., Cook,</w:t>
      </w:r>
      <w:r w:rsidR="00651225" w:rsidRPr="00D113F4">
        <w:rPr>
          <w:rFonts w:eastAsia="Times New Roman"/>
        </w:rPr>
        <w:t xml:space="preserve"> T.D., &amp; Campbell, D.T. (2002)</w:t>
      </w:r>
      <w:r w:rsidR="009F45E9">
        <w:rPr>
          <w:rFonts w:eastAsia="Times New Roman"/>
        </w:rPr>
        <w:t>.</w:t>
      </w:r>
      <w:r w:rsidR="00651225" w:rsidRPr="00D113F4">
        <w:rPr>
          <w:rFonts w:eastAsia="Times New Roman"/>
        </w:rPr>
        <w:t xml:space="preserve"> </w:t>
      </w:r>
      <w:r w:rsidRPr="00D113F4">
        <w:rPr>
          <w:rFonts w:eastAsia="Times New Roman"/>
          <w:i/>
          <w:iCs/>
        </w:rPr>
        <w:t xml:space="preserve">Experimental and </w:t>
      </w:r>
      <w:r w:rsidR="009F45E9">
        <w:rPr>
          <w:rFonts w:eastAsia="Times New Roman"/>
          <w:i/>
          <w:iCs/>
        </w:rPr>
        <w:t>q</w:t>
      </w:r>
      <w:r w:rsidRPr="00D113F4">
        <w:rPr>
          <w:rFonts w:eastAsia="Times New Roman"/>
          <w:i/>
          <w:iCs/>
        </w:rPr>
        <w:t>uasi-</w:t>
      </w:r>
      <w:r w:rsidR="009F45E9">
        <w:rPr>
          <w:rFonts w:eastAsia="Times New Roman"/>
          <w:i/>
          <w:iCs/>
        </w:rPr>
        <w:t>e</w:t>
      </w:r>
      <w:r w:rsidRPr="00D113F4">
        <w:rPr>
          <w:rFonts w:eastAsia="Times New Roman"/>
          <w:i/>
          <w:iCs/>
        </w:rPr>
        <w:t xml:space="preserve">xperimental </w:t>
      </w:r>
      <w:r w:rsidR="009F45E9">
        <w:rPr>
          <w:rFonts w:eastAsia="Times New Roman"/>
          <w:i/>
          <w:iCs/>
        </w:rPr>
        <w:t>d</w:t>
      </w:r>
      <w:r w:rsidRPr="00D113F4">
        <w:rPr>
          <w:rFonts w:eastAsia="Times New Roman"/>
          <w:i/>
          <w:iCs/>
        </w:rPr>
        <w:t xml:space="preserve">esigns for </w:t>
      </w:r>
      <w:r w:rsidR="009F45E9">
        <w:rPr>
          <w:rFonts w:eastAsia="Times New Roman"/>
          <w:i/>
          <w:iCs/>
        </w:rPr>
        <w:t>g</w:t>
      </w:r>
      <w:r w:rsidRPr="00D113F4">
        <w:rPr>
          <w:rFonts w:eastAsia="Times New Roman"/>
          <w:i/>
          <w:iCs/>
        </w:rPr>
        <w:t xml:space="preserve">eneralized </w:t>
      </w:r>
      <w:r w:rsidR="009F45E9">
        <w:rPr>
          <w:rFonts w:eastAsia="Times New Roman"/>
          <w:i/>
          <w:iCs/>
        </w:rPr>
        <w:t>c</w:t>
      </w:r>
      <w:r w:rsidRPr="00D113F4">
        <w:rPr>
          <w:rFonts w:eastAsia="Times New Roman"/>
          <w:i/>
          <w:iCs/>
        </w:rPr>
        <w:t>ausal</w:t>
      </w:r>
      <w:r w:rsidR="00651225" w:rsidRPr="00D113F4">
        <w:rPr>
          <w:rFonts w:eastAsia="Times New Roman"/>
          <w:i/>
          <w:iCs/>
        </w:rPr>
        <w:t xml:space="preserve"> </w:t>
      </w:r>
      <w:r w:rsidR="009F45E9">
        <w:rPr>
          <w:rFonts w:eastAsia="Times New Roman"/>
          <w:i/>
          <w:iCs/>
        </w:rPr>
        <w:t>i</w:t>
      </w:r>
      <w:r w:rsidR="00651225" w:rsidRPr="00D113F4">
        <w:rPr>
          <w:rFonts w:eastAsia="Times New Roman"/>
          <w:i/>
          <w:iCs/>
        </w:rPr>
        <w:t>nference.</w:t>
      </w:r>
      <w:r w:rsidRPr="00D113F4">
        <w:rPr>
          <w:rFonts w:eastAsia="Times New Roman"/>
          <w:i/>
          <w:iCs/>
        </w:rPr>
        <w:t xml:space="preserve"> </w:t>
      </w:r>
      <w:r w:rsidRPr="00D113F4">
        <w:rPr>
          <w:rFonts w:eastAsia="Times New Roman"/>
        </w:rPr>
        <w:t>Boston</w:t>
      </w:r>
      <w:r w:rsidR="009F45E9">
        <w:rPr>
          <w:rFonts w:eastAsia="Times New Roman"/>
        </w:rPr>
        <w:t>, MA</w:t>
      </w:r>
      <w:r w:rsidRPr="00D113F4">
        <w:rPr>
          <w:rFonts w:eastAsia="Times New Roman"/>
        </w:rPr>
        <w:t>: Houghton Mifflin Company.</w:t>
      </w:r>
      <w:r w:rsidRPr="00D113F4">
        <w:rPr>
          <w:rFonts w:eastAsia="Times New Roman"/>
          <w:color w:val="0000FF"/>
        </w:rPr>
        <w:t xml:space="preserve"> </w:t>
      </w:r>
    </w:p>
    <w:p w:rsidR="008F1491" w:rsidRPr="00D113F4" w:rsidRDefault="008F1491" w:rsidP="00C17C3F">
      <w:pPr>
        <w:spacing w:after="240"/>
        <w:ind w:left="720" w:hanging="720"/>
        <w:rPr>
          <w:rFonts w:eastAsia="Times New Roman"/>
        </w:rPr>
      </w:pPr>
      <w:r w:rsidRPr="00D113F4">
        <w:rPr>
          <w:rFonts w:eastAsia="Times New Roman"/>
        </w:rPr>
        <w:t>Fry, E. (1968)</w:t>
      </w:r>
      <w:r w:rsidR="009F45E9">
        <w:rPr>
          <w:rFonts w:eastAsia="Times New Roman"/>
        </w:rPr>
        <w:t>.</w:t>
      </w:r>
      <w:r w:rsidRPr="00D113F4">
        <w:rPr>
          <w:rFonts w:eastAsia="Times New Roman"/>
        </w:rPr>
        <w:t xml:space="preserve"> A readability formula that saves time. </w:t>
      </w:r>
      <w:r w:rsidRPr="00D113F4">
        <w:rPr>
          <w:rFonts w:eastAsia="Times New Roman"/>
          <w:i/>
          <w:iCs/>
        </w:rPr>
        <w:t>Journal of Reading</w:t>
      </w:r>
      <w:r w:rsidR="009F45E9">
        <w:rPr>
          <w:rFonts w:eastAsia="Times New Roman"/>
          <w:i/>
          <w:iCs/>
        </w:rPr>
        <w:t>,</w:t>
      </w:r>
      <w:r w:rsidRPr="00D113F4">
        <w:rPr>
          <w:rFonts w:eastAsia="Times New Roman"/>
        </w:rPr>
        <w:t xml:space="preserve"> </w:t>
      </w:r>
      <w:r w:rsidR="002F7D50" w:rsidRPr="002F7D50">
        <w:rPr>
          <w:rFonts w:eastAsia="Times New Roman"/>
          <w:i/>
        </w:rPr>
        <w:t>11</w:t>
      </w:r>
      <w:r w:rsidRPr="00D113F4">
        <w:rPr>
          <w:rFonts w:eastAsia="Times New Roman"/>
        </w:rPr>
        <w:t>(7)</w:t>
      </w:r>
      <w:r w:rsidR="009F45E9">
        <w:rPr>
          <w:rFonts w:eastAsia="Times New Roman"/>
        </w:rPr>
        <w:t xml:space="preserve">, </w:t>
      </w:r>
      <w:r w:rsidRPr="00D113F4">
        <w:rPr>
          <w:rFonts w:eastAsia="Times New Roman"/>
        </w:rPr>
        <w:t>265</w:t>
      </w:r>
      <w:r w:rsidR="009F45E9">
        <w:rPr>
          <w:rFonts w:eastAsia="Times New Roman"/>
        </w:rPr>
        <w:t>–</w:t>
      </w:r>
      <w:r w:rsidRPr="00D113F4">
        <w:rPr>
          <w:rFonts w:eastAsia="Times New Roman"/>
        </w:rPr>
        <w:t>271.</w:t>
      </w:r>
    </w:p>
    <w:p w:rsidR="000C746D" w:rsidRPr="00D113F4" w:rsidRDefault="000C746D" w:rsidP="00C17C3F">
      <w:pPr>
        <w:spacing w:after="240"/>
        <w:ind w:left="720" w:hanging="720"/>
        <w:rPr>
          <w:rFonts w:eastAsia="Times New Roman"/>
        </w:rPr>
      </w:pPr>
      <w:r w:rsidRPr="00D113F4">
        <w:rPr>
          <w:rFonts w:eastAsia="Times New Roman"/>
          <w:spacing w:val="-2"/>
        </w:rPr>
        <w:t>Krueger, R</w:t>
      </w:r>
      <w:r w:rsidR="009F45E9">
        <w:rPr>
          <w:rFonts w:eastAsia="Times New Roman"/>
          <w:spacing w:val="-2"/>
        </w:rPr>
        <w:t>.</w:t>
      </w:r>
      <w:r w:rsidRPr="00D113F4">
        <w:rPr>
          <w:rFonts w:eastAsia="Times New Roman"/>
          <w:spacing w:val="-2"/>
        </w:rPr>
        <w:t xml:space="preserve"> A</w:t>
      </w:r>
      <w:r w:rsidR="009F45E9">
        <w:rPr>
          <w:rFonts w:eastAsia="Times New Roman"/>
          <w:spacing w:val="-2"/>
        </w:rPr>
        <w:t>.,</w:t>
      </w:r>
      <w:r w:rsidRPr="00D113F4">
        <w:rPr>
          <w:rFonts w:eastAsia="Times New Roman"/>
          <w:spacing w:val="-2"/>
        </w:rPr>
        <w:t xml:space="preserve"> </w:t>
      </w:r>
      <w:r w:rsidR="009F45E9">
        <w:rPr>
          <w:rFonts w:eastAsia="Times New Roman"/>
          <w:spacing w:val="-2"/>
        </w:rPr>
        <w:t>&amp;</w:t>
      </w:r>
      <w:r w:rsidRPr="00D113F4">
        <w:rPr>
          <w:rFonts w:eastAsia="Times New Roman"/>
          <w:spacing w:val="-2"/>
        </w:rPr>
        <w:t xml:space="preserve"> Casey</w:t>
      </w:r>
      <w:r w:rsidR="009F45E9">
        <w:rPr>
          <w:rFonts w:eastAsia="Times New Roman"/>
          <w:spacing w:val="-2"/>
        </w:rPr>
        <w:t>, M. A.</w:t>
      </w:r>
      <w:r w:rsidRPr="00D113F4">
        <w:rPr>
          <w:rFonts w:eastAsia="Times New Roman"/>
          <w:spacing w:val="-2"/>
        </w:rPr>
        <w:t xml:space="preserve"> (2009). </w:t>
      </w:r>
      <w:r w:rsidRPr="00D113F4">
        <w:rPr>
          <w:rFonts w:eastAsia="Times New Roman"/>
          <w:i/>
          <w:spacing w:val="-2"/>
        </w:rPr>
        <w:t xml:space="preserve">Focus </w:t>
      </w:r>
      <w:r w:rsidR="009F45E9">
        <w:rPr>
          <w:rFonts w:eastAsia="Times New Roman"/>
          <w:i/>
          <w:spacing w:val="-2"/>
        </w:rPr>
        <w:t>g</w:t>
      </w:r>
      <w:r w:rsidRPr="00D113F4">
        <w:rPr>
          <w:rFonts w:eastAsia="Times New Roman"/>
          <w:i/>
          <w:spacing w:val="-2"/>
        </w:rPr>
        <w:t>roups:</w:t>
      </w:r>
      <w:r w:rsidR="00584454">
        <w:rPr>
          <w:rFonts w:eastAsia="Times New Roman"/>
          <w:i/>
          <w:spacing w:val="-2"/>
        </w:rPr>
        <w:t xml:space="preserve"> </w:t>
      </w:r>
      <w:r w:rsidRPr="00D113F4">
        <w:rPr>
          <w:rFonts w:eastAsia="Times New Roman"/>
          <w:i/>
          <w:spacing w:val="-2"/>
        </w:rPr>
        <w:t xml:space="preserve">A </w:t>
      </w:r>
      <w:r w:rsidR="009F45E9">
        <w:rPr>
          <w:rFonts w:eastAsia="Times New Roman"/>
          <w:i/>
          <w:spacing w:val="-2"/>
        </w:rPr>
        <w:t>p</w:t>
      </w:r>
      <w:r w:rsidRPr="00D113F4">
        <w:rPr>
          <w:rFonts w:eastAsia="Times New Roman"/>
          <w:i/>
          <w:spacing w:val="-2"/>
        </w:rPr>
        <w:t xml:space="preserve">ractical </w:t>
      </w:r>
      <w:r w:rsidR="009F45E9">
        <w:rPr>
          <w:rFonts w:eastAsia="Times New Roman"/>
          <w:i/>
          <w:spacing w:val="-2"/>
        </w:rPr>
        <w:t>g</w:t>
      </w:r>
      <w:r w:rsidRPr="00D113F4">
        <w:rPr>
          <w:rFonts w:eastAsia="Times New Roman"/>
          <w:i/>
          <w:spacing w:val="-2"/>
        </w:rPr>
        <w:t xml:space="preserve">uide for </w:t>
      </w:r>
      <w:r w:rsidR="009F45E9">
        <w:rPr>
          <w:rFonts w:eastAsia="Times New Roman"/>
          <w:i/>
          <w:spacing w:val="-2"/>
        </w:rPr>
        <w:t>a</w:t>
      </w:r>
      <w:r w:rsidRPr="00D113F4">
        <w:rPr>
          <w:rFonts w:eastAsia="Times New Roman"/>
          <w:i/>
          <w:spacing w:val="-2"/>
        </w:rPr>
        <w:t xml:space="preserve">pplied </w:t>
      </w:r>
      <w:r w:rsidR="009F45E9">
        <w:rPr>
          <w:rFonts w:eastAsia="Times New Roman"/>
          <w:i/>
          <w:spacing w:val="-2"/>
        </w:rPr>
        <w:t>r</w:t>
      </w:r>
      <w:r w:rsidRPr="00D113F4">
        <w:rPr>
          <w:rFonts w:eastAsia="Times New Roman"/>
          <w:i/>
          <w:spacing w:val="-2"/>
        </w:rPr>
        <w:t>esearch</w:t>
      </w:r>
      <w:r w:rsidR="002F7D50" w:rsidRPr="002F7D50">
        <w:rPr>
          <w:rFonts w:eastAsia="Times New Roman"/>
          <w:spacing w:val="-2"/>
        </w:rPr>
        <w:t>, 4</w:t>
      </w:r>
      <w:r w:rsidR="002F7D50" w:rsidRPr="002F7D50">
        <w:rPr>
          <w:rFonts w:eastAsia="Times New Roman"/>
          <w:spacing w:val="-2"/>
          <w:vertAlign w:val="superscript"/>
        </w:rPr>
        <w:t>th</w:t>
      </w:r>
      <w:r w:rsidR="002F7D50" w:rsidRPr="002F7D50">
        <w:rPr>
          <w:rFonts w:eastAsia="Times New Roman"/>
          <w:spacing w:val="-2"/>
        </w:rPr>
        <w:t xml:space="preserve"> ed.</w:t>
      </w:r>
      <w:r w:rsidR="002F7D50">
        <w:rPr>
          <w:rFonts w:eastAsia="Times New Roman"/>
          <w:spacing w:val="-2"/>
        </w:rPr>
        <w:t xml:space="preserve"> </w:t>
      </w:r>
      <w:r w:rsidR="009F45E9">
        <w:rPr>
          <w:rFonts w:eastAsia="Times New Roman"/>
          <w:spacing w:val="-2"/>
        </w:rPr>
        <w:t xml:space="preserve">Thousand Oaks, CA: </w:t>
      </w:r>
      <w:r w:rsidRPr="00D113F4">
        <w:rPr>
          <w:rFonts w:eastAsia="Times New Roman"/>
          <w:spacing w:val="-2"/>
        </w:rPr>
        <w:t>Sage Publications.</w:t>
      </w:r>
    </w:p>
    <w:p w:rsidR="001377E3" w:rsidRDefault="008F1491">
      <w:pPr>
        <w:spacing w:after="240" w:line="240" w:lineRule="auto"/>
        <w:ind w:left="720" w:hanging="720"/>
      </w:pPr>
      <w:r w:rsidRPr="00D113F4">
        <w:rPr>
          <w:rFonts w:eastAsia="Times New Roman"/>
          <w:bCs/>
        </w:rPr>
        <w:t>Willis, G. (2004)</w:t>
      </w:r>
      <w:r w:rsidR="009F45E9">
        <w:rPr>
          <w:rFonts w:eastAsia="Times New Roman"/>
          <w:bCs/>
        </w:rPr>
        <w:t>.</w:t>
      </w:r>
      <w:r w:rsidRPr="00D113F4">
        <w:rPr>
          <w:rFonts w:eastAsia="Times New Roman"/>
          <w:bCs/>
        </w:rPr>
        <w:t xml:space="preserve"> </w:t>
      </w:r>
      <w:r w:rsidRPr="00D113F4">
        <w:rPr>
          <w:rFonts w:eastAsia="Times New Roman"/>
          <w:bCs/>
          <w:i/>
          <w:iCs/>
        </w:rPr>
        <w:t xml:space="preserve">Cognitive </w:t>
      </w:r>
      <w:r w:rsidR="009F45E9">
        <w:rPr>
          <w:rFonts w:eastAsia="Times New Roman"/>
          <w:bCs/>
          <w:i/>
          <w:iCs/>
        </w:rPr>
        <w:t>i</w:t>
      </w:r>
      <w:r w:rsidRPr="00D113F4">
        <w:rPr>
          <w:rFonts w:eastAsia="Times New Roman"/>
          <w:bCs/>
          <w:i/>
          <w:iCs/>
        </w:rPr>
        <w:t xml:space="preserve">nterviewing: A </w:t>
      </w:r>
      <w:r w:rsidR="009F45E9">
        <w:rPr>
          <w:rFonts w:eastAsia="Times New Roman"/>
          <w:bCs/>
          <w:i/>
          <w:iCs/>
        </w:rPr>
        <w:t>t</w:t>
      </w:r>
      <w:r w:rsidRPr="00D113F4">
        <w:rPr>
          <w:rFonts w:eastAsia="Times New Roman"/>
          <w:bCs/>
          <w:i/>
          <w:iCs/>
        </w:rPr>
        <w:t xml:space="preserve">ool for </w:t>
      </w:r>
      <w:r w:rsidR="009F45E9">
        <w:rPr>
          <w:rFonts w:eastAsia="Times New Roman"/>
          <w:bCs/>
          <w:i/>
          <w:iCs/>
        </w:rPr>
        <w:t>i</w:t>
      </w:r>
      <w:r w:rsidRPr="00D113F4">
        <w:rPr>
          <w:rFonts w:eastAsia="Times New Roman"/>
          <w:bCs/>
          <w:i/>
          <w:iCs/>
        </w:rPr>
        <w:t xml:space="preserve">mproving </w:t>
      </w:r>
      <w:r w:rsidR="009F45E9">
        <w:rPr>
          <w:rFonts w:eastAsia="Times New Roman"/>
          <w:bCs/>
          <w:i/>
          <w:iCs/>
        </w:rPr>
        <w:t>q</w:t>
      </w:r>
      <w:r w:rsidRPr="00D113F4">
        <w:rPr>
          <w:rFonts w:eastAsia="Times New Roman"/>
          <w:bCs/>
          <w:i/>
          <w:iCs/>
        </w:rPr>
        <w:t xml:space="preserve">uestionnaire </w:t>
      </w:r>
      <w:r w:rsidR="009F45E9">
        <w:rPr>
          <w:rFonts w:eastAsia="Times New Roman"/>
          <w:bCs/>
          <w:i/>
          <w:iCs/>
        </w:rPr>
        <w:t>d</w:t>
      </w:r>
      <w:r w:rsidRPr="00D113F4">
        <w:rPr>
          <w:rFonts w:eastAsia="Times New Roman"/>
          <w:bCs/>
          <w:i/>
          <w:iCs/>
        </w:rPr>
        <w:t>esign</w:t>
      </w:r>
      <w:r w:rsidRPr="00D113F4">
        <w:rPr>
          <w:rFonts w:eastAsia="Times New Roman"/>
          <w:bCs/>
        </w:rPr>
        <w:t>. Thousand Oaks, CA: Sage Publications.</w:t>
      </w:r>
    </w:p>
    <w:sectPr w:rsidR="001377E3" w:rsidSect="003A4FC7">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86B" w:rsidRDefault="00F8486B">
      <w:pPr>
        <w:spacing w:after="0" w:line="240" w:lineRule="auto"/>
      </w:pPr>
      <w:r>
        <w:separator/>
      </w:r>
    </w:p>
  </w:endnote>
  <w:endnote w:type="continuationSeparator" w:id="0">
    <w:p w:rsidR="00F8486B" w:rsidRDefault="00F848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7E0" w:rsidRDefault="00B817E0" w:rsidP="008F1491">
    <w:pPr>
      <w:pStyle w:val="Footer"/>
      <w:jc w:val="right"/>
    </w:pPr>
    <w:r>
      <w:t xml:space="preserve">B </w:t>
    </w:r>
    <w:fldSimple w:instr=" PAGE   \* MERGEFORMAT ">
      <w:r w:rsidR="00D9176E">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7E0" w:rsidRDefault="00B817E0" w:rsidP="008F1491">
    <w:pPr>
      <w:pStyle w:val="Footer"/>
      <w:jc w:val="right"/>
    </w:pPr>
    <w:r>
      <w:t xml:space="preserve">B </w:t>
    </w:r>
    <w:fldSimple w:instr=" PAGE   \* MERGEFORMAT ">
      <w:r w:rsidR="00D9176E">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7E0" w:rsidRDefault="00B817E0" w:rsidP="008F1491">
    <w:pPr>
      <w:pStyle w:val="Footer"/>
      <w:jc w:val="right"/>
    </w:pPr>
    <w:r>
      <w:t xml:space="preserve">B </w:t>
    </w:r>
    <w:fldSimple w:instr=" PAGE   \* MERGEFORMAT ">
      <w:r w:rsidR="00D9176E">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86B" w:rsidRDefault="00F8486B">
      <w:pPr>
        <w:spacing w:after="0" w:line="240" w:lineRule="auto"/>
      </w:pPr>
      <w:r>
        <w:separator/>
      </w:r>
    </w:p>
  </w:footnote>
  <w:footnote w:type="continuationSeparator" w:id="0">
    <w:p w:rsidR="00F8486B" w:rsidRDefault="00F848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3C77"/>
    <w:multiLevelType w:val="hybridMultilevel"/>
    <w:tmpl w:val="C62ABE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056C2"/>
    <w:multiLevelType w:val="hybridMultilevel"/>
    <w:tmpl w:val="31D649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06749FA"/>
    <w:multiLevelType w:val="hybridMultilevel"/>
    <w:tmpl w:val="A2CA8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F070D"/>
    <w:multiLevelType w:val="hybridMultilevel"/>
    <w:tmpl w:val="785254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76204A"/>
    <w:multiLevelType w:val="hybridMultilevel"/>
    <w:tmpl w:val="C0C0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DB112D"/>
    <w:multiLevelType w:val="hybridMultilevel"/>
    <w:tmpl w:val="A2CA8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A07584"/>
    <w:multiLevelType w:val="singleLevel"/>
    <w:tmpl w:val="58C00F06"/>
    <w:lvl w:ilvl="0">
      <w:start w:val="4"/>
      <w:numFmt w:val="decimal"/>
      <w:lvlText w:val="%1."/>
      <w:lvlJc w:val="left"/>
      <w:pPr>
        <w:tabs>
          <w:tab w:val="num" w:pos="360"/>
        </w:tabs>
        <w:ind w:left="360" w:hanging="360"/>
      </w:pPr>
      <w:rPr>
        <w:rFonts w:hint="default"/>
      </w:rPr>
    </w:lvl>
  </w:abstractNum>
  <w:abstractNum w:abstractNumId="9">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07333F"/>
    <w:multiLevelType w:val="hybridMultilevel"/>
    <w:tmpl w:val="8D347EB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55A909DD"/>
    <w:multiLevelType w:val="hybridMultilevel"/>
    <w:tmpl w:val="FD0A09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5336C1"/>
    <w:multiLevelType w:val="singleLevel"/>
    <w:tmpl w:val="9B98B6F6"/>
    <w:lvl w:ilvl="0">
      <w:start w:val="1"/>
      <w:numFmt w:val="none"/>
      <w:lvlText w:val="3."/>
      <w:lvlJc w:val="left"/>
      <w:pPr>
        <w:tabs>
          <w:tab w:val="num" w:pos="360"/>
        </w:tabs>
        <w:ind w:left="360" w:hanging="360"/>
      </w:pPr>
    </w:lvl>
  </w:abstractNum>
  <w:abstractNum w:abstractNumId="13">
    <w:nsid w:val="65F12B21"/>
    <w:multiLevelType w:val="hybridMultilevel"/>
    <w:tmpl w:val="A2CA8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95206B7"/>
    <w:multiLevelType w:val="hybridMultilevel"/>
    <w:tmpl w:val="A2CA8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927069"/>
    <w:multiLevelType w:val="hybridMultilevel"/>
    <w:tmpl w:val="A3403D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4"/>
  </w:num>
  <w:num w:numId="4">
    <w:abstractNumId w:val="5"/>
  </w:num>
  <w:num w:numId="5">
    <w:abstractNumId w:val="2"/>
  </w:num>
  <w:num w:numId="6">
    <w:abstractNumId w:val="15"/>
  </w:num>
  <w:num w:numId="7">
    <w:abstractNumId w:val="9"/>
  </w:num>
  <w:num w:numId="8">
    <w:abstractNumId w:val="12"/>
  </w:num>
  <w:num w:numId="9">
    <w:abstractNumId w:val="8"/>
  </w:num>
  <w:num w:numId="10">
    <w:abstractNumId w:val="13"/>
  </w:num>
  <w:num w:numId="11">
    <w:abstractNumId w:val="16"/>
  </w:num>
  <w:num w:numId="12">
    <w:abstractNumId w:val="11"/>
  </w:num>
  <w:num w:numId="13">
    <w:abstractNumId w:val="3"/>
  </w:num>
  <w:num w:numId="14">
    <w:abstractNumId w:val="7"/>
  </w:num>
  <w:num w:numId="15">
    <w:abstractNumId w:val="10"/>
  </w:num>
  <w:num w:numId="16">
    <w:abstractNumId w:val="4"/>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F1491"/>
    <w:rsid w:val="000332F4"/>
    <w:rsid w:val="00041C2B"/>
    <w:rsid w:val="000905F4"/>
    <w:rsid w:val="000A7642"/>
    <w:rsid w:val="000C746D"/>
    <w:rsid w:val="000D6499"/>
    <w:rsid w:val="000D792A"/>
    <w:rsid w:val="001142C4"/>
    <w:rsid w:val="001176EE"/>
    <w:rsid w:val="001377E3"/>
    <w:rsid w:val="00167956"/>
    <w:rsid w:val="001743A6"/>
    <w:rsid w:val="001C44FB"/>
    <w:rsid w:val="001E235B"/>
    <w:rsid w:val="001F0588"/>
    <w:rsid w:val="00232C04"/>
    <w:rsid w:val="002436B3"/>
    <w:rsid w:val="00257620"/>
    <w:rsid w:val="00261826"/>
    <w:rsid w:val="002711A3"/>
    <w:rsid w:val="002731FB"/>
    <w:rsid w:val="002A00E2"/>
    <w:rsid w:val="002C510B"/>
    <w:rsid w:val="002F542C"/>
    <w:rsid w:val="002F7D50"/>
    <w:rsid w:val="00304136"/>
    <w:rsid w:val="003166D3"/>
    <w:rsid w:val="0032219E"/>
    <w:rsid w:val="00331B59"/>
    <w:rsid w:val="00332654"/>
    <w:rsid w:val="003507D5"/>
    <w:rsid w:val="0037748A"/>
    <w:rsid w:val="00390932"/>
    <w:rsid w:val="00392C5E"/>
    <w:rsid w:val="003A4FC7"/>
    <w:rsid w:val="003B174E"/>
    <w:rsid w:val="003E09E7"/>
    <w:rsid w:val="003F244A"/>
    <w:rsid w:val="003F4877"/>
    <w:rsid w:val="004114EA"/>
    <w:rsid w:val="00463142"/>
    <w:rsid w:val="00476345"/>
    <w:rsid w:val="00485699"/>
    <w:rsid w:val="004A3156"/>
    <w:rsid w:val="00512E3D"/>
    <w:rsid w:val="00523F4F"/>
    <w:rsid w:val="00575363"/>
    <w:rsid w:val="00584454"/>
    <w:rsid w:val="00597768"/>
    <w:rsid w:val="005B6183"/>
    <w:rsid w:val="005E2B9E"/>
    <w:rsid w:val="005E3DDF"/>
    <w:rsid w:val="005F3711"/>
    <w:rsid w:val="0064145D"/>
    <w:rsid w:val="00651225"/>
    <w:rsid w:val="00675112"/>
    <w:rsid w:val="00686BA2"/>
    <w:rsid w:val="006A50FF"/>
    <w:rsid w:val="006D7797"/>
    <w:rsid w:val="006E1517"/>
    <w:rsid w:val="00772570"/>
    <w:rsid w:val="007D2670"/>
    <w:rsid w:val="007E0C52"/>
    <w:rsid w:val="00827282"/>
    <w:rsid w:val="0086380C"/>
    <w:rsid w:val="0086389C"/>
    <w:rsid w:val="0086536C"/>
    <w:rsid w:val="008A11F9"/>
    <w:rsid w:val="008A1461"/>
    <w:rsid w:val="008F1491"/>
    <w:rsid w:val="00915EF2"/>
    <w:rsid w:val="00971295"/>
    <w:rsid w:val="0097295E"/>
    <w:rsid w:val="009A39E7"/>
    <w:rsid w:val="009F45E9"/>
    <w:rsid w:val="00A266E5"/>
    <w:rsid w:val="00A42AAD"/>
    <w:rsid w:val="00A55C75"/>
    <w:rsid w:val="00A655AA"/>
    <w:rsid w:val="00A905D7"/>
    <w:rsid w:val="00A94396"/>
    <w:rsid w:val="00AB5C29"/>
    <w:rsid w:val="00AC0044"/>
    <w:rsid w:val="00AC3FED"/>
    <w:rsid w:val="00AC4953"/>
    <w:rsid w:val="00AE3947"/>
    <w:rsid w:val="00B2172D"/>
    <w:rsid w:val="00B47C43"/>
    <w:rsid w:val="00B551B5"/>
    <w:rsid w:val="00B817E0"/>
    <w:rsid w:val="00BB5844"/>
    <w:rsid w:val="00BE2BAF"/>
    <w:rsid w:val="00C01F37"/>
    <w:rsid w:val="00C02DBA"/>
    <w:rsid w:val="00C13AB3"/>
    <w:rsid w:val="00C14D1C"/>
    <w:rsid w:val="00C17C3F"/>
    <w:rsid w:val="00C407F3"/>
    <w:rsid w:val="00C65180"/>
    <w:rsid w:val="00C95152"/>
    <w:rsid w:val="00D113F4"/>
    <w:rsid w:val="00D14C34"/>
    <w:rsid w:val="00D51E93"/>
    <w:rsid w:val="00D66B16"/>
    <w:rsid w:val="00D72650"/>
    <w:rsid w:val="00D874DE"/>
    <w:rsid w:val="00D9176E"/>
    <w:rsid w:val="00DA28E9"/>
    <w:rsid w:val="00DA4D4F"/>
    <w:rsid w:val="00E012C6"/>
    <w:rsid w:val="00E02746"/>
    <w:rsid w:val="00E26B24"/>
    <w:rsid w:val="00E43B58"/>
    <w:rsid w:val="00E96DAD"/>
    <w:rsid w:val="00F7619E"/>
    <w:rsid w:val="00F83EFB"/>
    <w:rsid w:val="00F8486B"/>
    <w:rsid w:val="00F87A51"/>
    <w:rsid w:val="00FC3393"/>
    <w:rsid w:val="00FE3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3D"/>
    <w:pPr>
      <w:spacing w:after="200" w:line="276" w:lineRule="auto"/>
    </w:pPr>
    <w:rPr>
      <w:sz w:val="22"/>
      <w:szCs w:val="22"/>
    </w:rPr>
  </w:style>
  <w:style w:type="paragraph" w:styleId="Heading1">
    <w:name w:val="heading 1"/>
    <w:basedOn w:val="Normal"/>
    <w:next w:val="Normal"/>
    <w:link w:val="Heading1Char"/>
    <w:uiPriority w:val="9"/>
    <w:qFormat/>
    <w:rsid w:val="00332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1491"/>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8F1491"/>
    <w:rPr>
      <w:rFonts w:ascii="Calibri" w:eastAsia="Times New Roman" w:hAnsi="Calibri" w:cs="Times New Roman"/>
    </w:rPr>
  </w:style>
  <w:style w:type="paragraph" w:styleId="BalloonText">
    <w:name w:val="Balloon Text"/>
    <w:basedOn w:val="Normal"/>
    <w:link w:val="BalloonTextChar"/>
    <w:uiPriority w:val="99"/>
    <w:semiHidden/>
    <w:unhideWhenUsed/>
    <w:rsid w:val="000A7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642"/>
    <w:rPr>
      <w:rFonts w:ascii="Tahoma" w:hAnsi="Tahoma" w:cs="Tahoma"/>
      <w:sz w:val="16"/>
      <w:szCs w:val="16"/>
    </w:rPr>
  </w:style>
  <w:style w:type="paragraph" w:styleId="BodyText">
    <w:name w:val="Body Text"/>
    <w:basedOn w:val="Normal"/>
    <w:link w:val="BodyTextChar"/>
    <w:rsid w:val="00A55C75"/>
    <w:pPr>
      <w:spacing w:after="240" w:line="240" w:lineRule="auto"/>
    </w:pPr>
    <w:rPr>
      <w:rFonts w:ascii="Verdana" w:eastAsia="Times New Roman" w:hAnsi="Verdana"/>
      <w:sz w:val="20"/>
      <w:szCs w:val="20"/>
    </w:rPr>
  </w:style>
  <w:style w:type="character" w:customStyle="1" w:styleId="BodyTextChar">
    <w:name w:val="Body Text Char"/>
    <w:basedOn w:val="DefaultParagraphFont"/>
    <w:link w:val="BodyText"/>
    <w:rsid w:val="00A55C75"/>
    <w:rPr>
      <w:rFonts w:ascii="Verdana" w:eastAsia="Times New Roman" w:hAnsi="Verdana"/>
    </w:rPr>
  </w:style>
  <w:style w:type="paragraph" w:styleId="BodyTextIndent3">
    <w:name w:val="Body Text Indent 3"/>
    <w:basedOn w:val="Normal"/>
    <w:link w:val="BodyTextIndent3Char"/>
    <w:uiPriority w:val="99"/>
    <w:semiHidden/>
    <w:unhideWhenUsed/>
    <w:rsid w:val="006D77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D7797"/>
    <w:rPr>
      <w:sz w:val="16"/>
      <w:szCs w:val="16"/>
    </w:rPr>
  </w:style>
  <w:style w:type="paragraph" w:customStyle="1" w:styleId="ChapterSub4">
    <w:name w:val="Chapter Sub 4"/>
    <w:basedOn w:val="Normal"/>
    <w:uiPriority w:val="99"/>
    <w:qFormat/>
    <w:rsid w:val="00AB5C29"/>
    <w:pPr>
      <w:spacing w:before="120" w:after="120" w:line="240" w:lineRule="auto"/>
      <w:ind w:left="288" w:hanging="144"/>
    </w:pPr>
    <w:rPr>
      <w:rFonts w:ascii="Times New Roman" w:eastAsia="Times New Roman" w:hAnsi="Times New Roman"/>
      <w:bCs/>
      <w:iCs/>
      <w:sz w:val="24"/>
      <w:szCs w:val="24"/>
      <w:u w:val="single"/>
    </w:rPr>
  </w:style>
  <w:style w:type="paragraph" w:customStyle="1" w:styleId="ChapterSub3">
    <w:name w:val="Chapter Sub 3"/>
    <w:basedOn w:val="Normal"/>
    <w:autoRedefine/>
    <w:qFormat/>
    <w:rsid w:val="00AB5C29"/>
    <w:pPr>
      <w:spacing w:after="0" w:line="240" w:lineRule="auto"/>
    </w:pPr>
    <w:rPr>
      <w:rFonts w:ascii="Arial" w:eastAsia="Times New Roman" w:hAnsi="Arial" w:cs="Arial"/>
      <w:bCs/>
      <w:i/>
      <w:sz w:val="24"/>
      <w:szCs w:val="24"/>
    </w:rPr>
  </w:style>
  <w:style w:type="paragraph" w:customStyle="1" w:styleId="bodytext0">
    <w:name w:val="body text"/>
    <w:uiPriority w:val="99"/>
    <w:qFormat/>
    <w:rsid w:val="00AB5C29"/>
    <w:pPr>
      <w:spacing w:line="260" w:lineRule="exact"/>
    </w:pPr>
    <w:rPr>
      <w:rFonts w:ascii="Times New Roman" w:eastAsia="Times New Roman" w:hAnsi="Times New Roman"/>
      <w:sz w:val="24"/>
      <w:szCs w:val="24"/>
    </w:rPr>
  </w:style>
  <w:style w:type="paragraph" w:customStyle="1" w:styleId="equation">
    <w:name w:val="equation"/>
    <w:basedOn w:val="Normal"/>
    <w:qFormat/>
    <w:rsid w:val="003166D3"/>
    <w:pPr>
      <w:tabs>
        <w:tab w:val="center" w:pos="4680"/>
      </w:tabs>
      <w:spacing w:before="240" w:after="240" w:line="240" w:lineRule="auto"/>
    </w:pPr>
    <w:rPr>
      <w:rFonts w:ascii="Times New Roman" w:eastAsia="Times New Roman" w:hAnsi="Times New Roman"/>
      <w:sz w:val="24"/>
      <w:szCs w:val="24"/>
    </w:rPr>
  </w:style>
  <w:style w:type="paragraph" w:customStyle="1" w:styleId="Tabletext">
    <w:name w:val="Table text"/>
    <w:basedOn w:val="Normal"/>
    <w:qFormat/>
    <w:rsid w:val="0086389C"/>
    <w:pPr>
      <w:spacing w:before="60" w:after="60" w:line="25" w:lineRule="atLeast"/>
      <w:jc w:val="center"/>
    </w:pPr>
    <w:rPr>
      <w:rFonts w:ascii="Times New Roman" w:eastAsia="Times New Roman" w:hAnsi="Times New Roman"/>
      <w:color w:val="000000"/>
      <w:sz w:val="24"/>
      <w:szCs w:val="24"/>
    </w:rPr>
  </w:style>
  <w:style w:type="paragraph" w:customStyle="1" w:styleId="TableTextbold">
    <w:name w:val="Table Text bold"/>
    <w:basedOn w:val="Tabletext"/>
    <w:next w:val="Tabletext"/>
    <w:uiPriority w:val="99"/>
    <w:qFormat/>
    <w:rsid w:val="0086389C"/>
    <w:rPr>
      <w:b/>
    </w:rPr>
  </w:style>
  <w:style w:type="paragraph" w:customStyle="1" w:styleId="bullet1">
    <w:name w:val="bullet1"/>
    <w:basedOn w:val="Normal"/>
    <w:uiPriority w:val="99"/>
    <w:rsid w:val="0086389C"/>
    <w:pPr>
      <w:spacing w:before="40" w:after="120" w:line="25" w:lineRule="atLeast"/>
      <w:ind w:left="720" w:right="187" w:hanging="360"/>
    </w:pPr>
    <w:rPr>
      <w:rFonts w:ascii="Times New Roman" w:eastAsia="Times New Roman" w:hAnsi="Times New Roman"/>
    </w:rPr>
  </w:style>
  <w:style w:type="paragraph" w:customStyle="1" w:styleId="TableTitle">
    <w:name w:val="Table Title"/>
    <w:basedOn w:val="Normal"/>
    <w:uiPriority w:val="99"/>
    <w:rsid w:val="00261826"/>
    <w:pPr>
      <w:keepNext/>
      <w:tabs>
        <w:tab w:val="left" w:pos="1037"/>
        <w:tab w:val="left" w:pos="2765"/>
      </w:tabs>
      <w:spacing w:before="240" w:after="120" w:line="240" w:lineRule="auto"/>
      <w:ind w:left="1037" w:hanging="1037"/>
    </w:pPr>
    <w:rPr>
      <w:rFonts w:ascii="Verdana" w:eastAsia="MS Mincho" w:hAnsi="Verdana"/>
      <w:b/>
      <w:kern w:val="2"/>
      <w:sz w:val="20"/>
      <w:szCs w:val="20"/>
    </w:rPr>
  </w:style>
  <w:style w:type="paragraph" w:customStyle="1" w:styleId="Source">
    <w:name w:val="Source"/>
    <w:basedOn w:val="Normal"/>
    <w:next w:val="BodyText"/>
    <w:uiPriority w:val="99"/>
    <w:rsid w:val="00261826"/>
    <w:pPr>
      <w:spacing w:before="20" w:after="20" w:line="240" w:lineRule="auto"/>
      <w:ind w:left="187" w:hanging="187"/>
    </w:pPr>
    <w:rPr>
      <w:rFonts w:ascii="Verdana" w:eastAsia="Times New Roman" w:hAnsi="Verdana"/>
      <w:sz w:val="16"/>
      <w:szCs w:val="18"/>
    </w:rPr>
  </w:style>
  <w:style w:type="paragraph" w:customStyle="1" w:styleId="Tabletext1">
    <w:name w:val="Table text1"/>
    <w:uiPriority w:val="99"/>
    <w:rsid w:val="00261826"/>
    <w:pPr>
      <w:spacing w:before="40" w:after="40"/>
      <w:ind w:left="216" w:hanging="216"/>
    </w:pPr>
    <w:rPr>
      <w:rFonts w:ascii="Verdana" w:eastAsia="Times New Roman" w:hAnsi="Verdana"/>
      <w:kern w:val="2"/>
      <w:sz w:val="18"/>
    </w:rPr>
  </w:style>
  <w:style w:type="paragraph" w:customStyle="1" w:styleId="Tablenumbers">
    <w:name w:val="Table numbers"/>
    <w:uiPriority w:val="99"/>
    <w:rsid w:val="00261826"/>
    <w:pPr>
      <w:keepNext/>
      <w:spacing w:before="40" w:after="40"/>
      <w:jc w:val="right"/>
    </w:pPr>
    <w:rPr>
      <w:rFonts w:ascii="Verdana" w:eastAsia="Times New Roman" w:hAnsi="Verdana" w:cs="Arial"/>
      <w:sz w:val="18"/>
    </w:rPr>
  </w:style>
  <w:style w:type="paragraph" w:customStyle="1" w:styleId="TableHeaders">
    <w:name w:val="Table Headers"/>
    <w:basedOn w:val="Normal"/>
    <w:uiPriority w:val="99"/>
    <w:rsid w:val="00261826"/>
    <w:pPr>
      <w:keepNext/>
      <w:spacing w:before="60" w:after="60" w:line="240" w:lineRule="auto"/>
      <w:jc w:val="center"/>
    </w:pPr>
    <w:rPr>
      <w:rFonts w:ascii="Verdana" w:eastAsia="Times New Roman" w:hAnsi="Verdana"/>
      <w:b/>
      <w:sz w:val="18"/>
      <w:szCs w:val="20"/>
    </w:rPr>
  </w:style>
  <w:style w:type="paragraph" w:styleId="Header">
    <w:name w:val="header"/>
    <w:basedOn w:val="Normal"/>
    <w:link w:val="HeaderChar"/>
    <w:uiPriority w:val="99"/>
    <w:semiHidden/>
    <w:unhideWhenUsed/>
    <w:rsid w:val="003A4FC7"/>
    <w:pPr>
      <w:tabs>
        <w:tab w:val="center" w:pos="4680"/>
        <w:tab w:val="right" w:pos="9360"/>
      </w:tabs>
    </w:pPr>
  </w:style>
  <w:style w:type="character" w:customStyle="1" w:styleId="HeaderChar">
    <w:name w:val="Header Char"/>
    <w:basedOn w:val="DefaultParagraphFont"/>
    <w:link w:val="Header"/>
    <w:uiPriority w:val="99"/>
    <w:semiHidden/>
    <w:rsid w:val="003A4FC7"/>
    <w:rPr>
      <w:sz w:val="22"/>
      <w:szCs w:val="22"/>
    </w:rPr>
  </w:style>
  <w:style w:type="character" w:styleId="CommentReference">
    <w:name w:val="annotation reference"/>
    <w:basedOn w:val="DefaultParagraphFont"/>
    <w:uiPriority w:val="99"/>
    <w:semiHidden/>
    <w:unhideWhenUsed/>
    <w:rsid w:val="00E012C6"/>
    <w:rPr>
      <w:sz w:val="16"/>
      <w:szCs w:val="16"/>
    </w:rPr>
  </w:style>
  <w:style w:type="paragraph" w:styleId="CommentText">
    <w:name w:val="annotation text"/>
    <w:basedOn w:val="Normal"/>
    <w:link w:val="CommentTextChar"/>
    <w:uiPriority w:val="99"/>
    <w:semiHidden/>
    <w:unhideWhenUsed/>
    <w:rsid w:val="00E012C6"/>
    <w:rPr>
      <w:sz w:val="20"/>
      <w:szCs w:val="20"/>
    </w:rPr>
  </w:style>
  <w:style w:type="character" w:customStyle="1" w:styleId="CommentTextChar">
    <w:name w:val="Comment Text Char"/>
    <w:basedOn w:val="DefaultParagraphFont"/>
    <w:link w:val="CommentText"/>
    <w:uiPriority w:val="99"/>
    <w:semiHidden/>
    <w:rsid w:val="00E012C6"/>
  </w:style>
  <w:style w:type="paragraph" w:styleId="CommentSubject">
    <w:name w:val="annotation subject"/>
    <w:basedOn w:val="CommentText"/>
    <w:next w:val="CommentText"/>
    <w:link w:val="CommentSubjectChar"/>
    <w:uiPriority w:val="99"/>
    <w:semiHidden/>
    <w:unhideWhenUsed/>
    <w:rsid w:val="00E012C6"/>
    <w:rPr>
      <w:b/>
      <w:bCs/>
    </w:rPr>
  </w:style>
  <w:style w:type="character" w:customStyle="1" w:styleId="CommentSubjectChar">
    <w:name w:val="Comment Subject Char"/>
    <w:basedOn w:val="CommentTextChar"/>
    <w:link w:val="CommentSubject"/>
    <w:uiPriority w:val="99"/>
    <w:semiHidden/>
    <w:rsid w:val="00E012C6"/>
    <w:rPr>
      <w:b/>
      <w:bCs/>
    </w:rPr>
  </w:style>
  <w:style w:type="paragraph" w:customStyle="1" w:styleId="OMBsectionheaders">
    <w:name w:val="OMB section headers"/>
    <w:basedOn w:val="Normal"/>
    <w:qFormat/>
    <w:rsid w:val="00AE3947"/>
    <w:pPr>
      <w:keepNext/>
      <w:autoSpaceDE w:val="0"/>
      <w:autoSpaceDN w:val="0"/>
      <w:adjustRightInd w:val="0"/>
      <w:spacing w:before="200" w:line="240" w:lineRule="auto"/>
      <w:outlineLvl w:val="0"/>
    </w:pPr>
    <w:rPr>
      <w:rFonts w:eastAsia="Times New Roman"/>
      <w:b/>
      <w:sz w:val="24"/>
      <w:szCs w:val="28"/>
    </w:rPr>
  </w:style>
  <w:style w:type="character" w:customStyle="1" w:styleId="Heading1Char">
    <w:name w:val="Heading 1 Char"/>
    <w:basedOn w:val="DefaultParagraphFont"/>
    <w:link w:val="Heading1"/>
    <w:uiPriority w:val="9"/>
    <w:rsid w:val="00332654"/>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7E0C52"/>
    <w:pPr>
      <w:spacing w:after="100"/>
    </w:pPr>
  </w:style>
  <w:style w:type="paragraph" w:styleId="TOCHeading">
    <w:name w:val="TOC Heading"/>
    <w:basedOn w:val="Heading1"/>
    <w:next w:val="Normal"/>
    <w:uiPriority w:val="39"/>
    <w:semiHidden/>
    <w:unhideWhenUsed/>
    <w:qFormat/>
    <w:rsid w:val="00332654"/>
    <w:pPr>
      <w:outlineLvl w:val="9"/>
    </w:pPr>
  </w:style>
  <w:style w:type="paragraph" w:styleId="TOC2">
    <w:name w:val="toc 2"/>
    <w:basedOn w:val="Normal"/>
    <w:next w:val="Normal"/>
    <w:autoRedefine/>
    <w:uiPriority w:val="39"/>
    <w:semiHidden/>
    <w:unhideWhenUsed/>
    <w:qFormat/>
    <w:rsid w:val="00332654"/>
    <w:pPr>
      <w:spacing w:after="100"/>
      <w:ind w:left="220"/>
    </w:pPr>
    <w:rPr>
      <w:rFonts w:asciiTheme="minorHAnsi" w:eastAsiaTheme="minorEastAsia" w:hAnsiTheme="minorHAnsi" w:cstheme="minorBidi"/>
    </w:rPr>
  </w:style>
  <w:style w:type="paragraph" w:styleId="TOC3">
    <w:name w:val="toc 3"/>
    <w:basedOn w:val="Normal"/>
    <w:next w:val="Normal"/>
    <w:autoRedefine/>
    <w:uiPriority w:val="39"/>
    <w:semiHidden/>
    <w:unhideWhenUsed/>
    <w:qFormat/>
    <w:rsid w:val="00332654"/>
    <w:pPr>
      <w:spacing w:after="100"/>
      <w:ind w:left="440"/>
    </w:pPr>
    <w:rPr>
      <w:rFonts w:asciiTheme="minorHAnsi" w:eastAsiaTheme="minorEastAsia" w:hAnsiTheme="minorHAnsi" w:cstheme="minorBidi"/>
    </w:rPr>
  </w:style>
  <w:style w:type="character" w:styleId="Hyperlink">
    <w:name w:val="Hyperlink"/>
    <w:basedOn w:val="DefaultParagraphFont"/>
    <w:uiPriority w:val="99"/>
    <w:unhideWhenUsed/>
    <w:rsid w:val="001E235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4559439">
      <w:bodyDiv w:val="1"/>
      <w:marLeft w:val="0"/>
      <w:marRight w:val="0"/>
      <w:marTop w:val="0"/>
      <w:marBottom w:val="0"/>
      <w:divBdr>
        <w:top w:val="none" w:sz="0" w:space="0" w:color="auto"/>
        <w:left w:val="none" w:sz="0" w:space="0" w:color="auto"/>
        <w:bottom w:val="none" w:sz="0" w:space="0" w:color="auto"/>
        <w:right w:val="none" w:sz="0" w:space="0" w:color="auto"/>
      </w:divBdr>
    </w:div>
    <w:div w:id="160707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BEAA9-F42E-4AE1-B832-70D4E8FD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2786</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18633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hwilson</dc:creator>
  <cp:keywords/>
  <dc:description/>
  <cp:lastModifiedBy>Valerie Long</cp:lastModifiedBy>
  <cp:revision>2</cp:revision>
  <cp:lastPrinted>2010-12-20T14:11:00Z</cp:lastPrinted>
  <dcterms:created xsi:type="dcterms:W3CDTF">2011-01-21T20:06:00Z</dcterms:created>
  <dcterms:modified xsi:type="dcterms:W3CDTF">2011-01-21T20:06:00Z</dcterms:modified>
</cp:coreProperties>
</file>