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BBB" w:rsidRDefault="00E2749F" w:rsidP="00A43209">
      <w:bookmarkStart w:id="0" w:name="_Toc229203800"/>
      <w:r>
        <w:t xml:space="preserve"> </w:t>
      </w:r>
    </w:p>
    <w:p w:rsidR="00A43209" w:rsidRDefault="00A43209" w:rsidP="00A43209"/>
    <w:p w:rsidR="00A43209" w:rsidRDefault="00A43209" w:rsidP="00A43209"/>
    <w:p w:rsidR="00A43209" w:rsidRDefault="00A43209" w:rsidP="00A43209"/>
    <w:p w:rsidR="00A43209" w:rsidRDefault="00A43209" w:rsidP="00A43209"/>
    <w:p w:rsidR="00A43209" w:rsidRPr="00B5510B" w:rsidRDefault="00A43209" w:rsidP="00A43209"/>
    <w:p w:rsidR="006C3BBB" w:rsidRPr="00B5510B" w:rsidRDefault="006C3BBB" w:rsidP="00A43209"/>
    <w:p w:rsidR="006C3BBB" w:rsidRPr="00B5510B" w:rsidRDefault="006C3BBB" w:rsidP="00A43209"/>
    <w:p w:rsidR="006C3BBB" w:rsidRPr="00B5510B" w:rsidRDefault="006C3BBB" w:rsidP="00A43209"/>
    <w:p w:rsidR="006C3BBB" w:rsidRPr="00B5510B" w:rsidRDefault="006C3BBB" w:rsidP="00A43209"/>
    <w:p w:rsidR="002E0D1F" w:rsidRDefault="006C3BBB" w:rsidP="002E0D1F">
      <w:pPr>
        <w:pStyle w:val="APPENDIXLC"/>
      </w:pPr>
      <w:r w:rsidRPr="00B5510B">
        <w:rPr>
          <w:color w:val="C00000"/>
          <w:spacing w:val="-5"/>
          <w:sz w:val="44"/>
          <w:szCs w:val="44"/>
        </w:rPr>
        <w:br/>
      </w:r>
      <w:bookmarkEnd w:id="0"/>
      <w:r w:rsidR="002E0D1F" w:rsidRPr="00686A99">
        <w:t xml:space="preserve">Appendix </w:t>
      </w:r>
      <w:r w:rsidR="00142D30">
        <w:t>G</w:t>
      </w:r>
    </w:p>
    <w:p w:rsidR="000860DB" w:rsidRPr="00686A99" w:rsidRDefault="000860DB" w:rsidP="002E0D1F">
      <w:pPr>
        <w:pStyle w:val="APPENDIXLC"/>
      </w:pPr>
    </w:p>
    <w:p w:rsidR="001851AA" w:rsidRDefault="00172918" w:rsidP="002E0D1F">
      <w:pPr>
        <w:pStyle w:val="APPENDIXLC"/>
        <w:rPr>
          <w:bCs/>
        </w:rPr>
      </w:pPr>
      <w:r>
        <w:rPr>
          <w:bCs/>
          <w:noProof/>
        </w:rPr>
        <w:pict>
          <v:shapetype id="_x0000_t32" coordsize="21600,21600" o:spt="32" o:oned="t" path="m,l21600,21600e" filled="f">
            <v:path arrowok="t" fillok="f" o:connecttype="none"/>
            <o:lock v:ext="edit" shapetype="t"/>
          </v:shapetype>
          <v:shape id="_x0000_s1026" type="#_x0000_t32" style="position:absolute;left:0;text-align:left;margin-left:-19.7pt;margin-top:57pt;width:510.8pt;height:0;z-index:251660288" o:connectortype="straight" strokecolor="#c0504d" strokeweight="3pt"/>
        </w:pict>
      </w:r>
      <w:r w:rsidR="001851AA">
        <w:rPr>
          <w:bCs/>
        </w:rPr>
        <w:t xml:space="preserve">Common </w:t>
      </w:r>
      <w:r w:rsidR="002E0D1F">
        <w:rPr>
          <w:bCs/>
        </w:rPr>
        <w:t xml:space="preserve">Assumptions for </w:t>
      </w:r>
    </w:p>
    <w:p w:rsidR="002E0D1F" w:rsidRPr="00686A99" w:rsidRDefault="002E0D1F" w:rsidP="002E0D1F">
      <w:pPr>
        <w:pStyle w:val="APPENDIXLC"/>
        <w:sectPr w:rsidR="002E0D1F" w:rsidRPr="00686A99" w:rsidSect="00E65512">
          <w:headerReference w:type="default" r:id="rId7"/>
          <w:footerReference w:type="default" r:id="rId8"/>
          <w:footerReference w:type="first" r:id="rId9"/>
          <w:pgSz w:w="12240" w:h="15840"/>
          <w:pgMar w:top="1440" w:right="1440" w:bottom="1440" w:left="1440" w:header="720" w:footer="720" w:gutter="0"/>
          <w:cols w:space="720"/>
          <w:docGrid w:linePitch="360"/>
        </w:sectPr>
      </w:pPr>
      <w:r>
        <w:rPr>
          <w:bCs/>
        </w:rPr>
        <w:t>Statistical Models</w:t>
      </w:r>
    </w:p>
    <w:p w:rsidR="006C3BBB" w:rsidRPr="00025228" w:rsidRDefault="006C3BBB" w:rsidP="0095109F">
      <w:pPr>
        <w:pStyle w:val="AppChapterSub1"/>
        <w:pBdr>
          <w:bottom w:val="none" w:sz="0" w:space="0" w:color="auto"/>
        </w:pBdr>
        <w:spacing w:before="0" w:after="0" w:line="240" w:lineRule="auto"/>
        <w:rPr>
          <w:rFonts w:asciiTheme="majorBidi" w:hAnsiTheme="majorBidi" w:cstheme="majorBidi"/>
          <w:color w:val="auto"/>
          <w:sz w:val="24"/>
        </w:rPr>
      </w:pPr>
      <w:bookmarkStart w:id="1" w:name="_Toc229193885"/>
      <w:bookmarkStart w:id="2" w:name="_Toc229203801"/>
      <w:r w:rsidRPr="00025228">
        <w:rPr>
          <w:rFonts w:asciiTheme="majorBidi" w:hAnsiTheme="majorBidi" w:cstheme="majorBidi"/>
          <w:color w:val="auto"/>
          <w:sz w:val="24"/>
        </w:rPr>
        <w:lastRenderedPageBreak/>
        <w:t>Assumptions for Statistical Models of Parental Reports of Children’s Fruit and Vegetable Consumption in a Clustered, Experimental or Quasi-Experimental Design</w:t>
      </w:r>
      <w:bookmarkEnd w:id="1"/>
      <w:bookmarkEnd w:id="2"/>
      <w:r w:rsidRPr="00025228">
        <w:rPr>
          <w:rFonts w:asciiTheme="majorBidi" w:hAnsiTheme="majorBidi" w:cstheme="majorBidi"/>
          <w:color w:val="auto"/>
          <w:sz w:val="24"/>
        </w:rPr>
        <w:t xml:space="preserve"> </w:t>
      </w:r>
      <w:r w:rsidR="00CE2CBA" w:rsidRPr="00025228">
        <w:rPr>
          <w:rFonts w:asciiTheme="majorBidi" w:hAnsiTheme="majorBidi" w:cstheme="majorBidi"/>
          <w:color w:val="auto"/>
          <w:sz w:val="24"/>
        </w:rPr>
        <w:t>(INN and UKCES)</w:t>
      </w:r>
    </w:p>
    <w:p w:rsidR="0095109F" w:rsidRPr="00025228" w:rsidRDefault="0095109F" w:rsidP="0095109F">
      <w:pPr>
        <w:pStyle w:val="AppChapterSub1"/>
        <w:pBdr>
          <w:bottom w:val="none" w:sz="0" w:space="0" w:color="auto"/>
        </w:pBdr>
        <w:spacing w:before="0" w:after="0" w:line="120" w:lineRule="auto"/>
        <w:rPr>
          <w:rFonts w:asciiTheme="majorBidi" w:hAnsiTheme="majorBidi" w:cstheme="majorBidi"/>
          <w:color w:val="auto"/>
          <w:sz w:val="24"/>
        </w:rPr>
      </w:pPr>
    </w:p>
    <w:p w:rsidR="00874467" w:rsidRPr="00025228" w:rsidRDefault="00874467" w:rsidP="00410CF7">
      <w:pPr>
        <w:pStyle w:val="bodytext0"/>
        <w:pBdr>
          <w:top w:val="single" w:sz="4" w:space="1" w:color="auto"/>
        </w:pBdr>
        <w:spacing w:after="0"/>
        <w:ind w:left="0"/>
        <w:rPr>
          <w:rFonts w:asciiTheme="majorBidi" w:hAnsiTheme="majorBidi" w:cstheme="majorBidi"/>
        </w:rPr>
      </w:pPr>
    </w:p>
    <w:p w:rsidR="006C3BBB" w:rsidRPr="00025228" w:rsidRDefault="006C3BBB" w:rsidP="009C20F2">
      <w:pPr>
        <w:pStyle w:val="bodytext0"/>
        <w:spacing w:after="0"/>
        <w:ind w:left="0"/>
        <w:rPr>
          <w:rFonts w:asciiTheme="majorBidi" w:hAnsiTheme="majorBidi" w:cstheme="majorBidi"/>
        </w:rPr>
      </w:pPr>
      <w:r w:rsidRPr="00025228">
        <w:rPr>
          <w:rFonts w:asciiTheme="majorBidi" w:hAnsiTheme="majorBidi" w:cstheme="majorBidi"/>
        </w:rPr>
        <w:t xml:space="preserve">Sample size estimation procedures are used to quantify researchers’ level of confidence regarding their ability to accurately reject the null hypothesis when empirical differences are statistically significant. To achieve this end, a number of assumptions may be necessary. When information from previous studies or pilot studies similar to the study being planned is available, the potential validity of sample size estimation is improved. Without this information, researchers must rely on their best judgment and leverage their experience to identify reasonable values to justify sample sizes. </w:t>
      </w:r>
    </w:p>
    <w:p w:rsidR="00874467" w:rsidRPr="00025228" w:rsidRDefault="00874467" w:rsidP="00874467">
      <w:pPr>
        <w:pStyle w:val="bodytext0"/>
        <w:spacing w:after="0"/>
        <w:ind w:left="0"/>
        <w:rPr>
          <w:rFonts w:asciiTheme="majorBidi" w:hAnsiTheme="majorBidi" w:cstheme="majorBidi"/>
        </w:rPr>
      </w:pPr>
    </w:p>
    <w:p w:rsidR="006C3BBB" w:rsidRPr="00025228" w:rsidRDefault="006C3BBB" w:rsidP="009C20F2">
      <w:pPr>
        <w:pStyle w:val="bodytext0"/>
        <w:spacing w:after="0"/>
        <w:ind w:left="0"/>
        <w:rPr>
          <w:rFonts w:asciiTheme="majorBidi" w:hAnsiTheme="majorBidi" w:cstheme="majorBidi"/>
        </w:rPr>
      </w:pPr>
      <w:r w:rsidRPr="00025228">
        <w:rPr>
          <w:rFonts w:asciiTheme="majorBidi" w:hAnsiTheme="majorBidi" w:cstheme="majorBidi"/>
        </w:rPr>
        <w:t>First, we must have an understanding of the distributional characteristic of the primary impact variables. Our main outcome measure and the focus of sample size estimation is the change in the number of cups of fruits and vegetables eaten by children participating in the program intervention, as reported by their parents or caregivers. We beg</w:t>
      </w:r>
      <w:r w:rsidR="00631914" w:rsidRPr="00025228">
        <w:rPr>
          <w:rFonts w:asciiTheme="majorBidi" w:hAnsiTheme="majorBidi" w:cstheme="majorBidi"/>
        </w:rPr>
        <w:t>a</w:t>
      </w:r>
      <w:r w:rsidRPr="00025228">
        <w:rPr>
          <w:rFonts w:asciiTheme="majorBidi" w:hAnsiTheme="majorBidi" w:cstheme="majorBidi"/>
        </w:rPr>
        <w:t>n with mean and standard deviation estimates from a trial in Chicago in which parents reported their children’s fruit and vegetable consumption. The study included six lower socioeconomic status communities and collected data from 516 parents on their young children’s dietary intake. In this study population, mean fruit and vegetable consumption was 3.83 servings per day, with a standard deviation of 2.04 servings (Evans</w:t>
      </w:r>
      <w:r w:rsidR="00C31297" w:rsidRPr="00025228">
        <w:rPr>
          <w:rFonts w:asciiTheme="majorBidi" w:hAnsiTheme="majorBidi" w:cstheme="majorBidi"/>
        </w:rPr>
        <w:t>,</w:t>
      </w:r>
      <w:r w:rsidRPr="00025228">
        <w:rPr>
          <w:rFonts w:asciiTheme="majorBidi" w:hAnsiTheme="majorBidi" w:cstheme="majorBidi"/>
        </w:rPr>
        <w:t xml:space="preserve"> </w:t>
      </w:r>
      <w:proofErr w:type="spellStart"/>
      <w:r w:rsidR="00447B7D" w:rsidRPr="00025228">
        <w:rPr>
          <w:rFonts w:asciiTheme="majorBidi" w:hAnsiTheme="majorBidi" w:cstheme="majorBidi"/>
        </w:rPr>
        <w:t>Necheles</w:t>
      </w:r>
      <w:proofErr w:type="spellEnd"/>
      <w:r w:rsidR="00447B7D" w:rsidRPr="00025228">
        <w:rPr>
          <w:rFonts w:asciiTheme="majorBidi" w:hAnsiTheme="majorBidi" w:cstheme="majorBidi"/>
        </w:rPr>
        <w:t xml:space="preserve">, Longjohn, &amp; </w:t>
      </w:r>
      <w:proofErr w:type="spellStart"/>
      <w:r w:rsidR="00447B7D" w:rsidRPr="00025228">
        <w:rPr>
          <w:rFonts w:asciiTheme="majorBidi" w:hAnsiTheme="majorBidi" w:cstheme="majorBidi"/>
        </w:rPr>
        <w:t>Christoffel</w:t>
      </w:r>
      <w:proofErr w:type="spellEnd"/>
      <w:r w:rsidRPr="00025228">
        <w:rPr>
          <w:rFonts w:asciiTheme="majorBidi" w:hAnsiTheme="majorBidi" w:cstheme="majorBidi"/>
        </w:rPr>
        <w:t>, 2007). For our calculations, we applied the formula 1 cup = 2 servings to transform the mean and standard deviation into cup units.</w:t>
      </w:r>
    </w:p>
    <w:p w:rsidR="009C20F2" w:rsidRPr="00025228" w:rsidRDefault="009C20F2" w:rsidP="009C20F2">
      <w:pPr>
        <w:pStyle w:val="bodytext0"/>
        <w:spacing w:after="0"/>
        <w:ind w:left="0"/>
        <w:rPr>
          <w:rFonts w:asciiTheme="majorBidi" w:hAnsiTheme="majorBidi" w:cstheme="majorBidi"/>
        </w:rPr>
      </w:pPr>
    </w:p>
    <w:p w:rsidR="006C3BBB" w:rsidRPr="00025228" w:rsidRDefault="00631914" w:rsidP="009C20F2">
      <w:pPr>
        <w:pStyle w:val="bodytext0"/>
        <w:spacing w:after="0"/>
        <w:ind w:left="0"/>
        <w:rPr>
          <w:rFonts w:asciiTheme="majorBidi" w:hAnsiTheme="majorBidi" w:cstheme="majorBidi"/>
        </w:rPr>
      </w:pPr>
      <w:r w:rsidRPr="00025228">
        <w:rPr>
          <w:rFonts w:asciiTheme="majorBidi" w:hAnsiTheme="majorBidi" w:cstheme="majorBidi"/>
        </w:rPr>
        <w:t>Second</w:t>
      </w:r>
      <w:r w:rsidR="006C3BBB" w:rsidRPr="00025228">
        <w:rPr>
          <w:rFonts w:asciiTheme="majorBidi" w:hAnsiTheme="majorBidi" w:cstheme="majorBidi"/>
        </w:rPr>
        <w:t xml:space="preserve">, we must also have a reasonable expectation for the program’s impact, often referred to as the minimum detectable effect and indexed in terms of standard deviation units as the effect size. This number describes the anticipated change in observed outcomes among participants as a result of participating in the intervention. For our purposes, we assumed a change of 0.30 standard deviation units or greater. Based on the findings from the Chicago study, this suggests a realized change of 0.31 cups of fruit and vegetables from baseline values. This expectation is consistent with findings reported in a recent meta-analysis by </w:t>
      </w:r>
      <w:proofErr w:type="spellStart"/>
      <w:r w:rsidR="006C3BBB" w:rsidRPr="00025228">
        <w:rPr>
          <w:rFonts w:asciiTheme="majorBidi" w:hAnsiTheme="majorBidi" w:cstheme="majorBidi"/>
        </w:rPr>
        <w:t>Knai</w:t>
      </w:r>
      <w:proofErr w:type="spellEnd"/>
      <w:r w:rsidR="00447B7D" w:rsidRPr="00025228">
        <w:rPr>
          <w:rFonts w:asciiTheme="majorBidi" w:hAnsiTheme="majorBidi" w:cstheme="majorBidi"/>
        </w:rPr>
        <w:t xml:space="preserve">, </w:t>
      </w:r>
      <w:proofErr w:type="spellStart"/>
      <w:r w:rsidR="00447B7D" w:rsidRPr="00025228">
        <w:rPr>
          <w:rFonts w:asciiTheme="majorBidi" w:hAnsiTheme="majorBidi" w:cstheme="majorBidi"/>
        </w:rPr>
        <w:t>Pomerleau</w:t>
      </w:r>
      <w:proofErr w:type="spellEnd"/>
      <w:r w:rsidR="00447B7D" w:rsidRPr="00025228">
        <w:rPr>
          <w:rFonts w:asciiTheme="majorBidi" w:hAnsiTheme="majorBidi" w:cstheme="majorBidi"/>
        </w:rPr>
        <w:t>, Lock, and McKee</w:t>
      </w:r>
      <w:r w:rsidR="006C3BBB" w:rsidRPr="00025228">
        <w:rPr>
          <w:rFonts w:asciiTheme="majorBidi" w:hAnsiTheme="majorBidi" w:cstheme="majorBidi"/>
        </w:rPr>
        <w:t xml:space="preserve"> (2006) who found that across a range of dietary interventions, children’s fruit and vegetable consumption increased by 0.3 to 0.99 servings (i.e., 0.15 to 0.49 cups) per day</w:t>
      </w:r>
      <w:r w:rsidR="005F3C22" w:rsidRPr="00025228">
        <w:rPr>
          <w:rFonts w:asciiTheme="majorBidi" w:hAnsiTheme="majorBidi" w:cstheme="majorBidi"/>
        </w:rPr>
        <w:t>.</w:t>
      </w:r>
      <w:r w:rsidR="006C3BBB" w:rsidRPr="00025228">
        <w:rPr>
          <w:rFonts w:asciiTheme="majorBidi" w:hAnsiTheme="majorBidi" w:cstheme="majorBidi"/>
        </w:rPr>
        <w:t xml:space="preserve"> </w:t>
      </w:r>
    </w:p>
    <w:p w:rsidR="009C20F2" w:rsidRPr="00025228" w:rsidRDefault="009C20F2" w:rsidP="009C20F2">
      <w:pPr>
        <w:pStyle w:val="bodytext0"/>
        <w:spacing w:after="0"/>
        <w:ind w:left="0"/>
        <w:rPr>
          <w:rFonts w:asciiTheme="majorBidi" w:hAnsiTheme="majorBidi" w:cstheme="majorBidi"/>
        </w:rPr>
      </w:pPr>
    </w:p>
    <w:p w:rsidR="006C3BBB" w:rsidRPr="00025228" w:rsidRDefault="006C3BBB" w:rsidP="009C20F2">
      <w:pPr>
        <w:pStyle w:val="bodytext0"/>
        <w:spacing w:after="0"/>
        <w:ind w:left="0"/>
        <w:rPr>
          <w:rFonts w:asciiTheme="majorBidi" w:hAnsiTheme="majorBidi" w:cstheme="majorBidi"/>
        </w:rPr>
      </w:pPr>
      <w:r w:rsidRPr="00025228">
        <w:rPr>
          <w:rFonts w:asciiTheme="majorBidi" w:hAnsiTheme="majorBidi" w:cstheme="majorBidi"/>
        </w:rPr>
        <w:t>Third, we need</w:t>
      </w:r>
      <w:r w:rsidR="00631914" w:rsidRPr="00025228">
        <w:rPr>
          <w:rFonts w:asciiTheme="majorBidi" w:hAnsiTheme="majorBidi" w:cstheme="majorBidi"/>
        </w:rPr>
        <w:t>ed</w:t>
      </w:r>
      <w:r w:rsidRPr="00025228">
        <w:rPr>
          <w:rFonts w:asciiTheme="majorBidi" w:hAnsiTheme="majorBidi" w:cstheme="majorBidi"/>
        </w:rPr>
        <w:t xml:space="preserve"> an express</w:t>
      </w:r>
      <w:r w:rsidR="00631914" w:rsidRPr="00025228">
        <w:rPr>
          <w:rFonts w:asciiTheme="majorBidi" w:hAnsiTheme="majorBidi" w:cstheme="majorBidi"/>
        </w:rPr>
        <w:t>ion</w:t>
      </w:r>
      <w:r w:rsidRPr="00025228">
        <w:rPr>
          <w:rFonts w:asciiTheme="majorBidi" w:hAnsiTheme="majorBidi" w:cstheme="majorBidi"/>
        </w:rPr>
        <w:t xml:space="preserve"> that accounts for the variance components at the individual and school levels. The intraclass correlation coefficient (ICC) provides an estimate of the proportion of variation in the endpoint attributable to the group over and above the variation associated with the individuals located within those groups. The ICC is combined with estimates of residual variance to determine within-group and between-group components of variation. We are unaware of any study that has published ICC estimates on parents</w:t>
      </w:r>
      <w:r w:rsidR="00447B7D" w:rsidRPr="00025228">
        <w:rPr>
          <w:rFonts w:asciiTheme="majorBidi" w:hAnsiTheme="majorBidi" w:cstheme="majorBidi"/>
        </w:rPr>
        <w:t>’</w:t>
      </w:r>
      <w:r w:rsidRPr="00025228">
        <w:rPr>
          <w:rFonts w:asciiTheme="majorBidi" w:hAnsiTheme="majorBidi" w:cstheme="majorBidi"/>
        </w:rPr>
        <w:t xml:space="preserve"> reports of children’s dietary intake. However, Murray</w:t>
      </w:r>
      <w:r w:rsidR="00447B7D" w:rsidRPr="00025228">
        <w:rPr>
          <w:rFonts w:asciiTheme="majorBidi" w:hAnsiTheme="majorBidi" w:cstheme="majorBidi"/>
        </w:rPr>
        <w:t>, Phillips, Birnbaum, and Lytle</w:t>
      </w:r>
      <w:r w:rsidR="007F2EDB" w:rsidRPr="00025228">
        <w:rPr>
          <w:rFonts w:asciiTheme="majorBidi" w:hAnsiTheme="majorBidi" w:cstheme="majorBidi"/>
          <w:noProof/>
        </w:rPr>
        <w:t xml:space="preserve"> </w:t>
      </w:r>
      <w:r w:rsidR="00631914" w:rsidRPr="00025228">
        <w:rPr>
          <w:rFonts w:asciiTheme="majorBidi" w:hAnsiTheme="majorBidi" w:cstheme="majorBidi"/>
          <w:noProof/>
        </w:rPr>
        <w:t>(</w:t>
      </w:r>
      <w:r w:rsidRPr="00025228">
        <w:rPr>
          <w:rFonts w:asciiTheme="majorBidi" w:hAnsiTheme="majorBidi" w:cstheme="majorBidi"/>
          <w:noProof/>
        </w:rPr>
        <w:t>2001)</w:t>
      </w:r>
      <w:r w:rsidR="007F2EDB" w:rsidRPr="00025228">
        <w:rPr>
          <w:rFonts w:asciiTheme="majorBidi" w:hAnsiTheme="majorBidi" w:cstheme="majorBidi"/>
        </w:rPr>
        <w:t xml:space="preserve"> report</w:t>
      </w:r>
      <w:r w:rsidRPr="00025228">
        <w:rPr>
          <w:rFonts w:asciiTheme="majorBidi" w:hAnsiTheme="majorBidi" w:cstheme="majorBidi"/>
        </w:rPr>
        <w:t xml:space="preserve"> ICCs of 0.02179 for fruit consumption and 0.02684 for vegetable consumption among a sample of middle school students. Given that the upper bounds of the 95</w:t>
      </w:r>
      <w:r w:rsidR="00447B7D" w:rsidRPr="00025228">
        <w:rPr>
          <w:rFonts w:asciiTheme="majorBidi" w:hAnsiTheme="majorBidi" w:cstheme="majorBidi"/>
        </w:rPr>
        <w:t xml:space="preserve"> percent</w:t>
      </w:r>
      <w:r w:rsidRPr="00025228">
        <w:rPr>
          <w:rFonts w:asciiTheme="majorBidi" w:hAnsiTheme="majorBidi" w:cstheme="majorBidi"/>
        </w:rPr>
        <w:t xml:space="preserve"> confidence interval around these estimates are 0.057 and 0.068, respectively, we anticipate</w:t>
      </w:r>
      <w:r w:rsidR="00631914" w:rsidRPr="00025228">
        <w:rPr>
          <w:rFonts w:asciiTheme="majorBidi" w:hAnsiTheme="majorBidi" w:cstheme="majorBidi"/>
        </w:rPr>
        <w:t>d</w:t>
      </w:r>
      <w:r w:rsidRPr="00025228">
        <w:rPr>
          <w:rFonts w:asciiTheme="majorBidi" w:hAnsiTheme="majorBidi" w:cstheme="majorBidi"/>
        </w:rPr>
        <w:t xml:space="preserve"> the high-end range of ICC values to be 0.03 to 0.07 and use</w:t>
      </w:r>
      <w:r w:rsidR="00631914" w:rsidRPr="00025228">
        <w:rPr>
          <w:rFonts w:asciiTheme="majorBidi" w:hAnsiTheme="majorBidi" w:cstheme="majorBidi"/>
        </w:rPr>
        <w:t>d</w:t>
      </w:r>
      <w:r w:rsidRPr="00025228">
        <w:rPr>
          <w:rFonts w:asciiTheme="majorBidi" w:hAnsiTheme="majorBidi" w:cstheme="majorBidi"/>
        </w:rPr>
        <w:t xml:space="preserve"> an ICC of 0.05 for the purpose of estimating statistical power.</w:t>
      </w:r>
      <w:r w:rsidR="005F3C22" w:rsidRPr="00025228">
        <w:rPr>
          <w:rFonts w:asciiTheme="majorBidi" w:hAnsiTheme="majorBidi" w:cstheme="majorBidi"/>
        </w:rPr>
        <w:t xml:space="preserve"> </w:t>
      </w:r>
    </w:p>
    <w:p w:rsidR="00E65512" w:rsidRPr="00025228" w:rsidRDefault="00E65512">
      <w:pPr>
        <w:rPr>
          <w:rFonts w:asciiTheme="majorBidi" w:hAnsiTheme="majorBidi" w:cstheme="majorBidi"/>
        </w:rPr>
      </w:pPr>
      <w:r w:rsidRPr="00025228">
        <w:rPr>
          <w:rFonts w:asciiTheme="majorBidi" w:hAnsiTheme="majorBidi" w:cstheme="majorBidi"/>
        </w:rPr>
        <w:br w:type="page"/>
      </w:r>
    </w:p>
    <w:p w:rsidR="006C3BBB" w:rsidRPr="00025228" w:rsidRDefault="006C3BBB" w:rsidP="009C20F2">
      <w:pPr>
        <w:pStyle w:val="bodytext0"/>
        <w:spacing w:after="0"/>
        <w:ind w:left="0"/>
        <w:rPr>
          <w:rFonts w:asciiTheme="majorBidi" w:hAnsiTheme="majorBidi" w:cstheme="majorBidi"/>
        </w:rPr>
      </w:pPr>
      <w:r w:rsidRPr="00025228">
        <w:rPr>
          <w:rFonts w:asciiTheme="majorBidi" w:hAnsiTheme="majorBidi" w:cstheme="majorBidi"/>
        </w:rPr>
        <w:lastRenderedPageBreak/>
        <w:t>Finally, we account</w:t>
      </w:r>
      <w:r w:rsidR="00631914" w:rsidRPr="00025228">
        <w:rPr>
          <w:rFonts w:asciiTheme="majorBidi" w:hAnsiTheme="majorBidi" w:cstheme="majorBidi"/>
        </w:rPr>
        <w:t>ed</w:t>
      </w:r>
      <w:r w:rsidRPr="00025228">
        <w:rPr>
          <w:rFonts w:asciiTheme="majorBidi" w:hAnsiTheme="majorBidi" w:cstheme="majorBidi"/>
        </w:rPr>
        <w:t xml:space="preserve"> for the characteristics of the analytic model. Our calculations are appropriate for a linear mixed model regression model that includes baseline and follow-up measures (i.e., pre-</w:t>
      </w:r>
      <w:r w:rsidR="00447B7D" w:rsidRPr="00025228">
        <w:rPr>
          <w:rFonts w:asciiTheme="majorBidi" w:hAnsiTheme="majorBidi" w:cstheme="majorBidi"/>
        </w:rPr>
        <w:t xml:space="preserve"> and </w:t>
      </w:r>
      <w:r w:rsidRPr="00025228">
        <w:rPr>
          <w:rFonts w:asciiTheme="majorBidi" w:hAnsiTheme="majorBidi" w:cstheme="majorBidi"/>
        </w:rPr>
        <w:t>post-test model) and allows for the inclusion of covariates associated with the outcome variable. Repeated measures and covariate adjustment can improve precision by minimizing variance components at the individual and school level</w:t>
      </w:r>
      <w:r w:rsidR="007F2EDB" w:rsidRPr="00025228">
        <w:rPr>
          <w:rFonts w:asciiTheme="majorBidi" w:hAnsiTheme="majorBidi" w:cstheme="majorBidi"/>
        </w:rPr>
        <w:t>s,</w:t>
      </w:r>
      <w:r w:rsidRPr="00025228">
        <w:rPr>
          <w:rFonts w:asciiTheme="majorBidi" w:hAnsiTheme="majorBidi" w:cstheme="majorBidi"/>
        </w:rPr>
        <w:t xml:space="preserve"> as discussed in Murray and Blitstein </w:t>
      </w:r>
      <w:r w:rsidR="007F2EDB" w:rsidRPr="00025228">
        <w:rPr>
          <w:rFonts w:asciiTheme="majorBidi" w:hAnsiTheme="majorBidi" w:cstheme="majorBidi"/>
        </w:rPr>
        <w:t>(</w:t>
      </w:r>
      <w:r w:rsidRPr="00025228">
        <w:rPr>
          <w:rFonts w:asciiTheme="majorBidi" w:hAnsiTheme="majorBidi" w:cstheme="majorBidi"/>
        </w:rPr>
        <w:t>2003</w:t>
      </w:r>
      <w:r w:rsidR="007F2EDB" w:rsidRPr="00025228">
        <w:rPr>
          <w:rFonts w:asciiTheme="majorBidi" w:hAnsiTheme="majorBidi" w:cstheme="majorBidi"/>
        </w:rPr>
        <w:t>)</w:t>
      </w:r>
      <w:r w:rsidRPr="00025228">
        <w:rPr>
          <w:rFonts w:asciiTheme="majorBidi" w:hAnsiTheme="majorBidi" w:cstheme="majorBidi"/>
        </w:rPr>
        <w:t>. We include</w:t>
      </w:r>
      <w:r w:rsidR="00631914" w:rsidRPr="00025228">
        <w:rPr>
          <w:rFonts w:asciiTheme="majorBidi" w:hAnsiTheme="majorBidi" w:cstheme="majorBidi"/>
        </w:rPr>
        <w:t>d</w:t>
      </w:r>
      <w:r w:rsidRPr="00025228">
        <w:rPr>
          <w:rFonts w:asciiTheme="majorBidi" w:hAnsiTheme="majorBidi" w:cstheme="majorBidi"/>
        </w:rPr>
        <w:t xml:space="preserve"> the following adjustments:</w:t>
      </w:r>
    </w:p>
    <w:p w:rsidR="009C20F2" w:rsidRPr="00025228" w:rsidRDefault="009C20F2" w:rsidP="009C20F2">
      <w:pPr>
        <w:pStyle w:val="bodytext0"/>
        <w:spacing w:after="0"/>
        <w:ind w:left="0"/>
        <w:rPr>
          <w:rFonts w:asciiTheme="majorBidi" w:hAnsiTheme="majorBidi" w:cstheme="majorBidi"/>
        </w:rPr>
      </w:pPr>
    </w:p>
    <w:p w:rsidR="006C3BBB" w:rsidRPr="00025228" w:rsidRDefault="006C3BBB" w:rsidP="009C20F2">
      <w:pPr>
        <w:pStyle w:val="bullet1"/>
        <w:ind w:left="360"/>
        <w:rPr>
          <w:rFonts w:asciiTheme="majorBidi" w:hAnsiTheme="majorBidi" w:cstheme="majorBidi"/>
        </w:rPr>
      </w:pPr>
      <w:r w:rsidRPr="00025228">
        <w:rPr>
          <w:rFonts w:asciiTheme="majorBidi" w:hAnsiTheme="majorBidi" w:cstheme="majorBidi"/>
          <w:i/>
        </w:rPr>
        <w:t>r</w:t>
      </w:r>
      <w:r w:rsidRPr="00025228">
        <w:rPr>
          <w:rFonts w:asciiTheme="majorBidi" w:hAnsiTheme="majorBidi" w:cstheme="majorBidi"/>
          <w:i/>
          <w:vertAlign w:val="subscript"/>
        </w:rPr>
        <w:t>(</w:t>
      </w:r>
      <w:proofErr w:type="spellStart"/>
      <w:r w:rsidRPr="00025228">
        <w:rPr>
          <w:rFonts w:asciiTheme="majorBidi" w:hAnsiTheme="majorBidi" w:cstheme="majorBidi"/>
          <w:i/>
          <w:vertAlign w:val="subscript"/>
        </w:rPr>
        <w:t>yy</w:t>
      </w:r>
      <w:proofErr w:type="spellEnd"/>
      <w:r w:rsidRPr="00025228">
        <w:rPr>
          <w:rFonts w:asciiTheme="majorBidi" w:hAnsiTheme="majorBidi" w:cstheme="majorBidi"/>
          <w:i/>
          <w:vertAlign w:val="subscript"/>
        </w:rPr>
        <w:t>)m</w:t>
      </w:r>
      <w:r w:rsidRPr="00025228">
        <w:rPr>
          <w:rFonts w:asciiTheme="majorBidi" w:hAnsiTheme="majorBidi" w:cstheme="majorBidi"/>
        </w:rPr>
        <w:t xml:space="preserve"> = 0.60</w:t>
      </w:r>
    </w:p>
    <w:p w:rsidR="006C3BBB" w:rsidRPr="00025228" w:rsidRDefault="006C3BBB" w:rsidP="009C20F2">
      <w:pPr>
        <w:pStyle w:val="bullet1"/>
        <w:ind w:left="360"/>
        <w:rPr>
          <w:rFonts w:asciiTheme="majorBidi" w:hAnsiTheme="majorBidi" w:cstheme="majorBidi"/>
        </w:rPr>
      </w:pPr>
      <w:r w:rsidRPr="00025228">
        <w:rPr>
          <w:rFonts w:asciiTheme="majorBidi" w:hAnsiTheme="majorBidi" w:cstheme="majorBidi"/>
          <w:i/>
        </w:rPr>
        <w:t>r</w:t>
      </w:r>
      <w:r w:rsidRPr="00025228">
        <w:rPr>
          <w:rFonts w:asciiTheme="majorBidi" w:hAnsiTheme="majorBidi" w:cstheme="majorBidi"/>
          <w:i/>
          <w:vertAlign w:val="subscript"/>
        </w:rPr>
        <w:t>(</w:t>
      </w:r>
      <w:proofErr w:type="spellStart"/>
      <w:r w:rsidRPr="00025228">
        <w:rPr>
          <w:rFonts w:asciiTheme="majorBidi" w:hAnsiTheme="majorBidi" w:cstheme="majorBidi"/>
          <w:i/>
          <w:vertAlign w:val="subscript"/>
        </w:rPr>
        <w:t>yy</w:t>
      </w:r>
      <w:proofErr w:type="spellEnd"/>
      <w:r w:rsidRPr="00025228">
        <w:rPr>
          <w:rFonts w:asciiTheme="majorBidi" w:hAnsiTheme="majorBidi" w:cstheme="majorBidi"/>
          <w:i/>
          <w:vertAlign w:val="subscript"/>
        </w:rPr>
        <w:t>)g</w:t>
      </w:r>
      <w:r w:rsidRPr="00025228">
        <w:rPr>
          <w:rFonts w:asciiTheme="majorBidi" w:hAnsiTheme="majorBidi" w:cstheme="majorBidi"/>
        </w:rPr>
        <w:t xml:space="preserve"> = 0.70</w:t>
      </w:r>
    </w:p>
    <w:p w:rsidR="006C3BBB" w:rsidRPr="00025228" w:rsidRDefault="006C3BBB" w:rsidP="009C20F2">
      <w:pPr>
        <w:pStyle w:val="bullet1"/>
        <w:ind w:left="360"/>
        <w:rPr>
          <w:rFonts w:asciiTheme="majorBidi" w:hAnsiTheme="majorBidi" w:cstheme="majorBidi"/>
        </w:rPr>
      </w:pPr>
      <w:r w:rsidRPr="00025228">
        <w:rPr>
          <w:rFonts w:asciiTheme="majorBidi" w:hAnsiTheme="majorBidi" w:cstheme="majorBidi"/>
          <w:i/>
        </w:rPr>
        <w:t>θ</w:t>
      </w:r>
      <w:r w:rsidRPr="00025228">
        <w:rPr>
          <w:rFonts w:asciiTheme="majorBidi" w:hAnsiTheme="majorBidi" w:cstheme="majorBidi"/>
          <w:i/>
          <w:vertAlign w:val="subscript"/>
        </w:rPr>
        <w:t>(y)m</w:t>
      </w:r>
      <w:r w:rsidRPr="00025228">
        <w:rPr>
          <w:rFonts w:asciiTheme="majorBidi" w:hAnsiTheme="majorBidi" w:cstheme="majorBidi"/>
        </w:rPr>
        <w:t xml:space="preserve"> = 0.10</w:t>
      </w:r>
    </w:p>
    <w:p w:rsidR="006C3BBB" w:rsidRPr="00025228" w:rsidRDefault="006C3BBB" w:rsidP="009C20F2">
      <w:pPr>
        <w:pStyle w:val="bullet1"/>
        <w:ind w:left="360"/>
        <w:rPr>
          <w:rFonts w:asciiTheme="majorBidi" w:hAnsiTheme="majorBidi" w:cstheme="majorBidi"/>
        </w:rPr>
      </w:pPr>
      <w:r w:rsidRPr="00025228">
        <w:rPr>
          <w:rFonts w:asciiTheme="majorBidi" w:hAnsiTheme="majorBidi" w:cstheme="majorBidi"/>
          <w:i/>
        </w:rPr>
        <w:t>θ</w:t>
      </w:r>
      <w:r w:rsidRPr="00025228">
        <w:rPr>
          <w:rFonts w:asciiTheme="majorBidi" w:hAnsiTheme="majorBidi" w:cstheme="majorBidi"/>
          <w:i/>
          <w:vertAlign w:val="subscript"/>
        </w:rPr>
        <w:t>(y)g</w:t>
      </w:r>
      <w:r w:rsidRPr="00025228">
        <w:rPr>
          <w:rFonts w:asciiTheme="majorBidi" w:hAnsiTheme="majorBidi" w:cstheme="majorBidi"/>
        </w:rPr>
        <w:t xml:space="preserve"> = 0.00</w:t>
      </w:r>
    </w:p>
    <w:p w:rsidR="009C20F2" w:rsidRPr="00025228" w:rsidRDefault="009C20F2" w:rsidP="009C20F2">
      <w:pPr>
        <w:pStyle w:val="bullet1"/>
        <w:numPr>
          <w:ilvl w:val="0"/>
          <w:numId w:val="0"/>
        </w:numPr>
        <w:ind w:left="1080"/>
        <w:rPr>
          <w:rFonts w:asciiTheme="majorBidi" w:hAnsiTheme="majorBidi" w:cstheme="majorBidi"/>
        </w:rPr>
      </w:pPr>
    </w:p>
    <w:p w:rsidR="006C3BBB" w:rsidRPr="00025228" w:rsidRDefault="006C3BBB" w:rsidP="009C20F2">
      <w:pPr>
        <w:pStyle w:val="bodytext0"/>
        <w:spacing w:after="0"/>
        <w:ind w:left="0"/>
        <w:rPr>
          <w:rFonts w:asciiTheme="majorBidi" w:hAnsiTheme="majorBidi" w:cstheme="majorBidi"/>
        </w:rPr>
      </w:pPr>
      <w:r w:rsidRPr="00025228">
        <w:rPr>
          <w:rFonts w:asciiTheme="majorBidi" w:hAnsiTheme="majorBidi" w:cstheme="majorBidi"/>
        </w:rPr>
        <w:t xml:space="preserve">Here </w:t>
      </w:r>
      <w:r w:rsidRPr="00025228">
        <w:rPr>
          <w:rFonts w:asciiTheme="majorBidi" w:hAnsiTheme="majorBidi" w:cstheme="majorBidi"/>
          <w:i/>
        </w:rPr>
        <w:t>r</w:t>
      </w:r>
      <w:r w:rsidRPr="00025228">
        <w:rPr>
          <w:rFonts w:asciiTheme="majorBidi" w:hAnsiTheme="majorBidi" w:cstheme="majorBidi"/>
          <w:i/>
          <w:vertAlign w:val="subscript"/>
        </w:rPr>
        <w:t>(</w:t>
      </w:r>
      <w:proofErr w:type="spellStart"/>
      <w:r w:rsidRPr="00025228">
        <w:rPr>
          <w:rFonts w:asciiTheme="majorBidi" w:hAnsiTheme="majorBidi" w:cstheme="majorBidi"/>
          <w:i/>
          <w:vertAlign w:val="subscript"/>
        </w:rPr>
        <w:t>yy</w:t>
      </w:r>
      <w:proofErr w:type="spellEnd"/>
      <w:r w:rsidRPr="00025228">
        <w:rPr>
          <w:rFonts w:asciiTheme="majorBidi" w:hAnsiTheme="majorBidi" w:cstheme="majorBidi"/>
          <w:i/>
          <w:vertAlign w:val="subscript"/>
        </w:rPr>
        <w:t>)</w:t>
      </w:r>
      <w:r w:rsidRPr="00025228">
        <w:rPr>
          <w:rFonts w:asciiTheme="majorBidi" w:hAnsiTheme="majorBidi" w:cstheme="majorBidi"/>
        </w:rPr>
        <w:t xml:space="preserve"> and </w:t>
      </w:r>
      <w:r w:rsidRPr="00025228">
        <w:rPr>
          <w:rFonts w:asciiTheme="majorBidi" w:hAnsiTheme="majorBidi" w:cstheme="majorBidi"/>
          <w:i/>
        </w:rPr>
        <w:t>θ</w:t>
      </w:r>
      <w:r w:rsidRPr="00025228">
        <w:rPr>
          <w:rFonts w:asciiTheme="majorBidi" w:hAnsiTheme="majorBidi" w:cstheme="majorBidi"/>
          <w:i/>
          <w:vertAlign w:val="subscript"/>
        </w:rPr>
        <w:t>(y)</w:t>
      </w:r>
      <w:r w:rsidRPr="00025228">
        <w:rPr>
          <w:rFonts w:asciiTheme="majorBidi" w:hAnsiTheme="majorBidi" w:cstheme="majorBidi"/>
        </w:rPr>
        <w:t xml:space="preserve"> are reductions to variations for overtime correlation and inclusion of covariates, respectively, wh</w:t>
      </w:r>
      <w:r w:rsidR="007F2EDB" w:rsidRPr="00025228">
        <w:rPr>
          <w:rFonts w:asciiTheme="majorBidi" w:hAnsiTheme="majorBidi" w:cstheme="majorBidi"/>
        </w:rPr>
        <w:t xml:space="preserve">ere, </w:t>
      </w:r>
      <w:r w:rsidR="007F2EDB" w:rsidRPr="00025228">
        <w:rPr>
          <w:rFonts w:asciiTheme="majorBidi" w:hAnsiTheme="majorBidi" w:cstheme="majorBidi"/>
          <w:i/>
        </w:rPr>
        <w:t>m</w:t>
      </w:r>
      <w:r w:rsidRPr="00025228">
        <w:rPr>
          <w:rFonts w:asciiTheme="majorBidi" w:hAnsiTheme="majorBidi" w:cstheme="majorBidi"/>
        </w:rPr>
        <w:t xml:space="preserve"> represe</w:t>
      </w:r>
      <w:r w:rsidR="007F2EDB" w:rsidRPr="00025228">
        <w:rPr>
          <w:rFonts w:asciiTheme="majorBidi" w:hAnsiTheme="majorBidi" w:cstheme="majorBidi"/>
        </w:rPr>
        <w:t xml:space="preserve">nts </w:t>
      </w:r>
      <w:r w:rsidR="001E040A" w:rsidRPr="00025228">
        <w:rPr>
          <w:rFonts w:asciiTheme="majorBidi" w:hAnsiTheme="majorBidi" w:cstheme="majorBidi"/>
        </w:rPr>
        <w:t>l</w:t>
      </w:r>
      <w:r w:rsidR="007F2EDB" w:rsidRPr="00025228">
        <w:rPr>
          <w:rFonts w:asciiTheme="majorBidi" w:hAnsiTheme="majorBidi" w:cstheme="majorBidi"/>
        </w:rPr>
        <w:t xml:space="preserve">evel 1 (individual) and </w:t>
      </w:r>
      <w:r w:rsidR="007F2EDB" w:rsidRPr="00025228">
        <w:rPr>
          <w:rFonts w:asciiTheme="majorBidi" w:hAnsiTheme="majorBidi" w:cstheme="majorBidi"/>
          <w:i/>
        </w:rPr>
        <w:t>g</w:t>
      </w:r>
      <w:r w:rsidRPr="00025228">
        <w:rPr>
          <w:rFonts w:asciiTheme="majorBidi" w:hAnsiTheme="majorBidi" w:cstheme="majorBidi"/>
        </w:rPr>
        <w:t xml:space="preserve"> represents </w:t>
      </w:r>
      <w:r w:rsidR="001E040A" w:rsidRPr="00025228">
        <w:rPr>
          <w:rFonts w:asciiTheme="majorBidi" w:hAnsiTheme="majorBidi" w:cstheme="majorBidi"/>
        </w:rPr>
        <w:t>l</w:t>
      </w:r>
      <w:r w:rsidRPr="00025228">
        <w:rPr>
          <w:rFonts w:asciiTheme="majorBidi" w:hAnsiTheme="majorBidi" w:cstheme="majorBidi"/>
        </w:rPr>
        <w:t>evel</w:t>
      </w:r>
      <w:r w:rsidR="007F2EDB" w:rsidRPr="00025228">
        <w:rPr>
          <w:rFonts w:asciiTheme="majorBidi" w:hAnsiTheme="majorBidi" w:cstheme="majorBidi"/>
        </w:rPr>
        <w:t xml:space="preserve"> 2</w:t>
      </w:r>
      <w:r w:rsidRPr="00025228">
        <w:rPr>
          <w:rFonts w:asciiTheme="majorBidi" w:hAnsiTheme="majorBidi" w:cstheme="majorBidi"/>
        </w:rPr>
        <w:t xml:space="preserve"> (school</w:t>
      </w:r>
      <w:r w:rsidR="007F2EDB" w:rsidRPr="00025228">
        <w:rPr>
          <w:rFonts w:asciiTheme="majorBidi" w:hAnsiTheme="majorBidi" w:cstheme="majorBidi"/>
        </w:rPr>
        <w:t>s).</w:t>
      </w:r>
      <w:r w:rsidRPr="00025228">
        <w:rPr>
          <w:rFonts w:asciiTheme="majorBidi" w:hAnsiTheme="majorBidi" w:cstheme="majorBidi"/>
        </w:rPr>
        <w:t xml:space="preserve"> We anticipate</w:t>
      </w:r>
      <w:r w:rsidR="00631914" w:rsidRPr="00025228">
        <w:rPr>
          <w:rFonts w:asciiTheme="majorBidi" w:hAnsiTheme="majorBidi" w:cstheme="majorBidi"/>
        </w:rPr>
        <w:t>d</w:t>
      </w:r>
      <w:r w:rsidRPr="00025228">
        <w:rPr>
          <w:rFonts w:asciiTheme="majorBidi" w:hAnsiTheme="majorBidi" w:cstheme="majorBidi"/>
        </w:rPr>
        <w:t xml:space="preserve"> a larger </w:t>
      </w:r>
      <w:proofErr w:type="gramStart"/>
      <w:r w:rsidRPr="00025228">
        <w:rPr>
          <w:rFonts w:asciiTheme="majorBidi" w:hAnsiTheme="majorBidi" w:cstheme="majorBidi"/>
          <w:i/>
        </w:rPr>
        <w:t>r</w:t>
      </w:r>
      <w:r w:rsidRPr="00025228">
        <w:rPr>
          <w:rFonts w:asciiTheme="majorBidi" w:hAnsiTheme="majorBidi" w:cstheme="majorBidi"/>
          <w:i/>
          <w:vertAlign w:val="subscript"/>
        </w:rPr>
        <w:t>(</w:t>
      </w:r>
      <w:proofErr w:type="spellStart"/>
      <w:proofErr w:type="gramEnd"/>
      <w:r w:rsidRPr="00025228">
        <w:rPr>
          <w:rFonts w:asciiTheme="majorBidi" w:hAnsiTheme="majorBidi" w:cstheme="majorBidi"/>
          <w:i/>
          <w:vertAlign w:val="subscript"/>
        </w:rPr>
        <w:t>yy</w:t>
      </w:r>
      <w:proofErr w:type="spellEnd"/>
      <w:r w:rsidRPr="00025228">
        <w:rPr>
          <w:rFonts w:asciiTheme="majorBidi" w:hAnsiTheme="majorBidi" w:cstheme="majorBidi"/>
          <w:i/>
          <w:vertAlign w:val="subscript"/>
        </w:rPr>
        <w:t>)</w:t>
      </w:r>
      <w:r w:rsidRPr="00025228">
        <w:rPr>
          <w:rFonts w:asciiTheme="majorBidi" w:hAnsiTheme="majorBidi" w:cstheme="majorBidi"/>
        </w:rPr>
        <w:t xml:space="preserve"> at </w:t>
      </w:r>
      <w:r w:rsidR="001E040A" w:rsidRPr="00025228">
        <w:rPr>
          <w:rFonts w:asciiTheme="majorBidi" w:hAnsiTheme="majorBidi" w:cstheme="majorBidi"/>
        </w:rPr>
        <w:t>l</w:t>
      </w:r>
      <w:r w:rsidRPr="00025228">
        <w:rPr>
          <w:rFonts w:asciiTheme="majorBidi" w:hAnsiTheme="majorBidi" w:cstheme="majorBidi"/>
        </w:rPr>
        <w:t xml:space="preserve">evel </w:t>
      </w:r>
      <w:r w:rsidR="007F2EDB" w:rsidRPr="00025228">
        <w:rPr>
          <w:rFonts w:asciiTheme="majorBidi" w:hAnsiTheme="majorBidi" w:cstheme="majorBidi"/>
        </w:rPr>
        <w:t>2</w:t>
      </w:r>
      <w:r w:rsidRPr="00025228">
        <w:rPr>
          <w:rFonts w:asciiTheme="majorBidi" w:hAnsiTheme="majorBidi" w:cstheme="majorBidi"/>
        </w:rPr>
        <w:t xml:space="preserve"> because school means are likely to be more stable over time than individual means. Additionally, we assume</w:t>
      </w:r>
      <w:r w:rsidR="00631914" w:rsidRPr="00025228">
        <w:rPr>
          <w:rFonts w:asciiTheme="majorBidi" w:hAnsiTheme="majorBidi" w:cstheme="majorBidi"/>
        </w:rPr>
        <w:t>d</w:t>
      </w:r>
      <w:r w:rsidRPr="00025228">
        <w:rPr>
          <w:rFonts w:asciiTheme="majorBidi" w:hAnsiTheme="majorBidi" w:cstheme="majorBidi"/>
        </w:rPr>
        <w:t xml:space="preserve"> a small adjustment for inclusion</w:t>
      </w:r>
      <w:r w:rsidR="007F2EDB" w:rsidRPr="00025228">
        <w:rPr>
          <w:rFonts w:asciiTheme="majorBidi" w:hAnsiTheme="majorBidi" w:cstheme="majorBidi"/>
        </w:rPr>
        <w:t xml:space="preserve"> of individual-level covariates</w:t>
      </w:r>
      <w:r w:rsidRPr="00025228">
        <w:rPr>
          <w:rFonts w:asciiTheme="majorBidi" w:hAnsiTheme="majorBidi" w:cstheme="majorBidi"/>
        </w:rPr>
        <w:t xml:space="preserve"> but none for school</w:t>
      </w:r>
      <w:r w:rsidR="007F2EDB" w:rsidRPr="00025228">
        <w:rPr>
          <w:rFonts w:asciiTheme="majorBidi" w:hAnsiTheme="majorBidi" w:cstheme="majorBidi"/>
        </w:rPr>
        <w:t xml:space="preserve"> level.</w:t>
      </w:r>
      <w:r w:rsidRPr="00025228">
        <w:rPr>
          <w:rFonts w:asciiTheme="majorBidi" w:hAnsiTheme="majorBidi" w:cstheme="majorBidi"/>
        </w:rPr>
        <w:t xml:space="preserve"> This is a conservative approach. We may have some reduction in </w:t>
      </w:r>
      <w:r w:rsidR="001E040A" w:rsidRPr="00025228">
        <w:rPr>
          <w:rFonts w:asciiTheme="majorBidi" w:hAnsiTheme="majorBidi" w:cstheme="majorBidi"/>
        </w:rPr>
        <w:t>l</w:t>
      </w:r>
      <w:r w:rsidRPr="00025228">
        <w:rPr>
          <w:rFonts w:asciiTheme="majorBidi" w:hAnsiTheme="majorBidi" w:cstheme="majorBidi"/>
        </w:rPr>
        <w:t xml:space="preserve">evel 2 due to covariates. However, we are not planning to include school-level covariates </w:t>
      </w:r>
      <w:r w:rsidR="007F2EDB" w:rsidRPr="00025228">
        <w:rPr>
          <w:rFonts w:asciiTheme="majorBidi" w:hAnsiTheme="majorBidi" w:cstheme="majorBidi"/>
        </w:rPr>
        <w:t>because</w:t>
      </w:r>
      <w:r w:rsidRPr="00025228">
        <w:rPr>
          <w:rFonts w:asciiTheme="majorBidi" w:hAnsiTheme="majorBidi" w:cstheme="majorBidi"/>
        </w:rPr>
        <w:t xml:space="preserve"> these reduce degrees of freedom for the test of the intervention effect.</w:t>
      </w:r>
    </w:p>
    <w:p w:rsidR="009C20F2" w:rsidRPr="00025228" w:rsidRDefault="009C20F2" w:rsidP="009C20F2">
      <w:pPr>
        <w:pStyle w:val="bodytext0"/>
        <w:spacing w:after="0"/>
        <w:ind w:left="0"/>
        <w:rPr>
          <w:rFonts w:asciiTheme="majorBidi" w:hAnsiTheme="majorBidi" w:cstheme="majorBidi"/>
        </w:rPr>
      </w:pPr>
    </w:p>
    <w:p w:rsidR="006C3BBB" w:rsidRPr="00025228" w:rsidRDefault="006C3BBB" w:rsidP="009C20F2">
      <w:pPr>
        <w:pStyle w:val="bodytext0"/>
        <w:spacing w:after="0"/>
        <w:ind w:left="0"/>
        <w:rPr>
          <w:rFonts w:asciiTheme="majorBidi" w:hAnsiTheme="majorBidi" w:cstheme="majorBidi"/>
        </w:rPr>
      </w:pPr>
      <w:r w:rsidRPr="00025228">
        <w:rPr>
          <w:rFonts w:asciiTheme="majorBidi" w:hAnsiTheme="majorBidi" w:cstheme="majorBidi"/>
        </w:rPr>
        <w:t>Our sample size estimation procedures follow</w:t>
      </w:r>
      <w:r w:rsidR="00631914" w:rsidRPr="00025228">
        <w:rPr>
          <w:rFonts w:asciiTheme="majorBidi" w:hAnsiTheme="majorBidi" w:cstheme="majorBidi"/>
        </w:rPr>
        <w:t>ed</w:t>
      </w:r>
      <w:r w:rsidRPr="00025228">
        <w:rPr>
          <w:rFonts w:asciiTheme="majorBidi" w:hAnsiTheme="majorBidi" w:cstheme="majorBidi"/>
        </w:rPr>
        <w:t xml:space="preserve"> the convention of estimating sample size allowing for a Type II error rate of 0.20 (yielding 80 percent statistical power) and a Type I error rate of 0.05, with a two-tailed test. </w:t>
      </w:r>
    </w:p>
    <w:p w:rsidR="009C20F2" w:rsidRPr="00025228" w:rsidRDefault="009C20F2" w:rsidP="009C20F2">
      <w:pPr>
        <w:pStyle w:val="bodytext0"/>
        <w:spacing w:after="0"/>
        <w:ind w:left="0"/>
        <w:rPr>
          <w:rFonts w:asciiTheme="majorBidi" w:hAnsiTheme="majorBidi" w:cstheme="majorBidi"/>
        </w:rPr>
      </w:pPr>
    </w:p>
    <w:p w:rsidR="009C20F2" w:rsidRPr="00025228" w:rsidRDefault="007F2EDB" w:rsidP="009C20F2">
      <w:pPr>
        <w:pStyle w:val="bodytext0"/>
        <w:spacing w:after="0"/>
        <w:ind w:left="0"/>
        <w:rPr>
          <w:rFonts w:asciiTheme="majorBidi" w:hAnsiTheme="majorBidi" w:cstheme="majorBidi"/>
        </w:rPr>
      </w:pPr>
      <w:r w:rsidRPr="00025228">
        <w:rPr>
          <w:rFonts w:asciiTheme="majorBidi" w:hAnsiTheme="majorBidi" w:cstheme="majorBidi"/>
        </w:rPr>
        <w:t>F</w:t>
      </w:r>
      <w:r w:rsidR="006C3BBB" w:rsidRPr="00025228">
        <w:rPr>
          <w:rFonts w:asciiTheme="majorBidi" w:hAnsiTheme="majorBidi" w:cstheme="majorBidi"/>
        </w:rPr>
        <w:t xml:space="preserve">igure </w:t>
      </w:r>
      <w:r w:rsidR="003345E6" w:rsidRPr="00025228">
        <w:rPr>
          <w:rFonts w:asciiTheme="majorBidi" w:hAnsiTheme="majorBidi" w:cstheme="majorBidi"/>
        </w:rPr>
        <w:t>G</w:t>
      </w:r>
      <w:r w:rsidRPr="00025228">
        <w:rPr>
          <w:rFonts w:asciiTheme="majorBidi" w:hAnsiTheme="majorBidi" w:cstheme="majorBidi"/>
        </w:rPr>
        <w:t xml:space="preserve">-1 </w:t>
      </w:r>
      <w:r w:rsidR="006C3BBB" w:rsidRPr="00025228">
        <w:rPr>
          <w:rFonts w:asciiTheme="majorBidi" w:hAnsiTheme="majorBidi" w:cstheme="majorBidi"/>
        </w:rPr>
        <w:t xml:space="preserve">provides power curves describing the number of schools and observations per school needed to identify intervention impacts. As this </w:t>
      </w:r>
      <w:r w:rsidR="00C65D54" w:rsidRPr="00025228">
        <w:rPr>
          <w:rFonts w:asciiTheme="majorBidi" w:hAnsiTheme="majorBidi" w:cstheme="majorBidi"/>
        </w:rPr>
        <w:t>figure</w:t>
      </w:r>
      <w:r w:rsidR="006C3BBB" w:rsidRPr="00025228">
        <w:rPr>
          <w:rFonts w:asciiTheme="majorBidi" w:hAnsiTheme="majorBidi" w:cstheme="majorBidi"/>
        </w:rPr>
        <w:t xml:space="preserve"> indicates, we are appropriate</w:t>
      </w:r>
      <w:r w:rsidR="0065557C" w:rsidRPr="00025228">
        <w:rPr>
          <w:rFonts w:asciiTheme="majorBidi" w:hAnsiTheme="majorBidi" w:cstheme="majorBidi"/>
        </w:rPr>
        <w:t>ly</w:t>
      </w:r>
      <w:r w:rsidR="006C3BBB" w:rsidRPr="00025228">
        <w:rPr>
          <w:rFonts w:asciiTheme="majorBidi" w:hAnsiTheme="majorBidi" w:cstheme="majorBidi"/>
        </w:rPr>
        <w:t xml:space="preserve"> sized to identify program impacts of 0.30 SD or greater with 8 schools per condition and 40 students/parents per school, program impacts of 0.27 SD or greater with 10 schools per condition and 30 students/parents per school, and program impacts of 0.29 SD or greater with 12 schools per condition and 20 students/parents per school.</w:t>
      </w:r>
      <w:r w:rsidR="005F3C22" w:rsidRPr="00025228">
        <w:rPr>
          <w:rFonts w:asciiTheme="majorBidi" w:hAnsiTheme="majorBidi" w:cstheme="majorBidi"/>
        </w:rPr>
        <w:t xml:space="preserve"> </w:t>
      </w:r>
    </w:p>
    <w:p w:rsidR="009C20F2" w:rsidRPr="00025228" w:rsidRDefault="009C20F2" w:rsidP="009C20F2">
      <w:pPr>
        <w:pStyle w:val="bodytext0"/>
        <w:spacing w:after="0" w:line="120" w:lineRule="auto"/>
        <w:ind w:left="0"/>
        <w:rPr>
          <w:rFonts w:asciiTheme="majorBidi" w:hAnsiTheme="majorBidi" w:cstheme="majorBidi"/>
        </w:rPr>
      </w:pPr>
    </w:p>
    <w:p w:rsidR="009C20F2" w:rsidRPr="00025228" w:rsidRDefault="009C20F2" w:rsidP="009C20F2">
      <w:pPr>
        <w:pStyle w:val="bodytext0"/>
        <w:spacing w:after="0"/>
        <w:ind w:left="0"/>
        <w:rPr>
          <w:rFonts w:asciiTheme="majorBidi" w:hAnsiTheme="majorBidi" w:cstheme="majorBidi"/>
          <w:b/>
        </w:rPr>
      </w:pPr>
      <w:r w:rsidRPr="00025228">
        <w:rPr>
          <w:rFonts w:asciiTheme="majorBidi" w:hAnsiTheme="majorBidi" w:cstheme="majorBidi"/>
          <w:b/>
        </w:rPr>
        <w:t>F</w:t>
      </w:r>
      <w:r w:rsidRPr="00025228">
        <w:rPr>
          <w:rFonts w:asciiTheme="majorBidi" w:hAnsiTheme="majorBidi" w:cstheme="majorBidi"/>
          <w:b/>
          <w:smallCaps/>
        </w:rPr>
        <w:t>igure</w:t>
      </w:r>
      <w:r w:rsidR="003345E6" w:rsidRPr="00025228">
        <w:rPr>
          <w:rFonts w:asciiTheme="majorBidi" w:hAnsiTheme="majorBidi" w:cstheme="majorBidi"/>
          <w:b/>
        </w:rPr>
        <w:t xml:space="preserve"> G</w:t>
      </w:r>
      <w:r w:rsidRPr="00025228">
        <w:rPr>
          <w:rFonts w:asciiTheme="majorBidi" w:hAnsiTheme="majorBidi" w:cstheme="majorBidi"/>
          <w:b/>
        </w:rPr>
        <w:t>-1.—Power Curves Describing the Number of Schools and Observations per School Needed to Identify Intervention Impacts</w:t>
      </w:r>
    </w:p>
    <w:p w:rsidR="00390BDE" w:rsidRPr="00025228" w:rsidRDefault="00390BDE" w:rsidP="009C20F2">
      <w:pPr>
        <w:pStyle w:val="bodytext0"/>
        <w:spacing w:after="0"/>
        <w:ind w:left="0"/>
        <w:rPr>
          <w:rFonts w:asciiTheme="majorBidi" w:hAnsiTheme="majorBidi" w:cstheme="majorBidi"/>
          <w:b/>
        </w:rPr>
      </w:pPr>
    </w:p>
    <w:p w:rsidR="006C3BBB" w:rsidRPr="00025228" w:rsidRDefault="00B032EA" w:rsidP="009C20F2">
      <w:pPr>
        <w:pStyle w:val="bodytext0"/>
        <w:spacing w:after="0"/>
        <w:ind w:left="0"/>
        <w:rPr>
          <w:rFonts w:asciiTheme="majorBidi" w:hAnsiTheme="majorBidi" w:cstheme="majorBidi"/>
        </w:rPr>
      </w:pPr>
      <w:r w:rsidRPr="00025228">
        <w:rPr>
          <w:rFonts w:asciiTheme="majorBidi" w:hAnsiTheme="majorBidi" w:cstheme="majorBidi"/>
          <w:noProof/>
        </w:rPr>
        <w:drawing>
          <wp:inline distT="0" distB="0" distL="0" distR="0">
            <wp:extent cx="4404094" cy="2228392"/>
            <wp:effectExtent l="19050" t="0" r="15506" b="458"/>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3" w:name="_Toc229193889"/>
      <w:bookmarkStart w:id="4" w:name="_Toc229203805"/>
    </w:p>
    <w:p w:rsidR="007F2EDB" w:rsidRPr="00025228" w:rsidRDefault="00390BDE" w:rsidP="00C507FE">
      <w:pPr>
        <w:pStyle w:val="FigureTitlecont"/>
        <w:rPr>
          <w:rFonts w:asciiTheme="majorBidi" w:hAnsiTheme="majorBidi" w:cstheme="majorBidi"/>
          <w:szCs w:val="24"/>
        </w:rPr>
      </w:pPr>
      <w:r w:rsidRPr="00025228">
        <w:rPr>
          <w:rFonts w:asciiTheme="majorBidi" w:hAnsiTheme="majorBidi" w:cstheme="majorBidi"/>
          <w:szCs w:val="24"/>
        </w:rPr>
        <w:br w:type="page"/>
      </w:r>
    </w:p>
    <w:p w:rsidR="006C3BBB" w:rsidRPr="00025228" w:rsidRDefault="006C3BBB" w:rsidP="0095109F">
      <w:pPr>
        <w:pStyle w:val="ChapterSub1"/>
        <w:keepNext/>
        <w:pBdr>
          <w:bottom w:val="none" w:sz="0" w:space="0" w:color="auto"/>
        </w:pBdr>
        <w:spacing w:before="0" w:after="0" w:line="240" w:lineRule="auto"/>
        <w:rPr>
          <w:rFonts w:asciiTheme="majorBidi" w:hAnsiTheme="majorBidi" w:cstheme="majorBidi"/>
          <w:color w:val="auto"/>
          <w:sz w:val="24"/>
        </w:rPr>
      </w:pPr>
      <w:r w:rsidRPr="00025228">
        <w:rPr>
          <w:rFonts w:asciiTheme="majorBidi" w:hAnsiTheme="majorBidi" w:cstheme="majorBidi"/>
          <w:color w:val="auto"/>
          <w:sz w:val="24"/>
        </w:rPr>
        <w:lastRenderedPageBreak/>
        <w:t xml:space="preserve">Assumptions for Statistical Models of Self-Reports of Fruit and Vegetable Consumption by </w:t>
      </w:r>
      <w:proofErr w:type="gramStart"/>
      <w:r w:rsidRPr="00025228">
        <w:rPr>
          <w:rFonts w:asciiTheme="majorBidi" w:hAnsiTheme="majorBidi" w:cstheme="majorBidi"/>
          <w:color w:val="auto"/>
          <w:sz w:val="24"/>
        </w:rPr>
        <w:t>Seniors</w:t>
      </w:r>
      <w:proofErr w:type="gramEnd"/>
      <w:r w:rsidRPr="00025228">
        <w:rPr>
          <w:rFonts w:asciiTheme="majorBidi" w:hAnsiTheme="majorBidi" w:cstheme="majorBidi"/>
          <w:color w:val="auto"/>
          <w:sz w:val="24"/>
        </w:rPr>
        <w:t xml:space="preserve"> in a Clustered, Experimental </w:t>
      </w:r>
      <w:r w:rsidR="00C507FE" w:rsidRPr="00025228">
        <w:rPr>
          <w:rFonts w:asciiTheme="majorBidi" w:hAnsiTheme="majorBidi" w:cstheme="majorBidi"/>
          <w:color w:val="auto"/>
          <w:sz w:val="24"/>
        </w:rPr>
        <w:t>Design</w:t>
      </w:r>
      <w:r w:rsidR="00CE2CBA" w:rsidRPr="00025228">
        <w:rPr>
          <w:rFonts w:asciiTheme="majorBidi" w:hAnsiTheme="majorBidi" w:cstheme="majorBidi"/>
          <w:color w:val="auto"/>
          <w:sz w:val="24"/>
        </w:rPr>
        <w:t xml:space="preserve"> (MSUE)</w:t>
      </w:r>
    </w:p>
    <w:p w:rsidR="0095109F" w:rsidRPr="00025228" w:rsidRDefault="0095109F" w:rsidP="0095109F">
      <w:pPr>
        <w:pStyle w:val="ChapterSub1"/>
        <w:keepNext/>
        <w:pBdr>
          <w:bottom w:val="none" w:sz="0" w:space="0" w:color="auto"/>
        </w:pBdr>
        <w:spacing w:before="0" w:after="0" w:line="120" w:lineRule="auto"/>
        <w:rPr>
          <w:rFonts w:asciiTheme="majorBidi" w:hAnsiTheme="majorBidi" w:cstheme="majorBidi"/>
          <w:color w:val="auto"/>
          <w:sz w:val="24"/>
        </w:rPr>
      </w:pPr>
    </w:p>
    <w:p w:rsidR="00410CF7" w:rsidRPr="00025228" w:rsidRDefault="00410CF7" w:rsidP="00410CF7">
      <w:pPr>
        <w:pStyle w:val="bodytext0"/>
        <w:pBdr>
          <w:top w:val="single" w:sz="8" w:space="1" w:color="000000"/>
        </w:pBdr>
        <w:spacing w:after="0"/>
        <w:ind w:left="0"/>
        <w:rPr>
          <w:rFonts w:asciiTheme="majorBidi" w:hAnsiTheme="majorBidi" w:cstheme="majorBidi"/>
        </w:rPr>
      </w:pPr>
    </w:p>
    <w:p w:rsidR="006C3BBB" w:rsidRPr="00025228" w:rsidRDefault="006C3BBB" w:rsidP="0073324E">
      <w:pPr>
        <w:pStyle w:val="bodytext0"/>
        <w:spacing w:after="0"/>
        <w:ind w:left="0"/>
        <w:rPr>
          <w:rFonts w:asciiTheme="majorBidi" w:eastAsia="Calibri" w:hAnsiTheme="majorBidi" w:cstheme="majorBidi"/>
        </w:rPr>
      </w:pPr>
      <w:r w:rsidRPr="00025228">
        <w:rPr>
          <w:rFonts w:asciiTheme="majorBidi" w:hAnsiTheme="majorBidi" w:cstheme="majorBidi"/>
        </w:rPr>
        <w:t>Sample size estimation for self-reported fruit and vegetable consumption among seniors follow</w:t>
      </w:r>
      <w:r w:rsidR="00631914" w:rsidRPr="00025228">
        <w:rPr>
          <w:rFonts w:asciiTheme="majorBidi" w:hAnsiTheme="majorBidi" w:cstheme="majorBidi"/>
        </w:rPr>
        <w:t>ed</w:t>
      </w:r>
      <w:r w:rsidRPr="00025228">
        <w:rPr>
          <w:rFonts w:asciiTheme="majorBidi" w:hAnsiTheme="majorBidi" w:cstheme="majorBidi"/>
        </w:rPr>
        <w:t xml:space="preserve"> the same steps and relie</w:t>
      </w:r>
      <w:r w:rsidR="00447B7D" w:rsidRPr="00025228">
        <w:rPr>
          <w:rFonts w:asciiTheme="majorBidi" w:hAnsiTheme="majorBidi" w:cstheme="majorBidi"/>
        </w:rPr>
        <w:t>d</w:t>
      </w:r>
      <w:r w:rsidRPr="00025228">
        <w:rPr>
          <w:rFonts w:asciiTheme="majorBidi" w:hAnsiTheme="majorBidi" w:cstheme="majorBidi"/>
        </w:rPr>
        <w:t xml:space="preserve"> on many of the same assumptions detailed above. The distribution characteristics of the primary</w:t>
      </w:r>
      <w:r w:rsidR="00E86E64" w:rsidRPr="00025228">
        <w:rPr>
          <w:rFonts w:asciiTheme="majorBidi" w:hAnsiTheme="majorBidi" w:cstheme="majorBidi"/>
        </w:rPr>
        <w:t xml:space="preserve"> impact variables are similar. </w:t>
      </w:r>
      <w:r w:rsidRPr="00025228">
        <w:rPr>
          <w:rFonts w:asciiTheme="majorBidi" w:hAnsiTheme="majorBidi" w:cstheme="majorBidi"/>
        </w:rPr>
        <w:t>Our main outcome measure</w:t>
      </w:r>
      <w:r w:rsidR="0065557C" w:rsidRPr="00025228">
        <w:rPr>
          <w:rFonts w:asciiTheme="majorBidi" w:hAnsiTheme="majorBidi" w:cstheme="majorBidi"/>
        </w:rPr>
        <w:t>,</w:t>
      </w:r>
      <w:r w:rsidRPr="00025228">
        <w:rPr>
          <w:rFonts w:asciiTheme="majorBidi" w:hAnsiTheme="majorBidi" w:cstheme="majorBidi"/>
        </w:rPr>
        <w:t xml:space="preserve"> and the focus of sample size estimation</w:t>
      </w:r>
      <w:r w:rsidR="0065557C" w:rsidRPr="00025228">
        <w:rPr>
          <w:rFonts w:asciiTheme="majorBidi" w:hAnsiTheme="majorBidi" w:cstheme="majorBidi"/>
        </w:rPr>
        <w:t>,</w:t>
      </w:r>
      <w:r w:rsidRPr="00025228">
        <w:rPr>
          <w:rFonts w:asciiTheme="majorBidi" w:hAnsiTheme="majorBidi" w:cstheme="majorBidi"/>
        </w:rPr>
        <w:t xml:space="preserve"> remains the number of cups of fruit</w:t>
      </w:r>
      <w:r w:rsidR="001E040A" w:rsidRPr="00025228">
        <w:rPr>
          <w:rFonts w:asciiTheme="majorBidi" w:hAnsiTheme="majorBidi" w:cstheme="majorBidi"/>
        </w:rPr>
        <w:t>s</w:t>
      </w:r>
      <w:r w:rsidRPr="00025228">
        <w:rPr>
          <w:rFonts w:asciiTheme="majorBidi" w:hAnsiTheme="majorBidi" w:cstheme="majorBidi"/>
        </w:rPr>
        <w:t xml:space="preserve"> and vegetable</w:t>
      </w:r>
      <w:r w:rsidR="001E040A" w:rsidRPr="00025228">
        <w:rPr>
          <w:rFonts w:asciiTheme="majorBidi" w:hAnsiTheme="majorBidi" w:cstheme="majorBidi"/>
        </w:rPr>
        <w:t>s</w:t>
      </w:r>
      <w:r w:rsidRPr="00025228">
        <w:rPr>
          <w:rFonts w:asciiTheme="majorBidi" w:hAnsiTheme="majorBidi" w:cstheme="majorBidi"/>
        </w:rPr>
        <w:t xml:space="preserve"> consumed. Here, however, we are interested in self-report</w:t>
      </w:r>
      <w:r w:rsidR="00447B7D" w:rsidRPr="00025228">
        <w:rPr>
          <w:rFonts w:asciiTheme="majorBidi" w:hAnsiTheme="majorBidi" w:cstheme="majorBidi"/>
        </w:rPr>
        <w:t>ed</w:t>
      </w:r>
      <w:r w:rsidRPr="00025228">
        <w:rPr>
          <w:rFonts w:asciiTheme="majorBidi" w:hAnsiTheme="majorBidi" w:cstheme="majorBidi"/>
        </w:rPr>
        <w:t xml:space="preserve"> consumption </w:t>
      </w:r>
      <w:r w:rsidR="00E86E64" w:rsidRPr="00025228">
        <w:rPr>
          <w:rFonts w:asciiTheme="majorBidi" w:hAnsiTheme="majorBidi" w:cstheme="majorBidi"/>
        </w:rPr>
        <w:t xml:space="preserve">by seniors (aged 60 and above). </w:t>
      </w:r>
      <w:r w:rsidRPr="00025228">
        <w:rPr>
          <w:rFonts w:asciiTheme="majorBidi" w:hAnsiTheme="majorBidi" w:cstheme="majorBidi"/>
        </w:rPr>
        <w:t>We beg</w:t>
      </w:r>
      <w:r w:rsidR="00631914" w:rsidRPr="00025228">
        <w:rPr>
          <w:rFonts w:asciiTheme="majorBidi" w:hAnsiTheme="majorBidi" w:cstheme="majorBidi"/>
        </w:rPr>
        <w:t>a</w:t>
      </w:r>
      <w:r w:rsidRPr="00025228">
        <w:rPr>
          <w:rFonts w:asciiTheme="majorBidi" w:hAnsiTheme="majorBidi" w:cstheme="majorBidi"/>
        </w:rPr>
        <w:t xml:space="preserve">n with recent data </w:t>
      </w:r>
      <w:r w:rsidR="00E86E64" w:rsidRPr="00025228">
        <w:rPr>
          <w:rFonts w:asciiTheme="majorBidi" w:hAnsiTheme="majorBidi" w:cstheme="majorBidi"/>
        </w:rPr>
        <w:t>that</w:t>
      </w:r>
      <w:r w:rsidR="00631914" w:rsidRPr="00025228">
        <w:rPr>
          <w:rFonts w:asciiTheme="majorBidi" w:hAnsiTheme="majorBidi" w:cstheme="majorBidi"/>
        </w:rPr>
        <w:t xml:space="preserve"> suggest</w:t>
      </w:r>
      <w:r w:rsidRPr="00025228">
        <w:rPr>
          <w:rFonts w:asciiTheme="majorBidi" w:hAnsiTheme="majorBidi" w:cstheme="majorBidi"/>
        </w:rPr>
        <w:t xml:space="preserve"> that seniors report consuming approximately 1.735 (standard deviation = 0.98) cups of fruits and vegetables per day (Baker </w:t>
      </w:r>
      <w:r w:rsidR="00447B7D" w:rsidRPr="00025228">
        <w:rPr>
          <w:rFonts w:asciiTheme="majorBidi" w:hAnsiTheme="majorBidi" w:cstheme="majorBidi"/>
        </w:rPr>
        <w:t xml:space="preserve">&amp; </w:t>
      </w:r>
      <w:r w:rsidRPr="00025228">
        <w:rPr>
          <w:rFonts w:asciiTheme="majorBidi" w:hAnsiTheme="majorBidi" w:cstheme="majorBidi"/>
        </w:rPr>
        <w:t>Wardle</w:t>
      </w:r>
      <w:r w:rsidR="00E86E64" w:rsidRPr="00025228">
        <w:rPr>
          <w:rFonts w:asciiTheme="majorBidi" w:hAnsiTheme="majorBidi" w:cstheme="majorBidi"/>
        </w:rPr>
        <w:t>,</w:t>
      </w:r>
      <w:r w:rsidRPr="00025228">
        <w:rPr>
          <w:rFonts w:asciiTheme="majorBidi" w:hAnsiTheme="majorBidi" w:cstheme="majorBidi"/>
        </w:rPr>
        <w:t xml:space="preserve"> 2003; Juan </w:t>
      </w:r>
      <w:r w:rsidR="00447B7D" w:rsidRPr="00025228">
        <w:rPr>
          <w:rFonts w:asciiTheme="majorBidi" w:hAnsiTheme="majorBidi" w:cstheme="majorBidi"/>
        </w:rPr>
        <w:t xml:space="preserve">&amp; </w:t>
      </w:r>
      <w:proofErr w:type="spellStart"/>
      <w:r w:rsidRPr="00025228">
        <w:rPr>
          <w:rFonts w:asciiTheme="majorBidi" w:hAnsiTheme="majorBidi" w:cstheme="majorBidi"/>
        </w:rPr>
        <w:t>Lino</w:t>
      </w:r>
      <w:proofErr w:type="spellEnd"/>
      <w:r w:rsidR="00E86E64" w:rsidRPr="00025228">
        <w:rPr>
          <w:rFonts w:asciiTheme="majorBidi" w:hAnsiTheme="majorBidi" w:cstheme="majorBidi"/>
        </w:rPr>
        <w:t>,</w:t>
      </w:r>
      <w:r w:rsidRPr="00025228">
        <w:rPr>
          <w:rFonts w:asciiTheme="majorBidi" w:hAnsiTheme="majorBidi" w:cstheme="majorBidi"/>
        </w:rPr>
        <w:t xml:space="preserve"> 2007; Greene, Fey-</w:t>
      </w:r>
      <w:proofErr w:type="spellStart"/>
      <w:r w:rsidRPr="00025228">
        <w:rPr>
          <w:rFonts w:asciiTheme="majorBidi" w:hAnsiTheme="majorBidi" w:cstheme="majorBidi"/>
        </w:rPr>
        <w:t>Yensan</w:t>
      </w:r>
      <w:proofErr w:type="spellEnd"/>
      <w:r w:rsidRPr="00025228">
        <w:rPr>
          <w:rFonts w:asciiTheme="majorBidi" w:hAnsiTheme="majorBidi" w:cstheme="majorBidi"/>
        </w:rPr>
        <w:t xml:space="preserve"> et al</w:t>
      </w:r>
      <w:proofErr w:type="gramStart"/>
      <w:r w:rsidR="00E86E64" w:rsidRPr="00025228">
        <w:rPr>
          <w:rFonts w:asciiTheme="majorBidi" w:hAnsiTheme="majorBidi" w:cstheme="majorBidi"/>
        </w:rPr>
        <w:t>,</w:t>
      </w:r>
      <w:r w:rsidRPr="00025228">
        <w:rPr>
          <w:rFonts w:asciiTheme="majorBidi" w:hAnsiTheme="majorBidi" w:cstheme="majorBidi"/>
        </w:rPr>
        <w:t>.</w:t>
      </w:r>
      <w:proofErr w:type="gramEnd"/>
      <w:r w:rsidRPr="00025228">
        <w:rPr>
          <w:rFonts w:asciiTheme="majorBidi" w:hAnsiTheme="majorBidi" w:cstheme="majorBidi"/>
        </w:rPr>
        <w:t xml:space="preserve"> 2008).</w:t>
      </w:r>
      <w:r w:rsidRPr="00025228">
        <w:rPr>
          <w:rFonts w:asciiTheme="majorBidi" w:eastAsia="Calibri" w:hAnsiTheme="majorBidi" w:cstheme="majorBidi"/>
        </w:rPr>
        <w:t xml:space="preserve"> As with other SNAP nutrition education programs, we assume</w:t>
      </w:r>
      <w:r w:rsidR="00631914" w:rsidRPr="00025228">
        <w:rPr>
          <w:rFonts w:asciiTheme="majorBidi" w:eastAsia="Calibri" w:hAnsiTheme="majorBidi" w:cstheme="majorBidi"/>
        </w:rPr>
        <w:t>d</w:t>
      </w:r>
      <w:r w:rsidRPr="00025228">
        <w:rPr>
          <w:rFonts w:asciiTheme="majorBidi" w:eastAsia="Calibri" w:hAnsiTheme="majorBidi" w:cstheme="majorBidi"/>
        </w:rPr>
        <w:t xml:space="preserve"> a program impact of 0.30 standard deviation units, or 0.29 cups of fruits and vegetables per day. </w:t>
      </w:r>
    </w:p>
    <w:p w:rsidR="00410CF7" w:rsidRPr="00025228" w:rsidRDefault="00410CF7" w:rsidP="00410CF7">
      <w:pPr>
        <w:pStyle w:val="bodytext0"/>
        <w:spacing w:after="0"/>
        <w:ind w:left="0"/>
        <w:rPr>
          <w:rFonts w:asciiTheme="majorBidi" w:eastAsia="Calibri" w:hAnsiTheme="majorBidi" w:cstheme="majorBidi"/>
        </w:rPr>
      </w:pPr>
    </w:p>
    <w:p w:rsidR="006C3BBB" w:rsidRPr="00025228" w:rsidRDefault="006C3BBB" w:rsidP="00410CF7">
      <w:pPr>
        <w:pStyle w:val="bodytext0"/>
        <w:spacing w:after="0"/>
        <w:ind w:left="0"/>
        <w:rPr>
          <w:rFonts w:asciiTheme="majorBidi" w:eastAsia="Calibri" w:hAnsiTheme="majorBidi" w:cstheme="majorBidi"/>
        </w:rPr>
      </w:pPr>
      <w:r w:rsidRPr="00025228">
        <w:rPr>
          <w:rFonts w:asciiTheme="majorBidi" w:eastAsia="Calibri" w:hAnsiTheme="majorBidi" w:cstheme="majorBidi"/>
        </w:rPr>
        <w:t>Next, we need</w:t>
      </w:r>
      <w:r w:rsidR="00631914" w:rsidRPr="00025228">
        <w:rPr>
          <w:rFonts w:asciiTheme="majorBidi" w:eastAsia="Calibri" w:hAnsiTheme="majorBidi" w:cstheme="majorBidi"/>
        </w:rPr>
        <w:t>ed</w:t>
      </w:r>
      <w:r w:rsidRPr="00025228">
        <w:rPr>
          <w:rFonts w:asciiTheme="majorBidi" w:eastAsia="Calibri" w:hAnsiTheme="majorBidi" w:cstheme="majorBidi"/>
        </w:rPr>
        <w:t xml:space="preserve"> an expression that accounts for the variance components at the individual and center levels. This </w:t>
      </w:r>
      <w:r w:rsidR="00631914" w:rsidRPr="00025228">
        <w:rPr>
          <w:rFonts w:asciiTheme="majorBidi" w:eastAsia="Calibri" w:hAnsiTheme="majorBidi" w:cstheme="majorBidi"/>
        </w:rPr>
        <w:t>was</w:t>
      </w:r>
      <w:r w:rsidRPr="00025228">
        <w:rPr>
          <w:rFonts w:asciiTheme="majorBidi" w:eastAsia="Calibri" w:hAnsiTheme="majorBidi" w:cstheme="majorBidi"/>
        </w:rPr>
        <w:t xml:space="preserve"> obtained through estimation based on the variance in the</w:t>
      </w:r>
      <w:r w:rsidR="00E86E64" w:rsidRPr="00025228">
        <w:rPr>
          <w:rFonts w:asciiTheme="majorBidi" w:eastAsia="Calibri" w:hAnsiTheme="majorBidi" w:cstheme="majorBidi"/>
        </w:rPr>
        <w:t xml:space="preserve"> outcome variable and the ICC. Because</w:t>
      </w:r>
      <w:r w:rsidRPr="00025228">
        <w:rPr>
          <w:rFonts w:asciiTheme="majorBidi" w:eastAsia="Calibri" w:hAnsiTheme="majorBidi" w:cstheme="majorBidi"/>
        </w:rPr>
        <w:t xml:space="preserve"> data on ICCs among seniors</w:t>
      </w:r>
      <w:r w:rsidR="00E86E64" w:rsidRPr="00025228">
        <w:rPr>
          <w:rFonts w:asciiTheme="majorBidi" w:eastAsia="Calibri" w:hAnsiTheme="majorBidi" w:cstheme="majorBidi"/>
        </w:rPr>
        <w:t xml:space="preserve"> are not available</w:t>
      </w:r>
      <w:r w:rsidRPr="00025228">
        <w:rPr>
          <w:rFonts w:asciiTheme="majorBidi" w:eastAsia="Calibri" w:hAnsiTheme="majorBidi" w:cstheme="majorBidi"/>
        </w:rPr>
        <w:t>, we again assume</w:t>
      </w:r>
      <w:r w:rsidR="00E86E64" w:rsidRPr="00025228">
        <w:rPr>
          <w:rFonts w:asciiTheme="majorBidi" w:eastAsia="Calibri" w:hAnsiTheme="majorBidi" w:cstheme="majorBidi"/>
        </w:rPr>
        <w:t>d</w:t>
      </w:r>
      <w:r w:rsidRPr="00025228">
        <w:rPr>
          <w:rFonts w:asciiTheme="majorBidi" w:eastAsia="Calibri" w:hAnsiTheme="majorBidi" w:cstheme="majorBidi"/>
        </w:rPr>
        <w:t xml:space="preserve"> an ICC of 0.05 for </w:t>
      </w:r>
      <w:r w:rsidR="00E86E64" w:rsidRPr="00025228">
        <w:rPr>
          <w:rFonts w:asciiTheme="majorBidi" w:eastAsia="Calibri" w:hAnsiTheme="majorBidi" w:cstheme="majorBidi"/>
        </w:rPr>
        <w:t xml:space="preserve">the </w:t>
      </w:r>
      <w:r w:rsidRPr="00025228">
        <w:rPr>
          <w:rFonts w:asciiTheme="majorBidi" w:eastAsia="Calibri" w:hAnsiTheme="majorBidi" w:cstheme="majorBidi"/>
        </w:rPr>
        <w:t>purpose of sample size estimation and include</w:t>
      </w:r>
      <w:r w:rsidR="00E86E64" w:rsidRPr="00025228">
        <w:rPr>
          <w:rFonts w:asciiTheme="majorBidi" w:eastAsia="Calibri" w:hAnsiTheme="majorBidi" w:cstheme="majorBidi"/>
        </w:rPr>
        <w:t>d</w:t>
      </w:r>
      <w:r w:rsidRPr="00025228">
        <w:rPr>
          <w:rFonts w:asciiTheme="majorBidi" w:eastAsia="Calibri" w:hAnsiTheme="majorBidi" w:cstheme="majorBidi"/>
        </w:rPr>
        <w:t xml:space="preserve"> the following adjustments for repeated measures and covariates:</w:t>
      </w:r>
    </w:p>
    <w:p w:rsidR="00410CF7" w:rsidRPr="00025228" w:rsidRDefault="00410CF7" w:rsidP="00410CF7">
      <w:pPr>
        <w:pStyle w:val="bodytext0"/>
        <w:spacing w:after="0"/>
        <w:ind w:left="0"/>
        <w:rPr>
          <w:rFonts w:asciiTheme="majorBidi" w:eastAsia="Calibri" w:hAnsiTheme="majorBidi" w:cstheme="majorBidi"/>
        </w:rPr>
      </w:pPr>
    </w:p>
    <w:p w:rsidR="006C3BBB" w:rsidRPr="00025228" w:rsidRDefault="006C3BBB" w:rsidP="00410CF7">
      <w:pPr>
        <w:pStyle w:val="bullet1"/>
        <w:ind w:left="360"/>
        <w:rPr>
          <w:rFonts w:asciiTheme="majorBidi" w:hAnsiTheme="majorBidi" w:cstheme="majorBidi"/>
        </w:rPr>
      </w:pPr>
      <w:r w:rsidRPr="00025228">
        <w:rPr>
          <w:rFonts w:asciiTheme="majorBidi" w:hAnsiTheme="majorBidi" w:cstheme="majorBidi"/>
          <w:i/>
        </w:rPr>
        <w:t>r</w:t>
      </w:r>
      <w:r w:rsidRPr="00025228">
        <w:rPr>
          <w:rFonts w:asciiTheme="majorBidi" w:hAnsiTheme="majorBidi" w:cstheme="majorBidi"/>
          <w:i/>
          <w:vertAlign w:val="subscript"/>
        </w:rPr>
        <w:t>(</w:t>
      </w:r>
      <w:proofErr w:type="spellStart"/>
      <w:r w:rsidRPr="00025228">
        <w:rPr>
          <w:rFonts w:asciiTheme="majorBidi" w:hAnsiTheme="majorBidi" w:cstheme="majorBidi"/>
          <w:i/>
          <w:vertAlign w:val="subscript"/>
        </w:rPr>
        <w:t>yy</w:t>
      </w:r>
      <w:proofErr w:type="spellEnd"/>
      <w:r w:rsidRPr="00025228">
        <w:rPr>
          <w:rFonts w:asciiTheme="majorBidi" w:hAnsiTheme="majorBidi" w:cstheme="majorBidi"/>
          <w:i/>
          <w:vertAlign w:val="subscript"/>
        </w:rPr>
        <w:t>)m</w:t>
      </w:r>
      <w:r w:rsidRPr="00025228">
        <w:rPr>
          <w:rFonts w:asciiTheme="majorBidi" w:hAnsiTheme="majorBidi" w:cstheme="majorBidi"/>
        </w:rPr>
        <w:t xml:space="preserve"> = 0.60</w:t>
      </w:r>
    </w:p>
    <w:p w:rsidR="006C3BBB" w:rsidRPr="00025228" w:rsidRDefault="006C3BBB" w:rsidP="00410CF7">
      <w:pPr>
        <w:pStyle w:val="bullet1"/>
        <w:ind w:left="360"/>
        <w:rPr>
          <w:rFonts w:asciiTheme="majorBidi" w:hAnsiTheme="majorBidi" w:cstheme="majorBidi"/>
        </w:rPr>
      </w:pPr>
      <w:r w:rsidRPr="00025228">
        <w:rPr>
          <w:rFonts w:asciiTheme="majorBidi" w:hAnsiTheme="majorBidi" w:cstheme="majorBidi"/>
          <w:i/>
        </w:rPr>
        <w:t>r</w:t>
      </w:r>
      <w:r w:rsidRPr="00025228">
        <w:rPr>
          <w:rFonts w:asciiTheme="majorBidi" w:hAnsiTheme="majorBidi" w:cstheme="majorBidi"/>
          <w:i/>
          <w:vertAlign w:val="subscript"/>
        </w:rPr>
        <w:t>(</w:t>
      </w:r>
      <w:proofErr w:type="spellStart"/>
      <w:r w:rsidRPr="00025228">
        <w:rPr>
          <w:rFonts w:asciiTheme="majorBidi" w:hAnsiTheme="majorBidi" w:cstheme="majorBidi"/>
          <w:i/>
          <w:vertAlign w:val="subscript"/>
        </w:rPr>
        <w:t>yy</w:t>
      </w:r>
      <w:proofErr w:type="spellEnd"/>
      <w:r w:rsidRPr="00025228">
        <w:rPr>
          <w:rFonts w:asciiTheme="majorBidi" w:hAnsiTheme="majorBidi" w:cstheme="majorBidi"/>
          <w:i/>
          <w:vertAlign w:val="subscript"/>
        </w:rPr>
        <w:t>)g</w:t>
      </w:r>
      <w:r w:rsidRPr="00025228">
        <w:rPr>
          <w:rFonts w:asciiTheme="majorBidi" w:hAnsiTheme="majorBidi" w:cstheme="majorBidi"/>
        </w:rPr>
        <w:t xml:space="preserve"> = 0.65</w:t>
      </w:r>
    </w:p>
    <w:p w:rsidR="006C3BBB" w:rsidRPr="00025228" w:rsidRDefault="006C3BBB" w:rsidP="00410CF7">
      <w:pPr>
        <w:pStyle w:val="bullet1"/>
        <w:keepNext/>
        <w:ind w:left="360"/>
        <w:rPr>
          <w:rFonts w:asciiTheme="majorBidi" w:hAnsiTheme="majorBidi" w:cstheme="majorBidi"/>
        </w:rPr>
      </w:pPr>
      <w:r w:rsidRPr="00025228">
        <w:rPr>
          <w:rFonts w:asciiTheme="majorBidi" w:hAnsiTheme="majorBidi" w:cstheme="majorBidi"/>
          <w:i/>
        </w:rPr>
        <w:t>θ</w:t>
      </w:r>
      <w:r w:rsidRPr="00025228">
        <w:rPr>
          <w:rFonts w:asciiTheme="majorBidi" w:hAnsiTheme="majorBidi" w:cstheme="majorBidi"/>
          <w:i/>
          <w:vertAlign w:val="subscript"/>
        </w:rPr>
        <w:t>(y)m</w:t>
      </w:r>
      <w:r w:rsidRPr="00025228">
        <w:rPr>
          <w:rFonts w:asciiTheme="majorBidi" w:hAnsiTheme="majorBidi" w:cstheme="majorBidi"/>
        </w:rPr>
        <w:t xml:space="preserve"> = 0.10</w:t>
      </w:r>
    </w:p>
    <w:p w:rsidR="006C3BBB" w:rsidRPr="00025228" w:rsidRDefault="006C3BBB" w:rsidP="00410CF7">
      <w:pPr>
        <w:pStyle w:val="bullet1"/>
        <w:ind w:left="360"/>
        <w:rPr>
          <w:rFonts w:asciiTheme="majorBidi" w:hAnsiTheme="majorBidi" w:cstheme="majorBidi"/>
        </w:rPr>
      </w:pPr>
      <w:r w:rsidRPr="00025228">
        <w:rPr>
          <w:rFonts w:asciiTheme="majorBidi" w:hAnsiTheme="majorBidi" w:cstheme="majorBidi"/>
          <w:i/>
        </w:rPr>
        <w:t>θ</w:t>
      </w:r>
      <w:r w:rsidRPr="00025228">
        <w:rPr>
          <w:rFonts w:asciiTheme="majorBidi" w:hAnsiTheme="majorBidi" w:cstheme="majorBidi"/>
          <w:i/>
          <w:vertAlign w:val="subscript"/>
        </w:rPr>
        <w:t>(y)g</w:t>
      </w:r>
      <w:r w:rsidRPr="00025228">
        <w:rPr>
          <w:rFonts w:asciiTheme="majorBidi" w:hAnsiTheme="majorBidi" w:cstheme="majorBidi"/>
        </w:rPr>
        <w:t xml:space="preserve"> = 0.00</w:t>
      </w:r>
    </w:p>
    <w:p w:rsidR="00410CF7" w:rsidRPr="00025228" w:rsidRDefault="00410CF7" w:rsidP="00410CF7">
      <w:pPr>
        <w:pStyle w:val="bullet1"/>
        <w:numPr>
          <w:ilvl w:val="0"/>
          <w:numId w:val="0"/>
        </w:numPr>
        <w:ind w:left="360"/>
        <w:rPr>
          <w:rFonts w:asciiTheme="majorBidi" w:hAnsiTheme="majorBidi" w:cstheme="majorBidi"/>
        </w:rPr>
      </w:pPr>
    </w:p>
    <w:p w:rsidR="006C3BBB" w:rsidRPr="00025228" w:rsidRDefault="006C3BBB" w:rsidP="00410CF7">
      <w:pPr>
        <w:pStyle w:val="bodytext0"/>
        <w:spacing w:after="0"/>
        <w:ind w:left="0"/>
        <w:rPr>
          <w:rFonts w:asciiTheme="majorBidi" w:hAnsiTheme="majorBidi" w:cstheme="majorBidi"/>
        </w:rPr>
      </w:pPr>
      <w:r w:rsidRPr="00025228">
        <w:rPr>
          <w:rFonts w:asciiTheme="majorBidi" w:hAnsiTheme="majorBidi" w:cstheme="majorBidi"/>
        </w:rPr>
        <w:t xml:space="preserve">These expectations are similar to the expectations noted for parents and students in elementary schools. However, we </w:t>
      </w:r>
      <w:r w:rsidR="00E86E64" w:rsidRPr="00025228">
        <w:rPr>
          <w:rFonts w:asciiTheme="majorBidi" w:hAnsiTheme="majorBidi" w:cstheme="majorBidi"/>
        </w:rPr>
        <w:t>took</w:t>
      </w:r>
      <w:r w:rsidRPr="00025228">
        <w:rPr>
          <w:rFonts w:asciiTheme="majorBidi" w:hAnsiTheme="majorBidi" w:cstheme="majorBidi"/>
        </w:rPr>
        <w:t xml:space="preserve"> a slightly more conservative position on the benefits of repeated measures at the center level given current uncertainty regard</w:t>
      </w:r>
      <w:r w:rsidR="00E86E64" w:rsidRPr="00025228">
        <w:rPr>
          <w:rFonts w:asciiTheme="majorBidi" w:hAnsiTheme="majorBidi" w:cstheme="majorBidi"/>
        </w:rPr>
        <w:t>ing</w:t>
      </w:r>
      <w:r w:rsidRPr="00025228">
        <w:rPr>
          <w:rFonts w:asciiTheme="majorBidi" w:hAnsiTheme="majorBidi" w:cstheme="majorBidi"/>
        </w:rPr>
        <w:t xml:space="preserve"> the make-up and characteristics of the pool of availab</w:t>
      </w:r>
      <w:r w:rsidR="00E86E64" w:rsidRPr="00025228">
        <w:rPr>
          <w:rFonts w:asciiTheme="majorBidi" w:hAnsiTheme="majorBidi" w:cstheme="majorBidi"/>
        </w:rPr>
        <w:t xml:space="preserve">le centers. </w:t>
      </w:r>
      <w:r w:rsidRPr="00025228">
        <w:rPr>
          <w:rFonts w:asciiTheme="majorBidi" w:hAnsiTheme="majorBidi" w:cstheme="majorBidi"/>
        </w:rPr>
        <w:t>Our sample size estimation procedures follow</w:t>
      </w:r>
      <w:r w:rsidR="00631914" w:rsidRPr="00025228">
        <w:rPr>
          <w:rFonts w:asciiTheme="majorBidi" w:hAnsiTheme="majorBidi" w:cstheme="majorBidi"/>
        </w:rPr>
        <w:t>ed</w:t>
      </w:r>
      <w:r w:rsidRPr="00025228">
        <w:rPr>
          <w:rFonts w:asciiTheme="majorBidi" w:hAnsiTheme="majorBidi" w:cstheme="majorBidi"/>
        </w:rPr>
        <w:t xml:space="preserve"> the convention of estimating sample size allowing for a Type II error rate of 0.20 (yielding 80 percent statistical power) and a Type I error rate of 0.05, with a two-tailed test. </w:t>
      </w:r>
    </w:p>
    <w:p w:rsidR="00410CF7" w:rsidRPr="00025228" w:rsidRDefault="00410CF7" w:rsidP="00410CF7">
      <w:pPr>
        <w:pStyle w:val="bodytext0"/>
        <w:spacing w:after="0"/>
        <w:ind w:left="0"/>
        <w:rPr>
          <w:rFonts w:asciiTheme="majorBidi" w:hAnsiTheme="majorBidi" w:cstheme="majorBidi"/>
        </w:rPr>
      </w:pPr>
    </w:p>
    <w:p w:rsidR="00B032EA" w:rsidRPr="00025228" w:rsidRDefault="003345E6" w:rsidP="003345E6">
      <w:pPr>
        <w:pStyle w:val="bodytext0"/>
        <w:ind w:left="0"/>
        <w:rPr>
          <w:rFonts w:asciiTheme="majorBidi" w:hAnsiTheme="majorBidi" w:cstheme="majorBidi"/>
        </w:rPr>
      </w:pPr>
      <w:r w:rsidRPr="00025228">
        <w:rPr>
          <w:rFonts w:asciiTheme="majorBidi" w:hAnsiTheme="majorBidi" w:cstheme="majorBidi"/>
        </w:rPr>
        <w:t>Figure G</w:t>
      </w:r>
      <w:r w:rsidR="00B032EA" w:rsidRPr="00025228">
        <w:rPr>
          <w:rFonts w:asciiTheme="majorBidi" w:hAnsiTheme="majorBidi" w:cstheme="majorBidi"/>
        </w:rPr>
        <w:t>-2 provides power curves describing the number of centers and observations per center needed to identify intervention impacts. As this figure indicates, we are appropriately sized to identify program impacts of 0.30 SD or greater given any of the following conditions:</w:t>
      </w:r>
    </w:p>
    <w:p w:rsidR="00B032EA" w:rsidRPr="00025228" w:rsidRDefault="00B032EA" w:rsidP="000860DB">
      <w:pPr>
        <w:pStyle w:val="bodytext0"/>
        <w:numPr>
          <w:ilvl w:val="0"/>
          <w:numId w:val="12"/>
        </w:numPr>
        <w:spacing w:after="0"/>
        <w:ind w:left="360"/>
        <w:rPr>
          <w:rFonts w:asciiTheme="majorBidi" w:hAnsiTheme="majorBidi" w:cstheme="majorBidi"/>
        </w:rPr>
      </w:pPr>
      <w:r w:rsidRPr="00025228">
        <w:rPr>
          <w:rFonts w:asciiTheme="majorBidi" w:hAnsiTheme="majorBidi" w:cstheme="majorBidi"/>
        </w:rPr>
        <w:t>10 centers per condition with complete data from 45 seniors per center</w:t>
      </w:r>
    </w:p>
    <w:p w:rsidR="00B032EA" w:rsidRPr="00025228" w:rsidRDefault="00B032EA" w:rsidP="000860DB">
      <w:pPr>
        <w:pStyle w:val="bodytext0"/>
        <w:numPr>
          <w:ilvl w:val="0"/>
          <w:numId w:val="12"/>
        </w:numPr>
        <w:spacing w:after="0"/>
        <w:ind w:left="360"/>
        <w:rPr>
          <w:rFonts w:asciiTheme="majorBidi" w:hAnsiTheme="majorBidi" w:cstheme="majorBidi"/>
        </w:rPr>
      </w:pPr>
      <w:r w:rsidRPr="00025228">
        <w:rPr>
          <w:rFonts w:asciiTheme="majorBidi" w:hAnsiTheme="majorBidi" w:cstheme="majorBidi"/>
        </w:rPr>
        <w:t>12 centers per condition with complete data from 25 seniors per center</w:t>
      </w:r>
    </w:p>
    <w:p w:rsidR="00B032EA" w:rsidRPr="00025228" w:rsidRDefault="00B032EA" w:rsidP="000860DB">
      <w:pPr>
        <w:pStyle w:val="bodytext0"/>
        <w:numPr>
          <w:ilvl w:val="0"/>
          <w:numId w:val="12"/>
        </w:numPr>
        <w:spacing w:after="0"/>
        <w:ind w:left="360"/>
        <w:rPr>
          <w:rFonts w:asciiTheme="majorBidi" w:hAnsiTheme="majorBidi" w:cstheme="majorBidi"/>
        </w:rPr>
      </w:pPr>
      <w:r w:rsidRPr="00025228">
        <w:rPr>
          <w:rFonts w:asciiTheme="majorBidi" w:hAnsiTheme="majorBidi" w:cstheme="majorBidi"/>
        </w:rPr>
        <w:t>14 centers per condition with complete data from 18 seniors per center</w:t>
      </w:r>
    </w:p>
    <w:p w:rsidR="00B032EA" w:rsidRPr="00025228" w:rsidRDefault="00B032EA" w:rsidP="000860DB">
      <w:pPr>
        <w:pStyle w:val="bodytext0"/>
        <w:numPr>
          <w:ilvl w:val="0"/>
          <w:numId w:val="12"/>
        </w:numPr>
        <w:spacing w:after="0"/>
        <w:ind w:left="360"/>
        <w:rPr>
          <w:rFonts w:asciiTheme="majorBidi" w:hAnsiTheme="majorBidi" w:cstheme="majorBidi"/>
        </w:rPr>
      </w:pPr>
      <w:r w:rsidRPr="00025228">
        <w:rPr>
          <w:rFonts w:asciiTheme="majorBidi" w:hAnsiTheme="majorBidi" w:cstheme="majorBidi"/>
        </w:rPr>
        <w:t>16 centers per condition with complete data from 14 seniors per center</w:t>
      </w:r>
    </w:p>
    <w:p w:rsidR="00B032EA" w:rsidRPr="00025228" w:rsidRDefault="00B032EA" w:rsidP="00B032EA">
      <w:pPr>
        <w:pStyle w:val="bodytext0"/>
        <w:rPr>
          <w:rFonts w:asciiTheme="majorBidi" w:hAnsiTheme="majorBidi" w:cstheme="majorBidi"/>
        </w:rPr>
      </w:pPr>
    </w:p>
    <w:p w:rsidR="00B032EA" w:rsidRPr="00025228" w:rsidRDefault="00B032EA" w:rsidP="00E77AF3">
      <w:pPr>
        <w:pStyle w:val="bodytext0"/>
        <w:ind w:left="0"/>
        <w:rPr>
          <w:rFonts w:asciiTheme="majorBidi" w:hAnsiTheme="majorBidi" w:cstheme="majorBidi"/>
        </w:rPr>
      </w:pPr>
      <w:r w:rsidRPr="00025228">
        <w:rPr>
          <w:rFonts w:asciiTheme="majorBidi" w:hAnsiTheme="majorBidi" w:cstheme="majorBidi"/>
        </w:rPr>
        <w:t>As can be seen by examining the sp</w:t>
      </w:r>
      <w:r w:rsidR="003345E6" w:rsidRPr="00025228">
        <w:rPr>
          <w:rFonts w:asciiTheme="majorBidi" w:hAnsiTheme="majorBidi" w:cstheme="majorBidi"/>
        </w:rPr>
        <w:t>acing of the curves in Figure G</w:t>
      </w:r>
      <w:r w:rsidRPr="00025228">
        <w:rPr>
          <w:rFonts w:asciiTheme="majorBidi" w:hAnsiTheme="majorBidi" w:cstheme="majorBidi"/>
        </w:rPr>
        <w:t xml:space="preserve">-2, there is an interesting relationship between the number of centers and the number of seniors surveyed per center. As the number of centers increases, the needed number of </w:t>
      </w:r>
      <w:proofErr w:type="gramStart"/>
      <w:r w:rsidRPr="00025228">
        <w:rPr>
          <w:rFonts w:asciiTheme="majorBidi" w:hAnsiTheme="majorBidi" w:cstheme="majorBidi"/>
        </w:rPr>
        <w:t>seniors</w:t>
      </w:r>
      <w:proofErr w:type="gramEnd"/>
      <w:r w:rsidRPr="00025228">
        <w:rPr>
          <w:rFonts w:asciiTheme="majorBidi" w:hAnsiTheme="majorBidi" w:cstheme="majorBidi"/>
        </w:rPr>
        <w:t xml:space="preserve"> drops, but the gain demonstrates a pattern of diminishing returns. Given cost and logistical considerations, including a review of average center size and expectations regarding response and participation rates, we will work with MSUE to recruit </w:t>
      </w:r>
      <w:r w:rsidR="00E77AF3">
        <w:rPr>
          <w:rFonts w:asciiTheme="majorBidi" w:hAnsiTheme="majorBidi" w:cstheme="majorBidi"/>
        </w:rPr>
        <w:t>at least 28</w:t>
      </w:r>
      <w:r w:rsidR="00E77AF3" w:rsidRPr="00025228">
        <w:rPr>
          <w:rFonts w:asciiTheme="majorBidi" w:hAnsiTheme="majorBidi" w:cstheme="majorBidi"/>
        </w:rPr>
        <w:t xml:space="preserve"> </w:t>
      </w:r>
      <w:r w:rsidRPr="00025228">
        <w:rPr>
          <w:rFonts w:asciiTheme="majorBidi" w:hAnsiTheme="majorBidi" w:cstheme="majorBidi"/>
        </w:rPr>
        <w:t xml:space="preserve">centers </w:t>
      </w:r>
      <w:r w:rsidR="00E77AF3">
        <w:rPr>
          <w:rFonts w:asciiTheme="majorBidi" w:hAnsiTheme="majorBidi" w:cstheme="majorBidi"/>
        </w:rPr>
        <w:t xml:space="preserve">(yielding </w:t>
      </w:r>
      <w:r w:rsidR="00E77AF3" w:rsidRPr="00025228">
        <w:rPr>
          <w:rFonts w:asciiTheme="majorBidi" w:hAnsiTheme="majorBidi" w:cstheme="majorBidi"/>
        </w:rPr>
        <w:t>14 centers per condition</w:t>
      </w:r>
      <w:r w:rsidR="00E77AF3">
        <w:rPr>
          <w:rFonts w:asciiTheme="majorBidi" w:hAnsiTheme="majorBidi" w:cstheme="majorBidi"/>
        </w:rPr>
        <w:t xml:space="preserve"> or greater)</w:t>
      </w:r>
      <w:r w:rsidR="00E77AF3" w:rsidRPr="00025228">
        <w:rPr>
          <w:rFonts w:asciiTheme="majorBidi" w:hAnsiTheme="majorBidi" w:cstheme="majorBidi"/>
        </w:rPr>
        <w:t xml:space="preserve"> </w:t>
      </w:r>
      <w:r w:rsidRPr="00025228">
        <w:rPr>
          <w:rFonts w:asciiTheme="majorBidi" w:hAnsiTheme="majorBidi" w:cstheme="majorBidi"/>
        </w:rPr>
        <w:t xml:space="preserve">with an average of no less than </w:t>
      </w:r>
      <w:r w:rsidR="00E77AF3">
        <w:rPr>
          <w:rFonts w:asciiTheme="majorBidi" w:hAnsiTheme="majorBidi" w:cstheme="majorBidi"/>
        </w:rPr>
        <w:t>4</w:t>
      </w:r>
      <w:r w:rsidR="00E77AF3" w:rsidRPr="00025228">
        <w:rPr>
          <w:rFonts w:asciiTheme="majorBidi" w:hAnsiTheme="majorBidi" w:cstheme="majorBidi"/>
        </w:rPr>
        <w:t xml:space="preserve">0 </w:t>
      </w:r>
      <w:r w:rsidRPr="00025228">
        <w:rPr>
          <w:rFonts w:asciiTheme="majorBidi" w:hAnsiTheme="majorBidi" w:cstheme="majorBidi"/>
        </w:rPr>
        <w:t xml:space="preserve">persons per center. This will provide a sample large enough to yield tests of intervention effects with a minimum of 80% statistical power.  </w:t>
      </w:r>
    </w:p>
    <w:p w:rsidR="00B032EA" w:rsidRPr="00025228" w:rsidRDefault="00B032EA" w:rsidP="00B032EA">
      <w:pPr>
        <w:rPr>
          <w:rFonts w:asciiTheme="majorBidi" w:hAnsiTheme="majorBidi" w:cstheme="majorBidi"/>
        </w:rPr>
      </w:pPr>
    </w:p>
    <w:p w:rsidR="00B032EA" w:rsidRPr="00025228" w:rsidRDefault="00B032EA" w:rsidP="00B032EA">
      <w:pPr>
        <w:pStyle w:val="FigureTitlecont"/>
        <w:rPr>
          <w:rFonts w:asciiTheme="majorBidi" w:hAnsiTheme="majorBidi" w:cstheme="majorBidi"/>
          <w:szCs w:val="24"/>
        </w:rPr>
      </w:pPr>
      <w:r w:rsidRPr="00025228">
        <w:rPr>
          <w:rFonts w:asciiTheme="majorBidi" w:hAnsiTheme="majorBidi" w:cstheme="majorBidi"/>
          <w:szCs w:val="24"/>
        </w:rPr>
        <w:t>F</w:t>
      </w:r>
      <w:r w:rsidRPr="00025228">
        <w:rPr>
          <w:rFonts w:asciiTheme="majorBidi" w:hAnsiTheme="majorBidi" w:cstheme="majorBidi"/>
          <w:smallCaps/>
          <w:szCs w:val="24"/>
        </w:rPr>
        <w:t>igure</w:t>
      </w:r>
      <w:r w:rsidR="003345E6" w:rsidRPr="00025228">
        <w:rPr>
          <w:rFonts w:asciiTheme="majorBidi" w:hAnsiTheme="majorBidi" w:cstheme="majorBidi"/>
          <w:szCs w:val="24"/>
        </w:rPr>
        <w:t xml:space="preserve"> G</w:t>
      </w:r>
      <w:r w:rsidRPr="00025228">
        <w:rPr>
          <w:rFonts w:asciiTheme="majorBidi" w:hAnsiTheme="majorBidi" w:cstheme="majorBidi"/>
          <w:szCs w:val="24"/>
        </w:rPr>
        <w:t xml:space="preserve">-2.—Power Curves Describing the Number of </w:t>
      </w:r>
      <w:r w:rsidR="0073324E">
        <w:rPr>
          <w:rFonts w:asciiTheme="majorBidi" w:hAnsiTheme="majorBidi" w:cstheme="majorBidi"/>
          <w:szCs w:val="24"/>
        </w:rPr>
        <w:t xml:space="preserve">Senior </w:t>
      </w:r>
      <w:r w:rsidRPr="00025228">
        <w:rPr>
          <w:rFonts w:asciiTheme="majorBidi" w:hAnsiTheme="majorBidi" w:cstheme="majorBidi"/>
          <w:szCs w:val="24"/>
        </w:rPr>
        <w:t>Centers and Observations per Center Needed to Identify Intervention Impacts</w:t>
      </w:r>
    </w:p>
    <w:p w:rsidR="00B032EA" w:rsidRPr="00025228" w:rsidRDefault="00B032EA" w:rsidP="00B032EA">
      <w:pPr>
        <w:rPr>
          <w:rFonts w:asciiTheme="majorBidi" w:hAnsiTheme="majorBidi" w:cstheme="majorBidi"/>
        </w:rPr>
      </w:pPr>
    </w:p>
    <w:p w:rsidR="00B032EA" w:rsidRPr="00025228" w:rsidRDefault="00B032EA" w:rsidP="00B032EA">
      <w:pPr>
        <w:rPr>
          <w:rFonts w:asciiTheme="majorBidi" w:eastAsia="MS Mincho" w:hAnsiTheme="majorBidi" w:cstheme="majorBidi"/>
          <w:b/>
          <w:noProof/>
        </w:rPr>
      </w:pPr>
      <w:r w:rsidRPr="00025228">
        <w:rPr>
          <w:rFonts w:asciiTheme="majorBidi" w:hAnsiTheme="majorBidi" w:cstheme="majorBidi"/>
          <w:noProof/>
        </w:rPr>
        <w:drawing>
          <wp:inline distT="0" distB="0" distL="0" distR="0">
            <wp:extent cx="4591050" cy="2752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591050" cy="2752725"/>
                    </a:xfrm>
                    <a:prstGeom prst="rect">
                      <a:avLst/>
                    </a:prstGeom>
                    <a:noFill/>
                    <a:ln w="9525">
                      <a:noFill/>
                      <a:miter lim="800000"/>
                      <a:headEnd/>
                      <a:tailEnd/>
                    </a:ln>
                  </pic:spPr>
                </pic:pic>
              </a:graphicData>
            </a:graphic>
          </wp:inline>
        </w:drawing>
      </w:r>
    </w:p>
    <w:p w:rsidR="00B032EA" w:rsidRPr="00025228" w:rsidRDefault="00B032EA" w:rsidP="00B032EA">
      <w:pPr>
        <w:pStyle w:val="Text"/>
        <w:rPr>
          <w:rFonts w:asciiTheme="majorBidi" w:hAnsiTheme="majorBidi" w:cstheme="majorBidi"/>
        </w:rPr>
      </w:pPr>
    </w:p>
    <w:p w:rsidR="006C3BBB" w:rsidRPr="00025228" w:rsidRDefault="00B032EA" w:rsidP="0009093C">
      <w:pPr>
        <w:pStyle w:val="ChapterSub2"/>
        <w:spacing w:before="0" w:after="0"/>
        <w:ind w:left="180"/>
        <w:rPr>
          <w:rFonts w:asciiTheme="majorBidi" w:hAnsiTheme="majorBidi" w:cstheme="majorBidi"/>
        </w:rPr>
      </w:pPr>
      <w:r w:rsidRPr="00025228">
        <w:rPr>
          <w:rFonts w:asciiTheme="majorBidi" w:hAnsiTheme="majorBidi" w:cstheme="majorBidi"/>
        </w:rPr>
        <w:br w:type="page"/>
      </w:r>
      <w:r w:rsidR="006C3BBB" w:rsidRPr="00025228">
        <w:rPr>
          <w:rFonts w:asciiTheme="majorBidi" w:hAnsiTheme="majorBidi" w:cstheme="majorBidi"/>
        </w:rPr>
        <w:lastRenderedPageBreak/>
        <w:t>References</w:t>
      </w:r>
      <w:bookmarkEnd w:id="3"/>
      <w:bookmarkEnd w:id="4"/>
    </w:p>
    <w:p w:rsidR="0095109F" w:rsidRPr="00025228" w:rsidRDefault="0095109F" w:rsidP="0009093C">
      <w:pPr>
        <w:pStyle w:val="ChapterSub2"/>
        <w:spacing w:before="0" w:after="0" w:line="120" w:lineRule="auto"/>
        <w:ind w:left="0"/>
        <w:rPr>
          <w:rFonts w:asciiTheme="majorBidi" w:hAnsiTheme="majorBidi" w:cstheme="majorBidi"/>
        </w:rPr>
      </w:pPr>
    </w:p>
    <w:p w:rsidR="0095109F" w:rsidRPr="00025228" w:rsidRDefault="0095109F" w:rsidP="0095109F">
      <w:pPr>
        <w:pStyle w:val="ChapterSub2"/>
        <w:pBdr>
          <w:top w:val="single" w:sz="8" w:space="1" w:color="000000"/>
        </w:pBdr>
        <w:spacing w:before="0" w:after="0"/>
        <w:rPr>
          <w:rFonts w:asciiTheme="majorBidi" w:hAnsiTheme="majorBidi" w:cstheme="majorBidi"/>
        </w:rPr>
      </w:pPr>
    </w:p>
    <w:p w:rsidR="0009093C" w:rsidRPr="00025228" w:rsidRDefault="0009093C" w:rsidP="00C507FE">
      <w:pPr>
        <w:pStyle w:val="biblio"/>
        <w:rPr>
          <w:rFonts w:asciiTheme="majorBidi" w:hAnsiTheme="majorBidi" w:cstheme="majorBidi"/>
          <w:szCs w:val="24"/>
        </w:rPr>
      </w:pPr>
    </w:p>
    <w:p w:rsidR="0009093C" w:rsidRPr="00025228" w:rsidRDefault="0009093C" w:rsidP="0009093C">
      <w:pPr>
        <w:ind w:left="720" w:hanging="540"/>
        <w:rPr>
          <w:rFonts w:asciiTheme="majorBidi" w:hAnsiTheme="majorBidi" w:cstheme="majorBidi"/>
        </w:rPr>
      </w:pPr>
      <w:proofErr w:type="gramStart"/>
      <w:r w:rsidRPr="00025228">
        <w:rPr>
          <w:rFonts w:asciiTheme="majorBidi" w:hAnsiTheme="majorBidi" w:cstheme="majorBidi"/>
        </w:rPr>
        <w:t>Baker, A. H. and J. Wardle (2003).</w:t>
      </w:r>
      <w:proofErr w:type="gramEnd"/>
      <w:r w:rsidRPr="00025228">
        <w:rPr>
          <w:rFonts w:asciiTheme="majorBidi" w:hAnsiTheme="majorBidi" w:cstheme="majorBidi"/>
        </w:rPr>
        <w:t xml:space="preserve"> "Sex differences in fruit and vegetable intake in older adults." </w:t>
      </w:r>
      <w:r w:rsidRPr="00025228">
        <w:rPr>
          <w:rFonts w:asciiTheme="majorBidi" w:hAnsiTheme="majorBidi" w:cstheme="majorBidi"/>
          <w:i/>
        </w:rPr>
        <w:t>Appetite,</w:t>
      </w:r>
      <w:r w:rsidRPr="00025228">
        <w:rPr>
          <w:rFonts w:asciiTheme="majorBidi" w:hAnsiTheme="majorBidi" w:cstheme="majorBidi"/>
        </w:rPr>
        <w:t xml:space="preserve"> </w:t>
      </w:r>
      <w:r w:rsidRPr="00025228">
        <w:rPr>
          <w:rFonts w:asciiTheme="majorBidi" w:hAnsiTheme="majorBidi" w:cstheme="majorBidi"/>
          <w:bCs/>
          <w:i/>
        </w:rPr>
        <w:t>40</w:t>
      </w:r>
      <w:r w:rsidRPr="00025228">
        <w:rPr>
          <w:rFonts w:asciiTheme="majorBidi" w:hAnsiTheme="majorBidi" w:cstheme="majorBidi"/>
        </w:rPr>
        <w:t>: 269-275.</w:t>
      </w:r>
    </w:p>
    <w:p w:rsidR="0009093C" w:rsidRPr="00025228" w:rsidRDefault="0009093C" w:rsidP="0009093C">
      <w:pPr>
        <w:pStyle w:val="biblio"/>
        <w:spacing w:after="0"/>
        <w:ind w:hanging="540"/>
        <w:rPr>
          <w:rFonts w:asciiTheme="majorBidi" w:hAnsiTheme="majorBidi" w:cstheme="majorBidi"/>
          <w:szCs w:val="24"/>
        </w:rPr>
      </w:pPr>
    </w:p>
    <w:p w:rsidR="006C3BBB" w:rsidRPr="00025228" w:rsidRDefault="006C3BBB" w:rsidP="00F473D4">
      <w:pPr>
        <w:pStyle w:val="biblio"/>
        <w:spacing w:after="0"/>
        <w:ind w:hanging="540"/>
        <w:rPr>
          <w:rFonts w:asciiTheme="majorBidi" w:hAnsiTheme="majorBidi" w:cstheme="majorBidi"/>
          <w:szCs w:val="24"/>
        </w:rPr>
      </w:pPr>
      <w:proofErr w:type="gramStart"/>
      <w:r w:rsidRPr="00025228">
        <w:rPr>
          <w:rFonts w:asciiTheme="majorBidi" w:hAnsiTheme="majorBidi" w:cstheme="majorBidi"/>
          <w:szCs w:val="24"/>
        </w:rPr>
        <w:t>Evans, W.</w:t>
      </w:r>
      <w:r w:rsidR="006F415E" w:rsidRPr="00025228">
        <w:rPr>
          <w:rFonts w:asciiTheme="majorBidi" w:hAnsiTheme="majorBidi" w:cstheme="majorBidi"/>
          <w:szCs w:val="24"/>
        </w:rPr>
        <w:t xml:space="preserve"> </w:t>
      </w:r>
      <w:r w:rsidRPr="00025228">
        <w:rPr>
          <w:rFonts w:asciiTheme="majorBidi" w:hAnsiTheme="majorBidi" w:cstheme="majorBidi"/>
          <w:szCs w:val="24"/>
        </w:rPr>
        <w:t xml:space="preserve">D., </w:t>
      </w:r>
      <w:proofErr w:type="spellStart"/>
      <w:r w:rsidRPr="00025228">
        <w:rPr>
          <w:rFonts w:asciiTheme="majorBidi" w:hAnsiTheme="majorBidi" w:cstheme="majorBidi"/>
          <w:szCs w:val="24"/>
        </w:rPr>
        <w:t>Necheles</w:t>
      </w:r>
      <w:proofErr w:type="spellEnd"/>
      <w:r w:rsidRPr="00025228">
        <w:rPr>
          <w:rFonts w:asciiTheme="majorBidi" w:hAnsiTheme="majorBidi" w:cstheme="majorBidi"/>
          <w:szCs w:val="24"/>
        </w:rPr>
        <w:t xml:space="preserve">, </w:t>
      </w:r>
      <w:r w:rsidR="006F415E" w:rsidRPr="00025228">
        <w:rPr>
          <w:rFonts w:asciiTheme="majorBidi" w:hAnsiTheme="majorBidi" w:cstheme="majorBidi"/>
          <w:szCs w:val="24"/>
        </w:rPr>
        <w:t xml:space="preserve">J., </w:t>
      </w:r>
      <w:r w:rsidRPr="00025228">
        <w:rPr>
          <w:rFonts w:asciiTheme="majorBidi" w:hAnsiTheme="majorBidi" w:cstheme="majorBidi"/>
          <w:szCs w:val="24"/>
        </w:rPr>
        <w:t xml:space="preserve">Longjohn, </w:t>
      </w:r>
      <w:r w:rsidR="006F415E" w:rsidRPr="00025228">
        <w:rPr>
          <w:rFonts w:asciiTheme="majorBidi" w:hAnsiTheme="majorBidi" w:cstheme="majorBidi"/>
          <w:szCs w:val="24"/>
        </w:rPr>
        <w:t xml:space="preserve">M., &amp; </w:t>
      </w:r>
      <w:proofErr w:type="spellStart"/>
      <w:r w:rsidR="004F2649" w:rsidRPr="00025228">
        <w:rPr>
          <w:rFonts w:asciiTheme="majorBidi" w:hAnsiTheme="majorBidi" w:cstheme="majorBidi"/>
          <w:szCs w:val="24"/>
        </w:rPr>
        <w:t>Christoffel</w:t>
      </w:r>
      <w:proofErr w:type="spellEnd"/>
      <w:r w:rsidR="006F415E" w:rsidRPr="00025228">
        <w:rPr>
          <w:rFonts w:asciiTheme="majorBidi" w:hAnsiTheme="majorBidi" w:cstheme="majorBidi"/>
          <w:szCs w:val="24"/>
        </w:rPr>
        <w:t>, K. K</w:t>
      </w:r>
      <w:r w:rsidR="004F2649" w:rsidRPr="00025228">
        <w:rPr>
          <w:rFonts w:asciiTheme="majorBidi" w:hAnsiTheme="majorBidi" w:cstheme="majorBidi"/>
          <w:szCs w:val="24"/>
        </w:rPr>
        <w:t xml:space="preserve">. </w:t>
      </w:r>
      <w:r w:rsidR="006F415E" w:rsidRPr="00025228">
        <w:rPr>
          <w:rFonts w:asciiTheme="majorBidi" w:hAnsiTheme="majorBidi" w:cstheme="majorBidi"/>
          <w:szCs w:val="24"/>
        </w:rPr>
        <w:t>(</w:t>
      </w:r>
      <w:r w:rsidR="004F2649" w:rsidRPr="00025228">
        <w:rPr>
          <w:rFonts w:asciiTheme="majorBidi" w:hAnsiTheme="majorBidi" w:cstheme="majorBidi"/>
          <w:szCs w:val="24"/>
        </w:rPr>
        <w:t>2007</w:t>
      </w:r>
      <w:r w:rsidR="006F415E" w:rsidRPr="00025228">
        <w:rPr>
          <w:rFonts w:asciiTheme="majorBidi" w:hAnsiTheme="majorBidi" w:cstheme="majorBidi"/>
          <w:szCs w:val="24"/>
        </w:rPr>
        <w:t>)</w:t>
      </w:r>
      <w:r w:rsidRPr="00025228">
        <w:rPr>
          <w:rFonts w:asciiTheme="majorBidi" w:hAnsiTheme="majorBidi" w:cstheme="majorBidi"/>
          <w:szCs w:val="24"/>
        </w:rPr>
        <w:t>.</w:t>
      </w:r>
      <w:proofErr w:type="gramEnd"/>
      <w:r w:rsidRPr="00025228">
        <w:rPr>
          <w:rFonts w:asciiTheme="majorBidi" w:hAnsiTheme="majorBidi" w:cstheme="majorBidi"/>
          <w:szCs w:val="24"/>
        </w:rPr>
        <w:t xml:space="preserve"> </w:t>
      </w:r>
      <w:r w:rsidR="00F473D4" w:rsidRPr="00025228">
        <w:rPr>
          <w:rFonts w:asciiTheme="majorBidi" w:hAnsiTheme="majorBidi" w:cstheme="majorBidi"/>
          <w:szCs w:val="24"/>
        </w:rPr>
        <w:t>"</w:t>
      </w:r>
      <w:r w:rsidRPr="00025228">
        <w:rPr>
          <w:rFonts w:asciiTheme="majorBidi" w:hAnsiTheme="majorBidi" w:cstheme="majorBidi"/>
          <w:szCs w:val="24"/>
        </w:rPr>
        <w:t xml:space="preserve">The 5-4-3-2-1 Go! </w:t>
      </w:r>
      <w:r w:rsidR="004F2649" w:rsidRPr="00025228">
        <w:rPr>
          <w:rFonts w:asciiTheme="majorBidi" w:hAnsiTheme="majorBidi" w:cstheme="majorBidi"/>
          <w:szCs w:val="24"/>
        </w:rPr>
        <w:t>Intervention</w:t>
      </w:r>
      <w:r w:rsidRPr="00025228">
        <w:rPr>
          <w:rFonts w:asciiTheme="majorBidi" w:hAnsiTheme="majorBidi" w:cstheme="majorBidi"/>
          <w:szCs w:val="24"/>
        </w:rPr>
        <w:t xml:space="preserve">: </w:t>
      </w:r>
      <w:r w:rsidR="004F2649" w:rsidRPr="00025228">
        <w:rPr>
          <w:rFonts w:asciiTheme="majorBidi" w:hAnsiTheme="majorBidi" w:cstheme="majorBidi"/>
          <w:szCs w:val="24"/>
        </w:rPr>
        <w:t>Social Marketing Str</w:t>
      </w:r>
      <w:r w:rsidRPr="00025228">
        <w:rPr>
          <w:rFonts w:asciiTheme="majorBidi" w:hAnsiTheme="majorBidi" w:cstheme="majorBidi"/>
          <w:szCs w:val="24"/>
        </w:rPr>
        <w:t xml:space="preserve">ategies for </w:t>
      </w:r>
      <w:r w:rsidR="004F2649" w:rsidRPr="00025228">
        <w:rPr>
          <w:rFonts w:asciiTheme="majorBidi" w:hAnsiTheme="majorBidi" w:cstheme="majorBidi"/>
          <w:szCs w:val="24"/>
        </w:rPr>
        <w:t>Nutrition</w:t>
      </w:r>
      <w:r w:rsidRPr="00025228">
        <w:rPr>
          <w:rFonts w:asciiTheme="majorBidi" w:hAnsiTheme="majorBidi" w:cstheme="majorBidi"/>
          <w:szCs w:val="24"/>
        </w:rPr>
        <w:t>.</w:t>
      </w:r>
      <w:r w:rsidR="00F473D4" w:rsidRPr="00025228">
        <w:rPr>
          <w:rFonts w:asciiTheme="majorBidi" w:hAnsiTheme="majorBidi" w:cstheme="majorBidi"/>
          <w:szCs w:val="24"/>
        </w:rPr>
        <w:t xml:space="preserve"> </w:t>
      </w:r>
      <w:proofErr w:type="gramStart"/>
      <w:r w:rsidR="00F473D4" w:rsidRPr="00025228">
        <w:rPr>
          <w:rFonts w:asciiTheme="majorBidi" w:hAnsiTheme="majorBidi" w:cstheme="majorBidi"/>
          <w:szCs w:val="24"/>
        </w:rPr>
        <w:t>"</w:t>
      </w:r>
      <w:r w:rsidRPr="00025228">
        <w:rPr>
          <w:rFonts w:asciiTheme="majorBidi" w:hAnsiTheme="majorBidi" w:cstheme="majorBidi"/>
          <w:szCs w:val="24"/>
        </w:rPr>
        <w:t xml:space="preserve"> </w:t>
      </w:r>
      <w:r w:rsidRPr="00025228">
        <w:rPr>
          <w:rFonts w:asciiTheme="majorBidi" w:hAnsiTheme="majorBidi" w:cstheme="majorBidi"/>
          <w:i/>
          <w:szCs w:val="24"/>
        </w:rPr>
        <w:t>Journal</w:t>
      </w:r>
      <w:proofErr w:type="gramEnd"/>
      <w:r w:rsidRPr="00025228">
        <w:rPr>
          <w:rFonts w:asciiTheme="majorBidi" w:hAnsiTheme="majorBidi" w:cstheme="majorBidi"/>
          <w:i/>
          <w:szCs w:val="24"/>
        </w:rPr>
        <w:t xml:space="preserve"> of Nutrition Education and Behavior</w:t>
      </w:r>
      <w:r w:rsidR="00F25644" w:rsidRPr="00025228">
        <w:rPr>
          <w:rFonts w:asciiTheme="majorBidi" w:hAnsiTheme="majorBidi" w:cstheme="majorBidi"/>
          <w:i/>
          <w:szCs w:val="24"/>
        </w:rPr>
        <w:t>,</w:t>
      </w:r>
      <w:r w:rsidRPr="00025228">
        <w:rPr>
          <w:rFonts w:asciiTheme="majorBidi" w:hAnsiTheme="majorBidi" w:cstheme="majorBidi"/>
          <w:i/>
          <w:szCs w:val="24"/>
        </w:rPr>
        <w:t xml:space="preserve"> 39</w:t>
      </w:r>
      <w:r w:rsidRPr="00025228">
        <w:rPr>
          <w:rFonts w:asciiTheme="majorBidi" w:hAnsiTheme="majorBidi" w:cstheme="majorBidi"/>
          <w:szCs w:val="24"/>
        </w:rPr>
        <w:t>(2, supplement 1)</w:t>
      </w:r>
      <w:r w:rsidR="006F415E" w:rsidRPr="00025228">
        <w:rPr>
          <w:rFonts w:asciiTheme="majorBidi" w:hAnsiTheme="majorBidi" w:cstheme="majorBidi"/>
          <w:szCs w:val="24"/>
        </w:rPr>
        <w:t xml:space="preserve">, </w:t>
      </w:r>
      <w:r w:rsidRPr="00025228">
        <w:rPr>
          <w:rFonts w:asciiTheme="majorBidi" w:hAnsiTheme="majorBidi" w:cstheme="majorBidi"/>
          <w:szCs w:val="24"/>
        </w:rPr>
        <w:t>s55</w:t>
      </w:r>
      <w:r w:rsidR="00F25644" w:rsidRPr="00025228">
        <w:rPr>
          <w:rFonts w:asciiTheme="majorBidi" w:hAnsiTheme="majorBidi" w:cstheme="majorBidi"/>
          <w:szCs w:val="24"/>
        </w:rPr>
        <w:t>–</w:t>
      </w:r>
      <w:r w:rsidRPr="00025228">
        <w:rPr>
          <w:rFonts w:asciiTheme="majorBidi" w:hAnsiTheme="majorBidi" w:cstheme="majorBidi"/>
          <w:szCs w:val="24"/>
        </w:rPr>
        <w:t>s59.</w:t>
      </w:r>
    </w:p>
    <w:p w:rsidR="0009093C" w:rsidRPr="00025228" w:rsidRDefault="0009093C" w:rsidP="0009093C">
      <w:pPr>
        <w:ind w:left="720" w:hanging="540"/>
        <w:rPr>
          <w:rFonts w:asciiTheme="majorBidi" w:hAnsiTheme="majorBidi" w:cstheme="majorBidi"/>
        </w:rPr>
      </w:pPr>
    </w:p>
    <w:p w:rsidR="0009093C" w:rsidRPr="00025228" w:rsidRDefault="0009093C" w:rsidP="0009093C">
      <w:pPr>
        <w:ind w:left="720" w:hanging="540"/>
        <w:rPr>
          <w:rFonts w:asciiTheme="majorBidi" w:hAnsiTheme="majorBidi" w:cstheme="majorBidi"/>
          <w:color w:val="1F497D"/>
        </w:rPr>
      </w:pPr>
      <w:r w:rsidRPr="00025228">
        <w:rPr>
          <w:rFonts w:asciiTheme="majorBidi" w:hAnsiTheme="majorBidi" w:cstheme="majorBidi"/>
        </w:rPr>
        <w:t>Greene, G. W., N. Fey-</w:t>
      </w:r>
      <w:proofErr w:type="spellStart"/>
      <w:r w:rsidRPr="00025228">
        <w:rPr>
          <w:rFonts w:asciiTheme="majorBidi" w:hAnsiTheme="majorBidi" w:cstheme="majorBidi"/>
        </w:rPr>
        <w:t>Yensan</w:t>
      </w:r>
      <w:proofErr w:type="spellEnd"/>
      <w:r w:rsidRPr="00025228">
        <w:rPr>
          <w:rFonts w:asciiTheme="majorBidi" w:hAnsiTheme="majorBidi" w:cstheme="majorBidi"/>
        </w:rPr>
        <w:t xml:space="preserve">, et al. (2008). "Change in fruit and vegetable intake over 24 months in older adults: Results of the SENIOR project intervention." </w:t>
      </w:r>
      <w:r w:rsidRPr="00025228">
        <w:rPr>
          <w:rFonts w:asciiTheme="majorBidi" w:hAnsiTheme="majorBidi" w:cstheme="majorBidi"/>
          <w:i/>
        </w:rPr>
        <w:t>The Gerontologist</w:t>
      </w:r>
      <w:r w:rsidRPr="00025228">
        <w:rPr>
          <w:rFonts w:asciiTheme="majorBidi" w:hAnsiTheme="majorBidi" w:cstheme="majorBidi"/>
        </w:rPr>
        <w:t xml:space="preserve"> </w:t>
      </w:r>
      <w:r w:rsidRPr="00025228">
        <w:rPr>
          <w:rFonts w:asciiTheme="majorBidi" w:hAnsiTheme="majorBidi" w:cstheme="majorBidi"/>
          <w:bCs/>
          <w:i/>
        </w:rPr>
        <w:t>48</w:t>
      </w:r>
      <w:r w:rsidRPr="00025228">
        <w:rPr>
          <w:rFonts w:asciiTheme="majorBidi" w:hAnsiTheme="majorBidi" w:cstheme="majorBidi"/>
        </w:rPr>
        <w:t>(3): 378-387.</w:t>
      </w:r>
    </w:p>
    <w:p w:rsidR="0009093C" w:rsidRPr="00025228" w:rsidRDefault="0009093C" w:rsidP="0009093C">
      <w:pPr>
        <w:pStyle w:val="biblio"/>
        <w:spacing w:after="0"/>
        <w:rPr>
          <w:rFonts w:asciiTheme="majorBidi" w:hAnsiTheme="majorBidi" w:cstheme="majorBidi"/>
          <w:szCs w:val="24"/>
        </w:rPr>
      </w:pPr>
    </w:p>
    <w:p w:rsidR="0009093C" w:rsidRPr="00025228" w:rsidRDefault="0009093C" w:rsidP="0009093C">
      <w:pPr>
        <w:ind w:left="720" w:hanging="540"/>
        <w:rPr>
          <w:rFonts w:asciiTheme="majorBidi" w:hAnsiTheme="majorBidi" w:cstheme="majorBidi"/>
          <w:bCs/>
        </w:rPr>
      </w:pPr>
      <w:proofErr w:type="gramStart"/>
      <w:r w:rsidRPr="00025228">
        <w:rPr>
          <w:rFonts w:asciiTheme="majorBidi" w:hAnsiTheme="majorBidi" w:cstheme="majorBidi"/>
        </w:rPr>
        <w:t xml:space="preserve">Juan, W. Y. and M. </w:t>
      </w:r>
      <w:proofErr w:type="spellStart"/>
      <w:r w:rsidRPr="00025228">
        <w:rPr>
          <w:rFonts w:asciiTheme="majorBidi" w:hAnsiTheme="majorBidi" w:cstheme="majorBidi"/>
        </w:rPr>
        <w:t>Lino</w:t>
      </w:r>
      <w:proofErr w:type="spellEnd"/>
      <w:r w:rsidRPr="00025228">
        <w:rPr>
          <w:rFonts w:asciiTheme="majorBidi" w:hAnsiTheme="majorBidi" w:cstheme="majorBidi"/>
        </w:rPr>
        <w:t xml:space="preserve"> (2007).</w:t>
      </w:r>
      <w:proofErr w:type="gramEnd"/>
      <w:r w:rsidRPr="00025228">
        <w:rPr>
          <w:rFonts w:asciiTheme="majorBidi" w:hAnsiTheme="majorBidi" w:cstheme="majorBidi"/>
        </w:rPr>
        <w:t xml:space="preserve"> </w:t>
      </w:r>
      <w:proofErr w:type="gramStart"/>
      <w:r w:rsidRPr="00025228">
        <w:rPr>
          <w:rFonts w:asciiTheme="majorBidi" w:hAnsiTheme="majorBidi" w:cstheme="majorBidi"/>
        </w:rPr>
        <w:t>Fruit and vegetable consumption by older Americans.</w:t>
      </w:r>
      <w:proofErr w:type="gramEnd"/>
      <w:r w:rsidRPr="00025228">
        <w:rPr>
          <w:rFonts w:asciiTheme="majorBidi" w:hAnsiTheme="majorBidi" w:cstheme="majorBidi"/>
        </w:rPr>
        <w:t xml:space="preserve"> </w:t>
      </w:r>
      <w:proofErr w:type="gramStart"/>
      <w:r w:rsidRPr="00025228">
        <w:rPr>
          <w:rFonts w:asciiTheme="majorBidi" w:hAnsiTheme="majorBidi" w:cstheme="majorBidi"/>
          <w:i/>
        </w:rPr>
        <w:t>Nutrition Insight, 34</w:t>
      </w:r>
      <w:r w:rsidR="00853F71" w:rsidRPr="00025228">
        <w:rPr>
          <w:rFonts w:asciiTheme="majorBidi" w:hAnsiTheme="majorBidi" w:cstheme="majorBidi"/>
        </w:rPr>
        <w:t>.</w:t>
      </w:r>
      <w:proofErr w:type="gramEnd"/>
      <w:r w:rsidR="00853F71" w:rsidRPr="00025228">
        <w:rPr>
          <w:rFonts w:asciiTheme="majorBidi" w:hAnsiTheme="majorBidi" w:cstheme="majorBidi"/>
        </w:rPr>
        <w:t xml:space="preserve"> </w:t>
      </w:r>
      <w:proofErr w:type="gramStart"/>
      <w:r w:rsidR="00853F71" w:rsidRPr="00025228">
        <w:rPr>
          <w:rFonts w:asciiTheme="majorBidi" w:hAnsiTheme="majorBidi" w:cstheme="majorBidi"/>
        </w:rPr>
        <w:t xml:space="preserve">Center for Nutrition Policy and </w:t>
      </w:r>
      <w:r w:rsidRPr="00025228">
        <w:rPr>
          <w:rFonts w:asciiTheme="majorBidi" w:hAnsiTheme="majorBidi" w:cstheme="majorBidi"/>
        </w:rPr>
        <w:t>Promotion.</w:t>
      </w:r>
      <w:proofErr w:type="gramEnd"/>
      <w:r w:rsidRPr="00025228">
        <w:rPr>
          <w:rFonts w:asciiTheme="majorBidi" w:hAnsiTheme="majorBidi" w:cstheme="majorBidi"/>
        </w:rPr>
        <w:t xml:space="preserve"> </w:t>
      </w:r>
      <w:proofErr w:type="gramStart"/>
      <w:r w:rsidRPr="00025228">
        <w:rPr>
          <w:rFonts w:asciiTheme="majorBidi" w:hAnsiTheme="majorBidi" w:cstheme="majorBidi"/>
        </w:rPr>
        <w:t>Alexandria, VA, United States Department of Agriculture.</w:t>
      </w:r>
      <w:proofErr w:type="gramEnd"/>
      <w:r w:rsidRPr="00025228">
        <w:rPr>
          <w:rFonts w:asciiTheme="majorBidi" w:hAnsiTheme="majorBidi" w:cstheme="majorBidi"/>
        </w:rPr>
        <w:t xml:space="preserve"> </w:t>
      </w:r>
    </w:p>
    <w:p w:rsidR="0009093C" w:rsidRPr="00025228" w:rsidRDefault="0009093C" w:rsidP="0009093C">
      <w:pPr>
        <w:pStyle w:val="biblio"/>
        <w:spacing w:after="0"/>
        <w:ind w:hanging="540"/>
        <w:rPr>
          <w:rFonts w:asciiTheme="majorBidi" w:hAnsiTheme="majorBidi" w:cstheme="majorBidi"/>
          <w:szCs w:val="24"/>
        </w:rPr>
      </w:pPr>
    </w:p>
    <w:p w:rsidR="006C3BBB" w:rsidRPr="00025228" w:rsidRDefault="006C3BBB" w:rsidP="0009093C">
      <w:pPr>
        <w:pStyle w:val="biblio"/>
        <w:spacing w:after="0"/>
        <w:ind w:hanging="540"/>
        <w:rPr>
          <w:rFonts w:asciiTheme="majorBidi" w:hAnsiTheme="majorBidi" w:cstheme="majorBidi"/>
          <w:szCs w:val="24"/>
        </w:rPr>
      </w:pPr>
      <w:proofErr w:type="spellStart"/>
      <w:r w:rsidRPr="00025228">
        <w:rPr>
          <w:rFonts w:asciiTheme="majorBidi" w:hAnsiTheme="majorBidi" w:cstheme="majorBidi"/>
          <w:szCs w:val="24"/>
        </w:rPr>
        <w:t>Knai</w:t>
      </w:r>
      <w:proofErr w:type="spellEnd"/>
      <w:r w:rsidRPr="00025228">
        <w:rPr>
          <w:rFonts w:asciiTheme="majorBidi" w:hAnsiTheme="majorBidi" w:cstheme="majorBidi"/>
          <w:szCs w:val="24"/>
        </w:rPr>
        <w:t xml:space="preserve">, C., </w:t>
      </w:r>
      <w:proofErr w:type="spellStart"/>
      <w:r w:rsidRPr="00025228">
        <w:rPr>
          <w:rFonts w:asciiTheme="majorBidi" w:hAnsiTheme="majorBidi" w:cstheme="majorBidi"/>
          <w:szCs w:val="24"/>
        </w:rPr>
        <w:t>Pomerleau</w:t>
      </w:r>
      <w:proofErr w:type="spellEnd"/>
      <w:r w:rsidRPr="00025228">
        <w:rPr>
          <w:rFonts w:asciiTheme="majorBidi" w:hAnsiTheme="majorBidi" w:cstheme="majorBidi"/>
          <w:szCs w:val="24"/>
        </w:rPr>
        <w:t xml:space="preserve">, </w:t>
      </w:r>
      <w:r w:rsidR="00B0240F" w:rsidRPr="00025228">
        <w:rPr>
          <w:rFonts w:asciiTheme="majorBidi" w:hAnsiTheme="majorBidi" w:cstheme="majorBidi"/>
          <w:szCs w:val="24"/>
        </w:rPr>
        <w:t xml:space="preserve">J., </w:t>
      </w:r>
      <w:r w:rsidRPr="00025228">
        <w:rPr>
          <w:rFonts w:asciiTheme="majorBidi" w:hAnsiTheme="majorBidi" w:cstheme="majorBidi"/>
          <w:szCs w:val="24"/>
        </w:rPr>
        <w:t xml:space="preserve">Lock, </w:t>
      </w:r>
      <w:r w:rsidR="006F415E" w:rsidRPr="00025228">
        <w:rPr>
          <w:rFonts w:asciiTheme="majorBidi" w:hAnsiTheme="majorBidi" w:cstheme="majorBidi"/>
          <w:szCs w:val="24"/>
        </w:rPr>
        <w:t xml:space="preserve">K., &amp; </w:t>
      </w:r>
      <w:r w:rsidR="004F2649" w:rsidRPr="00025228">
        <w:rPr>
          <w:rFonts w:asciiTheme="majorBidi" w:hAnsiTheme="majorBidi" w:cstheme="majorBidi"/>
          <w:szCs w:val="24"/>
        </w:rPr>
        <w:t>McKee</w:t>
      </w:r>
      <w:r w:rsidR="006F415E" w:rsidRPr="00025228">
        <w:rPr>
          <w:rFonts w:asciiTheme="majorBidi" w:hAnsiTheme="majorBidi" w:cstheme="majorBidi"/>
          <w:szCs w:val="24"/>
        </w:rPr>
        <w:t>, M</w:t>
      </w:r>
      <w:r w:rsidR="004F2649" w:rsidRPr="00025228">
        <w:rPr>
          <w:rFonts w:asciiTheme="majorBidi" w:hAnsiTheme="majorBidi" w:cstheme="majorBidi"/>
          <w:szCs w:val="24"/>
        </w:rPr>
        <w:t xml:space="preserve">. </w:t>
      </w:r>
      <w:r w:rsidR="00B0240F" w:rsidRPr="00025228">
        <w:rPr>
          <w:rFonts w:asciiTheme="majorBidi" w:hAnsiTheme="majorBidi" w:cstheme="majorBidi"/>
          <w:szCs w:val="24"/>
        </w:rPr>
        <w:t>(</w:t>
      </w:r>
      <w:r w:rsidR="004F2649" w:rsidRPr="00025228">
        <w:rPr>
          <w:rFonts w:asciiTheme="majorBidi" w:hAnsiTheme="majorBidi" w:cstheme="majorBidi"/>
          <w:szCs w:val="24"/>
        </w:rPr>
        <w:t>2006</w:t>
      </w:r>
      <w:r w:rsidR="00B0240F" w:rsidRPr="00025228">
        <w:rPr>
          <w:rFonts w:asciiTheme="majorBidi" w:hAnsiTheme="majorBidi" w:cstheme="majorBidi"/>
          <w:szCs w:val="24"/>
        </w:rPr>
        <w:t>)</w:t>
      </w:r>
      <w:r w:rsidRPr="00025228">
        <w:rPr>
          <w:rFonts w:asciiTheme="majorBidi" w:hAnsiTheme="majorBidi" w:cstheme="majorBidi"/>
          <w:szCs w:val="24"/>
        </w:rPr>
        <w:t xml:space="preserve">. </w:t>
      </w:r>
      <w:proofErr w:type="gramStart"/>
      <w:r w:rsidRPr="00025228">
        <w:rPr>
          <w:rFonts w:asciiTheme="majorBidi" w:hAnsiTheme="majorBidi" w:cstheme="majorBidi"/>
          <w:szCs w:val="24"/>
        </w:rPr>
        <w:t xml:space="preserve">Getting </w:t>
      </w:r>
      <w:r w:rsidR="00F473D4" w:rsidRPr="00025228">
        <w:rPr>
          <w:rFonts w:asciiTheme="majorBidi" w:hAnsiTheme="majorBidi" w:cstheme="majorBidi"/>
          <w:szCs w:val="24"/>
        </w:rPr>
        <w:t>c</w:t>
      </w:r>
      <w:r w:rsidR="004F2649" w:rsidRPr="00025228">
        <w:rPr>
          <w:rFonts w:asciiTheme="majorBidi" w:hAnsiTheme="majorBidi" w:cstheme="majorBidi"/>
          <w:szCs w:val="24"/>
        </w:rPr>
        <w:t xml:space="preserve">hildren </w:t>
      </w:r>
      <w:r w:rsidRPr="00025228">
        <w:rPr>
          <w:rFonts w:asciiTheme="majorBidi" w:hAnsiTheme="majorBidi" w:cstheme="majorBidi"/>
          <w:szCs w:val="24"/>
        </w:rPr>
        <w:t xml:space="preserve">to </w:t>
      </w:r>
      <w:r w:rsidR="00F473D4" w:rsidRPr="00025228">
        <w:rPr>
          <w:rFonts w:asciiTheme="majorBidi" w:hAnsiTheme="majorBidi" w:cstheme="majorBidi"/>
          <w:szCs w:val="24"/>
        </w:rPr>
        <w:t>eat more f</w:t>
      </w:r>
      <w:r w:rsidR="004F2649" w:rsidRPr="00025228">
        <w:rPr>
          <w:rFonts w:asciiTheme="majorBidi" w:hAnsiTheme="majorBidi" w:cstheme="majorBidi"/>
          <w:szCs w:val="24"/>
        </w:rPr>
        <w:t>ruit</w:t>
      </w:r>
      <w:r w:rsidRPr="00025228">
        <w:rPr>
          <w:rFonts w:asciiTheme="majorBidi" w:hAnsiTheme="majorBidi" w:cstheme="majorBidi"/>
          <w:szCs w:val="24"/>
        </w:rPr>
        <w:t xml:space="preserve"> and </w:t>
      </w:r>
      <w:r w:rsidR="00F473D4" w:rsidRPr="00025228">
        <w:rPr>
          <w:rFonts w:asciiTheme="majorBidi" w:hAnsiTheme="majorBidi" w:cstheme="majorBidi"/>
          <w:szCs w:val="24"/>
        </w:rPr>
        <w:t>v</w:t>
      </w:r>
      <w:r w:rsidR="004F2649" w:rsidRPr="00025228">
        <w:rPr>
          <w:rFonts w:asciiTheme="majorBidi" w:hAnsiTheme="majorBidi" w:cstheme="majorBidi"/>
          <w:szCs w:val="24"/>
        </w:rPr>
        <w:t>egetables</w:t>
      </w:r>
      <w:r w:rsidR="00F473D4" w:rsidRPr="00025228">
        <w:rPr>
          <w:rFonts w:asciiTheme="majorBidi" w:hAnsiTheme="majorBidi" w:cstheme="majorBidi"/>
          <w:szCs w:val="24"/>
        </w:rPr>
        <w:t>: a</w:t>
      </w:r>
      <w:r w:rsidRPr="00025228">
        <w:rPr>
          <w:rFonts w:asciiTheme="majorBidi" w:hAnsiTheme="majorBidi" w:cstheme="majorBidi"/>
          <w:szCs w:val="24"/>
        </w:rPr>
        <w:t xml:space="preserve"> </w:t>
      </w:r>
      <w:r w:rsidR="00F473D4" w:rsidRPr="00025228">
        <w:rPr>
          <w:rFonts w:asciiTheme="majorBidi" w:hAnsiTheme="majorBidi" w:cstheme="majorBidi"/>
          <w:szCs w:val="24"/>
        </w:rPr>
        <w:t>systematic r</w:t>
      </w:r>
      <w:r w:rsidR="004F2649" w:rsidRPr="00025228">
        <w:rPr>
          <w:rFonts w:asciiTheme="majorBidi" w:hAnsiTheme="majorBidi" w:cstheme="majorBidi"/>
          <w:szCs w:val="24"/>
        </w:rPr>
        <w:t>ev</w:t>
      </w:r>
      <w:r w:rsidRPr="00025228">
        <w:rPr>
          <w:rFonts w:asciiTheme="majorBidi" w:hAnsiTheme="majorBidi" w:cstheme="majorBidi"/>
          <w:szCs w:val="24"/>
        </w:rPr>
        <w:t>iew.</w:t>
      </w:r>
      <w:proofErr w:type="gramEnd"/>
      <w:r w:rsidRPr="00025228">
        <w:rPr>
          <w:rFonts w:asciiTheme="majorBidi" w:hAnsiTheme="majorBidi" w:cstheme="majorBidi"/>
          <w:szCs w:val="24"/>
        </w:rPr>
        <w:t xml:space="preserve"> </w:t>
      </w:r>
      <w:r w:rsidRPr="00025228">
        <w:rPr>
          <w:rFonts w:asciiTheme="majorBidi" w:hAnsiTheme="majorBidi" w:cstheme="majorBidi"/>
          <w:i/>
          <w:szCs w:val="24"/>
        </w:rPr>
        <w:t>Preventive Medicine</w:t>
      </w:r>
      <w:r w:rsidR="00F25644" w:rsidRPr="00025228">
        <w:rPr>
          <w:rFonts w:asciiTheme="majorBidi" w:hAnsiTheme="majorBidi" w:cstheme="majorBidi"/>
          <w:i/>
          <w:szCs w:val="24"/>
        </w:rPr>
        <w:t>,</w:t>
      </w:r>
      <w:r w:rsidRPr="00025228">
        <w:rPr>
          <w:rFonts w:asciiTheme="majorBidi" w:hAnsiTheme="majorBidi" w:cstheme="majorBidi"/>
          <w:i/>
          <w:szCs w:val="24"/>
        </w:rPr>
        <w:t xml:space="preserve"> 42</w:t>
      </w:r>
      <w:r w:rsidRPr="00025228">
        <w:rPr>
          <w:rFonts w:asciiTheme="majorBidi" w:hAnsiTheme="majorBidi" w:cstheme="majorBidi"/>
          <w:szCs w:val="24"/>
        </w:rPr>
        <w:t>(2)</w:t>
      </w:r>
      <w:r w:rsidR="00B0240F" w:rsidRPr="00025228">
        <w:rPr>
          <w:rFonts w:asciiTheme="majorBidi" w:hAnsiTheme="majorBidi" w:cstheme="majorBidi"/>
          <w:szCs w:val="24"/>
        </w:rPr>
        <w:t xml:space="preserve">, </w:t>
      </w:r>
      <w:r w:rsidRPr="00025228">
        <w:rPr>
          <w:rFonts w:asciiTheme="majorBidi" w:hAnsiTheme="majorBidi" w:cstheme="majorBidi"/>
          <w:szCs w:val="24"/>
        </w:rPr>
        <w:t>85</w:t>
      </w:r>
      <w:r w:rsidR="00F25644" w:rsidRPr="00025228">
        <w:rPr>
          <w:rFonts w:asciiTheme="majorBidi" w:hAnsiTheme="majorBidi" w:cstheme="majorBidi"/>
          <w:szCs w:val="24"/>
        </w:rPr>
        <w:t>–</w:t>
      </w:r>
      <w:r w:rsidRPr="00025228">
        <w:rPr>
          <w:rFonts w:asciiTheme="majorBidi" w:hAnsiTheme="majorBidi" w:cstheme="majorBidi"/>
          <w:szCs w:val="24"/>
        </w:rPr>
        <w:t>95.</w:t>
      </w:r>
    </w:p>
    <w:p w:rsidR="0009093C" w:rsidRPr="00025228" w:rsidRDefault="0009093C" w:rsidP="0009093C">
      <w:pPr>
        <w:pStyle w:val="biblio"/>
        <w:spacing w:after="0"/>
        <w:rPr>
          <w:rFonts w:asciiTheme="majorBidi" w:hAnsiTheme="majorBidi" w:cstheme="majorBidi"/>
          <w:szCs w:val="24"/>
        </w:rPr>
      </w:pPr>
    </w:p>
    <w:p w:rsidR="006C3BBB" w:rsidRPr="00025228" w:rsidRDefault="006C3BBB" w:rsidP="0009093C">
      <w:pPr>
        <w:pStyle w:val="biblio"/>
        <w:spacing w:after="0"/>
        <w:ind w:hanging="540"/>
        <w:rPr>
          <w:rFonts w:asciiTheme="majorBidi" w:hAnsiTheme="majorBidi" w:cstheme="majorBidi"/>
          <w:szCs w:val="24"/>
        </w:rPr>
      </w:pPr>
      <w:proofErr w:type="gramStart"/>
      <w:r w:rsidRPr="00025228">
        <w:rPr>
          <w:rFonts w:asciiTheme="majorBidi" w:hAnsiTheme="majorBidi" w:cstheme="majorBidi"/>
          <w:szCs w:val="24"/>
        </w:rPr>
        <w:t>Murray, D.</w:t>
      </w:r>
      <w:r w:rsidR="00B0240F" w:rsidRPr="00025228">
        <w:rPr>
          <w:rFonts w:asciiTheme="majorBidi" w:hAnsiTheme="majorBidi" w:cstheme="majorBidi"/>
          <w:szCs w:val="24"/>
        </w:rPr>
        <w:t xml:space="preserve"> </w:t>
      </w:r>
      <w:r w:rsidRPr="00025228">
        <w:rPr>
          <w:rFonts w:asciiTheme="majorBidi" w:hAnsiTheme="majorBidi" w:cstheme="majorBidi"/>
          <w:szCs w:val="24"/>
        </w:rPr>
        <w:t xml:space="preserve">M., Phillips, </w:t>
      </w:r>
      <w:r w:rsidR="00B0240F" w:rsidRPr="00025228">
        <w:rPr>
          <w:rFonts w:asciiTheme="majorBidi" w:hAnsiTheme="majorBidi" w:cstheme="majorBidi"/>
          <w:szCs w:val="24"/>
        </w:rPr>
        <w:t xml:space="preserve">G. </w:t>
      </w:r>
      <w:r w:rsidR="004F2649" w:rsidRPr="00025228">
        <w:rPr>
          <w:rFonts w:asciiTheme="majorBidi" w:hAnsiTheme="majorBidi" w:cstheme="majorBidi"/>
          <w:szCs w:val="24"/>
        </w:rPr>
        <w:t>A.</w:t>
      </w:r>
      <w:r w:rsidR="00B0240F" w:rsidRPr="00025228">
        <w:rPr>
          <w:rFonts w:asciiTheme="majorBidi" w:hAnsiTheme="majorBidi" w:cstheme="majorBidi"/>
          <w:szCs w:val="24"/>
        </w:rPr>
        <w:t>,</w:t>
      </w:r>
      <w:r w:rsidR="004F2649" w:rsidRPr="00025228">
        <w:rPr>
          <w:rFonts w:asciiTheme="majorBidi" w:hAnsiTheme="majorBidi" w:cstheme="majorBidi"/>
          <w:szCs w:val="24"/>
        </w:rPr>
        <w:t xml:space="preserve"> </w:t>
      </w:r>
      <w:r w:rsidRPr="00025228">
        <w:rPr>
          <w:rFonts w:asciiTheme="majorBidi" w:hAnsiTheme="majorBidi" w:cstheme="majorBidi"/>
          <w:szCs w:val="24"/>
        </w:rPr>
        <w:t xml:space="preserve">Birnbaum, </w:t>
      </w:r>
      <w:r w:rsidR="00B0240F" w:rsidRPr="00025228">
        <w:rPr>
          <w:rFonts w:asciiTheme="majorBidi" w:hAnsiTheme="majorBidi" w:cstheme="majorBidi"/>
          <w:szCs w:val="24"/>
        </w:rPr>
        <w:t xml:space="preserve">A. S., &amp; </w:t>
      </w:r>
      <w:r w:rsidRPr="00025228">
        <w:rPr>
          <w:rFonts w:asciiTheme="majorBidi" w:hAnsiTheme="majorBidi" w:cstheme="majorBidi"/>
          <w:szCs w:val="24"/>
        </w:rPr>
        <w:t>Lytle</w:t>
      </w:r>
      <w:r w:rsidR="00B0240F" w:rsidRPr="00025228">
        <w:rPr>
          <w:rFonts w:asciiTheme="majorBidi" w:hAnsiTheme="majorBidi" w:cstheme="majorBidi"/>
          <w:szCs w:val="24"/>
        </w:rPr>
        <w:t>, L. A</w:t>
      </w:r>
      <w:r w:rsidR="004F2649" w:rsidRPr="00025228">
        <w:rPr>
          <w:rFonts w:asciiTheme="majorBidi" w:hAnsiTheme="majorBidi" w:cstheme="majorBidi"/>
          <w:szCs w:val="24"/>
        </w:rPr>
        <w:t xml:space="preserve">. </w:t>
      </w:r>
      <w:r w:rsidR="00B0240F" w:rsidRPr="00025228">
        <w:rPr>
          <w:rFonts w:asciiTheme="majorBidi" w:hAnsiTheme="majorBidi" w:cstheme="majorBidi"/>
          <w:szCs w:val="24"/>
        </w:rPr>
        <w:t>(</w:t>
      </w:r>
      <w:r w:rsidR="004F2649" w:rsidRPr="00025228">
        <w:rPr>
          <w:rFonts w:asciiTheme="majorBidi" w:hAnsiTheme="majorBidi" w:cstheme="majorBidi"/>
          <w:szCs w:val="24"/>
        </w:rPr>
        <w:t>2001</w:t>
      </w:r>
      <w:r w:rsidR="00B0240F" w:rsidRPr="00025228">
        <w:rPr>
          <w:rFonts w:asciiTheme="majorBidi" w:hAnsiTheme="majorBidi" w:cstheme="majorBidi"/>
          <w:szCs w:val="24"/>
        </w:rPr>
        <w:t>)</w:t>
      </w:r>
      <w:r w:rsidRPr="00025228">
        <w:rPr>
          <w:rFonts w:asciiTheme="majorBidi" w:hAnsiTheme="majorBidi" w:cstheme="majorBidi"/>
          <w:szCs w:val="24"/>
        </w:rPr>
        <w:t>.</w:t>
      </w:r>
      <w:proofErr w:type="gramEnd"/>
      <w:r w:rsidRPr="00025228">
        <w:rPr>
          <w:rFonts w:asciiTheme="majorBidi" w:hAnsiTheme="majorBidi" w:cstheme="majorBidi"/>
          <w:szCs w:val="24"/>
        </w:rPr>
        <w:t xml:space="preserve"> Intraclass </w:t>
      </w:r>
      <w:r w:rsidR="004F2649" w:rsidRPr="00025228">
        <w:rPr>
          <w:rFonts w:asciiTheme="majorBidi" w:hAnsiTheme="majorBidi" w:cstheme="majorBidi"/>
          <w:szCs w:val="24"/>
        </w:rPr>
        <w:t xml:space="preserve">Correlation </w:t>
      </w:r>
      <w:r w:rsidRPr="00025228">
        <w:rPr>
          <w:rFonts w:asciiTheme="majorBidi" w:hAnsiTheme="majorBidi" w:cstheme="majorBidi"/>
          <w:szCs w:val="24"/>
        </w:rPr>
        <w:t xml:space="preserve">for </w:t>
      </w:r>
      <w:r w:rsidR="004F2649" w:rsidRPr="00025228">
        <w:rPr>
          <w:rFonts w:asciiTheme="majorBidi" w:hAnsiTheme="majorBidi" w:cstheme="majorBidi"/>
          <w:szCs w:val="24"/>
        </w:rPr>
        <w:t xml:space="preserve">Measures </w:t>
      </w:r>
      <w:r w:rsidRPr="00025228">
        <w:rPr>
          <w:rFonts w:asciiTheme="majorBidi" w:hAnsiTheme="majorBidi" w:cstheme="majorBidi"/>
          <w:szCs w:val="24"/>
        </w:rPr>
        <w:t xml:space="preserve">from a </w:t>
      </w:r>
      <w:r w:rsidR="004F2649" w:rsidRPr="00025228">
        <w:rPr>
          <w:rFonts w:asciiTheme="majorBidi" w:hAnsiTheme="majorBidi" w:cstheme="majorBidi"/>
          <w:szCs w:val="24"/>
        </w:rPr>
        <w:t>Middle School Nutrition Intervention S</w:t>
      </w:r>
      <w:r w:rsidRPr="00025228">
        <w:rPr>
          <w:rFonts w:asciiTheme="majorBidi" w:hAnsiTheme="majorBidi" w:cstheme="majorBidi"/>
          <w:szCs w:val="24"/>
        </w:rPr>
        <w:t xml:space="preserve">tudy: Estimates, </w:t>
      </w:r>
      <w:r w:rsidR="004F2649" w:rsidRPr="00025228">
        <w:rPr>
          <w:rFonts w:asciiTheme="majorBidi" w:hAnsiTheme="majorBidi" w:cstheme="majorBidi"/>
          <w:szCs w:val="24"/>
        </w:rPr>
        <w:t>Correlates</w:t>
      </w:r>
      <w:r w:rsidRPr="00025228">
        <w:rPr>
          <w:rFonts w:asciiTheme="majorBidi" w:hAnsiTheme="majorBidi" w:cstheme="majorBidi"/>
          <w:szCs w:val="24"/>
        </w:rPr>
        <w:t xml:space="preserve">, and </w:t>
      </w:r>
      <w:r w:rsidR="004F2649" w:rsidRPr="00025228">
        <w:rPr>
          <w:rFonts w:asciiTheme="majorBidi" w:hAnsiTheme="majorBidi" w:cstheme="majorBidi"/>
          <w:szCs w:val="24"/>
        </w:rPr>
        <w:t>Applications</w:t>
      </w:r>
      <w:r w:rsidRPr="00025228">
        <w:rPr>
          <w:rFonts w:asciiTheme="majorBidi" w:hAnsiTheme="majorBidi" w:cstheme="majorBidi"/>
          <w:szCs w:val="24"/>
        </w:rPr>
        <w:t xml:space="preserve">. </w:t>
      </w:r>
      <w:r w:rsidR="00F473D4" w:rsidRPr="00025228">
        <w:rPr>
          <w:rFonts w:asciiTheme="majorBidi" w:hAnsiTheme="majorBidi" w:cstheme="majorBidi"/>
          <w:i/>
          <w:szCs w:val="24"/>
        </w:rPr>
        <w:t>Health Education</w:t>
      </w:r>
      <w:r w:rsidRPr="00025228">
        <w:rPr>
          <w:rFonts w:asciiTheme="majorBidi" w:hAnsiTheme="majorBidi" w:cstheme="majorBidi"/>
          <w:i/>
          <w:szCs w:val="24"/>
        </w:rPr>
        <w:t xml:space="preserve"> and Behavior</w:t>
      </w:r>
      <w:r w:rsidR="00F25644" w:rsidRPr="00025228">
        <w:rPr>
          <w:rFonts w:asciiTheme="majorBidi" w:hAnsiTheme="majorBidi" w:cstheme="majorBidi"/>
          <w:i/>
          <w:szCs w:val="24"/>
        </w:rPr>
        <w:t>,</w:t>
      </w:r>
      <w:r w:rsidRPr="00025228">
        <w:rPr>
          <w:rFonts w:asciiTheme="majorBidi" w:hAnsiTheme="majorBidi" w:cstheme="majorBidi"/>
          <w:i/>
          <w:szCs w:val="24"/>
        </w:rPr>
        <w:t xml:space="preserve"> 28</w:t>
      </w:r>
      <w:r w:rsidRPr="00025228">
        <w:rPr>
          <w:rFonts w:asciiTheme="majorBidi" w:hAnsiTheme="majorBidi" w:cstheme="majorBidi"/>
          <w:szCs w:val="24"/>
        </w:rPr>
        <w:t>(6)</w:t>
      </w:r>
      <w:r w:rsidR="00B0240F" w:rsidRPr="00025228">
        <w:rPr>
          <w:rFonts w:asciiTheme="majorBidi" w:hAnsiTheme="majorBidi" w:cstheme="majorBidi"/>
          <w:szCs w:val="24"/>
        </w:rPr>
        <w:t xml:space="preserve">, </w:t>
      </w:r>
      <w:r w:rsidRPr="00025228">
        <w:rPr>
          <w:rFonts w:asciiTheme="majorBidi" w:hAnsiTheme="majorBidi" w:cstheme="majorBidi"/>
          <w:szCs w:val="24"/>
        </w:rPr>
        <w:t>666</w:t>
      </w:r>
      <w:r w:rsidR="00F25644" w:rsidRPr="00025228">
        <w:rPr>
          <w:rFonts w:asciiTheme="majorBidi" w:hAnsiTheme="majorBidi" w:cstheme="majorBidi"/>
          <w:szCs w:val="24"/>
        </w:rPr>
        <w:t>–</w:t>
      </w:r>
      <w:r w:rsidRPr="00025228">
        <w:rPr>
          <w:rFonts w:asciiTheme="majorBidi" w:hAnsiTheme="majorBidi" w:cstheme="majorBidi"/>
          <w:szCs w:val="24"/>
        </w:rPr>
        <w:t>679.</w:t>
      </w:r>
    </w:p>
    <w:p w:rsidR="0009093C" w:rsidRPr="00025228" w:rsidRDefault="0009093C" w:rsidP="0009093C">
      <w:pPr>
        <w:pStyle w:val="biblio"/>
        <w:spacing w:after="0"/>
        <w:rPr>
          <w:rFonts w:asciiTheme="majorBidi" w:hAnsiTheme="majorBidi" w:cstheme="majorBidi"/>
          <w:szCs w:val="24"/>
        </w:rPr>
      </w:pPr>
    </w:p>
    <w:p w:rsidR="0009093C" w:rsidRPr="00025228" w:rsidRDefault="0009093C" w:rsidP="0009093C">
      <w:pPr>
        <w:pStyle w:val="biblio"/>
        <w:spacing w:after="0"/>
        <w:ind w:hanging="540"/>
        <w:rPr>
          <w:rFonts w:asciiTheme="majorBidi" w:hAnsiTheme="majorBidi" w:cstheme="majorBidi"/>
          <w:szCs w:val="24"/>
        </w:rPr>
      </w:pPr>
      <w:proofErr w:type="gramStart"/>
      <w:r w:rsidRPr="00025228">
        <w:rPr>
          <w:rFonts w:asciiTheme="majorBidi" w:hAnsiTheme="majorBidi" w:cstheme="majorBidi"/>
          <w:szCs w:val="24"/>
        </w:rPr>
        <w:t>Murray, D. M. and J. L. Blitstein (2003).</w:t>
      </w:r>
      <w:proofErr w:type="gramEnd"/>
      <w:r w:rsidRPr="00025228">
        <w:rPr>
          <w:rFonts w:asciiTheme="majorBidi" w:hAnsiTheme="majorBidi" w:cstheme="majorBidi"/>
          <w:szCs w:val="24"/>
        </w:rPr>
        <w:t xml:space="preserve"> </w:t>
      </w:r>
      <w:proofErr w:type="gramStart"/>
      <w:r w:rsidRPr="00025228">
        <w:rPr>
          <w:rFonts w:asciiTheme="majorBidi" w:hAnsiTheme="majorBidi" w:cstheme="majorBidi"/>
          <w:szCs w:val="24"/>
        </w:rPr>
        <w:t>"Methods to reduce the impact of intraclass correlation in group-randomized trials."</w:t>
      </w:r>
      <w:proofErr w:type="gramEnd"/>
      <w:r w:rsidRPr="00025228">
        <w:rPr>
          <w:rFonts w:asciiTheme="majorBidi" w:hAnsiTheme="majorBidi" w:cstheme="majorBidi"/>
          <w:szCs w:val="24"/>
        </w:rPr>
        <w:t xml:space="preserve"> </w:t>
      </w:r>
      <w:r w:rsidRPr="00025228">
        <w:rPr>
          <w:rFonts w:asciiTheme="majorBidi" w:hAnsiTheme="majorBidi" w:cstheme="majorBidi"/>
          <w:i/>
          <w:szCs w:val="24"/>
        </w:rPr>
        <w:t xml:space="preserve">Evaluation Review </w:t>
      </w:r>
      <w:r w:rsidRPr="00025228">
        <w:rPr>
          <w:rFonts w:asciiTheme="majorBidi" w:hAnsiTheme="majorBidi" w:cstheme="majorBidi"/>
          <w:bCs w:val="0"/>
          <w:i/>
          <w:szCs w:val="24"/>
        </w:rPr>
        <w:t>27</w:t>
      </w:r>
      <w:r w:rsidRPr="00025228">
        <w:rPr>
          <w:rFonts w:asciiTheme="majorBidi" w:hAnsiTheme="majorBidi" w:cstheme="majorBidi"/>
          <w:szCs w:val="24"/>
        </w:rPr>
        <w:t>(1): 79-103.</w:t>
      </w:r>
    </w:p>
    <w:p w:rsidR="0009093C" w:rsidRPr="00025228" w:rsidRDefault="0009093C" w:rsidP="0009093C">
      <w:pPr>
        <w:pStyle w:val="biblio"/>
        <w:spacing w:after="0"/>
        <w:rPr>
          <w:rFonts w:asciiTheme="majorBidi" w:hAnsiTheme="majorBidi" w:cstheme="majorBidi"/>
          <w:szCs w:val="24"/>
        </w:rPr>
      </w:pPr>
    </w:p>
    <w:p w:rsidR="006C3BBB" w:rsidRPr="00025228" w:rsidRDefault="006C3BBB" w:rsidP="0009093C">
      <w:pPr>
        <w:pStyle w:val="biblio"/>
        <w:spacing w:after="0"/>
        <w:ind w:hanging="540"/>
        <w:rPr>
          <w:rFonts w:asciiTheme="majorBidi" w:hAnsiTheme="majorBidi" w:cstheme="majorBidi"/>
          <w:szCs w:val="24"/>
        </w:rPr>
      </w:pPr>
      <w:proofErr w:type="spellStart"/>
      <w:proofErr w:type="gramStart"/>
      <w:r w:rsidRPr="00025228">
        <w:rPr>
          <w:rFonts w:asciiTheme="majorBidi" w:hAnsiTheme="majorBidi" w:cstheme="majorBidi"/>
          <w:szCs w:val="24"/>
        </w:rPr>
        <w:t>Resnicow</w:t>
      </w:r>
      <w:proofErr w:type="spellEnd"/>
      <w:r w:rsidRPr="00025228">
        <w:rPr>
          <w:rFonts w:asciiTheme="majorBidi" w:hAnsiTheme="majorBidi" w:cstheme="majorBidi"/>
          <w:szCs w:val="24"/>
        </w:rPr>
        <w:t xml:space="preserve">, K., Smith, </w:t>
      </w:r>
      <w:r w:rsidR="00B0240F" w:rsidRPr="00025228">
        <w:rPr>
          <w:rFonts w:asciiTheme="majorBidi" w:hAnsiTheme="majorBidi" w:cstheme="majorBidi"/>
          <w:szCs w:val="24"/>
        </w:rPr>
        <w:t xml:space="preserve">M., </w:t>
      </w:r>
      <w:proofErr w:type="spellStart"/>
      <w:r w:rsidRPr="00025228">
        <w:rPr>
          <w:rFonts w:asciiTheme="majorBidi" w:hAnsiTheme="majorBidi" w:cstheme="majorBidi"/>
          <w:szCs w:val="24"/>
        </w:rPr>
        <w:t>Baranowski</w:t>
      </w:r>
      <w:proofErr w:type="spellEnd"/>
      <w:r w:rsidRPr="00025228">
        <w:rPr>
          <w:rFonts w:asciiTheme="majorBidi" w:hAnsiTheme="majorBidi" w:cstheme="majorBidi"/>
          <w:szCs w:val="24"/>
        </w:rPr>
        <w:t xml:space="preserve">, </w:t>
      </w:r>
      <w:r w:rsidR="00B0240F" w:rsidRPr="00025228">
        <w:rPr>
          <w:rFonts w:asciiTheme="majorBidi" w:hAnsiTheme="majorBidi" w:cstheme="majorBidi"/>
          <w:szCs w:val="24"/>
        </w:rPr>
        <w:t xml:space="preserve">T., </w:t>
      </w:r>
      <w:proofErr w:type="spellStart"/>
      <w:r w:rsidRPr="00025228">
        <w:rPr>
          <w:rFonts w:asciiTheme="majorBidi" w:hAnsiTheme="majorBidi" w:cstheme="majorBidi"/>
          <w:szCs w:val="24"/>
        </w:rPr>
        <w:t>Baranowski</w:t>
      </w:r>
      <w:proofErr w:type="spellEnd"/>
      <w:r w:rsidRPr="00025228">
        <w:rPr>
          <w:rFonts w:asciiTheme="majorBidi" w:hAnsiTheme="majorBidi" w:cstheme="majorBidi"/>
          <w:szCs w:val="24"/>
        </w:rPr>
        <w:t xml:space="preserve">, </w:t>
      </w:r>
      <w:r w:rsidR="00B0240F" w:rsidRPr="00025228">
        <w:rPr>
          <w:rFonts w:asciiTheme="majorBidi" w:hAnsiTheme="majorBidi" w:cstheme="majorBidi"/>
          <w:szCs w:val="24"/>
        </w:rPr>
        <w:t xml:space="preserve">J., </w:t>
      </w:r>
      <w:r w:rsidR="004F2649" w:rsidRPr="00025228">
        <w:rPr>
          <w:rFonts w:asciiTheme="majorBidi" w:hAnsiTheme="majorBidi" w:cstheme="majorBidi"/>
          <w:szCs w:val="24"/>
        </w:rPr>
        <w:t xml:space="preserve">Vaughan, </w:t>
      </w:r>
      <w:r w:rsidR="00B0240F" w:rsidRPr="00025228">
        <w:rPr>
          <w:rFonts w:asciiTheme="majorBidi" w:hAnsiTheme="majorBidi" w:cstheme="majorBidi"/>
          <w:szCs w:val="24"/>
        </w:rPr>
        <w:t>R., &amp;</w:t>
      </w:r>
      <w:r w:rsidR="004F2649" w:rsidRPr="00025228">
        <w:rPr>
          <w:rFonts w:asciiTheme="majorBidi" w:hAnsiTheme="majorBidi" w:cstheme="majorBidi"/>
          <w:szCs w:val="24"/>
        </w:rPr>
        <w:t xml:space="preserve"> Davis</w:t>
      </w:r>
      <w:r w:rsidR="00B0240F" w:rsidRPr="00025228">
        <w:rPr>
          <w:rFonts w:asciiTheme="majorBidi" w:hAnsiTheme="majorBidi" w:cstheme="majorBidi"/>
          <w:szCs w:val="24"/>
        </w:rPr>
        <w:t>, M</w:t>
      </w:r>
      <w:r w:rsidR="004F2649" w:rsidRPr="00025228">
        <w:rPr>
          <w:rFonts w:asciiTheme="majorBidi" w:hAnsiTheme="majorBidi" w:cstheme="majorBidi"/>
          <w:szCs w:val="24"/>
        </w:rPr>
        <w:t xml:space="preserve">. </w:t>
      </w:r>
      <w:r w:rsidR="00B0240F" w:rsidRPr="00025228">
        <w:rPr>
          <w:rFonts w:asciiTheme="majorBidi" w:hAnsiTheme="majorBidi" w:cstheme="majorBidi"/>
          <w:szCs w:val="24"/>
        </w:rPr>
        <w:t>(</w:t>
      </w:r>
      <w:r w:rsidR="004F2649" w:rsidRPr="00025228">
        <w:rPr>
          <w:rFonts w:asciiTheme="majorBidi" w:hAnsiTheme="majorBidi" w:cstheme="majorBidi"/>
          <w:szCs w:val="24"/>
        </w:rPr>
        <w:t>1998</w:t>
      </w:r>
      <w:r w:rsidR="00B0240F" w:rsidRPr="00025228">
        <w:rPr>
          <w:rFonts w:asciiTheme="majorBidi" w:hAnsiTheme="majorBidi" w:cstheme="majorBidi"/>
          <w:szCs w:val="24"/>
        </w:rPr>
        <w:t>)</w:t>
      </w:r>
      <w:r w:rsidRPr="00025228">
        <w:rPr>
          <w:rFonts w:asciiTheme="majorBidi" w:hAnsiTheme="majorBidi" w:cstheme="majorBidi"/>
          <w:szCs w:val="24"/>
        </w:rPr>
        <w:t>.</w:t>
      </w:r>
      <w:proofErr w:type="gramEnd"/>
      <w:r w:rsidRPr="00025228">
        <w:rPr>
          <w:rFonts w:asciiTheme="majorBidi" w:hAnsiTheme="majorBidi" w:cstheme="majorBidi"/>
          <w:szCs w:val="24"/>
        </w:rPr>
        <w:t xml:space="preserve"> </w:t>
      </w:r>
      <w:proofErr w:type="gramStart"/>
      <w:r w:rsidR="00F473D4" w:rsidRPr="00025228">
        <w:rPr>
          <w:rFonts w:asciiTheme="majorBidi" w:hAnsiTheme="majorBidi" w:cstheme="majorBidi"/>
          <w:szCs w:val="24"/>
        </w:rPr>
        <w:t>"</w:t>
      </w:r>
      <w:r w:rsidRPr="00025228">
        <w:rPr>
          <w:rFonts w:asciiTheme="majorBidi" w:hAnsiTheme="majorBidi" w:cstheme="majorBidi"/>
          <w:szCs w:val="24"/>
        </w:rPr>
        <w:t>Two-</w:t>
      </w:r>
      <w:r w:rsidR="00F473D4" w:rsidRPr="00025228">
        <w:rPr>
          <w:rFonts w:asciiTheme="majorBidi" w:hAnsiTheme="majorBidi" w:cstheme="majorBidi"/>
          <w:szCs w:val="24"/>
        </w:rPr>
        <w:t>year t</w:t>
      </w:r>
      <w:r w:rsidR="004F2649" w:rsidRPr="00025228">
        <w:rPr>
          <w:rFonts w:asciiTheme="majorBidi" w:hAnsiTheme="majorBidi" w:cstheme="majorBidi"/>
          <w:szCs w:val="24"/>
        </w:rPr>
        <w:t>ra</w:t>
      </w:r>
      <w:r w:rsidRPr="00025228">
        <w:rPr>
          <w:rFonts w:asciiTheme="majorBidi" w:hAnsiTheme="majorBidi" w:cstheme="majorBidi"/>
          <w:szCs w:val="24"/>
        </w:rPr>
        <w:t>cking of</w:t>
      </w:r>
      <w:r w:rsidR="00F473D4" w:rsidRPr="00025228">
        <w:rPr>
          <w:rFonts w:asciiTheme="majorBidi" w:hAnsiTheme="majorBidi" w:cstheme="majorBidi"/>
          <w:szCs w:val="24"/>
        </w:rPr>
        <w:t xml:space="preserve"> children’s f</w:t>
      </w:r>
      <w:r w:rsidR="004F2649" w:rsidRPr="00025228">
        <w:rPr>
          <w:rFonts w:asciiTheme="majorBidi" w:hAnsiTheme="majorBidi" w:cstheme="majorBidi"/>
          <w:szCs w:val="24"/>
        </w:rPr>
        <w:t>r</w:t>
      </w:r>
      <w:r w:rsidRPr="00025228">
        <w:rPr>
          <w:rFonts w:asciiTheme="majorBidi" w:hAnsiTheme="majorBidi" w:cstheme="majorBidi"/>
          <w:szCs w:val="24"/>
        </w:rPr>
        <w:t xml:space="preserve">uit and </w:t>
      </w:r>
      <w:r w:rsidR="00F473D4" w:rsidRPr="00025228">
        <w:rPr>
          <w:rFonts w:asciiTheme="majorBidi" w:hAnsiTheme="majorBidi" w:cstheme="majorBidi"/>
          <w:szCs w:val="24"/>
        </w:rPr>
        <w:t>vegetable i</w:t>
      </w:r>
      <w:r w:rsidR="004F2649" w:rsidRPr="00025228">
        <w:rPr>
          <w:rFonts w:asciiTheme="majorBidi" w:hAnsiTheme="majorBidi" w:cstheme="majorBidi"/>
          <w:szCs w:val="24"/>
        </w:rPr>
        <w:t>n</w:t>
      </w:r>
      <w:r w:rsidRPr="00025228">
        <w:rPr>
          <w:rFonts w:asciiTheme="majorBidi" w:hAnsiTheme="majorBidi" w:cstheme="majorBidi"/>
          <w:szCs w:val="24"/>
        </w:rPr>
        <w:t>take.</w:t>
      </w:r>
      <w:r w:rsidR="00F473D4" w:rsidRPr="00025228">
        <w:rPr>
          <w:rFonts w:asciiTheme="majorBidi" w:hAnsiTheme="majorBidi" w:cstheme="majorBidi"/>
          <w:szCs w:val="24"/>
        </w:rPr>
        <w:t>"</w:t>
      </w:r>
      <w:proofErr w:type="gramEnd"/>
      <w:r w:rsidRPr="00025228">
        <w:rPr>
          <w:rFonts w:asciiTheme="majorBidi" w:hAnsiTheme="majorBidi" w:cstheme="majorBidi"/>
          <w:szCs w:val="24"/>
        </w:rPr>
        <w:t xml:space="preserve"> </w:t>
      </w:r>
      <w:r w:rsidRPr="00025228">
        <w:rPr>
          <w:rFonts w:asciiTheme="majorBidi" w:hAnsiTheme="majorBidi" w:cstheme="majorBidi"/>
          <w:i/>
          <w:szCs w:val="24"/>
        </w:rPr>
        <w:t>Journal of the American Dietetic Association, 98</w:t>
      </w:r>
      <w:r w:rsidRPr="00025228">
        <w:rPr>
          <w:rFonts w:asciiTheme="majorBidi" w:hAnsiTheme="majorBidi" w:cstheme="majorBidi"/>
          <w:szCs w:val="24"/>
        </w:rPr>
        <w:t>(7)</w:t>
      </w:r>
      <w:r w:rsidR="00B0240F" w:rsidRPr="00025228">
        <w:rPr>
          <w:rFonts w:asciiTheme="majorBidi" w:hAnsiTheme="majorBidi" w:cstheme="majorBidi"/>
          <w:szCs w:val="24"/>
        </w:rPr>
        <w:t xml:space="preserve">, </w:t>
      </w:r>
      <w:r w:rsidRPr="00025228">
        <w:rPr>
          <w:rFonts w:asciiTheme="majorBidi" w:hAnsiTheme="majorBidi" w:cstheme="majorBidi"/>
          <w:szCs w:val="24"/>
        </w:rPr>
        <w:t>785</w:t>
      </w:r>
      <w:r w:rsidR="00F25644" w:rsidRPr="00025228">
        <w:rPr>
          <w:rFonts w:asciiTheme="majorBidi" w:hAnsiTheme="majorBidi" w:cstheme="majorBidi"/>
          <w:szCs w:val="24"/>
        </w:rPr>
        <w:t>–</w:t>
      </w:r>
      <w:r w:rsidRPr="00025228">
        <w:rPr>
          <w:rFonts w:asciiTheme="majorBidi" w:hAnsiTheme="majorBidi" w:cstheme="majorBidi"/>
          <w:szCs w:val="24"/>
        </w:rPr>
        <w:t>789.</w:t>
      </w:r>
    </w:p>
    <w:p w:rsidR="006C3BBB" w:rsidRPr="00025228" w:rsidRDefault="006C3BBB" w:rsidP="00C507FE">
      <w:pPr>
        <w:pStyle w:val="bodytext0"/>
        <w:rPr>
          <w:rFonts w:asciiTheme="majorBidi" w:hAnsiTheme="majorBidi" w:cstheme="majorBidi"/>
        </w:rPr>
      </w:pPr>
    </w:p>
    <w:p w:rsidR="007164F9" w:rsidRPr="00025228" w:rsidRDefault="007164F9" w:rsidP="00C507FE">
      <w:pPr>
        <w:pStyle w:val="bodytext0"/>
        <w:rPr>
          <w:rFonts w:asciiTheme="majorBidi" w:hAnsiTheme="majorBidi" w:cstheme="majorBidi"/>
        </w:rPr>
      </w:pPr>
    </w:p>
    <w:p w:rsidR="007164F9" w:rsidRPr="00025228" w:rsidRDefault="007164F9" w:rsidP="007164F9">
      <w:pPr>
        <w:rPr>
          <w:rFonts w:asciiTheme="majorBidi" w:hAnsiTheme="majorBidi" w:cstheme="majorBidi"/>
          <w:b/>
          <w:bCs/>
        </w:rPr>
      </w:pPr>
    </w:p>
    <w:p w:rsidR="007164F9" w:rsidRPr="00025228" w:rsidRDefault="007164F9" w:rsidP="007164F9">
      <w:pPr>
        <w:rPr>
          <w:rFonts w:asciiTheme="majorBidi" w:hAnsiTheme="majorBidi" w:cstheme="majorBidi"/>
        </w:rPr>
      </w:pPr>
    </w:p>
    <w:p w:rsidR="007164F9" w:rsidRPr="00025228" w:rsidRDefault="007164F9" w:rsidP="007164F9">
      <w:pPr>
        <w:ind w:firstLine="720"/>
        <w:rPr>
          <w:rFonts w:asciiTheme="majorBidi" w:hAnsiTheme="majorBidi" w:cstheme="majorBidi"/>
          <w:b/>
          <w:bCs/>
        </w:rPr>
      </w:pPr>
    </w:p>
    <w:p w:rsidR="007164F9" w:rsidRPr="00025228" w:rsidRDefault="007164F9" w:rsidP="007164F9">
      <w:pPr>
        <w:ind w:firstLine="720"/>
        <w:rPr>
          <w:rFonts w:asciiTheme="majorBidi" w:hAnsiTheme="majorBidi" w:cstheme="majorBidi"/>
        </w:rPr>
      </w:pPr>
      <w:r w:rsidRPr="00025228">
        <w:rPr>
          <w:rFonts w:asciiTheme="majorBidi" w:hAnsiTheme="majorBidi" w:cstheme="majorBidi"/>
        </w:rPr>
        <w:t>.</w:t>
      </w:r>
    </w:p>
    <w:p w:rsidR="007164F9" w:rsidRPr="00025228" w:rsidRDefault="007164F9" w:rsidP="00C507FE">
      <w:pPr>
        <w:pStyle w:val="bodytext0"/>
        <w:rPr>
          <w:rFonts w:asciiTheme="majorBidi" w:hAnsiTheme="majorBidi" w:cstheme="majorBidi"/>
        </w:rPr>
      </w:pPr>
    </w:p>
    <w:sectPr w:rsidR="007164F9" w:rsidRPr="00025228" w:rsidSect="000860DB">
      <w:headerReference w:type="default" r:id="rId12"/>
      <w:footerReference w:type="default" r:id="rId13"/>
      <w:headerReference w:type="first" r:id="rId14"/>
      <w:footerReference w:type="first" r:id="rId15"/>
      <w:pgSz w:w="12240" w:h="15840"/>
      <w:pgMar w:top="1008" w:right="1152" w:bottom="1008" w:left="1152" w:header="720" w:footer="322"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212" w:rsidRDefault="00833212" w:rsidP="00C65D54">
      <w:r>
        <w:separator/>
      </w:r>
    </w:p>
  </w:endnote>
  <w:endnote w:type="continuationSeparator" w:id="0">
    <w:p w:rsidR="00833212" w:rsidRDefault="00833212" w:rsidP="00C65D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DB" w:rsidRDefault="000860DB">
    <w:pPr>
      <w:pStyle w:val="Footer"/>
      <w:jc w:val="right"/>
    </w:pPr>
  </w:p>
  <w:p w:rsidR="002E0D1F" w:rsidRPr="003B1DC3" w:rsidRDefault="002E0D1F" w:rsidP="003B1DC3">
    <w:pPr>
      <w:pStyle w:val="Footer"/>
      <w:tabs>
        <w:tab w:val="left" w:pos="296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512" w:rsidRPr="003113E5" w:rsidRDefault="00172918" w:rsidP="00891B91">
    <w:pPr>
      <w:pStyle w:val="Footer"/>
      <w:jc w:val="right"/>
      <w:rPr>
        <w:rFonts w:asciiTheme="minorHAnsi" w:hAnsiTheme="minorHAnsi"/>
        <w:i/>
        <w:sz w:val="20"/>
        <w:szCs w:val="20"/>
      </w:rPr>
    </w:pPr>
    <w:r w:rsidRPr="003113E5">
      <w:rPr>
        <w:rFonts w:asciiTheme="minorHAnsi" w:hAnsiTheme="minorHAnsi"/>
        <w:i/>
        <w:sz w:val="20"/>
        <w:szCs w:val="20"/>
      </w:rPr>
      <w:fldChar w:fldCharType="begin"/>
    </w:r>
    <w:r w:rsidR="00E65512" w:rsidRPr="003113E5">
      <w:rPr>
        <w:rFonts w:asciiTheme="minorHAnsi" w:hAnsiTheme="minorHAnsi"/>
        <w:i/>
        <w:sz w:val="20"/>
        <w:szCs w:val="20"/>
      </w:rPr>
      <w:instrText xml:space="preserve"> PAGE   \* MERGEFORMAT </w:instrText>
    </w:r>
    <w:r w:rsidRPr="003113E5">
      <w:rPr>
        <w:rFonts w:asciiTheme="minorHAnsi" w:hAnsiTheme="minorHAnsi"/>
        <w:i/>
        <w:sz w:val="20"/>
        <w:szCs w:val="20"/>
      </w:rPr>
      <w:fldChar w:fldCharType="separate"/>
    </w:r>
    <w:r w:rsidR="000860DB">
      <w:rPr>
        <w:rFonts w:asciiTheme="minorHAnsi" w:hAnsiTheme="minorHAnsi"/>
        <w:i/>
        <w:noProof/>
        <w:sz w:val="20"/>
        <w:szCs w:val="20"/>
      </w:rPr>
      <w:t>2</w:t>
    </w:r>
    <w:r w:rsidRPr="003113E5">
      <w:rPr>
        <w:rFonts w:asciiTheme="minorHAnsi" w:hAnsiTheme="minorHAnsi"/>
        <w:i/>
        <w:sz w:val="20"/>
        <w:szCs w:val="20"/>
      </w:rPr>
      <w:fldChar w:fldCharType="end"/>
    </w:r>
  </w:p>
  <w:p w:rsidR="002E0D1F" w:rsidRDefault="002E0D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12582"/>
      <w:docPartObj>
        <w:docPartGallery w:val="Page Numbers (Bottom of Page)"/>
        <w:docPartUnique/>
      </w:docPartObj>
    </w:sdtPr>
    <w:sdtContent>
      <w:p w:rsidR="000860DB" w:rsidRDefault="00172918">
        <w:pPr>
          <w:pStyle w:val="Footer"/>
          <w:jc w:val="right"/>
        </w:pPr>
        <w:fldSimple w:instr=" PAGE   \* MERGEFORMAT ">
          <w:r w:rsidR="00E80445">
            <w:rPr>
              <w:noProof/>
            </w:rPr>
            <w:t>5</w:t>
          </w:r>
        </w:fldSimple>
      </w:p>
    </w:sdtContent>
  </w:sdt>
  <w:p w:rsidR="000860DB" w:rsidRPr="003B1DC3" w:rsidRDefault="000860DB" w:rsidP="003B1DC3">
    <w:pPr>
      <w:pStyle w:val="Footer"/>
      <w:tabs>
        <w:tab w:val="left" w:pos="2966"/>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12579"/>
      <w:docPartObj>
        <w:docPartGallery w:val="Page Numbers (Bottom of Page)"/>
        <w:docPartUnique/>
      </w:docPartObj>
    </w:sdtPr>
    <w:sdtContent>
      <w:p w:rsidR="000860DB" w:rsidRDefault="00172918">
        <w:pPr>
          <w:pStyle w:val="Footer"/>
          <w:jc w:val="right"/>
        </w:pPr>
        <w:fldSimple w:instr=" PAGE   \* MERGEFORMAT ">
          <w:r w:rsidR="00E80445">
            <w:rPr>
              <w:noProof/>
            </w:rPr>
            <w:t>1</w:t>
          </w:r>
        </w:fldSimple>
      </w:p>
    </w:sdtContent>
  </w:sdt>
  <w:p w:rsidR="000860DB" w:rsidRDefault="000860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212" w:rsidRDefault="00833212" w:rsidP="00C65D54">
      <w:r>
        <w:separator/>
      </w:r>
    </w:p>
  </w:footnote>
  <w:footnote w:type="continuationSeparator" w:id="0">
    <w:p w:rsidR="00833212" w:rsidRDefault="00833212" w:rsidP="00C65D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512" w:rsidRDefault="00E65512" w:rsidP="00E65512">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49F" w:rsidRPr="00454423" w:rsidRDefault="00E2749F" w:rsidP="00454423">
    <w:pPr>
      <w:pStyle w:val="Header"/>
      <w:jc w:val="right"/>
      <w:rPr>
        <w:rFonts w:ascii="Arial" w:hAnsi="Arial" w:cs="Arial"/>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49F" w:rsidRPr="00454423" w:rsidRDefault="00E2749F" w:rsidP="004544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87E55B0"/>
    <w:lvl w:ilvl="0">
      <w:start w:val="1"/>
      <w:numFmt w:val="bullet"/>
      <w:lvlText w:val=""/>
      <w:lvlJc w:val="left"/>
      <w:pPr>
        <w:tabs>
          <w:tab w:val="num" w:pos="720"/>
        </w:tabs>
        <w:ind w:left="720" w:hanging="360"/>
      </w:pPr>
      <w:rPr>
        <w:rFonts w:ascii="Symbol" w:hAnsi="Symbol" w:hint="default"/>
      </w:rPr>
    </w:lvl>
  </w:abstractNum>
  <w:abstractNum w:abstractNumId="1">
    <w:nsid w:val="06CD14B2"/>
    <w:multiLevelType w:val="hybridMultilevel"/>
    <w:tmpl w:val="48040EAA"/>
    <w:lvl w:ilvl="0" w:tplc="13B0A6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79631F7"/>
    <w:multiLevelType w:val="hybridMultilevel"/>
    <w:tmpl w:val="74484FE2"/>
    <w:lvl w:ilvl="0" w:tplc="DA80D992">
      <w:start w:val="1"/>
      <w:numFmt w:val="bullet"/>
      <w:pStyle w:val="Tabletext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DB7E7C"/>
    <w:multiLevelType w:val="hybridMultilevel"/>
    <w:tmpl w:val="48DA2542"/>
    <w:lvl w:ilvl="0" w:tplc="D840C50A">
      <w:start w:val="1"/>
      <w:numFmt w:val="bullet"/>
      <w:pStyle w:val="bullet2"/>
      <w:lvlText w:val="–"/>
      <w:lvlJc w:val="left"/>
      <w:pPr>
        <w:ind w:left="1080" w:hanging="360"/>
      </w:pPr>
      <w:rPr>
        <w:rFonts w:ascii="Times New Roman" w:hAnsi="Times New Roman" w:cs="Times New Roman" w:hint="default"/>
        <w:b w:val="0"/>
        <w:i w:val="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8A2616F"/>
    <w:multiLevelType w:val="hybridMultilevel"/>
    <w:tmpl w:val="74B4B636"/>
    <w:lvl w:ilvl="0" w:tplc="401019DC">
      <w:start w:val="1"/>
      <w:numFmt w:val="decimal"/>
      <w:pStyle w:val="ChapterSub2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573DB2"/>
    <w:multiLevelType w:val="hybridMultilevel"/>
    <w:tmpl w:val="2DF80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2FB2CC0"/>
    <w:multiLevelType w:val="hybridMultilevel"/>
    <w:tmpl w:val="D722D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19425DB"/>
    <w:multiLevelType w:val="hybridMultilevel"/>
    <w:tmpl w:val="DEE2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9E761D"/>
    <w:multiLevelType w:val="hybridMultilevel"/>
    <w:tmpl w:val="ED906AE6"/>
    <w:lvl w:ilvl="0" w:tplc="8D9899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B72A4C"/>
    <w:multiLevelType w:val="hybridMultilevel"/>
    <w:tmpl w:val="0C9E7F14"/>
    <w:lvl w:ilvl="0" w:tplc="C72EE9C4">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042C37"/>
    <w:multiLevelType w:val="hybridMultilevel"/>
    <w:tmpl w:val="96023BE4"/>
    <w:lvl w:ilvl="0" w:tplc="EF6ED2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1"/>
  </w:num>
  <w:num w:numId="4">
    <w:abstractNumId w:val="5"/>
  </w:num>
  <w:num w:numId="5">
    <w:abstractNumId w:val="6"/>
  </w:num>
  <w:num w:numId="6">
    <w:abstractNumId w:val="3"/>
  </w:num>
  <w:num w:numId="7">
    <w:abstractNumId w:val="3"/>
  </w:num>
  <w:num w:numId="8">
    <w:abstractNumId w:val="4"/>
  </w:num>
  <w:num w:numId="9">
    <w:abstractNumId w:val="2"/>
  </w:num>
  <w:num w:numId="10">
    <w:abstractNumId w:val="9"/>
  </w:num>
  <w:num w:numId="11">
    <w:abstractNumId w:val="3"/>
    <w:lvlOverride w:ilvl="0">
      <w:startOverride w:val="1"/>
    </w:lvlOverride>
  </w:num>
  <w:num w:numId="12">
    <w:abstractNumId w:val="7"/>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SortMethod w:val="0000"/>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s>
  <w:rsids>
    <w:rsidRoot w:val="006C3BBB"/>
    <w:rsid w:val="00001BFF"/>
    <w:rsid w:val="00003059"/>
    <w:rsid w:val="00013DC6"/>
    <w:rsid w:val="00015357"/>
    <w:rsid w:val="000206AF"/>
    <w:rsid w:val="00021ACC"/>
    <w:rsid w:val="00021B5E"/>
    <w:rsid w:val="00023127"/>
    <w:rsid w:val="00025228"/>
    <w:rsid w:val="000268E6"/>
    <w:rsid w:val="00032382"/>
    <w:rsid w:val="00032A01"/>
    <w:rsid w:val="0004062E"/>
    <w:rsid w:val="00041C11"/>
    <w:rsid w:val="00042117"/>
    <w:rsid w:val="0004427C"/>
    <w:rsid w:val="000443D7"/>
    <w:rsid w:val="000467C4"/>
    <w:rsid w:val="00046A89"/>
    <w:rsid w:val="00047884"/>
    <w:rsid w:val="00050543"/>
    <w:rsid w:val="000531B7"/>
    <w:rsid w:val="00053F8C"/>
    <w:rsid w:val="00055791"/>
    <w:rsid w:val="00064BC4"/>
    <w:rsid w:val="00067D4D"/>
    <w:rsid w:val="00070AE2"/>
    <w:rsid w:val="00072000"/>
    <w:rsid w:val="00073845"/>
    <w:rsid w:val="0007528B"/>
    <w:rsid w:val="00075B33"/>
    <w:rsid w:val="00075EC9"/>
    <w:rsid w:val="0008002A"/>
    <w:rsid w:val="0008002E"/>
    <w:rsid w:val="00083BC9"/>
    <w:rsid w:val="000860DB"/>
    <w:rsid w:val="0008751F"/>
    <w:rsid w:val="0009093C"/>
    <w:rsid w:val="0009098A"/>
    <w:rsid w:val="00093365"/>
    <w:rsid w:val="000944EE"/>
    <w:rsid w:val="0009635A"/>
    <w:rsid w:val="00096840"/>
    <w:rsid w:val="000978C0"/>
    <w:rsid w:val="000A51FA"/>
    <w:rsid w:val="000A57ED"/>
    <w:rsid w:val="000A6F6C"/>
    <w:rsid w:val="000B03FE"/>
    <w:rsid w:val="000B298D"/>
    <w:rsid w:val="000B3269"/>
    <w:rsid w:val="000B4AC5"/>
    <w:rsid w:val="000B56B0"/>
    <w:rsid w:val="000B6A2D"/>
    <w:rsid w:val="000B7918"/>
    <w:rsid w:val="000C087A"/>
    <w:rsid w:val="000C3FBC"/>
    <w:rsid w:val="000C4D74"/>
    <w:rsid w:val="000C6246"/>
    <w:rsid w:val="000C6E11"/>
    <w:rsid w:val="000C6E62"/>
    <w:rsid w:val="000C6E9C"/>
    <w:rsid w:val="000C6F13"/>
    <w:rsid w:val="000D2857"/>
    <w:rsid w:val="000D4B57"/>
    <w:rsid w:val="000D5B27"/>
    <w:rsid w:val="000D75BD"/>
    <w:rsid w:val="000D76A0"/>
    <w:rsid w:val="000E0418"/>
    <w:rsid w:val="000E4CC2"/>
    <w:rsid w:val="000E7D3C"/>
    <w:rsid w:val="000F0396"/>
    <w:rsid w:val="000F07E1"/>
    <w:rsid w:val="000F1381"/>
    <w:rsid w:val="000F37B2"/>
    <w:rsid w:val="000F3DFE"/>
    <w:rsid w:val="000F61BC"/>
    <w:rsid w:val="000F6371"/>
    <w:rsid w:val="00102ED9"/>
    <w:rsid w:val="00103F2F"/>
    <w:rsid w:val="0010476E"/>
    <w:rsid w:val="0010511C"/>
    <w:rsid w:val="00107F0F"/>
    <w:rsid w:val="0011242C"/>
    <w:rsid w:val="0011490D"/>
    <w:rsid w:val="001151C2"/>
    <w:rsid w:val="0012050C"/>
    <w:rsid w:val="00124C17"/>
    <w:rsid w:val="001253C7"/>
    <w:rsid w:val="00126B56"/>
    <w:rsid w:val="00127D65"/>
    <w:rsid w:val="001300E0"/>
    <w:rsid w:val="00132C56"/>
    <w:rsid w:val="001360B8"/>
    <w:rsid w:val="001407CF"/>
    <w:rsid w:val="00142C1B"/>
    <w:rsid w:val="00142D30"/>
    <w:rsid w:val="00143C4A"/>
    <w:rsid w:val="001442B7"/>
    <w:rsid w:val="00145C9D"/>
    <w:rsid w:val="00145E60"/>
    <w:rsid w:val="00150424"/>
    <w:rsid w:val="00150A76"/>
    <w:rsid w:val="0015436A"/>
    <w:rsid w:val="0015560C"/>
    <w:rsid w:val="00155BA9"/>
    <w:rsid w:val="00157A04"/>
    <w:rsid w:val="00160FB6"/>
    <w:rsid w:val="00163DA3"/>
    <w:rsid w:val="001677F0"/>
    <w:rsid w:val="001720A4"/>
    <w:rsid w:val="00172918"/>
    <w:rsid w:val="00172A35"/>
    <w:rsid w:val="00173C9E"/>
    <w:rsid w:val="00184E81"/>
    <w:rsid w:val="001851AA"/>
    <w:rsid w:val="00185678"/>
    <w:rsid w:val="00186466"/>
    <w:rsid w:val="001872DE"/>
    <w:rsid w:val="00187E8C"/>
    <w:rsid w:val="001903D2"/>
    <w:rsid w:val="00190EA7"/>
    <w:rsid w:val="00192FF7"/>
    <w:rsid w:val="001A1AC9"/>
    <w:rsid w:val="001A1B7A"/>
    <w:rsid w:val="001A2B8E"/>
    <w:rsid w:val="001A6A9B"/>
    <w:rsid w:val="001B12D4"/>
    <w:rsid w:val="001B71CF"/>
    <w:rsid w:val="001C1DEE"/>
    <w:rsid w:val="001C436C"/>
    <w:rsid w:val="001C4D3F"/>
    <w:rsid w:val="001C5E1E"/>
    <w:rsid w:val="001C6648"/>
    <w:rsid w:val="001C6D2A"/>
    <w:rsid w:val="001C7AF4"/>
    <w:rsid w:val="001D72E8"/>
    <w:rsid w:val="001E040A"/>
    <w:rsid w:val="001E238C"/>
    <w:rsid w:val="001E2C50"/>
    <w:rsid w:val="001E4844"/>
    <w:rsid w:val="001E4A37"/>
    <w:rsid w:val="001E65DA"/>
    <w:rsid w:val="001E6CC9"/>
    <w:rsid w:val="001F0CFF"/>
    <w:rsid w:val="001F1D21"/>
    <w:rsid w:val="001F32FD"/>
    <w:rsid w:val="001F4E39"/>
    <w:rsid w:val="001F5A27"/>
    <w:rsid w:val="001F5B85"/>
    <w:rsid w:val="00200ED8"/>
    <w:rsid w:val="00203518"/>
    <w:rsid w:val="00203E9D"/>
    <w:rsid w:val="00205B4C"/>
    <w:rsid w:val="00210178"/>
    <w:rsid w:val="00211EBB"/>
    <w:rsid w:val="00214CB3"/>
    <w:rsid w:val="00216E94"/>
    <w:rsid w:val="002255F9"/>
    <w:rsid w:val="00225A9A"/>
    <w:rsid w:val="00225D62"/>
    <w:rsid w:val="0023078A"/>
    <w:rsid w:val="00232E25"/>
    <w:rsid w:val="00233810"/>
    <w:rsid w:val="00234121"/>
    <w:rsid w:val="00235934"/>
    <w:rsid w:val="00237911"/>
    <w:rsid w:val="00240E30"/>
    <w:rsid w:val="002412F3"/>
    <w:rsid w:val="00241E0B"/>
    <w:rsid w:val="0024459D"/>
    <w:rsid w:val="002459D6"/>
    <w:rsid w:val="0024663F"/>
    <w:rsid w:val="002532C5"/>
    <w:rsid w:val="0025560B"/>
    <w:rsid w:val="002558B1"/>
    <w:rsid w:val="00257082"/>
    <w:rsid w:val="00257278"/>
    <w:rsid w:val="00260E49"/>
    <w:rsid w:val="00260EE0"/>
    <w:rsid w:val="002612D8"/>
    <w:rsid w:val="0026186C"/>
    <w:rsid w:val="00264B89"/>
    <w:rsid w:val="00273EC7"/>
    <w:rsid w:val="002779AC"/>
    <w:rsid w:val="00281230"/>
    <w:rsid w:val="0028342C"/>
    <w:rsid w:val="0028345E"/>
    <w:rsid w:val="00286FFB"/>
    <w:rsid w:val="00287B28"/>
    <w:rsid w:val="002913C2"/>
    <w:rsid w:val="00294D50"/>
    <w:rsid w:val="002975CA"/>
    <w:rsid w:val="002A1881"/>
    <w:rsid w:val="002A197E"/>
    <w:rsid w:val="002A36AF"/>
    <w:rsid w:val="002A4B49"/>
    <w:rsid w:val="002A5780"/>
    <w:rsid w:val="002B1084"/>
    <w:rsid w:val="002B33A1"/>
    <w:rsid w:val="002B358C"/>
    <w:rsid w:val="002B3A91"/>
    <w:rsid w:val="002B3BA5"/>
    <w:rsid w:val="002B3FE7"/>
    <w:rsid w:val="002B40FA"/>
    <w:rsid w:val="002B77E6"/>
    <w:rsid w:val="002C1291"/>
    <w:rsid w:val="002C2F77"/>
    <w:rsid w:val="002C4DEC"/>
    <w:rsid w:val="002C5FC4"/>
    <w:rsid w:val="002D0255"/>
    <w:rsid w:val="002D155A"/>
    <w:rsid w:val="002D2FFA"/>
    <w:rsid w:val="002D31D3"/>
    <w:rsid w:val="002D599E"/>
    <w:rsid w:val="002D6F2B"/>
    <w:rsid w:val="002E02EF"/>
    <w:rsid w:val="002E0D1F"/>
    <w:rsid w:val="002E147D"/>
    <w:rsid w:val="002E289E"/>
    <w:rsid w:val="002E3E6D"/>
    <w:rsid w:val="002E3EDA"/>
    <w:rsid w:val="002E56CD"/>
    <w:rsid w:val="002E6215"/>
    <w:rsid w:val="002E7D3F"/>
    <w:rsid w:val="002F105C"/>
    <w:rsid w:val="002F6CB1"/>
    <w:rsid w:val="003015B5"/>
    <w:rsid w:val="003026A0"/>
    <w:rsid w:val="003030CC"/>
    <w:rsid w:val="00305008"/>
    <w:rsid w:val="003115C2"/>
    <w:rsid w:val="0031525E"/>
    <w:rsid w:val="00315833"/>
    <w:rsid w:val="00315C26"/>
    <w:rsid w:val="00316123"/>
    <w:rsid w:val="0032047F"/>
    <w:rsid w:val="00321B44"/>
    <w:rsid w:val="0032351F"/>
    <w:rsid w:val="003235D8"/>
    <w:rsid w:val="00325FBD"/>
    <w:rsid w:val="0032684E"/>
    <w:rsid w:val="003274A9"/>
    <w:rsid w:val="00330E51"/>
    <w:rsid w:val="0033124D"/>
    <w:rsid w:val="003345E6"/>
    <w:rsid w:val="003379E5"/>
    <w:rsid w:val="00337CD8"/>
    <w:rsid w:val="003417D0"/>
    <w:rsid w:val="00344438"/>
    <w:rsid w:val="00344733"/>
    <w:rsid w:val="00344B85"/>
    <w:rsid w:val="00345F04"/>
    <w:rsid w:val="00354297"/>
    <w:rsid w:val="00354865"/>
    <w:rsid w:val="00356E6E"/>
    <w:rsid w:val="003641AD"/>
    <w:rsid w:val="00370792"/>
    <w:rsid w:val="00372D23"/>
    <w:rsid w:val="00372F12"/>
    <w:rsid w:val="00372FFD"/>
    <w:rsid w:val="00373954"/>
    <w:rsid w:val="00373FA8"/>
    <w:rsid w:val="0037714F"/>
    <w:rsid w:val="003827A0"/>
    <w:rsid w:val="00382D26"/>
    <w:rsid w:val="003843FA"/>
    <w:rsid w:val="003860F2"/>
    <w:rsid w:val="00387F23"/>
    <w:rsid w:val="00390BDE"/>
    <w:rsid w:val="003921DA"/>
    <w:rsid w:val="00394859"/>
    <w:rsid w:val="00396468"/>
    <w:rsid w:val="003A20A6"/>
    <w:rsid w:val="003A2BFF"/>
    <w:rsid w:val="003A333C"/>
    <w:rsid w:val="003B1DF5"/>
    <w:rsid w:val="003B264C"/>
    <w:rsid w:val="003B5A20"/>
    <w:rsid w:val="003B7473"/>
    <w:rsid w:val="003B7794"/>
    <w:rsid w:val="003C4ED2"/>
    <w:rsid w:val="003C6F4E"/>
    <w:rsid w:val="003C71A5"/>
    <w:rsid w:val="003C7928"/>
    <w:rsid w:val="003C7A91"/>
    <w:rsid w:val="003D16D2"/>
    <w:rsid w:val="003D1D75"/>
    <w:rsid w:val="003D684D"/>
    <w:rsid w:val="003E0A68"/>
    <w:rsid w:val="003E5A8A"/>
    <w:rsid w:val="003E62CD"/>
    <w:rsid w:val="003E654A"/>
    <w:rsid w:val="003E79CC"/>
    <w:rsid w:val="003F0819"/>
    <w:rsid w:val="003F0BFF"/>
    <w:rsid w:val="003F1349"/>
    <w:rsid w:val="003F1E3C"/>
    <w:rsid w:val="003F20DF"/>
    <w:rsid w:val="003F2A16"/>
    <w:rsid w:val="003F34AD"/>
    <w:rsid w:val="003F377E"/>
    <w:rsid w:val="003F4F66"/>
    <w:rsid w:val="003F7D70"/>
    <w:rsid w:val="00401944"/>
    <w:rsid w:val="00401F8F"/>
    <w:rsid w:val="004028BA"/>
    <w:rsid w:val="0040350F"/>
    <w:rsid w:val="004050C4"/>
    <w:rsid w:val="00405EFE"/>
    <w:rsid w:val="00407076"/>
    <w:rsid w:val="00407C48"/>
    <w:rsid w:val="00410B20"/>
    <w:rsid w:val="00410CF7"/>
    <w:rsid w:val="00412EFA"/>
    <w:rsid w:val="0042072D"/>
    <w:rsid w:val="00421EBB"/>
    <w:rsid w:val="00423261"/>
    <w:rsid w:val="00423523"/>
    <w:rsid w:val="0042599C"/>
    <w:rsid w:val="00431687"/>
    <w:rsid w:val="00432DEF"/>
    <w:rsid w:val="00434523"/>
    <w:rsid w:val="0043480E"/>
    <w:rsid w:val="00441B0D"/>
    <w:rsid w:val="00442A29"/>
    <w:rsid w:val="00442E61"/>
    <w:rsid w:val="004441F0"/>
    <w:rsid w:val="00444A3F"/>
    <w:rsid w:val="00444D76"/>
    <w:rsid w:val="00445202"/>
    <w:rsid w:val="00445C56"/>
    <w:rsid w:val="00447B7D"/>
    <w:rsid w:val="00450D7D"/>
    <w:rsid w:val="00454423"/>
    <w:rsid w:val="00463458"/>
    <w:rsid w:val="00464028"/>
    <w:rsid w:val="004675F9"/>
    <w:rsid w:val="004729EC"/>
    <w:rsid w:val="004753F1"/>
    <w:rsid w:val="00477F2B"/>
    <w:rsid w:val="0048014D"/>
    <w:rsid w:val="00481887"/>
    <w:rsid w:val="00481B5E"/>
    <w:rsid w:val="004823A1"/>
    <w:rsid w:val="004828A1"/>
    <w:rsid w:val="00482B53"/>
    <w:rsid w:val="00484AAD"/>
    <w:rsid w:val="00486A55"/>
    <w:rsid w:val="00495690"/>
    <w:rsid w:val="004A3E7B"/>
    <w:rsid w:val="004A533C"/>
    <w:rsid w:val="004B494F"/>
    <w:rsid w:val="004B55CC"/>
    <w:rsid w:val="004B5951"/>
    <w:rsid w:val="004C0773"/>
    <w:rsid w:val="004C07FF"/>
    <w:rsid w:val="004C1DEA"/>
    <w:rsid w:val="004C2E67"/>
    <w:rsid w:val="004C59E0"/>
    <w:rsid w:val="004C6BC1"/>
    <w:rsid w:val="004C70ED"/>
    <w:rsid w:val="004D37F6"/>
    <w:rsid w:val="004D6A1B"/>
    <w:rsid w:val="004E0673"/>
    <w:rsid w:val="004E5696"/>
    <w:rsid w:val="004E5FED"/>
    <w:rsid w:val="004F0733"/>
    <w:rsid w:val="004F1D95"/>
    <w:rsid w:val="004F2649"/>
    <w:rsid w:val="004F5F7A"/>
    <w:rsid w:val="00501297"/>
    <w:rsid w:val="00503450"/>
    <w:rsid w:val="0050661A"/>
    <w:rsid w:val="00506FD9"/>
    <w:rsid w:val="005124CC"/>
    <w:rsid w:val="0051344B"/>
    <w:rsid w:val="0051407C"/>
    <w:rsid w:val="00515449"/>
    <w:rsid w:val="00517042"/>
    <w:rsid w:val="0051746D"/>
    <w:rsid w:val="005209A6"/>
    <w:rsid w:val="0052152C"/>
    <w:rsid w:val="00523F3F"/>
    <w:rsid w:val="005248AC"/>
    <w:rsid w:val="005261A4"/>
    <w:rsid w:val="00530C3E"/>
    <w:rsid w:val="00536207"/>
    <w:rsid w:val="0053649C"/>
    <w:rsid w:val="00540802"/>
    <w:rsid w:val="00540B5F"/>
    <w:rsid w:val="005425FA"/>
    <w:rsid w:val="0054464D"/>
    <w:rsid w:val="00546B75"/>
    <w:rsid w:val="005500F6"/>
    <w:rsid w:val="00552B76"/>
    <w:rsid w:val="005541E5"/>
    <w:rsid w:val="00563364"/>
    <w:rsid w:val="00564CA5"/>
    <w:rsid w:val="005656B4"/>
    <w:rsid w:val="005700CB"/>
    <w:rsid w:val="00571D9D"/>
    <w:rsid w:val="00574A39"/>
    <w:rsid w:val="005763B3"/>
    <w:rsid w:val="005772F9"/>
    <w:rsid w:val="00577CFF"/>
    <w:rsid w:val="0058296A"/>
    <w:rsid w:val="00583810"/>
    <w:rsid w:val="0058408F"/>
    <w:rsid w:val="005869AF"/>
    <w:rsid w:val="0058729D"/>
    <w:rsid w:val="00591664"/>
    <w:rsid w:val="00595FA1"/>
    <w:rsid w:val="0059761D"/>
    <w:rsid w:val="00597DF8"/>
    <w:rsid w:val="005A0650"/>
    <w:rsid w:val="005A0ACF"/>
    <w:rsid w:val="005A15C3"/>
    <w:rsid w:val="005A4CE4"/>
    <w:rsid w:val="005A5159"/>
    <w:rsid w:val="005A7F00"/>
    <w:rsid w:val="005B54D9"/>
    <w:rsid w:val="005B5E18"/>
    <w:rsid w:val="005B72C9"/>
    <w:rsid w:val="005B7F5B"/>
    <w:rsid w:val="005C1572"/>
    <w:rsid w:val="005C2F24"/>
    <w:rsid w:val="005C41B5"/>
    <w:rsid w:val="005C4222"/>
    <w:rsid w:val="005C6B77"/>
    <w:rsid w:val="005C712B"/>
    <w:rsid w:val="005D0922"/>
    <w:rsid w:val="005D13C2"/>
    <w:rsid w:val="005D2520"/>
    <w:rsid w:val="005D2A46"/>
    <w:rsid w:val="005D3C16"/>
    <w:rsid w:val="005D4C64"/>
    <w:rsid w:val="005D5324"/>
    <w:rsid w:val="005D7F2C"/>
    <w:rsid w:val="005E2FF2"/>
    <w:rsid w:val="005E38F0"/>
    <w:rsid w:val="005E51C7"/>
    <w:rsid w:val="005E5848"/>
    <w:rsid w:val="005E61DB"/>
    <w:rsid w:val="005F227E"/>
    <w:rsid w:val="005F23E9"/>
    <w:rsid w:val="005F29B1"/>
    <w:rsid w:val="005F29C6"/>
    <w:rsid w:val="005F31EE"/>
    <w:rsid w:val="005F3C22"/>
    <w:rsid w:val="005F6837"/>
    <w:rsid w:val="00600441"/>
    <w:rsid w:val="00604786"/>
    <w:rsid w:val="0060514A"/>
    <w:rsid w:val="00607CB1"/>
    <w:rsid w:val="0061021C"/>
    <w:rsid w:val="00612591"/>
    <w:rsid w:val="00612C0E"/>
    <w:rsid w:val="00613346"/>
    <w:rsid w:val="0061796A"/>
    <w:rsid w:val="00620E0C"/>
    <w:rsid w:val="00620ECD"/>
    <w:rsid w:val="00621C29"/>
    <w:rsid w:val="00625ADA"/>
    <w:rsid w:val="00625D1E"/>
    <w:rsid w:val="00626E61"/>
    <w:rsid w:val="0063067D"/>
    <w:rsid w:val="00630974"/>
    <w:rsid w:val="00631914"/>
    <w:rsid w:val="00632BEA"/>
    <w:rsid w:val="00633086"/>
    <w:rsid w:val="00634269"/>
    <w:rsid w:val="006342B3"/>
    <w:rsid w:val="00634B14"/>
    <w:rsid w:val="00636975"/>
    <w:rsid w:val="00640419"/>
    <w:rsid w:val="006404D0"/>
    <w:rsid w:val="00640B6B"/>
    <w:rsid w:val="006517D1"/>
    <w:rsid w:val="00652848"/>
    <w:rsid w:val="00653EE2"/>
    <w:rsid w:val="0065557C"/>
    <w:rsid w:val="00657A92"/>
    <w:rsid w:val="00661A36"/>
    <w:rsid w:val="00667974"/>
    <w:rsid w:val="00670FF3"/>
    <w:rsid w:val="00672713"/>
    <w:rsid w:val="0067586A"/>
    <w:rsid w:val="00675EEB"/>
    <w:rsid w:val="00676339"/>
    <w:rsid w:val="00680AA1"/>
    <w:rsid w:val="00687119"/>
    <w:rsid w:val="00691483"/>
    <w:rsid w:val="006931E8"/>
    <w:rsid w:val="0069417E"/>
    <w:rsid w:val="00694273"/>
    <w:rsid w:val="00694EF5"/>
    <w:rsid w:val="006A635E"/>
    <w:rsid w:val="006A7BB9"/>
    <w:rsid w:val="006B0851"/>
    <w:rsid w:val="006B0DAB"/>
    <w:rsid w:val="006B5159"/>
    <w:rsid w:val="006B59F1"/>
    <w:rsid w:val="006B7786"/>
    <w:rsid w:val="006C0B41"/>
    <w:rsid w:val="006C11CC"/>
    <w:rsid w:val="006C2E26"/>
    <w:rsid w:val="006C3BBB"/>
    <w:rsid w:val="006C54F5"/>
    <w:rsid w:val="006C557F"/>
    <w:rsid w:val="006D17F6"/>
    <w:rsid w:val="006D234F"/>
    <w:rsid w:val="006D241E"/>
    <w:rsid w:val="006D2658"/>
    <w:rsid w:val="006D50C0"/>
    <w:rsid w:val="006D7496"/>
    <w:rsid w:val="006E547E"/>
    <w:rsid w:val="006F0AF5"/>
    <w:rsid w:val="006F415E"/>
    <w:rsid w:val="006F4E03"/>
    <w:rsid w:val="00701C1A"/>
    <w:rsid w:val="00701FDF"/>
    <w:rsid w:val="007029A1"/>
    <w:rsid w:val="00702BC0"/>
    <w:rsid w:val="007042EC"/>
    <w:rsid w:val="00704663"/>
    <w:rsid w:val="00705903"/>
    <w:rsid w:val="00705DAD"/>
    <w:rsid w:val="00707D2D"/>
    <w:rsid w:val="00710F1E"/>
    <w:rsid w:val="00712D44"/>
    <w:rsid w:val="00712D4E"/>
    <w:rsid w:val="00714AAB"/>
    <w:rsid w:val="00714CDF"/>
    <w:rsid w:val="00715854"/>
    <w:rsid w:val="007164F9"/>
    <w:rsid w:val="0072109D"/>
    <w:rsid w:val="00721C40"/>
    <w:rsid w:val="00722F1C"/>
    <w:rsid w:val="00725A08"/>
    <w:rsid w:val="0072779F"/>
    <w:rsid w:val="00730577"/>
    <w:rsid w:val="007310E7"/>
    <w:rsid w:val="0073191F"/>
    <w:rsid w:val="0073324E"/>
    <w:rsid w:val="00734AD7"/>
    <w:rsid w:val="00735D0C"/>
    <w:rsid w:val="0073733B"/>
    <w:rsid w:val="0074246C"/>
    <w:rsid w:val="00742B71"/>
    <w:rsid w:val="00742DB8"/>
    <w:rsid w:val="00742E8B"/>
    <w:rsid w:val="00750BB2"/>
    <w:rsid w:val="00751201"/>
    <w:rsid w:val="00755A1A"/>
    <w:rsid w:val="00755D73"/>
    <w:rsid w:val="00757B72"/>
    <w:rsid w:val="00761467"/>
    <w:rsid w:val="007621FB"/>
    <w:rsid w:val="00763904"/>
    <w:rsid w:val="00765727"/>
    <w:rsid w:val="007675D0"/>
    <w:rsid w:val="00767800"/>
    <w:rsid w:val="00771463"/>
    <w:rsid w:val="00775005"/>
    <w:rsid w:val="00775E7A"/>
    <w:rsid w:val="007762C5"/>
    <w:rsid w:val="00777F49"/>
    <w:rsid w:val="00780EB3"/>
    <w:rsid w:val="0078233F"/>
    <w:rsid w:val="00782685"/>
    <w:rsid w:val="00784149"/>
    <w:rsid w:val="00784586"/>
    <w:rsid w:val="00785DF3"/>
    <w:rsid w:val="007868BE"/>
    <w:rsid w:val="00790B5B"/>
    <w:rsid w:val="007932DF"/>
    <w:rsid w:val="00793578"/>
    <w:rsid w:val="0079492E"/>
    <w:rsid w:val="00794EBA"/>
    <w:rsid w:val="00797524"/>
    <w:rsid w:val="007A4054"/>
    <w:rsid w:val="007A58D6"/>
    <w:rsid w:val="007B0C6B"/>
    <w:rsid w:val="007B3438"/>
    <w:rsid w:val="007B4164"/>
    <w:rsid w:val="007B4564"/>
    <w:rsid w:val="007B4E1B"/>
    <w:rsid w:val="007B54F6"/>
    <w:rsid w:val="007B7425"/>
    <w:rsid w:val="007B78B2"/>
    <w:rsid w:val="007D00AE"/>
    <w:rsid w:val="007D3E87"/>
    <w:rsid w:val="007E0657"/>
    <w:rsid w:val="007E18AC"/>
    <w:rsid w:val="007E5F1F"/>
    <w:rsid w:val="007E70B6"/>
    <w:rsid w:val="007E7576"/>
    <w:rsid w:val="007F01B9"/>
    <w:rsid w:val="007F0EC4"/>
    <w:rsid w:val="007F1D15"/>
    <w:rsid w:val="007F2C77"/>
    <w:rsid w:val="007F2EDB"/>
    <w:rsid w:val="007F4512"/>
    <w:rsid w:val="00803CAF"/>
    <w:rsid w:val="00805CA4"/>
    <w:rsid w:val="0080695E"/>
    <w:rsid w:val="00807319"/>
    <w:rsid w:val="0080799F"/>
    <w:rsid w:val="00817665"/>
    <w:rsid w:val="0081770F"/>
    <w:rsid w:val="00817742"/>
    <w:rsid w:val="00820A5B"/>
    <w:rsid w:val="008219F3"/>
    <w:rsid w:val="00823A80"/>
    <w:rsid w:val="008243D1"/>
    <w:rsid w:val="00824549"/>
    <w:rsid w:val="00825715"/>
    <w:rsid w:val="00826B88"/>
    <w:rsid w:val="00833212"/>
    <w:rsid w:val="00842C88"/>
    <w:rsid w:val="0084588C"/>
    <w:rsid w:val="008532DB"/>
    <w:rsid w:val="00853F71"/>
    <w:rsid w:val="00854433"/>
    <w:rsid w:val="00862B1C"/>
    <w:rsid w:val="008634EC"/>
    <w:rsid w:val="00863FA6"/>
    <w:rsid w:val="008670D9"/>
    <w:rsid w:val="00872844"/>
    <w:rsid w:val="00872C2D"/>
    <w:rsid w:val="00874467"/>
    <w:rsid w:val="00874473"/>
    <w:rsid w:val="00874E15"/>
    <w:rsid w:val="00881BD1"/>
    <w:rsid w:val="00885809"/>
    <w:rsid w:val="00885A26"/>
    <w:rsid w:val="00891B91"/>
    <w:rsid w:val="0089419C"/>
    <w:rsid w:val="008945C6"/>
    <w:rsid w:val="008949C3"/>
    <w:rsid w:val="0089637A"/>
    <w:rsid w:val="00897916"/>
    <w:rsid w:val="008A08F8"/>
    <w:rsid w:val="008A0BD3"/>
    <w:rsid w:val="008A0EFF"/>
    <w:rsid w:val="008A2DB5"/>
    <w:rsid w:val="008A5703"/>
    <w:rsid w:val="008A5C53"/>
    <w:rsid w:val="008B237F"/>
    <w:rsid w:val="008B28C8"/>
    <w:rsid w:val="008B2FD4"/>
    <w:rsid w:val="008B3BE4"/>
    <w:rsid w:val="008B4E38"/>
    <w:rsid w:val="008B5F76"/>
    <w:rsid w:val="008B7939"/>
    <w:rsid w:val="008C1DD8"/>
    <w:rsid w:val="008C20BC"/>
    <w:rsid w:val="008C305B"/>
    <w:rsid w:val="008C61C2"/>
    <w:rsid w:val="008D0454"/>
    <w:rsid w:val="008D0F15"/>
    <w:rsid w:val="008D201F"/>
    <w:rsid w:val="008D2278"/>
    <w:rsid w:val="008D25D6"/>
    <w:rsid w:val="008D28EF"/>
    <w:rsid w:val="008D78C9"/>
    <w:rsid w:val="008E0DBE"/>
    <w:rsid w:val="008E367D"/>
    <w:rsid w:val="008E38D3"/>
    <w:rsid w:val="008E4561"/>
    <w:rsid w:val="008E53BF"/>
    <w:rsid w:val="008E648F"/>
    <w:rsid w:val="008F2290"/>
    <w:rsid w:val="008F4425"/>
    <w:rsid w:val="008F5181"/>
    <w:rsid w:val="008F715A"/>
    <w:rsid w:val="00900099"/>
    <w:rsid w:val="00900973"/>
    <w:rsid w:val="009014B0"/>
    <w:rsid w:val="0090395F"/>
    <w:rsid w:val="00905266"/>
    <w:rsid w:val="00905506"/>
    <w:rsid w:val="009059DA"/>
    <w:rsid w:val="00910520"/>
    <w:rsid w:val="00910EAB"/>
    <w:rsid w:val="00913D84"/>
    <w:rsid w:val="00914395"/>
    <w:rsid w:val="009143B0"/>
    <w:rsid w:val="00916295"/>
    <w:rsid w:val="009165F6"/>
    <w:rsid w:val="00916A7B"/>
    <w:rsid w:val="0092268D"/>
    <w:rsid w:val="009233DF"/>
    <w:rsid w:val="00923BE5"/>
    <w:rsid w:val="0092604D"/>
    <w:rsid w:val="009301A8"/>
    <w:rsid w:val="00933314"/>
    <w:rsid w:val="00934388"/>
    <w:rsid w:val="00936477"/>
    <w:rsid w:val="00937DB4"/>
    <w:rsid w:val="009415B0"/>
    <w:rsid w:val="009416EB"/>
    <w:rsid w:val="00942356"/>
    <w:rsid w:val="00944C3B"/>
    <w:rsid w:val="00945EFC"/>
    <w:rsid w:val="00950E73"/>
    <w:rsid w:val="0095109F"/>
    <w:rsid w:val="00953645"/>
    <w:rsid w:val="00956B30"/>
    <w:rsid w:val="009570C7"/>
    <w:rsid w:val="0096001D"/>
    <w:rsid w:val="009604A9"/>
    <w:rsid w:val="00964924"/>
    <w:rsid w:val="009662AB"/>
    <w:rsid w:val="009677A2"/>
    <w:rsid w:val="009702C5"/>
    <w:rsid w:val="00970E55"/>
    <w:rsid w:val="00971254"/>
    <w:rsid w:val="009726BF"/>
    <w:rsid w:val="0097422A"/>
    <w:rsid w:val="009764FB"/>
    <w:rsid w:val="009846F7"/>
    <w:rsid w:val="00985032"/>
    <w:rsid w:val="00986A74"/>
    <w:rsid w:val="00990472"/>
    <w:rsid w:val="0099160C"/>
    <w:rsid w:val="00991B9F"/>
    <w:rsid w:val="00993EF1"/>
    <w:rsid w:val="00995294"/>
    <w:rsid w:val="009975C2"/>
    <w:rsid w:val="009978DE"/>
    <w:rsid w:val="009A0B80"/>
    <w:rsid w:val="009A13E7"/>
    <w:rsid w:val="009A1523"/>
    <w:rsid w:val="009A424B"/>
    <w:rsid w:val="009A64DF"/>
    <w:rsid w:val="009B01B7"/>
    <w:rsid w:val="009B3556"/>
    <w:rsid w:val="009B3A64"/>
    <w:rsid w:val="009B5699"/>
    <w:rsid w:val="009C20F2"/>
    <w:rsid w:val="009C291A"/>
    <w:rsid w:val="009C5555"/>
    <w:rsid w:val="009C6F77"/>
    <w:rsid w:val="009D173E"/>
    <w:rsid w:val="009D448E"/>
    <w:rsid w:val="009D47ED"/>
    <w:rsid w:val="009D7235"/>
    <w:rsid w:val="009E1A82"/>
    <w:rsid w:val="009E627B"/>
    <w:rsid w:val="00A021E0"/>
    <w:rsid w:val="00A0454A"/>
    <w:rsid w:val="00A04EA5"/>
    <w:rsid w:val="00A06C8C"/>
    <w:rsid w:val="00A106A5"/>
    <w:rsid w:val="00A11185"/>
    <w:rsid w:val="00A165EE"/>
    <w:rsid w:val="00A16C56"/>
    <w:rsid w:val="00A2155A"/>
    <w:rsid w:val="00A2555C"/>
    <w:rsid w:val="00A301B7"/>
    <w:rsid w:val="00A32367"/>
    <w:rsid w:val="00A332B0"/>
    <w:rsid w:val="00A33BF9"/>
    <w:rsid w:val="00A34C96"/>
    <w:rsid w:val="00A36243"/>
    <w:rsid w:val="00A36849"/>
    <w:rsid w:val="00A37E9E"/>
    <w:rsid w:val="00A403F8"/>
    <w:rsid w:val="00A407F6"/>
    <w:rsid w:val="00A40FEF"/>
    <w:rsid w:val="00A41A91"/>
    <w:rsid w:val="00A420BA"/>
    <w:rsid w:val="00A43209"/>
    <w:rsid w:val="00A44C9A"/>
    <w:rsid w:val="00A45A3E"/>
    <w:rsid w:val="00A466AA"/>
    <w:rsid w:val="00A5365A"/>
    <w:rsid w:val="00A550AE"/>
    <w:rsid w:val="00A5715B"/>
    <w:rsid w:val="00A57EF8"/>
    <w:rsid w:val="00A6120C"/>
    <w:rsid w:val="00A6164D"/>
    <w:rsid w:val="00A62109"/>
    <w:rsid w:val="00A64058"/>
    <w:rsid w:val="00A649DB"/>
    <w:rsid w:val="00A65F1E"/>
    <w:rsid w:val="00A66B9C"/>
    <w:rsid w:val="00A66E27"/>
    <w:rsid w:val="00A67281"/>
    <w:rsid w:val="00A74C7B"/>
    <w:rsid w:val="00A80739"/>
    <w:rsid w:val="00A822B9"/>
    <w:rsid w:val="00A83C27"/>
    <w:rsid w:val="00A86209"/>
    <w:rsid w:val="00A8746D"/>
    <w:rsid w:val="00A90594"/>
    <w:rsid w:val="00A925C7"/>
    <w:rsid w:val="00A9783D"/>
    <w:rsid w:val="00A97BCE"/>
    <w:rsid w:val="00AA1288"/>
    <w:rsid w:val="00AA1B68"/>
    <w:rsid w:val="00AA6B04"/>
    <w:rsid w:val="00AB2807"/>
    <w:rsid w:val="00AB2DD7"/>
    <w:rsid w:val="00AB3D8E"/>
    <w:rsid w:val="00AB40F8"/>
    <w:rsid w:val="00AB4C83"/>
    <w:rsid w:val="00AB5C0A"/>
    <w:rsid w:val="00AB7EAF"/>
    <w:rsid w:val="00AC4D15"/>
    <w:rsid w:val="00AC73C4"/>
    <w:rsid w:val="00AD40FC"/>
    <w:rsid w:val="00AD6842"/>
    <w:rsid w:val="00AE5C07"/>
    <w:rsid w:val="00AE697A"/>
    <w:rsid w:val="00AF1C1C"/>
    <w:rsid w:val="00AF28A2"/>
    <w:rsid w:val="00AF4C1E"/>
    <w:rsid w:val="00B00BDB"/>
    <w:rsid w:val="00B0240F"/>
    <w:rsid w:val="00B032EA"/>
    <w:rsid w:val="00B06963"/>
    <w:rsid w:val="00B125E4"/>
    <w:rsid w:val="00B13EC3"/>
    <w:rsid w:val="00B224B7"/>
    <w:rsid w:val="00B22E5A"/>
    <w:rsid w:val="00B24756"/>
    <w:rsid w:val="00B322C9"/>
    <w:rsid w:val="00B328C4"/>
    <w:rsid w:val="00B3547D"/>
    <w:rsid w:val="00B36EE1"/>
    <w:rsid w:val="00B36FC9"/>
    <w:rsid w:val="00B37B10"/>
    <w:rsid w:val="00B405DE"/>
    <w:rsid w:val="00B418E6"/>
    <w:rsid w:val="00B42C3C"/>
    <w:rsid w:val="00B43676"/>
    <w:rsid w:val="00B52EFE"/>
    <w:rsid w:val="00B563B5"/>
    <w:rsid w:val="00B5745A"/>
    <w:rsid w:val="00B57F39"/>
    <w:rsid w:val="00B6141E"/>
    <w:rsid w:val="00B63D8A"/>
    <w:rsid w:val="00B65C33"/>
    <w:rsid w:val="00B67FBF"/>
    <w:rsid w:val="00B702F6"/>
    <w:rsid w:val="00B7150A"/>
    <w:rsid w:val="00B716B0"/>
    <w:rsid w:val="00B72541"/>
    <w:rsid w:val="00B72847"/>
    <w:rsid w:val="00B730F1"/>
    <w:rsid w:val="00B74A97"/>
    <w:rsid w:val="00B75619"/>
    <w:rsid w:val="00B75736"/>
    <w:rsid w:val="00B76302"/>
    <w:rsid w:val="00B80122"/>
    <w:rsid w:val="00B8168E"/>
    <w:rsid w:val="00B81CE0"/>
    <w:rsid w:val="00B81E2C"/>
    <w:rsid w:val="00B826F3"/>
    <w:rsid w:val="00B8277A"/>
    <w:rsid w:val="00B867D4"/>
    <w:rsid w:val="00B87D8A"/>
    <w:rsid w:val="00B90FE9"/>
    <w:rsid w:val="00B95B08"/>
    <w:rsid w:val="00B95CF7"/>
    <w:rsid w:val="00BA2252"/>
    <w:rsid w:val="00BA7DA7"/>
    <w:rsid w:val="00BB0879"/>
    <w:rsid w:val="00BB3096"/>
    <w:rsid w:val="00BB3DE6"/>
    <w:rsid w:val="00BB4C7D"/>
    <w:rsid w:val="00BB4D0D"/>
    <w:rsid w:val="00BB559B"/>
    <w:rsid w:val="00BC0CE2"/>
    <w:rsid w:val="00BC5247"/>
    <w:rsid w:val="00BC57E1"/>
    <w:rsid w:val="00BC62D1"/>
    <w:rsid w:val="00BD068B"/>
    <w:rsid w:val="00BD07E0"/>
    <w:rsid w:val="00BD095B"/>
    <w:rsid w:val="00BD18D9"/>
    <w:rsid w:val="00BD3626"/>
    <w:rsid w:val="00BD4B70"/>
    <w:rsid w:val="00BD695C"/>
    <w:rsid w:val="00BD7C4C"/>
    <w:rsid w:val="00BE1CA6"/>
    <w:rsid w:val="00BE42E7"/>
    <w:rsid w:val="00BE6CA1"/>
    <w:rsid w:val="00BE7F93"/>
    <w:rsid w:val="00BF1F88"/>
    <w:rsid w:val="00BF3343"/>
    <w:rsid w:val="00BF4CA5"/>
    <w:rsid w:val="00BF54CF"/>
    <w:rsid w:val="00C00259"/>
    <w:rsid w:val="00C04232"/>
    <w:rsid w:val="00C04C87"/>
    <w:rsid w:val="00C0599F"/>
    <w:rsid w:val="00C06253"/>
    <w:rsid w:val="00C10B7F"/>
    <w:rsid w:val="00C13585"/>
    <w:rsid w:val="00C1430C"/>
    <w:rsid w:val="00C1625D"/>
    <w:rsid w:val="00C1669B"/>
    <w:rsid w:val="00C21BA1"/>
    <w:rsid w:val="00C22D80"/>
    <w:rsid w:val="00C2362D"/>
    <w:rsid w:val="00C25FF3"/>
    <w:rsid w:val="00C2742F"/>
    <w:rsid w:val="00C31297"/>
    <w:rsid w:val="00C33E6B"/>
    <w:rsid w:val="00C3440D"/>
    <w:rsid w:val="00C34BB6"/>
    <w:rsid w:val="00C36A2A"/>
    <w:rsid w:val="00C377EC"/>
    <w:rsid w:val="00C401DE"/>
    <w:rsid w:val="00C42158"/>
    <w:rsid w:val="00C4700C"/>
    <w:rsid w:val="00C50323"/>
    <w:rsid w:val="00C506C4"/>
    <w:rsid w:val="00C507FE"/>
    <w:rsid w:val="00C533ED"/>
    <w:rsid w:val="00C53CE5"/>
    <w:rsid w:val="00C53E37"/>
    <w:rsid w:val="00C55EA3"/>
    <w:rsid w:val="00C566A8"/>
    <w:rsid w:val="00C5692D"/>
    <w:rsid w:val="00C56FEC"/>
    <w:rsid w:val="00C62F9A"/>
    <w:rsid w:val="00C65A4D"/>
    <w:rsid w:val="00C65D54"/>
    <w:rsid w:val="00C66003"/>
    <w:rsid w:val="00C66267"/>
    <w:rsid w:val="00C665F3"/>
    <w:rsid w:val="00C72C92"/>
    <w:rsid w:val="00C836E5"/>
    <w:rsid w:val="00C86C45"/>
    <w:rsid w:val="00C91216"/>
    <w:rsid w:val="00C91BC1"/>
    <w:rsid w:val="00C92CDD"/>
    <w:rsid w:val="00C94E71"/>
    <w:rsid w:val="00C9520F"/>
    <w:rsid w:val="00C96806"/>
    <w:rsid w:val="00CA108E"/>
    <w:rsid w:val="00CA2757"/>
    <w:rsid w:val="00CA481C"/>
    <w:rsid w:val="00CA77C1"/>
    <w:rsid w:val="00CB02ED"/>
    <w:rsid w:val="00CB515B"/>
    <w:rsid w:val="00CB60B3"/>
    <w:rsid w:val="00CC010F"/>
    <w:rsid w:val="00CC7C20"/>
    <w:rsid w:val="00CD0DC2"/>
    <w:rsid w:val="00CD205F"/>
    <w:rsid w:val="00CD5C04"/>
    <w:rsid w:val="00CD70DC"/>
    <w:rsid w:val="00CE0409"/>
    <w:rsid w:val="00CE2CBA"/>
    <w:rsid w:val="00CE43F0"/>
    <w:rsid w:val="00CE4946"/>
    <w:rsid w:val="00CE5106"/>
    <w:rsid w:val="00CE57B9"/>
    <w:rsid w:val="00CE66D6"/>
    <w:rsid w:val="00CF7E62"/>
    <w:rsid w:val="00D013C0"/>
    <w:rsid w:val="00D01EE0"/>
    <w:rsid w:val="00D02BF1"/>
    <w:rsid w:val="00D13B41"/>
    <w:rsid w:val="00D16068"/>
    <w:rsid w:val="00D20D9F"/>
    <w:rsid w:val="00D218D7"/>
    <w:rsid w:val="00D21D13"/>
    <w:rsid w:val="00D25049"/>
    <w:rsid w:val="00D26578"/>
    <w:rsid w:val="00D269AE"/>
    <w:rsid w:val="00D306D8"/>
    <w:rsid w:val="00D306F7"/>
    <w:rsid w:val="00D324F4"/>
    <w:rsid w:val="00D36980"/>
    <w:rsid w:val="00D43125"/>
    <w:rsid w:val="00D4591A"/>
    <w:rsid w:val="00D4666C"/>
    <w:rsid w:val="00D50306"/>
    <w:rsid w:val="00D51FAF"/>
    <w:rsid w:val="00D534E9"/>
    <w:rsid w:val="00D53827"/>
    <w:rsid w:val="00D53DE0"/>
    <w:rsid w:val="00D54507"/>
    <w:rsid w:val="00D54BFB"/>
    <w:rsid w:val="00D5755F"/>
    <w:rsid w:val="00D62C58"/>
    <w:rsid w:val="00D63223"/>
    <w:rsid w:val="00D6383D"/>
    <w:rsid w:val="00D653DA"/>
    <w:rsid w:val="00D73C51"/>
    <w:rsid w:val="00D75F30"/>
    <w:rsid w:val="00D76270"/>
    <w:rsid w:val="00D763C3"/>
    <w:rsid w:val="00D80F2C"/>
    <w:rsid w:val="00D811A5"/>
    <w:rsid w:val="00D82978"/>
    <w:rsid w:val="00D85A77"/>
    <w:rsid w:val="00D866EB"/>
    <w:rsid w:val="00D8791F"/>
    <w:rsid w:val="00D9264B"/>
    <w:rsid w:val="00D940E8"/>
    <w:rsid w:val="00D966F8"/>
    <w:rsid w:val="00DA167F"/>
    <w:rsid w:val="00DA4E8F"/>
    <w:rsid w:val="00DA5599"/>
    <w:rsid w:val="00DB01B3"/>
    <w:rsid w:val="00DB1304"/>
    <w:rsid w:val="00DB4975"/>
    <w:rsid w:val="00DB6DBB"/>
    <w:rsid w:val="00DC1297"/>
    <w:rsid w:val="00DC2B95"/>
    <w:rsid w:val="00DC4EC9"/>
    <w:rsid w:val="00DC66EB"/>
    <w:rsid w:val="00DC7A0C"/>
    <w:rsid w:val="00DD09E9"/>
    <w:rsid w:val="00DD2906"/>
    <w:rsid w:val="00DD3289"/>
    <w:rsid w:val="00DD6D1C"/>
    <w:rsid w:val="00DD71E0"/>
    <w:rsid w:val="00DE1126"/>
    <w:rsid w:val="00DE27EA"/>
    <w:rsid w:val="00DE2DBF"/>
    <w:rsid w:val="00DE2EB9"/>
    <w:rsid w:val="00DE6BE0"/>
    <w:rsid w:val="00DF0357"/>
    <w:rsid w:val="00DF78B6"/>
    <w:rsid w:val="00DF7C6E"/>
    <w:rsid w:val="00E01818"/>
    <w:rsid w:val="00E021FA"/>
    <w:rsid w:val="00E03356"/>
    <w:rsid w:val="00E0425B"/>
    <w:rsid w:val="00E10266"/>
    <w:rsid w:val="00E13EDF"/>
    <w:rsid w:val="00E166CB"/>
    <w:rsid w:val="00E21174"/>
    <w:rsid w:val="00E21593"/>
    <w:rsid w:val="00E25A29"/>
    <w:rsid w:val="00E2749F"/>
    <w:rsid w:val="00E32F5D"/>
    <w:rsid w:val="00E33FB4"/>
    <w:rsid w:val="00E34208"/>
    <w:rsid w:val="00E35275"/>
    <w:rsid w:val="00E353F1"/>
    <w:rsid w:val="00E37E24"/>
    <w:rsid w:val="00E4264E"/>
    <w:rsid w:val="00E43C7C"/>
    <w:rsid w:val="00E47DEA"/>
    <w:rsid w:val="00E53AFB"/>
    <w:rsid w:val="00E555C9"/>
    <w:rsid w:val="00E5583A"/>
    <w:rsid w:val="00E5659F"/>
    <w:rsid w:val="00E5778A"/>
    <w:rsid w:val="00E65512"/>
    <w:rsid w:val="00E730D8"/>
    <w:rsid w:val="00E73941"/>
    <w:rsid w:val="00E73DC2"/>
    <w:rsid w:val="00E7521A"/>
    <w:rsid w:val="00E77138"/>
    <w:rsid w:val="00E77AF3"/>
    <w:rsid w:val="00E80445"/>
    <w:rsid w:val="00E80DE2"/>
    <w:rsid w:val="00E82A28"/>
    <w:rsid w:val="00E82C61"/>
    <w:rsid w:val="00E84094"/>
    <w:rsid w:val="00E85FAD"/>
    <w:rsid w:val="00E86E64"/>
    <w:rsid w:val="00E9076D"/>
    <w:rsid w:val="00E935C3"/>
    <w:rsid w:val="00E94542"/>
    <w:rsid w:val="00E94FE9"/>
    <w:rsid w:val="00E9649B"/>
    <w:rsid w:val="00E97E7C"/>
    <w:rsid w:val="00EA1936"/>
    <w:rsid w:val="00EA2BA4"/>
    <w:rsid w:val="00EA4ABF"/>
    <w:rsid w:val="00EA6EC3"/>
    <w:rsid w:val="00EA7429"/>
    <w:rsid w:val="00EA7CA2"/>
    <w:rsid w:val="00EA7EFD"/>
    <w:rsid w:val="00EB10FA"/>
    <w:rsid w:val="00EB27F6"/>
    <w:rsid w:val="00EB3842"/>
    <w:rsid w:val="00EB39E7"/>
    <w:rsid w:val="00EB50AD"/>
    <w:rsid w:val="00EB70CE"/>
    <w:rsid w:val="00EB7329"/>
    <w:rsid w:val="00EC1F8D"/>
    <w:rsid w:val="00EC3017"/>
    <w:rsid w:val="00EC398B"/>
    <w:rsid w:val="00EC6652"/>
    <w:rsid w:val="00ED0476"/>
    <w:rsid w:val="00ED1BD7"/>
    <w:rsid w:val="00ED5AA2"/>
    <w:rsid w:val="00ED5D3A"/>
    <w:rsid w:val="00EE1EAB"/>
    <w:rsid w:val="00EE284D"/>
    <w:rsid w:val="00EE2B82"/>
    <w:rsid w:val="00EE2E06"/>
    <w:rsid w:val="00EE5942"/>
    <w:rsid w:val="00EE60BF"/>
    <w:rsid w:val="00EE60D4"/>
    <w:rsid w:val="00EF0094"/>
    <w:rsid w:val="00EF0498"/>
    <w:rsid w:val="00EF0732"/>
    <w:rsid w:val="00EF2B7D"/>
    <w:rsid w:val="00EF4125"/>
    <w:rsid w:val="00EF4659"/>
    <w:rsid w:val="00EF4701"/>
    <w:rsid w:val="00EF7409"/>
    <w:rsid w:val="00F03CE1"/>
    <w:rsid w:val="00F06AFE"/>
    <w:rsid w:val="00F120D0"/>
    <w:rsid w:val="00F13D65"/>
    <w:rsid w:val="00F14EEA"/>
    <w:rsid w:val="00F14FDE"/>
    <w:rsid w:val="00F159E7"/>
    <w:rsid w:val="00F15DD3"/>
    <w:rsid w:val="00F17400"/>
    <w:rsid w:val="00F22690"/>
    <w:rsid w:val="00F23098"/>
    <w:rsid w:val="00F23F76"/>
    <w:rsid w:val="00F2400C"/>
    <w:rsid w:val="00F24F0C"/>
    <w:rsid w:val="00F25644"/>
    <w:rsid w:val="00F26BB7"/>
    <w:rsid w:val="00F32309"/>
    <w:rsid w:val="00F34DE8"/>
    <w:rsid w:val="00F370A0"/>
    <w:rsid w:val="00F42FAB"/>
    <w:rsid w:val="00F46043"/>
    <w:rsid w:val="00F4646F"/>
    <w:rsid w:val="00F473D4"/>
    <w:rsid w:val="00F477A8"/>
    <w:rsid w:val="00F50CA9"/>
    <w:rsid w:val="00F53176"/>
    <w:rsid w:val="00F5361C"/>
    <w:rsid w:val="00F53F8E"/>
    <w:rsid w:val="00F55F72"/>
    <w:rsid w:val="00F572A4"/>
    <w:rsid w:val="00F5778B"/>
    <w:rsid w:val="00F57FB6"/>
    <w:rsid w:val="00F6094E"/>
    <w:rsid w:val="00F60F9E"/>
    <w:rsid w:val="00F615F5"/>
    <w:rsid w:val="00F6414D"/>
    <w:rsid w:val="00F66BF1"/>
    <w:rsid w:val="00F70464"/>
    <w:rsid w:val="00F71637"/>
    <w:rsid w:val="00F74FC3"/>
    <w:rsid w:val="00F762BB"/>
    <w:rsid w:val="00F81DC6"/>
    <w:rsid w:val="00F87D32"/>
    <w:rsid w:val="00F90667"/>
    <w:rsid w:val="00F90BF1"/>
    <w:rsid w:val="00F943BB"/>
    <w:rsid w:val="00F96A9D"/>
    <w:rsid w:val="00FA1386"/>
    <w:rsid w:val="00FA2911"/>
    <w:rsid w:val="00FA321F"/>
    <w:rsid w:val="00FA4027"/>
    <w:rsid w:val="00FA5E37"/>
    <w:rsid w:val="00FA7C04"/>
    <w:rsid w:val="00FA7FC0"/>
    <w:rsid w:val="00FB396D"/>
    <w:rsid w:val="00FB4188"/>
    <w:rsid w:val="00FB5519"/>
    <w:rsid w:val="00FC009E"/>
    <w:rsid w:val="00FC211B"/>
    <w:rsid w:val="00FC3BDE"/>
    <w:rsid w:val="00FC4DDC"/>
    <w:rsid w:val="00FC6AB5"/>
    <w:rsid w:val="00FD33FD"/>
    <w:rsid w:val="00FD44D2"/>
    <w:rsid w:val="00FD456D"/>
    <w:rsid w:val="00FD566A"/>
    <w:rsid w:val="00FD5CD8"/>
    <w:rsid w:val="00FE167B"/>
    <w:rsid w:val="00FE25AB"/>
    <w:rsid w:val="00FE4671"/>
    <w:rsid w:val="00FE5BE5"/>
    <w:rsid w:val="00FF1F72"/>
    <w:rsid w:val="00FF49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68B"/>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3733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73733B"/>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
    <w:qFormat/>
    <w:rsid w:val="0073733B"/>
    <w:pPr>
      <w:keepNext/>
      <w:spacing w:before="120" w:after="120"/>
      <w:outlineLvl w:val="2"/>
    </w:pPr>
    <w:rPr>
      <w:rFonts w:ascii="Arial Narrow" w:hAnsi="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ing">
    <w:name w:val="Chapter Heading"/>
    <w:basedOn w:val="Text"/>
    <w:next w:val="Normal"/>
    <w:qFormat/>
    <w:rsid w:val="0073733B"/>
    <w:pPr>
      <w:pBdr>
        <w:bottom w:val="single" w:sz="18" w:space="1" w:color="C0504D"/>
      </w:pBdr>
      <w:tabs>
        <w:tab w:val="left" w:pos="720"/>
        <w:tab w:val="left" w:pos="1080"/>
        <w:tab w:val="left" w:pos="1440"/>
        <w:tab w:val="left" w:pos="1800"/>
      </w:tabs>
      <w:spacing w:before="120" w:after="120" w:line="23" w:lineRule="atLeast"/>
    </w:pPr>
    <w:rPr>
      <w:rFonts w:ascii="Arial" w:hAnsi="Arial" w:cs="Arial"/>
      <w:b/>
      <w:color w:val="C0504D"/>
      <w:sz w:val="40"/>
      <w:szCs w:val="28"/>
    </w:rPr>
  </w:style>
  <w:style w:type="paragraph" w:customStyle="1" w:styleId="ChapterSub1">
    <w:name w:val="Chapter Sub 1"/>
    <w:basedOn w:val="BodyText"/>
    <w:qFormat/>
    <w:rsid w:val="0073733B"/>
    <w:pPr>
      <w:pBdr>
        <w:bottom w:val="single" w:sz="8" w:space="1" w:color="365F91"/>
      </w:pBdr>
      <w:tabs>
        <w:tab w:val="left" w:pos="0"/>
      </w:tabs>
      <w:spacing w:before="480" w:line="23" w:lineRule="atLeast"/>
    </w:pPr>
    <w:rPr>
      <w:rFonts w:ascii="Arial" w:hAnsi="Arial" w:cs="Arial"/>
      <w:b/>
      <w:color w:val="365F91"/>
      <w:sz w:val="28"/>
    </w:rPr>
  </w:style>
  <w:style w:type="paragraph" w:customStyle="1" w:styleId="Text">
    <w:name w:val="Text"/>
    <w:basedOn w:val="Normal"/>
    <w:uiPriority w:val="99"/>
    <w:qFormat/>
    <w:rsid w:val="0073733B"/>
    <w:pPr>
      <w:spacing w:before="240" w:after="240"/>
    </w:pPr>
  </w:style>
  <w:style w:type="paragraph" w:customStyle="1" w:styleId="Textbullets">
    <w:name w:val="Text bullets"/>
    <w:basedOn w:val="ListParagraph"/>
    <w:qFormat/>
    <w:rsid w:val="0073733B"/>
    <w:pPr>
      <w:tabs>
        <w:tab w:val="left" w:pos="720"/>
      </w:tabs>
      <w:spacing w:before="60" w:after="60" w:line="23" w:lineRule="atLeast"/>
      <w:ind w:hanging="360"/>
    </w:pPr>
  </w:style>
  <w:style w:type="paragraph" w:customStyle="1" w:styleId="ChapterSub2">
    <w:name w:val="Chapter Sub 2"/>
    <w:basedOn w:val="Normal"/>
    <w:qFormat/>
    <w:rsid w:val="00E13EDF"/>
    <w:pPr>
      <w:keepNext/>
      <w:spacing w:before="360" w:after="120"/>
      <w:ind w:left="144"/>
    </w:pPr>
    <w:rPr>
      <w:rFonts w:ascii="Arial" w:hAnsi="Arial" w:cs="Arial"/>
      <w:b/>
      <w:bCs/>
    </w:rPr>
  </w:style>
  <w:style w:type="paragraph" w:customStyle="1" w:styleId="ChapterSub4">
    <w:name w:val="Chapter Sub 4"/>
    <w:basedOn w:val="Normal"/>
    <w:qFormat/>
    <w:rsid w:val="0073733B"/>
    <w:pPr>
      <w:keepNext/>
      <w:spacing w:before="240" w:after="120"/>
    </w:pPr>
    <w:rPr>
      <w:bCs/>
      <w:iCs/>
      <w:u w:val="single"/>
    </w:rPr>
  </w:style>
  <w:style w:type="paragraph" w:styleId="BodyText">
    <w:name w:val="Body Text"/>
    <w:basedOn w:val="Normal"/>
    <w:link w:val="BodyTextChar"/>
    <w:uiPriority w:val="99"/>
    <w:semiHidden/>
    <w:unhideWhenUsed/>
    <w:rsid w:val="0073733B"/>
    <w:pPr>
      <w:spacing w:after="120"/>
    </w:pPr>
  </w:style>
  <w:style w:type="character" w:customStyle="1" w:styleId="BodyTextChar">
    <w:name w:val="Body Text Char"/>
    <w:basedOn w:val="DefaultParagraphFont"/>
    <w:link w:val="BodyText"/>
    <w:uiPriority w:val="99"/>
    <w:semiHidden/>
    <w:rsid w:val="006C3BB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73733B"/>
    <w:rPr>
      <w:rFonts w:ascii="Tahoma" w:hAnsi="Tahoma" w:cs="Tahoma"/>
      <w:sz w:val="16"/>
      <w:szCs w:val="16"/>
    </w:rPr>
  </w:style>
  <w:style w:type="character" w:customStyle="1" w:styleId="BalloonTextChar">
    <w:name w:val="Balloon Text Char"/>
    <w:basedOn w:val="DefaultParagraphFont"/>
    <w:link w:val="BalloonText"/>
    <w:uiPriority w:val="99"/>
    <w:semiHidden/>
    <w:rsid w:val="006C3BBB"/>
    <w:rPr>
      <w:rFonts w:ascii="Tahoma" w:eastAsia="Times New Roman" w:hAnsi="Tahoma" w:cs="Tahoma"/>
      <w:sz w:val="16"/>
      <w:szCs w:val="16"/>
    </w:rPr>
  </w:style>
  <w:style w:type="character" w:styleId="CommentReference">
    <w:name w:val="annotation reference"/>
    <w:basedOn w:val="DefaultParagraphFont"/>
    <w:semiHidden/>
    <w:rsid w:val="0073733B"/>
    <w:rPr>
      <w:rFonts w:cs="Times New Roman"/>
      <w:sz w:val="16"/>
      <w:szCs w:val="16"/>
    </w:rPr>
  </w:style>
  <w:style w:type="paragraph" w:styleId="CommentText">
    <w:name w:val="annotation text"/>
    <w:basedOn w:val="Normal"/>
    <w:link w:val="CommentTextChar"/>
    <w:semiHidden/>
    <w:rsid w:val="0073733B"/>
    <w:rPr>
      <w:sz w:val="20"/>
      <w:szCs w:val="20"/>
    </w:rPr>
  </w:style>
  <w:style w:type="character" w:customStyle="1" w:styleId="CommentTextChar">
    <w:name w:val="Comment Text Char"/>
    <w:basedOn w:val="DefaultParagraphFont"/>
    <w:link w:val="CommentText"/>
    <w:semiHidden/>
    <w:rsid w:val="006C3BBB"/>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rsid w:val="0073733B"/>
    <w:rPr>
      <w:b/>
      <w:bCs/>
    </w:rPr>
  </w:style>
  <w:style w:type="character" w:customStyle="1" w:styleId="CommentSubjectChar">
    <w:name w:val="Comment Subject Char"/>
    <w:basedOn w:val="CommentTextChar"/>
    <w:link w:val="CommentSubject"/>
    <w:uiPriority w:val="99"/>
    <w:semiHidden/>
    <w:rsid w:val="00E86E64"/>
    <w:rPr>
      <w:b/>
      <w:bCs/>
    </w:rPr>
  </w:style>
  <w:style w:type="paragraph" w:customStyle="1" w:styleId="biblio">
    <w:name w:val="biblio"/>
    <w:basedOn w:val="Normal"/>
    <w:qFormat/>
    <w:rsid w:val="00C507FE"/>
    <w:pPr>
      <w:keepLines/>
      <w:spacing w:after="240"/>
      <w:ind w:left="720" w:hanging="576"/>
    </w:pPr>
    <w:rPr>
      <w:bCs/>
      <w:szCs w:val="20"/>
    </w:rPr>
  </w:style>
  <w:style w:type="paragraph" w:customStyle="1" w:styleId="bodytext0">
    <w:name w:val="body text"/>
    <w:uiPriority w:val="99"/>
    <w:qFormat/>
    <w:rsid w:val="0073733B"/>
    <w:pPr>
      <w:spacing w:after="120"/>
      <w:ind w:left="144"/>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73733B"/>
    <w:pPr>
      <w:spacing w:after="120"/>
      <w:ind w:left="360"/>
    </w:pPr>
  </w:style>
  <w:style w:type="character" w:customStyle="1" w:styleId="BodyTextIndentChar">
    <w:name w:val="Body Text Indent Char"/>
    <w:basedOn w:val="DefaultParagraphFont"/>
    <w:link w:val="BodyTextIndent"/>
    <w:uiPriority w:val="99"/>
    <w:semiHidden/>
    <w:rsid w:val="0073733B"/>
    <w:rPr>
      <w:rFonts w:ascii="Times New Roman" w:eastAsia="Times New Roman" w:hAnsi="Times New Roman" w:cs="Times New Roman"/>
      <w:sz w:val="24"/>
      <w:szCs w:val="24"/>
    </w:rPr>
  </w:style>
  <w:style w:type="character" w:customStyle="1" w:styleId="bodytextpsgChar">
    <w:name w:val="body text_psg Char"/>
    <w:basedOn w:val="DefaultParagraphFont"/>
    <w:rsid w:val="0073733B"/>
    <w:rPr>
      <w:sz w:val="24"/>
    </w:rPr>
  </w:style>
  <w:style w:type="paragraph" w:customStyle="1" w:styleId="bullet1">
    <w:name w:val="bullet1"/>
    <w:basedOn w:val="Normal"/>
    <w:rsid w:val="00A43209"/>
    <w:pPr>
      <w:numPr>
        <w:numId w:val="10"/>
      </w:numPr>
      <w:ind w:left="1080"/>
    </w:pPr>
  </w:style>
  <w:style w:type="paragraph" w:customStyle="1" w:styleId="bullet2">
    <w:name w:val="bullet2"/>
    <w:basedOn w:val="Normal"/>
    <w:qFormat/>
    <w:rsid w:val="00BD068B"/>
    <w:pPr>
      <w:numPr>
        <w:numId w:val="7"/>
      </w:numPr>
      <w:spacing w:after="120"/>
      <w:ind w:left="1440"/>
    </w:pPr>
  </w:style>
  <w:style w:type="paragraph" w:customStyle="1" w:styleId="ChapterSub2a">
    <w:name w:val="Chapter Sub 2a"/>
    <w:basedOn w:val="ChapterSub2"/>
    <w:next w:val="Text"/>
    <w:qFormat/>
    <w:rsid w:val="0073733B"/>
    <w:pPr>
      <w:numPr>
        <w:numId w:val="8"/>
      </w:numPr>
    </w:pPr>
    <w:rPr>
      <w:color w:val="1F497D"/>
    </w:rPr>
  </w:style>
  <w:style w:type="paragraph" w:customStyle="1" w:styleId="ChapterSub3">
    <w:name w:val="Chapter Sub 3"/>
    <w:basedOn w:val="Normal"/>
    <w:qFormat/>
    <w:rsid w:val="0073733B"/>
    <w:pPr>
      <w:keepNext/>
      <w:spacing w:before="240" w:after="120"/>
    </w:pPr>
    <w:rPr>
      <w:rFonts w:ascii="Arial" w:hAnsi="Arial" w:cs="Arial"/>
      <w:bCs/>
      <w:i/>
    </w:rPr>
  </w:style>
  <w:style w:type="paragraph" w:customStyle="1" w:styleId="equation">
    <w:name w:val="equation"/>
    <w:basedOn w:val="Text"/>
    <w:qFormat/>
    <w:rsid w:val="0073733B"/>
    <w:pPr>
      <w:tabs>
        <w:tab w:val="center" w:pos="4680"/>
      </w:tabs>
    </w:pPr>
  </w:style>
  <w:style w:type="paragraph" w:styleId="Footer">
    <w:name w:val="footer"/>
    <w:basedOn w:val="Normal"/>
    <w:link w:val="FooterChar"/>
    <w:uiPriority w:val="99"/>
    <w:unhideWhenUsed/>
    <w:rsid w:val="0073733B"/>
    <w:pPr>
      <w:tabs>
        <w:tab w:val="center" w:pos="4680"/>
        <w:tab w:val="right" w:pos="9360"/>
      </w:tabs>
    </w:pPr>
  </w:style>
  <w:style w:type="character" w:customStyle="1" w:styleId="FooterChar">
    <w:name w:val="Footer Char"/>
    <w:basedOn w:val="DefaultParagraphFont"/>
    <w:link w:val="Footer"/>
    <w:uiPriority w:val="99"/>
    <w:rsid w:val="0073733B"/>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73733B"/>
    <w:rPr>
      <w:rFonts w:cs="Times New Roman"/>
      <w:vertAlign w:val="superscript"/>
    </w:rPr>
  </w:style>
  <w:style w:type="paragraph" w:styleId="FootnoteText">
    <w:name w:val="footnote text"/>
    <w:basedOn w:val="Normal"/>
    <w:link w:val="FootnoteTextChar"/>
    <w:uiPriority w:val="99"/>
    <w:semiHidden/>
    <w:unhideWhenUsed/>
    <w:rsid w:val="0073733B"/>
    <w:rPr>
      <w:sz w:val="20"/>
      <w:szCs w:val="20"/>
    </w:rPr>
  </w:style>
  <w:style w:type="character" w:customStyle="1" w:styleId="FootnoteTextChar">
    <w:name w:val="Footnote Text Char"/>
    <w:basedOn w:val="DefaultParagraphFont"/>
    <w:link w:val="FootnoteText"/>
    <w:uiPriority w:val="99"/>
    <w:semiHidden/>
    <w:rsid w:val="0073733B"/>
    <w:rPr>
      <w:rFonts w:ascii="Times New Roman" w:eastAsia="Times New Roman" w:hAnsi="Times New Roman" w:cs="Times New Roman"/>
    </w:rPr>
  </w:style>
  <w:style w:type="paragraph" w:styleId="Header">
    <w:name w:val="header"/>
    <w:basedOn w:val="Normal"/>
    <w:link w:val="HeaderChar"/>
    <w:uiPriority w:val="99"/>
    <w:unhideWhenUsed/>
    <w:rsid w:val="0073733B"/>
    <w:pPr>
      <w:tabs>
        <w:tab w:val="center" w:pos="4680"/>
        <w:tab w:val="right" w:pos="9360"/>
      </w:tabs>
    </w:pPr>
  </w:style>
  <w:style w:type="character" w:customStyle="1" w:styleId="HeaderChar">
    <w:name w:val="Header Char"/>
    <w:basedOn w:val="DefaultParagraphFont"/>
    <w:link w:val="Header"/>
    <w:uiPriority w:val="99"/>
    <w:rsid w:val="0073733B"/>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3733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73733B"/>
    <w:rPr>
      <w:rFonts w:ascii="Arial" w:eastAsia="Times New Roman" w:hAnsi="Arial"/>
      <w:b/>
      <w:bCs/>
      <w:i/>
      <w:iCs/>
      <w:sz w:val="28"/>
      <w:szCs w:val="28"/>
    </w:rPr>
  </w:style>
  <w:style w:type="character" w:customStyle="1" w:styleId="Heading3Char">
    <w:name w:val="Heading 3 Char"/>
    <w:basedOn w:val="DefaultParagraphFont"/>
    <w:link w:val="Heading3"/>
    <w:uiPriority w:val="9"/>
    <w:rsid w:val="0073733B"/>
    <w:rPr>
      <w:rFonts w:ascii="Arial Narrow" w:eastAsia="Times New Roman" w:hAnsi="Arial Narrow" w:cs="Times New Roman"/>
      <w:b/>
      <w:bCs/>
      <w:sz w:val="28"/>
      <w:szCs w:val="28"/>
    </w:rPr>
  </w:style>
  <w:style w:type="character" w:styleId="Hyperlink">
    <w:name w:val="Hyperlink"/>
    <w:basedOn w:val="DefaultParagraphFont"/>
    <w:uiPriority w:val="99"/>
    <w:unhideWhenUsed/>
    <w:rsid w:val="0073733B"/>
    <w:rPr>
      <w:color w:val="0000FF"/>
      <w:u w:val="single"/>
    </w:rPr>
  </w:style>
  <w:style w:type="paragraph" w:styleId="ListParagraph">
    <w:name w:val="List Paragraph"/>
    <w:basedOn w:val="Normal"/>
    <w:uiPriority w:val="34"/>
    <w:qFormat/>
    <w:rsid w:val="0073733B"/>
    <w:pPr>
      <w:ind w:left="720"/>
    </w:pPr>
  </w:style>
  <w:style w:type="paragraph" w:customStyle="1" w:styleId="listparagraph0">
    <w:name w:val="listparagraph"/>
    <w:basedOn w:val="Normal"/>
    <w:rsid w:val="0073733B"/>
    <w:pPr>
      <w:spacing w:before="100" w:beforeAutospacing="1" w:after="100" w:afterAutospacing="1"/>
    </w:pPr>
  </w:style>
  <w:style w:type="paragraph" w:styleId="PlainText">
    <w:name w:val="Plain Text"/>
    <w:basedOn w:val="Normal"/>
    <w:link w:val="PlainTextChar"/>
    <w:uiPriority w:val="99"/>
    <w:unhideWhenUsed/>
    <w:rsid w:val="0073733B"/>
    <w:rPr>
      <w:rFonts w:ascii="Arial" w:eastAsia="Calibri" w:hAnsi="Arial" w:cs="Arial"/>
      <w:sz w:val="20"/>
      <w:szCs w:val="20"/>
    </w:rPr>
  </w:style>
  <w:style w:type="character" w:customStyle="1" w:styleId="PlainTextChar">
    <w:name w:val="Plain Text Char"/>
    <w:basedOn w:val="DefaultParagraphFont"/>
    <w:link w:val="PlainText"/>
    <w:uiPriority w:val="99"/>
    <w:rsid w:val="0073733B"/>
    <w:rPr>
      <w:rFonts w:ascii="Arial" w:hAnsi="Arial"/>
    </w:rPr>
  </w:style>
  <w:style w:type="paragraph" w:customStyle="1" w:styleId="Prop-bulletsinTB">
    <w:name w:val="Prop-bullets in TB"/>
    <w:basedOn w:val="Normal"/>
    <w:rsid w:val="0073733B"/>
    <w:pPr>
      <w:ind w:left="720" w:hanging="360"/>
    </w:pPr>
    <w:rPr>
      <w:rFonts w:ascii="Garamond" w:hAnsi="Garamond"/>
      <w:color w:val="008080"/>
      <w:sz w:val="20"/>
    </w:rPr>
  </w:style>
  <w:style w:type="paragraph" w:customStyle="1" w:styleId="references">
    <w:name w:val="references"/>
    <w:basedOn w:val="Text"/>
    <w:qFormat/>
    <w:rsid w:val="0073733B"/>
    <w:pPr>
      <w:ind w:left="720" w:hanging="720"/>
    </w:pPr>
  </w:style>
  <w:style w:type="table" w:styleId="TableGrid">
    <w:name w:val="Table Grid"/>
    <w:basedOn w:val="TableNormal"/>
    <w:uiPriority w:val="59"/>
    <w:rsid w:val="0073733B"/>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ref">
    <w:name w:val="Table ref"/>
    <w:basedOn w:val="Text"/>
    <w:next w:val="Text"/>
    <w:qFormat/>
    <w:rsid w:val="0073733B"/>
    <w:pPr>
      <w:spacing w:before="120"/>
    </w:pPr>
    <w:rPr>
      <w:sz w:val="18"/>
    </w:rPr>
  </w:style>
  <w:style w:type="paragraph" w:customStyle="1" w:styleId="Tabletext">
    <w:name w:val="Table text"/>
    <w:basedOn w:val="Normal"/>
    <w:qFormat/>
    <w:rsid w:val="0073733B"/>
    <w:pPr>
      <w:spacing w:before="60" w:after="60"/>
      <w:jc w:val="center"/>
    </w:pPr>
    <w:rPr>
      <w:color w:val="000000"/>
    </w:rPr>
  </w:style>
  <w:style w:type="paragraph" w:customStyle="1" w:styleId="TableTextbold">
    <w:name w:val="Table Text bold"/>
    <w:basedOn w:val="Tabletext"/>
    <w:next w:val="Tabletext"/>
    <w:qFormat/>
    <w:rsid w:val="0073733B"/>
    <w:rPr>
      <w:b/>
    </w:rPr>
  </w:style>
  <w:style w:type="paragraph" w:customStyle="1" w:styleId="Tabletextbullets">
    <w:name w:val="Table text bullets"/>
    <w:basedOn w:val="Tabletext"/>
    <w:qFormat/>
    <w:rsid w:val="0073733B"/>
    <w:pPr>
      <w:numPr>
        <w:numId w:val="9"/>
      </w:numPr>
      <w:spacing w:before="30" w:after="30"/>
      <w:jc w:val="left"/>
    </w:pPr>
  </w:style>
  <w:style w:type="paragraph" w:customStyle="1" w:styleId="TableTitle">
    <w:name w:val="Table Title"/>
    <w:basedOn w:val="Text"/>
    <w:next w:val="Text"/>
    <w:rsid w:val="0073733B"/>
    <w:pPr>
      <w:keepNext/>
      <w:keepLines/>
      <w:spacing w:before="320" w:after="120"/>
    </w:pPr>
    <w:rPr>
      <w:rFonts w:eastAsia="MS Mincho"/>
      <w:b/>
      <w:szCs w:val="20"/>
    </w:rPr>
  </w:style>
  <w:style w:type="character" w:customStyle="1" w:styleId="Textbold">
    <w:name w:val="Text bold"/>
    <w:basedOn w:val="DefaultParagraphFont"/>
    <w:qFormat/>
    <w:rsid w:val="0073733B"/>
    <w:rPr>
      <w:rFonts w:cs="Times New Roman"/>
      <w:b/>
    </w:rPr>
  </w:style>
  <w:style w:type="character" w:customStyle="1" w:styleId="TEXT1Char">
    <w:name w:val="TEXT_1 Char"/>
    <w:aliases w:val="1 Char,first Char,f Char"/>
    <w:basedOn w:val="DefaultParagraphFont"/>
    <w:rsid w:val="0073733B"/>
    <w:rPr>
      <w:rFonts w:ascii="Times New Roman" w:hAnsi="Times New Roman" w:cs="Times New Roman"/>
      <w:sz w:val="24"/>
    </w:rPr>
  </w:style>
  <w:style w:type="paragraph" w:customStyle="1" w:styleId="TEXT1">
    <w:name w:val="TEXT_1"/>
    <w:aliases w:val="1,first,f"/>
    <w:basedOn w:val="Normal"/>
    <w:rsid w:val="0073733B"/>
    <w:pPr>
      <w:spacing w:before="60" w:after="60"/>
    </w:pPr>
    <w:rPr>
      <w:szCs w:val="20"/>
    </w:rPr>
  </w:style>
  <w:style w:type="paragraph" w:customStyle="1" w:styleId="text10">
    <w:name w:val="text1"/>
    <w:basedOn w:val="Normal"/>
    <w:rsid w:val="0073733B"/>
    <w:pPr>
      <w:spacing w:before="120" w:after="120"/>
    </w:pPr>
    <w:rPr>
      <w:sz w:val="22"/>
      <w:szCs w:val="22"/>
    </w:rPr>
  </w:style>
  <w:style w:type="paragraph" w:styleId="TOC1">
    <w:name w:val="toc 1"/>
    <w:basedOn w:val="Text"/>
    <w:next w:val="Text"/>
    <w:autoRedefine/>
    <w:uiPriority w:val="39"/>
    <w:unhideWhenUsed/>
    <w:qFormat/>
    <w:rsid w:val="0073733B"/>
    <w:pPr>
      <w:spacing w:before="100" w:after="100" w:line="276" w:lineRule="auto"/>
    </w:pPr>
    <w:rPr>
      <w:sz w:val="22"/>
      <w:szCs w:val="22"/>
    </w:rPr>
  </w:style>
  <w:style w:type="paragraph" w:styleId="TOC2">
    <w:name w:val="toc 2"/>
    <w:basedOn w:val="Normal"/>
    <w:next w:val="Normal"/>
    <w:autoRedefine/>
    <w:uiPriority w:val="39"/>
    <w:unhideWhenUsed/>
    <w:qFormat/>
    <w:rsid w:val="0073733B"/>
    <w:pPr>
      <w:spacing w:after="100" w:line="276" w:lineRule="auto"/>
      <w:ind w:left="220"/>
    </w:pPr>
    <w:rPr>
      <w:rFonts w:ascii="Calibri" w:hAnsi="Calibri"/>
      <w:sz w:val="22"/>
      <w:szCs w:val="22"/>
    </w:rPr>
  </w:style>
  <w:style w:type="paragraph" w:styleId="TOC3">
    <w:name w:val="toc 3"/>
    <w:basedOn w:val="Normal"/>
    <w:next w:val="Normal"/>
    <w:autoRedefine/>
    <w:uiPriority w:val="39"/>
    <w:unhideWhenUsed/>
    <w:qFormat/>
    <w:rsid w:val="0073733B"/>
    <w:pPr>
      <w:spacing w:after="100" w:line="276" w:lineRule="auto"/>
      <w:ind w:left="440"/>
    </w:pPr>
    <w:rPr>
      <w:rFonts w:ascii="Calibri" w:hAnsi="Calibri"/>
      <w:sz w:val="22"/>
      <w:szCs w:val="22"/>
    </w:rPr>
  </w:style>
  <w:style w:type="paragraph" w:styleId="TOC4">
    <w:name w:val="toc 4"/>
    <w:basedOn w:val="Normal"/>
    <w:next w:val="Normal"/>
    <w:autoRedefine/>
    <w:uiPriority w:val="39"/>
    <w:unhideWhenUsed/>
    <w:rsid w:val="0073733B"/>
    <w:pPr>
      <w:ind w:left="720"/>
    </w:pPr>
  </w:style>
  <w:style w:type="paragraph" w:styleId="TOC5">
    <w:name w:val="toc 5"/>
    <w:basedOn w:val="Normal"/>
    <w:next w:val="Normal"/>
    <w:autoRedefine/>
    <w:uiPriority w:val="39"/>
    <w:unhideWhenUsed/>
    <w:rsid w:val="0073733B"/>
    <w:pPr>
      <w:ind w:left="960"/>
    </w:pPr>
  </w:style>
  <w:style w:type="paragraph" w:styleId="TOC6">
    <w:name w:val="toc 6"/>
    <w:basedOn w:val="Normal"/>
    <w:next w:val="Normal"/>
    <w:autoRedefine/>
    <w:uiPriority w:val="39"/>
    <w:unhideWhenUsed/>
    <w:rsid w:val="0073733B"/>
    <w:pPr>
      <w:ind w:left="1200"/>
    </w:pPr>
  </w:style>
  <w:style w:type="paragraph" w:styleId="TOCHeading">
    <w:name w:val="TOC Heading"/>
    <w:basedOn w:val="Heading1"/>
    <w:next w:val="Normal"/>
    <w:uiPriority w:val="39"/>
    <w:qFormat/>
    <w:rsid w:val="0073733B"/>
    <w:pPr>
      <w:keepLines/>
      <w:spacing w:before="480" w:after="0" w:line="276" w:lineRule="auto"/>
      <w:outlineLvl w:val="9"/>
    </w:pPr>
    <w:rPr>
      <w:color w:val="365F91"/>
      <w:kern w:val="0"/>
      <w:sz w:val="28"/>
      <w:szCs w:val="28"/>
    </w:rPr>
  </w:style>
  <w:style w:type="paragraph" w:customStyle="1" w:styleId="AppChapterSub1">
    <w:name w:val="App Chapter Sub 1"/>
    <w:basedOn w:val="ChapterSub1"/>
    <w:qFormat/>
    <w:rsid w:val="00A43209"/>
  </w:style>
  <w:style w:type="paragraph" w:customStyle="1" w:styleId="FigureTitle">
    <w:name w:val="Figure Title"/>
    <w:qFormat/>
    <w:rsid w:val="00C507FE"/>
    <w:pPr>
      <w:spacing w:before="120" w:after="120"/>
    </w:pPr>
    <w:rPr>
      <w:rFonts w:ascii="Times New Roman" w:eastAsia="MS Mincho" w:hAnsi="Times New Roman" w:cs="Times New Roman"/>
      <w:b/>
      <w:noProof/>
      <w:sz w:val="24"/>
    </w:rPr>
  </w:style>
  <w:style w:type="paragraph" w:customStyle="1" w:styleId="FigureTitlecont">
    <w:name w:val="Figure Title (cont)"/>
    <w:basedOn w:val="FigureTitle"/>
    <w:uiPriority w:val="99"/>
    <w:qFormat/>
    <w:rsid w:val="00C507FE"/>
  </w:style>
  <w:style w:type="paragraph" w:customStyle="1" w:styleId="figure-nobox">
    <w:name w:val="figure-no box"/>
    <w:basedOn w:val="Normal"/>
    <w:uiPriority w:val="99"/>
    <w:qFormat/>
    <w:rsid w:val="00BD068B"/>
    <w:pPr>
      <w:keepNext/>
      <w:jc w:val="center"/>
    </w:pPr>
    <w:rPr>
      <w:noProof/>
    </w:rPr>
  </w:style>
  <w:style w:type="paragraph" w:customStyle="1" w:styleId="APPENDIXLC">
    <w:name w:val="APPENDIX_LC"/>
    <w:basedOn w:val="Normal"/>
    <w:link w:val="APPENDIXLCChar"/>
    <w:qFormat/>
    <w:rsid w:val="002E0D1F"/>
    <w:pPr>
      <w:spacing w:before="120" w:after="120" w:line="480" w:lineRule="exact"/>
      <w:jc w:val="center"/>
    </w:pPr>
    <w:rPr>
      <w:rFonts w:ascii="Arial" w:eastAsia="Calibri" w:hAnsi="Arial" w:cs="Arial"/>
      <w:b/>
      <w:color w:val="C0504D"/>
      <w:sz w:val="48"/>
      <w:szCs w:val="48"/>
      <w:u w:color="C0504D"/>
    </w:rPr>
  </w:style>
  <w:style w:type="character" w:customStyle="1" w:styleId="APPENDIXLCChar">
    <w:name w:val="APPENDIX_LC Char"/>
    <w:basedOn w:val="DefaultParagraphFont"/>
    <w:link w:val="APPENDIXLC"/>
    <w:rsid w:val="002E0D1F"/>
    <w:rPr>
      <w:rFonts w:ascii="Arial" w:hAnsi="Arial"/>
      <w:b/>
      <w:color w:val="C0504D"/>
      <w:sz w:val="48"/>
      <w:szCs w:val="48"/>
      <w:u w:color="C0504D"/>
    </w:rPr>
  </w:style>
</w:styles>
</file>

<file path=word/webSettings.xml><?xml version="1.0" encoding="utf-8"?>
<w:webSettings xmlns:r="http://schemas.openxmlformats.org/officeDocument/2006/relationships" xmlns:w="http://schemas.openxmlformats.org/wordprocessingml/2006/main">
  <w:divs>
    <w:div w:id="287588693">
      <w:bodyDiv w:val="1"/>
      <w:marLeft w:val="0"/>
      <w:marRight w:val="0"/>
      <w:marTop w:val="0"/>
      <w:marBottom w:val="0"/>
      <w:divBdr>
        <w:top w:val="none" w:sz="0" w:space="0" w:color="auto"/>
        <w:left w:val="none" w:sz="0" w:space="0" w:color="auto"/>
        <w:bottom w:val="none" w:sz="0" w:space="0" w:color="auto"/>
        <w:right w:val="none" w:sz="0" w:space="0" w:color="auto"/>
      </w:divBdr>
    </w:div>
    <w:div w:id="1122841066">
      <w:bodyDiv w:val="1"/>
      <w:marLeft w:val="0"/>
      <w:marRight w:val="0"/>
      <w:marTop w:val="0"/>
      <w:marBottom w:val="0"/>
      <w:divBdr>
        <w:top w:val="none" w:sz="0" w:space="0" w:color="auto"/>
        <w:left w:val="none" w:sz="0" w:space="0" w:color="auto"/>
        <w:bottom w:val="none" w:sz="0" w:space="0" w:color="auto"/>
        <w:right w:val="none" w:sz="0" w:space="0" w:color="auto"/>
      </w:divBdr>
    </w:div>
    <w:div w:id="115815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RTIFILE02\hserall2\Users\jblitstein\My%20stuff\Projects\Active\USDA\SNAPed-2\Demo%20Sites\Iowa\Iowa_Pre-Post.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0272462817147854"/>
          <c:y val="5.1400554097404488E-2"/>
          <c:w val="0.62951137357830511"/>
          <c:h val="0.70005358705161858"/>
        </c:manualLayout>
      </c:layout>
      <c:lineChart>
        <c:grouping val="standard"/>
        <c:ser>
          <c:idx val="0"/>
          <c:order val="0"/>
          <c:tx>
            <c:v>g=8</c:v>
          </c:tx>
          <c:spPr>
            <a:ln>
              <a:solidFill>
                <a:schemeClr val="tx1"/>
              </a:solidFill>
              <a:prstDash val="dash"/>
            </a:ln>
          </c:spPr>
          <c:marker>
            <c:symbol val="none"/>
          </c:marker>
          <c:cat>
            <c:numRef>
              <c:f>Sheet2!$A$13:$A$17</c:f>
              <c:numCache>
                <c:formatCode>General</c:formatCode>
                <c:ptCount val="5"/>
                <c:pt idx="0">
                  <c:v>10</c:v>
                </c:pt>
                <c:pt idx="1">
                  <c:v>20</c:v>
                </c:pt>
                <c:pt idx="2">
                  <c:v>30</c:v>
                </c:pt>
                <c:pt idx="3">
                  <c:v>40</c:v>
                </c:pt>
                <c:pt idx="4">
                  <c:v>50</c:v>
                </c:pt>
              </c:numCache>
            </c:numRef>
          </c:cat>
          <c:val>
            <c:numRef>
              <c:f>Sheet2!$B$13:$B$17</c:f>
              <c:numCache>
                <c:formatCode>General</c:formatCode>
                <c:ptCount val="5"/>
                <c:pt idx="0">
                  <c:v>0.44125529283373555</c:v>
                </c:pt>
                <c:pt idx="1">
                  <c:v>0.35456932958095078</c:v>
                </c:pt>
                <c:pt idx="2">
                  <c:v>0.32050554049509083</c:v>
                </c:pt>
                <c:pt idx="3">
                  <c:v>0.30203641749354232</c:v>
                </c:pt>
                <c:pt idx="4">
                  <c:v>0.29039165810143924</c:v>
                </c:pt>
              </c:numCache>
            </c:numRef>
          </c:val>
          <c:smooth val="1"/>
        </c:ser>
        <c:ser>
          <c:idx val="1"/>
          <c:order val="1"/>
          <c:tx>
            <c:v>g=10</c:v>
          </c:tx>
          <c:spPr>
            <a:ln cmpd="sng">
              <a:solidFill>
                <a:schemeClr val="tx1"/>
              </a:solidFill>
              <a:prstDash val="solid"/>
            </a:ln>
          </c:spPr>
          <c:marker>
            <c:symbol val="none"/>
          </c:marker>
          <c:cat>
            <c:numRef>
              <c:f>Sheet2!$A$13:$A$17</c:f>
              <c:numCache>
                <c:formatCode>General</c:formatCode>
                <c:ptCount val="5"/>
                <c:pt idx="0">
                  <c:v>10</c:v>
                </c:pt>
                <c:pt idx="1">
                  <c:v>20</c:v>
                </c:pt>
                <c:pt idx="2">
                  <c:v>30</c:v>
                </c:pt>
                <c:pt idx="3">
                  <c:v>40</c:v>
                </c:pt>
                <c:pt idx="4">
                  <c:v>50</c:v>
                </c:pt>
              </c:numCache>
            </c:numRef>
          </c:cat>
          <c:val>
            <c:numRef>
              <c:f>Sheet2!$C$13:$C$17</c:f>
              <c:numCache>
                <c:formatCode>General</c:formatCode>
                <c:ptCount val="5"/>
                <c:pt idx="0">
                  <c:v>0.38813785313637533</c:v>
                </c:pt>
                <c:pt idx="1">
                  <c:v>0.31188697474369009</c:v>
                </c:pt>
                <c:pt idx="2">
                  <c:v>0.28192371723675275</c:v>
                </c:pt>
                <c:pt idx="3">
                  <c:v>0.26567787074481325</c:v>
                </c:pt>
                <c:pt idx="4">
                  <c:v>0.25543488446420642</c:v>
                </c:pt>
              </c:numCache>
            </c:numRef>
          </c:val>
          <c:smooth val="1"/>
        </c:ser>
        <c:ser>
          <c:idx val="2"/>
          <c:order val="2"/>
          <c:tx>
            <c:v>g=12</c:v>
          </c:tx>
          <c:spPr>
            <a:ln>
              <a:solidFill>
                <a:schemeClr val="tx1"/>
              </a:solidFill>
              <a:prstDash val="dashDot"/>
            </a:ln>
          </c:spPr>
          <c:marker>
            <c:symbol val="none"/>
          </c:marker>
          <c:cat>
            <c:numRef>
              <c:f>Sheet2!$A$13:$A$17</c:f>
              <c:numCache>
                <c:formatCode>General</c:formatCode>
                <c:ptCount val="5"/>
                <c:pt idx="0">
                  <c:v>10</c:v>
                </c:pt>
                <c:pt idx="1">
                  <c:v>20</c:v>
                </c:pt>
                <c:pt idx="2">
                  <c:v>30</c:v>
                </c:pt>
                <c:pt idx="3">
                  <c:v>40</c:v>
                </c:pt>
                <c:pt idx="4">
                  <c:v>50</c:v>
                </c:pt>
              </c:numCache>
            </c:numRef>
          </c:cat>
          <c:val>
            <c:numRef>
              <c:f>Sheet2!$D$13:$D$17</c:f>
              <c:numCache>
                <c:formatCode>General</c:formatCode>
                <c:ptCount val="5"/>
                <c:pt idx="0">
                  <c:v>0.35063284013432389</c:v>
                </c:pt>
                <c:pt idx="1">
                  <c:v>0.28174993722361186</c:v>
                </c:pt>
                <c:pt idx="2">
                  <c:v>0.25468197156543732</c:v>
                </c:pt>
                <c:pt idx="3">
                  <c:v>0.24000592992243491</c:v>
                </c:pt>
                <c:pt idx="4">
                  <c:v>0.23075270367303907</c:v>
                </c:pt>
              </c:numCache>
            </c:numRef>
          </c:val>
          <c:smooth val="1"/>
        </c:ser>
        <c:marker val="1"/>
        <c:axId val="122732928"/>
        <c:axId val="122735232"/>
      </c:lineChart>
      <c:catAx>
        <c:axId val="122732928"/>
        <c:scaling>
          <c:orientation val="minMax"/>
        </c:scaling>
        <c:axPos val="b"/>
        <c:title>
          <c:tx>
            <c:rich>
              <a:bodyPr/>
              <a:lstStyle/>
              <a:p>
                <a:pPr>
                  <a:defRPr/>
                </a:pPr>
                <a:r>
                  <a:rPr lang="en-US"/>
                  <a:t>Number of Students/Parents per School </a:t>
                </a:r>
              </a:p>
            </c:rich>
          </c:tx>
        </c:title>
        <c:numFmt formatCode="General" sourceLinked="1"/>
        <c:tickLblPos val="nextTo"/>
        <c:crossAx val="122735232"/>
        <c:crosses val="autoZero"/>
        <c:auto val="1"/>
        <c:lblAlgn val="ctr"/>
        <c:lblOffset val="100"/>
      </c:catAx>
      <c:valAx>
        <c:axId val="122735232"/>
        <c:scaling>
          <c:orientation val="minMax"/>
          <c:max val="0.45"/>
          <c:min val="0.2"/>
        </c:scaling>
        <c:axPos val="l"/>
        <c:majorGridlines/>
        <c:title>
          <c:tx>
            <c:rich>
              <a:bodyPr rot="0" vert="horz"/>
              <a:lstStyle/>
              <a:p>
                <a:pPr>
                  <a:defRPr/>
                </a:pPr>
                <a:r>
                  <a:rPr lang="en-US"/>
                  <a:t>Effect</a:t>
                </a:r>
              </a:p>
              <a:p>
                <a:pPr>
                  <a:defRPr/>
                </a:pPr>
                <a:r>
                  <a:rPr lang="en-US"/>
                  <a:t> Size (SD)</a:t>
                </a:r>
              </a:p>
            </c:rich>
          </c:tx>
          <c:layout>
            <c:manualLayout>
              <c:xMode val="edge"/>
              <c:yMode val="edge"/>
              <c:x val="1.6273179686336597E-3"/>
              <c:y val="0.33797844700829327"/>
            </c:manualLayout>
          </c:layout>
        </c:title>
        <c:numFmt formatCode="General" sourceLinked="1"/>
        <c:tickLblPos val="nextTo"/>
        <c:crossAx val="122732928"/>
        <c:crosses val="autoZero"/>
        <c:crossBetween val="midCat"/>
      </c:valAx>
    </c:plotArea>
    <c:legend>
      <c:legendPos val="r"/>
      <c:layout>
        <c:manualLayout>
          <c:xMode val="edge"/>
          <c:yMode val="edge"/>
          <c:x val="0.82409711286089515"/>
          <c:y val="0.17072032662583847"/>
          <c:w val="0.15923622047244226"/>
          <c:h val="0.25115157480314959"/>
        </c:manualLayout>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1611</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10773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Barrell</dc:creator>
  <cp:keywords/>
  <dc:description/>
  <cp:lastModifiedBy>Stacy Gleason</cp:lastModifiedBy>
  <cp:revision>2</cp:revision>
  <dcterms:created xsi:type="dcterms:W3CDTF">2011-01-17T19:20:00Z</dcterms:created>
  <dcterms:modified xsi:type="dcterms:W3CDTF">2011-01-17T19:20:00Z</dcterms:modified>
</cp:coreProperties>
</file>