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5134" w:rsidRPr="00085134" w:rsidRDefault="00085134" w:rsidP="005C5AB7">
      <w:pPr>
        <w:contextualSpacing/>
        <w:rPr>
          <w:rFonts w:ascii="Times New Roman" w:hAnsi="Times New Roman"/>
          <w:b/>
          <w:i/>
          <w:sz w:val="24"/>
          <w:szCs w:val="24"/>
        </w:rPr>
      </w:pPr>
      <w:r w:rsidRPr="00085134">
        <w:rPr>
          <w:rFonts w:ascii="Times New Roman" w:hAnsi="Times New Roman"/>
          <w:b/>
          <w:i/>
          <w:sz w:val="24"/>
          <w:szCs w:val="24"/>
        </w:rPr>
        <w:t>OMB Questions and Responses</w:t>
      </w:r>
    </w:p>
    <w:p w:rsidR="005C5AB7" w:rsidRDefault="003E22F3" w:rsidP="005C5AB7">
      <w:pPr>
        <w:pStyle w:val="ListParagraph"/>
        <w:numPr>
          <w:ilvl w:val="0"/>
          <w:numId w:val="1"/>
        </w:numPr>
        <w:contextualSpacing/>
        <w:rPr>
          <w:rFonts w:ascii="Times New Roman" w:hAnsi="Times New Roman"/>
          <w:i/>
          <w:sz w:val="24"/>
          <w:szCs w:val="24"/>
        </w:rPr>
      </w:pPr>
      <w:r w:rsidRPr="004310DD">
        <w:rPr>
          <w:rFonts w:ascii="Times New Roman" w:hAnsi="Times New Roman"/>
          <w:i/>
          <w:sz w:val="24"/>
          <w:szCs w:val="24"/>
        </w:rPr>
        <w:t>How were burden estimates established for this survey, especially for the new content?</w:t>
      </w:r>
    </w:p>
    <w:p w:rsidR="00A81023" w:rsidRPr="00A81023" w:rsidRDefault="00A81023" w:rsidP="00A81023">
      <w:pPr>
        <w:pStyle w:val="ListParagraph"/>
        <w:contextualSpacing/>
        <w:rPr>
          <w:rFonts w:ascii="Times New Roman" w:hAnsi="Times New Roman"/>
          <w:i/>
          <w:sz w:val="24"/>
          <w:szCs w:val="24"/>
        </w:rPr>
      </w:pPr>
    </w:p>
    <w:p w:rsidR="005C0C38" w:rsidRPr="005C0C38" w:rsidRDefault="005C0C38" w:rsidP="005C5AB7">
      <w:pPr>
        <w:spacing w:line="240" w:lineRule="auto"/>
        <w:rPr>
          <w:rFonts w:ascii="Times New Roman" w:hAnsi="Times New Roman" w:cs="Times New Roman"/>
          <w:sz w:val="24"/>
          <w:szCs w:val="24"/>
        </w:rPr>
      </w:pPr>
      <w:r w:rsidRPr="005C0C38">
        <w:rPr>
          <w:rFonts w:ascii="Times New Roman" w:hAnsi="Times New Roman" w:cs="Times New Roman"/>
          <w:sz w:val="24"/>
          <w:szCs w:val="24"/>
        </w:rPr>
        <w:t xml:space="preserve">The burden estimates were determined based on in-person meetings held with the </w:t>
      </w:r>
      <w:r>
        <w:rPr>
          <w:rFonts w:ascii="Times New Roman" w:hAnsi="Times New Roman" w:cs="Times New Roman"/>
          <w:sz w:val="24"/>
          <w:szCs w:val="24"/>
        </w:rPr>
        <w:t>State Court Organization</w:t>
      </w:r>
      <w:r w:rsidRPr="005C0C38">
        <w:rPr>
          <w:rFonts w:ascii="Times New Roman" w:hAnsi="Times New Roman" w:cs="Times New Roman"/>
          <w:sz w:val="24"/>
          <w:szCs w:val="24"/>
        </w:rPr>
        <w:t xml:space="preserve"> Advisory Committee, the </w:t>
      </w:r>
      <w:r>
        <w:rPr>
          <w:rFonts w:ascii="Times New Roman" w:hAnsi="Times New Roman" w:cs="Times New Roman"/>
          <w:sz w:val="24"/>
          <w:szCs w:val="24"/>
        </w:rPr>
        <w:t>Court Statistics Project</w:t>
      </w:r>
      <w:r w:rsidRPr="005C0C38">
        <w:rPr>
          <w:rFonts w:ascii="Times New Roman" w:hAnsi="Times New Roman" w:cs="Times New Roman"/>
          <w:sz w:val="24"/>
          <w:szCs w:val="24"/>
        </w:rPr>
        <w:t xml:space="preserve"> Advisory Committee, and the Court Information Technology Officers Consortium (CITOC).  The members of the advisory committees represent the Conference of State Court Administrators (COSCA) -- it is their staff that will complete the majority of the tables -- and the CITOC members were involved in creating the bulk of the new tables</w:t>
      </w:r>
      <w:r w:rsidR="009F5993">
        <w:rPr>
          <w:rFonts w:ascii="Times New Roman" w:hAnsi="Times New Roman" w:cs="Times New Roman"/>
          <w:sz w:val="24"/>
          <w:szCs w:val="24"/>
        </w:rPr>
        <w:t xml:space="preserve"> (those regarding technology). </w:t>
      </w:r>
      <w:r w:rsidRPr="005C0C38">
        <w:rPr>
          <w:rFonts w:ascii="Times New Roman" w:hAnsi="Times New Roman" w:cs="Times New Roman"/>
          <w:sz w:val="24"/>
          <w:szCs w:val="24"/>
        </w:rPr>
        <w:t xml:space="preserve">Together, these groups completed a detailed review of each of the 63 tables included in the survey.  The suggested time required to complete the survey tables </w:t>
      </w:r>
      <w:r>
        <w:rPr>
          <w:rFonts w:ascii="Times New Roman" w:hAnsi="Times New Roman" w:cs="Times New Roman"/>
          <w:sz w:val="24"/>
          <w:szCs w:val="24"/>
        </w:rPr>
        <w:t xml:space="preserve">was deemed a reasonable </w:t>
      </w:r>
      <w:r w:rsidRPr="005C0C38">
        <w:rPr>
          <w:rFonts w:ascii="Times New Roman" w:hAnsi="Times New Roman" w:cs="Times New Roman"/>
          <w:sz w:val="24"/>
          <w:szCs w:val="24"/>
        </w:rPr>
        <w:t>estimate proposed by these groups.</w:t>
      </w:r>
    </w:p>
    <w:p w:rsidR="004F57D9" w:rsidRPr="005C5AB7" w:rsidRDefault="003E22F3" w:rsidP="005C5AB7">
      <w:pPr>
        <w:pStyle w:val="ListParagraph"/>
        <w:numPr>
          <w:ilvl w:val="0"/>
          <w:numId w:val="1"/>
        </w:numPr>
        <w:contextualSpacing/>
        <w:rPr>
          <w:rFonts w:ascii="Times New Roman" w:hAnsi="Times New Roman"/>
          <w:i/>
          <w:sz w:val="24"/>
          <w:szCs w:val="24"/>
        </w:rPr>
      </w:pPr>
      <w:r w:rsidRPr="005C5AB7">
        <w:rPr>
          <w:rFonts w:ascii="Times New Roman" w:hAnsi="Times New Roman"/>
          <w:i/>
          <w:sz w:val="24"/>
          <w:szCs w:val="24"/>
        </w:rPr>
        <w:t>What response rates has BJS historically obtained for this survey?</w:t>
      </w:r>
    </w:p>
    <w:p w:rsidR="004F57D9" w:rsidRPr="004F57D9" w:rsidRDefault="004F57D9" w:rsidP="004F57D9">
      <w:pPr>
        <w:pStyle w:val="ListParagraph"/>
        <w:rPr>
          <w:rFonts w:ascii="Times New Roman" w:hAnsi="Times New Roman"/>
          <w:i/>
          <w:sz w:val="24"/>
          <w:szCs w:val="24"/>
        </w:rPr>
      </w:pPr>
    </w:p>
    <w:p w:rsidR="004F57D9" w:rsidRPr="004F57D9" w:rsidRDefault="004F57D9" w:rsidP="004F57D9">
      <w:pPr>
        <w:spacing w:line="240" w:lineRule="auto"/>
        <w:rPr>
          <w:rFonts w:ascii="Times New Roman" w:hAnsi="Times New Roman"/>
          <w:i/>
          <w:sz w:val="24"/>
          <w:szCs w:val="24"/>
        </w:rPr>
      </w:pPr>
      <w:r w:rsidRPr="004310DD">
        <w:rPr>
          <w:rFonts w:ascii="Times New Roman" w:hAnsi="Times New Roman" w:cs="Times New Roman"/>
          <w:sz w:val="24"/>
          <w:szCs w:val="24"/>
        </w:rPr>
        <w:t xml:space="preserve">Historically, </w:t>
      </w:r>
      <w:r>
        <w:rPr>
          <w:rFonts w:ascii="Times New Roman" w:hAnsi="Times New Roman" w:cs="Times New Roman"/>
          <w:sz w:val="24"/>
          <w:szCs w:val="24"/>
        </w:rPr>
        <w:t xml:space="preserve">the State Court Organization </w:t>
      </w:r>
      <w:r w:rsidR="009F5993">
        <w:rPr>
          <w:rFonts w:ascii="Times New Roman" w:hAnsi="Times New Roman" w:cs="Times New Roman"/>
          <w:sz w:val="24"/>
          <w:szCs w:val="24"/>
        </w:rPr>
        <w:t>project</w:t>
      </w:r>
      <w:r>
        <w:rPr>
          <w:rFonts w:ascii="Times New Roman" w:hAnsi="Times New Roman" w:cs="Times New Roman"/>
          <w:sz w:val="24"/>
          <w:szCs w:val="24"/>
        </w:rPr>
        <w:t xml:space="preserve"> has been able to obtain participation from all the trial and appellate courts located in the nation’s 50 states, </w:t>
      </w:r>
      <w:r w:rsidRPr="004310DD">
        <w:rPr>
          <w:rFonts w:ascii="Times New Roman" w:hAnsi="Times New Roman" w:cs="Times New Roman"/>
          <w:sz w:val="24"/>
          <w:szCs w:val="24"/>
        </w:rPr>
        <w:t>the District of Columbia, Puerto Rico, and the U.S. territories</w:t>
      </w:r>
      <w:r>
        <w:rPr>
          <w:rFonts w:ascii="Times New Roman" w:hAnsi="Times New Roman" w:cs="Times New Roman"/>
          <w:sz w:val="24"/>
          <w:szCs w:val="24"/>
        </w:rPr>
        <w:t>.</w:t>
      </w:r>
      <w:r>
        <w:rPr>
          <w:rFonts w:ascii="Times New Roman" w:hAnsi="Times New Roman"/>
          <w:sz w:val="24"/>
          <w:szCs w:val="24"/>
        </w:rPr>
        <w:t xml:space="preserve"> </w:t>
      </w:r>
    </w:p>
    <w:p w:rsidR="004F57D9" w:rsidRDefault="004F57D9" w:rsidP="004F57D9">
      <w:pPr>
        <w:pStyle w:val="ListParagraph"/>
        <w:numPr>
          <w:ilvl w:val="0"/>
          <w:numId w:val="1"/>
        </w:numPr>
        <w:rPr>
          <w:rFonts w:ascii="Times New Roman" w:hAnsi="Times New Roman"/>
          <w:i/>
          <w:sz w:val="24"/>
          <w:szCs w:val="24"/>
        </w:rPr>
      </w:pPr>
      <w:r w:rsidRPr="004310DD">
        <w:rPr>
          <w:rFonts w:ascii="Times New Roman" w:hAnsi="Times New Roman"/>
          <w:i/>
          <w:sz w:val="24"/>
          <w:szCs w:val="24"/>
        </w:rPr>
        <w:t>What response rate does BJS anticipate for this round, and why?</w:t>
      </w:r>
    </w:p>
    <w:p w:rsidR="004F57D9" w:rsidRPr="004F57D9" w:rsidRDefault="004F57D9" w:rsidP="004F57D9">
      <w:pPr>
        <w:pStyle w:val="ListParagraph"/>
        <w:rPr>
          <w:rFonts w:ascii="Times New Roman" w:hAnsi="Times New Roman"/>
          <w:i/>
          <w:sz w:val="24"/>
          <w:szCs w:val="24"/>
        </w:rPr>
      </w:pPr>
    </w:p>
    <w:p w:rsidR="004310DD" w:rsidRDefault="004F57D9" w:rsidP="00106260">
      <w:pPr>
        <w:pStyle w:val="Default"/>
        <w:rPr>
          <w:rFonts w:ascii="Times New Roman" w:hAnsi="Times New Roman" w:cs="Times New Roman"/>
          <w:iCs/>
        </w:rPr>
      </w:pPr>
      <w:r w:rsidRPr="00613A88">
        <w:rPr>
          <w:rFonts w:ascii="Times New Roman" w:hAnsi="Times New Roman" w:cs="Times New Roman"/>
        </w:rPr>
        <w:t>As in previous iterations of State Court Organization, BJS anticipates that all the nation’s trial and appellate courts in the 50 states, the District of Columbia, Puerto Rico, and the U.S. territories will participate in this project. The response rate will be 100% because the data collection agent for this project – the National Center for State Courts</w:t>
      </w:r>
      <w:r w:rsidR="00613A88" w:rsidRPr="00613A88">
        <w:rPr>
          <w:rFonts w:ascii="Times New Roman" w:hAnsi="Times New Roman" w:cs="Times New Roman"/>
        </w:rPr>
        <w:t xml:space="preserve"> (NCSC)</w:t>
      </w:r>
      <w:r w:rsidRPr="00613A88">
        <w:rPr>
          <w:rFonts w:ascii="Times New Roman" w:hAnsi="Times New Roman" w:cs="Times New Roman"/>
        </w:rPr>
        <w:t xml:space="preserve"> –</w:t>
      </w:r>
      <w:r w:rsidR="00106260">
        <w:rPr>
          <w:rFonts w:ascii="Times New Roman" w:hAnsi="Times New Roman" w:cs="Times New Roman"/>
        </w:rPr>
        <w:t xml:space="preserve"> is closely tied to the </w:t>
      </w:r>
      <w:r w:rsidRPr="00613A88">
        <w:rPr>
          <w:rFonts w:ascii="Times New Roman" w:hAnsi="Times New Roman" w:cs="Times New Roman"/>
        </w:rPr>
        <w:t xml:space="preserve">state court community. </w:t>
      </w:r>
      <w:r w:rsidR="006D340B">
        <w:rPr>
          <w:rFonts w:ascii="Times New Roman" w:hAnsi="Times New Roman" w:cs="Times New Roman"/>
        </w:rPr>
        <w:t>The</w:t>
      </w:r>
      <w:r w:rsidR="00613A88" w:rsidRPr="00613A88">
        <w:rPr>
          <w:rFonts w:ascii="Times New Roman" w:hAnsi="Times New Roman" w:cs="Times New Roman"/>
        </w:rPr>
        <w:t xml:space="preserve"> NCSC is the secretariat to eight national </w:t>
      </w:r>
      <w:r w:rsidR="006D340B">
        <w:rPr>
          <w:rFonts w:ascii="Times New Roman" w:hAnsi="Times New Roman" w:cs="Times New Roman"/>
        </w:rPr>
        <w:t xml:space="preserve">court </w:t>
      </w:r>
      <w:r w:rsidR="00613A88" w:rsidRPr="00613A88">
        <w:rPr>
          <w:rFonts w:ascii="Times New Roman" w:hAnsi="Times New Roman" w:cs="Times New Roman"/>
        </w:rPr>
        <w:t xml:space="preserve">organizations, including the Council of Chief Justices of State Courts of Appeal (CCJSCA), the National Conference of Appellate Court Clerks (NCACC), the Conference of Chief Justices (CCJ), the Conference of State Court Administrators (COSCA), the National Association for Court Management (NACM), the American Judges Association (AJA), and the National Conference of Metropolitan Courts (NCMC). The NCSC has </w:t>
      </w:r>
      <w:r w:rsidR="00106260">
        <w:rPr>
          <w:rFonts w:ascii="Times New Roman" w:hAnsi="Times New Roman" w:cs="Times New Roman"/>
        </w:rPr>
        <w:t xml:space="preserve">also </w:t>
      </w:r>
      <w:r w:rsidR="00613A88" w:rsidRPr="00613A88">
        <w:rPr>
          <w:rFonts w:ascii="Times New Roman" w:hAnsi="Times New Roman" w:cs="Times New Roman"/>
        </w:rPr>
        <w:t xml:space="preserve">successfully managed all </w:t>
      </w:r>
      <w:r w:rsidR="00106260">
        <w:rPr>
          <w:rFonts w:ascii="Times New Roman" w:hAnsi="Times New Roman" w:cs="Times New Roman"/>
        </w:rPr>
        <w:t>prior</w:t>
      </w:r>
      <w:r w:rsidR="008F1CE3">
        <w:rPr>
          <w:rFonts w:ascii="Times New Roman" w:hAnsi="Times New Roman" w:cs="Times New Roman"/>
        </w:rPr>
        <w:t xml:space="preserve"> iterations</w:t>
      </w:r>
      <w:r w:rsidR="00106260">
        <w:rPr>
          <w:rFonts w:ascii="Times New Roman" w:hAnsi="Times New Roman" w:cs="Times New Roman"/>
        </w:rPr>
        <w:t xml:space="preserve"> of State Court Organization. </w:t>
      </w:r>
      <w:r w:rsidR="00106260">
        <w:rPr>
          <w:rFonts w:ascii="Times New Roman" w:hAnsi="Times New Roman" w:cs="Times New Roman"/>
          <w:iCs/>
        </w:rPr>
        <w:t>In sum, the close ties with the state court community</w:t>
      </w:r>
      <w:r w:rsidR="008F1CE3">
        <w:rPr>
          <w:rFonts w:ascii="Times New Roman" w:hAnsi="Times New Roman" w:cs="Times New Roman"/>
          <w:iCs/>
        </w:rPr>
        <w:t>,</w:t>
      </w:r>
      <w:r w:rsidR="00106260">
        <w:rPr>
          <w:rFonts w:ascii="Times New Roman" w:hAnsi="Times New Roman" w:cs="Times New Roman"/>
          <w:iCs/>
        </w:rPr>
        <w:t xml:space="preserve"> </w:t>
      </w:r>
      <w:r w:rsidR="008F1CE3">
        <w:rPr>
          <w:rFonts w:ascii="Times New Roman" w:hAnsi="Times New Roman" w:cs="Times New Roman"/>
          <w:iCs/>
        </w:rPr>
        <w:t>combined with</w:t>
      </w:r>
      <w:r w:rsidR="00106260">
        <w:rPr>
          <w:rFonts w:ascii="Times New Roman" w:hAnsi="Times New Roman" w:cs="Times New Roman"/>
          <w:iCs/>
        </w:rPr>
        <w:t xml:space="preserve"> </w:t>
      </w:r>
      <w:r w:rsidR="008F1CE3">
        <w:rPr>
          <w:rFonts w:ascii="Times New Roman" w:hAnsi="Times New Roman" w:cs="Times New Roman"/>
          <w:iCs/>
        </w:rPr>
        <w:t xml:space="preserve">the experience fielding prior </w:t>
      </w:r>
      <w:r w:rsidR="00106260">
        <w:rPr>
          <w:rFonts w:ascii="Times New Roman" w:hAnsi="Times New Roman" w:cs="Times New Roman"/>
          <w:iCs/>
        </w:rPr>
        <w:t xml:space="preserve">State Court Organization </w:t>
      </w:r>
      <w:r w:rsidR="008F1CE3">
        <w:rPr>
          <w:rFonts w:ascii="Times New Roman" w:hAnsi="Times New Roman" w:cs="Times New Roman"/>
          <w:iCs/>
        </w:rPr>
        <w:t xml:space="preserve">projects, </w:t>
      </w:r>
      <w:r w:rsidR="00106260">
        <w:rPr>
          <w:rFonts w:ascii="Times New Roman" w:hAnsi="Times New Roman" w:cs="Times New Roman"/>
          <w:iCs/>
        </w:rPr>
        <w:t>should ensure a 100% response rate.</w:t>
      </w:r>
    </w:p>
    <w:p w:rsidR="00106260" w:rsidRPr="00106260" w:rsidRDefault="00106260" w:rsidP="00106260">
      <w:pPr>
        <w:pStyle w:val="Default"/>
        <w:rPr>
          <w:rFonts w:ascii="Times New Roman" w:hAnsi="Times New Roman" w:cs="Times New Roman"/>
        </w:rPr>
      </w:pPr>
    </w:p>
    <w:p w:rsidR="003E22F3" w:rsidRPr="00106260" w:rsidRDefault="003E22F3" w:rsidP="003E22F3">
      <w:pPr>
        <w:pStyle w:val="ListParagraph"/>
        <w:numPr>
          <w:ilvl w:val="0"/>
          <w:numId w:val="1"/>
        </w:numPr>
        <w:rPr>
          <w:rFonts w:ascii="Times New Roman" w:hAnsi="Times New Roman"/>
          <w:i/>
          <w:sz w:val="24"/>
          <w:szCs w:val="24"/>
        </w:rPr>
      </w:pPr>
      <w:r w:rsidRPr="00106260">
        <w:rPr>
          <w:rFonts w:ascii="Times New Roman" w:hAnsi="Times New Roman"/>
          <w:i/>
          <w:sz w:val="24"/>
          <w:szCs w:val="24"/>
        </w:rPr>
        <w:t>In Supporting Statement (SS) A1, what does the sentence “All data collected will be accurate as of the data collection date in 2011” mean?  Is it trying to say that the intention is for the reference period to include information up to the data collection date?</w:t>
      </w:r>
    </w:p>
    <w:p w:rsidR="00106260" w:rsidRDefault="00106260" w:rsidP="00106260">
      <w:pPr>
        <w:contextualSpacing/>
        <w:rPr>
          <w:rFonts w:ascii="Times New Roman" w:hAnsi="Times New Roman"/>
          <w:sz w:val="24"/>
          <w:szCs w:val="24"/>
        </w:rPr>
      </w:pPr>
    </w:p>
    <w:p w:rsidR="00106260" w:rsidRDefault="00106260" w:rsidP="0018581B">
      <w:pPr>
        <w:spacing w:line="240" w:lineRule="auto"/>
        <w:contextualSpacing/>
        <w:rPr>
          <w:rFonts w:ascii="Times New Roman" w:hAnsi="Times New Roman"/>
          <w:sz w:val="24"/>
          <w:szCs w:val="24"/>
        </w:rPr>
      </w:pPr>
      <w:r>
        <w:rPr>
          <w:rFonts w:ascii="Times New Roman" w:hAnsi="Times New Roman"/>
          <w:sz w:val="24"/>
          <w:szCs w:val="24"/>
        </w:rPr>
        <w:t xml:space="preserve">The reference </w:t>
      </w:r>
      <w:r w:rsidR="0041136D">
        <w:rPr>
          <w:rFonts w:ascii="Times New Roman" w:hAnsi="Times New Roman"/>
          <w:sz w:val="24"/>
          <w:szCs w:val="24"/>
        </w:rPr>
        <w:t>period</w:t>
      </w:r>
      <w:r>
        <w:rPr>
          <w:rFonts w:ascii="Times New Roman" w:hAnsi="Times New Roman"/>
          <w:sz w:val="24"/>
          <w:szCs w:val="24"/>
        </w:rPr>
        <w:t xml:space="preserve"> for State Court Organization will be December 31, 2011. In other words, the data collected from the State Court Organization census will provide a snapshot of state courts as of </w:t>
      </w:r>
      <w:r w:rsidR="0018581B">
        <w:rPr>
          <w:rFonts w:ascii="Times New Roman" w:hAnsi="Times New Roman"/>
          <w:sz w:val="24"/>
          <w:szCs w:val="24"/>
        </w:rPr>
        <w:t xml:space="preserve">December 31, 2011. </w:t>
      </w:r>
    </w:p>
    <w:p w:rsidR="00BD77F3" w:rsidRDefault="00BD77F3" w:rsidP="0018581B">
      <w:pPr>
        <w:spacing w:line="240" w:lineRule="auto"/>
        <w:contextualSpacing/>
        <w:rPr>
          <w:rFonts w:ascii="Times New Roman" w:hAnsi="Times New Roman"/>
          <w:sz w:val="24"/>
          <w:szCs w:val="24"/>
        </w:rPr>
      </w:pPr>
    </w:p>
    <w:p w:rsidR="00BD77F3" w:rsidRDefault="00BD77F3" w:rsidP="0018581B">
      <w:pPr>
        <w:spacing w:line="240" w:lineRule="auto"/>
        <w:contextualSpacing/>
        <w:rPr>
          <w:rFonts w:ascii="Times New Roman" w:hAnsi="Times New Roman"/>
          <w:sz w:val="24"/>
          <w:szCs w:val="24"/>
        </w:rPr>
      </w:pPr>
    </w:p>
    <w:p w:rsidR="00BD77F3" w:rsidRDefault="00BD77F3" w:rsidP="0018581B">
      <w:pPr>
        <w:spacing w:line="240" w:lineRule="auto"/>
        <w:contextualSpacing/>
        <w:rPr>
          <w:rFonts w:ascii="Times New Roman" w:hAnsi="Times New Roman"/>
          <w:sz w:val="24"/>
          <w:szCs w:val="24"/>
        </w:rPr>
      </w:pPr>
    </w:p>
    <w:p w:rsidR="00BD77F3" w:rsidRDefault="00BD77F3" w:rsidP="0018581B">
      <w:pPr>
        <w:spacing w:line="240" w:lineRule="auto"/>
        <w:contextualSpacing/>
        <w:rPr>
          <w:rFonts w:ascii="Times New Roman" w:hAnsi="Times New Roman"/>
          <w:sz w:val="24"/>
          <w:szCs w:val="24"/>
        </w:rPr>
      </w:pPr>
    </w:p>
    <w:p w:rsidR="00BD77F3" w:rsidRPr="0018581B" w:rsidRDefault="00BD77F3" w:rsidP="0018581B">
      <w:pPr>
        <w:spacing w:line="240" w:lineRule="auto"/>
        <w:contextualSpacing/>
        <w:rPr>
          <w:rFonts w:ascii="Times New Roman" w:hAnsi="Times New Roman"/>
          <w:sz w:val="24"/>
          <w:szCs w:val="24"/>
        </w:rPr>
      </w:pPr>
    </w:p>
    <w:p w:rsidR="0018581B" w:rsidRPr="0018581B" w:rsidRDefault="003E22F3" w:rsidP="0018581B">
      <w:pPr>
        <w:pStyle w:val="ListParagraph"/>
        <w:numPr>
          <w:ilvl w:val="0"/>
          <w:numId w:val="1"/>
        </w:numPr>
        <w:rPr>
          <w:rFonts w:ascii="Times New Roman" w:hAnsi="Times New Roman"/>
          <w:i/>
          <w:sz w:val="24"/>
          <w:szCs w:val="24"/>
        </w:rPr>
      </w:pPr>
      <w:r w:rsidRPr="0018581B">
        <w:rPr>
          <w:rFonts w:ascii="Times New Roman" w:hAnsi="Times New Roman"/>
          <w:i/>
          <w:sz w:val="24"/>
          <w:szCs w:val="24"/>
        </w:rPr>
        <w:lastRenderedPageBreak/>
        <w:t>Is it BJS’s goal to collect this survey every 5 or 6 years indefinitely (as opposed to something more frequent such as the annual schedule of the past)?  Please explain your answer.</w:t>
      </w:r>
    </w:p>
    <w:p w:rsidR="0018581B" w:rsidRPr="0018581B" w:rsidRDefault="0018581B" w:rsidP="0018581B">
      <w:pPr>
        <w:pStyle w:val="ListParagraph"/>
        <w:rPr>
          <w:rFonts w:ascii="Times New Roman" w:hAnsi="Times New Roman"/>
          <w:sz w:val="24"/>
          <w:szCs w:val="24"/>
        </w:rPr>
      </w:pPr>
    </w:p>
    <w:p w:rsidR="0018581B" w:rsidRDefault="0018581B" w:rsidP="0018581B">
      <w:pPr>
        <w:spacing w:line="240" w:lineRule="auto"/>
        <w:rPr>
          <w:rFonts w:ascii="Times New Roman" w:hAnsi="Times New Roman"/>
          <w:sz w:val="24"/>
          <w:szCs w:val="24"/>
        </w:rPr>
      </w:pPr>
      <w:r>
        <w:rPr>
          <w:rFonts w:ascii="Times New Roman" w:hAnsi="Times New Roman"/>
          <w:sz w:val="24"/>
          <w:szCs w:val="24"/>
        </w:rPr>
        <w:t xml:space="preserve">State Court Organization is fielded every 5 to 6 years because the </w:t>
      </w:r>
      <w:r w:rsidR="000C1A12">
        <w:rPr>
          <w:rFonts w:ascii="Times New Roman" w:hAnsi="Times New Roman"/>
          <w:sz w:val="24"/>
          <w:szCs w:val="24"/>
        </w:rPr>
        <w:t xml:space="preserve">overall </w:t>
      </w:r>
      <w:r>
        <w:rPr>
          <w:rFonts w:ascii="Times New Roman" w:hAnsi="Times New Roman"/>
          <w:sz w:val="24"/>
          <w:szCs w:val="24"/>
        </w:rPr>
        <w:t xml:space="preserve">organizational structure of state courts </w:t>
      </w:r>
      <w:r w:rsidR="006D340B">
        <w:rPr>
          <w:rFonts w:ascii="Times New Roman" w:hAnsi="Times New Roman"/>
          <w:sz w:val="24"/>
          <w:szCs w:val="24"/>
        </w:rPr>
        <w:t xml:space="preserve">undergo relatively few changes </w:t>
      </w:r>
      <w:r>
        <w:rPr>
          <w:rFonts w:ascii="Times New Roman" w:hAnsi="Times New Roman"/>
          <w:sz w:val="24"/>
          <w:szCs w:val="24"/>
        </w:rPr>
        <w:t xml:space="preserve">from year to year. BJS and NCSC have found that items such as judicial selection, administrative structure, </w:t>
      </w:r>
      <w:r w:rsidR="00747AE7">
        <w:rPr>
          <w:rFonts w:ascii="Times New Roman" w:hAnsi="Times New Roman"/>
          <w:sz w:val="24"/>
          <w:szCs w:val="24"/>
        </w:rPr>
        <w:t xml:space="preserve">and </w:t>
      </w:r>
      <w:r>
        <w:rPr>
          <w:rFonts w:ascii="Times New Roman" w:hAnsi="Times New Roman"/>
          <w:sz w:val="24"/>
          <w:szCs w:val="24"/>
        </w:rPr>
        <w:t>jury selection procedures change slowly over time and that a census ever</w:t>
      </w:r>
      <w:r w:rsidR="006D340B">
        <w:rPr>
          <w:rFonts w:ascii="Times New Roman" w:hAnsi="Times New Roman"/>
          <w:sz w:val="24"/>
          <w:szCs w:val="24"/>
        </w:rPr>
        <w:t xml:space="preserve">y 5 to 6 years covers those </w:t>
      </w:r>
      <w:r>
        <w:rPr>
          <w:rFonts w:ascii="Times New Roman" w:hAnsi="Times New Roman"/>
          <w:sz w:val="24"/>
          <w:szCs w:val="24"/>
        </w:rPr>
        <w:t xml:space="preserve">changes that </w:t>
      </w:r>
      <w:r w:rsidR="008A653A">
        <w:rPr>
          <w:rFonts w:ascii="Times New Roman" w:hAnsi="Times New Roman"/>
          <w:sz w:val="24"/>
          <w:szCs w:val="24"/>
        </w:rPr>
        <w:t xml:space="preserve">do </w:t>
      </w:r>
      <w:r>
        <w:rPr>
          <w:rFonts w:ascii="Times New Roman" w:hAnsi="Times New Roman"/>
          <w:sz w:val="24"/>
          <w:szCs w:val="24"/>
        </w:rPr>
        <w:t>take place</w:t>
      </w:r>
      <w:r w:rsidR="006D340B">
        <w:rPr>
          <w:rFonts w:ascii="Times New Roman" w:hAnsi="Times New Roman"/>
          <w:sz w:val="24"/>
          <w:szCs w:val="24"/>
        </w:rPr>
        <w:t xml:space="preserve"> in state courts</w:t>
      </w:r>
      <w:r>
        <w:rPr>
          <w:rFonts w:ascii="Times New Roman" w:hAnsi="Times New Roman"/>
          <w:sz w:val="24"/>
          <w:szCs w:val="24"/>
        </w:rPr>
        <w:t xml:space="preserve">. </w:t>
      </w:r>
    </w:p>
    <w:p w:rsidR="000C1A12" w:rsidRDefault="0018581B" w:rsidP="00D65667">
      <w:pPr>
        <w:spacing w:line="240" w:lineRule="auto"/>
        <w:rPr>
          <w:rFonts w:ascii="Times New Roman" w:hAnsi="Times New Roman"/>
          <w:sz w:val="24"/>
          <w:szCs w:val="24"/>
        </w:rPr>
      </w:pPr>
      <w:r>
        <w:rPr>
          <w:rFonts w:ascii="Times New Roman" w:hAnsi="Times New Roman"/>
          <w:sz w:val="24"/>
          <w:szCs w:val="24"/>
        </w:rPr>
        <w:t xml:space="preserve">Even though previous iterations of State Court Organization have revealed gradual changes in the </w:t>
      </w:r>
      <w:r w:rsidR="00516F7E">
        <w:rPr>
          <w:rFonts w:ascii="Times New Roman" w:hAnsi="Times New Roman"/>
          <w:sz w:val="24"/>
          <w:szCs w:val="24"/>
        </w:rPr>
        <w:t xml:space="preserve">overall </w:t>
      </w:r>
      <w:r>
        <w:rPr>
          <w:rFonts w:ascii="Times New Roman" w:hAnsi="Times New Roman"/>
          <w:sz w:val="24"/>
          <w:szCs w:val="24"/>
        </w:rPr>
        <w:t xml:space="preserve">structure of state courts, </w:t>
      </w:r>
      <w:r w:rsidR="000C1A12">
        <w:rPr>
          <w:rFonts w:ascii="Times New Roman" w:hAnsi="Times New Roman"/>
          <w:sz w:val="24"/>
          <w:szCs w:val="24"/>
        </w:rPr>
        <w:t xml:space="preserve">we are exploring the possibility of differentiating between core components, which change gradually, and supplemental </w:t>
      </w:r>
      <w:r w:rsidR="00516F7E">
        <w:rPr>
          <w:rFonts w:ascii="Times New Roman" w:hAnsi="Times New Roman"/>
          <w:sz w:val="24"/>
          <w:szCs w:val="24"/>
        </w:rPr>
        <w:t>components</w:t>
      </w:r>
      <w:r w:rsidR="000C1A12">
        <w:rPr>
          <w:rFonts w:ascii="Times New Roman" w:hAnsi="Times New Roman"/>
          <w:sz w:val="24"/>
          <w:szCs w:val="24"/>
        </w:rPr>
        <w:t xml:space="preserve">, which are apt to change more rapidly. </w:t>
      </w:r>
      <w:r w:rsidR="009A3EF4">
        <w:rPr>
          <w:rFonts w:ascii="Times New Roman" w:hAnsi="Times New Roman"/>
          <w:sz w:val="24"/>
          <w:szCs w:val="24"/>
        </w:rPr>
        <w:t>For example, i</w:t>
      </w:r>
      <w:r w:rsidR="000C1A12">
        <w:rPr>
          <w:rFonts w:ascii="Times New Roman" w:hAnsi="Times New Roman"/>
          <w:sz w:val="24"/>
          <w:szCs w:val="24"/>
        </w:rPr>
        <w:t xml:space="preserve">ssues related to the </w:t>
      </w:r>
      <w:r w:rsidR="00D65667">
        <w:rPr>
          <w:rFonts w:ascii="Times New Roman" w:hAnsi="Times New Roman"/>
          <w:sz w:val="24"/>
          <w:szCs w:val="24"/>
        </w:rPr>
        <w:t xml:space="preserve">current economic environment </w:t>
      </w:r>
      <w:r w:rsidR="000C1A12">
        <w:rPr>
          <w:rFonts w:ascii="Times New Roman" w:hAnsi="Times New Roman"/>
          <w:sz w:val="24"/>
          <w:szCs w:val="24"/>
        </w:rPr>
        <w:t>have</w:t>
      </w:r>
      <w:r w:rsidR="008A653A">
        <w:rPr>
          <w:rFonts w:ascii="Times New Roman" w:hAnsi="Times New Roman"/>
          <w:sz w:val="24"/>
          <w:szCs w:val="24"/>
        </w:rPr>
        <w:t xml:space="preserve"> created</w:t>
      </w:r>
      <w:r w:rsidR="00D65667">
        <w:rPr>
          <w:rFonts w:ascii="Times New Roman" w:hAnsi="Times New Roman"/>
          <w:sz w:val="24"/>
          <w:szCs w:val="24"/>
        </w:rPr>
        <w:t xml:space="preserve"> strong incentives for state courts to modify their staffing and budgets. </w:t>
      </w:r>
      <w:r w:rsidR="000C1A12">
        <w:rPr>
          <w:rFonts w:ascii="Times New Roman" w:hAnsi="Times New Roman"/>
          <w:sz w:val="24"/>
          <w:szCs w:val="24"/>
        </w:rPr>
        <w:t xml:space="preserve">Also “problem-solving” courts have become more common as courts attempt to address </w:t>
      </w:r>
      <w:r w:rsidR="00516F7E">
        <w:rPr>
          <w:rFonts w:ascii="Times New Roman" w:hAnsi="Times New Roman"/>
          <w:sz w:val="24"/>
          <w:szCs w:val="24"/>
        </w:rPr>
        <w:t xml:space="preserve">the </w:t>
      </w:r>
      <w:r w:rsidR="000C1A12">
        <w:rPr>
          <w:rFonts w:ascii="Times New Roman" w:hAnsi="Times New Roman"/>
          <w:sz w:val="24"/>
          <w:szCs w:val="24"/>
        </w:rPr>
        <w:t xml:space="preserve">underlying social </w:t>
      </w:r>
      <w:r w:rsidR="009A3EF4">
        <w:rPr>
          <w:rFonts w:ascii="Times New Roman" w:hAnsi="Times New Roman"/>
          <w:sz w:val="24"/>
          <w:szCs w:val="24"/>
        </w:rPr>
        <w:t>issues</w:t>
      </w:r>
      <w:r w:rsidR="000C1A12">
        <w:rPr>
          <w:rFonts w:ascii="Times New Roman" w:hAnsi="Times New Roman"/>
          <w:sz w:val="24"/>
          <w:szCs w:val="24"/>
        </w:rPr>
        <w:t xml:space="preserve"> that bring litigants into the court system.</w:t>
      </w:r>
    </w:p>
    <w:p w:rsidR="0018581B" w:rsidRPr="0018581B" w:rsidRDefault="009A3EF4" w:rsidP="00D65667">
      <w:pPr>
        <w:spacing w:line="240" w:lineRule="auto"/>
        <w:rPr>
          <w:rFonts w:ascii="Times New Roman" w:hAnsi="Times New Roman"/>
          <w:sz w:val="24"/>
          <w:szCs w:val="24"/>
        </w:rPr>
      </w:pPr>
      <w:r>
        <w:rPr>
          <w:rFonts w:ascii="Times New Roman" w:hAnsi="Times New Roman"/>
          <w:sz w:val="24"/>
          <w:szCs w:val="24"/>
        </w:rPr>
        <w:t xml:space="preserve">In order to respond to these changing aspects of state courts, </w:t>
      </w:r>
      <w:r w:rsidR="00516F7E">
        <w:rPr>
          <w:rFonts w:ascii="Times New Roman" w:hAnsi="Times New Roman"/>
          <w:sz w:val="24"/>
          <w:szCs w:val="24"/>
        </w:rPr>
        <w:t xml:space="preserve">BJS and NCSC are exploring the possibility of conducting data collections of these supplemental components on a biennial basis. In particular, the NCSC project team has proposed creating an electronic platform that would </w:t>
      </w:r>
      <w:r w:rsidR="00747AE7">
        <w:rPr>
          <w:rFonts w:ascii="Times New Roman" w:hAnsi="Times New Roman"/>
          <w:sz w:val="24"/>
          <w:szCs w:val="24"/>
        </w:rPr>
        <w:t>send yearly reminders to state</w:t>
      </w:r>
      <w:r w:rsidR="00516F7E">
        <w:rPr>
          <w:rFonts w:ascii="Times New Roman" w:hAnsi="Times New Roman"/>
          <w:sz w:val="24"/>
          <w:szCs w:val="24"/>
        </w:rPr>
        <w:t xml:space="preserve"> courts </w:t>
      </w:r>
      <w:r w:rsidR="002D260E">
        <w:rPr>
          <w:rFonts w:ascii="Times New Roman" w:hAnsi="Times New Roman"/>
          <w:sz w:val="24"/>
          <w:szCs w:val="24"/>
        </w:rPr>
        <w:t>prompt</w:t>
      </w:r>
      <w:r w:rsidR="00056D6C">
        <w:rPr>
          <w:rFonts w:ascii="Times New Roman" w:hAnsi="Times New Roman"/>
          <w:sz w:val="24"/>
          <w:szCs w:val="24"/>
        </w:rPr>
        <w:t>ing</w:t>
      </w:r>
      <w:r w:rsidR="002D260E">
        <w:rPr>
          <w:rFonts w:ascii="Times New Roman" w:hAnsi="Times New Roman"/>
          <w:sz w:val="24"/>
          <w:szCs w:val="24"/>
        </w:rPr>
        <w:t xml:space="preserve"> them to </w:t>
      </w:r>
      <w:r w:rsidR="00516F7E">
        <w:rPr>
          <w:rFonts w:ascii="Times New Roman" w:hAnsi="Times New Roman"/>
          <w:sz w:val="24"/>
          <w:szCs w:val="24"/>
        </w:rPr>
        <w:t xml:space="preserve">update </w:t>
      </w:r>
      <w:r w:rsidR="00747AE7">
        <w:rPr>
          <w:rFonts w:ascii="Times New Roman" w:hAnsi="Times New Roman"/>
          <w:sz w:val="24"/>
          <w:szCs w:val="24"/>
        </w:rPr>
        <w:t xml:space="preserve">changes that have occurred to </w:t>
      </w:r>
      <w:r w:rsidR="00516F7E">
        <w:rPr>
          <w:rFonts w:ascii="Times New Roman" w:hAnsi="Times New Roman"/>
          <w:sz w:val="24"/>
          <w:szCs w:val="24"/>
        </w:rPr>
        <w:t xml:space="preserve">their </w:t>
      </w:r>
      <w:r w:rsidR="00747AE7">
        <w:rPr>
          <w:rFonts w:ascii="Times New Roman" w:hAnsi="Times New Roman"/>
          <w:sz w:val="24"/>
          <w:szCs w:val="24"/>
        </w:rPr>
        <w:t>court systems</w:t>
      </w:r>
      <w:r w:rsidR="00365861">
        <w:rPr>
          <w:rFonts w:ascii="Times New Roman" w:hAnsi="Times New Roman"/>
          <w:sz w:val="24"/>
          <w:szCs w:val="24"/>
        </w:rPr>
        <w:t>. NCSC’s decision to implement this regular updating system would depend upon lessons learned from pending data collection activities as well as funding interest and capacities at</w:t>
      </w:r>
      <w:r w:rsidR="00D65667">
        <w:rPr>
          <w:rFonts w:ascii="Times New Roman" w:hAnsi="Times New Roman"/>
          <w:sz w:val="24"/>
          <w:szCs w:val="24"/>
        </w:rPr>
        <w:t xml:space="preserve"> BJS.</w:t>
      </w:r>
    </w:p>
    <w:p w:rsidR="00D65667" w:rsidRPr="00D65667" w:rsidRDefault="003E22F3" w:rsidP="00D65667">
      <w:pPr>
        <w:pStyle w:val="ListParagraph"/>
        <w:numPr>
          <w:ilvl w:val="0"/>
          <w:numId w:val="1"/>
        </w:numPr>
        <w:contextualSpacing/>
        <w:rPr>
          <w:rFonts w:ascii="Times New Roman" w:hAnsi="Times New Roman"/>
          <w:i/>
          <w:sz w:val="24"/>
          <w:szCs w:val="24"/>
        </w:rPr>
      </w:pPr>
      <w:r w:rsidRPr="00D65667">
        <w:rPr>
          <w:rFonts w:ascii="Times New Roman" w:hAnsi="Times New Roman"/>
          <w:i/>
          <w:sz w:val="24"/>
          <w:szCs w:val="24"/>
        </w:rPr>
        <w:t xml:space="preserve">As discussed with BJS in the past, it appears that no confidentiality statute is being </w:t>
      </w:r>
      <w:proofErr w:type="gramStart"/>
      <w:r w:rsidRPr="00D65667">
        <w:rPr>
          <w:rFonts w:ascii="Times New Roman" w:hAnsi="Times New Roman"/>
          <w:i/>
          <w:sz w:val="24"/>
          <w:szCs w:val="24"/>
        </w:rPr>
        <w:t>invoked,</w:t>
      </w:r>
      <w:proofErr w:type="gramEnd"/>
      <w:r w:rsidRPr="00D65667">
        <w:rPr>
          <w:rFonts w:ascii="Times New Roman" w:hAnsi="Times New Roman"/>
          <w:i/>
          <w:sz w:val="24"/>
          <w:szCs w:val="24"/>
        </w:rPr>
        <w:t xml:space="preserve"> only an intention to exclude state employee names and other identifiers from published data. Please clarify this in SS A10 (where it currently refers to “the confidentiality state”).</w:t>
      </w:r>
    </w:p>
    <w:p w:rsidR="00D65667" w:rsidRDefault="00D65667" w:rsidP="00D65667">
      <w:pPr>
        <w:spacing w:line="240" w:lineRule="auto"/>
        <w:contextualSpacing/>
        <w:rPr>
          <w:rFonts w:ascii="Times New Roman" w:hAnsi="Times New Roman" w:cs="Times New Roman"/>
          <w:sz w:val="24"/>
          <w:szCs w:val="24"/>
        </w:rPr>
      </w:pPr>
    </w:p>
    <w:p w:rsidR="00D65667" w:rsidRPr="00D65667" w:rsidRDefault="00D65667" w:rsidP="00D65667">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Section A10 of the supporting statement will be modified to exclude all references to the confidentiality statute. This section will simply state that the confidentiality statute is not being invoked </w:t>
      </w:r>
      <w:r w:rsidR="00BE42DB">
        <w:rPr>
          <w:rFonts w:ascii="Times New Roman" w:hAnsi="Times New Roman" w:cs="Times New Roman"/>
          <w:sz w:val="24"/>
          <w:szCs w:val="24"/>
        </w:rPr>
        <w:t xml:space="preserve">and that the only intention is to exclude the names of state </w:t>
      </w:r>
      <w:r w:rsidR="009F5993">
        <w:rPr>
          <w:rFonts w:ascii="Times New Roman" w:hAnsi="Times New Roman" w:cs="Times New Roman"/>
          <w:sz w:val="24"/>
          <w:szCs w:val="24"/>
        </w:rPr>
        <w:t xml:space="preserve">court </w:t>
      </w:r>
      <w:r w:rsidR="00BE42DB">
        <w:rPr>
          <w:rFonts w:ascii="Times New Roman" w:hAnsi="Times New Roman" w:cs="Times New Roman"/>
          <w:sz w:val="24"/>
          <w:szCs w:val="24"/>
        </w:rPr>
        <w:t xml:space="preserve">employees who </w:t>
      </w:r>
      <w:r w:rsidR="00BD77F3">
        <w:rPr>
          <w:rFonts w:ascii="Times New Roman" w:hAnsi="Times New Roman" w:cs="Times New Roman"/>
          <w:sz w:val="24"/>
          <w:szCs w:val="24"/>
        </w:rPr>
        <w:t>served</w:t>
      </w:r>
      <w:r w:rsidR="008A653A">
        <w:rPr>
          <w:rFonts w:ascii="Times New Roman" w:hAnsi="Times New Roman" w:cs="Times New Roman"/>
          <w:sz w:val="24"/>
          <w:szCs w:val="24"/>
        </w:rPr>
        <w:t xml:space="preserve"> as</w:t>
      </w:r>
      <w:r w:rsidR="006D340B">
        <w:rPr>
          <w:rFonts w:ascii="Times New Roman" w:hAnsi="Times New Roman" w:cs="Times New Roman"/>
          <w:sz w:val="24"/>
          <w:szCs w:val="24"/>
        </w:rPr>
        <w:t xml:space="preserve"> respondents </w:t>
      </w:r>
      <w:r w:rsidR="00BE42DB">
        <w:rPr>
          <w:rFonts w:ascii="Times New Roman" w:hAnsi="Times New Roman" w:cs="Times New Roman"/>
          <w:sz w:val="24"/>
          <w:szCs w:val="24"/>
        </w:rPr>
        <w:t>in this census. Please see section A10 of the revised supporting statement.</w:t>
      </w:r>
    </w:p>
    <w:p w:rsidR="003E22F3" w:rsidRPr="008E0C3E" w:rsidRDefault="003E22F3" w:rsidP="00BE42DB">
      <w:pPr>
        <w:pStyle w:val="ListParagraph"/>
        <w:numPr>
          <w:ilvl w:val="0"/>
          <w:numId w:val="1"/>
        </w:numPr>
        <w:contextualSpacing/>
        <w:rPr>
          <w:rFonts w:ascii="Times New Roman" w:hAnsi="Times New Roman"/>
          <w:i/>
          <w:sz w:val="24"/>
          <w:szCs w:val="24"/>
        </w:rPr>
      </w:pPr>
      <w:r w:rsidRPr="008E0C3E">
        <w:rPr>
          <w:rFonts w:ascii="Times New Roman" w:hAnsi="Times New Roman"/>
          <w:i/>
          <w:sz w:val="24"/>
          <w:szCs w:val="24"/>
        </w:rPr>
        <w:t>On table 2 of the spreadsheets, the “race and ethnic composition columns” are way out of compliance with OMB standards.  Please correct.</w:t>
      </w:r>
    </w:p>
    <w:p w:rsidR="00BE42DB" w:rsidRDefault="00BE42DB" w:rsidP="00BE42DB">
      <w:pPr>
        <w:spacing w:line="240" w:lineRule="auto"/>
        <w:contextualSpacing/>
        <w:rPr>
          <w:rFonts w:ascii="Times New Roman" w:hAnsi="Times New Roman"/>
          <w:sz w:val="24"/>
          <w:szCs w:val="24"/>
        </w:rPr>
      </w:pPr>
    </w:p>
    <w:p w:rsidR="00D806DF" w:rsidRPr="00BE42DB" w:rsidRDefault="00BE42DB" w:rsidP="00BE42DB">
      <w:pPr>
        <w:spacing w:line="240" w:lineRule="auto"/>
        <w:contextualSpacing/>
        <w:rPr>
          <w:rFonts w:ascii="Times New Roman" w:hAnsi="Times New Roman"/>
          <w:sz w:val="24"/>
          <w:szCs w:val="24"/>
        </w:rPr>
      </w:pPr>
      <w:r>
        <w:rPr>
          <w:rFonts w:ascii="Times New Roman" w:hAnsi="Times New Roman"/>
          <w:sz w:val="24"/>
          <w:szCs w:val="24"/>
        </w:rPr>
        <w:t xml:space="preserve">The race and ethnic composition columns have been modified so that they are </w:t>
      </w:r>
      <w:r w:rsidR="006D340B">
        <w:rPr>
          <w:rFonts w:ascii="Times New Roman" w:hAnsi="Times New Roman"/>
          <w:sz w:val="24"/>
          <w:szCs w:val="24"/>
        </w:rPr>
        <w:t xml:space="preserve">in </w:t>
      </w:r>
      <w:r w:rsidR="008F1CE3">
        <w:rPr>
          <w:rFonts w:ascii="Times New Roman" w:hAnsi="Times New Roman"/>
          <w:sz w:val="24"/>
          <w:szCs w:val="24"/>
        </w:rPr>
        <w:t>compliance</w:t>
      </w:r>
      <w:r>
        <w:rPr>
          <w:rFonts w:ascii="Times New Roman" w:hAnsi="Times New Roman"/>
          <w:sz w:val="24"/>
          <w:szCs w:val="24"/>
        </w:rPr>
        <w:t xml:space="preserve"> with OMB standards. Please see </w:t>
      </w:r>
      <w:r w:rsidR="009F5993">
        <w:rPr>
          <w:rFonts w:ascii="Times New Roman" w:hAnsi="Times New Roman"/>
          <w:sz w:val="24"/>
          <w:szCs w:val="24"/>
        </w:rPr>
        <w:t xml:space="preserve">the attached revised race/ethnicity </w:t>
      </w:r>
      <w:r>
        <w:rPr>
          <w:rFonts w:ascii="Times New Roman" w:hAnsi="Times New Roman"/>
          <w:sz w:val="24"/>
          <w:szCs w:val="24"/>
        </w:rPr>
        <w:t>table</w:t>
      </w:r>
      <w:r w:rsidR="009F5993">
        <w:rPr>
          <w:rFonts w:ascii="Times New Roman" w:hAnsi="Times New Roman"/>
          <w:sz w:val="24"/>
          <w:szCs w:val="24"/>
        </w:rPr>
        <w:t>s</w:t>
      </w:r>
      <w:r>
        <w:rPr>
          <w:rFonts w:ascii="Times New Roman" w:hAnsi="Times New Roman"/>
          <w:sz w:val="24"/>
          <w:szCs w:val="24"/>
        </w:rPr>
        <w:t xml:space="preserve"> for evidence of compliance with OMB standards.</w:t>
      </w:r>
    </w:p>
    <w:p w:rsidR="004310DD" w:rsidRPr="008E0C3E" w:rsidRDefault="008E0C3E" w:rsidP="00BE42DB">
      <w:pPr>
        <w:pStyle w:val="ListParagraph"/>
        <w:numPr>
          <w:ilvl w:val="0"/>
          <w:numId w:val="1"/>
        </w:numPr>
        <w:contextualSpacing/>
        <w:rPr>
          <w:rFonts w:ascii="Times New Roman" w:hAnsi="Times New Roman"/>
          <w:i/>
          <w:sz w:val="24"/>
          <w:szCs w:val="24"/>
        </w:rPr>
      </w:pPr>
      <w:r w:rsidRPr="008E0C3E">
        <w:rPr>
          <w:rFonts w:ascii="Times New Roman" w:hAnsi="Times New Roman"/>
          <w:i/>
          <w:sz w:val="24"/>
          <w:szCs w:val="24"/>
        </w:rPr>
        <w:t>Cover letter comments</w:t>
      </w:r>
    </w:p>
    <w:p w:rsidR="00BE42DB" w:rsidRDefault="00BE42DB" w:rsidP="00BE42DB">
      <w:pPr>
        <w:spacing w:line="240" w:lineRule="auto"/>
        <w:contextualSpacing/>
        <w:rPr>
          <w:rFonts w:ascii="Times New Roman" w:hAnsi="Times New Roman"/>
          <w:sz w:val="24"/>
          <w:szCs w:val="24"/>
        </w:rPr>
      </w:pPr>
    </w:p>
    <w:p w:rsidR="009B07FF" w:rsidRPr="006D340B" w:rsidRDefault="00BE42DB" w:rsidP="006D340B">
      <w:pPr>
        <w:spacing w:line="240" w:lineRule="auto"/>
        <w:contextualSpacing/>
        <w:rPr>
          <w:rFonts w:ascii="Times New Roman" w:hAnsi="Times New Roman"/>
          <w:sz w:val="24"/>
          <w:szCs w:val="24"/>
        </w:rPr>
      </w:pPr>
      <w:r>
        <w:rPr>
          <w:rFonts w:ascii="Times New Roman" w:hAnsi="Times New Roman"/>
          <w:sz w:val="24"/>
          <w:szCs w:val="24"/>
        </w:rPr>
        <w:t xml:space="preserve">The contact letter has been modified to account </w:t>
      </w:r>
      <w:r w:rsidR="008A653A">
        <w:rPr>
          <w:rFonts w:ascii="Times New Roman" w:hAnsi="Times New Roman"/>
          <w:sz w:val="24"/>
          <w:szCs w:val="24"/>
        </w:rPr>
        <w:t xml:space="preserve">for </w:t>
      </w:r>
      <w:r>
        <w:rPr>
          <w:rFonts w:ascii="Times New Roman" w:hAnsi="Times New Roman"/>
          <w:sz w:val="24"/>
          <w:szCs w:val="24"/>
        </w:rPr>
        <w:t xml:space="preserve">OMB’s concerns. </w:t>
      </w:r>
      <w:r w:rsidR="00BD77F3">
        <w:rPr>
          <w:rFonts w:ascii="Times New Roman" w:hAnsi="Times New Roman"/>
          <w:sz w:val="24"/>
          <w:szCs w:val="24"/>
        </w:rPr>
        <w:t>E</w:t>
      </w:r>
      <w:r>
        <w:rPr>
          <w:rFonts w:ascii="Times New Roman" w:hAnsi="Times New Roman"/>
          <w:sz w:val="24"/>
          <w:szCs w:val="24"/>
        </w:rPr>
        <w:t>vidence of federal sponsorship</w:t>
      </w:r>
      <w:r w:rsidR="005C0C38">
        <w:rPr>
          <w:rFonts w:ascii="Times New Roman" w:hAnsi="Times New Roman"/>
          <w:sz w:val="24"/>
          <w:szCs w:val="24"/>
        </w:rPr>
        <w:t xml:space="preserve"> </w:t>
      </w:r>
      <w:r>
        <w:rPr>
          <w:rFonts w:ascii="Times New Roman" w:hAnsi="Times New Roman"/>
          <w:sz w:val="24"/>
          <w:szCs w:val="24"/>
        </w:rPr>
        <w:t xml:space="preserve">will </w:t>
      </w:r>
      <w:r w:rsidR="008A653A">
        <w:rPr>
          <w:rFonts w:ascii="Times New Roman" w:hAnsi="Times New Roman"/>
          <w:sz w:val="24"/>
          <w:szCs w:val="24"/>
        </w:rPr>
        <w:t xml:space="preserve">include the </w:t>
      </w:r>
      <w:r w:rsidR="008E0C3E">
        <w:rPr>
          <w:rFonts w:ascii="Times New Roman" w:hAnsi="Times New Roman"/>
          <w:sz w:val="24"/>
          <w:szCs w:val="24"/>
        </w:rPr>
        <w:t>cover letter being placed on BJS letterhead</w:t>
      </w:r>
      <w:r w:rsidR="00D806DF">
        <w:rPr>
          <w:rFonts w:ascii="Times New Roman" w:hAnsi="Times New Roman"/>
          <w:sz w:val="24"/>
          <w:szCs w:val="24"/>
        </w:rPr>
        <w:t xml:space="preserve"> and </w:t>
      </w:r>
      <w:r w:rsidR="008E0C3E">
        <w:rPr>
          <w:rFonts w:ascii="Times New Roman" w:hAnsi="Times New Roman"/>
          <w:sz w:val="24"/>
          <w:szCs w:val="24"/>
        </w:rPr>
        <w:t xml:space="preserve">the </w:t>
      </w:r>
      <w:r w:rsidR="00D806DF">
        <w:rPr>
          <w:rFonts w:ascii="Times New Roman" w:hAnsi="Times New Roman"/>
          <w:sz w:val="24"/>
          <w:szCs w:val="24"/>
        </w:rPr>
        <w:t xml:space="preserve">placement of the </w:t>
      </w:r>
      <w:r w:rsidR="008E0C3E">
        <w:rPr>
          <w:rFonts w:ascii="Times New Roman" w:hAnsi="Times New Roman"/>
          <w:sz w:val="24"/>
          <w:szCs w:val="24"/>
        </w:rPr>
        <w:lastRenderedPageBreak/>
        <w:t xml:space="preserve">BJS </w:t>
      </w:r>
      <w:r w:rsidR="00D806DF">
        <w:rPr>
          <w:rFonts w:ascii="Times New Roman" w:hAnsi="Times New Roman"/>
          <w:sz w:val="24"/>
          <w:szCs w:val="24"/>
        </w:rPr>
        <w:t xml:space="preserve">prosecution and adjudications unit chief’s </w:t>
      </w:r>
      <w:r w:rsidR="008A653A">
        <w:rPr>
          <w:rFonts w:ascii="Times New Roman" w:hAnsi="Times New Roman"/>
          <w:sz w:val="24"/>
          <w:szCs w:val="24"/>
        </w:rPr>
        <w:t>signature</w:t>
      </w:r>
      <w:r w:rsidR="00D806DF">
        <w:rPr>
          <w:rFonts w:ascii="Times New Roman" w:hAnsi="Times New Roman"/>
          <w:sz w:val="24"/>
          <w:szCs w:val="24"/>
        </w:rPr>
        <w:t xml:space="preserve"> on the letter</w:t>
      </w:r>
      <w:r w:rsidR="008E0C3E">
        <w:rPr>
          <w:rFonts w:ascii="Times New Roman" w:hAnsi="Times New Roman"/>
          <w:sz w:val="24"/>
          <w:szCs w:val="24"/>
        </w:rPr>
        <w:t xml:space="preserve">. Please see revised </w:t>
      </w:r>
      <w:r w:rsidR="005C0C38">
        <w:rPr>
          <w:rFonts w:ascii="Times New Roman" w:hAnsi="Times New Roman"/>
          <w:sz w:val="24"/>
          <w:szCs w:val="24"/>
        </w:rPr>
        <w:t xml:space="preserve">participant </w:t>
      </w:r>
      <w:r w:rsidR="008E0C3E">
        <w:rPr>
          <w:rFonts w:ascii="Times New Roman" w:hAnsi="Times New Roman"/>
          <w:sz w:val="24"/>
          <w:szCs w:val="24"/>
        </w:rPr>
        <w:t>cover letter for the State Court Organization project.</w:t>
      </w:r>
    </w:p>
    <w:sectPr w:rsidR="009B07FF" w:rsidRPr="006D340B" w:rsidSect="009B07F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3450071"/>
    <w:multiLevelType w:val="hybridMultilevel"/>
    <w:tmpl w:val="AB4040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783B38A8"/>
    <w:multiLevelType w:val="hybridMultilevel"/>
    <w:tmpl w:val="755CA82A"/>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3E22F3"/>
    <w:rsid w:val="00056D6C"/>
    <w:rsid w:val="00085134"/>
    <w:rsid w:val="000C1A12"/>
    <w:rsid w:val="00106260"/>
    <w:rsid w:val="0018581B"/>
    <w:rsid w:val="00193A67"/>
    <w:rsid w:val="002D260E"/>
    <w:rsid w:val="00365861"/>
    <w:rsid w:val="003E22F3"/>
    <w:rsid w:val="003F756E"/>
    <w:rsid w:val="0041136D"/>
    <w:rsid w:val="004310DD"/>
    <w:rsid w:val="004F57D9"/>
    <w:rsid w:val="0051272A"/>
    <w:rsid w:val="00516F7E"/>
    <w:rsid w:val="005C0C38"/>
    <w:rsid w:val="005C5AB7"/>
    <w:rsid w:val="00613A88"/>
    <w:rsid w:val="006D340B"/>
    <w:rsid w:val="00747AE7"/>
    <w:rsid w:val="008A653A"/>
    <w:rsid w:val="008B3A7E"/>
    <w:rsid w:val="008E0C3E"/>
    <w:rsid w:val="008E3775"/>
    <w:rsid w:val="008F1CE3"/>
    <w:rsid w:val="009A3EF4"/>
    <w:rsid w:val="009B07FF"/>
    <w:rsid w:val="009F0C89"/>
    <w:rsid w:val="009F5993"/>
    <w:rsid w:val="00A81023"/>
    <w:rsid w:val="00BD77F3"/>
    <w:rsid w:val="00BE42DB"/>
    <w:rsid w:val="00D65667"/>
    <w:rsid w:val="00D806DF"/>
    <w:rsid w:val="00F72EF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07F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22F3"/>
    <w:pPr>
      <w:spacing w:after="0" w:line="240" w:lineRule="auto"/>
      <w:ind w:left="720"/>
    </w:pPr>
    <w:rPr>
      <w:rFonts w:ascii="Calibri" w:hAnsi="Calibri" w:cs="Times New Roman"/>
    </w:rPr>
  </w:style>
  <w:style w:type="paragraph" w:customStyle="1" w:styleId="Default">
    <w:name w:val="Default"/>
    <w:rsid w:val="00613A88"/>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r="http://schemas.openxmlformats.org/officeDocument/2006/relationships" xmlns:w="http://schemas.openxmlformats.org/wordprocessingml/2006/main">
  <w:divs>
    <w:div w:id="275522585">
      <w:bodyDiv w:val="1"/>
      <w:marLeft w:val="0"/>
      <w:marRight w:val="0"/>
      <w:marTop w:val="0"/>
      <w:marBottom w:val="0"/>
      <w:divBdr>
        <w:top w:val="none" w:sz="0" w:space="0" w:color="auto"/>
        <w:left w:val="none" w:sz="0" w:space="0" w:color="auto"/>
        <w:bottom w:val="none" w:sz="0" w:space="0" w:color="auto"/>
        <w:right w:val="none" w:sz="0" w:space="0" w:color="auto"/>
      </w:divBdr>
    </w:div>
    <w:div w:id="442656386">
      <w:bodyDiv w:val="1"/>
      <w:marLeft w:val="0"/>
      <w:marRight w:val="0"/>
      <w:marTop w:val="0"/>
      <w:marBottom w:val="0"/>
      <w:divBdr>
        <w:top w:val="none" w:sz="0" w:space="0" w:color="auto"/>
        <w:left w:val="none" w:sz="0" w:space="0" w:color="auto"/>
        <w:bottom w:val="none" w:sz="0" w:space="0" w:color="auto"/>
        <w:right w:val="none" w:sz="0" w:space="0" w:color="auto"/>
      </w:divBdr>
    </w:div>
    <w:div w:id="2067027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891</Words>
  <Characters>5079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OJP</Company>
  <LinksUpToDate>false</LinksUpToDate>
  <CharactersWithSpaces>5959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cohent</dc:creator>
  <cp:keywords/>
  <dc:description/>
  <cp:lastModifiedBy>pricel</cp:lastModifiedBy>
  <cp:revision>2</cp:revision>
  <cp:lastPrinted>2011-03-29T18:24:00Z</cp:lastPrinted>
  <dcterms:created xsi:type="dcterms:W3CDTF">2011-03-31T20:46:00Z</dcterms:created>
  <dcterms:modified xsi:type="dcterms:W3CDTF">2011-03-31T20:46:00Z</dcterms:modified>
</cp:coreProperties>
</file>