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8A" w:rsidRPr="001663C2" w:rsidRDefault="00E3662A" w:rsidP="00197174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jc w:val="center"/>
        <w:rPr>
          <w:rFonts w:ascii="Times New Roman" w:hAnsi="Times New Roman"/>
          <w:b/>
          <w:sz w:val="36"/>
          <w:szCs w:val="36"/>
        </w:rPr>
      </w:pPr>
      <w:r w:rsidRPr="001663C2">
        <w:rPr>
          <w:rFonts w:ascii="Times New Roman" w:hAnsi="Times New Roman"/>
          <w:b/>
          <w:sz w:val="36"/>
          <w:szCs w:val="36"/>
        </w:rPr>
        <w:t>2011</w:t>
      </w:r>
      <w:r w:rsidR="001438BB" w:rsidRPr="001663C2">
        <w:rPr>
          <w:rFonts w:ascii="Times New Roman" w:hAnsi="Times New Roman"/>
          <w:b/>
          <w:sz w:val="36"/>
          <w:szCs w:val="36"/>
        </w:rPr>
        <w:t xml:space="preserve"> Drinking Water Infrastructure </w:t>
      </w:r>
    </w:p>
    <w:p w:rsidR="003C3799" w:rsidRPr="001663C2" w:rsidRDefault="001438BB" w:rsidP="00197174">
      <w:pPr>
        <w:pBdr>
          <w:bottom w:val="single" w:sz="6" w:space="1" w:color="auto"/>
        </w:pBd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jc w:val="center"/>
        <w:rPr>
          <w:rFonts w:ascii="Times New Roman" w:hAnsi="Times New Roman"/>
          <w:b/>
          <w:sz w:val="36"/>
          <w:szCs w:val="36"/>
        </w:rPr>
      </w:pPr>
      <w:r w:rsidRPr="001663C2">
        <w:rPr>
          <w:rFonts w:ascii="Times New Roman" w:hAnsi="Times New Roman"/>
          <w:b/>
          <w:sz w:val="36"/>
          <w:szCs w:val="36"/>
        </w:rPr>
        <w:t xml:space="preserve">Needs Survey </w:t>
      </w:r>
      <w:r w:rsidR="00C76CB4" w:rsidRPr="001663C2">
        <w:rPr>
          <w:rFonts w:ascii="Times New Roman" w:hAnsi="Times New Roman"/>
          <w:b/>
          <w:sz w:val="36"/>
          <w:szCs w:val="36"/>
        </w:rPr>
        <w:t xml:space="preserve">and Assessment </w:t>
      </w:r>
    </w:p>
    <w:p w:rsidR="003C3799" w:rsidRPr="001663C2" w:rsidRDefault="003C3799" w:rsidP="00197174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jc w:val="center"/>
        <w:rPr>
          <w:rFonts w:ascii="Times New Roman" w:hAnsi="Times New Roman"/>
          <w:b/>
          <w:i/>
          <w:sz w:val="18"/>
          <w:szCs w:val="16"/>
        </w:rPr>
      </w:pPr>
    </w:p>
    <w:p w:rsidR="00D57BDF" w:rsidRPr="001663C2" w:rsidRDefault="00505B53" w:rsidP="00F6629F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jc w:val="center"/>
        <w:outlineLvl w:val="0"/>
        <w:rPr>
          <w:rFonts w:ascii="Times New Roman" w:hAnsi="Times New Roman"/>
          <w:b/>
          <w:i/>
          <w:sz w:val="36"/>
          <w:szCs w:val="40"/>
        </w:rPr>
      </w:pPr>
      <w:r w:rsidRPr="001663C2">
        <w:rPr>
          <w:rFonts w:ascii="Times New Roman" w:hAnsi="Times New Roman"/>
          <w:b/>
          <w:i/>
          <w:sz w:val="36"/>
          <w:szCs w:val="40"/>
        </w:rPr>
        <w:t xml:space="preserve">Climate Readiness </w:t>
      </w:r>
      <w:r w:rsidR="003F645D" w:rsidRPr="001663C2">
        <w:rPr>
          <w:rFonts w:ascii="Times New Roman" w:hAnsi="Times New Roman"/>
          <w:b/>
          <w:i/>
          <w:sz w:val="36"/>
          <w:szCs w:val="40"/>
        </w:rPr>
        <w:t xml:space="preserve">and Green </w:t>
      </w:r>
      <w:r w:rsidRPr="001663C2">
        <w:rPr>
          <w:rFonts w:ascii="Times New Roman" w:hAnsi="Times New Roman"/>
          <w:b/>
          <w:i/>
          <w:sz w:val="36"/>
          <w:szCs w:val="40"/>
        </w:rPr>
        <w:t>Projects</w:t>
      </w:r>
    </w:p>
    <w:p w:rsidR="00197174" w:rsidRPr="00AE328A" w:rsidRDefault="00197174" w:rsidP="009A5FB5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rPr>
          <w:rFonts w:ascii="Times New Roman" w:hAnsi="Times New Roman"/>
          <w:sz w:val="16"/>
          <w:szCs w:val="16"/>
        </w:rPr>
      </w:pPr>
    </w:p>
    <w:p w:rsidR="00197174" w:rsidRPr="00AD49F8" w:rsidRDefault="00757861" w:rsidP="001663C2">
      <w:pPr>
        <w:pBdr>
          <w:bottom w:val="single" w:sz="6" w:space="1" w:color="auto"/>
        </w:pBd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outlineLvl w:val="0"/>
        <w:rPr>
          <w:rFonts w:ascii="Times New Roman" w:hAnsi="Times New Roman"/>
          <w:b/>
          <w:sz w:val="24"/>
          <w:szCs w:val="26"/>
        </w:rPr>
      </w:pPr>
      <w:r w:rsidRPr="00AD49F8">
        <w:rPr>
          <w:rFonts w:ascii="Times New Roman" w:hAnsi="Times New Roman"/>
          <w:b/>
          <w:sz w:val="24"/>
          <w:szCs w:val="26"/>
        </w:rPr>
        <w:t>Background</w:t>
      </w:r>
    </w:p>
    <w:p w:rsidR="00757861" w:rsidRPr="00AD49F8" w:rsidRDefault="00A20260" w:rsidP="001663C2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There </w:t>
      </w:r>
      <w:r w:rsidR="00003E0A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increasing </w:t>
      </w:r>
      <w:r w:rsidR="0036126B">
        <w:rPr>
          <w:rFonts w:ascii="Times New Roman" w:hAnsi="Times New Roman"/>
        </w:rPr>
        <w:t>effort</w:t>
      </w:r>
      <w:r>
        <w:rPr>
          <w:rFonts w:ascii="Times New Roman" w:hAnsi="Times New Roman"/>
        </w:rPr>
        <w:t xml:space="preserve"> in the </w:t>
      </w:r>
      <w:r w:rsidR="0036126B">
        <w:rPr>
          <w:rFonts w:ascii="Times New Roman" w:hAnsi="Times New Roman"/>
        </w:rPr>
        <w:t xml:space="preserve">drinking </w:t>
      </w:r>
      <w:r>
        <w:rPr>
          <w:rFonts w:ascii="Times New Roman" w:hAnsi="Times New Roman"/>
        </w:rPr>
        <w:t xml:space="preserve">water industry </w:t>
      </w:r>
      <w:r w:rsidR="0036126B">
        <w:rPr>
          <w:rFonts w:ascii="Times New Roman" w:hAnsi="Times New Roman"/>
        </w:rPr>
        <w:t xml:space="preserve">dedicated to anticipating and proactively </w:t>
      </w:r>
      <w:r w:rsidR="00B45885">
        <w:rPr>
          <w:rFonts w:ascii="Times New Roman" w:hAnsi="Times New Roman"/>
        </w:rPr>
        <w:t>addressing</w:t>
      </w:r>
      <w:r w:rsidR="0036126B">
        <w:rPr>
          <w:rFonts w:ascii="Times New Roman" w:hAnsi="Times New Roman"/>
        </w:rPr>
        <w:t xml:space="preserve"> the potential effects of </w:t>
      </w:r>
      <w:r>
        <w:rPr>
          <w:rFonts w:ascii="Times New Roman" w:hAnsi="Times New Roman"/>
        </w:rPr>
        <w:t xml:space="preserve">climate change </w:t>
      </w:r>
      <w:r w:rsidR="0036126B">
        <w:rPr>
          <w:rFonts w:ascii="Times New Roman" w:hAnsi="Times New Roman"/>
        </w:rPr>
        <w:t xml:space="preserve">at the water utility level. In addition, </w:t>
      </w:r>
      <w:r w:rsidR="00D63777">
        <w:rPr>
          <w:rFonts w:ascii="Times New Roman" w:hAnsi="Times New Roman"/>
        </w:rPr>
        <w:t xml:space="preserve">incorporating ‘green’ </w:t>
      </w:r>
      <w:r w:rsidR="002D6E86">
        <w:rPr>
          <w:rFonts w:ascii="Times New Roman" w:hAnsi="Times New Roman"/>
        </w:rPr>
        <w:t>components</w:t>
      </w:r>
      <w:r w:rsidR="00D63777">
        <w:rPr>
          <w:rFonts w:ascii="Times New Roman" w:hAnsi="Times New Roman"/>
        </w:rPr>
        <w:t xml:space="preserve"> into appropriate capital projects to reduce greenhouse gas emissions and reduce energy consumption </w:t>
      </w:r>
      <w:r w:rsidR="00EC37A6">
        <w:rPr>
          <w:rFonts w:ascii="Times New Roman" w:hAnsi="Times New Roman"/>
        </w:rPr>
        <w:t>is</w:t>
      </w:r>
      <w:r w:rsidR="00D63777">
        <w:rPr>
          <w:rFonts w:ascii="Times New Roman" w:hAnsi="Times New Roman"/>
        </w:rPr>
        <w:t xml:space="preserve"> also inc</w:t>
      </w:r>
      <w:r w:rsidR="00EC37A6">
        <w:rPr>
          <w:rFonts w:ascii="Times New Roman" w:hAnsi="Times New Roman"/>
        </w:rPr>
        <w:t>reasing</w:t>
      </w:r>
      <w:r w:rsidR="00D63777">
        <w:rPr>
          <w:rFonts w:ascii="Times New Roman" w:hAnsi="Times New Roman"/>
        </w:rPr>
        <w:t xml:space="preserve">. </w:t>
      </w:r>
      <w:r w:rsidR="000F585F" w:rsidRPr="00AD49F8">
        <w:rPr>
          <w:rFonts w:ascii="Times New Roman" w:hAnsi="Times New Roman"/>
        </w:rPr>
        <w:t xml:space="preserve">For the 2011 </w:t>
      </w:r>
      <w:r w:rsidR="00195F3A">
        <w:rPr>
          <w:rFonts w:ascii="Times New Roman" w:hAnsi="Times New Roman"/>
        </w:rPr>
        <w:t>Drinking Water Infrastructure Needs Survey and Assessment (DWINSA)</w:t>
      </w:r>
      <w:r w:rsidR="000F585F" w:rsidRPr="00AD49F8">
        <w:rPr>
          <w:rFonts w:ascii="Times New Roman" w:hAnsi="Times New Roman"/>
        </w:rPr>
        <w:t xml:space="preserve">, EPA is </w:t>
      </w:r>
      <w:r>
        <w:rPr>
          <w:rFonts w:ascii="Times New Roman" w:hAnsi="Times New Roman"/>
        </w:rPr>
        <w:t>capturing</w:t>
      </w:r>
      <w:r w:rsidR="00D63777">
        <w:rPr>
          <w:rFonts w:ascii="Times New Roman" w:hAnsi="Times New Roman"/>
        </w:rPr>
        <w:t xml:space="preserve"> general</w:t>
      </w:r>
      <w:r w:rsidR="003322F3">
        <w:rPr>
          <w:rFonts w:ascii="Times New Roman" w:hAnsi="Times New Roman"/>
        </w:rPr>
        <w:t xml:space="preserve"> </w:t>
      </w:r>
      <w:r w:rsidR="000F585F" w:rsidRPr="00AD49F8">
        <w:rPr>
          <w:rFonts w:ascii="Times New Roman" w:hAnsi="Times New Roman"/>
        </w:rPr>
        <w:t>information on whether</w:t>
      </w:r>
      <w:r w:rsidR="00D63777">
        <w:rPr>
          <w:rFonts w:ascii="Times New Roman" w:hAnsi="Times New Roman"/>
        </w:rPr>
        <w:t xml:space="preserve"> </w:t>
      </w:r>
      <w:r w:rsidR="00A8617A">
        <w:rPr>
          <w:rFonts w:ascii="Times New Roman" w:hAnsi="Times New Roman"/>
        </w:rPr>
        <w:t xml:space="preserve">projects that are included in the survey are related to </w:t>
      </w:r>
      <w:r w:rsidR="00D63777">
        <w:rPr>
          <w:rFonts w:ascii="Times New Roman" w:hAnsi="Times New Roman"/>
        </w:rPr>
        <w:t>adaption to climate change – referred to as climate readiness</w:t>
      </w:r>
      <w:r w:rsidR="00A8617A">
        <w:rPr>
          <w:rFonts w:ascii="Times New Roman" w:hAnsi="Times New Roman"/>
        </w:rPr>
        <w:t>.</w:t>
      </w:r>
      <w:r w:rsidR="00D63777">
        <w:rPr>
          <w:rFonts w:ascii="Times New Roman" w:hAnsi="Times New Roman"/>
        </w:rPr>
        <w:t xml:space="preserve"> EPA is also </w:t>
      </w:r>
      <w:r w:rsidR="00B45885">
        <w:rPr>
          <w:rFonts w:ascii="Times New Roman" w:hAnsi="Times New Roman"/>
        </w:rPr>
        <w:t xml:space="preserve">capturing information on whether projects included in the 2011 DWINSA </w:t>
      </w:r>
      <w:r w:rsidR="003F645D" w:rsidRPr="00AD49F8">
        <w:rPr>
          <w:rFonts w:ascii="Times New Roman" w:hAnsi="Times New Roman"/>
        </w:rPr>
        <w:t>contain components that are considered green</w:t>
      </w:r>
      <w:r w:rsidR="00E87C4C">
        <w:rPr>
          <w:rFonts w:ascii="Times New Roman" w:hAnsi="Times New Roman"/>
        </w:rPr>
        <w:t xml:space="preserve">. </w:t>
      </w:r>
      <w:r w:rsidR="00757861" w:rsidRPr="00AD49F8">
        <w:rPr>
          <w:rFonts w:ascii="Times New Roman" w:hAnsi="Times New Roman"/>
          <w:szCs w:val="22"/>
        </w:rPr>
        <w:t>This information will</w:t>
      </w:r>
      <w:r w:rsidR="00B45885">
        <w:rPr>
          <w:rFonts w:ascii="Times New Roman" w:hAnsi="Times New Roman"/>
          <w:szCs w:val="22"/>
        </w:rPr>
        <w:t xml:space="preserve"> be used to estimate, in very general terms</w:t>
      </w:r>
      <w:r w:rsidR="00524B71">
        <w:rPr>
          <w:rFonts w:ascii="Times New Roman" w:hAnsi="Times New Roman"/>
          <w:szCs w:val="22"/>
        </w:rPr>
        <w:t xml:space="preserve"> and without generating a total national need for such projects</w:t>
      </w:r>
      <w:r w:rsidR="00B45885">
        <w:rPr>
          <w:rFonts w:ascii="Times New Roman" w:hAnsi="Times New Roman"/>
          <w:szCs w:val="22"/>
        </w:rPr>
        <w:t xml:space="preserve">, the extent to which climate readiness </w:t>
      </w:r>
      <w:r w:rsidR="00EC37A6">
        <w:rPr>
          <w:rFonts w:ascii="Times New Roman" w:hAnsi="Times New Roman"/>
          <w:szCs w:val="22"/>
        </w:rPr>
        <w:t xml:space="preserve">planning and green </w:t>
      </w:r>
      <w:r w:rsidR="002D6E86">
        <w:rPr>
          <w:rFonts w:ascii="Times New Roman" w:hAnsi="Times New Roman"/>
          <w:szCs w:val="22"/>
        </w:rPr>
        <w:t xml:space="preserve">items </w:t>
      </w:r>
      <w:r w:rsidR="00EC37A6">
        <w:rPr>
          <w:rFonts w:ascii="Times New Roman" w:hAnsi="Times New Roman"/>
          <w:szCs w:val="22"/>
        </w:rPr>
        <w:t>are included in the 2011 DWINSA findings</w:t>
      </w:r>
      <w:r w:rsidR="00757861" w:rsidRPr="00AD49F8">
        <w:rPr>
          <w:rFonts w:ascii="Times New Roman" w:hAnsi="Times New Roman"/>
          <w:szCs w:val="22"/>
        </w:rPr>
        <w:t>.</w:t>
      </w:r>
      <w:r w:rsidR="00E87C4C">
        <w:rPr>
          <w:rFonts w:ascii="Times New Roman" w:hAnsi="Times New Roman"/>
          <w:szCs w:val="22"/>
        </w:rPr>
        <w:t xml:space="preserve"> </w:t>
      </w:r>
      <w:r w:rsidR="00757861" w:rsidRPr="00AD49F8">
        <w:rPr>
          <w:rFonts w:ascii="Times New Roman" w:hAnsi="Times New Roman"/>
          <w:szCs w:val="22"/>
        </w:rPr>
        <w:t>Identifying a project as</w:t>
      </w:r>
      <w:r w:rsidR="00EC37A6">
        <w:rPr>
          <w:rFonts w:ascii="Times New Roman" w:hAnsi="Times New Roman"/>
          <w:szCs w:val="22"/>
        </w:rPr>
        <w:t xml:space="preserve"> </w:t>
      </w:r>
      <w:r w:rsidR="00A8617A">
        <w:rPr>
          <w:rFonts w:ascii="Times New Roman" w:hAnsi="Times New Roman"/>
          <w:szCs w:val="22"/>
        </w:rPr>
        <w:t>related to</w:t>
      </w:r>
      <w:r w:rsidR="00EC37A6">
        <w:rPr>
          <w:rFonts w:ascii="Times New Roman" w:hAnsi="Times New Roman"/>
          <w:szCs w:val="22"/>
        </w:rPr>
        <w:t xml:space="preserve"> </w:t>
      </w:r>
      <w:r w:rsidR="00757861" w:rsidRPr="00AD49F8">
        <w:rPr>
          <w:rFonts w:ascii="Times New Roman" w:hAnsi="Times New Roman"/>
          <w:szCs w:val="22"/>
        </w:rPr>
        <w:t xml:space="preserve">climate readiness </w:t>
      </w:r>
      <w:r w:rsidR="003F645D" w:rsidRPr="00AD49F8">
        <w:rPr>
          <w:rFonts w:ascii="Times New Roman" w:hAnsi="Times New Roman"/>
          <w:szCs w:val="22"/>
        </w:rPr>
        <w:t>or</w:t>
      </w:r>
      <w:r w:rsidR="00EC37A6">
        <w:rPr>
          <w:rFonts w:ascii="Times New Roman" w:hAnsi="Times New Roman"/>
          <w:szCs w:val="22"/>
        </w:rPr>
        <w:t xml:space="preserve"> as</w:t>
      </w:r>
      <w:r w:rsidR="003F645D">
        <w:rPr>
          <w:rFonts w:ascii="Times New Roman" w:hAnsi="Times New Roman"/>
          <w:szCs w:val="22"/>
        </w:rPr>
        <w:t xml:space="preserve"> including </w:t>
      </w:r>
      <w:r w:rsidR="002D6E86">
        <w:rPr>
          <w:rFonts w:ascii="Times New Roman" w:hAnsi="Times New Roman"/>
          <w:szCs w:val="22"/>
        </w:rPr>
        <w:t xml:space="preserve">a </w:t>
      </w:r>
      <w:r w:rsidR="003F645D" w:rsidRPr="00AD49F8">
        <w:rPr>
          <w:rFonts w:ascii="Times New Roman" w:hAnsi="Times New Roman"/>
          <w:szCs w:val="22"/>
        </w:rPr>
        <w:t>green</w:t>
      </w:r>
      <w:r w:rsidR="00EC37A6">
        <w:rPr>
          <w:rFonts w:ascii="Times New Roman" w:hAnsi="Times New Roman"/>
          <w:szCs w:val="22"/>
        </w:rPr>
        <w:t xml:space="preserve"> </w:t>
      </w:r>
      <w:r w:rsidR="002D6E86">
        <w:rPr>
          <w:rFonts w:ascii="Times New Roman" w:hAnsi="Times New Roman"/>
          <w:szCs w:val="22"/>
        </w:rPr>
        <w:t xml:space="preserve">component </w:t>
      </w:r>
      <w:r w:rsidR="00757861" w:rsidRPr="00AD49F8">
        <w:rPr>
          <w:rFonts w:ascii="Times New Roman" w:hAnsi="Times New Roman"/>
          <w:szCs w:val="22"/>
        </w:rPr>
        <w:t xml:space="preserve">does not affect project allowability for the </w:t>
      </w:r>
      <w:r w:rsidR="00195F3A">
        <w:rPr>
          <w:rFonts w:ascii="Times New Roman" w:hAnsi="Times New Roman"/>
          <w:szCs w:val="22"/>
        </w:rPr>
        <w:t>DWINSA</w:t>
      </w:r>
      <w:r w:rsidR="00757861" w:rsidRPr="00AD49F8">
        <w:rPr>
          <w:rFonts w:ascii="Times New Roman" w:hAnsi="Times New Roman"/>
          <w:szCs w:val="22"/>
        </w:rPr>
        <w:t>.</w:t>
      </w:r>
    </w:p>
    <w:p w:rsidR="00A90275" w:rsidRPr="00AD49F8" w:rsidRDefault="00A90275" w:rsidP="00A90275">
      <w:pPr>
        <w:pBdr>
          <w:bottom w:val="single" w:sz="6" w:space="1" w:color="auto"/>
        </w:pBd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outlineLvl w:val="0"/>
        <w:rPr>
          <w:rFonts w:ascii="Times New Roman" w:hAnsi="Times New Roman"/>
          <w:b/>
          <w:sz w:val="24"/>
          <w:szCs w:val="26"/>
        </w:rPr>
      </w:pPr>
      <w:r w:rsidRPr="00AD49F8">
        <w:rPr>
          <w:rFonts w:ascii="Times New Roman" w:hAnsi="Times New Roman"/>
          <w:b/>
          <w:sz w:val="24"/>
          <w:szCs w:val="26"/>
        </w:rPr>
        <w:t>Climate Readiness Projects</w:t>
      </w:r>
    </w:p>
    <w:p w:rsidR="00A90275" w:rsidRPr="00AD49F8" w:rsidRDefault="00AE6881" w:rsidP="00A90275">
      <w:pPr>
        <w:spacing w:before="120" w:after="240"/>
        <w:rPr>
          <w:rFonts w:ascii="Times New Roman" w:hAnsi="Times New Roman"/>
        </w:rPr>
      </w:pPr>
      <w:r w:rsidRPr="00AE6881">
        <w:rPr>
          <w:rFonts w:ascii="Times New Roman" w:hAnsi="Times New Roman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9.5pt;margin-top:1.45pt;width:187.35pt;height:104.05pt;z-index:251661312" strokeweight="2pt">
            <v:textbox style="mso-next-textbox:#_x0000_s1028" inset="3.6pt,7.2pt,3.6pt,7.2pt">
              <w:txbxContent>
                <w:p w:rsidR="00D27957" w:rsidRPr="00297214" w:rsidRDefault="00D27957" w:rsidP="00A90275">
                  <w:pPr>
                    <w:jc w:val="center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297214">
                    <w:rPr>
                      <w:rFonts w:ascii="Times New Roman" w:hAnsi="Times New Roman"/>
                      <w:b/>
                      <w:szCs w:val="22"/>
                    </w:rPr>
                    <w:t>What is Climate Readiness?</w:t>
                  </w:r>
                </w:p>
                <w:p w:rsidR="00D27957" w:rsidRPr="00297214" w:rsidRDefault="00D27957" w:rsidP="00A90275">
                  <w:pPr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  <w:p w:rsidR="00D27957" w:rsidRPr="00297214" w:rsidRDefault="00D27957" w:rsidP="00A90275">
                  <w:pPr>
                    <w:tabs>
                      <w:tab w:val="center" w:pos="7200"/>
                      <w:tab w:val="center" w:pos="7920"/>
                      <w:tab w:val="right" w:pos="12870"/>
                      <w:tab w:val="right" w:pos="13230"/>
                      <w:tab w:val="right" w:pos="14670"/>
                    </w:tabs>
                    <w:ind w:right="144"/>
                    <w:rPr>
                      <w:rFonts w:ascii="Times New Roman" w:hAnsi="Times New Roman"/>
                      <w:szCs w:val="22"/>
                    </w:rPr>
                  </w:pPr>
                  <w:r w:rsidRPr="00297214">
                    <w:rPr>
                      <w:rFonts w:ascii="Times New Roman" w:hAnsi="Times New Roman"/>
                      <w:i/>
                      <w:szCs w:val="22"/>
                    </w:rPr>
                    <w:t xml:space="preserve">Climate readiness is defined as </w:t>
                  </w:r>
                  <w:r w:rsidRPr="00297214">
                    <w:rPr>
                      <w:rFonts w:ascii="Times New Roman" w:hAnsi="Times New Roman"/>
                      <w:bCs/>
                      <w:i/>
                      <w:szCs w:val="22"/>
                    </w:rPr>
                    <w:t>adapting to and addressing climate change impacts on infrastructure and a system’s ability to provide a safe</w:t>
                  </w:r>
                  <w:r>
                    <w:rPr>
                      <w:rFonts w:ascii="Times New Roman" w:hAnsi="Times New Roman"/>
                      <w:bCs/>
                      <w:i/>
                      <w:szCs w:val="22"/>
                    </w:rPr>
                    <w:t xml:space="preserve"> and</w:t>
                  </w:r>
                  <w:r w:rsidRPr="00297214">
                    <w:rPr>
                      <w:rFonts w:ascii="Times New Roman" w:hAnsi="Times New Roman"/>
                      <w:bCs/>
                      <w:i/>
                      <w:szCs w:val="22"/>
                    </w:rPr>
                    <w:t xml:space="preserve"> reliable supply of </w:t>
                  </w:r>
                  <w:r>
                    <w:rPr>
                      <w:rFonts w:ascii="Times New Roman" w:hAnsi="Times New Roman"/>
                      <w:bCs/>
                      <w:i/>
                      <w:szCs w:val="22"/>
                    </w:rPr>
                    <w:t xml:space="preserve">drinking </w:t>
                  </w:r>
                  <w:r w:rsidRPr="00297214">
                    <w:rPr>
                      <w:rFonts w:ascii="Times New Roman" w:hAnsi="Times New Roman"/>
                      <w:bCs/>
                      <w:i/>
                      <w:szCs w:val="22"/>
                    </w:rPr>
                    <w:t>water.</w:t>
                  </w:r>
                </w:p>
              </w:txbxContent>
            </v:textbox>
            <w10:wrap type="square"/>
          </v:shape>
        </w:pict>
      </w:r>
      <w:r w:rsidR="00A90275" w:rsidRPr="00AD49F8">
        <w:rPr>
          <w:rFonts w:ascii="Times New Roman" w:hAnsi="Times New Roman"/>
        </w:rPr>
        <w:t xml:space="preserve">To capture data for projects </w:t>
      </w:r>
      <w:r w:rsidR="00A8617A">
        <w:rPr>
          <w:rFonts w:ascii="Times New Roman" w:hAnsi="Times New Roman"/>
        </w:rPr>
        <w:t xml:space="preserve">that are related to </w:t>
      </w:r>
      <w:r w:rsidR="00A90275" w:rsidRPr="00AD49F8">
        <w:rPr>
          <w:rFonts w:ascii="Times New Roman" w:hAnsi="Times New Roman"/>
        </w:rPr>
        <w:t>climate readiness</w:t>
      </w:r>
      <w:r w:rsidR="00A90275">
        <w:rPr>
          <w:rFonts w:ascii="Times New Roman" w:hAnsi="Times New Roman"/>
        </w:rPr>
        <w:t>,</w:t>
      </w:r>
      <w:r w:rsidR="00A90275" w:rsidRPr="00AD49F8">
        <w:rPr>
          <w:rFonts w:ascii="Times New Roman" w:hAnsi="Times New Roman"/>
        </w:rPr>
        <w:t xml:space="preserve"> EPA has </w:t>
      </w:r>
      <w:r w:rsidR="00A90275">
        <w:rPr>
          <w:rFonts w:ascii="Times New Roman" w:hAnsi="Times New Roman"/>
        </w:rPr>
        <w:t>provided</w:t>
      </w:r>
      <w:r w:rsidR="00A90275" w:rsidRPr="00AD49F8">
        <w:rPr>
          <w:rFonts w:ascii="Times New Roman" w:hAnsi="Times New Roman"/>
        </w:rPr>
        <w:t xml:space="preserve"> </w:t>
      </w:r>
      <w:r w:rsidR="00EC37A6">
        <w:rPr>
          <w:rFonts w:ascii="Times New Roman" w:hAnsi="Times New Roman"/>
        </w:rPr>
        <w:t xml:space="preserve">code </w:t>
      </w:r>
      <w:r w:rsidR="00EC37A6" w:rsidRPr="00AD49F8">
        <w:rPr>
          <w:rFonts w:ascii="Times New Roman" w:hAnsi="Times New Roman"/>
        </w:rPr>
        <w:t xml:space="preserve">2G </w:t>
      </w:r>
      <w:r w:rsidR="00EC37A6">
        <w:rPr>
          <w:rFonts w:ascii="Times New Roman" w:hAnsi="Times New Roman"/>
        </w:rPr>
        <w:t>“C</w:t>
      </w:r>
      <w:r w:rsidR="00EC37A6" w:rsidRPr="00AD49F8">
        <w:rPr>
          <w:rFonts w:ascii="Times New Roman" w:hAnsi="Times New Roman"/>
        </w:rPr>
        <w:t xml:space="preserve">limate </w:t>
      </w:r>
      <w:r w:rsidR="00EC37A6">
        <w:rPr>
          <w:rFonts w:ascii="Times New Roman" w:hAnsi="Times New Roman"/>
        </w:rPr>
        <w:t>R</w:t>
      </w:r>
      <w:r w:rsidR="00EC37A6" w:rsidRPr="00AD49F8">
        <w:rPr>
          <w:rFonts w:ascii="Times New Roman" w:hAnsi="Times New Roman"/>
        </w:rPr>
        <w:t>eadiness</w:t>
      </w:r>
      <w:r w:rsidR="00EC37A6">
        <w:rPr>
          <w:rFonts w:ascii="Times New Roman" w:hAnsi="Times New Roman"/>
        </w:rPr>
        <w:t>” in</w:t>
      </w:r>
      <w:r w:rsidR="00A90275" w:rsidRPr="00AD49F8">
        <w:rPr>
          <w:rFonts w:ascii="Times New Roman" w:hAnsi="Times New Roman"/>
        </w:rPr>
        <w:t xml:space="preserve"> List 3 of the </w:t>
      </w:r>
      <w:r w:rsidR="00A90275" w:rsidRPr="00AD49F8">
        <w:rPr>
          <w:rFonts w:ascii="Times New Roman" w:hAnsi="Times New Roman"/>
          <w:i/>
        </w:rPr>
        <w:t>Lists of Codes</w:t>
      </w:r>
      <w:r w:rsidR="00EC37A6">
        <w:rPr>
          <w:rFonts w:ascii="Times New Roman" w:hAnsi="Times New Roman"/>
          <w:i/>
        </w:rPr>
        <w:t xml:space="preserve">. </w:t>
      </w:r>
      <w:r w:rsidR="00A90275">
        <w:rPr>
          <w:rFonts w:ascii="Times New Roman" w:hAnsi="Times New Roman"/>
        </w:rPr>
        <w:t>I</w:t>
      </w:r>
      <w:r w:rsidR="00A90275" w:rsidRPr="00AD49F8">
        <w:rPr>
          <w:rFonts w:ascii="Times New Roman" w:hAnsi="Times New Roman"/>
        </w:rPr>
        <w:t xml:space="preserve">f a system codes a project </w:t>
      </w:r>
      <w:r w:rsidR="00A90275">
        <w:rPr>
          <w:rFonts w:ascii="Times New Roman" w:hAnsi="Times New Roman"/>
        </w:rPr>
        <w:t xml:space="preserve">as </w:t>
      </w:r>
      <w:r w:rsidR="00A8617A">
        <w:rPr>
          <w:rFonts w:ascii="Times New Roman" w:hAnsi="Times New Roman"/>
        </w:rPr>
        <w:t>related to</w:t>
      </w:r>
      <w:r w:rsidR="00A90275" w:rsidRPr="00AD49F8">
        <w:rPr>
          <w:rFonts w:ascii="Times New Roman" w:hAnsi="Times New Roman"/>
        </w:rPr>
        <w:t xml:space="preserve"> climate readiness, EPA is requesting </w:t>
      </w:r>
      <w:r w:rsidR="00A90275">
        <w:rPr>
          <w:rFonts w:ascii="Times New Roman" w:hAnsi="Times New Roman"/>
        </w:rPr>
        <w:t>the system</w:t>
      </w:r>
      <w:r w:rsidR="00A90275" w:rsidRPr="00AD49F8">
        <w:rPr>
          <w:rFonts w:ascii="Times New Roman" w:hAnsi="Times New Roman"/>
        </w:rPr>
        <w:t xml:space="preserve"> answer two questions on page 7 of the survey form</w:t>
      </w:r>
      <w:r w:rsidR="00105E2D">
        <w:rPr>
          <w:rFonts w:ascii="Times New Roman" w:hAnsi="Times New Roman"/>
        </w:rPr>
        <w:t>. These questions</w:t>
      </w:r>
      <w:r w:rsidR="00A90275" w:rsidRPr="00AD49F8">
        <w:rPr>
          <w:rFonts w:ascii="Times New Roman" w:hAnsi="Times New Roman"/>
        </w:rPr>
        <w:t xml:space="preserve"> capture additional information </w:t>
      </w:r>
      <w:r w:rsidR="00A8617A">
        <w:rPr>
          <w:rFonts w:ascii="Times New Roman" w:hAnsi="Times New Roman"/>
        </w:rPr>
        <w:t>on</w:t>
      </w:r>
      <w:r w:rsidR="00A90275" w:rsidRPr="00AD49F8">
        <w:rPr>
          <w:rFonts w:ascii="Times New Roman" w:hAnsi="Times New Roman"/>
        </w:rPr>
        <w:t xml:space="preserve"> the nature of the climate </w:t>
      </w:r>
      <w:r w:rsidR="003F289A">
        <w:rPr>
          <w:rFonts w:ascii="Times New Roman" w:hAnsi="Times New Roman"/>
        </w:rPr>
        <w:t xml:space="preserve">change consequence </w:t>
      </w:r>
      <w:r w:rsidR="00F11213">
        <w:rPr>
          <w:rFonts w:ascii="Times New Roman" w:hAnsi="Times New Roman"/>
        </w:rPr>
        <w:t xml:space="preserve">of </w:t>
      </w:r>
      <w:r w:rsidR="00F11213" w:rsidRPr="00AD49F8">
        <w:rPr>
          <w:rFonts w:ascii="Times New Roman" w:hAnsi="Times New Roman"/>
        </w:rPr>
        <w:t>concern</w:t>
      </w:r>
      <w:r w:rsidR="00105E2D">
        <w:rPr>
          <w:rFonts w:ascii="Times New Roman" w:hAnsi="Times New Roman"/>
        </w:rPr>
        <w:t xml:space="preserve"> and the type of data that identified the concern.</w:t>
      </w:r>
    </w:p>
    <w:p w:rsidR="00A90275" w:rsidRPr="00AD49F8" w:rsidRDefault="00A90275" w:rsidP="00A90275">
      <w:pPr>
        <w:spacing w:after="240"/>
        <w:rPr>
          <w:rFonts w:ascii="Times New Roman" w:hAnsi="Times New Roman"/>
        </w:rPr>
      </w:pPr>
      <w:r w:rsidRPr="00AD49F8">
        <w:rPr>
          <w:rFonts w:ascii="Times New Roman" w:hAnsi="Times New Roman"/>
        </w:rPr>
        <w:t xml:space="preserve">The purpose of capturing data on </w:t>
      </w:r>
      <w:r w:rsidR="00A8617A">
        <w:rPr>
          <w:rFonts w:ascii="Times New Roman" w:hAnsi="Times New Roman"/>
        </w:rPr>
        <w:t xml:space="preserve">DWINSA </w:t>
      </w:r>
      <w:r w:rsidRPr="00AD49F8">
        <w:rPr>
          <w:rFonts w:ascii="Times New Roman" w:hAnsi="Times New Roman"/>
        </w:rPr>
        <w:t xml:space="preserve">projects </w:t>
      </w:r>
      <w:r w:rsidR="00A8617A">
        <w:rPr>
          <w:rFonts w:ascii="Times New Roman" w:hAnsi="Times New Roman"/>
        </w:rPr>
        <w:t xml:space="preserve">that </w:t>
      </w:r>
      <w:r w:rsidR="00105E2D">
        <w:rPr>
          <w:rFonts w:ascii="Times New Roman" w:hAnsi="Times New Roman"/>
        </w:rPr>
        <w:t xml:space="preserve">are related to </w:t>
      </w:r>
      <w:r w:rsidRPr="00AD49F8">
        <w:rPr>
          <w:rFonts w:ascii="Times New Roman" w:hAnsi="Times New Roman"/>
        </w:rPr>
        <w:t>climate readiness is to</w:t>
      </w:r>
      <w:r>
        <w:rPr>
          <w:rFonts w:ascii="Times New Roman" w:hAnsi="Times New Roman"/>
        </w:rPr>
        <w:t xml:space="preserve"> indicate the general extent to which</w:t>
      </w:r>
      <w:r w:rsidR="00E87C4C">
        <w:rPr>
          <w:rFonts w:ascii="Times New Roman" w:hAnsi="Times New Roman"/>
        </w:rPr>
        <w:t xml:space="preserve"> </w:t>
      </w:r>
      <w:r w:rsidRPr="00AD49F8">
        <w:rPr>
          <w:rFonts w:ascii="Times New Roman" w:hAnsi="Times New Roman"/>
        </w:rPr>
        <w:t xml:space="preserve">water systems </w:t>
      </w:r>
      <w:r w:rsidR="00A8617A">
        <w:rPr>
          <w:rFonts w:ascii="Times New Roman" w:hAnsi="Times New Roman"/>
        </w:rPr>
        <w:t xml:space="preserve">have currently incorporated </w:t>
      </w:r>
      <w:r w:rsidR="00105E2D">
        <w:rPr>
          <w:rFonts w:ascii="Times New Roman" w:hAnsi="Times New Roman"/>
        </w:rPr>
        <w:t>climate change mitigation and adaption strategies in</w:t>
      </w:r>
      <w:r w:rsidR="00F11213">
        <w:rPr>
          <w:rFonts w:ascii="Times New Roman" w:hAnsi="Times New Roman"/>
        </w:rPr>
        <w:t>to</w:t>
      </w:r>
      <w:r w:rsidR="00105E2D">
        <w:rPr>
          <w:rFonts w:ascii="Times New Roman" w:hAnsi="Times New Roman"/>
        </w:rPr>
        <w:t xml:space="preserve"> their capital infrastructure projects.</w:t>
      </w:r>
      <w:r w:rsidRPr="00AD49F8">
        <w:rPr>
          <w:rFonts w:ascii="Times New Roman" w:hAnsi="Times New Roman"/>
        </w:rPr>
        <w:t xml:space="preserve"> </w:t>
      </w:r>
      <w:r w:rsidR="003F289A">
        <w:rPr>
          <w:rFonts w:ascii="Times New Roman" w:hAnsi="Times New Roman"/>
        </w:rPr>
        <w:t>Whether a project is identified as being related to climate</w:t>
      </w:r>
      <w:r>
        <w:rPr>
          <w:rFonts w:ascii="Times New Roman" w:hAnsi="Times New Roman"/>
        </w:rPr>
        <w:t xml:space="preserve"> readiness is based on the water system’s or states’ professional judgment. </w:t>
      </w:r>
      <w:r w:rsidR="003F289A">
        <w:rPr>
          <w:rFonts w:ascii="Times New Roman" w:hAnsi="Times New Roman"/>
        </w:rPr>
        <w:t xml:space="preserve">For the DWINSA, </w:t>
      </w:r>
      <w:r w:rsidRPr="00AD49F8">
        <w:rPr>
          <w:rFonts w:ascii="Times New Roman" w:hAnsi="Times New Roman"/>
          <w:szCs w:val="22"/>
        </w:rPr>
        <w:t>EPA</w:t>
      </w:r>
      <w:r w:rsidR="003F289A">
        <w:rPr>
          <w:rFonts w:ascii="Times New Roman" w:hAnsi="Times New Roman"/>
          <w:szCs w:val="22"/>
        </w:rPr>
        <w:t xml:space="preserve"> has</w:t>
      </w:r>
      <w:r w:rsidRPr="00AD49F8">
        <w:rPr>
          <w:rFonts w:ascii="Times New Roman" w:hAnsi="Times New Roman"/>
          <w:szCs w:val="22"/>
        </w:rPr>
        <w:t xml:space="preserve"> not </w:t>
      </w:r>
      <w:r w:rsidR="003F289A">
        <w:rPr>
          <w:rFonts w:ascii="Times New Roman" w:hAnsi="Times New Roman"/>
          <w:szCs w:val="22"/>
        </w:rPr>
        <w:t>defined</w:t>
      </w:r>
      <w:r w:rsidRPr="00AD49F8">
        <w:rPr>
          <w:rFonts w:ascii="Times New Roman" w:hAnsi="Times New Roman"/>
          <w:szCs w:val="22"/>
        </w:rPr>
        <w:t xml:space="preserve"> what constitutes a climate readiness project</w:t>
      </w:r>
      <w:r>
        <w:rPr>
          <w:rFonts w:ascii="Times New Roman" w:hAnsi="Times New Roman"/>
          <w:szCs w:val="22"/>
        </w:rPr>
        <w:t xml:space="preserve"> </w:t>
      </w:r>
      <w:r w:rsidRPr="00AD49F8">
        <w:rPr>
          <w:rFonts w:ascii="Times New Roman" w:hAnsi="Times New Roman"/>
          <w:szCs w:val="22"/>
        </w:rPr>
        <w:t xml:space="preserve">or what is appropriate rationale or data to support the consideration of climate readiness </w:t>
      </w:r>
      <w:r>
        <w:rPr>
          <w:rFonts w:ascii="Times New Roman" w:hAnsi="Times New Roman"/>
          <w:szCs w:val="22"/>
        </w:rPr>
        <w:t>during the planning of</w:t>
      </w:r>
      <w:r w:rsidRPr="00AD49F8">
        <w:rPr>
          <w:rFonts w:ascii="Times New Roman" w:hAnsi="Times New Roman"/>
          <w:szCs w:val="22"/>
        </w:rPr>
        <w:t xml:space="preserve"> a project.  </w:t>
      </w:r>
      <w:r w:rsidR="00E87C4C">
        <w:rPr>
          <w:rFonts w:ascii="Times New Roman" w:hAnsi="Times New Roman"/>
          <w:szCs w:val="22"/>
        </w:rPr>
        <w:t xml:space="preserve"> </w:t>
      </w:r>
      <w:r w:rsidRPr="00AD49F8">
        <w:rPr>
          <w:rFonts w:ascii="Times New Roman" w:hAnsi="Times New Roman"/>
          <w:szCs w:val="22"/>
        </w:rPr>
        <w:t xml:space="preserve"> </w:t>
      </w:r>
    </w:p>
    <w:p w:rsidR="00A90275" w:rsidRPr="00AD49F8" w:rsidRDefault="00A90275" w:rsidP="00A90275">
      <w:pPr>
        <w:spacing w:after="240"/>
        <w:rPr>
          <w:rFonts w:ascii="Times New Roman" w:hAnsi="Times New Roman"/>
        </w:rPr>
      </w:pPr>
      <w:r w:rsidRPr="00AD49F8">
        <w:rPr>
          <w:rFonts w:ascii="Times New Roman" w:hAnsi="Times New Roman"/>
        </w:rPr>
        <w:t xml:space="preserve">The climate readiness data captured </w:t>
      </w:r>
      <w:r w:rsidR="00316189">
        <w:rPr>
          <w:rFonts w:ascii="Times New Roman" w:hAnsi="Times New Roman"/>
        </w:rPr>
        <w:t>through this effort</w:t>
      </w:r>
      <w:r w:rsidRPr="00AD49F8">
        <w:rPr>
          <w:rFonts w:ascii="Times New Roman" w:hAnsi="Times New Roman"/>
        </w:rPr>
        <w:t xml:space="preserve"> will be included in the Report to Congress</w:t>
      </w:r>
      <w:r w:rsidR="00316189">
        <w:rPr>
          <w:rFonts w:ascii="Times New Roman" w:hAnsi="Times New Roman"/>
        </w:rPr>
        <w:t xml:space="preserve"> that conveys the findings of the 2011 DWINSA</w:t>
      </w:r>
      <w:r w:rsidRPr="00AD49F8">
        <w:rPr>
          <w:rFonts w:ascii="Times New Roman" w:hAnsi="Times New Roman"/>
        </w:rPr>
        <w:t>. Capturing data on climate readiness projects is not in support of any policy development</w:t>
      </w:r>
      <w:r w:rsidR="00316189">
        <w:rPr>
          <w:rFonts w:ascii="Times New Roman" w:hAnsi="Times New Roman"/>
        </w:rPr>
        <w:t>;</w:t>
      </w:r>
      <w:r w:rsidRPr="00AD49F8">
        <w:rPr>
          <w:rFonts w:ascii="Times New Roman" w:hAnsi="Times New Roman"/>
        </w:rPr>
        <w:t xml:space="preserve"> EPA’s intent is to report the findings to the industry and others to help facilitate communications on this emerging issue. </w:t>
      </w:r>
    </w:p>
    <w:p w:rsidR="00757861" w:rsidRPr="00AD49F8" w:rsidRDefault="00757861" w:rsidP="001663C2">
      <w:pPr>
        <w:pBdr>
          <w:bottom w:val="single" w:sz="6" w:space="1" w:color="auto"/>
        </w:pBd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outlineLvl w:val="0"/>
        <w:rPr>
          <w:rFonts w:ascii="Times New Roman" w:hAnsi="Times New Roman"/>
          <w:b/>
          <w:sz w:val="24"/>
          <w:szCs w:val="26"/>
        </w:rPr>
      </w:pPr>
      <w:r w:rsidRPr="00AD49F8">
        <w:rPr>
          <w:rFonts w:ascii="Times New Roman" w:hAnsi="Times New Roman"/>
          <w:b/>
          <w:sz w:val="24"/>
          <w:szCs w:val="26"/>
        </w:rPr>
        <w:t>Green Projects</w:t>
      </w:r>
    </w:p>
    <w:p w:rsidR="000F585F" w:rsidRPr="00AD49F8" w:rsidRDefault="00AE6881" w:rsidP="001663C2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6" type="#_x0000_t202" style="position:absolute;margin-left:4in;margin-top:34.35pt;width:215.85pt;height:125.65pt;z-index:251658240" strokeweight="2pt">
            <v:textbox style="mso-next-textbox:#_x0000_s1026;mso-fit-shape-to-text:t" inset="3.6pt,7.2pt,3.6pt,7.2pt">
              <w:txbxContent>
                <w:p w:rsidR="00D27957" w:rsidRPr="00297214" w:rsidRDefault="00D27957" w:rsidP="002A13A2">
                  <w:pPr>
                    <w:jc w:val="center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297214">
                    <w:rPr>
                      <w:rFonts w:ascii="Times New Roman" w:hAnsi="Times New Roman"/>
                      <w:b/>
                      <w:szCs w:val="22"/>
                    </w:rPr>
                    <w:t>What is Green Infrastructure?</w:t>
                  </w:r>
                </w:p>
                <w:p w:rsidR="00D27957" w:rsidRPr="00297214" w:rsidRDefault="00D27957" w:rsidP="002A13A2">
                  <w:pPr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  <w:p w:rsidR="00D27957" w:rsidRPr="00297214" w:rsidRDefault="00D27957" w:rsidP="002A13A2">
                  <w:pPr>
                    <w:rPr>
                      <w:rFonts w:ascii="Times New Roman" w:hAnsi="Times New Roman"/>
                      <w:szCs w:val="22"/>
                    </w:rPr>
                  </w:pPr>
                  <w:r w:rsidRPr="00297214">
                    <w:rPr>
                      <w:rFonts w:ascii="Times New Roman" w:hAnsi="Times New Roman"/>
                      <w:i/>
                      <w:szCs w:val="22"/>
                    </w:rPr>
                    <w:t>Products, technologies, and practices that use natural systems – or engineered systems that mimic natural processes – to enhance overall environmental quality and provide utility services. Categories include green infrastructure, water efficiency, energy efficiency, and environmentally innovative.</w:t>
                  </w:r>
                </w:p>
              </w:txbxContent>
            </v:textbox>
            <w10:wrap type="square"/>
          </v:shape>
        </w:pict>
      </w:r>
      <w:r w:rsidR="000F585F" w:rsidRPr="00AD49F8">
        <w:rPr>
          <w:rFonts w:ascii="Times New Roman" w:hAnsi="Times New Roman"/>
        </w:rPr>
        <w:t xml:space="preserve">To capture data for projects that </w:t>
      </w:r>
      <w:r w:rsidR="008F7FE2">
        <w:rPr>
          <w:rFonts w:ascii="Times New Roman" w:hAnsi="Times New Roman"/>
        </w:rPr>
        <w:t xml:space="preserve">include one or more components that </w:t>
      </w:r>
      <w:r w:rsidR="000F585F" w:rsidRPr="00AD49F8">
        <w:rPr>
          <w:rFonts w:ascii="Times New Roman" w:hAnsi="Times New Roman"/>
        </w:rPr>
        <w:t>are considered green</w:t>
      </w:r>
      <w:r w:rsidR="00757861" w:rsidRPr="00AD49F8">
        <w:rPr>
          <w:rFonts w:ascii="Times New Roman" w:hAnsi="Times New Roman"/>
        </w:rPr>
        <w:t>,</w:t>
      </w:r>
      <w:r w:rsidR="000F585F" w:rsidRPr="00AD49F8">
        <w:rPr>
          <w:rFonts w:ascii="Times New Roman" w:hAnsi="Times New Roman"/>
        </w:rPr>
        <w:t xml:space="preserve"> EPA has </w:t>
      </w:r>
      <w:r w:rsidR="004312EB">
        <w:rPr>
          <w:rFonts w:ascii="Times New Roman" w:hAnsi="Times New Roman"/>
        </w:rPr>
        <w:t>provided</w:t>
      </w:r>
      <w:r w:rsidR="000F585F" w:rsidRPr="00AD49F8">
        <w:rPr>
          <w:rFonts w:ascii="Times New Roman" w:hAnsi="Times New Roman"/>
        </w:rPr>
        <w:t xml:space="preserve"> codes </w:t>
      </w:r>
      <w:r w:rsidR="002D6E86">
        <w:rPr>
          <w:rFonts w:ascii="Times New Roman" w:hAnsi="Times New Roman"/>
        </w:rPr>
        <w:t xml:space="preserve">2C through 2F in </w:t>
      </w:r>
      <w:r w:rsidR="000F585F" w:rsidRPr="00AD49F8">
        <w:rPr>
          <w:rFonts w:ascii="Times New Roman" w:hAnsi="Times New Roman"/>
        </w:rPr>
        <w:t xml:space="preserve">List 3 of the </w:t>
      </w:r>
      <w:r w:rsidR="000F585F" w:rsidRPr="00AD49F8">
        <w:rPr>
          <w:rFonts w:ascii="Times New Roman" w:hAnsi="Times New Roman"/>
          <w:i/>
        </w:rPr>
        <w:t>Lists of Codes</w:t>
      </w:r>
      <w:r w:rsidR="000F585F" w:rsidRPr="00AD49F8">
        <w:rPr>
          <w:rFonts w:ascii="Times New Roman" w:hAnsi="Times New Roman"/>
        </w:rPr>
        <w:t xml:space="preserve">. </w:t>
      </w:r>
      <w:r w:rsidR="000B0072" w:rsidRPr="00AD49F8">
        <w:rPr>
          <w:rFonts w:ascii="Times New Roman" w:hAnsi="Times New Roman"/>
        </w:rPr>
        <w:t xml:space="preserve">Note that EPA is </w:t>
      </w:r>
      <w:r w:rsidR="00472979" w:rsidRPr="00472979">
        <w:rPr>
          <w:rFonts w:ascii="Times New Roman" w:hAnsi="Times New Roman"/>
          <w:i/>
        </w:rPr>
        <w:t>not</w:t>
      </w:r>
      <w:r w:rsidR="000B0072" w:rsidRPr="00AD49F8">
        <w:rPr>
          <w:rFonts w:ascii="Times New Roman" w:hAnsi="Times New Roman"/>
        </w:rPr>
        <w:t xml:space="preserve"> </w:t>
      </w:r>
      <w:r w:rsidR="008F7FE2">
        <w:rPr>
          <w:rFonts w:ascii="Times New Roman" w:hAnsi="Times New Roman"/>
        </w:rPr>
        <w:t xml:space="preserve">asking for </w:t>
      </w:r>
      <w:r w:rsidR="000B0072" w:rsidRPr="00AD49F8">
        <w:rPr>
          <w:rFonts w:ascii="Times New Roman" w:hAnsi="Times New Roman"/>
        </w:rPr>
        <w:t>documentation to indicate that a project</w:t>
      </w:r>
      <w:r w:rsidR="008F7FE2">
        <w:rPr>
          <w:rFonts w:ascii="Times New Roman" w:hAnsi="Times New Roman"/>
        </w:rPr>
        <w:t xml:space="preserve"> component</w:t>
      </w:r>
      <w:r w:rsidR="000B0072" w:rsidRPr="00AD49F8">
        <w:rPr>
          <w:rFonts w:ascii="Times New Roman" w:hAnsi="Times New Roman"/>
        </w:rPr>
        <w:t xml:space="preserve"> is considered green.</w:t>
      </w:r>
    </w:p>
    <w:p w:rsidR="00757861" w:rsidRPr="00AD49F8" w:rsidRDefault="000F585F" w:rsidP="00A90275">
      <w:pPr>
        <w:spacing w:after="120"/>
        <w:rPr>
          <w:rFonts w:ascii="Times New Roman" w:hAnsi="Times New Roman"/>
        </w:rPr>
      </w:pPr>
      <w:r w:rsidRPr="00AD49F8">
        <w:rPr>
          <w:rFonts w:ascii="Times New Roman" w:hAnsi="Times New Roman"/>
        </w:rPr>
        <w:t xml:space="preserve">The green project categories </w:t>
      </w:r>
      <w:r w:rsidR="000B0072" w:rsidRPr="00AD49F8">
        <w:rPr>
          <w:rFonts w:ascii="Times New Roman" w:hAnsi="Times New Roman"/>
        </w:rPr>
        <w:t xml:space="preserve">and their respective </w:t>
      </w:r>
      <w:r w:rsidR="003322F3">
        <w:rPr>
          <w:rFonts w:ascii="Times New Roman" w:hAnsi="Times New Roman"/>
        </w:rPr>
        <w:t>c</w:t>
      </w:r>
      <w:r w:rsidR="000B0072" w:rsidRPr="00AD49F8">
        <w:rPr>
          <w:rFonts w:ascii="Times New Roman" w:hAnsi="Times New Roman"/>
        </w:rPr>
        <w:t xml:space="preserve">odes from List 3 </w:t>
      </w:r>
      <w:r w:rsidRPr="00AD49F8">
        <w:rPr>
          <w:rFonts w:ascii="Times New Roman" w:hAnsi="Times New Roman"/>
        </w:rPr>
        <w:t>are</w:t>
      </w:r>
      <w:r w:rsidR="00297214">
        <w:rPr>
          <w:rFonts w:ascii="Times New Roman" w:hAnsi="Times New Roman"/>
        </w:rPr>
        <w:t>:</w:t>
      </w:r>
      <w:r w:rsidRPr="00AD49F8">
        <w:rPr>
          <w:rFonts w:ascii="Times New Roman" w:hAnsi="Times New Roman"/>
        </w:rPr>
        <w:t xml:space="preserve"> </w:t>
      </w:r>
    </w:p>
    <w:p w:rsidR="00757861" w:rsidRPr="003F4E65" w:rsidRDefault="00757861" w:rsidP="001663C2">
      <w:pPr>
        <w:pStyle w:val="ListParagraph"/>
        <w:numPr>
          <w:ilvl w:val="0"/>
          <w:numId w:val="5"/>
        </w:numPr>
        <w:rPr>
          <w:rFonts w:ascii="Times New Roman" w:hAnsi="Times New Roman"/>
          <w:szCs w:val="22"/>
        </w:rPr>
      </w:pPr>
      <w:r w:rsidRPr="003F4E65">
        <w:rPr>
          <w:rFonts w:ascii="Times New Roman" w:hAnsi="Times New Roman"/>
          <w:szCs w:val="22"/>
        </w:rPr>
        <w:t>2C</w:t>
      </w:r>
      <w:r w:rsidRPr="003F4E65">
        <w:rPr>
          <w:rFonts w:ascii="Times New Roman" w:hAnsi="Times New Roman"/>
          <w:szCs w:val="22"/>
        </w:rPr>
        <w:tab/>
      </w:r>
      <w:r w:rsidR="00766664" w:rsidRPr="003F4E65">
        <w:rPr>
          <w:rFonts w:ascii="Times New Roman" w:hAnsi="Times New Roman"/>
          <w:szCs w:val="22"/>
        </w:rPr>
        <w:t xml:space="preserve">Green - </w:t>
      </w:r>
      <w:r w:rsidRPr="003F4E65">
        <w:rPr>
          <w:rFonts w:ascii="Times New Roman" w:hAnsi="Times New Roman"/>
          <w:szCs w:val="22"/>
        </w:rPr>
        <w:t>G</w:t>
      </w:r>
      <w:r w:rsidR="000F585F" w:rsidRPr="003F4E65">
        <w:rPr>
          <w:rFonts w:ascii="Times New Roman" w:hAnsi="Times New Roman"/>
          <w:szCs w:val="22"/>
        </w:rPr>
        <w:t>reen infrastructure</w:t>
      </w:r>
    </w:p>
    <w:p w:rsidR="00757861" w:rsidRPr="003F4E65" w:rsidRDefault="00757861" w:rsidP="001663C2">
      <w:pPr>
        <w:pStyle w:val="ListParagraph"/>
        <w:numPr>
          <w:ilvl w:val="0"/>
          <w:numId w:val="5"/>
        </w:numPr>
        <w:rPr>
          <w:rFonts w:ascii="Times New Roman" w:hAnsi="Times New Roman"/>
          <w:szCs w:val="22"/>
        </w:rPr>
      </w:pPr>
      <w:r w:rsidRPr="003F4E65">
        <w:rPr>
          <w:rFonts w:ascii="Times New Roman" w:hAnsi="Times New Roman"/>
          <w:szCs w:val="22"/>
        </w:rPr>
        <w:t>2D</w:t>
      </w:r>
      <w:r w:rsidRPr="003F4E65">
        <w:rPr>
          <w:rFonts w:ascii="Times New Roman" w:hAnsi="Times New Roman"/>
          <w:szCs w:val="22"/>
        </w:rPr>
        <w:tab/>
      </w:r>
      <w:r w:rsidR="00766664" w:rsidRPr="003F4E65">
        <w:rPr>
          <w:rFonts w:ascii="Times New Roman" w:hAnsi="Times New Roman"/>
          <w:szCs w:val="22"/>
        </w:rPr>
        <w:t xml:space="preserve">Green - </w:t>
      </w:r>
      <w:r w:rsidRPr="003F4E65">
        <w:rPr>
          <w:rFonts w:ascii="Times New Roman" w:hAnsi="Times New Roman"/>
          <w:szCs w:val="22"/>
        </w:rPr>
        <w:t>W</w:t>
      </w:r>
      <w:r w:rsidR="000F585F" w:rsidRPr="003F4E65">
        <w:rPr>
          <w:rFonts w:ascii="Times New Roman" w:hAnsi="Times New Roman"/>
          <w:szCs w:val="22"/>
        </w:rPr>
        <w:t xml:space="preserve">ater efficiency </w:t>
      </w:r>
    </w:p>
    <w:p w:rsidR="00757861" w:rsidRPr="003F4E65" w:rsidRDefault="00757861" w:rsidP="001663C2">
      <w:pPr>
        <w:pStyle w:val="ListParagraph"/>
        <w:numPr>
          <w:ilvl w:val="0"/>
          <w:numId w:val="5"/>
        </w:numPr>
        <w:rPr>
          <w:rFonts w:ascii="Times New Roman" w:hAnsi="Times New Roman"/>
          <w:szCs w:val="22"/>
        </w:rPr>
      </w:pPr>
      <w:r w:rsidRPr="003F4E65">
        <w:rPr>
          <w:rFonts w:ascii="Times New Roman" w:hAnsi="Times New Roman"/>
          <w:szCs w:val="22"/>
        </w:rPr>
        <w:t>2E</w:t>
      </w:r>
      <w:r w:rsidRPr="003F4E65">
        <w:rPr>
          <w:rFonts w:ascii="Times New Roman" w:hAnsi="Times New Roman"/>
          <w:szCs w:val="22"/>
        </w:rPr>
        <w:tab/>
      </w:r>
      <w:r w:rsidR="00766664" w:rsidRPr="003F4E65">
        <w:rPr>
          <w:rFonts w:ascii="Times New Roman" w:hAnsi="Times New Roman"/>
          <w:szCs w:val="22"/>
        </w:rPr>
        <w:t xml:space="preserve">Green - </w:t>
      </w:r>
      <w:r w:rsidRPr="003F4E65">
        <w:rPr>
          <w:rFonts w:ascii="Times New Roman" w:hAnsi="Times New Roman"/>
          <w:szCs w:val="22"/>
        </w:rPr>
        <w:t>E</w:t>
      </w:r>
      <w:r w:rsidR="000F585F" w:rsidRPr="003F4E65">
        <w:rPr>
          <w:rFonts w:ascii="Times New Roman" w:hAnsi="Times New Roman"/>
          <w:szCs w:val="22"/>
        </w:rPr>
        <w:t xml:space="preserve">nergy efficiency </w:t>
      </w:r>
    </w:p>
    <w:p w:rsidR="00757861" w:rsidRPr="003F4E65" w:rsidRDefault="00757861" w:rsidP="001663C2">
      <w:pPr>
        <w:pStyle w:val="ListParagraph"/>
        <w:numPr>
          <w:ilvl w:val="0"/>
          <w:numId w:val="5"/>
        </w:numPr>
        <w:spacing w:after="240"/>
        <w:rPr>
          <w:rFonts w:ascii="Times New Roman" w:hAnsi="Times New Roman"/>
          <w:szCs w:val="22"/>
        </w:rPr>
      </w:pPr>
      <w:r w:rsidRPr="003F4E65">
        <w:rPr>
          <w:rFonts w:ascii="Times New Roman" w:hAnsi="Times New Roman"/>
          <w:szCs w:val="22"/>
        </w:rPr>
        <w:t>2F</w:t>
      </w:r>
      <w:r w:rsidRPr="003F4E65">
        <w:rPr>
          <w:rFonts w:ascii="Times New Roman" w:hAnsi="Times New Roman"/>
          <w:szCs w:val="22"/>
        </w:rPr>
        <w:tab/>
      </w:r>
      <w:r w:rsidR="00766664" w:rsidRPr="003F4E65">
        <w:rPr>
          <w:rFonts w:ascii="Times New Roman" w:hAnsi="Times New Roman"/>
          <w:szCs w:val="22"/>
        </w:rPr>
        <w:t xml:space="preserve">Green - </w:t>
      </w:r>
      <w:r w:rsidRPr="003F4E65">
        <w:rPr>
          <w:rFonts w:ascii="Times New Roman" w:hAnsi="Times New Roman"/>
          <w:szCs w:val="22"/>
        </w:rPr>
        <w:t>E</w:t>
      </w:r>
      <w:r w:rsidR="000F585F" w:rsidRPr="003F4E65">
        <w:rPr>
          <w:rFonts w:ascii="Times New Roman" w:hAnsi="Times New Roman"/>
          <w:szCs w:val="22"/>
        </w:rPr>
        <w:t xml:space="preserve">nvironmentally innovative </w:t>
      </w:r>
    </w:p>
    <w:p w:rsidR="002D6E86" w:rsidRDefault="002D6E8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br w:type="page"/>
      </w:r>
    </w:p>
    <w:p w:rsidR="001663C2" w:rsidRPr="00AD49F8" w:rsidRDefault="00AE6881" w:rsidP="001663C2">
      <w:pPr>
        <w:spacing w:after="240"/>
        <w:rPr>
          <w:rFonts w:ascii="Times New Roman" w:hAnsi="Times New Roman"/>
        </w:rPr>
      </w:pPr>
      <w:r w:rsidRPr="00AE6881">
        <w:rPr>
          <w:noProof/>
          <w:szCs w:val="22"/>
        </w:rPr>
        <w:lastRenderedPageBreak/>
        <w:pict>
          <v:shape id="_x0000_s1027" type="#_x0000_t202" style="position:absolute;margin-left:-9.9pt;margin-top:33.75pt;width:495pt;height:377.25pt;z-index:251659264">
            <v:textbox style="mso-next-textbox:#_x0000_s1027">
              <w:txbxContent>
                <w:p w:rsidR="00D27957" w:rsidRPr="00D27957" w:rsidRDefault="00472979" w:rsidP="004312EB">
                  <w:pPr>
                    <w:jc w:val="center"/>
                    <w:rPr>
                      <w:rFonts w:ascii="Times New Roman" w:hAnsi="Times New Roman"/>
                      <w:b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b/>
                      <w:szCs w:val="18"/>
                    </w:rPr>
                    <w:t xml:space="preserve">Project Components that are Considered “Green” </w:t>
                  </w:r>
                  <w:r w:rsidR="00D27957">
                    <w:rPr>
                      <w:rFonts w:ascii="Times New Roman" w:hAnsi="Times New Roman"/>
                      <w:b/>
                      <w:szCs w:val="18"/>
                    </w:rPr>
                    <w:t>and May be Included in</w:t>
                  </w:r>
                  <w:r w:rsidRPr="00472979">
                    <w:rPr>
                      <w:rFonts w:ascii="Times New Roman" w:hAnsi="Times New Roman"/>
                      <w:b/>
                      <w:szCs w:val="18"/>
                    </w:rPr>
                    <w:t xml:space="preserve"> the DWINSA</w:t>
                  </w:r>
                  <w:r w:rsidRPr="00472979">
                    <w:rPr>
                      <w:rFonts w:ascii="Times New Roman" w:hAnsi="Times New Roman"/>
                      <w:b/>
                      <w:szCs w:val="18"/>
                      <w:vertAlign w:val="superscript"/>
                    </w:rPr>
                    <w:t>1</w:t>
                  </w:r>
                  <w:r w:rsidR="00404268">
                    <w:rPr>
                      <w:rFonts w:ascii="Times New Roman" w:hAnsi="Times New Roman"/>
                      <w:b/>
                      <w:szCs w:val="18"/>
                      <w:vertAlign w:val="superscript"/>
                    </w:rPr>
                    <w:t>, 2</w:t>
                  </w:r>
                </w:p>
                <w:p w:rsidR="00D27957" w:rsidRPr="00D27957" w:rsidRDefault="00D27957" w:rsidP="003F4E65">
                  <w:pPr>
                    <w:spacing w:line="120" w:lineRule="auto"/>
                    <w:rPr>
                      <w:rFonts w:ascii="Times New Roman" w:hAnsi="Times New Roman"/>
                      <w:szCs w:val="18"/>
                    </w:rPr>
                  </w:pPr>
                </w:p>
                <w:p w:rsidR="00D27957" w:rsidRPr="00D27957" w:rsidRDefault="00472979" w:rsidP="00A85672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 xml:space="preserve">Green Infrastructure </w:t>
                  </w:r>
                </w:p>
                <w:p w:rsidR="00C941D0" w:rsidRDefault="00472979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spacing w:after="120"/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 xml:space="preserve">Pervious or porous pavement, </w:t>
                  </w:r>
                  <w:proofErr w:type="spellStart"/>
                  <w:r w:rsidRPr="00472979">
                    <w:rPr>
                      <w:rFonts w:ascii="Times New Roman" w:hAnsi="Times New Roman"/>
                      <w:szCs w:val="18"/>
                    </w:rPr>
                    <w:t>bioretention</w:t>
                  </w:r>
                  <w:proofErr w:type="spellEnd"/>
                  <w:r w:rsidRPr="00472979">
                    <w:rPr>
                      <w:rFonts w:ascii="Times New Roman" w:hAnsi="Times New Roman"/>
                      <w:szCs w:val="18"/>
                    </w:rPr>
                    <w:t xml:space="preserve">, green roofs, rainwater harvesting/cisterns, and </w:t>
                  </w:r>
                  <w:proofErr w:type="spellStart"/>
                  <w:r w:rsidRPr="00472979">
                    <w:rPr>
                      <w:rFonts w:ascii="Times New Roman" w:hAnsi="Times New Roman"/>
                      <w:szCs w:val="18"/>
                    </w:rPr>
                    <w:t>xeriscape</w:t>
                  </w:r>
                  <w:proofErr w:type="spellEnd"/>
                  <w:r w:rsidRPr="00472979">
                    <w:rPr>
                      <w:rFonts w:ascii="Times New Roman" w:hAnsi="Times New Roman"/>
                      <w:szCs w:val="18"/>
                    </w:rPr>
                    <w:t xml:space="preserve"> that are included as part of a larger capital infrastructure project</w:t>
                  </w:r>
                </w:p>
                <w:p w:rsidR="00D27957" w:rsidRPr="00D27957" w:rsidRDefault="00472979" w:rsidP="00A85672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Water Efficiency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Installing any type of water meter in previously unmetered areas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Replacing existing broken/malfunctioning water meters or upgrading existing meters</w:t>
                  </w:r>
                  <w:r w:rsidR="00D27957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472979">
                    <w:rPr>
                      <w:rFonts w:ascii="Times New Roman" w:hAnsi="Times New Roman"/>
                      <w:szCs w:val="18"/>
                    </w:rPr>
                    <w:t>with:</w:t>
                  </w:r>
                </w:p>
                <w:p w:rsidR="00D27957" w:rsidRPr="00D27957" w:rsidRDefault="00472979" w:rsidP="00A85672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1800"/>
                    </w:tabs>
                    <w:ind w:left="180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Automatic meter reading systems (AMR)</w:t>
                  </w:r>
                  <w:r w:rsidR="00D27957">
                    <w:rPr>
                      <w:rFonts w:ascii="Times New Roman" w:hAnsi="Times New Roman"/>
                      <w:szCs w:val="18"/>
                    </w:rPr>
                    <w:t xml:space="preserve"> such as</w:t>
                  </w:r>
                  <w:r w:rsidRPr="00472979">
                    <w:rPr>
                      <w:rFonts w:ascii="Times New Roman" w:hAnsi="Times New Roman"/>
                      <w:szCs w:val="18"/>
                    </w:rPr>
                    <w:t>:</w:t>
                  </w:r>
                </w:p>
                <w:p w:rsidR="00D27957" w:rsidRPr="00D27957" w:rsidRDefault="00472979" w:rsidP="00A85672">
                  <w:pPr>
                    <w:numPr>
                      <w:ilvl w:val="3"/>
                      <w:numId w:val="3"/>
                    </w:numPr>
                    <w:tabs>
                      <w:tab w:val="clear" w:pos="2880"/>
                      <w:tab w:val="num" w:pos="2520"/>
                    </w:tabs>
                    <w:ind w:left="252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Advanced metering infrastructure (AMI)</w:t>
                  </w:r>
                </w:p>
                <w:p w:rsidR="00D27957" w:rsidRPr="00D27957" w:rsidRDefault="00472979" w:rsidP="00A85672">
                  <w:pPr>
                    <w:numPr>
                      <w:ilvl w:val="3"/>
                      <w:numId w:val="3"/>
                    </w:numPr>
                    <w:tabs>
                      <w:tab w:val="clear" w:pos="2880"/>
                      <w:tab w:val="num" w:pos="2520"/>
                    </w:tabs>
                    <w:ind w:left="252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Smart meters</w:t>
                  </w:r>
                </w:p>
                <w:p w:rsidR="00D27957" w:rsidRPr="00D27957" w:rsidRDefault="00472979" w:rsidP="00A85672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1800"/>
                    </w:tabs>
                    <w:ind w:left="180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Meters with built-in leak detection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Pressure reducing valves (PRVs)</w:t>
                  </w:r>
                </w:p>
                <w:p w:rsidR="00C941D0" w:rsidRDefault="00472979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spacing w:after="120"/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Internal plant water reuse (such as backwash water recycling)</w:t>
                  </w:r>
                </w:p>
                <w:p w:rsidR="00D27957" w:rsidRPr="00D27957" w:rsidRDefault="00472979" w:rsidP="00A85672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Energy Efficiency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Renewable energy generation which is part of a larger capital infrastructure project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Energy efficient retrofits and upgrades to pumping systems and treatment processes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Pump refurbishment to optimize pump efficiency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 xml:space="preserve">Projects that result from an energy efficiency related assessment (such as </w:t>
                  </w:r>
                  <w:r w:rsidR="00404268">
                    <w:rPr>
                      <w:rFonts w:ascii="Times New Roman" w:hAnsi="Times New Roman"/>
                      <w:szCs w:val="18"/>
                    </w:rPr>
                    <w:t xml:space="preserve">an </w:t>
                  </w:r>
                  <w:r w:rsidRPr="00472979">
                    <w:rPr>
                      <w:rFonts w:ascii="Times New Roman" w:hAnsi="Times New Roman"/>
                      <w:szCs w:val="18"/>
                    </w:rPr>
                    <w:t>energy audit, energy assessment stud</w:t>
                  </w:r>
                  <w:r w:rsidR="00404268">
                    <w:rPr>
                      <w:rFonts w:ascii="Times New Roman" w:hAnsi="Times New Roman"/>
                      <w:szCs w:val="18"/>
                    </w:rPr>
                    <w:t>y</w:t>
                  </w:r>
                  <w:r w:rsidRPr="00472979">
                    <w:rPr>
                      <w:rFonts w:ascii="Times New Roman" w:hAnsi="Times New Roman"/>
                      <w:szCs w:val="18"/>
                    </w:rPr>
                    <w:t>, etc)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Installation of variable frequency drives (VFDs)</w:t>
                  </w:r>
                </w:p>
                <w:p w:rsidR="00D27957" w:rsidRPr="00D27957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Automated and remote control systems (</w:t>
                  </w:r>
                  <w:r w:rsidR="00404268">
                    <w:rPr>
                      <w:rFonts w:ascii="Times New Roman" w:hAnsi="Times New Roman"/>
                      <w:szCs w:val="18"/>
                    </w:rPr>
                    <w:t xml:space="preserve">such as </w:t>
                  </w:r>
                  <w:r w:rsidRPr="00472979">
                    <w:rPr>
                      <w:rFonts w:ascii="Times New Roman" w:hAnsi="Times New Roman"/>
                      <w:szCs w:val="18"/>
                    </w:rPr>
                    <w:t>SCADA) that achieve substantial energy efficiency improvements</w:t>
                  </w:r>
                </w:p>
                <w:p w:rsidR="00C941D0" w:rsidRDefault="00472979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spacing w:after="120"/>
                    <w:ind w:left="108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Upgrade of lighting to energy efficient sources for security or as part of a larger project</w:t>
                  </w:r>
                </w:p>
                <w:p w:rsidR="00D27957" w:rsidRPr="00D27957" w:rsidRDefault="00472979" w:rsidP="00A85672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Times New Roman" w:hAnsi="Times New Roman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Environmentally Innovative Activities</w:t>
                  </w:r>
                </w:p>
                <w:p w:rsidR="00D27957" w:rsidRPr="007C7202" w:rsidRDefault="00472979" w:rsidP="00A85672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1080"/>
                    </w:tabs>
                    <w:ind w:left="1080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72979">
                    <w:rPr>
                      <w:rFonts w:ascii="Times New Roman" w:hAnsi="Times New Roman"/>
                      <w:szCs w:val="18"/>
                    </w:rPr>
                    <w:t>US Building Council LEED certified water system facilities that are part of an eligible DWSRF project</w:t>
                  </w:r>
                  <w:r w:rsidR="00D27957" w:rsidRPr="007C7202">
                    <w:rPr>
                      <w:rFonts w:ascii="Times New Roman" w:hAnsi="Times New Roman"/>
                      <w:sz w:val="20"/>
                      <w:szCs w:val="18"/>
                    </w:rPr>
                    <w:t xml:space="preserve">. </w:t>
                  </w:r>
                </w:p>
              </w:txbxContent>
            </v:textbox>
            <w10:wrap type="topAndBottom"/>
          </v:shape>
        </w:pict>
      </w:r>
      <w:r w:rsidR="00351C83" w:rsidRPr="003F4E65">
        <w:rPr>
          <w:rFonts w:ascii="Times New Roman" w:hAnsi="Times New Roman"/>
          <w:szCs w:val="22"/>
        </w:rPr>
        <w:t>A list of possible projects for each g</w:t>
      </w:r>
      <w:r w:rsidR="00AD49F8" w:rsidRPr="003F4E65">
        <w:rPr>
          <w:rFonts w:ascii="Times New Roman" w:hAnsi="Times New Roman"/>
          <w:szCs w:val="22"/>
        </w:rPr>
        <w:t xml:space="preserve">reen category is provided </w:t>
      </w:r>
      <w:r w:rsidR="003257DB" w:rsidRPr="003F4E65">
        <w:rPr>
          <w:rFonts w:ascii="Times New Roman" w:hAnsi="Times New Roman"/>
          <w:szCs w:val="22"/>
        </w:rPr>
        <w:t>in the table below</w:t>
      </w:r>
      <w:r w:rsidR="00AD49F8" w:rsidRPr="003F4E65">
        <w:rPr>
          <w:rFonts w:ascii="Times New Roman" w:hAnsi="Times New Roman"/>
          <w:szCs w:val="22"/>
        </w:rPr>
        <w:t xml:space="preserve">. </w:t>
      </w:r>
    </w:p>
    <w:p w:rsidR="00404268" w:rsidRDefault="00404268" w:rsidP="001663C2">
      <w:pPr>
        <w:rPr>
          <w:rFonts w:ascii="Times New Roman" w:hAnsi="Times New Roman"/>
          <w:sz w:val="20"/>
          <w:vertAlign w:val="superscript"/>
        </w:rPr>
      </w:pPr>
    </w:p>
    <w:p w:rsidR="004312EB" w:rsidRPr="00D27957" w:rsidRDefault="00472979" w:rsidP="001663C2">
      <w:pPr>
        <w:rPr>
          <w:rFonts w:ascii="Times New Roman" w:hAnsi="Times New Roman"/>
          <w:sz w:val="20"/>
        </w:rPr>
      </w:pPr>
      <w:r w:rsidRPr="00472979">
        <w:rPr>
          <w:rFonts w:ascii="Times New Roman" w:hAnsi="Times New Roman"/>
          <w:sz w:val="20"/>
          <w:vertAlign w:val="superscript"/>
        </w:rPr>
        <w:t>1</w:t>
      </w:r>
      <w:r w:rsidRPr="00472979">
        <w:rPr>
          <w:rFonts w:ascii="Times New Roman" w:hAnsi="Times New Roman"/>
          <w:sz w:val="20"/>
        </w:rPr>
        <w:t>Other types of green projects or components exist, but they are not included in the DWINSA.</w:t>
      </w:r>
    </w:p>
    <w:p w:rsidR="00C941D0" w:rsidRDefault="00472979">
      <w:pPr>
        <w:rPr>
          <w:rFonts w:ascii="Times New Roman" w:hAnsi="Times New Roman"/>
          <w:sz w:val="20"/>
        </w:rPr>
      </w:pPr>
      <w:r w:rsidRPr="00472979">
        <w:rPr>
          <w:rFonts w:ascii="Times New Roman" w:hAnsi="Times New Roman"/>
          <w:sz w:val="20"/>
          <w:vertAlign w:val="superscript"/>
        </w:rPr>
        <w:t>2</w:t>
      </w:r>
      <w:r w:rsidRPr="00472979">
        <w:rPr>
          <w:rFonts w:ascii="Times New Roman" w:hAnsi="Times New Roman"/>
          <w:sz w:val="20"/>
        </w:rPr>
        <w:t xml:space="preserve">Infrastructure </w:t>
      </w:r>
      <w:r w:rsidR="00404268">
        <w:rPr>
          <w:rFonts w:ascii="Times New Roman" w:hAnsi="Times New Roman"/>
          <w:sz w:val="20"/>
        </w:rPr>
        <w:t>v</w:t>
      </w:r>
      <w:r w:rsidRPr="00472979">
        <w:rPr>
          <w:rFonts w:ascii="Times New Roman" w:hAnsi="Times New Roman"/>
          <w:sz w:val="20"/>
        </w:rPr>
        <w:t>ulnerability projects such as higher</w:t>
      </w:r>
      <w:r w:rsidR="00D27957">
        <w:rPr>
          <w:rFonts w:ascii="Times New Roman" w:hAnsi="Times New Roman"/>
          <w:sz w:val="20"/>
        </w:rPr>
        <w:t xml:space="preserve"> </w:t>
      </w:r>
      <w:r w:rsidRPr="00472979">
        <w:rPr>
          <w:rFonts w:ascii="Times New Roman" w:hAnsi="Times New Roman"/>
          <w:sz w:val="20"/>
        </w:rPr>
        <w:t>sea walls to protect infrastructure from sea level rise</w:t>
      </w:r>
      <w:r w:rsidR="00404268">
        <w:rPr>
          <w:rFonts w:ascii="Times New Roman" w:hAnsi="Times New Roman"/>
          <w:sz w:val="20"/>
        </w:rPr>
        <w:t xml:space="preserve"> </w:t>
      </w:r>
      <w:r w:rsidRPr="00472979">
        <w:rPr>
          <w:rFonts w:ascii="Times New Roman" w:hAnsi="Times New Roman"/>
          <w:sz w:val="20"/>
        </w:rPr>
        <w:t>should be identified as climate readiness projects</w:t>
      </w:r>
      <w:r w:rsidR="00404268">
        <w:rPr>
          <w:rFonts w:ascii="Times New Roman" w:hAnsi="Times New Roman"/>
          <w:sz w:val="20"/>
        </w:rPr>
        <w:t xml:space="preserve"> and not green projects for the 2011 DWINSA</w:t>
      </w:r>
      <w:r w:rsidRPr="00472979">
        <w:rPr>
          <w:rFonts w:ascii="Times New Roman" w:hAnsi="Times New Roman"/>
          <w:sz w:val="20"/>
        </w:rPr>
        <w:t>.</w:t>
      </w:r>
    </w:p>
    <w:p w:rsidR="003E53B7" w:rsidRDefault="003E53B7" w:rsidP="001663C2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rPr>
          <w:rFonts w:ascii="Times New Roman" w:hAnsi="Times New Roman"/>
          <w:szCs w:val="22"/>
        </w:rPr>
      </w:pPr>
    </w:p>
    <w:p w:rsidR="00D27957" w:rsidRPr="00AD49F8" w:rsidRDefault="00D27957" w:rsidP="001663C2">
      <w:pPr>
        <w:tabs>
          <w:tab w:val="center" w:pos="7200"/>
          <w:tab w:val="center" w:pos="7920"/>
          <w:tab w:val="right" w:pos="12870"/>
          <w:tab w:val="right" w:pos="13230"/>
          <w:tab w:val="right" w:pos="14670"/>
        </w:tabs>
        <w:spacing w:after="240"/>
        <w:rPr>
          <w:rFonts w:ascii="Times New Roman" w:hAnsi="Times New Roman"/>
          <w:szCs w:val="22"/>
        </w:rPr>
      </w:pPr>
      <w:r w:rsidRPr="00AD49F8">
        <w:rPr>
          <w:rFonts w:ascii="Times New Roman" w:hAnsi="Times New Roman"/>
        </w:rPr>
        <w:t xml:space="preserve">The green data captured during the 2011 DWINSA will be included in the Report to Congress </w:t>
      </w:r>
      <w:r>
        <w:rPr>
          <w:rFonts w:ascii="Times New Roman" w:hAnsi="Times New Roman"/>
        </w:rPr>
        <w:t>as</w:t>
      </w:r>
      <w:r w:rsidRPr="00AD49F8">
        <w:rPr>
          <w:rFonts w:ascii="Times New Roman" w:hAnsi="Times New Roman"/>
        </w:rPr>
        <w:t xml:space="preserve"> </w:t>
      </w:r>
      <w:r w:rsidR="00841635">
        <w:rPr>
          <w:rFonts w:ascii="Times New Roman" w:hAnsi="Times New Roman"/>
        </w:rPr>
        <w:t xml:space="preserve">an estimate of </w:t>
      </w:r>
      <w:r w:rsidRPr="00AD49F8">
        <w:rPr>
          <w:rFonts w:ascii="Times New Roman" w:hAnsi="Times New Roman"/>
        </w:rPr>
        <w:t>the number of projects</w:t>
      </w:r>
      <w:r w:rsidRPr="002D6E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 the national level t</w:t>
      </w:r>
      <w:r w:rsidRPr="00AD49F8">
        <w:rPr>
          <w:rFonts w:ascii="Times New Roman" w:hAnsi="Times New Roman"/>
        </w:rPr>
        <w:t xml:space="preserve">hat </w:t>
      </w:r>
      <w:r w:rsidR="00841635">
        <w:rPr>
          <w:rFonts w:ascii="Times New Roman" w:hAnsi="Times New Roman"/>
        </w:rPr>
        <w:t xml:space="preserve">may </w:t>
      </w:r>
      <w:r w:rsidRPr="00AD49F8">
        <w:rPr>
          <w:rFonts w:ascii="Times New Roman" w:hAnsi="Times New Roman"/>
        </w:rPr>
        <w:t xml:space="preserve">contain </w:t>
      </w:r>
      <w:r>
        <w:rPr>
          <w:rFonts w:ascii="Times New Roman" w:hAnsi="Times New Roman"/>
        </w:rPr>
        <w:t xml:space="preserve">a </w:t>
      </w:r>
      <w:r w:rsidRPr="00AD49F8">
        <w:rPr>
          <w:rFonts w:ascii="Times New Roman" w:hAnsi="Times New Roman"/>
        </w:rPr>
        <w:t xml:space="preserve">green </w:t>
      </w:r>
      <w:r w:rsidR="00404268">
        <w:rPr>
          <w:rFonts w:ascii="Times New Roman" w:hAnsi="Times New Roman"/>
        </w:rPr>
        <w:t>component and the</w:t>
      </w:r>
      <w:r>
        <w:rPr>
          <w:rFonts w:ascii="Times New Roman" w:hAnsi="Times New Roman"/>
        </w:rPr>
        <w:t xml:space="preserve"> type of green category that applies</w:t>
      </w:r>
      <w:r w:rsidRPr="00AD49F8">
        <w:rPr>
          <w:rFonts w:ascii="Times New Roman" w:hAnsi="Times New Roman"/>
        </w:rPr>
        <w:t xml:space="preserve">. The green infrastructure contribution to the national need will not be </w:t>
      </w:r>
      <w:r>
        <w:rPr>
          <w:rFonts w:ascii="Times New Roman" w:hAnsi="Times New Roman"/>
        </w:rPr>
        <w:t>determined</w:t>
      </w:r>
      <w:r w:rsidRPr="00AD49F8">
        <w:rPr>
          <w:rFonts w:ascii="Times New Roman" w:hAnsi="Times New Roman"/>
        </w:rPr>
        <w:t xml:space="preserve">. </w:t>
      </w:r>
    </w:p>
    <w:sectPr w:rsidR="00D27957" w:rsidRPr="00AD49F8" w:rsidSect="00A90275">
      <w:headerReference w:type="even" r:id="rId8"/>
      <w:footerReference w:type="default" r:id="rId9"/>
      <w:headerReference w:type="first" r:id="rId10"/>
      <w:type w:val="continuous"/>
      <w:pgSz w:w="12240" w:h="15840" w:code="1"/>
      <w:pgMar w:top="720" w:right="1152" w:bottom="720" w:left="1152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B0" w:rsidRDefault="004107B0">
      <w:r>
        <w:separator/>
      </w:r>
    </w:p>
  </w:endnote>
  <w:endnote w:type="continuationSeparator" w:id="1">
    <w:p w:rsidR="004107B0" w:rsidRDefault="0041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7" w:rsidRPr="0001295F" w:rsidRDefault="00D27957" w:rsidP="00BA4164">
    <w:pPr>
      <w:pStyle w:val="Footer"/>
      <w:tabs>
        <w:tab w:val="clear" w:pos="4320"/>
        <w:tab w:val="clear" w:pos="8640"/>
        <w:tab w:val="center" w:pos="5040"/>
        <w:tab w:val="left" w:pos="7920"/>
      </w:tabs>
      <w:rPr>
        <w:sz w:val="20"/>
      </w:rPr>
    </w:pPr>
    <w:r>
      <w:rPr>
        <w:sz w:val="20"/>
      </w:rPr>
      <w:tab/>
    </w:r>
    <w:r w:rsidR="00AE6881" w:rsidRPr="0001295F">
      <w:rPr>
        <w:rFonts w:ascii="Times New Roman" w:hAnsi="Times New Roman"/>
        <w:sz w:val="20"/>
      </w:rPr>
      <w:fldChar w:fldCharType="begin"/>
    </w:r>
    <w:r w:rsidRPr="0001295F">
      <w:rPr>
        <w:rFonts w:ascii="Times New Roman" w:hAnsi="Times New Roman"/>
        <w:sz w:val="20"/>
      </w:rPr>
      <w:instrText xml:space="preserve"> PAGE   \* MERGEFORMAT </w:instrText>
    </w:r>
    <w:r w:rsidR="00AE6881" w:rsidRPr="0001295F">
      <w:rPr>
        <w:rFonts w:ascii="Times New Roman" w:hAnsi="Times New Roman"/>
        <w:sz w:val="20"/>
      </w:rPr>
      <w:fldChar w:fldCharType="separate"/>
    </w:r>
    <w:r w:rsidR="003821C0">
      <w:rPr>
        <w:rFonts w:ascii="Times New Roman" w:hAnsi="Times New Roman"/>
        <w:noProof/>
        <w:sz w:val="20"/>
      </w:rPr>
      <w:t>1</w:t>
    </w:r>
    <w:r w:rsidR="00AE6881" w:rsidRPr="0001295F"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ab/>
      <w:t>November 17</w:t>
    </w:r>
    <w:r w:rsidRPr="0001295F">
      <w:rPr>
        <w:rFonts w:ascii="Times New Roman" w:hAnsi="Times New Roman"/>
        <w:sz w:val="20"/>
      </w:rPr>
      <w:t>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B0" w:rsidRDefault="004107B0">
      <w:r>
        <w:separator/>
      </w:r>
    </w:p>
  </w:footnote>
  <w:footnote w:type="continuationSeparator" w:id="1">
    <w:p w:rsidR="004107B0" w:rsidRDefault="0041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7" w:rsidRDefault="00AE68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58972" o:spid="_x0000_s2050" type="#_x0000_t136" style="position:absolute;margin-left:0;margin-top:0;width:543.8pt;height:217.5pt;rotation:315;z-index:-251656704;mso-position-horizontal:center;mso-position-horizontal-relative:margin;mso-position-vertical:center;mso-position-vertical-relative:margin" o:allowincell="f" fillcolor="#b2b2b2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7" w:rsidRDefault="00AE68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58971" o:spid="_x0000_s2049" type="#_x0000_t136" style="position:absolute;margin-left:0;margin-top:0;width:543.8pt;height:217.5pt;rotation:315;z-index:-251657728;mso-position-horizontal:center;mso-position-horizontal-relative:margin;mso-position-vertical:center;mso-position-vertical-relative:margin" o:allowincell="f" fillcolor="#b2b2b2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7D9"/>
    <w:multiLevelType w:val="hybridMultilevel"/>
    <w:tmpl w:val="7A72F9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A367C"/>
    <w:multiLevelType w:val="hybridMultilevel"/>
    <w:tmpl w:val="E18C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0288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36E53DDA"/>
    <w:multiLevelType w:val="hybridMultilevel"/>
    <w:tmpl w:val="C3DC596E"/>
    <w:lvl w:ilvl="0" w:tplc="09C2B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F7805"/>
    <w:multiLevelType w:val="hybridMultilevel"/>
    <w:tmpl w:val="D3EC82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980D2A"/>
    <w:multiLevelType w:val="multilevel"/>
    <w:tmpl w:val="8DAA5B76"/>
    <w:styleLink w:val="InstructionBullet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 fillcolor="white">
      <v:fill color="white"/>
      <o:colormru v:ext="edit" colors="#b2b2b2,silver,#dd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2098"/>
    <w:rsid w:val="00002CB2"/>
    <w:rsid w:val="000033C1"/>
    <w:rsid w:val="00003780"/>
    <w:rsid w:val="00003E0A"/>
    <w:rsid w:val="00004AA8"/>
    <w:rsid w:val="0000656A"/>
    <w:rsid w:val="0001295F"/>
    <w:rsid w:val="000234E6"/>
    <w:rsid w:val="00030CE2"/>
    <w:rsid w:val="000363F4"/>
    <w:rsid w:val="00036E26"/>
    <w:rsid w:val="0005480E"/>
    <w:rsid w:val="00054CD3"/>
    <w:rsid w:val="000627A4"/>
    <w:rsid w:val="000701DE"/>
    <w:rsid w:val="0007179F"/>
    <w:rsid w:val="000734CF"/>
    <w:rsid w:val="00074652"/>
    <w:rsid w:val="00074D1E"/>
    <w:rsid w:val="00094650"/>
    <w:rsid w:val="000951B4"/>
    <w:rsid w:val="00097D44"/>
    <w:rsid w:val="000A0D0A"/>
    <w:rsid w:val="000A33B1"/>
    <w:rsid w:val="000A4928"/>
    <w:rsid w:val="000B0072"/>
    <w:rsid w:val="000B6D4E"/>
    <w:rsid w:val="000C1CE9"/>
    <w:rsid w:val="000D22DE"/>
    <w:rsid w:val="000E0644"/>
    <w:rsid w:val="000E6F3A"/>
    <w:rsid w:val="000F21C1"/>
    <w:rsid w:val="000F585F"/>
    <w:rsid w:val="00101906"/>
    <w:rsid w:val="00101943"/>
    <w:rsid w:val="00105E2D"/>
    <w:rsid w:val="001076C7"/>
    <w:rsid w:val="00111A92"/>
    <w:rsid w:val="00112DB7"/>
    <w:rsid w:val="00121766"/>
    <w:rsid w:val="00125407"/>
    <w:rsid w:val="00125D41"/>
    <w:rsid w:val="001438BB"/>
    <w:rsid w:val="001452D1"/>
    <w:rsid w:val="0015154B"/>
    <w:rsid w:val="001558D7"/>
    <w:rsid w:val="00156871"/>
    <w:rsid w:val="00157328"/>
    <w:rsid w:val="0016501E"/>
    <w:rsid w:val="001663C2"/>
    <w:rsid w:val="00193488"/>
    <w:rsid w:val="00195F3A"/>
    <w:rsid w:val="00197174"/>
    <w:rsid w:val="001A1A86"/>
    <w:rsid w:val="001B40DE"/>
    <w:rsid w:val="001B4FD7"/>
    <w:rsid w:val="001C4203"/>
    <w:rsid w:val="001C571C"/>
    <w:rsid w:val="001E7DEE"/>
    <w:rsid w:val="001F5AFB"/>
    <w:rsid w:val="00200546"/>
    <w:rsid w:val="00200987"/>
    <w:rsid w:val="002049C1"/>
    <w:rsid w:val="00207668"/>
    <w:rsid w:val="0021399E"/>
    <w:rsid w:val="002234E4"/>
    <w:rsid w:val="00227358"/>
    <w:rsid w:val="0022768A"/>
    <w:rsid w:val="00231180"/>
    <w:rsid w:val="00240479"/>
    <w:rsid w:val="0024727B"/>
    <w:rsid w:val="002521B6"/>
    <w:rsid w:val="0025510F"/>
    <w:rsid w:val="0026053B"/>
    <w:rsid w:val="00264FB3"/>
    <w:rsid w:val="00275BA1"/>
    <w:rsid w:val="00286129"/>
    <w:rsid w:val="00297214"/>
    <w:rsid w:val="0029732E"/>
    <w:rsid w:val="00297EB6"/>
    <w:rsid w:val="002A13A2"/>
    <w:rsid w:val="002D6E86"/>
    <w:rsid w:val="002E1A70"/>
    <w:rsid w:val="002E7704"/>
    <w:rsid w:val="002F03E8"/>
    <w:rsid w:val="00301A3B"/>
    <w:rsid w:val="0030747A"/>
    <w:rsid w:val="00307A48"/>
    <w:rsid w:val="00313662"/>
    <w:rsid w:val="0031409D"/>
    <w:rsid w:val="00315E84"/>
    <w:rsid w:val="00316189"/>
    <w:rsid w:val="003174DF"/>
    <w:rsid w:val="003240CF"/>
    <w:rsid w:val="003257DB"/>
    <w:rsid w:val="00326AE4"/>
    <w:rsid w:val="00327F1B"/>
    <w:rsid w:val="003322F3"/>
    <w:rsid w:val="003401E3"/>
    <w:rsid w:val="00340C9E"/>
    <w:rsid w:val="00351C83"/>
    <w:rsid w:val="003557DA"/>
    <w:rsid w:val="00360531"/>
    <w:rsid w:val="003610F7"/>
    <w:rsid w:val="0036126B"/>
    <w:rsid w:val="00371DC0"/>
    <w:rsid w:val="003821C0"/>
    <w:rsid w:val="003838EF"/>
    <w:rsid w:val="00391F00"/>
    <w:rsid w:val="003C3799"/>
    <w:rsid w:val="003D044F"/>
    <w:rsid w:val="003D2D43"/>
    <w:rsid w:val="003E2394"/>
    <w:rsid w:val="003E53B7"/>
    <w:rsid w:val="003F035F"/>
    <w:rsid w:val="003F289A"/>
    <w:rsid w:val="003F4E65"/>
    <w:rsid w:val="003F5B51"/>
    <w:rsid w:val="003F645D"/>
    <w:rsid w:val="00402EAD"/>
    <w:rsid w:val="00404268"/>
    <w:rsid w:val="00404DAA"/>
    <w:rsid w:val="004053C3"/>
    <w:rsid w:val="004107B0"/>
    <w:rsid w:val="00411A32"/>
    <w:rsid w:val="00412C2E"/>
    <w:rsid w:val="00422274"/>
    <w:rsid w:val="00427376"/>
    <w:rsid w:val="00430F71"/>
    <w:rsid w:val="004312EB"/>
    <w:rsid w:val="00446E65"/>
    <w:rsid w:val="0045486F"/>
    <w:rsid w:val="00454AC7"/>
    <w:rsid w:val="00454BC4"/>
    <w:rsid w:val="004571BE"/>
    <w:rsid w:val="00461D3C"/>
    <w:rsid w:val="00462A20"/>
    <w:rsid w:val="004651C6"/>
    <w:rsid w:val="00466CF2"/>
    <w:rsid w:val="00470AFD"/>
    <w:rsid w:val="00472979"/>
    <w:rsid w:val="004750FF"/>
    <w:rsid w:val="0049633F"/>
    <w:rsid w:val="004A1937"/>
    <w:rsid w:val="004A3B57"/>
    <w:rsid w:val="004A41E8"/>
    <w:rsid w:val="004A4F6D"/>
    <w:rsid w:val="004C7F3A"/>
    <w:rsid w:val="004F2EBE"/>
    <w:rsid w:val="004F6FA6"/>
    <w:rsid w:val="00503831"/>
    <w:rsid w:val="00505B53"/>
    <w:rsid w:val="00521BA0"/>
    <w:rsid w:val="00524B71"/>
    <w:rsid w:val="00526469"/>
    <w:rsid w:val="00532CC3"/>
    <w:rsid w:val="0053769F"/>
    <w:rsid w:val="00540E7B"/>
    <w:rsid w:val="00543F65"/>
    <w:rsid w:val="005443B6"/>
    <w:rsid w:val="00550D64"/>
    <w:rsid w:val="005526F1"/>
    <w:rsid w:val="005542CC"/>
    <w:rsid w:val="00557E39"/>
    <w:rsid w:val="00566748"/>
    <w:rsid w:val="005712F1"/>
    <w:rsid w:val="00574B5D"/>
    <w:rsid w:val="00577F8B"/>
    <w:rsid w:val="005902C8"/>
    <w:rsid w:val="00590B28"/>
    <w:rsid w:val="005A2894"/>
    <w:rsid w:val="005B1254"/>
    <w:rsid w:val="005B13F3"/>
    <w:rsid w:val="005B277E"/>
    <w:rsid w:val="005B3399"/>
    <w:rsid w:val="005C6093"/>
    <w:rsid w:val="005D1F7C"/>
    <w:rsid w:val="005D53B3"/>
    <w:rsid w:val="005E3638"/>
    <w:rsid w:val="005F041B"/>
    <w:rsid w:val="006113BC"/>
    <w:rsid w:val="006162BB"/>
    <w:rsid w:val="00620CC6"/>
    <w:rsid w:val="006406D5"/>
    <w:rsid w:val="00647E31"/>
    <w:rsid w:val="006543F0"/>
    <w:rsid w:val="00670E1D"/>
    <w:rsid w:val="00671AF7"/>
    <w:rsid w:val="006725FE"/>
    <w:rsid w:val="006B118F"/>
    <w:rsid w:val="006B1F86"/>
    <w:rsid w:val="006C068D"/>
    <w:rsid w:val="006C38AE"/>
    <w:rsid w:val="006C6712"/>
    <w:rsid w:val="006D0D2B"/>
    <w:rsid w:val="006E32F9"/>
    <w:rsid w:val="006E5CB1"/>
    <w:rsid w:val="006E754B"/>
    <w:rsid w:val="006F1EC0"/>
    <w:rsid w:val="006F535E"/>
    <w:rsid w:val="006F5B4C"/>
    <w:rsid w:val="00712098"/>
    <w:rsid w:val="00716AF1"/>
    <w:rsid w:val="00721B96"/>
    <w:rsid w:val="007400FE"/>
    <w:rsid w:val="00741AE5"/>
    <w:rsid w:val="00742F5A"/>
    <w:rsid w:val="00744C1A"/>
    <w:rsid w:val="0074733A"/>
    <w:rsid w:val="00750173"/>
    <w:rsid w:val="00757861"/>
    <w:rsid w:val="00766664"/>
    <w:rsid w:val="00770F66"/>
    <w:rsid w:val="00785D66"/>
    <w:rsid w:val="007937DB"/>
    <w:rsid w:val="007953A8"/>
    <w:rsid w:val="007A2EE2"/>
    <w:rsid w:val="007A57FF"/>
    <w:rsid w:val="007A6F85"/>
    <w:rsid w:val="007B0D2F"/>
    <w:rsid w:val="007C41DD"/>
    <w:rsid w:val="007C7202"/>
    <w:rsid w:val="007D48F3"/>
    <w:rsid w:val="007E33B0"/>
    <w:rsid w:val="007E617E"/>
    <w:rsid w:val="007F4056"/>
    <w:rsid w:val="007F5D95"/>
    <w:rsid w:val="008077D0"/>
    <w:rsid w:val="008129A5"/>
    <w:rsid w:val="00823C02"/>
    <w:rsid w:val="00827376"/>
    <w:rsid w:val="00841240"/>
    <w:rsid w:val="00841635"/>
    <w:rsid w:val="00850F4E"/>
    <w:rsid w:val="00852210"/>
    <w:rsid w:val="00854650"/>
    <w:rsid w:val="00861086"/>
    <w:rsid w:val="0087063C"/>
    <w:rsid w:val="00880195"/>
    <w:rsid w:val="00880B27"/>
    <w:rsid w:val="00886A0C"/>
    <w:rsid w:val="008A3324"/>
    <w:rsid w:val="008A6812"/>
    <w:rsid w:val="008B4A39"/>
    <w:rsid w:val="008D3358"/>
    <w:rsid w:val="008E2091"/>
    <w:rsid w:val="008F7FE2"/>
    <w:rsid w:val="0090021B"/>
    <w:rsid w:val="0090028A"/>
    <w:rsid w:val="00901AFF"/>
    <w:rsid w:val="009039CC"/>
    <w:rsid w:val="0090610D"/>
    <w:rsid w:val="0090756B"/>
    <w:rsid w:val="009107BF"/>
    <w:rsid w:val="00912174"/>
    <w:rsid w:val="009355FA"/>
    <w:rsid w:val="00942F89"/>
    <w:rsid w:val="00945980"/>
    <w:rsid w:val="009468CB"/>
    <w:rsid w:val="00962C50"/>
    <w:rsid w:val="00963590"/>
    <w:rsid w:val="009644A2"/>
    <w:rsid w:val="00974725"/>
    <w:rsid w:val="00984B7B"/>
    <w:rsid w:val="0098622C"/>
    <w:rsid w:val="009930AD"/>
    <w:rsid w:val="009A5FB5"/>
    <w:rsid w:val="009B3497"/>
    <w:rsid w:val="009C2BB3"/>
    <w:rsid w:val="009C3D25"/>
    <w:rsid w:val="009C4D6D"/>
    <w:rsid w:val="009F15AA"/>
    <w:rsid w:val="009F4839"/>
    <w:rsid w:val="009F7837"/>
    <w:rsid w:val="00A20260"/>
    <w:rsid w:val="00A20CC6"/>
    <w:rsid w:val="00A253D7"/>
    <w:rsid w:val="00A25C8B"/>
    <w:rsid w:val="00A27378"/>
    <w:rsid w:val="00A27D4F"/>
    <w:rsid w:val="00A27EFA"/>
    <w:rsid w:val="00A30374"/>
    <w:rsid w:val="00A33630"/>
    <w:rsid w:val="00A36B96"/>
    <w:rsid w:val="00A404F5"/>
    <w:rsid w:val="00A42918"/>
    <w:rsid w:val="00A51A73"/>
    <w:rsid w:val="00A57E72"/>
    <w:rsid w:val="00A62722"/>
    <w:rsid w:val="00A628D2"/>
    <w:rsid w:val="00A7440A"/>
    <w:rsid w:val="00A85672"/>
    <w:rsid w:val="00A8617A"/>
    <w:rsid w:val="00A867FE"/>
    <w:rsid w:val="00A872CA"/>
    <w:rsid w:val="00A90275"/>
    <w:rsid w:val="00A9600A"/>
    <w:rsid w:val="00AA748E"/>
    <w:rsid w:val="00AB087D"/>
    <w:rsid w:val="00AB21B8"/>
    <w:rsid w:val="00AB2299"/>
    <w:rsid w:val="00AB6D95"/>
    <w:rsid w:val="00AC5A8A"/>
    <w:rsid w:val="00AD49F8"/>
    <w:rsid w:val="00AD4C82"/>
    <w:rsid w:val="00AE328A"/>
    <w:rsid w:val="00AE53CA"/>
    <w:rsid w:val="00AE6881"/>
    <w:rsid w:val="00AF352E"/>
    <w:rsid w:val="00AF78B3"/>
    <w:rsid w:val="00B03286"/>
    <w:rsid w:val="00B037BC"/>
    <w:rsid w:val="00B04DBE"/>
    <w:rsid w:val="00B0738B"/>
    <w:rsid w:val="00B160A4"/>
    <w:rsid w:val="00B21AD9"/>
    <w:rsid w:val="00B44EF8"/>
    <w:rsid w:val="00B45885"/>
    <w:rsid w:val="00B47C0F"/>
    <w:rsid w:val="00B5532F"/>
    <w:rsid w:val="00B57B1B"/>
    <w:rsid w:val="00B76F53"/>
    <w:rsid w:val="00B9215C"/>
    <w:rsid w:val="00BA4164"/>
    <w:rsid w:val="00BA61D9"/>
    <w:rsid w:val="00BA7F7A"/>
    <w:rsid w:val="00BB216D"/>
    <w:rsid w:val="00BB52A2"/>
    <w:rsid w:val="00BC191B"/>
    <w:rsid w:val="00BC54D9"/>
    <w:rsid w:val="00BC7D63"/>
    <w:rsid w:val="00BD076F"/>
    <w:rsid w:val="00BD3AA4"/>
    <w:rsid w:val="00BD5828"/>
    <w:rsid w:val="00BE590E"/>
    <w:rsid w:val="00BE6E89"/>
    <w:rsid w:val="00BF11EC"/>
    <w:rsid w:val="00BF164A"/>
    <w:rsid w:val="00BF341A"/>
    <w:rsid w:val="00C01046"/>
    <w:rsid w:val="00C11BCB"/>
    <w:rsid w:val="00C12CF9"/>
    <w:rsid w:val="00C134B1"/>
    <w:rsid w:val="00C139E2"/>
    <w:rsid w:val="00C176F5"/>
    <w:rsid w:val="00C20CAD"/>
    <w:rsid w:val="00C32E78"/>
    <w:rsid w:val="00C40B7D"/>
    <w:rsid w:val="00C42362"/>
    <w:rsid w:val="00C534EB"/>
    <w:rsid w:val="00C633D2"/>
    <w:rsid w:val="00C65B48"/>
    <w:rsid w:val="00C666CA"/>
    <w:rsid w:val="00C76CB4"/>
    <w:rsid w:val="00C920ED"/>
    <w:rsid w:val="00C941D0"/>
    <w:rsid w:val="00C95936"/>
    <w:rsid w:val="00C96D98"/>
    <w:rsid w:val="00CA1EAB"/>
    <w:rsid w:val="00CB23A2"/>
    <w:rsid w:val="00CB2C95"/>
    <w:rsid w:val="00CD003F"/>
    <w:rsid w:val="00CD405B"/>
    <w:rsid w:val="00CD6A66"/>
    <w:rsid w:val="00D0182B"/>
    <w:rsid w:val="00D14914"/>
    <w:rsid w:val="00D14C35"/>
    <w:rsid w:val="00D229BC"/>
    <w:rsid w:val="00D27957"/>
    <w:rsid w:val="00D31164"/>
    <w:rsid w:val="00D37E4C"/>
    <w:rsid w:val="00D45A4B"/>
    <w:rsid w:val="00D57BDF"/>
    <w:rsid w:val="00D61237"/>
    <w:rsid w:val="00D63777"/>
    <w:rsid w:val="00D64381"/>
    <w:rsid w:val="00D841D5"/>
    <w:rsid w:val="00DA0792"/>
    <w:rsid w:val="00DC49EF"/>
    <w:rsid w:val="00DD2A1B"/>
    <w:rsid w:val="00DE4A4F"/>
    <w:rsid w:val="00DE75DD"/>
    <w:rsid w:val="00DF0AA1"/>
    <w:rsid w:val="00DF4ABE"/>
    <w:rsid w:val="00DF63CE"/>
    <w:rsid w:val="00E04B6A"/>
    <w:rsid w:val="00E135BB"/>
    <w:rsid w:val="00E14F05"/>
    <w:rsid w:val="00E1616B"/>
    <w:rsid w:val="00E27956"/>
    <w:rsid w:val="00E3145D"/>
    <w:rsid w:val="00E3662A"/>
    <w:rsid w:val="00E36A53"/>
    <w:rsid w:val="00E47306"/>
    <w:rsid w:val="00E52D7E"/>
    <w:rsid w:val="00E6456A"/>
    <w:rsid w:val="00E6625D"/>
    <w:rsid w:val="00E740DD"/>
    <w:rsid w:val="00E744F6"/>
    <w:rsid w:val="00E745AD"/>
    <w:rsid w:val="00E816ED"/>
    <w:rsid w:val="00E87C4C"/>
    <w:rsid w:val="00E90E7D"/>
    <w:rsid w:val="00E9585E"/>
    <w:rsid w:val="00EB0AF2"/>
    <w:rsid w:val="00EC37A6"/>
    <w:rsid w:val="00ED0EFC"/>
    <w:rsid w:val="00ED19A9"/>
    <w:rsid w:val="00ED216B"/>
    <w:rsid w:val="00EF579C"/>
    <w:rsid w:val="00EF57E5"/>
    <w:rsid w:val="00EF7665"/>
    <w:rsid w:val="00F004AB"/>
    <w:rsid w:val="00F11213"/>
    <w:rsid w:val="00F12299"/>
    <w:rsid w:val="00F13E12"/>
    <w:rsid w:val="00F215D7"/>
    <w:rsid w:val="00F23B40"/>
    <w:rsid w:val="00F31843"/>
    <w:rsid w:val="00F32486"/>
    <w:rsid w:val="00F34B18"/>
    <w:rsid w:val="00F34B47"/>
    <w:rsid w:val="00F42251"/>
    <w:rsid w:val="00F45708"/>
    <w:rsid w:val="00F54AE4"/>
    <w:rsid w:val="00F62263"/>
    <w:rsid w:val="00F64B3E"/>
    <w:rsid w:val="00F65DCB"/>
    <w:rsid w:val="00F6629F"/>
    <w:rsid w:val="00F6753D"/>
    <w:rsid w:val="00F67CDF"/>
    <w:rsid w:val="00F7199E"/>
    <w:rsid w:val="00F8090D"/>
    <w:rsid w:val="00F85362"/>
    <w:rsid w:val="00F92C03"/>
    <w:rsid w:val="00F93E87"/>
    <w:rsid w:val="00F976DB"/>
    <w:rsid w:val="00FA2250"/>
    <w:rsid w:val="00FA59B5"/>
    <w:rsid w:val="00FB73B2"/>
    <w:rsid w:val="00FD0AD7"/>
    <w:rsid w:val="00FD1617"/>
    <w:rsid w:val="00FD3558"/>
    <w:rsid w:val="00FD7F0F"/>
    <w:rsid w:val="00FF4F56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o:colormru v:ext="edit" colors="#b2b2b2,silver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8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A748E"/>
    <w:pPr>
      <w:numPr>
        <w:numId w:val="2"/>
      </w:numPr>
      <w:tabs>
        <w:tab w:val="center" w:pos="7470"/>
      </w:tabs>
      <w:jc w:val="center"/>
      <w:outlineLvl w:val="0"/>
    </w:pPr>
    <w:rPr>
      <w:rFonts w:ascii="Times New Roman" w:hAnsi="Times New Roman"/>
      <w:b/>
      <w:bCs/>
      <w:i/>
      <w:iCs/>
      <w:sz w:val="40"/>
      <w:szCs w:val="40"/>
    </w:rPr>
  </w:style>
  <w:style w:type="paragraph" w:styleId="Heading2">
    <w:name w:val="heading 2"/>
    <w:basedOn w:val="Normal"/>
    <w:next w:val="Normal"/>
    <w:qFormat/>
    <w:rsid w:val="005B277E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6CB4"/>
    <w:pPr>
      <w:framePr w:wrap="around" w:vAnchor="text" w:hAnchor="text" w:y="1"/>
      <w:autoSpaceDE w:val="0"/>
      <w:autoSpaceDN w:val="0"/>
      <w:adjustRightInd w:val="0"/>
    </w:pPr>
    <w:rPr>
      <w:rFonts w:ascii="Arial" w:hAnsi="Arial"/>
      <w:sz w:val="22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</w:style>
  <w:style w:type="numbering" w:customStyle="1" w:styleId="InstructionBullet">
    <w:name w:val="Instruction Bullet"/>
    <w:basedOn w:val="NoList"/>
    <w:rsid w:val="00197174"/>
    <w:pPr>
      <w:numPr>
        <w:numId w:val="1"/>
      </w:numPr>
    </w:pPr>
  </w:style>
  <w:style w:type="character" w:styleId="Hyperlink">
    <w:name w:val="Hyperlink"/>
    <w:basedOn w:val="DefaultParagraphFont"/>
    <w:rsid w:val="00C76CB4"/>
    <w:rPr>
      <w:color w:val="0000FF"/>
      <w:u w:val="single"/>
    </w:rPr>
  </w:style>
  <w:style w:type="character" w:styleId="FollowedHyperlink">
    <w:name w:val="FollowedHyperlink"/>
    <w:basedOn w:val="DefaultParagraphFont"/>
    <w:rsid w:val="00C76CB4"/>
    <w:rPr>
      <w:color w:val="800080"/>
      <w:u w:val="single"/>
    </w:rPr>
  </w:style>
  <w:style w:type="paragraph" w:styleId="DocumentMap">
    <w:name w:val="Document Map"/>
    <w:basedOn w:val="Normal"/>
    <w:semiHidden/>
    <w:rsid w:val="00984B7B"/>
    <w:pPr>
      <w:shd w:val="clear" w:color="auto" w:fill="000080"/>
    </w:pPr>
    <w:rPr>
      <w:rFonts w:ascii="Tahoma" w:hAnsi="Tahoma" w:cs="Tahoma"/>
    </w:rPr>
  </w:style>
  <w:style w:type="paragraph" w:customStyle="1" w:styleId="Textbox">
    <w:name w:val="Text box"/>
    <w:basedOn w:val="Normal"/>
    <w:rsid w:val="00CB2C95"/>
    <w:rPr>
      <w:rFonts w:ascii="Times New Roman" w:hAnsi="Times New Roman"/>
      <w:sz w:val="24"/>
    </w:rPr>
  </w:style>
  <w:style w:type="character" w:styleId="FootnoteReference">
    <w:name w:val="footnote reference"/>
    <w:semiHidden/>
    <w:rsid w:val="005443B6"/>
  </w:style>
  <w:style w:type="paragraph" w:customStyle="1" w:styleId="Bullet">
    <w:name w:val="Bullet"/>
    <w:basedOn w:val="Normal"/>
    <w:rsid w:val="005443B6"/>
    <w:pPr>
      <w:framePr w:wrap="around" w:vAnchor="text" w:hAnchor="text" w:y="1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87"/>
      <w:ind w:left="360" w:hanging="360"/>
    </w:pPr>
    <w:rPr>
      <w:rFonts w:ascii="Times New Roman" w:hAnsi="Times New Roman"/>
      <w:szCs w:val="22"/>
    </w:rPr>
  </w:style>
  <w:style w:type="paragraph" w:customStyle="1" w:styleId="Dash">
    <w:name w:val="Dash"/>
    <w:basedOn w:val="Normal"/>
    <w:rsid w:val="005443B6"/>
    <w:pPr>
      <w:framePr w:wrap="around" w:vAnchor="text" w:hAnchor="text" w:y="1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55"/>
      <w:ind w:left="720" w:hanging="360"/>
    </w:pPr>
    <w:rPr>
      <w:rFonts w:ascii="Times New Roman" w:hAnsi="Times New Roman"/>
      <w:szCs w:val="22"/>
    </w:rPr>
  </w:style>
  <w:style w:type="character" w:customStyle="1" w:styleId="Hypertext">
    <w:name w:val="Hypertext"/>
    <w:rsid w:val="005443B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F4A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4ABE"/>
  </w:style>
  <w:style w:type="paragraph" w:styleId="Header">
    <w:name w:val="header"/>
    <w:basedOn w:val="Normal"/>
    <w:rsid w:val="00DF4A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1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2F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2F1"/>
    <w:rPr>
      <w:b/>
      <w:bCs/>
    </w:rPr>
  </w:style>
  <w:style w:type="paragraph" w:styleId="ListParagraph">
    <w:name w:val="List Paragraph"/>
    <w:basedOn w:val="Normal"/>
    <w:uiPriority w:val="34"/>
    <w:qFormat/>
    <w:rsid w:val="00F6226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01295F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CFDE-BEF3-408E-948D-5AC26BF1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Drinking Water Infrastructure Needs Survey and Assessment Instructions</vt:lpstr>
    </vt:vector>
  </TitlesOfParts>
  <Company>The Cadmus Group, Inc.</Company>
  <LinksUpToDate>false</LinksUpToDate>
  <CharactersWithSpaces>3836</CharactersWithSpaces>
  <SharedDoc>false</SharedDoc>
  <HLinks>
    <vt:vector size="6" baseType="variant">
      <vt:variant>
        <vt:i4>6225943</vt:i4>
      </vt:variant>
      <vt:variant>
        <vt:i4>0</vt:i4>
      </vt:variant>
      <vt:variant>
        <vt:i4>0</vt:i4>
      </vt:variant>
      <vt:variant>
        <vt:i4>5</vt:i4>
      </vt:variant>
      <vt:variant>
        <vt:lpwstr>http://www.2007needs.com/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Drinking Water Infrastructure Needs Survey and Assessment Instructions</dc:title>
  <dc:creator>Michelle Young</dc:creator>
  <cp:lastModifiedBy>rbarles</cp:lastModifiedBy>
  <cp:revision>2</cp:revision>
  <cp:lastPrinted>2011-02-09T19:24:00Z</cp:lastPrinted>
  <dcterms:created xsi:type="dcterms:W3CDTF">2011-02-09T19:30:00Z</dcterms:created>
  <dcterms:modified xsi:type="dcterms:W3CDTF">2011-02-09T19:30:00Z</dcterms:modified>
</cp:coreProperties>
</file>