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DDB" w:rsidRDefault="00173DDB">
      <w:pPr>
        <w:pStyle w:val="TableTitle"/>
        <w:jc w:val="center"/>
        <w:rPr>
          <w:bCs/>
        </w:rPr>
      </w:pPr>
      <w:r>
        <w:rPr>
          <w:bCs/>
        </w:rPr>
        <w:t>INFORMATION COLLECTION REQUEST</w:t>
      </w:r>
    </w:p>
    <w:p w:rsidR="00173DDB" w:rsidRDefault="00173DDB">
      <w:pPr>
        <w:spacing w:after="0"/>
        <w:jc w:val="center"/>
        <w:rPr>
          <w:b/>
          <w:bCs/>
        </w:rPr>
      </w:pPr>
      <w:r>
        <w:rPr>
          <w:b/>
          <w:bCs/>
        </w:rPr>
        <w:t>SUPPORTING STATEMENT</w:t>
      </w:r>
    </w:p>
    <w:p w:rsidR="00173DDB" w:rsidRDefault="00173DDB">
      <w:pPr>
        <w:spacing w:after="0"/>
        <w:jc w:val="center"/>
        <w:rPr>
          <w:b/>
          <w:bCs/>
        </w:rPr>
      </w:pPr>
      <w:smartTag w:uri="urn:schemas-microsoft-com:office:smarttags" w:element="country-region">
        <w:smartTag w:uri="urn:schemas-microsoft-com:office:smarttags" w:element="place">
          <w:r>
            <w:rPr>
              <w:b/>
              <w:bCs/>
            </w:rPr>
            <w:t>U.S.</w:t>
          </w:r>
        </w:smartTag>
      </w:smartTag>
      <w:r>
        <w:rPr>
          <w:b/>
          <w:bCs/>
        </w:rPr>
        <w:t xml:space="preserve"> ENVIRONMENTAL PROTECTION AGENCY</w:t>
      </w:r>
    </w:p>
    <w:p w:rsidR="00173DDB" w:rsidRDefault="00173DDB">
      <w:pPr>
        <w:jc w:val="center"/>
        <w:rPr>
          <w:b/>
          <w:bCs/>
        </w:rPr>
      </w:pPr>
      <w:r>
        <w:rPr>
          <w:b/>
          <w:bCs/>
        </w:rPr>
        <w:t>STRATOSPHERIC OZONE PROTECTION</w:t>
      </w:r>
    </w:p>
    <w:p w:rsidR="00173DDB" w:rsidRDefault="00173DDB">
      <w:pPr>
        <w:pStyle w:val="TableTitle"/>
        <w:spacing w:before="240" w:after="240"/>
        <w:rPr>
          <w:bCs/>
        </w:rPr>
      </w:pPr>
      <w:r>
        <w:rPr>
          <w:bCs/>
        </w:rPr>
        <w:t>1.</w:t>
      </w:r>
      <w:r>
        <w:rPr>
          <w:bCs/>
        </w:rPr>
        <w:tab/>
        <w:t>IDENTIFICATION OF THE INFORMATION COLLECTION</w:t>
      </w:r>
    </w:p>
    <w:p w:rsidR="00173DDB" w:rsidRDefault="00173DDB">
      <w:pPr>
        <w:pStyle w:val="Heading2"/>
        <w:numPr>
          <w:ilvl w:val="0"/>
          <w:numId w:val="0"/>
        </w:numPr>
        <w:spacing w:before="0"/>
        <w:rPr>
          <w:u w:val="single"/>
        </w:rPr>
      </w:pPr>
      <w:r>
        <w:rPr>
          <w:sz w:val="24"/>
        </w:rPr>
        <w:t>1(a)</w:t>
      </w:r>
      <w:r>
        <w:rPr>
          <w:sz w:val="24"/>
        </w:rPr>
        <w:tab/>
        <w:t>Title and Number of the Information Collection Request</w:t>
      </w:r>
    </w:p>
    <w:p w:rsidR="00173DDB" w:rsidRDefault="00173DDB">
      <w:r>
        <w:t>This Information Collection Request (ICR) is entitled “</w:t>
      </w:r>
      <w:r w:rsidR="007F7473" w:rsidRPr="007F7473">
        <w:t>National Recycling and Emissions Reduction Program</w:t>
      </w:r>
      <w:r w:rsidR="007F7473">
        <w:t>,” ICR number 1626.12, OMB Control Number 2060-</w:t>
      </w:r>
      <w:r w:rsidR="00BB3B05">
        <w:t>0256</w:t>
      </w:r>
      <w:r>
        <w:t>.</w:t>
      </w:r>
    </w:p>
    <w:p w:rsidR="00173DDB" w:rsidRDefault="00173DDB">
      <w:pPr>
        <w:pStyle w:val="TableTitle"/>
        <w:spacing w:after="240"/>
        <w:rPr>
          <w:bCs/>
        </w:rPr>
      </w:pPr>
      <w:r>
        <w:rPr>
          <w:bCs/>
        </w:rPr>
        <w:t>1(b)</w:t>
      </w:r>
      <w:r>
        <w:rPr>
          <w:bCs/>
        </w:rPr>
        <w:tab/>
        <w:t>Short Characterization</w:t>
      </w:r>
    </w:p>
    <w:p w:rsidR="00173DDB" w:rsidRDefault="00173DDB">
      <w:r>
        <w:t>The EPA developed regulations under the Clean Air Act Amendments of 1990 (CAAA) establishing standards and requirements regarding the use and disposal of Class I and Class II refrigerants during the service, maintenance, repair, or disposal of refrigeration and air</w:t>
      </w:r>
      <w:r>
        <w:noBreakHyphen/>
        <w:t>conditioning equipment. Section 608(c) of the CAAA states that effective July 1, 1992, it is unlawful for any person in the course of maintaining, servicing, repairing, or disposing of refrigeration or air</w:t>
      </w:r>
      <w:r>
        <w:noBreakHyphen/>
        <w:t xml:space="preserve">conditioning equipment to knowingly vent or otherwise knowingly release or dispose of any Class I or Class II substance used as a refrigerant in the equipment in a manner </w:t>
      </w:r>
      <w:proofErr w:type="gramStart"/>
      <w:r>
        <w:t>that</w:t>
      </w:r>
      <w:proofErr w:type="gramEnd"/>
      <w:r>
        <w:t xml:space="preserve"> permits the substance to enter the environment. </w:t>
      </w:r>
    </w:p>
    <w:p w:rsidR="00173DDB" w:rsidRDefault="00173DDB">
      <w:r>
        <w:t>In 1993, EPA promulgated regulations under Section 608 of the CAAA, codified in 40 CFR Part 82 Subpart F (§82.156), pertaining to leaks of ozone-depleting refrigerants from air-conditioning and refrigeration equipment containing more than 50 pounds of refrigerants that are ozone-depleting substances (ODS). These regulations require that substantial refrigerant leaks in equipment be repaired when they are discovered, and therefore these regulations significantly reduce emissions of ozone-depleting refrigerants. EPA mod</w:t>
      </w:r>
      <w:r w:rsidR="00BB3B05">
        <w:t xml:space="preserve">ified these regulations in </w:t>
      </w:r>
      <w:r>
        <w:t xml:space="preserve">to revise the trigger rates at which leaks have to be repaired and to modify </w:t>
      </w:r>
      <w:r w:rsidR="00BB3B05">
        <w:t>some of the required practices.</w:t>
      </w:r>
    </w:p>
    <w:p w:rsidR="00173DDB" w:rsidRDefault="00173DDB">
      <w:r>
        <w:t>To facilitate compliance with, and enforcement of, Section 608 requirements, EPA requires owners and operators of refrigeration and air</w:t>
      </w:r>
      <w:r>
        <w:noBreakHyphen/>
        <w:t xml:space="preserve">conditioning appliances with a full charge greater than 50 pounds, as well as service technicians for the affected appliances, to maintain certain records (codified in 40 CFR §82.156) concerning appliance repairs, retrofits, and retirements. The affected appliances are used for commercial refrigeration, industrial process refrigeration, and comfort cooling. The required recordkeeping is done on an occasional basis, depending on the identification of leaks and the number of steps it takes to complete leak repairs when complying with the requirements outlined in §82.156. </w:t>
      </w:r>
    </w:p>
    <w:p w:rsidR="00173DDB" w:rsidRDefault="00173DDB">
      <w:pPr>
        <w:keepNext/>
      </w:pPr>
      <w:r>
        <w:t>Recordkeeping requirements for affected entities consist of the following:</w:t>
      </w:r>
    </w:p>
    <w:p w:rsidR="00173DDB" w:rsidRDefault="00173DDB">
      <w:pPr>
        <w:keepNext/>
        <w:numPr>
          <w:ilvl w:val="0"/>
          <w:numId w:val="5"/>
        </w:numPr>
      </w:pPr>
      <w:r>
        <w:t>Owners and operators need to maintain:</w:t>
      </w:r>
    </w:p>
    <w:p w:rsidR="00173DDB" w:rsidRDefault="00173DDB">
      <w:pPr>
        <w:numPr>
          <w:ilvl w:val="1"/>
          <w:numId w:val="5"/>
        </w:numPr>
        <w:spacing w:after="0"/>
      </w:pPr>
      <w:r>
        <w:t xml:space="preserve">Service records and retrofit/retirement plans of affected appliances </w:t>
      </w:r>
    </w:p>
    <w:p w:rsidR="00173DDB" w:rsidRDefault="00173DDB">
      <w:pPr>
        <w:numPr>
          <w:ilvl w:val="1"/>
          <w:numId w:val="5"/>
        </w:numPr>
        <w:spacing w:after="0"/>
      </w:pPr>
      <w:r>
        <w:t>Justifications for delays in completing repairs and retrofits plans</w:t>
      </w:r>
    </w:p>
    <w:p w:rsidR="00173DDB" w:rsidRDefault="00173DDB">
      <w:pPr>
        <w:numPr>
          <w:ilvl w:val="1"/>
          <w:numId w:val="5"/>
        </w:numPr>
        <w:spacing w:after="0"/>
      </w:pPr>
      <w:r>
        <w:lastRenderedPageBreak/>
        <w:t>Information on the full charge of refrigerants for appliances</w:t>
      </w:r>
    </w:p>
    <w:p w:rsidR="00173DDB" w:rsidRDefault="00173DDB">
      <w:pPr>
        <w:numPr>
          <w:ilvl w:val="1"/>
          <w:numId w:val="5"/>
        </w:numPr>
      </w:pPr>
      <w:r>
        <w:t>Purchase and transfer of refrigerants</w:t>
      </w:r>
    </w:p>
    <w:p w:rsidR="00173DDB" w:rsidRDefault="00173DDB">
      <w:pPr>
        <w:numPr>
          <w:ilvl w:val="0"/>
          <w:numId w:val="5"/>
        </w:numPr>
      </w:pPr>
      <w:r>
        <w:t>Service technicians need to maintain:</w:t>
      </w:r>
    </w:p>
    <w:p w:rsidR="00173DDB" w:rsidRDefault="00173DDB">
      <w:pPr>
        <w:numPr>
          <w:ilvl w:val="1"/>
          <w:numId w:val="5"/>
        </w:numPr>
      </w:pPr>
      <w:r>
        <w:t xml:space="preserve">Information on refrigerant removed and not returned to appliances. </w:t>
      </w:r>
    </w:p>
    <w:p w:rsidR="00173DDB" w:rsidRDefault="00173DDB">
      <w:pPr>
        <w:rPr>
          <w:b/>
          <w:bCs/>
        </w:rPr>
      </w:pPr>
      <w:r>
        <w:t>These regulations affect service technicians and the owners and operators of comfort cooling, commercial refrigeration, and industrial process refrigeration appliances that contain a full charge of refrigerant greater than 50 pounds. EPA estimates there are up to 267,554 respondents, consisting of 133,777 service technicians and 133,777 owners or operators of appliances that have greater than a 50 pound charge requiring repair. This represents a high estimate accounting for a unique owner and service technician for each appliance requiring a repair. It is likely that a service technician services more than one affected appliance and that multiple affected appliances are owned or operated by the same respondent. The estimated total annual burden for maintenance of records for these respondents is 6,182 hours at an annual cost of $148,365.</w:t>
      </w:r>
    </w:p>
    <w:p w:rsidR="00173DDB" w:rsidRDefault="00173DDB" w:rsidP="00BB3B05">
      <w:pPr>
        <w:tabs>
          <w:tab w:val="left" w:pos="-1440"/>
        </w:tabs>
        <w:spacing w:before="240"/>
      </w:pPr>
      <w:r>
        <w:rPr>
          <w:b/>
          <w:bCs/>
        </w:rPr>
        <w:t>2.</w:t>
      </w:r>
      <w:r>
        <w:rPr>
          <w:b/>
          <w:bCs/>
        </w:rPr>
        <w:tab/>
        <w:t>NEED FOR AND USE OF THE COLLECTION</w:t>
      </w:r>
    </w:p>
    <w:p w:rsidR="00173DDB" w:rsidRDefault="00173DDB">
      <w:pPr>
        <w:tabs>
          <w:tab w:val="left" w:pos="-1440"/>
        </w:tabs>
      </w:pPr>
      <w:r>
        <w:rPr>
          <w:b/>
          <w:bCs/>
        </w:rPr>
        <w:t>2(a)</w:t>
      </w:r>
      <w:r>
        <w:rPr>
          <w:b/>
          <w:bCs/>
        </w:rPr>
        <w:tab/>
        <w:t>Need/Authority for the Collection</w:t>
      </w:r>
    </w:p>
    <w:p w:rsidR="00173DDB" w:rsidRDefault="00173DDB">
      <w:r>
        <w:t>To facilitate compliance with, and enforcement of, the Section 608 requirements of the CAAA, EPA established recordkeeping requirements for technicians and owners or operators of commercial refrigeration, comfort cooling, and industrial process refrigeration appliances with a charge size exceeding 50 pounds. Specific recordkeeping requirements were codified under 40 CFR subpart F (§82.166).</w:t>
      </w:r>
    </w:p>
    <w:p w:rsidR="00173DDB" w:rsidRDefault="00173DDB">
      <w:pPr>
        <w:pStyle w:val="TableTitle"/>
        <w:spacing w:before="240" w:after="240"/>
        <w:rPr>
          <w:bCs/>
        </w:rPr>
      </w:pPr>
      <w:r>
        <w:rPr>
          <w:bCs/>
        </w:rPr>
        <w:t>2(b)</w:t>
      </w:r>
      <w:r>
        <w:rPr>
          <w:bCs/>
        </w:rPr>
        <w:tab/>
        <w:t>Practical Utility/Users of the Data</w:t>
      </w:r>
    </w:p>
    <w:p w:rsidR="00173DDB" w:rsidRDefault="00173DDB">
      <w:r>
        <w:t>The purpose and need of this collection request is to facilitate compliance with, and enforcement of, Section 608 of the CAAA by reducing emissions of Class I and Class II ODS refrigerants to the lowest achievable level during the service, maintenance, repair, and disposal of affected appliances. As a part of compliance verification and enforcement activities, EPA has used, and will continue to use, these records as necessary to ensure that all refrigerant leaks are satisfactorily repaired.</w:t>
      </w:r>
    </w:p>
    <w:p w:rsidR="00173DDB" w:rsidRDefault="00173DDB">
      <w:pPr>
        <w:pStyle w:val="Heading1"/>
        <w:numPr>
          <w:ilvl w:val="0"/>
          <w:numId w:val="0"/>
        </w:numPr>
        <w:ind w:left="720" w:hanging="720"/>
        <w:rPr>
          <w:sz w:val="24"/>
        </w:rPr>
      </w:pPr>
      <w:r>
        <w:rPr>
          <w:sz w:val="24"/>
        </w:rPr>
        <w:t xml:space="preserve">3. </w:t>
      </w:r>
      <w:r>
        <w:rPr>
          <w:sz w:val="24"/>
        </w:rPr>
        <w:tab/>
        <w:t>NONDUPLICATION, CONSULTATIONS, AND OTHER COLLECTION CRITERIA</w:t>
      </w:r>
    </w:p>
    <w:p w:rsidR="00173DDB" w:rsidRDefault="00173DDB">
      <w:pPr>
        <w:pStyle w:val="Heading2"/>
        <w:numPr>
          <w:ilvl w:val="0"/>
          <w:numId w:val="0"/>
        </w:numPr>
        <w:spacing w:before="0"/>
        <w:rPr>
          <w:sz w:val="24"/>
          <w:u w:val="single"/>
        </w:rPr>
      </w:pPr>
      <w:r>
        <w:rPr>
          <w:sz w:val="24"/>
        </w:rPr>
        <w:t xml:space="preserve">3(a) </w:t>
      </w:r>
      <w:r>
        <w:rPr>
          <w:sz w:val="24"/>
        </w:rPr>
        <w:tab/>
        <w:t>Nonduplication</w:t>
      </w:r>
    </w:p>
    <w:p w:rsidR="00173DDB" w:rsidRDefault="00173DDB">
      <w:r>
        <w:t>The information to be maintained under this ICR is not collected by any other EPA program or federal agency. The information is not available from other sources because it is proprietary information maintained by industry sources.</w:t>
      </w:r>
    </w:p>
    <w:p w:rsidR="00173DDB" w:rsidRDefault="00173DDB">
      <w:pPr>
        <w:pStyle w:val="Heading2"/>
        <w:numPr>
          <w:ilvl w:val="0"/>
          <w:numId w:val="0"/>
        </w:numPr>
        <w:rPr>
          <w:sz w:val="24"/>
          <w:u w:val="single"/>
        </w:rPr>
      </w:pPr>
      <w:r>
        <w:rPr>
          <w:sz w:val="24"/>
        </w:rPr>
        <w:lastRenderedPageBreak/>
        <w:t xml:space="preserve">3(b) </w:t>
      </w:r>
      <w:r>
        <w:rPr>
          <w:sz w:val="24"/>
        </w:rPr>
        <w:tab/>
        <w:t>Public Notice Required Prior to ICR Submission to OMB</w:t>
      </w:r>
    </w:p>
    <w:p w:rsidR="00173DDB" w:rsidRDefault="00173DDB">
      <w:pPr>
        <w:rPr>
          <w:szCs w:val="22"/>
        </w:rPr>
      </w:pPr>
      <w:r>
        <w:rPr>
          <w:szCs w:val="22"/>
        </w:rPr>
        <w:t xml:space="preserve">In compliance with the Paperwork Reduction Act of 1995, EPA issued a public notice </w:t>
      </w:r>
      <w:r w:rsidR="00BB3B05">
        <w:rPr>
          <w:szCs w:val="22"/>
        </w:rPr>
        <w:t>as part of the preamble to the proposed rule</w:t>
      </w:r>
      <w:r>
        <w:rPr>
          <w:szCs w:val="22"/>
        </w:rPr>
        <w:t>.</w:t>
      </w:r>
    </w:p>
    <w:p w:rsidR="00173DDB" w:rsidRDefault="00173DDB">
      <w:pPr>
        <w:pStyle w:val="Heading2"/>
        <w:numPr>
          <w:ilvl w:val="0"/>
          <w:numId w:val="0"/>
        </w:numPr>
        <w:rPr>
          <w:sz w:val="24"/>
        </w:rPr>
      </w:pPr>
      <w:r>
        <w:rPr>
          <w:sz w:val="24"/>
        </w:rPr>
        <w:t xml:space="preserve">3(c) </w:t>
      </w:r>
      <w:r>
        <w:rPr>
          <w:sz w:val="24"/>
        </w:rPr>
        <w:tab/>
        <w:t>Consultations</w:t>
      </w:r>
    </w:p>
    <w:p w:rsidR="00173DDB" w:rsidRDefault="00173DDB">
      <w:r>
        <w:t xml:space="preserve">Judgments of industry experts in the air-conditioning and refrigeration sector were obtained during the development of the regulatory impact analysis of the regulations revising the trigger rates requiring repair of leaks in equipment with charge sizes greater than 50 pounds. Industry experts were also contacted to obtain information on practices related to adding and removing refrigerants to account for seasonal variance. </w:t>
      </w:r>
    </w:p>
    <w:p w:rsidR="00173DDB" w:rsidRDefault="00173DDB">
      <w:pPr>
        <w:pStyle w:val="Heading2"/>
        <w:numPr>
          <w:ilvl w:val="0"/>
          <w:numId w:val="0"/>
        </w:numPr>
        <w:rPr>
          <w:sz w:val="24"/>
        </w:rPr>
      </w:pPr>
      <w:r>
        <w:rPr>
          <w:sz w:val="24"/>
        </w:rPr>
        <w:t>3(d)</w:t>
      </w:r>
      <w:r>
        <w:rPr>
          <w:sz w:val="24"/>
        </w:rPr>
        <w:tab/>
        <w:t>Effects of Less Frequent Collection</w:t>
      </w:r>
    </w:p>
    <w:p w:rsidR="00173DDB" w:rsidRDefault="00173DDB">
      <w:r>
        <w:t>This rule does not require submission of records to EPA. Instead, this rule requires the maintenance of records by own</w:t>
      </w:r>
      <w:r w:rsidR="00BB3B05">
        <w:t xml:space="preserve">ers or operators of </w:t>
      </w:r>
      <w:proofErr w:type="spellStart"/>
      <w:r w:rsidR="00BB3B05">
        <w:t>commercial</w:t>
      </w:r>
      <w:proofErr w:type="gramStart"/>
      <w:r w:rsidR="00BB3B05">
        <w:t>,</w:t>
      </w:r>
      <w:r>
        <w:t>comfort</w:t>
      </w:r>
      <w:proofErr w:type="spellEnd"/>
      <w:proofErr w:type="gramEnd"/>
      <w:r>
        <w:t xml:space="preserve"> cooling, and industrial process refrigeration equipment with charges greater than 50 pounds and by technicians servicing the equipment. The number of records requiring maintenance depends on the frequency of leaks and equipment replacement as well as the success of fixing leaks in affected comfort cooling, commercial refrigeration, and industrial process refrigeration appliances. Maintenance of these records is instrumental in ensuring compliance with the regulations concerning repair activities and verification tests, along with documenting the location and extent of appliance leaks, retrofit and repair activities, and any time extensions needed for repairs. Therefore, less frequent collection is not possible because maintenance of records is intended to document efforts to repair leaks in refrigeration and air-conditioning equipment. </w:t>
      </w:r>
    </w:p>
    <w:p w:rsidR="00173DDB" w:rsidRDefault="00173DDB">
      <w:pPr>
        <w:pStyle w:val="Heading2"/>
        <w:numPr>
          <w:ilvl w:val="0"/>
          <w:numId w:val="0"/>
        </w:numPr>
        <w:rPr>
          <w:sz w:val="24"/>
          <w:u w:val="single"/>
        </w:rPr>
      </w:pPr>
      <w:r>
        <w:rPr>
          <w:sz w:val="24"/>
        </w:rPr>
        <w:t xml:space="preserve">3(e) </w:t>
      </w:r>
      <w:r>
        <w:rPr>
          <w:sz w:val="24"/>
        </w:rPr>
        <w:tab/>
        <w:t>General Guidelines</w:t>
      </w:r>
    </w:p>
    <w:p w:rsidR="00173DDB" w:rsidRDefault="00173DDB">
      <w:pPr>
        <w:rPr>
          <w:b/>
          <w:bCs/>
          <w:szCs w:val="22"/>
        </w:rPr>
      </w:pPr>
      <w:r>
        <w:rPr>
          <w:szCs w:val="22"/>
        </w:rPr>
        <w:t xml:space="preserve">This ICR adheres to the guidelines stated in the Paperwork Reduction Act of </w:t>
      </w:r>
      <w:proofErr w:type="gramStart"/>
      <w:r>
        <w:rPr>
          <w:szCs w:val="22"/>
        </w:rPr>
        <w:t>1995,</w:t>
      </w:r>
      <w:proofErr w:type="gramEnd"/>
      <w:r>
        <w:rPr>
          <w:szCs w:val="22"/>
        </w:rPr>
        <w:t xml:space="preserve"> OMB’s implementing regulations, OMB’s Information Collection Review Handbook, and other applicable OMB guidance.</w:t>
      </w:r>
    </w:p>
    <w:p w:rsidR="00173DDB" w:rsidRDefault="00173DDB">
      <w:pPr>
        <w:pStyle w:val="TableTitle"/>
        <w:keepNext/>
        <w:tabs>
          <w:tab w:val="left" w:pos="-1440"/>
        </w:tabs>
        <w:spacing w:before="240" w:after="240"/>
        <w:rPr>
          <w:bCs/>
        </w:rPr>
      </w:pPr>
      <w:r>
        <w:rPr>
          <w:bCs/>
        </w:rPr>
        <w:t>3(f)</w:t>
      </w:r>
      <w:r>
        <w:rPr>
          <w:bCs/>
        </w:rPr>
        <w:tab/>
        <w:t>Confidentiality</w:t>
      </w:r>
    </w:p>
    <w:p w:rsidR="00173DDB" w:rsidRDefault="00173DDB">
      <w:r>
        <w:t xml:space="preserve">The information maintained under this ICR renewal is used to facilitate compliance with, and enforcement of, Section 608 of the CAAA. The revised regulations require the maintenance of information by respondents; the information is not routinely collected or managed by EPA. The records required to be maintained are not shared with parties outside of the federal government. EPA’s confidentiality regulations </w:t>
      </w:r>
      <w:proofErr w:type="gramStart"/>
      <w:r>
        <w:t>(40 CFR 2.201 et seq.)</w:t>
      </w:r>
      <w:proofErr w:type="gramEnd"/>
      <w:r>
        <w:t xml:space="preserve"> assure computer data security, disclosure prevention, proper handling, proper storage, and proper disposal of all information obtained by EPA as part of compliance verification and enforcement activities.</w:t>
      </w:r>
    </w:p>
    <w:p w:rsidR="00173DDB" w:rsidRDefault="00173DDB">
      <w:pPr>
        <w:tabs>
          <w:tab w:val="left" w:pos="-1440"/>
        </w:tabs>
        <w:spacing w:before="240"/>
        <w:rPr>
          <w:b/>
          <w:bCs/>
        </w:rPr>
      </w:pPr>
      <w:r>
        <w:rPr>
          <w:b/>
          <w:bCs/>
        </w:rPr>
        <w:lastRenderedPageBreak/>
        <w:t>3(g)</w:t>
      </w:r>
      <w:r>
        <w:rPr>
          <w:b/>
          <w:bCs/>
        </w:rPr>
        <w:tab/>
        <w:t>Sensitive Questions</w:t>
      </w:r>
      <w:bookmarkStart w:id="0" w:name="a_Toc349627727"/>
      <w:bookmarkEnd w:id="0"/>
    </w:p>
    <w:p w:rsidR="00173DDB" w:rsidRDefault="00173DDB">
      <w:pPr>
        <w:rPr>
          <w:b/>
          <w:bCs/>
        </w:rPr>
      </w:pPr>
      <w:r>
        <w:t>This ICR renewal does not ask questions of a sensitive nature. The required records pertain only to service and repair of refrigerant leaks and do not contain any information concerning sexuality, religious beliefs, or other matters usually considered private.</w:t>
      </w:r>
    </w:p>
    <w:p w:rsidR="00173DDB" w:rsidRDefault="00173DDB">
      <w:pPr>
        <w:pStyle w:val="Heading1"/>
        <w:numPr>
          <w:ilvl w:val="0"/>
          <w:numId w:val="0"/>
        </w:numPr>
        <w:rPr>
          <w:sz w:val="24"/>
        </w:rPr>
      </w:pPr>
      <w:r>
        <w:rPr>
          <w:sz w:val="24"/>
        </w:rPr>
        <w:t xml:space="preserve">4. </w:t>
      </w:r>
      <w:r>
        <w:rPr>
          <w:sz w:val="24"/>
        </w:rPr>
        <w:tab/>
        <w:t>THE RESPONDENTS AND THE INFORMATION REQUESTED</w:t>
      </w:r>
    </w:p>
    <w:p w:rsidR="00173DDB" w:rsidRDefault="00173DDB">
      <w:pPr>
        <w:rPr>
          <w:b/>
          <w:bCs/>
        </w:rPr>
      </w:pPr>
      <w:r>
        <w:rPr>
          <w:b/>
          <w:bCs/>
        </w:rPr>
        <w:t xml:space="preserve">4(a) </w:t>
      </w:r>
      <w:r>
        <w:rPr>
          <w:b/>
          <w:bCs/>
        </w:rPr>
        <w:tab/>
        <w:t>Respondents and North American Industrial Classification System Codes</w:t>
      </w:r>
    </w:p>
    <w:p w:rsidR="00173DDB" w:rsidRDefault="00173DDB">
      <w:r>
        <w:t>Table 1 is a list of North American Industrial Classification System (NAICS) codes potentially affected by the information requirements covered under this ICR.</w:t>
      </w:r>
    </w:p>
    <w:tbl>
      <w:tblPr>
        <w:tblW w:w="7308" w:type="dxa"/>
        <w:jc w:val="center"/>
        <w:tblLayout w:type="fixed"/>
        <w:tblCellMar>
          <w:left w:w="0" w:type="dxa"/>
          <w:right w:w="0" w:type="dxa"/>
        </w:tblCellMar>
        <w:tblLook w:val="0000"/>
      </w:tblPr>
      <w:tblGrid>
        <w:gridCol w:w="4788"/>
        <w:gridCol w:w="2520"/>
      </w:tblGrid>
      <w:tr w:rsidR="00173DDB">
        <w:tblPrEx>
          <w:tblCellMar>
            <w:top w:w="0" w:type="dxa"/>
            <w:bottom w:w="0" w:type="dxa"/>
          </w:tblCellMar>
        </w:tblPrEx>
        <w:trPr>
          <w:cantSplit/>
          <w:jc w:val="center"/>
        </w:trPr>
        <w:tc>
          <w:tcPr>
            <w:tcW w:w="7308" w:type="dxa"/>
            <w:gridSpan w:val="2"/>
            <w:tcBorders>
              <w:bottom w:val="single" w:sz="6" w:space="0" w:color="auto"/>
            </w:tcBorders>
            <w:tcMar>
              <w:left w:w="43" w:type="dxa"/>
              <w:right w:w="43" w:type="dxa"/>
            </w:tcMar>
          </w:tcPr>
          <w:p w:rsidR="00173DDB" w:rsidRDefault="00173DDB">
            <w:pPr>
              <w:pStyle w:val="TableTitle"/>
              <w:spacing w:before="20" w:after="20"/>
            </w:pPr>
            <w:r>
              <w:t xml:space="preserve">Table 1. Affected business sectors and NAICS codes </w:t>
            </w:r>
          </w:p>
        </w:tc>
      </w:tr>
      <w:tr w:rsidR="00173DDB">
        <w:tblPrEx>
          <w:tblCellMar>
            <w:top w:w="0" w:type="dxa"/>
            <w:bottom w:w="0" w:type="dxa"/>
          </w:tblCellMar>
        </w:tblPrEx>
        <w:trPr>
          <w:cantSplit/>
          <w:jc w:val="center"/>
        </w:trPr>
        <w:tc>
          <w:tcPr>
            <w:tcW w:w="4788" w:type="dxa"/>
            <w:tcBorders>
              <w:top w:val="single" w:sz="6" w:space="0" w:color="auto"/>
              <w:bottom w:val="single" w:sz="6" w:space="0" w:color="auto"/>
            </w:tcBorders>
            <w:tcMar>
              <w:left w:w="43" w:type="dxa"/>
              <w:right w:w="43" w:type="dxa"/>
            </w:tcMar>
          </w:tcPr>
          <w:p w:rsidR="00173DDB" w:rsidRDefault="00173DDB">
            <w:pPr>
              <w:spacing w:before="20" w:after="20"/>
              <w:rPr>
                <w:b/>
                <w:sz w:val="21"/>
              </w:rPr>
            </w:pPr>
            <w:r>
              <w:rPr>
                <w:b/>
                <w:sz w:val="21"/>
              </w:rPr>
              <w:t>Business sector</w:t>
            </w:r>
          </w:p>
        </w:tc>
        <w:tc>
          <w:tcPr>
            <w:tcW w:w="2520" w:type="dxa"/>
            <w:tcBorders>
              <w:top w:val="single" w:sz="6" w:space="0" w:color="auto"/>
              <w:bottom w:val="single" w:sz="6" w:space="0" w:color="auto"/>
            </w:tcBorders>
            <w:tcMar>
              <w:left w:w="43" w:type="dxa"/>
              <w:right w:w="43" w:type="dxa"/>
            </w:tcMar>
          </w:tcPr>
          <w:p w:rsidR="00173DDB" w:rsidRDefault="00173DDB">
            <w:pPr>
              <w:spacing w:before="20" w:after="20"/>
              <w:jc w:val="center"/>
              <w:rPr>
                <w:b/>
                <w:sz w:val="21"/>
              </w:rPr>
            </w:pPr>
            <w:r>
              <w:rPr>
                <w:b/>
                <w:sz w:val="21"/>
              </w:rPr>
              <w:t>NAICS code</w:t>
            </w:r>
          </w:p>
        </w:tc>
      </w:tr>
      <w:tr w:rsidR="00173DDB">
        <w:tblPrEx>
          <w:tblCellMar>
            <w:top w:w="0" w:type="dxa"/>
            <w:bottom w:w="0" w:type="dxa"/>
          </w:tblCellMar>
        </w:tblPrEx>
        <w:trPr>
          <w:cantSplit/>
          <w:jc w:val="center"/>
        </w:trPr>
        <w:tc>
          <w:tcPr>
            <w:tcW w:w="4788" w:type="dxa"/>
            <w:tcBorders>
              <w:top w:val="single" w:sz="6" w:space="0" w:color="auto"/>
            </w:tcBorders>
            <w:tcMar>
              <w:left w:w="43" w:type="dxa"/>
              <w:right w:w="43" w:type="dxa"/>
            </w:tcMar>
          </w:tcPr>
          <w:p w:rsidR="00173DDB" w:rsidRDefault="00173DDB">
            <w:pPr>
              <w:autoSpaceDE w:val="0"/>
              <w:autoSpaceDN w:val="0"/>
              <w:adjustRightInd w:val="0"/>
              <w:spacing w:before="20" w:after="20"/>
              <w:rPr>
                <w:color w:val="000000"/>
                <w:sz w:val="21"/>
              </w:rPr>
            </w:pPr>
            <w:r>
              <w:rPr>
                <w:color w:val="000000"/>
                <w:sz w:val="21"/>
              </w:rPr>
              <w:t>Supermarkets and grocery stores</w:t>
            </w:r>
          </w:p>
        </w:tc>
        <w:tc>
          <w:tcPr>
            <w:tcW w:w="2520" w:type="dxa"/>
            <w:tcBorders>
              <w:top w:val="single" w:sz="6" w:space="0" w:color="auto"/>
            </w:tcBorders>
            <w:tcMar>
              <w:left w:w="43" w:type="dxa"/>
              <w:right w:w="43" w:type="dxa"/>
            </w:tcMar>
          </w:tcPr>
          <w:p w:rsidR="00173DDB" w:rsidRDefault="00173DDB">
            <w:pPr>
              <w:autoSpaceDE w:val="0"/>
              <w:autoSpaceDN w:val="0"/>
              <w:adjustRightInd w:val="0"/>
              <w:spacing w:before="20" w:after="20"/>
              <w:jc w:val="center"/>
              <w:rPr>
                <w:color w:val="000000"/>
                <w:sz w:val="21"/>
              </w:rPr>
            </w:pPr>
            <w:r>
              <w:rPr>
                <w:color w:val="000000"/>
                <w:sz w:val="21"/>
              </w:rPr>
              <w:t>445110</w:t>
            </w:r>
          </w:p>
        </w:tc>
      </w:tr>
      <w:tr w:rsidR="00173DDB">
        <w:tblPrEx>
          <w:tblCellMar>
            <w:top w:w="0" w:type="dxa"/>
            <w:bottom w:w="0" w:type="dxa"/>
          </w:tblCellMar>
        </w:tblPrEx>
        <w:trPr>
          <w:cantSplit/>
          <w:jc w:val="center"/>
        </w:trPr>
        <w:tc>
          <w:tcPr>
            <w:tcW w:w="4788" w:type="dxa"/>
            <w:tcMar>
              <w:left w:w="43" w:type="dxa"/>
              <w:right w:w="43" w:type="dxa"/>
            </w:tcMar>
          </w:tcPr>
          <w:p w:rsidR="00173DDB" w:rsidRDefault="00173DDB">
            <w:pPr>
              <w:autoSpaceDE w:val="0"/>
              <w:autoSpaceDN w:val="0"/>
              <w:adjustRightInd w:val="0"/>
              <w:spacing w:before="20" w:after="20"/>
              <w:rPr>
                <w:color w:val="000000"/>
                <w:sz w:val="21"/>
              </w:rPr>
            </w:pPr>
            <w:r>
              <w:rPr>
                <w:color w:val="000000"/>
                <w:sz w:val="21"/>
              </w:rPr>
              <w:t>Convenience stores</w:t>
            </w:r>
          </w:p>
        </w:tc>
        <w:tc>
          <w:tcPr>
            <w:tcW w:w="2520" w:type="dxa"/>
            <w:tcMar>
              <w:left w:w="43" w:type="dxa"/>
              <w:right w:w="43" w:type="dxa"/>
            </w:tcMar>
          </w:tcPr>
          <w:p w:rsidR="00173DDB" w:rsidRDefault="00173DDB">
            <w:pPr>
              <w:autoSpaceDE w:val="0"/>
              <w:autoSpaceDN w:val="0"/>
              <w:adjustRightInd w:val="0"/>
              <w:spacing w:before="20" w:after="20"/>
              <w:jc w:val="center"/>
              <w:rPr>
                <w:color w:val="000000"/>
                <w:sz w:val="21"/>
              </w:rPr>
            </w:pPr>
            <w:r>
              <w:rPr>
                <w:color w:val="000000"/>
                <w:sz w:val="21"/>
              </w:rPr>
              <w:t>445120</w:t>
            </w:r>
          </w:p>
        </w:tc>
      </w:tr>
      <w:tr w:rsidR="00173DDB">
        <w:tblPrEx>
          <w:tblCellMar>
            <w:top w:w="0" w:type="dxa"/>
            <w:bottom w:w="0" w:type="dxa"/>
          </w:tblCellMar>
        </w:tblPrEx>
        <w:trPr>
          <w:cantSplit/>
          <w:jc w:val="center"/>
        </w:trPr>
        <w:tc>
          <w:tcPr>
            <w:tcW w:w="4788" w:type="dxa"/>
            <w:tcMar>
              <w:left w:w="43" w:type="dxa"/>
              <w:right w:w="43" w:type="dxa"/>
            </w:tcMar>
          </w:tcPr>
          <w:p w:rsidR="00173DDB" w:rsidRDefault="00173DDB">
            <w:pPr>
              <w:autoSpaceDE w:val="0"/>
              <w:autoSpaceDN w:val="0"/>
              <w:adjustRightInd w:val="0"/>
              <w:spacing w:before="20" w:after="20"/>
              <w:rPr>
                <w:color w:val="000000"/>
                <w:sz w:val="21"/>
              </w:rPr>
            </w:pPr>
            <w:r>
              <w:rPr>
                <w:color w:val="000000"/>
                <w:sz w:val="21"/>
              </w:rPr>
              <w:t>Gas station convenience stores</w:t>
            </w:r>
          </w:p>
        </w:tc>
        <w:tc>
          <w:tcPr>
            <w:tcW w:w="2520" w:type="dxa"/>
            <w:tcMar>
              <w:left w:w="43" w:type="dxa"/>
              <w:right w:w="43" w:type="dxa"/>
            </w:tcMar>
          </w:tcPr>
          <w:p w:rsidR="00173DDB" w:rsidRDefault="00173DDB">
            <w:pPr>
              <w:autoSpaceDE w:val="0"/>
              <w:autoSpaceDN w:val="0"/>
              <w:adjustRightInd w:val="0"/>
              <w:spacing w:before="20" w:after="20"/>
              <w:jc w:val="center"/>
              <w:rPr>
                <w:color w:val="000000"/>
                <w:sz w:val="21"/>
              </w:rPr>
            </w:pPr>
            <w:r>
              <w:rPr>
                <w:color w:val="000000"/>
                <w:sz w:val="21"/>
              </w:rPr>
              <w:t>447110</w:t>
            </w:r>
          </w:p>
        </w:tc>
      </w:tr>
      <w:tr w:rsidR="00173DDB">
        <w:tblPrEx>
          <w:tblCellMar>
            <w:top w:w="0" w:type="dxa"/>
            <w:bottom w:w="0" w:type="dxa"/>
          </w:tblCellMar>
        </w:tblPrEx>
        <w:trPr>
          <w:cantSplit/>
          <w:jc w:val="center"/>
        </w:trPr>
        <w:tc>
          <w:tcPr>
            <w:tcW w:w="4788" w:type="dxa"/>
            <w:tcMar>
              <w:left w:w="43" w:type="dxa"/>
              <w:right w:w="43" w:type="dxa"/>
            </w:tcMar>
          </w:tcPr>
          <w:p w:rsidR="00173DDB" w:rsidRDefault="00173DDB">
            <w:pPr>
              <w:autoSpaceDE w:val="0"/>
              <w:autoSpaceDN w:val="0"/>
              <w:adjustRightInd w:val="0"/>
              <w:spacing w:before="20" w:after="20"/>
              <w:rPr>
                <w:color w:val="000000"/>
                <w:sz w:val="21"/>
              </w:rPr>
            </w:pPr>
            <w:r>
              <w:rPr>
                <w:color w:val="000000"/>
                <w:sz w:val="21"/>
              </w:rPr>
              <w:t>Warehouse and club supercenters</w:t>
            </w:r>
          </w:p>
        </w:tc>
        <w:tc>
          <w:tcPr>
            <w:tcW w:w="2520" w:type="dxa"/>
            <w:tcMar>
              <w:left w:w="43" w:type="dxa"/>
              <w:right w:w="43" w:type="dxa"/>
            </w:tcMar>
          </w:tcPr>
          <w:p w:rsidR="00173DDB" w:rsidRDefault="00173DDB">
            <w:pPr>
              <w:autoSpaceDE w:val="0"/>
              <w:autoSpaceDN w:val="0"/>
              <w:adjustRightInd w:val="0"/>
              <w:spacing w:before="20" w:after="20"/>
              <w:jc w:val="center"/>
              <w:rPr>
                <w:color w:val="000000"/>
                <w:sz w:val="21"/>
              </w:rPr>
            </w:pPr>
            <w:r>
              <w:rPr>
                <w:color w:val="000000"/>
                <w:sz w:val="21"/>
              </w:rPr>
              <w:t>45291</w:t>
            </w:r>
          </w:p>
        </w:tc>
      </w:tr>
      <w:tr w:rsidR="00173DDB">
        <w:tblPrEx>
          <w:tblCellMar>
            <w:top w:w="0" w:type="dxa"/>
            <w:bottom w:w="0" w:type="dxa"/>
          </w:tblCellMar>
        </w:tblPrEx>
        <w:trPr>
          <w:cantSplit/>
          <w:jc w:val="center"/>
        </w:trPr>
        <w:tc>
          <w:tcPr>
            <w:tcW w:w="4788" w:type="dxa"/>
            <w:tcMar>
              <w:left w:w="43" w:type="dxa"/>
              <w:right w:w="43" w:type="dxa"/>
            </w:tcMar>
          </w:tcPr>
          <w:p w:rsidR="00173DDB" w:rsidRDefault="00173DDB">
            <w:pPr>
              <w:autoSpaceDE w:val="0"/>
              <w:autoSpaceDN w:val="0"/>
              <w:adjustRightInd w:val="0"/>
              <w:spacing w:before="20" w:after="20"/>
              <w:rPr>
                <w:color w:val="000000"/>
                <w:sz w:val="21"/>
              </w:rPr>
            </w:pPr>
            <w:r>
              <w:rPr>
                <w:color w:val="000000"/>
                <w:sz w:val="21"/>
              </w:rPr>
              <w:t xml:space="preserve">Refrigerated warehouse and storage </w:t>
            </w:r>
          </w:p>
        </w:tc>
        <w:tc>
          <w:tcPr>
            <w:tcW w:w="2520" w:type="dxa"/>
            <w:tcMar>
              <w:left w:w="43" w:type="dxa"/>
              <w:right w:w="43" w:type="dxa"/>
            </w:tcMar>
          </w:tcPr>
          <w:p w:rsidR="00173DDB" w:rsidRDefault="00173DDB">
            <w:pPr>
              <w:autoSpaceDE w:val="0"/>
              <w:autoSpaceDN w:val="0"/>
              <w:adjustRightInd w:val="0"/>
              <w:spacing w:before="20" w:after="20"/>
              <w:jc w:val="center"/>
              <w:rPr>
                <w:color w:val="000000"/>
                <w:sz w:val="21"/>
              </w:rPr>
            </w:pPr>
            <w:r>
              <w:rPr>
                <w:color w:val="000000"/>
                <w:sz w:val="21"/>
              </w:rPr>
              <w:t>49312</w:t>
            </w:r>
          </w:p>
        </w:tc>
      </w:tr>
      <w:tr w:rsidR="00173DDB">
        <w:tblPrEx>
          <w:tblCellMar>
            <w:top w:w="0" w:type="dxa"/>
            <w:bottom w:w="0" w:type="dxa"/>
          </w:tblCellMar>
        </w:tblPrEx>
        <w:trPr>
          <w:cantSplit/>
          <w:jc w:val="center"/>
        </w:trPr>
        <w:tc>
          <w:tcPr>
            <w:tcW w:w="4788" w:type="dxa"/>
            <w:tcMar>
              <w:left w:w="43" w:type="dxa"/>
              <w:right w:w="43" w:type="dxa"/>
            </w:tcMar>
          </w:tcPr>
          <w:p w:rsidR="00173DDB" w:rsidRDefault="00173DDB">
            <w:pPr>
              <w:autoSpaceDE w:val="0"/>
              <w:autoSpaceDN w:val="0"/>
              <w:adjustRightInd w:val="0"/>
              <w:spacing w:before="20" w:after="20"/>
              <w:rPr>
                <w:color w:val="000000"/>
                <w:sz w:val="21"/>
              </w:rPr>
            </w:pPr>
            <w:r>
              <w:rPr>
                <w:color w:val="000000"/>
                <w:sz w:val="21"/>
              </w:rPr>
              <w:t xml:space="preserve">Refrigerated warehouse farm product storage </w:t>
            </w:r>
          </w:p>
        </w:tc>
        <w:tc>
          <w:tcPr>
            <w:tcW w:w="2520" w:type="dxa"/>
            <w:tcMar>
              <w:left w:w="43" w:type="dxa"/>
              <w:right w:w="43" w:type="dxa"/>
            </w:tcMar>
          </w:tcPr>
          <w:p w:rsidR="00173DDB" w:rsidRDefault="00173DDB">
            <w:pPr>
              <w:autoSpaceDE w:val="0"/>
              <w:autoSpaceDN w:val="0"/>
              <w:adjustRightInd w:val="0"/>
              <w:spacing w:before="20" w:after="20"/>
              <w:jc w:val="center"/>
              <w:rPr>
                <w:color w:val="000000"/>
                <w:sz w:val="21"/>
              </w:rPr>
            </w:pPr>
            <w:r>
              <w:rPr>
                <w:color w:val="000000"/>
                <w:sz w:val="21"/>
              </w:rPr>
              <w:t>49313</w:t>
            </w:r>
          </w:p>
        </w:tc>
      </w:tr>
      <w:tr w:rsidR="00173DDB">
        <w:tblPrEx>
          <w:tblCellMar>
            <w:top w:w="0" w:type="dxa"/>
            <w:bottom w:w="0" w:type="dxa"/>
          </w:tblCellMar>
        </w:tblPrEx>
        <w:trPr>
          <w:cantSplit/>
          <w:jc w:val="center"/>
        </w:trPr>
        <w:tc>
          <w:tcPr>
            <w:tcW w:w="4788" w:type="dxa"/>
            <w:tcMar>
              <w:left w:w="43" w:type="dxa"/>
              <w:right w:w="43" w:type="dxa"/>
            </w:tcMar>
          </w:tcPr>
          <w:p w:rsidR="00173DDB" w:rsidRDefault="00173DDB">
            <w:pPr>
              <w:autoSpaceDE w:val="0"/>
              <w:autoSpaceDN w:val="0"/>
              <w:adjustRightInd w:val="0"/>
              <w:spacing w:before="20" w:after="20"/>
              <w:rPr>
                <w:color w:val="000000"/>
                <w:sz w:val="21"/>
              </w:rPr>
            </w:pPr>
            <w:r>
              <w:rPr>
                <w:color w:val="000000"/>
                <w:sz w:val="21"/>
              </w:rPr>
              <w:t>Office building managers</w:t>
            </w:r>
          </w:p>
        </w:tc>
        <w:tc>
          <w:tcPr>
            <w:tcW w:w="2520" w:type="dxa"/>
            <w:tcMar>
              <w:left w:w="43" w:type="dxa"/>
              <w:right w:w="43" w:type="dxa"/>
            </w:tcMar>
          </w:tcPr>
          <w:p w:rsidR="00173DDB" w:rsidRDefault="00173DDB">
            <w:pPr>
              <w:autoSpaceDE w:val="0"/>
              <w:autoSpaceDN w:val="0"/>
              <w:adjustRightInd w:val="0"/>
              <w:spacing w:before="20" w:after="20"/>
              <w:jc w:val="center"/>
              <w:rPr>
                <w:color w:val="000000"/>
                <w:sz w:val="21"/>
              </w:rPr>
            </w:pPr>
            <w:r>
              <w:rPr>
                <w:color w:val="000000"/>
                <w:sz w:val="21"/>
              </w:rPr>
              <w:t>531312</w:t>
            </w:r>
          </w:p>
        </w:tc>
      </w:tr>
      <w:tr w:rsidR="00173DDB">
        <w:tblPrEx>
          <w:tblCellMar>
            <w:top w:w="0" w:type="dxa"/>
            <w:bottom w:w="0" w:type="dxa"/>
          </w:tblCellMar>
        </w:tblPrEx>
        <w:trPr>
          <w:cantSplit/>
          <w:jc w:val="center"/>
        </w:trPr>
        <w:tc>
          <w:tcPr>
            <w:tcW w:w="4788" w:type="dxa"/>
            <w:tcMar>
              <w:left w:w="43" w:type="dxa"/>
              <w:right w:w="43" w:type="dxa"/>
            </w:tcMar>
          </w:tcPr>
          <w:p w:rsidR="00173DDB" w:rsidRDefault="00173DDB">
            <w:pPr>
              <w:autoSpaceDE w:val="0"/>
              <w:autoSpaceDN w:val="0"/>
              <w:adjustRightInd w:val="0"/>
              <w:spacing w:before="20" w:after="20"/>
              <w:rPr>
                <w:color w:val="000000"/>
                <w:sz w:val="21"/>
              </w:rPr>
            </w:pPr>
            <w:r>
              <w:rPr>
                <w:color w:val="000000"/>
                <w:sz w:val="21"/>
              </w:rPr>
              <w:t>Lodging</w:t>
            </w:r>
          </w:p>
        </w:tc>
        <w:tc>
          <w:tcPr>
            <w:tcW w:w="2520" w:type="dxa"/>
            <w:tcMar>
              <w:left w:w="43" w:type="dxa"/>
              <w:right w:w="43" w:type="dxa"/>
            </w:tcMar>
          </w:tcPr>
          <w:p w:rsidR="00173DDB" w:rsidRDefault="00173DDB">
            <w:pPr>
              <w:autoSpaceDE w:val="0"/>
              <w:autoSpaceDN w:val="0"/>
              <w:adjustRightInd w:val="0"/>
              <w:spacing w:before="20" w:after="20"/>
              <w:jc w:val="center"/>
              <w:rPr>
                <w:color w:val="000000"/>
                <w:sz w:val="21"/>
              </w:rPr>
            </w:pPr>
            <w:r>
              <w:rPr>
                <w:color w:val="000000"/>
                <w:sz w:val="21"/>
              </w:rPr>
              <w:t>72</w:t>
            </w:r>
          </w:p>
        </w:tc>
      </w:tr>
      <w:tr w:rsidR="00173DDB">
        <w:tblPrEx>
          <w:tblCellMar>
            <w:top w:w="0" w:type="dxa"/>
            <w:bottom w:w="0" w:type="dxa"/>
          </w:tblCellMar>
        </w:tblPrEx>
        <w:trPr>
          <w:cantSplit/>
          <w:jc w:val="center"/>
        </w:trPr>
        <w:tc>
          <w:tcPr>
            <w:tcW w:w="4788" w:type="dxa"/>
            <w:tcMar>
              <w:left w:w="43" w:type="dxa"/>
              <w:right w:w="43" w:type="dxa"/>
            </w:tcMar>
          </w:tcPr>
          <w:p w:rsidR="00173DDB" w:rsidRDefault="00173DDB">
            <w:pPr>
              <w:autoSpaceDE w:val="0"/>
              <w:autoSpaceDN w:val="0"/>
              <w:adjustRightInd w:val="0"/>
              <w:spacing w:before="20" w:after="20"/>
              <w:rPr>
                <w:color w:val="000000"/>
                <w:sz w:val="21"/>
              </w:rPr>
            </w:pPr>
            <w:r>
              <w:rPr>
                <w:color w:val="000000"/>
                <w:sz w:val="21"/>
              </w:rPr>
              <w:t>Chemical manufacturing</w:t>
            </w:r>
          </w:p>
        </w:tc>
        <w:tc>
          <w:tcPr>
            <w:tcW w:w="2520" w:type="dxa"/>
            <w:tcMar>
              <w:left w:w="43" w:type="dxa"/>
              <w:right w:w="43" w:type="dxa"/>
            </w:tcMar>
          </w:tcPr>
          <w:p w:rsidR="00173DDB" w:rsidRDefault="00173DDB">
            <w:pPr>
              <w:autoSpaceDE w:val="0"/>
              <w:autoSpaceDN w:val="0"/>
              <w:adjustRightInd w:val="0"/>
              <w:spacing w:before="20" w:after="20"/>
              <w:jc w:val="center"/>
              <w:rPr>
                <w:color w:val="000000"/>
                <w:sz w:val="21"/>
              </w:rPr>
            </w:pPr>
            <w:r>
              <w:rPr>
                <w:color w:val="000000"/>
                <w:sz w:val="21"/>
              </w:rPr>
              <w:t>325</w:t>
            </w:r>
          </w:p>
        </w:tc>
      </w:tr>
      <w:tr w:rsidR="00173DDB">
        <w:tblPrEx>
          <w:tblCellMar>
            <w:top w:w="0" w:type="dxa"/>
            <w:bottom w:w="0" w:type="dxa"/>
          </w:tblCellMar>
        </w:tblPrEx>
        <w:trPr>
          <w:cantSplit/>
          <w:jc w:val="center"/>
        </w:trPr>
        <w:tc>
          <w:tcPr>
            <w:tcW w:w="4788" w:type="dxa"/>
            <w:tcMar>
              <w:left w:w="43" w:type="dxa"/>
              <w:right w:w="43" w:type="dxa"/>
            </w:tcMar>
          </w:tcPr>
          <w:p w:rsidR="00173DDB" w:rsidRDefault="00173DDB">
            <w:pPr>
              <w:autoSpaceDE w:val="0"/>
              <w:autoSpaceDN w:val="0"/>
              <w:adjustRightInd w:val="0"/>
              <w:spacing w:before="20" w:after="20"/>
              <w:rPr>
                <w:color w:val="000000"/>
                <w:sz w:val="21"/>
              </w:rPr>
            </w:pPr>
            <w:r>
              <w:rPr>
                <w:color w:val="000000"/>
                <w:sz w:val="21"/>
              </w:rPr>
              <w:t>Pharmaceutical manufacturing</w:t>
            </w:r>
          </w:p>
        </w:tc>
        <w:tc>
          <w:tcPr>
            <w:tcW w:w="2520" w:type="dxa"/>
            <w:tcMar>
              <w:left w:w="43" w:type="dxa"/>
              <w:right w:w="43" w:type="dxa"/>
            </w:tcMar>
          </w:tcPr>
          <w:p w:rsidR="00173DDB" w:rsidRDefault="00173DDB">
            <w:pPr>
              <w:autoSpaceDE w:val="0"/>
              <w:autoSpaceDN w:val="0"/>
              <w:adjustRightInd w:val="0"/>
              <w:spacing w:before="20" w:after="20"/>
              <w:jc w:val="center"/>
              <w:rPr>
                <w:color w:val="000000"/>
                <w:sz w:val="21"/>
              </w:rPr>
            </w:pPr>
            <w:r>
              <w:rPr>
                <w:color w:val="000000"/>
                <w:sz w:val="21"/>
              </w:rPr>
              <w:t>3254</w:t>
            </w:r>
          </w:p>
        </w:tc>
      </w:tr>
      <w:tr w:rsidR="00173DDB">
        <w:tblPrEx>
          <w:tblCellMar>
            <w:top w:w="0" w:type="dxa"/>
            <w:bottom w:w="0" w:type="dxa"/>
          </w:tblCellMar>
        </w:tblPrEx>
        <w:trPr>
          <w:cantSplit/>
          <w:jc w:val="center"/>
        </w:trPr>
        <w:tc>
          <w:tcPr>
            <w:tcW w:w="4788" w:type="dxa"/>
            <w:tcMar>
              <w:left w:w="43" w:type="dxa"/>
              <w:right w:w="43" w:type="dxa"/>
            </w:tcMar>
          </w:tcPr>
          <w:p w:rsidR="00173DDB" w:rsidRDefault="00173DDB">
            <w:pPr>
              <w:autoSpaceDE w:val="0"/>
              <w:autoSpaceDN w:val="0"/>
              <w:adjustRightInd w:val="0"/>
              <w:spacing w:before="20" w:after="20"/>
              <w:rPr>
                <w:color w:val="000000"/>
                <w:sz w:val="21"/>
              </w:rPr>
            </w:pPr>
            <w:r>
              <w:rPr>
                <w:color w:val="000000"/>
                <w:sz w:val="21"/>
              </w:rPr>
              <w:t>Petrochemical manufacturing</w:t>
            </w:r>
          </w:p>
        </w:tc>
        <w:tc>
          <w:tcPr>
            <w:tcW w:w="2520" w:type="dxa"/>
            <w:tcMar>
              <w:left w:w="43" w:type="dxa"/>
              <w:right w:w="43" w:type="dxa"/>
            </w:tcMar>
          </w:tcPr>
          <w:p w:rsidR="00173DDB" w:rsidRDefault="00173DDB">
            <w:pPr>
              <w:autoSpaceDE w:val="0"/>
              <w:autoSpaceDN w:val="0"/>
              <w:adjustRightInd w:val="0"/>
              <w:spacing w:before="20" w:after="20"/>
              <w:jc w:val="center"/>
              <w:rPr>
                <w:color w:val="000000"/>
                <w:sz w:val="21"/>
              </w:rPr>
            </w:pPr>
            <w:r>
              <w:rPr>
                <w:color w:val="000000"/>
                <w:sz w:val="21"/>
              </w:rPr>
              <w:t>324110</w:t>
            </w:r>
          </w:p>
        </w:tc>
      </w:tr>
      <w:tr w:rsidR="00173DDB">
        <w:tblPrEx>
          <w:tblCellMar>
            <w:top w:w="0" w:type="dxa"/>
            <w:bottom w:w="0" w:type="dxa"/>
          </w:tblCellMar>
        </w:tblPrEx>
        <w:trPr>
          <w:cantSplit/>
          <w:jc w:val="center"/>
        </w:trPr>
        <w:tc>
          <w:tcPr>
            <w:tcW w:w="4788" w:type="dxa"/>
            <w:tcMar>
              <w:left w:w="43" w:type="dxa"/>
              <w:right w:w="43" w:type="dxa"/>
            </w:tcMar>
          </w:tcPr>
          <w:p w:rsidR="00173DDB" w:rsidRDefault="00173DDB">
            <w:pPr>
              <w:autoSpaceDE w:val="0"/>
              <w:autoSpaceDN w:val="0"/>
              <w:adjustRightInd w:val="0"/>
              <w:spacing w:before="20" w:after="20"/>
              <w:rPr>
                <w:color w:val="000000"/>
                <w:sz w:val="21"/>
              </w:rPr>
            </w:pPr>
            <w:r>
              <w:rPr>
                <w:color w:val="000000"/>
                <w:sz w:val="21"/>
              </w:rPr>
              <w:t>Bakeries</w:t>
            </w:r>
          </w:p>
        </w:tc>
        <w:tc>
          <w:tcPr>
            <w:tcW w:w="2520" w:type="dxa"/>
            <w:tcMar>
              <w:left w:w="43" w:type="dxa"/>
              <w:right w:w="43" w:type="dxa"/>
            </w:tcMar>
          </w:tcPr>
          <w:p w:rsidR="00173DDB" w:rsidRDefault="00173DDB">
            <w:pPr>
              <w:autoSpaceDE w:val="0"/>
              <w:autoSpaceDN w:val="0"/>
              <w:adjustRightInd w:val="0"/>
              <w:spacing w:before="20" w:after="20"/>
              <w:jc w:val="center"/>
              <w:rPr>
                <w:color w:val="000000"/>
                <w:sz w:val="21"/>
              </w:rPr>
            </w:pPr>
            <w:r>
              <w:rPr>
                <w:color w:val="000000"/>
                <w:sz w:val="21"/>
              </w:rPr>
              <w:t>3118</w:t>
            </w:r>
          </w:p>
        </w:tc>
      </w:tr>
      <w:tr w:rsidR="00173DDB">
        <w:tblPrEx>
          <w:tblCellMar>
            <w:top w:w="0" w:type="dxa"/>
            <w:bottom w:w="0" w:type="dxa"/>
          </w:tblCellMar>
        </w:tblPrEx>
        <w:trPr>
          <w:cantSplit/>
          <w:jc w:val="center"/>
        </w:trPr>
        <w:tc>
          <w:tcPr>
            <w:tcW w:w="4788" w:type="dxa"/>
            <w:tcMar>
              <w:left w:w="43" w:type="dxa"/>
              <w:right w:w="43" w:type="dxa"/>
            </w:tcMar>
          </w:tcPr>
          <w:p w:rsidR="00173DDB" w:rsidRDefault="00173DDB">
            <w:pPr>
              <w:autoSpaceDE w:val="0"/>
              <w:autoSpaceDN w:val="0"/>
              <w:adjustRightInd w:val="0"/>
              <w:spacing w:before="20" w:after="20"/>
              <w:rPr>
                <w:color w:val="000000"/>
                <w:sz w:val="21"/>
              </w:rPr>
            </w:pPr>
            <w:r>
              <w:rPr>
                <w:color w:val="000000"/>
                <w:sz w:val="21"/>
              </w:rPr>
              <w:t>Food manufacturing other than bakeries</w:t>
            </w:r>
          </w:p>
        </w:tc>
        <w:tc>
          <w:tcPr>
            <w:tcW w:w="2520" w:type="dxa"/>
            <w:tcMar>
              <w:left w:w="43" w:type="dxa"/>
              <w:right w:w="43" w:type="dxa"/>
            </w:tcMar>
          </w:tcPr>
          <w:p w:rsidR="00173DDB" w:rsidRDefault="00173DDB">
            <w:pPr>
              <w:autoSpaceDE w:val="0"/>
              <w:autoSpaceDN w:val="0"/>
              <w:adjustRightInd w:val="0"/>
              <w:spacing w:before="20" w:after="20"/>
              <w:jc w:val="center"/>
              <w:rPr>
                <w:color w:val="000000"/>
                <w:sz w:val="21"/>
              </w:rPr>
            </w:pPr>
            <w:r>
              <w:rPr>
                <w:color w:val="000000"/>
                <w:sz w:val="21"/>
              </w:rPr>
              <w:t>311</w:t>
            </w:r>
          </w:p>
        </w:tc>
      </w:tr>
      <w:tr w:rsidR="00173DDB">
        <w:tblPrEx>
          <w:tblCellMar>
            <w:top w:w="0" w:type="dxa"/>
            <w:bottom w:w="0" w:type="dxa"/>
          </w:tblCellMar>
        </w:tblPrEx>
        <w:trPr>
          <w:cantSplit/>
          <w:jc w:val="center"/>
        </w:trPr>
        <w:tc>
          <w:tcPr>
            <w:tcW w:w="4788" w:type="dxa"/>
            <w:tcMar>
              <w:left w:w="43" w:type="dxa"/>
              <w:right w:w="43" w:type="dxa"/>
            </w:tcMar>
          </w:tcPr>
          <w:p w:rsidR="00173DDB" w:rsidRDefault="00173DDB">
            <w:pPr>
              <w:autoSpaceDE w:val="0"/>
              <w:autoSpaceDN w:val="0"/>
              <w:adjustRightInd w:val="0"/>
              <w:spacing w:before="20" w:after="20"/>
              <w:rPr>
                <w:color w:val="000000"/>
                <w:sz w:val="21"/>
              </w:rPr>
            </w:pPr>
            <w:r>
              <w:rPr>
                <w:color w:val="000000"/>
                <w:sz w:val="21"/>
              </w:rPr>
              <w:t>Breweries</w:t>
            </w:r>
          </w:p>
        </w:tc>
        <w:tc>
          <w:tcPr>
            <w:tcW w:w="2520" w:type="dxa"/>
            <w:tcMar>
              <w:left w:w="43" w:type="dxa"/>
              <w:right w:w="43" w:type="dxa"/>
            </w:tcMar>
          </w:tcPr>
          <w:p w:rsidR="00173DDB" w:rsidRDefault="00173DDB">
            <w:pPr>
              <w:autoSpaceDE w:val="0"/>
              <w:autoSpaceDN w:val="0"/>
              <w:adjustRightInd w:val="0"/>
              <w:spacing w:before="20" w:after="20"/>
              <w:jc w:val="center"/>
              <w:rPr>
                <w:color w:val="000000"/>
                <w:sz w:val="21"/>
              </w:rPr>
            </w:pPr>
            <w:r>
              <w:rPr>
                <w:color w:val="000000"/>
                <w:sz w:val="21"/>
              </w:rPr>
              <w:t>31212</w:t>
            </w:r>
          </w:p>
        </w:tc>
      </w:tr>
      <w:tr w:rsidR="00173DDB">
        <w:tblPrEx>
          <w:tblCellMar>
            <w:top w:w="0" w:type="dxa"/>
            <w:bottom w:w="0" w:type="dxa"/>
          </w:tblCellMar>
        </w:tblPrEx>
        <w:trPr>
          <w:cantSplit/>
          <w:jc w:val="center"/>
        </w:trPr>
        <w:tc>
          <w:tcPr>
            <w:tcW w:w="4788" w:type="dxa"/>
            <w:tcMar>
              <w:left w:w="43" w:type="dxa"/>
              <w:right w:w="43" w:type="dxa"/>
            </w:tcMar>
          </w:tcPr>
          <w:p w:rsidR="00173DDB" w:rsidRDefault="00173DDB">
            <w:pPr>
              <w:autoSpaceDE w:val="0"/>
              <w:autoSpaceDN w:val="0"/>
              <w:adjustRightInd w:val="0"/>
              <w:spacing w:before="20" w:after="20"/>
              <w:rPr>
                <w:color w:val="000000"/>
                <w:sz w:val="21"/>
              </w:rPr>
            </w:pPr>
            <w:r>
              <w:rPr>
                <w:color w:val="000000"/>
                <w:sz w:val="21"/>
              </w:rPr>
              <w:t>Soft drink manufacturing</w:t>
            </w:r>
          </w:p>
        </w:tc>
        <w:tc>
          <w:tcPr>
            <w:tcW w:w="2520" w:type="dxa"/>
            <w:tcMar>
              <w:left w:w="43" w:type="dxa"/>
              <w:right w:w="43" w:type="dxa"/>
            </w:tcMar>
          </w:tcPr>
          <w:p w:rsidR="00173DDB" w:rsidRDefault="00173DDB">
            <w:pPr>
              <w:autoSpaceDE w:val="0"/>
              <w:autoSpaceDN w:val="0"/>
              <w:adjustRightInd w:val="0"/>
              <w:spacing w:before="20" w:after="20"/>
              <w:jc w:val="center"/>
              <w:rPr>
                <w:color w:val="000000"/>
                <w:sz w:val="21"/>
              </w:rPr>
            </w:pPr>
            <w:r>
              <w:rPr>
                <w:color w:val="000000"/>
                <w:sz w:val="21"/>
              </w:rPr>
              <w:t>312111</w:t>
            </w:r>
          </w:p>
        </w:tc>
      </w:tr>
      <w:tr w:rsidR="00173DDB">
        <w:tblPrEx>
          <w:tblCellMar>
            <w:top w:w="0" w:type="dxa"/>
            <w:bottom w:w="0" w:type="dxa"/>
          </w:tblCellMar>
        </w:tblPrEx>
        <w:trPr>
          <w:cantSplit/>
          <w:jc w:val="center"/>
        </w:trPr>
        <w:tc>
          <w:tcPr>
            <w:tcW w:w="4788" w:type="dxa"/>
            <w:tcMar>
              <w:left w:w="43" w:type="dxa"/>
              <w:right w:w="43" w:type="dxa"/>
            </w:tcMar>
          </w:tcPr>
          <w:p w:rsidR="00173DDB" w:rsidRDefault="00173DDB">
            <w:pPr>
              <w:autoSpaceDE w:val="0"/>
              <w:autoSpaceDN w:val="0"/>
              <w:adjustRightInd w:val="0"/>
              <w:spacing w:before="20" w:after="20"/>
              <w:rPr>
                <w:color w:val="000000"/>
                <w:sz w:val="21"/>
              </w:rPr>
            </w:pPr>
            <w:r>
              <w:rPr>
                <w:color w:val="000000"/>
                <w:sz w:val="21"/>
              </w:rPr>
              <w:t>Bottled water manufacturing</w:t>
            </w:r>
          </w:p>
        </w:tc>
        <w:tc>
          <w:tcPr>
            <w:tcW w:w="2520" w:type="dxa"/>
            <w:tcMar>
              <w:left w:w="43" w:type="dxa"/>
              <w:right w:w="43" w:type="dxa"/>
            </w:tcMar>
          </w:tcPr>
          <w:p w:rsidR="00173DDB" w:rsidRDefault="00173DDB">
            <w:pPr>
              <w:autoSpaceDE w:val="0"/>
              <w:autoSpaceDN w:val="0"/>
              <w:adjustRightInd w:val="0"/>
              <w:spacing w:before="20" w:after="20"/>
              <w:jc w:val="center"/>
              <w:rPr>
                <w:color w:val="000000"/>
                <w:sz w:val="21"/>
              </w:rPr>
            </w:pPr>
            <w:r>
              <w:rPr>
                <w:color w:val="000000"/>
                <w:sz w:val="21"/>
              </w:rPr>
              <w:t>312112</w:t>
            </w:r>
          </w:p>
        </w:tc>
      </w:tr>
      <w:tr w:rsidR="00173DDB">
        <w:tblPrEx>
          <w:tblCellMar>
            <w:top w:w="0" w:type="dxa"/>
            <w:bottom w:w="0" w:type="dxa"/>
          </w:tblCellMar>
        </w:tblPrEx>
        <w:trPr>
          <w:cantSplit/>
          <w:jc w:val="center"/>
        </w:trPr>
        <w:tc>
          <w:tcPr>
            <w:tcW w:w="4788" w:type="dxa"/>
            <w:tcMar>
              <w:left w:w="43" w:type="dxa"/>
              <w:right w:w="43" w:type="dxa"/>
            </w:tcMar>
          </w:tcPr>
          <w:p w:rsidR="00173DDB" w:rsidRDefault="00173DDB">
            <w:pPr>
              <w:autoSpaceDE w:val="0"/>
              <w:autoSpaceDN w:val="0"/>
              <w:adjustRightInd w:val="0"/>
              <w:spacing w:before="20" w:after="20"/>
              <w:rPr>
                <w:color w:val="000000"/>
                <w:sz w:val="21"/>
              </w:rPr>
            </w:pPr>
            <w:r>
              <w:rPr>
                <w:color w:val="000000"/>
                <w:sz w:val="21"/>
              </w:rPr>
              <w:t>Ice manufacturing</w:t>
            </w:r>
          </w:p>
        </w:tc>
        <w:tc>
          <w:tcPr>
            <w:tcW w:w="2520" w:type="dxa"/>
            <w:tcMar>
              <w:left w:w="43" w:type="dxa"/>
              <w:right w:w="43" w:type="dxa"/>
            </w:tcMar>
          </w:tcPr>
          <w:p w:rsidR="00173DDB" w:rsidRDefault="00173DDB">
            <w:pPr>
              <w:autoSpaceDE w:val="0"/>
              <w:autoSpaceDN w:val="0"/>
              <w:adjustRightInd w:val="0"/>
              <w:spacing w:before="20" w:after="20"/>
              <w:jc w:val="center"/>
              <w:rPr>
                <w:color w:val="000000"/>
                <w:sz w:val="21"/>
              </w:rPr>
            </w:pPr>
            <w:r>
              <w:rPr>
                <w:color w:val="000000"/>
                <w:sz w:val="21"/>
              </w:rPr>
              <w:t>312113</w:t>
            </w:r>
          </w:p>
        </w:tc>
      </w:tr>
      <w:tr w:rsidR="00173DDB">
        <w:tblPrEx>
          <w:tblCellMar>
            <w:top w:w="0" w:type="dxa"/>
            <w:bottom w:w="0" w:type="dxa"/>
          </w:tblCellMar>
        </w:tblPrEx>
        <w:trPr>
          <w:cantSplit/>
          <w:jc w:val="center"/>
        </w:trPr>
        <w:tc>
          <w:tcPr>
            <w:tcW w:w="4788" w:type="dxa"/>
            <w:tcMar>
              <w:left w:w="43" w:type="dxa"/>
              <w:right w:w="43" w:type="dxa"/>
            </w:tcMar>
          </w:tcPr>
          <w:p w:rsidR="00173DDB" w:rsidRDefault="00173DDB">
            <w:pPr>
              <w:autoSpaceDE w:val="0"/>
              <w:autoSpaceDN w:val="0"/>
              <w:adjustRightInd w:val="0"/>
              <w:spacing w:before="20" w:after="20"/>
              <w:rPr>
                <w:color w:val="000000"/>
                <w:sz w:val="21"/>
              </w:rPr>
            </w:pPr>
            <w:r>
              <w:rPr>
                <w:color w:val="000000"/>
                <w:sz w:val="21"/>
              </w:rPr>
              <w:t>Ice rinks</w:t>
            </w:r>
          </w:p>
        </w:tc>
        <w:tc>
          <w:tcPr>
            <w:tcW w:w="2520" w:type="dxa"/>
            <w:tcMar>
              <w:left w:w="43" w:type="dxa"/>
              <w:right w:w="43" w:type="dxa"/>
            </w:tcMar>
          </w:tcPr>
          <w:p w:rsidR="00173DDB" w:rsidRDefault="00173DDB">
            <w:pPr>
              <w:autoSpaceDE w:val="0"/>
              <w:autoSpaceDN w:val="0"/>
              <w:adjustRightInd w:val="0"/>
              <w:spacing w:before="20" w:after="20"/>
              <w:jc w:val="center"/>
              <w:rPr>
                <w:color w:val="000000"/>
                <w:sz w:val="21"/>
              </w:rPr>
            </w:pPr>
            <w:r>
              <w:rPr>
                <w:color w:val="000000"/>
                <w:sz w:val="21"/>
              </w:rPr>
              <w:t>713940</w:t>
            </w:r>
          </w:p>
        </w:tc>
      </w:tr>
      <w:tr w:rsidR="00173DDB">
        <w:tblPrEx>
          <w:tblCellMar>
            <w:top w:w="0" w:type="dxa"/>
            <w:bottom w:w="0" w:type="dxa"/>
          </w:tblCellMar>
        </w:tblPrEx>
        <w:trPr>
          <w:cantSplit/>
          <w:jc w:val="center"/>
        </w:trPr>
        <w:tc>
          <w:tcPr>
            <w:tcW w:w="4788" w:type="dxa"/>
            <w:tcBorders>
              <w:top w:val="single" w:sz="6" w:space="0" w:color="auto"/>
            </w:tcBorders>
            <w:tcMar>
              <w:left w:w="43" w:type="dxa"/>
              <w:right w:w="43" w:type="dxa"/>
            </w:tcMar>
          </w:tcPr>
          <w:p w:rsidR="00173DDB" w:rsidRDefault="00173DDB">
            <w:pPr>
              <w:autoSpaceDE w:val="0"/>
              <w:autoSpaceDN w:val="0"/>
              <w:adjustRightInd w:val="0"/>
              <w:spacing w:before="20" w:after="20"/>
              <w:rPr>
                <w:color w:val="000000"/>
                <w:sz w:val="21"/>
              </w:rPr>
            </w:pPr>
          </w:p>
        </w:tc>
        <w:tc>
          <w:tcPr>
            <w:tcW w:w="2520" w:type="dxa"/>
            <w:tcBorders>
              <w:top w:val="single" w:sz="6" w:space="0" w:color="auto"/>
            </w:tcBorders>
            <w:tcMar>
              <w:left w:w="43" w:type="dxa"/>
              <w:right w:w="43" w:type="dxa"/>
            </w:tcMar>
          </w:tcPr>
          <w:p w:rsidR="00173DDB" w:rsidRDefault="00173DDB">
            <w:pPr>
              <w:autoSpaceDE w:val="0"/>
              <w:autoSpaceDN w:val="0"/>
              <w:adjustRightInd w:val="0"/>
              <w:spacing w:before="20" w:after="20"/>
              <w:jc w:val="center"/>
              <w:rPr>
                <w:color w:val="000000"/>
                <w:sz w:val="21"/>
              </w:rPr>
            </w:pPr>
          </w:p>
        </w:tc>
      </w:tr>
      <w:tr w:rsidR="00173DDB">
        <w:tblPrEx>
          <w:tblCellMar>
            <w:top w:w="0" w:type="dxa"/>
            <w:bottom w:w="0" w:type="dxa"/>
          </w:tblCellMar>
        </w:tblPrEx>
        <w:trPr>
          <w:cantSplit/>
          <w:jc w:val="center"/>
        </w:trPr>
        <w:tc>
          <w:tcPr>
            <w:tcW w:w="7308" w:type="dxa"/>
            <w:gridSpan w:val="2"/>
            <w:tcBorders>
              <w:bottom w:val="single" w:sz="6" w:space="0" w:color="auto"/>
            </w:tcBorders>
            <w:tcMar>
              <w:left w:w="43" w:type="dxa"/>
              <w:right w:w="43" w:type="dxa"/>
            </w:tcMar>
          </w:tcPr>
          <w:p w:rsidR="00173DDB" w:rsidRDefault="00173DDB">
            <w:pPr>
              <w:pStyle w:val="TableTitle"/>
              <w:spacing w:before="20" w:after="20"/>
            </w:pPr>
            <w:r>
              <w:t>Table 1. Affected business sectors and NAICS codes (cont.)</w:t>
            </w:r>
          </w:p>
        </w:tc>
      </w:tr>
      <w:tr w:rsidR="00173DDB">
        <w:tblPrEx>
          <w:tblCellMar>
            <w:top w:w="0" w:type="dxa"/>
            <w:bottom w:w="0" w:type="dxa"/>
          </w:tblCellMar>
        </w:tblPrEx>
        <w:trPr>
          <w:cantSplit/>
          <w:jc w:val="center"/>
        </w:trPr>
        <w:tc>
          <w:tcPr>
            <w:tcW w:w="4788" w:type="dxa"/>
            <w:tcBorders>
              <w:top w:val="single" w:sz="6" w:space="0" w:color="auto"/>
              <w:bottom w:val="single" w:sz="6" w:space="0" w:color="auto"/>
            </w:tcBorders>
            <w:tcMar>
              <w:left w:w="43" w:type="dxa"/>
              <w:right w:w="43" w:type="dxa"/>
            </w:tcMar>
          </w:tcPr>
          <w:p w:rsidR="00173DDB" w:rsidRDefault="00173DDB">
            <w:pPr>
              <w:spacing w:before="20" w:after="20"/>
              <w:rPr>
                <w:b/>
                <w:sz w:val="21"/>
              </w:rPr>
            </w:pPr>
            <w:r>
              <w:rPr>
                <w:b/>
                <w:sz w:val="21"/>
              </w:rPr>
              <w:t>Business sector</w:t>
            </w:r>
          </w:p>
        </w:tc>
        <w:tc>
          <w:tcPr>
            <w:tcW w:w="2520" w:type="dxa"/>
            <w:tcBorders>
              <w:top w:val="single" w:sz="6" w:space="0" w:color="auto"/>
              <w:bottom w:val="single" w:sz="6" w:space="0" w:color="auto"/>
            </w:tcBorders>
            <w:tcMar>
              <w:left w:w="43" w:type="dxa"/>
              <w:right w:w="43" w:type="dxa"/>
            </w:tcMar>
          </w:tcPr>
          <w:p w:rsidR="00173DDB" w:rsidRDefault="00173DDB">
            <w:pPr>
              <w:spacing w:before="20" w:after="20"/>
              <w:jc w:val="center"/>
              <w:rPr>
                <w:b/>
                <w:sz w:val="21"/>
              </w:rPr>
            </w:pPr>
            <w:r>
              <w:rPr>
                <w:b/>
                <w:sz w:val="21"/>
              </w:rPr>
              <w:t>NAICS code</w:t>
            </w:r>
          </w:p>
        </w:tc>
      </w:tr>
      <w:tr w:rsidR="00173DDB">
        <w:tblPrEx>
          <w:tblCellMar>
            <w:top w:w="0" w:type="dxa"/>
            <w:bottom w:w="0" w:type="dxa"/>
          </w:tblCellMar>
        </w:tblPrEx>
        <w:trPr>
          <w:cantSplit/>
          <w:jc w:val="center"/>
        </w:trPr>
        <w:tc>
          <w:tcPr>
            <w:tcW w:w="4788" w:type="dxa"/>
            <w:tcMar>
              <w:left w:w="43" w:type="dxa"/>
              <w:right w:w="43" w:type="dxa"/>
            </w:tcMar>
          </w:tcPr>
          <w:p w:rsidR="00173DDB" w:rsidRDefault="00173DDB">
            <w:pPr>
              <w:autoSpaceDE w:val="0"/>
              <w:autoSpaceDN w:val="0"/>
              <w:adjustRightInd w:val="0"/>
              <w:spacing w:before="20" w:after="20"/>
              <w:rPr>
                <w:color w:val="000000"/>
                <w:sz w:val="21"/>
              </w:rPr>
            </w:pPr>
            <w:r>
              <w:rPr>
                <w:color w:val="000000"/>
                <w:sz w:val="21"/>
              </w:rPr>
              <w:t>Elementary and secondary schools</w:t>
            </w:r>
          </w:p>
        </w:tc>
        <w:tc>
          <w:tcPr>
            <w:tcW w:w="2520" w:type="dxa"/>
            <w:tcMar>
              <w:left w:w="43" w:type="dxa"/>
              <w:right w:w="43" w:type="dxa"/>
            </w:tcMar>
          </w:tcPr>
          <w:p w:rsidR="00173DDB" w:rsidRDefault="00173DDB">
            <w:pPr>
              <w:autoSpaceDE w:val="0"/>
              <w:autoSpaceDN w:val="0"/>
              <w:adjustRightInd w:val="0"/>
              <w:spacing w:before="20" w:after="20"/>
              <w:jc w:val="center"/>
              <w:rPr>
                <w:color w:val="000000"/>
                <w:sz w:val="21"/>
              </w:rPr>
            </w:pPr>
            <w:r>
              <w:rPr>
                <w:color w:val="000000"/>
                <w:sz w:val="21"/>
              </w:rPr>
              <w:t>6111</w:t>
            </w:r>
          </w:p>
        </w:tc>
      </w:tr>
      <w:tr w:rsidR="00173DDB">
        <w:tblPrEx>
          <w:tblCellMar>
            <w:top w:w="0" w:type="dxa"/>
            <w:bottom w:w="0" w:type="dxa"/>
          </w:tblCellMar>
        </w:tblPrEx>
        <w:trPr>
          <w:cantSplit/>
          <w:jc w:val="center"/>
        </w:trPr>
        <w:tc>
          <w:tcPr>
            <w:tcW w:w="4788" w:type="dxa"/>
            <w:tcMar>
              <w:left w:w="43" w:type="dxa"/>
              <w:right w:w="43" w:type="dxa"/>
            </w:tcMar>
          </w:tcPr>
          <w:p w:rsidR="00173DDB" w:rsidRDefault="00173DDB">
            <w:pPr>
              <w:autoSpaceDE w:val="0"/>
              <w:autoSpaceDN w:val="0"/>
              <w:adjustRightInd w:val="0"/>
              <w:spacing w:before="20" w:after="20"/>
              <w:rPr>
                <w:color w:val="000000"/>
                <w:sz w:val="21"/>
              </w:rPr>
            </w:pPr>
            <w:r>
              <w:rPr>
                <w:color w:val="000000"/>
                <w:sz w:val="21"/>
              </w:rPr>
              <w:t>Junior colleges, colleges, and universities</w:t>
            </w:r>
          </w:p>
        </w:tc>
        <w:tc>
          <w:tcPr>
            <w:tcW w:w="2520" w:type="dxa"/>
            <w:tcMar>
              <w:left w:w="43" w:type="dxa"/>
              <w:right w:w="43" w:type="dxa"/>
            </w:tcMar>
          </w:tcPr>
          <w:p w:rsidR="00173DDB" w:rsidRDefault="00173DDB">
            <w:pPr>
              <w:autoSpaceDE w:val="0"/>
              <w:autoSpaceDN w:val="0"/>
              <w:adjustRightInd w:val="0"/>
              <w:spacing w:before="20" w:after="20"/>
              <w:jc w:val="center"/>
              <w:rPr>
                <w:color w:val="000000"/>
                <w:sz w:val="21"/>
              </w:rPr>
            </w:pPr>
            <w:r>
              <w:rPr>
                <w:color w:val="000000"/>
                <w:sz w:val="21"/>
              </w:rPr>
              <w:t>6112, 6113</w:t>
            </w:r>
          </w:p>
        </w:tc>
      </w:tr>
      <w:tr w:rsidR="00173DDB">
        <w:tblPrEx>
          <w:tblCellMar>
            <w:top w:w="0" w:type="dxa"/>
            <w:bottom w:w="0" w:type="dxa"/>
          </w:tblCellMar>
        </w:tblPrEx>
        <w:trPr>
          <w:cantSplit/>
          <w:jc w:val="center"/>
        </w:trPr>
        <w:tc>
          <w:tcPr>
            <w:tcW w:w="4788" w:type="dxa"/>
            <w:tcMar>
              <w:left w:w="43" w:type="dxa"/>
              <w:right w:w="43" w:type="dxa"/>
            </w:tcMar>
          </w:tcPr>
          <w:p w:rsidR="00173DDB" w:rsidRDefault="00173DDB">
            <w:pPr>
              <w:autoSpaceDE w:val="0"/>
              <w:autoSpaceDN w:val="0"/>
              <w:adjustRightInd w:val="0"/>
              <w:spacing w:before="20" w:after="20"/>
              <w:rPr>
                <w:color w:val="000000"/>
                <w:sz w:val="21"/>
              </w:rPr>
            </w:pPr>
            <w:r>
              <w:rPr>
                <w:color w:val="000000"/>
                <w:sz w:val="21"/>
              </w:rPr>
              <w:t>Hospitals</w:t>
            </w:r>
          </w:p>
        </w:tc>
        <w:tc>
          <w:tcPr>
            <w:tcW w:w="2520" w:type="dxa"/>
            <w:tcMar>
              <w:left w:w="43" w:type="dxa"/>
              <w:right w:w="43" w:type="dxa"/>
            </w:tcMar>
          </w:tcPr>
          <w:p w:rsidR="00173DDB" w:rsidRDefault="00173DDB">
            <w:pPr>
              <w:autoSpaceDE w:val="0"/>
              <w:autoSpaceDN w:val="0"/>
              <w:adjustRightInd w:val="0"/>
              <w:spacing w:before="20" w:after="20"/>
              <w:jc w:val="center"/>
              <w:rPr>
                <w:color w:val="000000"/>
                <w:sz w:val="21"/>
              </w:rPr>
            </w:pPr>
            <w:r>
              <w:rPr>
                <w:color w:val="000000"/>
                <w:sz w:val="21"/>
              </w:rPr>
              <w:t>622</w:t>
            </w:r>
          </w:p>
        </w:tc>
      </w:tr>
      <w:tr w:rsidR="00173DDB">
        <w:tblPrEx>
          <w:tblCellMar>
            <w:top w:w="0" w:type="dxa"/>
            <w:bottom w:w="0" w:type="dxa"/>
          </w:tblCellMar>
        </w:tblPrEx>
        <w:trPr>
          <w:cantSplit/>
          <w:jc w:val="center"/>
        </w:trPr>
        <w:tc>
          <w:tcPr>
            <w:tcW w:w="4788" w:type="dxa"/>
            <w:tcMar>
              <w:left w:w="43" w:type="dxa"/>
              <w:right w:w="43" w:type="dxa"/>
            </w:tcMar>
          </w:tcPr>
          <w:p w:rsidR="00173DDB" w:rsidRDefault="00173DDB">
            <w:pPr>
              <w:autoSpaceDE w:val="0"/>
              <w:autoSpaceDN w:val="0"/>
              <w:adjustRightInd w:val="0"/>
              <w:spacing w:before="20" w:after="20"/>
              <w:rPr>
                <w:color w:val="000000"/>
                <w:sz w:val="21"/>
              </w:rPr>
            </w:pPr>
            <w:r>
              <w:rPr>
                <w:color w:val="000000"/>
                <w:sz w:val="21"/>
              </w:rPr>
              <w:t>Commercial industrial machinery and equipment (not automotive and electronic) repair and maintenance</w:t>
            </w:r>
          </w:p>
        </w:tc>
        <w:tc>
          <w:tcPr>
            <w:tcW w:w="2520" w:type="dxa"/>
            <w:tcMar>
              <w:left w:w="43" w:type="dxa"/>
              <w:right w:w="43" w:type="dxa"/>
            </w:tcMar>
            <w:vAlign w:val="bottom"/>
          </w:tcPr>
          <w:p w:rsidR="00173DDB" w:rsidRDefault="00173DDB">
            <w:pPr>
              <w:autoSpaceDE w:val="0"/>
              <w:autoSpaceDN w:val="0"/>
              <w:adjustRightInd w:val="0"/>
              <w:spacing w:before="20" w:after="20"/>
              <w:jc w:val="center"/>
              <w:rPr>
                <w:color w:val="000000"/>
                <w:sz w:val="21"/>
              </w:rPr>
            </w:pPr>
            <w:r>
              <w:rPr>
                <w:color w:val="000000"/>
                <w:sz w:val="21"/>
              </w:rPr>
              <w:t>81131</w:t>
            </w:r>
          </w:p>
        </w:tc>
      </w:tr>
      <w:tr w:rsidR="00173DDB">
        <w:tblPrEx>
          <w:tblCellMar>
            <w:top w:w="0" w:type="dxa"/>
            <w:bottom w:w="0" w:type="dxa"/>
          </w:tblCellMar>
        </w:tblPrEx>
        <w:trPr>
          <w:cantSplit/>
          <w:jc w:val="center"/>
        </w:trPr>
        <w:tc>
          <w:tcPr>
            <w:tcW w:w="4788" w:type="dxa"/>
            <w:tcBorders>
              <w:bottom w:val="single" w:sz="6" w:space="0" w:color="auto"/>
            </w:tcBorders>
            <w:tcMar>
              <w:left w:w="43" w:type="dxa"/>
              <w:right w:w="43" w:type="dxa"/>
            </w:tcMar>
          </w:tcPr>
          <w:p w:rsidR="00173DDB" w:rsidRDefault="00173DDB">
            <w:pPr>
              <w:autoSpaceDE w:val="0"/>
              <w:autoSpaceDN w:val="0"/>
              <w:adjustRightInd w:val="0"/>
              <w:spacing w:before="20" w:after="20"/>
              <w:rPr>
                <w:color w:val="000000"/>
                <w:sz w:val="21"/>
              </w:rPr>
            </w:pPr>
            <w:r>
              <w:rPr>
                <w:color w:val="000000"/>
                <w:sz w:val="21"/>
              </w:rPr>
              <w:t>Plumbing, heating, air conditioning contractors</w:t>
            </w:r>
          </w:p>
        </w:tc>
        <w:tc>
          <w:tcPr>
            <w:tcW w:w="2520" w:type="dxa"/>
            <w:tcBorders>
              <w:bottom w:val="single" w:sz="6" w:space="0" w:color="auto"/>
            </w:tcBorders>
            <w:tcMar>
              <w:left w:w="43" w:type="dxa"/>
              <w:right w:w="43" w:type="dxa"/>
            </w:tcMar>
          </w:tcPr>
          <w:p w:rsidR="00173DDB" w:rsidRDefault="00173DDB">
            <w:pPr>
              <w:autoSpaceDE w:val="0"/>
              <w:autoSpaceDN w:val="0"/>
              <w:adjustRightInd w:val="0"/>
              <w:spacing w:before="20" w:after="20"/>
              <w:jc w:val="center"/>
              <w:rPr>
                <w:color w:val="000000"/>
                <w:sz w:val="21"/>
              </w:rPr>
            </w:pPr>
            <w:r>
              <w:rPr>
                <w:color w:val="000000"/>
                <w:sz w:val="21"/>
              </w:rPr>
              <w:t>238220</w:t>
            </w:r>
          </w:p>
        </w:tc>
      </w:tr>
    </w:tbl>
    <w:p w:rsidR="00173DDB" w:rsidRDefault="00173DDB">
      <w:pPr>
        <w:pBdr>
          <w:top w:val="single" w:sz="6" w:space="0" w:color="FFFFFF"/>
          <w:left w:val="single" w:sz="6" w:space="0" w:color="FFFFFF"/>
          <w:bottom w:val="single" w:sz="6" w:space="0" w:color="FFFFFF"/>
          <w:right w:val="single" w:sz="6" w:space="0" w:color="FFFFFF"/>
        </w:pBdr>
        <w:tabs>
          <w:tab w:val="left" w:pos="-1440"/>
        </w:tabs>
        <w:spacing w:after="220"/>
        <w:rPr>
          <w:b/>
          <w:bCs/>
        </w:rPr>
      </w:pPr>
    </w:p>
    <w:p w:rsidR="00173DDB" w:rsidRDefault="00173DDB">
      <w:pPr>
        <w:pBdr>
          <w:top w:val="single" w:sz="6" w:space="0" w:color="FFFFFF"/>
          <w:left w:val="single" w:sz="6" w:space="0" w:color="FFFFFF"/>
          <w:bottom w:val="single" w:sz="6" w:space="0" w:color="FFFFFF"/>
          <w:right w:val="single" w:sz="6" w:space="0" w:color="FFFFFF"/>
        </w:pBdr>
        <w:tabs>
          <w:tab w:val="left" w:pos="-1440"/>
        </w:tabs>
        <w:spacing w:after="220"/>
      </w:pPr>
      <w:r>
        <w:rPr>
          <w:b/>
          <w:bCs/>
        </w:rPr>
        <w:t>4(b)</w:t>
      </w:r>
      <w:r>
        <w:rPr>
          <w:b/>
          <w:bCs/>
        </w:rPr>
        <w:tab/>
        <w:t>Information Requested</w:t>
      </w:r>
    </w:p>
    <w:p w:rsidR="00173DDB" w:rsidRDefault="00173DDB">
      <w:pPr>
        <w:pBdr>
          <w:top w:val="single" w:sz="6" w:space="0" w:color="FFFFFF"/>
          <w:left w:val="single" w:sz="6" w:space="0" w:color="FFFFFF"/>
          <w:bottom w:val="single" w:sz="6" w:space="0" w:color="FFFFFF"/>
          <w:right w:val="single" w:sz="6" w:space="0" w:color="FFFFFF"/>
        </w:pBdr>
        <w:spacing w:after="220"/>
      </w:pPr>
      <w:r>
        <w:rPr>
          <w:i/>
          <w:iCs/>
        </w:rPr>
        <w:lastRenderedPageBreak/>
        <w:t xml:space="preserve">(i) </w:t>
      </w:r>
      <w:r>
        <w:rPr>
          <w:i/>
          <w:iCs/>
        </w:rPr>
        <w:tab/>
        <w:t>Data Items – Recordkeeping Requirements</w:t>
      </w:r>
    </w:p>
    <w:p w:rsidR="00173DDB" w:rsidRDefault="00173DDB">
      <w:pPr>
        <w:pBdr>
          <w:top w:val="single" w:sz="6" w:space="0" w:color="FFFFFF"/>
          <w:left w:val="single" w:sz="6" w:space="0" w:color="FFFFFF"/>
          <w:bottom w:val="single" w:sz="6" w:space="0" w:color="FFFFFF"/>
          <w:right w:val="single" w:sz="6" w:space="0" w:color="FFFFFF"/>
        </w:pBdr>
        <w:spacing w:after="220"/>
      </w:pPr>
      <w:r>
        <w:t xml:space="preserve">All records pursuant to this ICR must be kept onsite at the respondent’s place of business for a minimum of 3 years. Records are required in accordance with 40 CFR §82.166. </w:t>
      </w:r>
    </w:p>
    <w:p w:rsidR="00173DDB" w:rsidRDefault="00173DDB">
      <w:pPr>
        <w:pStyle w:val="Heading7"/>
        <w:spacing w:after="220"/>
      </w:pPr>
      <w:r>
        <w:t>Recordkeeping</w:t>
      </w:r>
    </w:p>
    <w:p w:rsidR="00173DDB" w:rsidRDefault="00173DDB">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1440"/>
        </w:tabs>
        <w:spacing w:after="220"/>
        <w:rPr>
          <w:rFonts w:ascii="Times New Roman" w:hAnsi="Times New Roman"/>
        </w:rPr>
      </w:pPr>
      <w:r>
        <w:rPr>
          <w:rFonts w:ascii="Times New Roman" w:hAnsi="Times New Roman"/>
        </w:rPr>
        <w:t>Information must be maintained by respondents in the following situations:</w:t>
      </w:r>
    </w:p>
    <w:p w:rsidR="00173DDB" w:rsidRDefault="00173DDB">
      <w:pPr>
        <w:pStyle w:val="Level1"/>
        <w:widowControl/>
        <w:numPr>
          <w:ilvl w:val="0"/>
          <w:numId w:val="6"/>
        </w:numPr>
        <w:pBdr>
          <w:top w:val="single" w:sz="6" w:space="0" w:color="FFFFFF"/>
          <w:left w:val="single" w:sz="6" w:space="0" w:color="FFFFFF"/>
          <w:bottom w:val="single" w:sz="6" w:space="0" w:color="FFFFFF"/>
          <w:right w:val="single" w:sz="6" w:space="0" w:color="FFFFFF"/>
        </w:pBdr>
        <w:tabs>
          <w:tab w:val="left" w:pos="-1440"/>
        </w:tabs>
        <w:spacing w:after="220"/>
        <w:rPr>
          <w:rFonts w:ascii="Times New Roman" w:hAnsi="Times New Roman"/>
        </w:rPr>
      </w:pPr>
      <w:r>
        <w:rPr>
          <w:rFonts w:ascii="Times New Roman" w:hAnsi="Times New Roman"/>
          <w:b/>
          <w:bCs/>
        </w:rPr>
        <w:t>Repairing appliances:</w:t>
      </w:r>
      <w:r>
        <w:rPr>
          <w:rFonts w:ascii="Times New Roman" w:hAnsi="Times New Roman"/>
        </w:rPr>
        <w:t xml:space="preserve"> Information on the quantity and type of refrigerant added to the appliance; the identity and location of the appliance; the date and type of service performed; the physical location of any leaks; the amount and type of refrigerant recovered from the appliance; the date, method, and results of initial verification and follow-up verification tests; the full charge of the appliance; the calculated leak rate of the appliance; and the type and quantity of refrigerant purchased to be maintained by the owner or operator of the appliance.</w:t>
      </w:r>
    </w:p>
    <w:p w:rsidR="00173DDB" w:rsidRDefault="00173DDB">
      <w:pPr>
        <w:pStyle w:val="Level1"/>
        <w:widowControl/>
        <w:numPr>
          <w:ilvl w:val="0"/>
          <w:numId w:val="6"/>
        </w:numPr>
        <w:pBdr>
          <w:top w:val="single" w:sz="6" w:space="0" w:color="FFFFFF"/>
          <w:left w:val="single" w:sz="6" w:space="0" w:color="FFFFFF"/>
          <w:bottom w:val="single" w:sz="6" w:space="0" w:color="FFFFFF"/>
          <w:right w:val="single" w:sz="6" w:space="0" w:color="FFFFFF"/>
        </w:pBdr>
        <w:tabs>
          <w:tab w:val="left" w:pos="-1440"/>
        </w:tabs>
        <w:spacing w:after="220"/>
        <w:rPr>
          <w:rFonts w:ascii="Times New Roman" w:hAnsi="Times New Roman"/>
        </w:rPr>
      </w:pPr>
      <w:r>
        <w:rPr>
          <w:rFonts w:ascii="Times New Roman" w:hAnsi="Times New Roman"/>
          <w:b/>
          <w:bCs/>
        </w:rPr>
        <w:t>Retrofitting or retiring appliances:</w:t>
      </w:r>
      <w:r>
        <w:rPr>
          <w:rFonts w:ascii="Times New Roman" w:hAnsi="Times New Roman"/>
        </w:rPr>
        <w:t xml:space="preserve"> Information on identification and location of the appliance; type and full charge of the refrigerant used by the leaking appliance; location of all leaks and efforts taken to address leaks before retrofit or retirement; type and full charge of the substitute to which the appliance will be converted, if retrofitted; itemized procedure for retrofit including, but not limited to, the procedure for flushing old refrigerant and lubricant, changes in lubricants, filters, gaskets, o-rings, or valves; the plan for the disposition of recovered refrigerant; the plan for the disposition of the appliance, if retired; and a 6-month schedule for the complete retrofit or retirement of the appliance to be maintained by the owner or operator of the appliance. </w:t>
      </w:r>
    </w:p>
    <w:p w:rsidR="00173DDB" w:rsidRDefault="00173DDB">
      <w:pPr>
        <w:pStyle w:val="Level1"/>
        <w:keepLines/>
        <w:widowControl/>
        <w:numPr>
          <w:ilvl w:val="0"/>
          <w:numId w:val="6"/>
        </w:numPr>
        <w:pBdr>
          <w:top w:val="single" w:sz="6" w:space="0" w:color="FFFFFF"/>
          <w:left w:val="single" w:sz="6" w:space="0" w:color="FFFFFF"/>
          <w:bottom w:val="single" w:sz="6" w:space="0" w:color="FFFFFF"/>
          <w:right w:val="single" w:sz="6" w:space="0" w:color="FFFFFF"/>
        </w:pBdr>
        <w:tabs>
          <w:tab w:val="left" w:pos="-1440"/>
        </w:tabs>
        <w:spacing w:after="220"/>
        <w:rPr>
          <w:rFonts w:ascii="Times New Roman" w:hAnsi="Times New Roman"/>
        </w:rPr>
      </w:pPr>
      <w:r>
        <w:rPr>
          <w:rFonts w:ascii="Times New Roman" w:hAnsi="Times New Roman"/>
          <w:b/>
          <w:bCs/>
        </w:rPr>
        <w:t>Transferring refrigerant recovered from appliances to a different owner:</w:t>
      </w:r>
      <w:r>
        <w:rPr>
          <w:rFonts w:ascii="Times New Roman" w:hAnsi="Times New Roman"/>
        </w:rPr>
        <w:t xml:space="preserve"> Information on types and amounts of refrigerant, name and address of the facility accepting used refrigerant, and the date that the refrigerant was transferred to be maintained by the owner or operator of the appliance.</w:t>
      </w:r>
    </w:p>
    <w:p w:rsidR="00173DDB" w:rsidRDefault="00173DDB">
      <w:pPr>
        <w:pStyle w:val="Level1"/>
        <w:widowControl/>
        <w:numPr>
          <w:ilvl w:val="0"/>
          <w:numId w:val="6"/>
        </w:numPr>
        <w:pBdr>
          <w:top w:val="single" w:sz="6" w:space="0" w:color="FFFFFF"/>
          <w:left w:val="single" w:sz="6" w:space="0" w:color="FFFFFF"/>
          <w:bottom w:val="single" w:sz="6" w:space="0" w:color="FFFFFF"/>
          <w:right w:val="single" w:sz="6" w:space="0" w:color="FFFFFF"/>
        </w:pBdr>
        <w:tabs>
          <w:tab w:val="left" w:pos="-1440"/>
        </w:tabs>
        <w:spacing w:after="220"/>
        <w:rPr>
          <w:rFonts w:ascii="Times New Roman" w:hAnsi="Times New Roman"/>
        </w:rPr>
      </w:pPr>
      <w:r>
        <w:rPr>
          <w:rFonts w:ascii="Times New Roman" w:hAnsi="Times New Roman"/>
          <w:b/>
          <w:bCs/>
        </w:rPr>
        <w:t>In the event of being unable to complete repairs in 30 days due to radiological conditions or unavailability of components:</w:t>
      </w:r>
      <w:r>
        <w:rPr>
          <w:rFonts w:ascii="Times New Roman" w:hAnsi="Times New Roman"/>
        </w:rPr>
        <w:t xml:space="preserve"> A written statement describing the radiological conditions that prevent immediate repair of the appliance; or a written statement from the appliance or component manufacturer or distributor estimating a date of delivery for parts required to complete repairs of the appliance to be maintained by the owner or operator of the appliance. </w:t>
      </w:r>
    </w:p>
    <w:p w:rsidR="00173DDB" w:rsidRDefault="00173DDB">
      <w:pPr>
        <w:pStyle w:val="Level1"/>
        <w:widowControl/>
        <w:numPr>
          <w:ilvl w:val="0"/>
          <w:numId w:val="6"/>
        </w:numPr>
        <w:pBdr>
          <w:top w:val="single" w:sz="6" w:space="0" w:color="FFFFFF"/>
          <w:left w:val="single" w:sz="6" w:space="0" w:color="FFFFFF"/>
          <w:bottom w:val="single" w:sz="6" w:space="0" w:color="FFFFFF"/>
          <w:right w:val="single" w:sz="6" w:space="0" w:color="FFFFFF"/>
        </w:pBdr>
        <w:tabs>
          <w:tab w:val="left" w:pos="-1440"/>
        </w:tabs>
        <w:spacing w:after="240"/>
        <w:rPr>
          <w:rFonts w:ascii="Times New Roman" w:hAnsi="Times New Roman"/>
        </w:rPr>
      </w:pPr>
      <w:r>
        <w:rPr>
          <w:rFonts w:ascii="Times New Roman" w:hAnsi="Times New Roman"/>
          <w:b/>
          <w:bCs/>
        </w:rPr>
        <w:t>In the event of being unable to complete retrofit plans within 6 month, due to the unavailability of one or more of the appliance’s components that have a quoted delivery time of more than 12 weeks:</w:t>
      </w:r>
      <w:r>
        <w:rPr>
          <w:rFonts w:ascii="Times New Roman" w:hAnsi="Times New Roman"/>
        </w:rPr>
        <w:t xml:space="preserve"> A written statement from the appliance or component manufacturer or distributor estimating a date of delivery for parts required to complete the retrofit plan; and documentation on the actual date of delivery of the appliance component to be maintained by the owner or operator of the appliance.</w:t>
      </w:r>
    </w:p>
    <w:p w:rsidR="00173DDB" w:rsidRDefault="00173DDB">
      <w:pPr>
        <w:pStyle w:val="Level1"/>
        <w:widowControl/>
        <w:numPr>
          <w:ilvl w:val="0"/>
          <w:numId w:val="6"/>
        </w:numPr>
        <w:pBdr>
          <w:top w:val="single" w:sz="6" w:space="0" w:color="FFFFFF"/>
          <w:left w:val="single" w:sz="6" w:space="0" w:color="FFFFFF"/>
          <w:bottom w:val="single" w:sz="6" w:space="0" w:color="FFFFFF"/>
          <w:right w:val="single" w:sz="6" w:space="0" w:color="FFFFFF"/>
        </w:pBdr>
        <w:tabs>
          <w:tab w:val="left" w:pos="-1440"/>
        </w:tabs>
        <w:spacing w:after="240"/>
        <w:rPr>
          <w:rFonts w:ascii="Times New Roman" w:hAnsi="Times New Roman"/>
        </w:rPr>
      </w:pPr>
      <w:r>
        <w:rPr>
          <w:rFonts w:ascii="Times New Roman" w:hAnsi="Times New Roman"/>
          <w:b/>
          <w:bCs/>
        </w:rPr>
        <w:lastRenderedPageBreak/>
        <w:t>Determining full charge:</w:t>
      </w:r>
      <w:r>
        <w:rPr>
          <w:rFonts w:ascii="Times New Roman" w:hAnsi="Times New Roman"/>
        </w:rPr>
        <w:t xml:space="preserve"> Appliance or appliance component data, measurements, calculations and assumptions used to determine the full charge, as defined at §82.152, to be maintained by the owner or operator of the appliance.</w:t>
      </w:r>
    </w:p>
    <w:p w:rsidR="00173DDB" w:rsidRDefault="00173DDB">
      <w:pPr>
        <w:pStyle w:val="Level1"/>
        <w:widowControl/>
        <w:numPr>
          <w:ilvl w:val="0"/>
          <w:numId w:val="6"/>
        </w:numPr>
        <w:pBdr>
          <w:top w:val="single" w:sz="6" w:space="0" w:color="FFFFFF"/>
          <w:left w:val="single" w:sz="6" w:space="0" w:color="FFFFFF"/>
          <w:bottom w:val="single" w:sz="6" w:space="0" w:color="FFFFFF"/>
          <w:right w:val="single" w:sz="6" w:space="0" w:color="FFFFFF"/>
        </w:pBdr>
        <w:tabs>
          <w:tab w:val="left" w:pos="-1440"/>
        </w:tabs>
        <w:spacing w:after="240"/>
        <w:rPr>
          <w:rFonts w:ascii="Times New Roman" w:hAnsi="Times New Roman"/>
        </w:rPr>
      </w:pPr>
      <w:r>
        <w:rPr>
          <w:rFonts w:ascii="Times New Roman" w:hAnsi="Times New Roman"/>
          <w:b/>
          <w:bCs/>
        </w:rPr>
        <w:t>Seeking an exemption from the requirement to calculate the leak rate upon each addition of refrigerant, as specified in §82.152, due to a seasonal variance</w:t>
      </w:r>
      <w:r>
        <w:rPr>
          <w:rFonts w:ascii="Times New Roman" w:hAnsi="Times New Roman"/>
        </w:rPr>
        <w:t xml:space="preserve">: Information on the amount and type of refrigerant and the date that the refrigerant was added to the appliance and the date that refrigerant was removed from the appliance to counter the seasonal adjustment to be maintained by the owner or operator of the appliance. </w:t>
      </w:r>
    </w:p>
    <w:p w:rsidR="00173DDB" w:rsidRDefault="00173DDB">
      <w:pPr>
        <w:pStyle w:val="Level1"/>
        <w:widowControl/>
        <w:numPr>
          <w:ilvl w:val="0"/>
          <w:numId w:val="6"/>
        </w:numPr>
        <w:pBdr>
          <w:top w:val="single" w:sz="6" w:space="0" w:color="FFFFFF"/>
          <w:left w:val="single" w:sz="6" w:space="0" w:color="FFFFFF"/>
          <w:bottom w:val="single" w:sz="6" w:space="0" w:color="FFFFFF"/>
          <w:right w:val="single" w:sz="6" w:space="0" w:color="FFFFFF"/>
        </w:pBdr>
        <w:tabs>
          <w:tab w:val="left" w:pos="-1440"/>
        </w:tabs>
        <w:spacing w:after="240"/>
        <w:rPr>
          <w:rFonts w:ascii="Times New Roman" w:hAnsi="Times New Roman"/>
        </w:rPr>
      </w:pPr>
      <w:r>
        <w:rPr>
          <w:rFonts w:ascii="Times New Roman" w:hAnsi="Times New Roman"/>
          <w:b/>
          <w:bCs/>
        </w:rPr>
        <w:t>During service, repair, and maintenance of appliances:</w:t>
      </w:r>
      <w:r>
        <w:rPr>
          <w:rFonts w:ascii="Times New Roman" w:hAnsi="Times New Roman"/>
        </w:rPr>
        <w:t xml:space="preserve"> Information on the amount and type of refrigerant recovered, but not returned to the appliance, if any, to be maintained by the service technician. </w:t>
      </w:r>
    </w:p>
    <w:p w:rsidR="00173DDB" w:rsidRDefault="00173DDB">
      <w:pPr>
        <w:pStyle w:val="Heading5"/>
        <w:spacing w:before="0"/>
        <w:ind w:left="0"/>
      </w:pPr>
      <w:r>
        <w:t xml:space="preserve">Respondent Activities </w:t>
      </w:r>
    </w:p>
    <w:p w:rsidR="00173DDB" w:rsidRDefault="00173DDB">
      <w:r>
        <w:t>Service technicians and owners/operators of equipment are required to maintain records for a minimum of 3 years.</w:t>
      </w:r>
    </w:p>
    <w:p w:rsidR="00173DDB" w:rsidRDefault="00173DDB">
      <w:pPr>
        <w:pStyle w:val="Heading1"/>
        <w:numPr>
          <w:ilvl w:val="0"/>
          <w:numId w:val="0"/>
        </w:numPr>
        <w:rPr>
          <w:sz w:val="24"/>
        </w:rPr>
      </w:pPr>
      <w:r>
        <w:rPr>
          <w:sz w:val="24"/>
        </w:rPr>
        <w:t xml:space="preserve">5. THE INFORMATION COLLECTED </w:t>
      </w:r>
      <w:r>
        <w:rPr>
          <w:sz w:val="24"/>
        </w:rPr>
        <w:sym w:font="Symbol" w:char="F02D"/>
      </w:r>
      <w:r>
        <w:rPr>
          <w:sz w:val="24"/>
        </w:rPr>
        <w:t xml:space="preserve"> AGENCY ACTIVITIES, COLLECTION METHODOLOGY, AND INFORMATION MANAGEMENT</w:t>
      </w:r>
    </w:p>
    <w:p w:rsidR="00173DDB" w:rsidRDefault="00173DDB">
      <w:pPr>
        <w:pStyle w:val="Header"/>
        <w:widowControl/>
        <w:tabs>
          <w:tab w:val="clear" w:pos="4320"/>
          <w:tab w:val="clear" w:pos="8640"/>
        </w:tabs>
        <w:autoSpaceDE/>
        <w:autoSpaceDN/>
        <w:adjustRightInd/>
        <w:spacing w:after="240"/>
      </w:pPr>
      <w:r>
        <w:t xml:space="preserve">The revised regulations require the maintenance of information by respondents. However, the information is not collected or managed by EPA. No agency burden is incurred under these revised regulations. </w:t>
      </w:r>
    </w:p>
    <w:p w:rsidR="00173DDB" w:rsidRDefault="00173DDB">
      <w:pPr>
        <w:pStyle w:val="Heading1"/>
        <w:numPr>
          <w:ilvl w:val="0"/>
          <w:numId w:val="0"/>
        </w:numPr>
        <w:rPr>
          <w:sz w:val="24"/>
        </w:rPr>
      </w:pPr>
      <w:r>
        <w:rPr>
          <w:sz w:val="24"/>
        </w:rPr>
        <w:t xml:space="preserve">6. </w:t>
      </w:r>
      <w:r>
        <w:rPr>
          <w:sz w:val="24"/>
        </w:rPr>
        <w:tab/>
        <w:t>ESTIMATING THE BURDEN AND COST OF THE COLLECTION</w:t>
      </w:r>
    </w:p>
    <w:p w:rsidR="00173DDB" w:rsidRDefault="00173DDB">
      <w:pPr>
        <w:pStyle w:val="Heading2"/>
        <w:numPr>
          <w:ilvl w:val="0"/>
          <w:numId w:val="0"/>
        </w:numPr>
        <w:spacing w:before="0"/>
        <w:rPr>
          <w:sz w:val="24"/>
          <w:u w:val="single"/>
        </w:rPr>
      </w:pPr>
      <w:r>
        <w:rPr>
          <w:sz w:val="24"/>
        </w:rPr>
        <w:t xml:space="preserve">6(a) </w:t>
      </w:r>
      <w:r>
        <w:rPr>
          <w:sz w:val="24"/>
        </w:rPr>
        <w:tab/>
        <w:t>Estimating Respondent Burden</w:t>
      </w:r>
    </w:p>
    <w:p w:rsidR="00173DDB" w:rsidRDefault="00173DDB">
      <w:pPr>
        <w:pStyle w:val="Header"/>
        <w:widowControl/>
        <w:tabs>
          <w:tab w:val="clear" w:pos="4320"/>
          <w:tab w:val="clear" w:pos="8640"/>
        </w:tabs>
        <w:autoSpaceDE/>
        <w:autoSpaceDN/>
        <w:adjustRightInd/>
        <w:spacing w:after="240"/>
      </w:pPr>
      <w:r>
        <w:t>EPA estimated the reporting burden associated with revising the trigger rates for leak repairs using information on the number of appliances requiring services, the rate of successful repairs from the regulatory impact analysis conducted for the revised regulations, input from industry experts on seasonal variance, and time estimates for maintaining records from the previous ICR developed in 2007 for the emissions reductions program.</w:t>
      </w:r>
      <w:r>
        <w:rPr>
          <w:rStyle w:val="FootnoteReference"/>
        </w:rPr>
        <w:footnoteReference w:id="1"/>
      </w:r>
      <w:r>
        <w:t xml:space="preserve"> </w:t>
      </w:r>
    </w:p>
    <w:p w:rsidR="00173DDB" w:rsidRDefault="00173DDB">
      <w:r>
        <w:t xml:space="preserve">Table 2 shows the type and number of appliances affected by revised trigger rates for leak repair by sector. This information was obtained during the development of the regulatory impact analysis. The revised rule requires owners or operators to conduct an initial verification test immediately upon completion of repairs, and a follow-up verification test within 30 days of completing the repair (but no sooner than 24 hours after the repair and recharge of the appliance). If the initial or follow-up verification test indicates that the repairs have not been </w:t>
      </w:r>
      <w:r>
        <w:lastRenderedPageBreak/>
        <w:t xml:space="preserve">successful, the owner or operator must make second repair attempt within 30 days of the first failed verification, and must conduct an initial and a follow-up verification test on the second repair. If the second verification again indicates the repair was not successful, the owner or operator must conduct a third repair with an initial and a follow-up verification test. An affected appliance that has experienced three failed verification tests within a consecutive six-month period must be retired or retrofitted to use a refrigerant (or substitute) with a lower ozone depleting potential (ODP). </w:t>
      </w:r>
    </w:p>
    <w:p w:rsidR="00173DDB" w:rsidRDefault="00173DDB">
      <w:pPr>
        <w:pStyle w:val="Header"/>
        <w:widowControl/>
        <w:tabs>
          <w:tab w:val="clear" w:pos="4320"/>
          <w:tab w:val="clear" w:pos="8640"/>
        </w:tabs>
        <w:autoSpaceDE/>
        <w:autoSpaceDN/>
        <w:adjustRightInd/>
        <w:spacing w:after="240"/>
      </w:pPr>
      <w:r>
        <w:t xml:space="preserve">For this analysis, it is assumed that after the final verification test in each of the three repair cycles, the service technicians would provide a detailed invoice containing all the information required under the rule to be kept as a record. Therefore, a successful first repair would result in one repair invoice, a successful second repair would result in two repair invoices (one for the failed first repair and one for the successful second repair), and a successful third repair would result in three repair invoices (two for the failed repairs and one for the successful repair). A retrofit or replacement would result in three repair records (one for each of the three failed repairs). The final column of Table 2 indicates the number of successful repairs at each stage (first, second, or third successful repairs plus the retrofit/replacement after three failed repairs). The number of invoices shown in final column of Table 2 is equal to the number of records that must be filed and subsequently maintained for three years. </w:t>
      </w:r>
    </w:p>
    <w:p w:rsidR="00173DDB" w:rsidRDefault="00173DDB">
      <w:pPr>
        <w:pStyle w:val="Header"/>
        <w:widowControl/>
        <w:tabs>
          <w:tab w:val="clear" w:pos="4320"/>
          <w:tab w:val="clear" w:pos="8640"/>
        </w:tabs>
        <w:autoSpaceDE/>
        <w:autoSpaceDN/>
        <w:adjustRightInd/>
        <w:spacing w:after="240"/>
      </w:pPr>
      <w:r>
        <w:t>The annual number of events where records have to be maintained is described below:</w:t>
      </w:r>
    </w:p>
    <w:p w:rsidR="00173DDB" w:rsidRDefault="00173DDB">
      <w:pPr>
        <w:pStyle w:val="Level1"/>
        <w:widowControl/>
        <w:numPr>
          <w:ilvl w:val="0"/>
          <w:numId w:val="6"/>
        </w:numPr>
        <w:pBdr>
          <w:top w:val="single" w:sz="6" w:space="0" w:color="FFFFFF"/>
          <w:left w:val="single" w:sz="6" w:space="0" w:color="FFFFFF"/>
          <w:bottom w:val="single" w:sz="6" w:space="0" w:color="FFFFFF"/>
          <w:right w:val="single" w:sz="6" w:space="0" w:color="FFFFFF"/>
        </w:pBdr>
        <w:tabs>
          <w:tab w:val="left" w:pos="-1440"/>
        </w:tabs>
        <w:spacing w:after="240"/>
        <w:rPr>
          <w:rFonts w:ascii="Times New Roman" w:hAnsi="Times New Roman"/>
        </w:rPr>
      </w:pPr>
      <w:r>
        <w:rPr>
          <w:rFonts w:ascii="Times New Roman" w:hAnsi="Times New Roman"/>
          <w:b/>
          <w:bCs/>
        </w:rPr>
        <w:t>Repairing appliances:</w:t>
      </w:r>
      <w:r>
        <w:rPr>
          <w:rFonts w:ascii="Times New Roman" w:hAnsi="Times New Roman"/>
        </w:rPr>
        <w:t xml:space="preserve"> The total annual number of invoices with the required information is 163,208, as shown in Table 2. Based on the previous ICR, </w:t>
      </w:r>
      <w:r>
        <w:t>EPA estimates that it typically takes 2 minutes to file and maintain the paperwork.</w:t>
      </w:r>
    </w:p>
    <w:p w:rsidR="00173DDB" w:rsidRDefault="00173DDB">
      <w:pPr>
        <w:pStyle w:val="Level1"/>
        <w:widowControl/>
        <w:numPr>
          <w:ilvl w:val="0"/>
          <w:numId w:val="6"/>
        </w:numPr>
        <w:pBdr>
          <w:top w:val="single" w:sz="6" w:space="0" w:color="FFFFFF"/>
          <w:left w:val="single" w:sz="6" w:space="0" w:color="FFFFFF"/>
          <w:bottom w:val="single" w:sz="6" w:space="0" w:color="FFFFFF"/>
          <w:right w:val="single" w:sz="6" w:space="0" w:color="FFFFFF"/>
        </w:pBdr>
        <w:tabs>
          <w:tab w:val="left" w:pos="-1440"/>
        </w:tabs>
        <w:spacing w:after="240"/>
        <w:rPr>
          <w:rFonts w:ascii="Times New Roman" w:hAnsi="Times New Roman"/>
        </w:rPr>
      </w:pPr>
      <w:r>
        <w:rPr>
          <w:rFonts w:ascii="Times New Roman" w:hAnsi="Times New Roman"/>
          <w:b/>
          <w:bCs/>
        </w:rPr>
        <w:t>Retrofitting or retiring appliances:</w:t>
      </w:r>
      <w:r>
        <w:rPr>
          <w:rFonts w:ascii="Times New Roman" w:hAnsi="Times New Roman"/>
        </w:rPr>
        <w:t xml:space="preserve"> The total annual number of retrofits or retirement is 134, as shown in Table 2. Based on the previous ICR, </w:t>
      </w:r>
      <w:r>
        <w:t>EPA estimates that it typically takes 2 minutes to file and maintain the paperwork.</w:t>
      </w:r>
    </w:p>
    <w:p w:rsidR="00173DDB" w:rsidRDefault="00173DDB">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1440"/>
        </w:tabs>
        <w:spacing w:after="240"/>
        <w:ind w:left="720" w:hanging="720"/>
        <w:rPr>
          <w:rFonts w:ascii="Times New Roman" w:hAnsi="Times New Roman"/>
        </w:rPr>
      </w:pPr>
    </w:p>
    <w:p w:rsidR="00173DDB" w:rsidRDefault="00173DDB">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1440"/>
        </w:tabs>
        <w:spacing w:after="240"/>
        <w:ind w:left="720" w:hanging="720"/>
        <w:rPr>
          <w:rFonts w:ascii="Times New Roman" w:hAnsi="Times New Roman"/>
        </w:rPr>
        <w:sectPr w:rsidR="00173DDB">
          <w:footerReference w:type="default" r:id="rId7"/>
          <w:pgSz w:w="12240" w:h="15840"/>
          <w:pgMar w:top="1440" w:right="1440" w:bottom="1440" w:left="1440" w:header="1080" w:footer="1080" w:gutter="0"/>
          <w:cols w:space="720"/>
          <w:noEndnote/>
          <w:docGrid w:linePitch="326"/>
        </w:sectPr>
      </w:pPr>
    </w:p>
    <w:tbl>
      <w:tblPr>
        <w:tblW w:w="0" w:type="auto"/>
        <w:tblLayout w:type="fixed"/>
        <w:tblCellMar>
          <w:left w:w="30" w:type="dxa"/>
          <w:right w:w="30" w:type="dxa"/>
        </w:tblCellMar>
        <w:tblLook w:val="0000"/>
      </w:tblPr>
      <w:tblGrid>
        <w:gridCol w:w="2160"/>
        <w:gridCol w:w="1577"/>
        <w:gridCol w:w="1080"/>
        <w:gridCol w:w="1584"/>
        <w:gridCol w:w="1262"/>
        <w:gridCol w:w="1440"/>
        <w:gridCol w:w="1296"/>
        <w:gridCol w:w="1080"/>
        <w:gridCol w:w="1496"/>
      </w:tblGrid>
      <w:tr w:rsidR="00173DDB">
        <w:tblPrEx>
          <w:tblCellMar>
            <w:top w:w="0" w:type="dxa"/>
            <w:bottom w:w="0" w:type="dxa"/>
          </w:tblCellMar>
        </w:tblPrEx>
        <w:trPr>
          <w:cantSplit/>
        </w:trPr>
        <w:tc>
          <w:tcPr>
            <w:tcW w:w="12975" w:type="dxa"/>
            <w:gridSpan w:val="9"/>
            <w:tcBorders>
              <w:bottom w:val="single" w:sz="6" w:space="0" w:color="auto"/>
            </w:tcBorders>
            <w:vAlign w:val="bottom"/>
          </w:tcPr>
          <w:p w:rsidR="00173DDB" w:rsidRDefault="00173DDB">
            <w:pPr>
              <w:autoSpaceDE w:val="0"/>
              <w:autoSpaceDN w:val="0"/>
              <w:adjustRightInd w:val="0"/>
              <w:spacing w:before="20" w:after="20"/>
              <w:rPr>
                <w:b/>
                <w:bCs/>
                <w:color w:val="000000"/>
                <w:szCs w:val="16"/>
              </w:rPr>
            </w:pPr>
            <w:r>
              <w:rPr>
                <w:b/>
                <w:bCs/>
                <w:color w:val="000000"/>
                <w:szCs w:val="16"/>
              </w:rPr>
              <w:lastRenderedPageBreak/>
              <w:t>Table 2. Appliances requiring repair, number of successful repairs at each stage, and the total number of invoices to be filed and maintained</w:t>
            </w:r>
          </w:p>
        </w:tc>
      </w:tr>
      <w:tr w:rsidR="00173DDB">
        <w:tblPrEx>
          <w:tblCellMar>
            <w:top w:w="0" w:type="dxa"/>
            <w:bottom w:w="0" w:type="dxa"/>
          </w:tblCellMar>
        </w:tblPrEx>
        <w:tc>
          <w:tcPr>
            <w:tcW w:w="2160" w:type="dxa"/>
            <w:tcBorders>
              <w:top w:val="single" w:sz="6" w:space="0" w:color="auto"/>
              <w:bottom w:val="single" w:sz="6" w:space="0" w:color="auto"/>
            </w:tcBorders>
            <w:vAlign w:val="bottom"/>
          </w:tcPr>
          <w:p w:rsidR="00173DDB" w:rsidRDefault="00173DDB">
            <w:pPr>
              <w:autoSpaceDE w:val="0"/>
              <w:autoSpaceDN w:val="0"/>
              <w:adjustRightInd w:val="0"/>
              <w:spacing w:before="20" w:after="20"/>
              <w:rPr>
                <w:b/>
                <w:bCs/>
                <w:color w:val="000000"/>
                <w:sz w:val="21"/>
                <w:szCs w:val="16"/>
              </w:rPr>
            </w:pPr>
            <w:r>
              <w:rPr>
                <w:b/>
                <w:bCs/>
                <w:color w:val="000000"/>
                <w:sz w:val="21"/>
                <w:szCs w:val="16"/>
              </w:rPr>
              <w:t>Sector</w:t>
            </w:r>
          </w:p>
        </w:tc>
        <w:tc>
          <w:tcPr>
            <w:tcW w:w="1577" w:type="dxa"/>
            <w:tcBorders>
              <w:top w:val="single" w:sz="6" w:space="0" w:color="auto"/>
              <w:bottom w:val="single" w:sz="6" w:space="0" w:color="auto"/>
            </w:tcBorders>
            <w:vAlign w:val="bottom"/>
          </w:tcPr>
          <w:p w:rsidR="00173DDB" w:rsidRDefault="00173DDB">
            <w:pPr>
              <w:autoSpaceDE w:val="0"/>
              <w:autoSpaceDN w:val="0"/>
              <w:adjustRightInd w:val="0"/>
              <w:spacing w:before="20" w:after="20"/>
              <w:jc w:val="center"/>
              <w:rPr>
                <w:b/>
                <w:bCs/>
                <w:color w:val="000000"/>
                <w:sz w:val="21"/>
                <w:szCs w:val="16"/>
              </w:rPr>
            </w:pPr>
            <w:r>
              <w:rPr>
                <w:b/>
                <w:bCs/>
                <w:color w:val="000000"/>
                <w:sz w:val="21"/>
                <w:szCs w:val="16"/>
              </w:rPr>
              <w:t xml:space="preserve">System </w:t>
            </w:r>
            <w:r>
              <w:rPr>
                <w:b/>
                <w:bCs/>
                <w:color w:val="000000"/>
                <w:sz w:val="21"/>
                <w:szCs w:val="16"/>
              </w:rPr>
              <w:br/>
              <w:t>type</w:t>
            </w:r>
          </w:p>
        </w:tc>
        <w:tc>
          <w:tcPr>
            <w:tcW w:w="1080" w:type="dxa"/>
            <w:tcBorders>
              <w:top w:val="single" w:sz="6" w:space="0" w:color="auto"/>
              <w:bottom w:val="single" w:sz="6" w:space="0" w:color="auto"/>
            </w:tcBorders>
            <w:vAlign w:val="bottom"/>
          </w:tcPr>
          <w:p w:rsidR="00173DDB" w:rsidRDefault="00173DDB">
            <w:pPr>
              <w:autoSpaceDE w:val="0"/>
              <w:autoSpaceDN w:val="0"/>
              <w:adjustRightInd w:val="0"/>
              <w:spacing w:before="20" w:after="20"/>
              <w:jc w:val="center"/>
              <w:rPr>
                <w:b/>
                <w:bCs/>
                <w:color w:val="000000"/>
                <w:sz w:val="21"/>
                <w:szCs w:val="16"/>
              </w:rPr>
            </w:pPr>
            <w:r>
              <w:rPr>
                <w:b/>
                <w:bCs/>
                <w:color w:val="000000"/>
                <w:sz w:val="21"/>
                <w:szCs w:val="16"/>
              </w:rPr>
              <w:t>Total no. of appliances</w:t>
            </w:r>
          </w:p>
        </w:tc>
        <w:tc>
          <w:tcPr>
            <w:tcW w:w="1584" w:type="dxa"/>
            <w:tcBorders>
              <w:top w:val="single" w:sz="6" w:space="0" w:color="auto"/>
              <w:bottom w:val="single" w:sz="6" w:space="0" w:color="auto"/>
            </w:tcBorders>
            <w:vAlign w:val="bottom"/>
          </w:tcPr>
          <w:p w:rsidR="00173DDB" w:rsidRDefault="00173DDB">
            <w:pPr>
              <w:autoSpaceDE w:val="0"/>
              <w:autoSpaceDN w:val="0"/>
              <w:adjustRightInd w:val="0"/>
              <w:spacing w:before="20" w:after="20"/>
              <w:jc w:val="center"/>
              <w:rPr>
                <w:b/>
                <w:bCs/>
                <w:color w:val="000000"/>
                <w:sz w:val="21"/>
                <w:szCs w:val="16"/>
              </w:rPr>
            </w:pPr>
            <w:r>
              <w:rPr>
                <w:b/>
                <w:bCs/>
                <w:color w:val="000000"/>
                <w:sz w:val="21"/>
                <w:szCs w:val="16"/>
              </w:rPr>
              <w:t>No. of appliances requiring repair</w:t>
            </w:r>
          </w:p>
        </w:tc>
        <w:tc>
          <w:tcPr>
            <w:tcW w:w="1262" w:type="dxa"/>
            <w:tcBorders>
              <w:top w:val="single" w:sz="6" w:space="0" w:color="auto"/>
              <w:bottom w:val="single" w:sz="6" w:space="0" w:color="auto"/>
            </w:tcBorders>
            <w:vAlign w:val="bottom"/>
          </w:tcPr>
          <w:p w:rsidR="00173DDB" w:rsidRDefault="00173DDB">
            <w:pPr>
              <w:autoSpaceDE w:val="0"/>
              <w:autoSpaceDN w:val="0"/>
              <w:adjustRightInd w:val="0"/>
              <w:spacing w:before="20" w:after="20"/>
              <w:jc w:val="center"/>
              <w:rPr>
                <w:b/>
                <w:bCs/>
                <w:color w:val="000000"/>
                <w:sz w:val="21"/>
                <w:szCs w:val="16"/>
              </w:rPr>
            </w:pPr>
            <w:r>
              <w:rPr>
                <w:b/>
                <w:bCs/>
                <w:color w:val="000000"/>
                <w:sz w:val="21"/>
                <w:szCs w:val="16"/>
              </w:rPr>
              <w:t>No. of successful first repairs</w:t>
            </w:r>
          </w:p>
        </w:tc>
        <w:tc>
          <w:tcPr>
            <w:tcW w:w="1440" w:type="dxa"/>
            <w:tcBorders>
              <w:top w:val="single" w:sz="6" w:space="0" w:color="auto"/>
              <w:bottom w:val="single" w:sz="6" w:space="0" w:color="auto"/>
            </w:tcBorders>
            <w:vAlign w:val="bottom"/>
          </w:tcPr>
          <w:p w:rsidR="00173DDB" w:rsidRDefault="00173DDB">
            <w:pPr>
              <w:autoSpaceDE w:val="0"/>
              <w:autoSpaceDN w:val="0"/>
              <w:adjustRightInd w:val="0"/>
              <w:spacing w:before="20" w:after="20"/>
              <w:jc w:val="center"/>
              <w:rPr>
                <w:b/>
                <w:bCs/>
                <w:color w:val="000000"/>
                <w:sz w:val="21"/>
                <w:szCs w:val="16"/>
              </w:rPr>
            </w:pPr>
            <w:r>
              <w:rPr>
                <w:b/>
                <w:bCs/>
                <w:color w:val="000000"/>
                <w:sz w:val="21"/>
                <w:szCs w:val="16"/>
              </w:rPr>
              <w:t>No. of successful second repairs</w:t>
            </w:r>
          </w:p>
        </w:tc>
        <w:tc>
          <w:tcPr>
            <w:tcW w:w="1296" w:type="dxa"/>
            <w:tcBorders>
              <w:top w:val="single" w:sz="6" w:space="0" w:color="auto"/>
              <w:bottom w:val="single" w:sz="6" w:space="0" w:color="auto"/>
            </w:tcBorders>
            <w:vAlign w:val="bottom"/>
          </w:tcPr>
          <w:p w:rsidR="00173DDB" w:rsidRDefault="00173DDB">
            <w:pPr>
              <w:autoSpaceDE w:val="0"/>
              <w:autoSpaceDN w:val="0"/>
              <w:adjustRightInd w:val="0"/>
              <w:spacing w:before="20" w:after="20"/>
              <w:jc w:val="center"/>
              <w:rPr>
                <w:b/>
                <w:bCs/>
                <w:color w:val="000000"/>
                <w:sz w:val="21"/>
                <w:szCs w:val="16"/>
              </w:rPr>
            </w:pPr>
            <w:r>
              <w:rPr>
                <w:b/>
                <w:bCs/>
                <w:color w:val="000000"/>
                <w:sz w:val="21"/>
                <w:szCs w:val="16"/>
              </w:rPr>
              <w:t>No. of successful third repairs</w:t>
            </w:r>
          </w:p>
        </w:tc>
        <w:tc>
          <w:tcPr>
            <w:tcW w:w="1080" w:type="dxa"/>
            <w:tcBorders>
              <w:top w:val="single" w:sz="6" w:space="0" w:color="auto"/>
              <w:bottom w:val="single" w:sz="6" w:space="0" w:color="auto"/>
            </w:tcBorders>
            <w:vAlign w:val="bottom"/>
          </w:tcPr>
          <w:p w:rsidR="00173DDB" w:rsidRDefault="00173DDB">
            <w:pPr>
              <w:autoSpaceDE w:val="0"/>
              <w:autoSpaceDN w:val="0"/>
              <w:adjustRightInd w:val="0"/>
              <w:spacing w:before="20" w:after="20"/>
              <w:jc w:val="center"/>
              <w:rPr>
                <w:b/>
                <w:bCs/>
                <w:color w:val="000000"/>
                <w:sz w:val="21"/>
                <w:szCs w:val="16"/>
              </w:rPr>
            </w:pPr>
            <w:r>
              <w:rPr>
                <w:b/>
                <w:bCs/>
                <w:color w:val="000000"/>
                <w:sz w:val="21"/>
                <w:szCs w:val="16"/>
              </w:rPr>
              <w:t>No. of retrofits or retirement</w:t>
            </w:r>
          </w:p>
        </w:tc>
        <w:tc>
          <w:tcPr>
            <w:tcW w:w="1496" w:type="dxa"/>
            <w:tcBorders>
              <w:top w:val="single" w:sz="6" w:space="0" w:color="auto"/>
              <w:bottom w:val="single" w:sz="6" w:space="0" w:color="auto"/>
            </w:tcBorders>
            <w:vAlign w:val="bottom"/>
          </w:tcPr>
          <w:p w:rsidR="00173DDB" w:rsidRDefault="00173DDB">
            <w:pPr>
              <w:autoSpaceDE w:val="0"/>
              <w:autoSpaceDN w:val="0"/>
              <w:adjustRightInd w:val="0"/>
              <w:spacing w:before="20" w:after="20"/>
              <w:jc w:val="center"/>
              <w:rPr>
                <w:b/>
                <w:bCs/>
                <w:color w:val="000000"/>
                <w:sz w:val="21"/>
                <w:szCs w:val="16"/>
              </w:rPr>
            </w:pPr>
            <w:r>
              <w:rPr>
                <w:b/>
                <w:bCs/>
                <w:color w:val="000000"/>
                <w:sz w:val="21"/>
                <w:szCs w:val="16"/>
              </w:rPr>
              <w:t>No. of invoices with required information</w:t>
            </w:r>
          </w:p>
        </w:tc>
      </w:tr>
      <w:tr w:rsidR="00173DDB">
        <w:tblPrEx>
          <w:tblCellMar>
            <w:top w:w="0" w:type="dxa"/>
            <w:bottom w:w="0" w:type="dxa"/>
          </w:tblCellMar>
        </w:tblPrEx>
        <w:trPr>
          <w:cantSplit/>
        </w:trPr>
        <w:tc>
          <w:tcPr>
            <w:tcW w:w="2160" w:type="dxa"/>
            <w:vMerge w:val="restart"/>
            <w:tcBorders>
              <w:top w:val="single" w:sz="6"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Supermarkets and grocery stores</w:t>
            </w:r>
          </w:p>
        </w:tc>
        <w:tc>
          <w:tcPr>
            <w:tcW w:w="1577" w:type="dxa"/>
            <w:tcBorders>
              <w:top w:val="single" w:sz="6"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Commercial</w:t>
            </w:r>
          </w:p>
        </w:tc>
        <w:tc>
          <w:tcPr>
            <w:tcW w:w="1080" w:type="dxa"/>
            <w:tcBorders>
              <w:top w:val="single" w:sz="6" w:space="0" w:color="auto"/>
            </w:tcBorders>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262,887</w:t>
            </w:r>
          </w:p>
        </w:tc>
        <w:tc>
          <w:tcPr>
            <w:tcW w:w="1584" w:type="dxa"/>
            <w:tcBorders>
              <w:top w:val="single" w:sz="6" w:space="0" w:color="auto"/>
            </w:tcBorders>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61,516</w:t>
            </w:r>
          </w:p>
        </w:tc>
        <w:tc>
          <w:tcPr>
            <w:tcW w:w="1262" w:type="dxa"/>
            <w:tcBorders>
              <w:top w:val="single" w:sz="6" w:space="0" w:color="auto"/>
            </w:tcBorders>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49,212</w:t>
            </w:r>
          </w:p>
        </w:tc>
        <w:tc>
          <w:tcPr>
            <w:tcW w:w="1440" w:type="dxa"/>
            <w:tcBorders>
              <w:top w:val="single" w:sz="6" w:space="0" w:color="auto"/>
            </w:tcBorders>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11,073</w:t>
            </w:r>
          </w:p>
        </w:tc>
        <w:tc>
          <w:tcPr>
            <w:tcW w:w="1296" w:type="dxa"/>
            <w:tcBorders>
              <w:top w:val="single" w:sz="6" w:space="0" w:color="auto"/>
            </w:tcBorders>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1,169</w:t>
            </w:r>
          </w:p>
        </w:tc>
        <w:tc>
          <w:tcPr>
            <w:tcW w:w="1080" w:type="dxa"/>
            <w:tcBorders>
              <w:top w:val="single" w:sz="6" w:space="0" w:color="auto"/>
            </w:tcBorders>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62</w:t>
            </w:r>
          </w:p>
        </w:tc>
        <w:tc>
          <w:tcPr>
            <w:tcW w:w="1496" w:type="dxa"/>
            <w:tcBorders>
              <w:top w:val="single" w:sz="6" w:space="0" w:color="auto"/>
            </w:tcBorders>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75,049</w:t>
            </w:r>
          </w:p>
        </w:tc>
      </w:tr>
      <w:tr w:rsidR="00173DDB">
        <w:tblPrEx>
          <w:tblCellMar>
            <w:top w:w="0" w:type="dxa"/>
            <w:bottom w:w="0" w:type="dxa"/>
          </w:tblCellMar>
        </w:tblPrEx>
        <w:trPr>
          <w:cantSplit/>
        </w:trPr>
        <w:tc>
          <w:tcPr>
            <w:tcW w:w="2160" w:type="dxa"/>
            <w:vMerge/>
          </w:tcPr>
          <w:p w:rsidR="00173DDB" w:rsidRDefault="00173DDB">
            <w:pPr>
              <w:autoSpaceDE w:val="0"/>
              <w:autoSpaceDN w:val="0"/>
              <w:adjustRightInd w:val="0"/>
              <w:spacing w:before="20" w:after="20"/>
              <w:jc w:val="right"/>
              <w:rPr>
                <w:color w:val="000000"/>
                <w:sz w:val="21"/>
                <w:szCs w:val="16"/>
              </w:rPr>
            </w:pPr>
          </w:p>
        </w:tc>
        <w:tc>
          <w:tcPr>
            <w:tcW w:w="1577" w:type="dxa"/>
          </w:tcPr>
          <w:p w:rsidR="00173DDB" w:rsidRDefault="00173DDB">
            <w:pPr>
              <w:autoSpaceDE w:val="0"/>
              <w:autoSpaceDN w:val="0"/>
              <w:adjustRightInd w:val="0"/>
              <w:spacing w:before="20" w:after="20"/>
              <w:rPr>
                <w:color w:val="000000"/>
                <w:sz w:val="21"/>
                <w:szCs w:val="16"/>
              </w:rPr>
            </w:pPr>
            <w:r>
              <w:rPr>
                <w:color w:val="000000"/>
                <w:sz w:val="21"/>
                <w:szCs w:val="16"/>
              </w:rPr>
              <w:t>Comfort cooling</w:t>
            </w:r>
          </w:p>
        </w:tc>
        <w:tc>
          <w:tcPr>
            <w:tcW w:w="1080" w:type="dxa"/>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62,934</w:t>
            </w:r>
          </w:p>
        </w:tc>
        <w:tc>
          <w:tcPr>
            <w:tcW w:w="1584" w:type="dxa"/>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8,169</w:t>
            </w:r>
          </w:p>
        </w:tc>
        <w:tc>
          <w:tcPr>
            <w:tcW w:w="1262" w:type="dxa"/>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6,535</w:t>
            </w:r>
          </w:p>
        </w:tc>
        <w:tc>
          <w:tcPr>
            <w:tcW w:w="1440" w:type="dxa"/>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1,470</w:t>
            </w:r>
          </w:p>
        </w:tc>
        <w:tc>
          <w:tcPr>
            <w:tcW w:w="1296" w:type="dxa"/>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155</w:t>
            </w:r>
          </w:p>
        </w:tc>
        <w:tc>
          <w:tcPr>
            <w:tcW w:w="1080" w:type="dxa"/>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8</w:t>
            </w:r>
          </w:p>
        </w:tc>
        <w:tc>
          <w:tcPr>
            <w:tcW w:w="1496" w:type="dxa"/>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9,966</w:t>
            </w:r>
          </w:p>
        </w:tc>
      </w:tr>
      <w:tr w:rsidR="00173DDB">
        <w:tblPrEx>
          <w:tblCellMar>
            <w:top w:w="0" w:type="dxa"/>
            <w:bottom w:w="0" w:type="dxa"/>
          </w:tblCellMar>
        </w:tblPrEx>
        <w:tc>
          <w:tcPr>
            <w:tcW w:w="2160" w:type="dxa"/>
          </w:tcPr>
          <w:p w:rsidR="00173DDB" w:rsidRDefault="00173DDB">
            <w:pPr>
              <w:autoSpaceDE w:val="0"/>
              <w:autoSpaceDN w:val="0"/>
              <w:adjustRightInd w:val="0"/>
              <w:spacing w:before="20" w:after="20"/>
              <w:jc w:val="right"/>
              <w:rPr>
                <w:color w:val="000000"/>
                <w:sz w:val="21"/>
                <w:szCs w:val="16"/>
              </w:rPr>
            </w:pPr>
          </w:p>
        </w:tc>
        <w:tc>
          <w:tcPr>
            <w:tcW w:w="1577" w:type="dxa"/>
          </w:tcPr>
          <w:p w:rsidR="00173DDB" w:rsidRDefault="00173DDB">
            <w:pPr>
              <w:autoSpaceDE w:val="0"/>
              <w:autoSpaceDN w:val="0"/>
              <w:adjustRightInd w:val="0"/>
              <w:spacing w:before="20" w:after="20"/>
              <w:rPr>
                <w:color w:val="000000"/>
                <w:sz w:val="21"/>
                <w:szCs w:val="16"/>
              </w:rPr>
            </w:pPr>
            <w:r>
              <w:rPr>
                <w:color w:val="000000"/>
                <w:sz w:val="21"/>
                <w:szCs w:val="16"/>
              </w:rPr>
              <w:t>Industrial</w:t>
            </w:r>
          </w:p>
        </w:tc>
        <w:tc>
          <w:tcPr>
            <w:tcW w:w="1080" w:type="dxa"/>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0</w:t>
            </w:r>
          </w:p>
        </w:tc>
        <w:tc>
          <w:tcPr>
            <w:tcW w:w="1584" w:type="dxa"/>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0</w:t>
            </w:r>
          </w:p>
        </w:tc>
        <w:tc>
          <w:tcPr>
            <w:tcW w:w="1262" w:type="dxa"/>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0</w:t>
            </w:r>
          </w:p>
        </w:tc>
        <w:tc>
          <w:tcPr>
            <w:tcW w:w="1440" w:type="dxa"/>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0</w:t>
            </w:r>
          </w:p>
        </w:tc>
        <w:tc>
          <w:tcPr>
            <w:tcW w:w="1296" w:type="dxa"/>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0</w:t>
            </w:r>
          </w:p>
        </w:tc>
        <w:tc>
          <w:tcPr>
            <w:tcW w:w="1080" w:type="dxa"/>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0</w:t>
            </w:r>
          </w:p>
        </w:tc>
      </w:tr>
      <w:tr w:rsidR="00173DDB">
        <w:tblPrEx>
          <w:tblCellMar>
            <w:top w:w="0" w:type="dxa"/>
            <w:bottom w:w="0" w:type="dxa"/>
          </w:tblCellMar>
        </w:tblPrEx>
        <w:tc>
          <w:tcPr>
            <w:tcW w:w="2160" w:type="dxa"/>
            <w:tcBorders>
              <w:bottom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Totals</w:t>
            </w:r>
          </w:p>
        </w:tc>
        <w:tc>
          <w:tcPr>
            <w:tcW w:w="1577" w:type="dxa"/>
            <w:tcBorders>
              <w:bottom w:val="single" w:sz="2" w:space="0" w:color="auto"/>
            </w:tcBorders>
          </w:tcPr>
          <w:p w:rsidR="00173DDB" w:rsidRDefault="00173DDB">
            <w:pPr>
              <w:autoSpaceDE w:val="0"/>
              <w:autoSpaceDN w:val="0"/>
              <w:adjustRightInd w:val="0"/>
              <w:spacing w:before="20" w:after="20"/>
              <w:jc w:val="right"/>
              <w:rPr>
                <w:color w:val="000000"/>
                <w:sz w:val="21"/>
                <w:szCs w:val="16"/>
              </w:rPr>
            </w:pPr>
          </w:p>
        </w:tc>
        <w:tc>
          <w:tcPr>
            <w:tcW w:w="1080" w:type="dxa"/>
            <w:tcBorders>
              <w:bottom w:val="single" w:sz="2" w:space="0" w:color="auto"/>
            </w:tcBorders>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325,821</w:t>
            </w:r>
          </w:p>
        </w:tc>
        <w:tc>
          <w:tcPr>
            <w:tcW w:w="1584" w:type="dxa"/>
            <w:tcBorders>
              <w:bottom w:val="single" w:sz="2" w:space="0" w:color="auto"/>
            </w:tcBorders>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69,684</w:t>
            </w:r>
          </w:p>
        </w:tc>
        <w:tc>
          <w:tcPr>
            <w:tcW w:w="1262" w:type="dxa"/>
            <w:tcBorders>
              <w:bottom w:val="single" w:sz="2" w:space="0" w:color="auto"/>
            </w:tcBorders>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55,748</w:t>
            </w:r>
          </w:p>
        </w:tc>
        <w:tc>
          <w:tcPr>
            <w:tcW w:w="1440" w:type="dxa"/>
            <w:tcBorders>
              <w:bottom w:val="single" w:sz="2" w:space="0" w:color="auto"/>
            </w:tcBorders>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12,543</w:t>
            </w:r>
          </w:p>
        </w:tc>
        <w:tc>
          <w:tcPr>
            <w:tcW w:w="1296" w:type="dxa"/>
            <w:tcBorders>
              <w:bottom w:val="single" w:sz="2" w:space="0" w:color="auto"/>
            </w:tcBorders>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1,324</w:t>
            </w:r>
          </w:p>
        </w:tc>
        <w:tc>
          <w:tcPr>
            <w:tcW w:w="1080" w:type="dxa"/>
            <w:tcBorders>
              <w:bottom w:val="single" w:sz="2" w:space="0" w:color="auto"/>
            </w:tcBorders>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70</w:t>
            </w:r>
          </w:p>
        </w:tc>
        <w:tc>
          <w:tcPr>
            <w:tcW w:w="1496" w:type="dxa"/>
            <w:tcBorders>
              <w:bottom w:val="single" w:sz="2" w:space="0" w:color="auto"/>
            </w:tcBorders>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85,015</w:t>
            </w:r>
          </w:p>
        </w:tc>
      </w:tr>
      <w:tr w:rsidR="00173DDB">
        <w:tblPrEx>
          <w:tblCellMar>
            <w:top w:w="0" w:type="dxa"/>
            <w:bottom w:w="0" w:type="dxa"/>
          </w:tblCellMar>
        </w:tblPrEx>
        <w:tc>
          <w:tcPr>
            <w:tcW w:w="2160" w:type="dxa"/>
            <w:tcBorders>
              <w:top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Convenience stores</w:t>
            </w:r>
          </w:p>
        </w:tc>
        <w:tc>
          <w:tcPr>
            <w:tcW w:w="1577" w:type="dxa"/>
            <w:tcBorders>
              <w:top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Commercial</w:t>
            </w:r>
          </w:p>
        </w:tc>
        <w:tc>
          <w:tcPr>
            <w:tcW w:w="1080" w:type="dxa"/>
            <w:tcBorders>
              <w:top w:val="single" w:sz="2" w:space="0" w:color="auto"/>
            </w:tcBorders>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0</w:t>
            </w:r>
          </w:p>
        </w:tc>
        <w:tc>
          <w:tcPr>
            <w:tcW w:w="1584" w:type="dxa"/>
            <w:tcBorders>
              <w:top w:val="single" w:sz="2" w:space="0" w:color="auto"/>
            </w:tcBorders>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0</w:t>
            </w:r>
          </w:p>
        </w:tc>
        <w:tc>
          <w:tcPr>
            <w:tcW w:w="1262" w:type="dxa"/>
            <w:tcBorders>
              <w:top w:val="single" w:sz="2" w:space="0" w:color="auto"/>
            </w:tcBorders>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0</w:t>
            </w:r>
          </w:p>
        </w:tc>
        <w:tc>
          <w:tcPr>
            <w:tcW w:w="1440" w:type="dxa"/>
            <w:tcBorders>
              <w:top w:val="single" w:sz="2" w:space="0" w:color="auto"/>
            </w:tcBorders>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0</w:t>
            </w:r>
          </w:p>
        </w:tc>
        <w:tc>
          <w:tcPr>
            <w:tcW w:w="1296" w:type="dxa"/>
            <w:tcBorders>
              <w:top w:val="single" w:sz="2" w:space="0" w:color="auto"/>
            </w:tcBorders>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0</w:t>
            </w:r>
          </w:p>
        </w:tc>
        <w:tc>
          <w:tcPr>
            <w:tcW w:w="1080" w:type="dxa"/>
            <w:tcBorders>
              <w:top w:val="single" w:sz="2" w:space="0" w:color="auto"/>
            </w:tcBorders>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Borders>
              <w:top w:val="single" w:sz="2" w:space="0" w:color="auto"/>
            </w:tcBorders>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0</w:t>
            </w:r>
          </w:p>
        </w:tc>
      </w:tr>
      <w:tr w:rsidR="00173DDB">
        <w:tblPrEx>
          <w:tblCellMar>
            <w:top w:w="0" w:type="dxa"/>
            <w:bottom w:w="0" w:type="dxa"/>
          </w:tblCellMar>
        </w:tblPrEx>
        <w:tc>
          <w:tcPr>
            <w:tcW w:w="2160" w:type="dxa"/>
          </w:tcPr>
          <w:p w:rsidR="00173DDB" w:rsidRDefault="00173DDB">
            <w:pPr>
              <w:autoSpaceDE w:val="0"/>
              <w:autoSpaceDN w:val="0"/>
              <w:adjustRightInd w:val="0"/>
              <w:spacing w:before="20" w:after="20"/>
              <w:jc w:val="right"/>
              <w:rPr>
                <w:color w:val="000000"/>
                <w:sz w:val="21"/>
                <w:szCs w:val="16"/>
              </w:rPr>
            </w:pPr>
          </w:p>
        </w:tc>
        <w:tc>
          <w:tcPr>
            <w:tcW w:w="1577" w:type="dxa"/>
          </w:tcPr>
          <w:p w:rsidR="00173DDB" w:rsidRDefault="00173DDB">
            <w:pPr>
              <w:autoSpaceDE w:val="0"/>
              <w:autoSpaceDN w:val="0"/>
              <w:adjustRightInd w:val="0"/>
              <w:spacing w:before="20" w:after="20"/>
              <w:rPr>
                <w:color w:val="000000"/>
                <w:sz w:val="21"/>
                <w:szCs w:val="16"/>
              </w:rPr>
            </w:pPr>
            <w:r>
              <w:rPr>
                <w:color w:val="000000"/>
                <w:sz w:val="21"/>
                <w:szCs w:val="16"/>
              </w:rPr>
              <w:t>Comfort cooling</w:t>
            </w:r>
          </w:p>
        </w:tc>
        <w:tc>
          <w:tcPr>
            <w:tcW w:w="1080" w:type="dxa"/>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2,054</w:t>
            </w:r>
          </w:p>
        </w:tc>
        <w:tc>
          <w:tcPr>
            <w:tcW w:w="1584" w:type="dxa"/>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267</w:t>
            </w:r>
          </w:p>
        </w:tc>
        <w:tc>
          <w:tcPr>
            <w:tcW w:w="1262" w:type="dxa"/>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213</w:t>
            </w:r>
          </w:p>
        </w:tc>
        <w:tc>
          <w:tcPr>
            <w:tcW w:w="1440" w:type="dxa"/>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48</w:t>
            </w:r>
          </w:p>
        </w:tc>
        <w:tc>
          <w:tcPr>
            <w:tcW w:w="1296" w:type="dxa"/>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5</w:t>
            </w:r>
          </w:p>
        </w:tc>
        <w:tc>
          <w:tcPr>
            <w:tcW w:w="1080" w:type="dxa"/>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325</w:t>
            </w:r>
          </w:p>
        </w:tc>
      </w:tr>
      <w:tr w:rsidR="00173DDB">
        <w:tblPrEx>
          <w:tblCellMar>
            <w:top w:w="0" w:type="dxa"/>
            <w:bottom w:w="0" w:type="dxa"/>
          </w:tblCellMar>
        </w:tblPrEx>
        <w:tc>
          <w:tcPr>
            <w:tcW w:w="2160" w:type="dxa"/>
          </w:tcPr>
          <w:p w:rsidR="00173DDB" w:rsidRDefault="00173DDB">
            <w:pPr>
              <w:autoSpaceDE w:val="0"/>
              <w:autoSpaceDN w:val="0"/>
              <w:adjustRightInd w:val="0"/>
              <w:spacing w:before="20" w:after="20"/>
              <w:jc w:val="right"/>
              <w:rPr>
                <w:color w:val="000000"/>
                <w:sz w:val="21"/>
                <w:szCs w:val="16"/>
              </w:rPr>
            </w:pPr>
          </w:p>
        </w:tc>
        <w:tc>
          <w:tcPr>
            <w:tcW w:w="1577" w:type="dxa"/>
          </w:tcPr>
          <w:p w:rsidR="00173DDB" w:rsidRDefault="00173DDB">
            <w:pPr>
              <w:autoSpaceDE w:val="0"/>
              <w:autoSpaceDN w:val="0"/>
              <w:adjustRightInd w:val="0"/>
              <w:spacing w:before="20" w:after="20"/>
              <w:rPr>
                <w:color w:val="000000"/>
                <w:sz w:val="21"/>
                <w:szCs w:val="16"/>
              </w:rPr>
            </w:pPr>
            <w:r>
              <w:rPr>
                <w:color w:val="000000"/>
                <w:sz w:val="21"/>
                <w:szCs w:val="16"/>
              </w:rPr>
              <w:t>Industrial</w:t>
            </w:r>
          </w:p>
        </w:tc>
        <w:tc>
          <w:tcPr>
            <w:tcW w:w="1080" w:type="dxa"/>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0</w:t>
            </w:r>
          </w:p>
        </w:tc>
        <w:tc>
          <w:tcPr>
            <w:tcW w:w="1584" w:type="dxa"/>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0</w:t>
            </w:r>
          </w:p>
        </w:tc>
        <w:tc>
          <w:tcPr>
            <w:tcW w:w="1262" w:type="dxa"/>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0</w:t>
            </w:r>
          </w:p>
        </w:tc>
        <w:tc>
          <w:tcPr>
            <w:tcW w:w="1440" w:type="dxa"/>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0</w:t>
            </w:r>
          </w:p>
        </w:tc>
        <w:tc>
          <w:tcPr>
            <w:tcW w:w="1296" w:type="dxa"/>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0</w:t>
            </w:r>
          </w:p>
        </w:tc>
        <w:tc>
          <w:tcPr>
            <w:tcW w:w="1080" w:type="dxa"/>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0</w:t>
            </w:r>
          </w:p>
        </w:tc>
      </w:tr>
      <w:tr w:rsidR="00173DDB">
        <w:tblPrEx>
          <w:tblCellMar>
            <w:top w:w="0" w:type="dxa"/>
            <w:bottom w:w="0" w:type="dxa"/>
          </w:tblCellMar>
        </w:tblPrEx>
        <w:tc>
          <w:tcPr>
            <w:tcW w:w="2160" w:type="dxa"/>
            <w:tcBorders>
              <w:bottom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Totals</w:t>
            </w:r>
          </w:p>
        </w:tc>
        <w:tc>
          <w:tcPr>
            <w:tcW w:w="1577" w:type="dxa"/>
            <w:tcBorders>
              <w:bottom w:val="single" w:sz="2" w:space="0" w:color="auto"/>
            </w:tcBorders>
          </w:tcPr>
          <w:p w:rsidR="00173DDB" w:rsidRDefault="00173DDB">
            <w:pPr>
              <w:autoSpaceDE w:val="0"/>
              <w:autoSpaceDN w:val="0"/>
              <w:adjustRightInd w:val="0"/>
              <w:spacing w:before="20" w:after="20"/>
              <w:jc w:val="right"/>
              <w:rPr>
                <w:color w:val="000000"/>
                <w:sz w:val="21"/>
                <w:szCs w:val="16"/>
              </w:rPr>
            </w:pPr>
          </w:p>
        </w:tc>
        <w:tc>
          <w:tcPr>
            <w:tcW w:w="1080" w:type="dxa"/>
            <w:tcBorders>
              <w:bottom w:val="single" w:sz="2" w:space="0" w:color="auto"/>
            </w:tcBorders>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2,054</w:t>
            </w:r>
          </w:p>
        </w:tc>
        <w:tc>
          <w:tcPr>
            <w:tcW w:w="1584" w:type="dxa"/>
            <w:tcBorders>
              <w:bottom w:val="single" w:sz="2" w:space="0" w:color="auto"/>
            </w:tcBorders>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267</w:t>
            </w:r>
          </w:p>
        </w:tc>
        <w:tc>
          <w:tcPr>
            <w:tcW w:w="1262" w:type="dxa"/>
            <w:tcBorders>
              <w:bottom w:val="single" w:sz="2" w:space="0" w:color="auto"/>
            </w:tcBorders>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213</w:t>
            </w:r>
          </w:p>
        </w:tc>
        <w:tc>
          <w:tcPr>
            <w:tcW w:w="1440" w:type="dxa"/>
            <w:tcBorders>
              <w:bottom w:val="single" w:sz="2" w:space="0" w:color="auto"/>
            </w:tcBorders>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48</w:t>
            </w:r>
          </w:p>
        </w:tc>
        <w:tc>
          <w:tcPr>
            <w:tcW w:w="1296" w:type="dxa"/>
            <w:tcBorders>
              <w:bottom w:val="single" w:sz="2" w:space="0" w:color="auto"/>
            </w:tcBorders>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5</w:t>
            </w:r>
          </w:p>
        </w:tc>
        <w:tc>
          <w:tcPr>
            <w:tcW w:w="1080" w:type="dxa"/>
            <w:tcBorders>
              <w:bottom w:val="single" w:sz="2" w:space="0" w:color="auto"/>
            </w:tcBorders>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Borders>
              <w:bottom w:val="single" w:sz="2" w:space="0" w:color="auto"/>
            </w:tcBorders>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325</w:t>
            </w:r>
          </w:p>
        </w:tc>
      </w:tr>
      <w:tr w:rsidR="00173DDB">
        <w:tblPrEx>
          <w:tblCellMar>
            <w:top w:w="0" w:type="dxa"/>
            <w:bottom w:w="0" w:type="dxa"/>
          </w:tblCellMar>
        </w:tblPrEx>
        <w:trPr>
          <w:cantSplit/>
        </w:trPr>
        <w:tc>
          <w:tcPr>
            <w:tcW w:w="2160" w:type="dxa"/>
            <w:vMerge w:val="restart"/>
            <w:tcBorders>
              <w:top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Gas station convenience stores</w:t>
            </w:r>
          </w:p>
        </w:tc>
        <w:tc>
          <w:tcPr>
            <w:tcW w:w="1577" w:type="dxa"/>
            <w:tcBorders>
              <w:top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Commercial</w:t>
            </w:r>
          </w:p>
        </w:tc>
        <w:tc>
          <w:tcPr>
            <w:tcW w:w="1080" w:type="dxa"/>
            <w:tcBorders>
              <w:top w:val="single" w:sz="2" w:space="0" w:color="auto"/>
            </w:tcBorders>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0</w:t>
            </w:r>
          </w:p>
        </w:tc>
        <w:tc>
          <w:tcPr>
            <w:tcW w:w="1584" w:type="dxa"/>
            <w:tcBorders>
              <w:top w:val="single" w:sz="2" w:space="0" w:color="auto"/>
            </w:tcBorders>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0</w:t>
            </w:r>
          </w:p>
        </w:tc>
        <w:tc>
          <w:tcPr>
            <w:tcW w:w="1262" w:type="dxa"/>
            <w:tcBorders>
              <w:top w:val="single" w:sz="2" w:space="0" w:color="auto"/>
            </w:tcBorders>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0</w:t>
            </w:r>
          </w:p>
        </w:tc>
        <w:tc>
          <w:tcPr>
            <w:tcW w:w="1440" w:type="dxa"/>
            <w:tcBorders>
              <w:top w:val="single" w:sz="2" w:space="0" w:color="auto"/>
            </w:tcBorders>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0</w:t>
            </w:r>
          </w:p>
        </w:tc>
        <w:tc>
          <w:tcPr>
            <w:tcW w:w="1296" w:type="dxa"/>
            <w:tcBorders>
              <w:top w:val="single" w:sz="2" w:space="0" w:color="auto"/>
            </w:tcBorders>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0</w:t>
            </w:r>
          </w:p>
        </w:tc>
        <w:tc>
          <w:tcPr>
            <w:tcW w:w="1080" w:type="dxa"/>
            <w:tcBorders>
              <w:top w:val="single" w:sz="2" w:space="0" w:color="auto"/>
            </w:tcBorders>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Borders>
              <w:top w:val="single" w:sz="2" w:space="0" w:color="auto"/>
            </w:tcBorders>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0</w:t>
            </w:r>
          </w:p>
        </w:tc>
      </w:tr>
      <w:tr w:rsidR="00173DDB">
        <w:tblPrEx>
          <w:tblCellMar>
            <w:top w:w="0" w:type="dxa"/>
            <w:bottom w:w="0" w:type="dxa"/>
          </w:tblCellMar>
        </w:tblPrEx>
        <w:trPr>
          <w:cantSplit/>
        </w:trPr>
        <w:tc>
          <w:tcPr>
            <w:tcW w:w="2160" w:type="dxa"/>
            <w:vMerge/>
          </w:tcPr>
          <w:p w:rsidR="00173DDB" w:rsidRDefault="00173DDB">
            <w:pPr>
              <w:autoSpaceDE w:val="0"/>
              <w:autoSpaceDN w:val="0"/>
              <w:adjustRightInd w:val="0"/>
              <w:spacing w:before="20" w:after="20"/>
              <w:jc w:val="right"/>
              <w:rPr>
                <w:color w:val="000000"/>
                <w:sz w:val="21"/>
                <w:szCs w:val="16"/>
              </w:rPr>
            </w:pPr>
          </w:p>
        </w:tc>
        <w:tc>
          <w:tcPr>
            <w:tcW w:w="1577" w:type="dxa"/>
          </w:tcPr>
          <w:p w:rsidR="00173DDB" w:rsidRDefault="00173DDB">
            <w:pPr>
              <w:autoSpaceDE w:val="0"/>
              <w:autoSpaceDN w:val="0"/>
              <w:adjustRightInd w:val="0"/>
              <w:spacing w:before="20" w:after="20"/>
              <w:rPr>
                <w:color w:val="000000"/>
                <w:sz w:val="21"/>
                <w:szCs w:val="16"/>
              </w:rPr>
            </w:pPr>
            <w:r>
              <w:rPr>
                <w:color w:val="000000"/>
                <w:sz w:val="21"/>
                <w:szCs w:val="16"/>
              </w:rPr>
              <w:t>Comfort cooling</w:t>
            </w:r>
          </w:p>
        </w:tc>
        <w:tc>
          <w:tcPr>
            <w:tcW w:w="1080" w:type="dxa"/>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5,082</w:t>
            </w:r>
          </w:p>
        </w:tc>
        <w:tc>
          <w:tcPr>
            <w:tcW w:w="1584" w:type="dxa"/>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660</w:t>
            </w:r>
          </w:p>
        </w:tc>
        <w:tc>
          <w:tcPr>
            <w:tcW w:w="1262" w:type="dxa"/>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528</w:t>
            </w:r>
          </w:p>
        </w:tc>
        <w:tc>
          <w:tcPr>
            <w:tcW w:w="1440" w:type="dxa"/>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119</w:t>
            </w:r>
          </w:p>
        </w:tc>
        <w:tc>
          <w:tcPr>
            <w:tcW w:w="1296" w:type="dxa"/>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13</w:t>
            </w:r>
          </w:p>
        </w:tc>
        <w:tc>
          <w:tcPr>
            <w:tcW w:w="1080" w:type="dxa"/>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1</w:t>
            </w:r>
          </w:p>
        </w:tc>
        <w:tc>
          <w:tcPr>
            <w:tcW w:w="1496" w:type="dxa"/>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805</w:t>
            </w:r>
          </w:p>
        </w:tc>
      </w:tr>
      <w:tr w:rsidR="00173DDB">
        <w:tblPrEx>
          <w:tblCellMar>
            <w:top w:w="0" w:type="dxa"/>
            <w:bottom w:w="0" w:type="dxa"/>
          </w:tblCellMar>
        </w:tblPrEx>
        <w:tc>
          <w:tcPr>
            <w:tcW w:w="2160" w:type="dxa"/>
          </w:tcPr>
          <w:p w:rsidR="00173DDB" w:rsidRDefault="00173DDB">
            <w:pPr>
              <w:autoSpaceDE w:val="0"/>
              <w:autoSpaceDN w:val="0"/>
              <w:adjustRightInd w:val="0"/>
              <w:spacing w:before="20" w:after="20"/>
              <w:jc w:val="right"/>
              <w:rPr>
                <w:color w:val="000000"/>
                <w:sz w:val="21"/>
                <w:szCs w:val="16"/>
              </w:rPr>
            </w:pPr>
          </w:p>
        </w:tc>
        <w:tc>
          <w:tcPr>
            <w:tcW w:w="1577" w:type="dxa"/>
          </w:tcPr>
          <w:p w:rsidR="00173DDB" w:rsidRDefault="00173DDB">
            <w:pPr>
              <w:autoSpaceDE w:val="0"/>
              <w:autoSpaceDN w:val="0"/>
              <w:adjustRightInd w:val="0"/>
              <w:spacing w:before="20" w:after="20"/>
              <w:rPr>
                <w:color w:val="000000"/>
                <w:sz w:val="21"/>
                <w:szCs w:val="16"/>
              </w:rPr>
            </w:pPr>
            <w:r>
              <w:rPr>
                <w:color w:val="000000"/>
                <w:sz w:val="21"/>
                <w:szCs w:val="16"/>
              </w:rPr>
              <w:t>Industrial</w:t>
            </w:r>
          </w:p>
        </w:tc>
        <w:tc>
          <w:tcPr>
            <w:tcW w:w="1080" w:type="dxa"/>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0</w:t>
            </w:r>
          </w:p>
        </w:tc>
        <w:tc>
          <w:tcPr>
            <w:tcW w:w="1584" w:type="dxa"/>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0</w:t>
            </w:r>
          </w:p>
        </w:tc>
        <w:tc>
          <w:tcPr>
            <w:tcW w:w="1262" w:type="dxa"/>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0</w:t>
            </w:r>
          </w:p>
        </w:tc>
        <w:tc>
          <w:tcPr>
            <w:tcW w:w="1440" w:type="dxa"/>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0</w:t>
            </w:r>
          </w:p>
        </w:tc>
        <w:tc>
          <w:tcPr>
            <w:tcW w:w="1296" w:type="dxa"/>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0</w:t>
            </w:r>
          </w:p>
        </w:tc>
        <w:tc>
          <w:tcPr>
            <w:tcW w:w="1080" w:type="dxa"/>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0</w:t>
            </w:r>
          </w:p>
        </w:tc>
      </w:tr>
      <w:tr w:rsidR="00173DDB">
        <w:tblPrEx>
          <w:tblCellMar>
            <w:top w:w="0" w:type="dxa"/>
            <w:bottom w:w="0" w:type="dxa"/>
          </w:tblCellMar>
        </w:tblPrEx>
        <w:tc>
          <w:tcPr>
            <w:tcW w:w="2160" w:type="dxa"/>
            <w:tcBorders>
              <w:bottom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Totals</w:t>
            </w:r>
          </w:p>
        </w:tc>
        <w:tc>
          <w:tcPr>
            <w:tcW w:w="1577" w:type="dxa"/>
            <w:tcBorders>
              <w:bottom w:val="single" w:sz="2" w:space="0" w:color="auto"/>
            </w:tcBorders>
          </w:tcPr>
          <w:p w:rsidR="00173DDB" w:rsidRDefault="00173DDB">
            <w:pPr>
              <w:autoSpaceDE w:val="0"/>
              <w:autoSpaceDN w:val="0"/>
              <w:adjustRightInd w:val="0"/>
              <w:spacing w:before="20" w:after="20"/>
              <w:jc w:val="right"/>
              <w:rPr>
                <w:color w:val="000000"/>
                <w:sz w:val="21"/>
                <w:szCs w:val="16"/>
              </w:rPr>
            </w:pPr>
          </w:p>
        </w:tc>
        <w:tc>
          <w:tcPr>
            <w:tcW w:w="1080" w:type="dxa"/>
            <w:tcBorders>
              <w:bottom w:val="single" w:sz="2" w:space="0" w:color="auto"/>
            </w:tcBorders>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5,082</w:t>
            </w:r>
          </w:p>
        </w:tc>
        <w:tc>
          <w:tcPr>
            <w:tcW w:w="1584" w:type="dxa"/>
            <w:tcBorders>
              <w:bottom w:val="single" w:sz="2" w:space="0" w:color="auto"/>
            </w:tcBorders>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660</w:t>
            </w:r>
          </w:p>
        </w:tc>
        <w:tc>
          <w:tcPr>
            <w:tcW w:w="1262" w:type="dxa"/>
            <w:tcBorders>
              <w:bottom w:val="single" w:sz="2" w:space="0" w:color="auto"/>
            </w:tcBorders>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528</w:t>
            </w:r>
          </w:p>
        </w:tc>
        <w:tc>
          <w:tcPr>
            <w:tcW w:w="1440" w:type="dxa"/>
            <w:tcBorders>
              <w:bottom w:val="single" w:sz="2" w:space="0" w:color="auto"/>
            </w:tcBorders>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119</w:t>
            </w:r>
          </w:p>
        </w:tc>
        <w:tc>
          <w:tcPr>
            <w:tcW w:w="1296" w:type="dxa"/>
            <w:tcBorders>
              <w:bottom w:val="single" w:sz="2" w:space="0" w:color="auto"/>
            </w:tcBorders>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13</w:t>
            </w:r>
          </w:p>
        </w:tc>
        <w:tc>
          <w:tcPr>
            <w:tcW w:w="1080" w:type="dxa"/>
            <w:tcBorders>
              <w:bottom w:val="single" w:sz="2" w:space="0" w:color="auto"/>
            </w:tcBorders>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1</w:t>
            </w:r>
          </w:p>
        </w:tc>
        <w:tc>
          <w:tcPr>
            <w:tcW w:w="1496" w:type="dxa"/>
            <w:tcBorders>
              <w:bottom w:val="single" w:sz="2" w:space="0" w:color="auto"/>
            </w:tcBorders>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805</w:t>
            </w:r>
          </w:p>
        </w:tc>
      </w:tr>
      <w:tr w:rsidR="00173DDB">
        <w:tblPrEx>
          <w:tblCellMar>
            <w:top w:w="0" w:type="dxa"/>
            <w:bottom w:w="0" w:type="dxa"/>
          </w:tblCellMar>
        </w:tblPrEx>
        <w:trPr>
          <w:cantSplit/>
        </w:trPr>
        <w:tc>
          <w:tcPr>
            <w:tcW w:w="2160" w:type="dxa"/>
            <w:vMerge w:val="restart"/>
            <w:tcBorders>
              <w:top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Warehouse and club supercenters</w:t>
            </w:r>
          </w:p>
        </w:tc>
        <w:tc>
          <w:tcPr>
            <w:tcW w:w="1577" w:type="dxa"/>
            <w:tcBorders>
              <w:top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Commercial</w:t>
            </w:r>
          </w:p>
        </w:tc>
        <w:tc>
          <w:tcPr>
            <w:tcW w:w="1080" w:type="dxa"/>
            <w:tcBorders>
              <w:top w:val="single" w:sz="2" w:space="0" w:color="auto"/>
            </w:tcBorders>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8,964</w:t>
            </w:r>
          </w:p>
        </w:tc>
        <w:tc>
          <w:tcPr>
            <w:tcW w:w="1584" w:type="dxa"/>
            <w:tcBorders>
              <w:top w:val="single" w:sz="2" w:space="0" w:color="auto"/>
            </w:tcBorders>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2,098</w:t>
            </w:r>
          </w:p>
        </w:tc>
        <w:tc>
          <w:tcPr>
            <w:tcW w:w="1262" w:type="dxa"/>
            <w:tcBorders>
              <w:top w:val="single" w:sz="2" w:space="0" w:color="auto"/>
            </w:tcBorders>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1,678</w:t>
            </w:r>
          </w:p>
        </w:tc>
        <w:tc>
          <w:tcPr>
            <w:tcW w:w="1440" w:type="dxa"/>
            <w:tcBorders>
              <w:top w:val="single" w:sz="2" w:space="0" w:color="auto"/>
            </w:tcBorders>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378</w:t>
            </w:r>
          </w:p>
        </w:tc>
        <w:tc>
          <w:tcPr>
            <w:tcW w:w="1296" w:type="dxa"/>
            <w:tcBorders>
              <w:top w:val="single" w:sz="2" w:space="0" w:color="auto"/>
            </w:tcBorders>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40</w:t>
            </w:r>
          </w:p>
        </w:tc>
        <w:tc>
          <w:tcPr>
            <w:tcW w:w="1080" w:type="dxa"/>
            <w:tcBorders>
              <w:top w:val="single" w:sz="2" w:space="0" w:color="auto"/>
            </w:tcBorders>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2</w:t>
            </w:r>
          </w:p>
        </w:tc>
        <w:tc>
          <w:tcPr>
            <w:tcW w:w="1496" w:type="dxa"/>
            <w:tcBorders>
              <w:top w:val="single" w:sz="2" w:space="0" w:color="auto"/>
            </w:tcBorders>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2,559</w:t>
            </w:r>
          </w:p>
        </w:tc>
      </w:tr>
      <w:tr w:rsidR="00173DDB">
        <w:tblPrEx>
          <w:tblCellMar>
            <w:top w:w="0" w:type="dxa"/>
            <w:bottom w:w="0" w:type="dxa"/>
          </w:tblCellMar>
        </w:tblPrEx>
        <w:trPr>
          <w:cantSplit/>
        </w:trPr>
        <w:tc>
          <w:tcPr>
            <w:tcW w:w="2160" w:type="dxa"/>
            <w:vMerge/>
          </w:tcPr>
          <w:p w:rsidR="00173DDB" w:rsidRDefault="00173DDB">
            <w:pPr>
              <w:autoSpaceDE w:val="0"/>
              <w:autoSpaceDN w:val="0"/>
              <w:adjustRightInd w:val="0"/>
              <w:spacing w:before="20" w:after="20"/>
              <w:jc w:val="right"/>
              <w:rPr>
                <w:color w:val="000000"/>
                <w:sz w:val="21"/>
                <w:szCs w:val="16"/>
              </w:rPr>
            </w:pPr>
          </w:p>
        </w:tc>
        <w:tc>
          <w:tcPr>
            <w:tcW w:w="1577" w:type="dxa"/>
          </w:tcPr>
          <w:p w:rsidR="00173DDB" w:rsidRDefault="00173DDB">
            <w:pPr>
              <w:autoSpaceDE w:val="0"/>
              <w:autoSpaceDN w:val="0"/>
              <w:adjustRightInd w:val="0"/>
              <w:spacing w:before="20" w:after="20"/>
              <w:rPr>
                <w:color w:val="000000"/>
                <w:sz w:val="21"/>
                <w:szCs w:val="16"/>
              </w:rPr>
            </w:pPr>
            <w:r>
              <w:rPr>
                <w:color w:val="000000"/>
                <w:sz w:val="21"/>
                <w:szCs w:val="16"/>
              </w:rPr>
              <w:t>Comfort cooling</w:t>
            </w:r>
          </w:p>
        </w:tc>
        <w:tc>
          <w:tcPr>
            <w:tcW w:w="1080" w:type="dxa"/>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4,482</w:t>
            </w:r>
          </w:p>
        </w:tc>
        <w:tc>
          <w:tcPr>
            <w:tcW w:w="1584" w:type="dxa"/>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582</w:t>
            </w:r>
          </w:p>
        </w:tc>
        <w:tc>
          <w:tcPr>
            <w:tcW w:w="1262" w:type="dxa"/>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465</w:t>
            </w:r>
          </w:p>
        </w:tc>
        <w:tc>
          <w:tcPr>
            <w:tcW w:w="1440" w:type="dxa"/>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105</w:t>
            </w:r>
          </w:p>
        </w:tc>
        <w:tc>
          <w:tcPr>
            <w:tcW w:w="1296" w:type="dxa"/>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11</w:t>
            </w:r>
          </w:p>
        </w:tc>
        <w:tc>
          <w:tcPr>
            <w:tcW w:w="1080" w:type="dxa"/>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1</w:t>
            </w:r>
          </w:p>
        </w:tc>
        <w:tc>
          <w:tcPr>
            <w:tcW w:w="1496" w:type="dxa"/>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710</w:t>
            </w:r>
          </w:p>
        </w:tc>
      </w:tr>
      <w:tr w:rsidR="00173DDB">
        <w:tblPrEx>
          <w:tblCellMar>
            <w:top w:w="0" w:type="dxa"/>
            <w:bottom w:w="0" w:type="dxa"/>
          </w:tblCellMar>
        </w:tblPrEx>
        <w:tc>
          <w:tcPr>
            <w:tcW w:w="2160" w:type="dxa"/>
          </w:tcPr>
          <w:p w:rsidR="00173DDB" w:rsidRDefault="00173DDB">
            <w:pPr>
              <w:autoSpaceDE w:val="0"/>
              <w:autoSpaceDN w:val="0"/>
              <w:adjustRightInd w:val="0"/>
              <w:spacing w:before="20" w:after="20"/>
              <w:jc w:val="right"/>
              <w:rPr>
                <w:color w:val="000000"/>
                <w:sz w:val="21"/>
                <w:szCs w:val="16"/>
              </w:rPr>
            </w:pPr>
          </w:p>
        </w:tc>
        <w:tc>
          <w:tcPr>
            <w:tcW w:w="1577" w:type="dxa"/>
          </w:tcPr>
          <w:p w:rsidR="00173DDB" w:rsidRDefault="00173DDB">
            <w:pPr>
              <w:autoSpaceDE w:val="0"/>
              <w:autoSpaceDN w:val="0"/>
              <w:adjustRightInd w:val="0"/>
              <w:spacing w:before="20" w:after="20"/>
              <w:rPr>
                <w:color w:val="000000"/>
                <w:sz w:val="21"/>
                <w:szCs w:val="16"/>
              </w:rPr>
            </w:pPr>
            <w:r>
              <w:rPr>
                <w:color w:val="000000"/>
                <w:sz w:val="21"/>
                <w:szCs w:val="16"/>
              </w:rPr>
              <w:t>Industrial</w:t>
            </w:r>
          </w:p>
        </w:tc>
        <w:tc>
          <w:tcPr>
            <w:tcW w:w="1080" w:type="dxa"/>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0</w:t>
            </w:r>
          </w:p>
        </w:tc>
        <w:tc>
          <w:tcPr>
            <w:tcW w:w="1584" w:type="dxa"/>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0</w:t>
            </w:r>
          </w:p>
        </w:tc>
        <w:tc>
          <w:tcPr>
            <w:tcW w:w="1262" w:type="dxa"/>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0</w:t>
            </w:r>
          </w:p>
        </w:tc>
        <w:tc>
          <w:tcPr>
            <w:tcW w:w="1440" w:type="dxa"/>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0</w:t>
            </w:r>
          </w:p>
        </w:tc>
        <w:tc>
          <w:tcPr>
            <w:tcW w:w="1296" w:type="dxa"/>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0</w:t>
            </w:r>
          </w:p>
        </w:tc>
        <w:tc>
          <w:tcPr>
            <w:tcW w:w="1080" w:type="dxa"/>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0</w:t>
            </w:r>
          </w:p>
        </w:tc>
      </w:tr>
      <w:tr w:rsidR="00173DDB">
        <w:tblPrEx>
          <w:tblCellMar>
            <w:top w:w="0" w:type="dxa"/>
            <w:bottom w:w="0" w:type="dxa"/>
          </w:tblCellMar>
        </w:tblPrEx>
        <w:tc>
          <w:tcPr>
            <w:tcW w:w="2160" w:type="dxa"/>
            <w:tcBorders>
              <w:bottom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Totals</w:t>
            </w:r>
          </w:p>
        </w:tc>
        <w:tc>
          <w:tcPr>
            <w:tcW w:w="1577" w:type="dxa"/>
            <w:tcBorders>
              <w:bottom w:val="single" w:sz="2" w:space="0" w:color="auto"/>
            </w:tcBorders>
          </w:tcPr>
          <w:p w:rsidR="00173DDB" w:rsidRDefault="00173DDB">
            <w:pPr>
              <w:autoSpaceDE w:val="0"/>
              <w:autoSpaceDN w:val="0"/>
              <w:adjustRightInd w:val="0"/>
              <w:spacing w:before="20" w:after="20"/>
              <w:jc w:val="right"/>
              <w:rPr>
                <w:color w:val="000000"/>
                <w:sz w:val="21"/>
                <w:szCs w:val="16"/>
              </w:rPr>
            </w:pPr>
          </w:p>
        </w:tc>
        <w:tc>
          <w:tcPr>
            <w:tcW w:w="1080" w:type="dxa"/>
            <w:tcBorders>
              <w:bottom w:val="single" w:sz="2" w:space="0" w:color="auto"/>
            </w:tcBorders>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13,446</w:t>
            </w:r>
          </w:p>
        </w:tc>
        <w:tc>
          <w:tcPr>
            <w:tcW w:w="1584" w:type="dxa"/>
            <w:tcBorders>
              <w:bottom w:val="single" w:sz="2" w:space="0" w:color="auto"/>
            </w:tcBorders>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2,679</w:t>
            </w:r>
          </w:p>
        </w:tc>
        <w:tc>
          <w:tcPr>
            <w:tcW w:w="1262" w:type="dxa"/>
            <w:tcBorders>
              <w:bottom w:val="single" w:sz="2" w:space="0" w:color="auto"/>
            </w:tcBorders>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2,143</w:t>
            </w:r>
          </w:p>
        </w:tc>
        <w:tc>
          <w:tcPr>
            <w:tcW w:w="1440" w:type="dxa"/>
            <w:tcBorders>
              <w:bottom w:val="single" w:sz="2" w:space="0" w:color="auto"/>
            </w:tcBorders>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482</w:t>
            </w:r>
          </w:p>
        </w:tc>
        <w:tc>
          <w:tcPr>
            <w:tcW w:w="1296" w:type="dxa"/>
            <w:tcBorders>
              <w:bottom w:val="single" w:sz="2" w:space="0" w:color="auto"/>
            </w:tcBorders>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51</w:t>
            </w:r>
          </w:p>
        </w:tc>
        <w:tc>
          <w:tcPr>
            <w:tcW w:w="1080" w:type="dxa"/>
            <w:tcBorders>
              <w:bottom w:val="single" w:sz="2" w:space="0" w:color="auto"/>
            </w:tcBorders>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3</w:t>
            </w:r>
          </w:p>
        </w:tc>
        <w:tc>
          <w:tcPr>
            <w:tcW w:w="1496" w:type="dxa"/>
            <w:tcBorders>
              <w:bottom w:val="single" w:sz="2" w:space="0" w:color="auto"/>
            </w:tcBorders>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3,269</w:t>
            </w:r>
          </w:p>
        </w:tc>
      </w:tr>
      <w:tr w:rsidR="00173DDB">
        <w:tblPrEx>
          <w:tblCellMar>
            <w:top w:w="0" w:type="dxa"/>
            <w:bottom w:w="0" w:type="dxa"/>
          </w:tblCellMar>
        </w:tblPrEx>
        <w:trPr>
          <w:cantSplit/>
        </w:trPr>
        <w:tc>
          <w:tcPr>
            <w:tcW w:w="2160" w:type="dxa"/>
            <w:vMerge w:val="restart"/>
            <w:tcBorders>
              <w:top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Refrigerated warehouse and storage</w:t>
            </w:r>
          </w:p>
        </w:tc>
        <w:tc>
          <w:tcPr>
            <w:tcW w:w="1577" w:type="dxa"/>
            <w:tcBorders>
              <w:top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Commercial</w:t>
            </w:r>
          </w:p>
        </w:tc>
        <w:tc>
          <w:tcPr>
            <w:tcW w:w="1080" w:type="dxa"/>
            <w:tcBorders>
              <w:top w:val="single" w:sz="2" w:space="0" w:color="auto"/>
            </w:tcBorders>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3,880</w:t>
            </w:r>
          </w:p>
        </w:tc>
        <w:tc>
          <w:tcPr>
            <w:tcW w:w="1584" w:type="dxa"/>
            <w:tcBorders>
              <w:top w:val="single" w:sz="2" w:space="0" w:color="auto"/>
            </w:tcBorders>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908</w:t>
            </w:r>
          </w:p>
        </w:tc>
        <w:tc>
          <w:tcPr>
            <w:tcW w:w="1262" w:type="dxa"/>
            <w:tcBorders>
              <w:top w:val="single" w:sz="2" w:space="0" w:color="auto"/>
            </w:tcBorders>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726</w:t>
            </w:r>
          </w:p>
        </w:tc>
        <w:tc>
          <w:tcPr>
            <w:tcW w:w="1440" w:type="dxa"/>
            <w:tcBorders>
              <w:top w:val="single" w:sz="2" w:space="0" w:color="auto"/>
            </w:tcBorders>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163</w:t>
            </w:r>
          </w:p>
        </w:tc>
        <w:tc>
          <w:tcPr>
            <w:tcW w:w="1296" w:type="dxa"/>
            <w:tcBorders>
              <w:top w:val="single" w:sz="2" w:space="0" w:color="auto"/>
            </w:tcBorders>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17</w:t>
            </w:r>
          </w:p>
        </w:tc>
        <w:tc>
          <w:tcPr>
            <w:tcW w:w="1080" w:type="dxa"/>
            <w:tcBorders>
              <w:top w:val="single" w:sz="2" w:space="0" w:color="auto"/>
            </w:tcBorders>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1</w:t>
            </w:r>
          </w:p>
        </w:tc>
        <w:tc>
          <w:tcPr>
            <w:tcW w:w="1496" w:type="dxa"/>
            <w:tcBorders>
              <w:top w:val="single" w:sz="2" w:space="0" w:color="auto"/>
            </w:tcBorders>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1,108</w:t>
            </w:r>
          </w:p>
        </w:tc>
      </w:tr>
      <w:tr w:rsidR="00173DDB">
        <w:tblPrEx>
          <w:tblCellMar>
            <w:top w:w="0" w:type="dxa"/>
            <w:bottom w:w="0" w:type="dxa"/>
          </w:tblCellMar>
        </w:tblPrEx>
        <w:trPr>
          <w:cantSplit/>
        </w:trPr>
        <w:tc>
          <w:tcPr>
            <w:tcW w:w="2160" w:type="dxa"/>
            <w:vMerge/>
          </w:tcPr>
          <w:p w:rsidR="00173DDB" w:rsidRDefault="00173DDB">
            <w:pPr>
              <w:autoSpaceDE w:val="0"/>
              <w:autoSpaceDN w:val="0"/>
              <w:adjustRightInd w:val="0"/>
              <w:spacing w:before="20" w:after="20"/>
              <w:jc w:val="right"/>
              <w:rPr>
                <w:color w:val="000000"/>
                <w:sz w:val="21"/>
                <w:szCs w:val="16"/>
              </w:rPr>
            </w:pPr>
          </w:p>
        </w:tc>
        <w:tc>
          <w:tcPr>
            <w:tcW w:w="1577" w:type="dxa"/>
          </w:tcPr>
          <w:p w:rsidR="00173DDB" w:rsidRDefault="00173DDB">
            <w:pPr>
              <w:autoSpaceDE w:val="0"/>
              <w:autoSpaceDN w:val="0"/>
              <w:adjustRightInd w:val="0"/>
              <w:spacing w:before="20" w:after="20"/>
              <w:rPr>
                <w:color w:val="000000"/>
                <w:sz w:val="21"/>
                <w:szCs w:val="16"/>
              </w:rPr>
            </w:pPr>
            <w:r>
              <w:rPr>
                <w:color w:val="000000"/>
                <w:sz w:val="21"/>
                <w:szCs w:val="16"/>
              </w:rPr>
              <w:t>Comfort cooling</w:t>
            </w:r>
          </w:p>
        </w:tc>
        <w:tc>
          <w:tcPr>
            <w:tcW w:w="1080" w:type="dxa"/>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1,940</w:t>
            </w:r>
          </w:p>
        </w:tc>
        <w:tc>
          <w:tcPr>
            <w:tcW w:w="1584" w:type="dxa"/>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252</w:t>
            </w:r>
          </w:p>
        </w:tc>
        <w:tc>
          <w:tcPr>
            <w:tcW w:w="1262" w:type="dxa"/>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201</w:t>
            </w:r>
          </w:p>
        </w:tc>
        <w:tc>
          <w:tcPr>
            <w:tcW w:w="1440" w:type="dxa"/>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45</w:t>
            </w:r>
          </w:p>
        </w:tc>
        <w:tc>
          <w:tcPr>
            <w:tcW w:w="1296" w:type="dxa"/>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5</w:t>
            </w:r>
          </w:p>
        </w:tc>
        <w:tc>
          <w:tcPr>
            <w:tcW w:w="1080" w:type="dxa"/>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307</w:t>
            </w:r>
          </w:p>
        </w:tc>
      </w:tr>
      <w:tr w:rsidR="00173DDB">
        <w:tblPrEx>
          <w:tblCellMar>
            <w:top w:w="0" w:type="dxa"/>
            <w:bottom w:w="0" w:type="dxa"/>
          </w:tblCellMar>
        </w:tblPrEx>
        <w:tc>
          <w:tcPr>
            <w:tcW w:w="2160" w:type="dxa"/>
          </w:tcPr>
          <w:p w:rsidR="00173DDB" w:rsidRDefault="00173DDB">
            <w:pPr>
              <w:autoSpaceDE w:val="0"/>
              <w:autoSpaceDN w:val="0"/>
              <w:adjustRightInd w:val="0"/>
              <w:spacing w:before="20" w:after="20"/>
              <w:jc w:val="right"/>
              <w:rPr>
                <w:color w:val="000000"/>
                <w:sz w:val="21"/>
                <w:szCs w:val="16"/>
              </w:rPr>
            </w:pPr>
          </w:p>
        </w:tc>
        <w:tc>
          <w:tcPr>
            <w:tcW w:w="1577" w:type="dxa"/>
          </w:tcPr>
          <w:p w:rsidR="00173DDB" w:rsidRDefault="00173DDB">
            <w:pPr>
              <w:autoSpaceDE w:val="0"/>
              <w:autoSpaceDN w:val="0"/>
              <w:adjustRightInd w:val="0"/>
              <w:spacing w:before="20" w:after="20"/>
              <w:rPr>
                <w:color w:val="000000"/>
                <w:sz w:val="21"/>
                <w:szCs w:val="16"/>
              </w:rPr>
            </w:pPr>
            <w:r>
              <w:rPr>
                <w:color w:val="000000"/>
                <w:sz w:val="21"/>
                <w:szCs w:val="16"/>
              </w:rPr>
              <w:t>Industrial</w:t>
            </w:r>
          </w:p>
        </w:tc>
        <w:tc>
          <w:tcPr>
            <w:tcW w:w="1080" w:type="dxa"/>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0</w:t>
            </w:r>
          </w:p>
        </w:tc>
        <w:tc>
          <w:tcPr>
            <w:tcW w:w="1584" w:type="dxa"/>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0</w:t>
            </w:r>
          </w:p>
        </w:tc>
        <w:tc>
          <w:tcPr>
            <w:tcW w:w="1262" w:type="dxa"/>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0</w:t>
            </w:r>
          </w:p>
        </w:tc>
        <w:tc>
          <w:tcPr>
            <w:tcW w:w="1440" w:type="dxa"/>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0</w:t>
            </w:r>
          </w:p>
        </w:tc>
        <w:tc>
          <w:tcPr>
            <w:tcW w:w="1296" w:type="dxa"/>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0</w:t>
            </w:r>
          </w:p>
        </w:tc>
        <w:tc>
          <w:tcPr>
            <w:tcW w:w="1080" w:type="dxa"/>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0</w:t>
            </w:r>
          </w:p>
        </w:tc>
      </w:tr>
      <w:tr w:rsidR="00173DDB">
        <w:tblPrEx>
          <w:tblCellMar>
            <w:top w:w="0" w:type="dxa"/>
            <w:bottom w:w="0" w:type="dxa"/>
          </w:tblCellMar>
        </w:tblPrEx>
        <w:tc>
          <w:tcPr>
            <w:tcW w:w="2160" w:type="dxa"/>
            <w:tcBorders>
              <w:bottom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Totals</w:t>
            </w:r>
          </w:p>
        </w:tc>
        <w:tc>
          <w:tcPr>
            <w:tcW w:w="1577" w:type="dxa"/>
            <w:tcBorders>
              <w:bottom w:val="single" w:sz="2" w:space="0" w:color="auto"/>
            </w:tcBorders>
          </w:tcPr>
          <w:p w:rsidR="00173DDB" w:rsidRDefault="00173DDB">
            <w:pPr>
              <w:autoSpaceDE w:val="0"/>
              <w:autoSpaceDN w:val="0"/>
              <w:adjustRightInd w:val="0"/>
              <w:spacing w:before="20" w:after="20"/>
              <w:jc w:val="right"/>
              <w:rPr>
                <w:color w:val="000000"/>
                <w:sz w:val="21"/>
                <w:szCs w:val="16"/>
              </w:rPr>
            </w:pPr>
          </w:p>
        </w:tc>
        <w:tc>
          <w:tcPr>
            <w:tcW w:w="1080" w:type="dxa"/>
            <w:tcBorders>
              <w:bottom w:val="single" w:sz="2" w:space="0" w:color="auto"/>
            </w:tcBorders>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5,820</w:t>
            </w:r>
          </w:p>
        </w:tc>
        <w:tc>
          <w:tcPr>
            <w:tcW w:w="1584" w:type="dxa"/>
            <w:tcBorders>
              <w:bottom w:val="single" w:sz="2" w:space="0" w:color="auto"/>
            </w:tcBorders>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1,160</w:t>
            </w:r>
          </w:p>
        </w:tc>
        <w:tc>
          <w:tcPr>
            <w:tcW w:w="1262" w:type="dxa"/>
            <w:tcBorders>
              <w:bottom w:val="single" w:sz="2" w:space="0" w:color="auto"/>
            </w:tcBorders>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928</w:t>
            </w:r>
          </w:p>
        </w:tc>
        <w:tc>
          <w:tcPr>
            <w:tcW w:w="1440" w:type="dxa"/>
            <w:tcBorders>
              <w:bottom w:val="single" w:sz="2" w:space="0" w:color="auto"/>
            </w:tcBorders>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209</w:t>
            </w:r>
          </w:p>
        </w:tc>
        <w:tc>
          <w:tcPr>
            <w:tcW w:w="1296" w:type="dxa"/>
            <w:tcBorders>
              <w:bottom w:val="single" w:sz="2" w:space="0" w:color="auto"/>
            </w:tcBorders>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22</w:t>
            </w:r>
          </w:p>
        </w:tc>
        <w:tc>
          <w:tcPr>
            <w:tcW w:w="1080" w:type="dxa"/>
            <w:tcBorders>
              <w:bottom w:val="single" w:sz="2" w:space="0" w:color="auto"/>
            </w:tcBorders>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1</w:t>
            </w:r>
          </w:p>
        </w:tc>
        <w:tc>
          <w:tcPr>
            <w:tcW w:w="1496" w:type="dxa"/>
            <w:tcBorders>
              <w:bottom w:val="single" w:sz="2" w:space="0" w:color="auto"/>
            </w:tcBorders>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1,415</w:t>
            </w:r>
          </w:p>
        </w:tc>
      </w:tr>
      <w:tr w:rsidR="00173DDB">
        <w:tblPrEx>
          <w:tblCellMar>
            <w:top w:w="0" w:type="dxa"/>
            <w:bottom w:w="0" w:type="dxa"/>
          </w:tblCellMar>
        </w:tblPrEx>
        <w:trPr>
          <w:cantSplit/>
        </w:trPr>
        <w:tc>
          <w:tcPr>
            <w:tcW w:w="2160" w:type="dxa"/>
            <w:vMerge w:val="restart"/>
            <w:tcBorders>
              <w:top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Refrigerated warehouse farm product storage</w:t>
            </w:r>
          </w:p>
        </w:tc>
        <w:tc>
          <w:tcPr>
            <w:tcW w:w="1577" w:type="dxa"/>
            <w:tcBorders>
              <w:top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Commercial</w:t>
            </w:r>
          </w:p>
        </w:tc>
        <w:tc>
          <w:tcPr>
            <w:tcW w:w="1080" w:type="dxa"/>
            <w:tcBorders>
              <w:top w:val="single" w:sz="2" w:space="0" w:color="auto"/>
            </w:tcBorders>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2,156</w:t>
            </w:r>
          </w:p>
        </w:tc>
        <w:tc>
          <w:tcPr>
            <w:tcW w:w="1584" w:type="dxa"/>
            <w:tcBorders>
              <w:top w:val="single" w:sz="2" w:space="0" w:color="auto"/>
            </w:tcBorders>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505</w:t>
            </w:r>
          </w:p>
        </w:tc>
        <w:tc>
          <w:tcPr>
            <w:tcW w:w="1262" w:type="dxa"/>
            <w:tcBorders>
              <w:top w:val="single" w:sz="2" w:space="0" w:color="auto"/>
            </w:tcBorders>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404</w:t>
            </w:r>
          </w:p>
        </w:tc>
        <w:tc>
          <w:tcPr>
            <w:tcW w:w="1440" w:type="dxa"/>
            <w:tcBorders>
              <w:top w:val="single" w:sz="2" w:space="0" w:color="auto"/>
            </w:tcBorders>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91</w:t>
            </w:r>
          </w:p>
        </w:tc>
        <w:tc>
          <w:tcPr>
            <w:tcW w:w="1296" w:type="dxa"/>
            <w:tcBorders>
              <w:top w:val="single" w:sz="2" w:space="0" w:color="auto"/>
            </w:tcBorders>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10</w:t>
            </w:r>
          </w:p>
        </w:tc>
        <w:tc>
          <w:tcPr>
            <w:tcW w:w="1080" w:type="dxa"/>
            <w:tcBorders>
              <w:top w:val="single" w:sz="2" w:space="0" w:color="auto"/>
            </w:tcBorders>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1</w:t>
            </w:r>
          </w:p>
        </w:tc>
        <w:tc>
          <w:tcPr>
            <w:tcW w:w="1496" w:type="dxa"/>
            <w:tcBorders>
              <w:top w:val="single" w:sz="2" w:space="0" w:color="auto"/>
            </w:tcBorders>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615</w:t>
            </w:r>
          </w:p>
        </w:tc>
      </w:tr>
      <w:tr w:rsidR="00173DDB">
        <w:tblPrEx>
          <w:tblCellMar>
            <w:top w:w="0" w:type="dxa"/>
            <w:bottom w:w="0" w:type="dxa"/>
          </w:tblCellMar>
        </w:tblPrEx>
        <w:trPr>
          <w:cantSplit/>
        </w:trPr>
        <w:tc>
          <w:tcPr>
            <w:tcW w:w="2160" w:type="dxa"/>
            <w:vMerge/>
          </w:tcPr>
          <w:p w:rsidR="00173DDB" w:rsidRDefault="00173DDB">
            <w:pPr>
              <w:autoSpaceDE w:val="0"/>
              <w:autoSpaceDN w:val="0"/>
              <w:adjustRightInd w:val="0"/>
              <w:spacing w:before="20" w:after="20"/>
              <w:jc w:val="right"/>
              <w:rPr>
                <w:color w:val="000000"/>
                <w:sz w:val="21"/>
                <w:szCs w:val="16"/>
              </w:rPr>
            </w:pPr>
          </w:p>
        </w:tc>
        <w:tc>
          <w:tcPr>
            <w:tcW w:w="1577" w:type="dxa"/>
          </w:tcPr>
          <w:p w:rsidR="00173DDB" w:rsidRDefault="00173DDB">
            <w:pPr>
              <w:autoSpaceDE w:val="0"/>
              <w:autoSpaceDN w:val="0"/>
              <w:adjustRightInd w:val="0"/>
              <w:spacing w:before="20" w:after="20"/>
              <w:rPr>
                <w:color w:val="000000"/>
                <w:sz w:val="21"/>
                <w:szCs w:val="16"/>
              </w:rPr>
            </w:pPr>
            <w:r>
              <w:rPr>
                <w:color w:val="000000"/>
                <w:sz w:val="21"/>
                <w:szCs w:val="16"/>
              </w:rPr>
              <w:t>Comfort cooling</w:t>
            </w:r>
          </w:p>
        </w:tc>
        <w:tc>
          <w:tcPr>
            <w:tcW w:w="1080" w:type="dxa"/>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1,078</w:t>
            </w:r>
          </w:p>
        </w:tc>
        <w:tc>
          <w:tcPr>
            <w:tcW w:w="1584" w:type="dxa"/>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140</w:t>
            </w:r>
          </w:p>
        </w:tc>
        <w:tc>
          <w:tcPr>
            <w:tcW w:w="1262" w:type="dxa"/>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112</w:t>
            </w:r>
          </w:p>
        </w:tc>
        <w:tc>
          <w:tcPr>
            <w:tcW w:w="1440" w:type="dxa"/>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25</w:t>
            </w:r>
          </w:p>
        </w:tc>
        <w:tc>
          <w:tcPr>
            <w:tcW w:w="1296" w:type="dxa"/>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3</w:t>
            </w:r>
          </w:p>
        </w:tc>
        <w:tc>
          <w:tcPr>
            <w:tcW w:w="1080" w:type="dxa"/>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171</w:t>
            </w:r>
          </w:p>
        </w:tc>
      </w:tr>
      <w:tr w:rsidR="00173DDB">
        <w:tblPrEx>
          <w:tblCellMar>
            <w:top w:w="0" w:type="dxa"/>
            <w:bottom w:w="0" w:type="dxa"/>
          </w:tblCellMar>
        </w:tblPrEx>
        <w:tc>
          <w:tcPr>
            <w:tcW w:w="2160" w:type="dxa"/>
          </w:tcPr>
          <w:p w:rsidR="00173DDB" w:rsidRDefault="00173DDB">
            <w:pPr>
              <w:autoSpaceDE w:val="0"/>
              <w:autoSpaceDN w:val="0"/>
              <w:adjustRightInd w:val="0"/>
              <w:spacing w:before="20" w:after="20"/>
              <w:jc w:val="right"/>
              <w:rPr>
                <w:color w:val="000000"/>
                <w:sz w:val="21"/>
                <w:szCs w:val="16"/>
              </w:rPr>
            </w:pPr>
          </w:p>
        </w:tc>
        <w:tc>
          <w:tcPr>
            <w:tcW w:w="1577" w:type="dxa"/>
          </w:tcPr>
          <w:p w:rsidR="00173DDB" w:rsidRDefault="00173DDB">
            <w:pPr>
              <w:autoSpaceDE w:val="0"/>
              <w:autoSpaceDN w:val="0"/>
              <w:adjustRightInd w:val="0"/>
              <w:spacing w:before="20" w:after="20"/>
              <w:rPr>
                <w:color w:val="000000"/>
                <w:sz w:val="21"/>
                <w:szCs w:val="16"/>
              </w:rPr>
            </w:pPr>
            <w:r>
              <w:rPr>
                <w:color w:val="000000"/>
                <w:sz w:val="21"/>
                <w:szCs w:val="16"/>
              </w:rPr>
              <w:t>Industrial</w:t>
            </w:r>
          </w:p>
        </w:tc>
        <w:tc>
          <w:tcPr>
            <w:tcW w:w="1080" w:type="dxa"/>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0</w:t>
            </w:r>
          </w:p>
        </w:tc>
        <w:tc>
          <w:tcPr>
            <w:tcW w:w="1584" w:type="dxa"/>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0</w:t>
            </w:r>
          </w:p>
        </w:tc>
        <w:tc>
          <w:tcPr>
            <w:tcW w:w="1262" w:type="dxa"/>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0</w:t>
            </w:r>
          </w:p>
        </w:tc>
        <w:tc>
          <w:tcPr>
            <w:tcW w:w="1440" w:type="dxa"/>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0</w:t>
            </w:r>
          </w:p>
        </w:tc>
        <w:tc>
          <w:tcPr>
            <w:tcW w:w="1296" w:type="dxa"/>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0</w:t>
            </w:r>
          </w:p>
        </w:tc>
        <w:tc>
          <w:tcPr>
            <w:tcW w:w="1080" w:type="dxa"/>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0</w:t>
            </w:r>
          </w:p>
        </w:tc>
      </w:tr>
      <w:tr w:rsidR="00173DDB">
        <w:tblPrEx>
          <w:tblCellMar>
            <w:top w:w="0" w:type="dxa"/>
            <w:bottom w:w="0" w:type="dxa"/>
          </w:tblCellMar>
        </w:tblPrEx>
        <w:tc>
          <w:tcPr>
            <w:tcW w:w="2160" w:type="dxa"/>
            <w:tcBorders>
              <w:bottom w:val="single" w:sz="6"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Totals</w:t>
            </w:r>
          </w:p>
        </w:tc>
        <w:tc>
          <w:tcPr>
            <w:tcW w:w="1577" w:type="dxa"/>
            <w:tcBorders>
              <w:bottom w:val="single" w:sz="6" w:space="0" w:color="auto"/>
            </w:tcBorders>
          </w:tcPr>
          <w:p w:rsidR="00173DDB" w:rsidRDefault="00173DDB">
            <w:pPr>
              <w:autoSpaceDE w:val="0"/>
              <w:autoSpaceDN w:val="0"/>
              <w:adjustRightInd w:val="0"/>
              <w:spacing w:before="20" w:after="20"/>
              <w:jc w:val="right"/>
              <w:rPr>
                <w:color w:val="000000"/>
                <w:sz w:val="21"/>
                <w:szCs w:val="16"/>
              </w:rPr>
            </w:pPr>
          </w:p>
        </w:tc>
        <w:tc>
          <w:tcPr>
            <w:tcW w:w="1080" w:type="dxa"/>
            <w:tcBorders>
              <w:bottom w:val="single" w:sz="6" w:space="0" w:color="auto"/>
            </w:tcBorders>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3,234</w:t>
            </w:r>
          </w:p>
        </w:tc>
        <w:tc>
          <w:tcPr>
            <w:tcW w:w="1584" w:type="dxa"/>
            <w:tcBorders>
              <w:bottom w:val="single" w:sz="6" w:space="0" w:color="auto"/>
            </w:tcBorders>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644</w:t>
            </w:r>
          </w:p>
        </w:tc>
        <w:tc>
          <w:tcPr>
            <w:tcW w:w="1262" w:type="dxa"/>
            <w:tcBorders>
              <w:bottom w:val="single" w:sz="6" w:space="0" w:color="auto"/>
            </w:tcBorders>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516</w:t>
            </w:r>
          </w:p>
        </w:tc>
        <w:tc>
          <w:tcPr>
            <w:tcW w:w="1440" w:type="dxa"/>
            <w:tcBorders>
              <w:bottom w:val="single" w:sz="6" w:space="0" w:color="auto"/>
            </w:tcBorders>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116</w:t>
            </w:r>
          </w:p>
        </w:tc>
        <w:tc>
          <w:tcPr>
            <w:tcW w:w="1296" w:type="dxa"/>
            <w:tcBorders>
              <w:bottom w:val="single" w:sz="6" w:space="0" w:color="auto"/>
            </w:tcBorders>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12</w:t>
            </w:r>
          </w:p>
        </w:tc>
        <w:tc>
          <w:tcPr>
            <w:tcW w:w="1080" w:type="dxa"/>
            <w:tcBorders>
              <w:bottom w:val="single" w:sz="6" w:space="0" w:color="auto"/>
            </w:tcBorders>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1</w:t>
            </w:r>
          </w:p>
        </w:tc>
        <w:tc>
          <w:tcPr>
            <w:tcW w:w="1496" w:type="dxa"/>
            <w:tcBorders>
              <w:bottom w:val="single" w:sz="6" w:space="0" w:color="auto"/>
            </w:tcBorders>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786</w:t>
            </w:r>
          </w:p>
        </w:tc>
      </w:tr>
      <w:tr w:rsidR="00173DDB">
        <w:tblPrEx>
          <w:tblCellMar>
            <w:top w:w="0" w:type="dxa"/>
            <w:bottom w:w="0" w:type="dxa"/>
          </w:tblCellMar>
        </w:tblPrEx>
        <w:trPr>
          <w:cantSplit/>
        </w:trPr>
        <w:tc>
          <w:tcPr>
            <w:tcW w:w="2160" w:type="dxa"/>
            <w:tcBorders>
              <w:top w:val="single" w:sz="6" w:space="0" w:color="auto"/>
            </w:tcBorders>
          </w:tcPr>
          <w:p w:rsidR="00173DDB" w:rsidRDefault="00173DDB">
            <w:pPr>
              <w:autoSpaceDE w:val="0"/>
              <w:autoSpaceDN w:val="0"/>
              <w:adjustRightInd w:val="0"/>
              <w:spacing w:before="20" w:after="20"/>
              <w:rPr>
                <w:color w:val="000000"/>
                <w:sz w:val="21"/>
                <w:szCs w:val="16"/>
              </w:rPr>
            </w:pPr>
          </w:p>
        </w:tc>
        <w:tc>
          <w:tcPr>
            <w:tcW w:w="1577" w:type="dxa"/>
            <w:tcBorders>
              <w:top w:val="single" w:sz="6" w:space="0" w:color="auto"/>
            </w:tcBorders>
          </w:tcPr>
          <w:p w:rsidR="00173DDB" w:rsidRDefault="00173DDB">
            <w:pPr>
              <w:autoSpaceDE w:val="0"/>
              <w:autoSpaceDN w:val="0"/>
              <w:adjustRightInd w:val="0"/>
              <w:spacing w:before="20" w:after="20"/>
              <w:rPr>
                <w:color w:val="000000"/>
                <w:sz w:val="21"/>
                <w:szCs w:val="16"/>
              </w:rPr>
            </w:pPr>
          </w:p>
        </w:tc>
        <w:tc>
          <w:tcPr>
            <w:tcW w:w="1080" w:type="dxa"/>
            <w:tcBorders>
              <w:top w:val="single" w:sz="6" w:space="0" w:color="auto"/>
            </w:tcBorders>
          </w:tcPr>
          <w:p w:rsidR="00173DDB" w:rsidRDefault="00173DDB">
            <w:pPr>
              <w:tabs>
                <w:tab w:val="decimal" w:pos="823"/>
              </w:tabs>
              <w:autoSpaceDE w:val="0"/>
              <w:autoSpaceDN w:val="0"/>
              <w:adjustRightInd w:val="0"/>
              <w:spacing w:before="20" w:after="20"/>
              <w:rPr>
                <w:color w:val="000000"/>
                <w:sz w:val="21"/>
                <w:szCs w:val="16"/>
              </w:rPr>
            </w:pPr>
          </w:p>
        </w:tc>
        <w:tc>
          <w:tcPr>
            <w:tcW w:w="1584" w:type="dxa"/>
            <w:tcBorders>
              <w:top w:val="single" w:sz="6" w:space="0" w:color="auto"/>
            </w:tcBorders>
          </w:tcPr>
          <w:p w:rsidR="00173DDB" w:rsidRDefault="00173DDB">
            <w:pPr>
              <w:tabs>
                <w:tab w:val="decimal" w:pos="1063"/>
              </w:tabs>
              <w:autoSpaceDE w:val="0"/>
              <w:autoSpaceDN w:val="0"/>
              <w:adjustRightInd w:val="0"/>
              <w:spacing w:before="20" w:after="20"/>
              <w:rPr>
                <w:color w:val="000000"/>
                <w:sz w:val="21"/>
                <w:szCs w:val="16"/>
              </w:rPr>
            </w:pPr>
          </w:p>
        </w:tc>
        <w:tc>
          <w:tcPr>
            <w:tcW w:w="1262" w:type="dxa"/>
            <w:tcBorders>
              <w:top w:val="single" w:sz="6" w:space="0" w:color="auto"/>
            </w:tcBorders>
          </w:tcPr>
          <w:p w:rsidR="00173DDB" w:rsidRDefault="00173DDB">
            <w:pPr>
              <w:tabs>
                <w:tab w:val="decimal" w:pos="919"/>
              </w:tabs>
              <w:autoSpaceDE w:val="0"/>
              <w:autoSpaceDN w:val="0"/>
              <w:adjustRightInd w:val="0"/>
              <w:spacing w:before="20" w:after="20"/>
              <w:rPr>
                <w:color w:val="000000"/>
                <w:sz w:val="21"/>
                <w:szCs w:val="16"/>
              </w:rPr>
            </w:pPr>
          </w:p>
        </w:tc>
        <w:tc>
          <w:tcPr>
            <w:tcW w:w="1440" w:type="dxa"/>
            <w:tcBorders>
              <w:top w:val="single" w:sz="6" w:space="0" w:color="auto"/>
            </w:tcBorders>
          </w:tcPr>
          <w:p w:rsidR="00173DDB" w:rsidRDefault="00173DDB">
            <w:pPr>
              <w:tabs>
                <w:tab w:val="decimal" w:pos="977"/>
              </w:tabs>
              <w:autoSpaceDE w:val="0"/>
              <w:autoSpaceDN w:val="0"/>
              <w:adjustRightInd w:val="0"/>
              <w:spacing w:before="20" w:after="20"/>
              <w:rPr>
                <w:color w:val="000000"/>
                <w:sz w:val="21"/>
                <w:szCs w:val="16"/>
              </w:rPr>
            </w:pPr>
          </w:p>
        </w:tc>
        <w:tc>
          <w:tcPr>
            <w:tcW w:w="1296" w:type="dxa"/>
            <w:tcBorders>
              <w:top w:val="single" w:sz="6" w:space="0" w:color="auto"/>
            </w:tcBorders>
          </w:tcPr>
          <w:p w:rsidR="00173DDB" w:rsidRDefault="00173DDB">
            <w:pPr>
              <w:tabs>
                <w:tab w:val="decimal" w:pos="857"/>
              </w:tabs>
              <w:autoSpaceDE w:val="0"/>
              <w:autoSpaceDN w:val="0"/>
              <w:adjustRightInd w:val="0"/>
              <w:spacing w:before="20" w:after="20"/>
              <w:rPr>
                <w:color w:val="000000"/>
                <w:sz w:val="21"/>
                <w:szCs w:val="16"/>
              </w:rPr>
            </w:pPr>
          </w:p>
        </w:tc>
        <w:tc>
          <w:tcPr>
            <w:tcW w:w="1080" w:type="dxa"/>
            <w:tcBorders>
              <w:top w:val="single" w:sz="6" w:space="0" w:color="auto"/>
            </w:tcBorders>
          </w:tcPr>
          <w:p w:rsidR="00173DDB" w:rsidRDefault="00173DDB">
            <w:pPr>
              <w:tabs>
                <w:tab w:val="decimal" w:pos="540"/>
              </w:tabs>
              <w:autoSpaceDE w:val="0"/>
              <w:autoSpaceDN w:val="0"/>
              <w:adjustRightInd w:val="0"/>
              <w:spacing w:before="20" w:after="20"/>
              <w:rPr>
                <w:color w:val="000000"/>
                <w:sz w:val="21"/>
                <w:szCs w:val="16"/>
              </w:rPr>
            </w:pPr>
          </w:p>
        </w:tc>
        <w:tc>
          <w:tcPr>
            <w:tcW w:w="1496" w:type="dxa"/>
            <w:tcBorders>
              <w:top w:val="single" w:sz="6" w:space="0" w:color="auto"/>
            </w:tcBorders>
          </w:tcPr>
          <w:p w:rsidR="00173DDB" w:rsidRDefault="00173DDB">
            <w:pPr>
              <w:tabs>
                <w:tab w:val="decimal" w:pos="1001"/>
              </w:tabs>
              <w:autoSpaceDE w:val="0"/>
              <w:autoSpaceDN w:val="0"/>
              <w:adjustRightInd w:val="0"/>
              <w:spacing w:before="20" w:after="20"/>
              <w:rPr>
                <w:color w:val="000000"/>
                <w:sz w:val="21"/>
                <w:szCs w:val="16"/>
              </w:rPr>
            </w:pPr>
          </w:p>
        </w:tc>
      </w:tr>
      <w:tr w:rsidR="00173DDB">
        <w:tblPrEx>
          <w:tblCellMar>
            <w:top w:w="0" w:type="dxa"/>
            <w:bottom w:w="0" w:type="dxa"/>
          </w:tblCellMar>
        </w:tblPrEx>
        <w:trPr>
          <w:cantSplit/>
        </w:trPr>
        <w:tc>
          <w:tcPr>
            <w:tcW w:w="12975" w:type="dxa"/>
            <w:gridSpan w:val="9"/>
            <w:tcBorders>
              <w:bottom w:val="single" w:sz="6" w:space="0" w:color="auto"/>
            </w:tcBorders>
            <w:vAlign w:val="bottom"/>
          </w:tcPr>
          <w:p w:rsidR="00173DDB" w:rsidRDefault="00173DDB">
            <w:pPr>
              <w:keepNext/>
              <w:autoSpaceDE w:val="0"/>
              <w:autoSpaceDN w:val="0"/>
              <w:adjustRightInd w:val="0"/>
              <w:spacing w:before="20" w:after="20"/>
              <w:rPr>
                <w:b/>
                <w:bCs/>
                <w:color w:val="000000"/>
                <w:szCs w:val="16"/>
              </w:rPr>
            </w:pPr>
            <w:r>
              <w:rPr>
                <w:b/>
                <w:bCs/>
                <w:color w:val="000000"/>
                <w:szCs w:val="16"/>
              </w:rPr>
              <w:lastRenderedPageBreak/>
              <w:t>Table 2. Appliances requiring repair, number of successful repairs at each stage, and the total number of invoices to be filed and maintained (cont.)</w:t>
            </w:r>
          </w:p>
        </w:tc>
      </w:tr>
      <w:tr w:rsidR="00173DDB">
        <w:tblPrEx>
          <w:tblCellMar>
            <w:top w:w="0" w:type="dxa"/>
            <w:bottom w:w="0" w:type="dxa"/>
          </w:tblCellMar>
        </w:tblPrEx>
        <w:tc>
          <w:tcPr>
            <w:tcW w:w="2160" w:type="dxa"/>
            <w:tcBorders>
              <w:top w:val="single" w:sz="6" w:space="0" w:color="auto"/>
              <w:bottom w:val="single" w:sz="6" w:space="0" w:color="auto"/>
            </w:tcBorders>
            <w:vAlign w:val="bottom"/>
          </w:tcPr>
          <w:p w:rsidR="00173DDB" w:rsidRDefault="00173DDB">
            <w:pPr>
              <w:autoSpaceDE w:val="0"/>
              <w:autoSpaceDN w:val="0"/>
              <w:adjustRightInd w:val="0"/>
              <w:spacing w:before="20" w:after="20"/>
              <w:rPr>
                <w:b/>
                <w:bCs/>
                <w:color w:val="000000"/>
                <w:sz w:val="21"/>
                <w:szCs w:val="16"/>
              </w:rPr>
            </w:pPr>
            <w:r>
              <w:rPr>
                <w:b/>
                <w:bCs/>
                <w:color w:val="000000"/>
                <w:sz w:val="21"/>
                <w:szCs w:val="16"/>
              </w:rPr>
              <w:t>Sector</w:t>
            </w:r>
          </w:p>
        </w:tc>
        <w:tc>
          <w:tcPr>
            <w:tcW w:w="1577" w:type="dxa"/>
            <w:tcBorders>
              <w:top w:val="single" w:sz="6" w:space="0" w:color="auto"/>
              <w:bottom w:val="single" w:sz="6" w:space="0" w:color="auto"/>
            </w:tcBorders>
            <w:vAlign w:val="bottom"/>
          </w:tcPr>
          <w:p w:rsidR="00173DDB" w:rsidRDefault="00173DDB">
            <w:pPr>
              <w:autoSpaceDE w:val="0"/>
              <w:autoSpaceDN w:val="0"/>
              <w:adjustRightInd w:val="0"/>
              <w:spacing w:before="20" w:after="20"/>
              <w:jc w:val="center"/>
              <w:rPr>
                <w:b/>
                <w:bCs/>
                <w:color w:val="000000"/>
                <w:sz w:val="21"/>
                <w:szCs w:val="16"/>
              </w:rPr>
            </w:pPr>
            <w:r>
              <w:rPr>
                <w:b/>
                <w:bCs/>
                <w:color w:val="000000"/>
                <w:sz w:val="21"/>
                <w:szCs w:val="16"/>
              </w:rPr>
              <w:t>System type</w:t>
            </w:r>
          </w:p>
        </w:tc>
        <w:tc>
          <w:tcPr>
            <w:tcW w:w="1080" w:type="dxa"/>
            <w:tcBorders>
              <w:top w:val="single" w:sz="6" w:space="0" w:color="auto"/>
              <w:bottom w:val="single" w:sz="6" w:space="0" w:color="auto"/>
            </w:tcBorders>
            <w:vAlign w:val="bottom"/>
          </w:tcPr>
          <w:p w:rsidR="00173DDB" w:rsidRDefault="00173DDB">
            <w:pPr>
              <w:autoSpaceDE w:val="0"/>
              <w:autoSpaceDN w:val="0"/>
              <w:adjustRightInd w:val="0"/>
              <w:spacing w:before="20" w:after="20"/>
              <w:jc w:val="center"/>
              <w:rPr>
                <w:b/>
                <w:bCs/>
                <w:color w:val="000000"/>
                <w:sz w:val="21"/>
                <w:szCs w:val="16"/>
              </w:rPr>
            </w:pPr>
            <w:r>
              <w:rPr>
                <w:b/>
                <w:bCs/>
                <w:color w:val="000000"/>
                <w:sz w:val="21"/>
                <w:szCs w:val="16"/>
              </w:rPr>
              <w:t>Total no. of appliances</w:t>
            </w:r>
          </w:p>
        </w:tc>
        <w:tc>
          <w:tcPr>
            <w:tcW w:w="1584" w:type="dxa"/>
            <w:tcBorders>
              <w:top w:val="single" w:sz="6" w:space="0" w:color="auto"/>
              <w:bottom w:val="single" w:sz="6" w:space="0" w:color="auto"/>
            </w:tcBorders>
            <w:vAlign w:val="bottom"/>
          </w:tcPr>
          <w:p w:rsidR="00173DDB" w:rsidRDefault="00173DDB">
            <w:pPr>
              <w:autoSpaceDE w:val="0"/>
              <w:autoSpaceDN w:val="0"/>
              <w:adjustRightInd w:val="0"/>
              <w:spacing w:before="20" w:after="20"/>
              <w:jc w:val="center"/>
              <w:rPr>
                <w:b/>
                <w:bCs/>
                <w:color w:val="000000"/>
                <w:sz w:val="21"/>
                <w:szCs w:val="16"/>
              </w:rPr>
            </w:pPr>
            <w:r>
              <w:rPr>
                <w:b/>
                <w:bCs/>
                <w:color w:val="000000"/>
                <w:sz w:val="21"/>
                <w:szCs w:val="16"/>
              </w:rPr>
              <w:t>No. of appliances requiring repair</w:t>
            </w:r>
          </w:p>
        </w:tc>
        <w:tc>
          <w:tcPr>
            <w:tcW w:w="1262" w:type="dxa"/>
            <w:tcBorders>
              <w:top w:val="single" w:sz="6" w:space="0" w:color="auto"/>
              <w:bottom w:val="single" w:sz="6" w:space="0" w:color="auto"/>
            </w:tcBorders>
            <w:vAlign w:val="bottom"/>
          </w:tcPr>
          <w:p w:rsidR="00173DDB" w:rsidRDefault="00173DDB">
            <w:pPr>
              <w:autoSpaceDE w:val="0"/>
              <w:autoSpaceDN w:val="0"/>
              <w:adjustRightInd w:val="0"/>
              <w:spacing w:before="20" w:after="20"/>
              <w:jc w:val="center"/>
              <w:rPr>
                <w:b/>
                <w:bCs/>
                <w:color w:val="000000"/>
                <w:sz w:val="21"/>
                <w:szCs w:val="16"/>
              </w:rPr>
            </w:pPr>
            <w:r>
              <w:rPr>
                <w:b/>
                <w:bCs/>
                <w:color w:val="000000"/>
                <w:sz w:val="21"/>
                <w:szCs w:val="16"/>
              </w:rPr>
              <w:t>No. of successful first repairs</w:t>
            </w:r>
          </w:p>
        </w:tc>
        <w:tc>
          <w:tcPr>
            <w:tcW w:w="1440" w:type="dxa"/>
            <w:tcBorders>
              <w:top w:val="single" w:sz="6" w:space="0" w:color="auto"/>
              <w:bottom w:val="single" w:sz="6" w:space="0" w:color="auto"/>
            </w:tcBorders>
            <w:vAlign w:val="bottom"/>
          </w:tcPr>
          <w:p w:rsidR="00173DDB" w:rsidRDefault="00173DDB">
            <w:pPr>
              <w:autoSpaceDE w:val="0"/>
              <w:autoSpaceDN w:val="0"/>
              <w:adjustRightInd w:val="0"/>
              <w:spacing w:before="20" w:after="20"/>
              <w:jc w:val="center"/>
              <w:rPr>
                <w:b/>
                <w:bCs/>
                <w:color w:val="000000"/>
                <w:sz w:val="21"/>
                <w:szCs w:val="16"/>
              </w:rPr>
            </w:pPr>
            <w:r>
              <w:rPr>
                <w:b/>
                <w:bCs/>
                <w:color w:val="000000"/>
                <w:sz w:val="21"/>
                <w:szCs w:val="16"/>
              </w:rPr>
              <w:t>No. of successful second repairs</w:t>
            </w:r>
          </w:p>
        </w:tc>
        <w:tc>
          <w:tcPr>
            <w:tcW w:w="1296" w:type="dxa"/>
            <w:tcBorders>
              <w:top w:val="single" w:sz="6" w:space="0" w:color="auto"/>
              <w:bottom w:val="single" w:sz="6" w:space="0" w:color="auto"/>
            </w:tcBorders>
            <w:vAlign w:val="bottom"/>
          </w:tcPr>
          <w:p w:rsidR="00173DDB" w:rsidRDefault="00173DDB">
            <w:pPr>
              <w:autoSpaceDE w:val="0"/>
              <w:autoSpaceDN w:val="0"/>
              <w:adjustRightInd w:val="0"/>
              <w:spacing w:before="20" w:after="20"/>
              <w:jc w:val="center"/>
              <w:rPr>
                <w:b/>
                <w:bCs/>
                <w:color w:val="000000"/>
                <w:sz w:val="21"/>
                <w:szCs w:val="16"/>
              </w:rPr>
            </w:pPr>
            <w:r>
              <w:rPr>
                <w:b/>
                <w:bCs/>
                <w:color w:val="000000"/>
                <w:sz w:val="21"/>
                <w:szCs w:val="16"/>
              </w:rPr>
              <w:t>No. of successful third repairs</w:t>
            </w:r>
          </w:p>
        </w:tc>
        <w:tc>
          <w:tcPr>
            <w:tcW w:w="1080" w:type="dxa"/>
            <w:tcBorders>
              <w:top w:val="single" w:sz="6" w:space="0" w:color="auto"/>
              <w:bottom w:val="single" w:sz="6" w:space="0" w:color="auto"/>
            </w:tcBorders>
            <w:vAlign w:val="bottom"/>
          </w:tcPr>
          <w:p w:rsidR="00173DDB" w:rsidRDefault="00173DDB">
            <w:pPr>
              <w:autoSpaceDE w:val="0"/>
              <w:autoSpaceDN w:val="0"/>
              <w:adjustRightInd w:val="0"/>
              <w:spacing w:before="20" w:after="20"/>
              <w:jc w:val="center"/>
              <w:rPr>
                <w:b/>
                <w:bCs/>
                <w:color w:val="000000"/>
                <w:sz w:val="21"/>
                <w:szCs w:val="16"/>
              </w:rPr>
            </w:pPr>
            <w:r>
              <w:rPr>
                <w:b/>
                <w:bCs/>
                <w:color w:val="000000"/>
                <w:sz w:val="21"/>
                <w:szCs w:val="16"/>
              </w:rPr>
              <w:t>No. of retrofits or retirement</w:t>
            </w:r>
          </w:p>
        </w:tc>
        <w:tc>
          <w:tcPr>
            <w:tcW w:w="1496" w:type="dxa"/>
            <w:tcBorders>
              <w:top w:val="single" w:sz="6" w:space="0" w:color="auto"/>
              <w:bottom w:val="single" w:sz="6" w:space="0" w:color="auto"/>
            </w:tcBorders>
            <w:vAlign w:val="bottom"/>
          </w:tcPr>
          <w:p w:rsidR="00173DDB" w:rsidRDefault="00173DDB">
            <w:pPr>
              <w:autoSpaceDE w:val="0"/>
              <w:autoSpaceDN w:val="0"/>
              <w:adjustRightInd w:val="0"/>
              <w:spacing w:before="20" w:after="20"/>
              <w:jc w:val="center"/>
              <w:rPr>
                <w:b/>
                <w:bCs/>
                <w:color w:val="000000"/>
                <w:sz w:val="21"/>
                <w:szCs w:val="16"/>
              </w:rPr>
            </w:pPr>
            <w:r>
              <w:rPr>
                <w:b/>
                <w:bCs/>
                <w:color w:val="000000"/>
                <w:sz w:val="21"/>
                <w:szCs w:val="16"/>
              </w:rPr>
              <w:t>No. of invoices with required information</w:t>
            </w:r>
          </w:p>
        </w:tc>
      </w:tr>
      <w:tr w:rsidR="00173DDB">
        <w:tblPrEx>
          <w:tblCellMar>
            <w:top w:w="0" w:type="dxa"/>
            <w:bottom w:w="0" w:type="dxa"/>
          </w:tblCellMar>
        </w:tblPrEx>
        <w:trPr>
          <w:cantSplit/>
        </w:trPr>
        <w:tc>
          <w:tcPr>
            <w:tcW w:w="2160" w:type="dxa"/>
            <w:vMerge w:val="restart"/>
            <w:tcBorders>
              <w:top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Office building managers</w:t>
            </w:r>
          </w:p>
        </w:tc>
        <w:tc>
          <w:tcPr>
            <w:tcW w:w="1577" w:type="dxa"/>
            <w:tcBorders>
              <w:top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Commercial</w:t>
            </w:r>
          </w:p>
        </w:tc>
        <w:tc>
          <w:tcPr>
            <w:tcW w:w="1080" w:type="dxa"/>
            <w:tcBorders>
              <w:top w:val="single" w:sz="2" w:space="0" w:color="auto"/>
            </w:tcBorders>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0</w:t>
            </w:r>
          </w:p>
        </w:tc>
        <w:tc>
          <w:tcPr>
            <w:tcW w:w="1584" w:type="dxa"/>
            <w:tcBorders>
              <w:top w:val="single" w:sz="2" w:space="0" w:color="auto"/>
            </w:tcBorders>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0</w:t>
            </w:r>
          </w:p>
        </w:tc>
        <w:tc>
          <w:tcPr>
            <w:tcW w:w="1262" w:type="dxa"/>
            <w:tcBorders>
              <w:top w:val="single" w:sz="2" w:space="0" w:color="auto"/>
            </w:tcBorders>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0</w:t>
            </w:r>
          </w:p>
        </w:tc>
        <w:tc>
          <w:tcPr>
            <w:tcW w:w="1440" w:type="dxa"/>
            <w:tcBorders>
              <w:top w:val="single" w:sz="2" w:space="0" w:color="auto"/>
            </w:tcBorders>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0</w:t>
            </w:r>
          </w:p>
        </w:tc>
        <w:tc>
          <w:tcPr>
            <w:tcW w:w="1296" w:type="dxa"/>
            <w:tcBorders>
              <w:top w:val="single" w:sz="2" w:space="0" w:color="auto"/>
            </w:tcBorders>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0</w:t>
            </w:r>
          </w:p>
        </w:tc>
        <w:tc>
          <w:tcPr>
            <w:tcW w:w="1080" w:type="dxa"/>
            <w:tcBorders>
              <w:top w:val="single" w:sz="2" w:space="0" w:color="auto"/>
            </w:tcBorders>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Borders>
              <w:top w:val="single" w:sz="2" w:space="0" w:color="auto"/>
            </w:tcBorders>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0</w:t>
            </w:r>
          </w:p>
        </w:tc>
      </w:tr>
      <w:tr w:rsidR="00173DDB">
        <w:tblPrEx>
          <w:tblCellMar>
            <w:top w:w="0" w:type="dxa"/>
            <w:bottom w:w="0" w:type="dxa"/>
          </w:tblCellMar>
        </w:tblPrEx>
        <w:trPr>
          <w:cantSplit/>
        </w:trPr>
        <w:tc>
          <w:tcPr>
            <w:tcW w:w="2160" w:type="dxa"/>
            <w:vMerge/>
          </w:tcPr>
          <w:p w:rsidR="00173DDB" w:rsidRDefault="00173DDB">
            <w:pPr>
              <w:autoSpaceDE w:val="0"/>
              <w:autoSpaceDN w:val="0"/>
              <w:adjustRightInd w:val="0"/>
              <w:spacing w:before="20" w:after="20"/>
              <w:jc w:val="right"/>
              <w:rPr>
                <w:color w:val="000000"/>
                <w:sz w:val="21"/>
                <w:szCs w:val="16"/>
              </w:rPr>
            </w:pPr>
          </w:p>
        </w:tc>
        <w:tc>
          <w:tcPr>
            <w:tcW w:w="1577" w:type="dxa"/>
          </w:tcPr>
          <w:p w:rsidR="00173DDB" w:rsidRDefault="00173DDB">
            <w:pPr>
              <w:autoSpaceDE w:val="0"/>
              <w:autoSpaceDN w:val="0"/>
              <w:adjustRightInd w:val="0"/>
              <w:spacing w:before="20" w:after="20"/>
              <w:rPr>
                <w:color w:val="000000"/>
                <w:sz w:val="21"/>
                <w:szCs w:val="16"/>
              </w:rPr>
            </w:pPr>
            <w:r>
              <w:rPr>
                <w:color w:val="000000"/>
                <w:sz w:val="21"/>
                <w:szCs w:val="16"/>
              </w:rPr>
              <w:t>Comfort cooling</w:t>
            </w:r>
          </w:p>
        </w:tc>
        <w:tc>
          <w:tcPr>
            <w:tcW w:w="1080" w:type="dxa"/>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714</w:t>
            </w:r>
          </w:p>
        </w:tc>
        <w:tc>
          <w:tcPr>
            <w:tcW w:w="1584" w:type="dxa"/>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93</w:t>
            </w:r>
          </w:p>
        </w:tc>
        <w:tc>
          <w:tcPr>
            <w:tcW w:w="1262" w:type="dxa"/>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74</w:t>
            </w:r>
          </w:p>
        </w:tc>
        <w:tc>
          <w:tcPr>
            <w:tcW w:w="1440" w:type="dxa"/>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17</w:t>
            </w:r>
          </w:p>
        </w:tc>
        <w:tc>
          <w:tcPr>
            <w:tcW w:w="1296" w:type="dxa"/>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2</w:t>
            </w:r>
          </w:p>
        </w:tc>
        <w:tc>
          <w:tcPr>
            <w:tcW w:w="1080" w:type="dxa"/>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113</w:t>
            </w:r>
          </w:p>
        </w:tc>
      </w:tr>
      <w:tr w:rsidR="00173DDB">
        <w:tblPrEx>
          <w:tblCellMar>
            <w:top w:w="0" w:type="dxa"/>
            <w:bottom w:w="0" w:type="dxa"/>
          </w:tblCellMar>
        </w:tblPrEx>
        <w:tc>
          <w:tcPr>
            <w:tcW w:w="2160" w:type="dxa"/>
          </w:tcPr>
          <w:p w:rsidR="00173DDB" w:rsidRDefault="00173DDB">
            <w:pPr>
              <w:autoSpaceDE w:val="0"/>
              <w:autoSpaceDN w:val="0"/>
              <w:adjustRightInd w:val="0"/>
              <w:spacing w:before="20" w:after="20"/>
              <w:jc w:val="right"/>
              <w:rPr>
                <w:color w:val="000000"/>
                <w:sz w:val="21"/>
                <w:szCs w:val="16"/>
              </w:rPr>
            </w:pPr>
          </w:p>
        </w:tc>
        <w:tc>
          <w:tcPr>
            <w:tcW w:w="1577" w:type="dxa"/>
          </w:tcPr>
          <w:p w:rsidR="00173DDB" w:rsidRDefault="00173DDB">
            <w:pPr>
              <w:autoSpaceDE w:val="0"/>
              <w:autoSpaceDN w:val="0"/>
              <w:adjustRightInd w:val="0"/>
              <w:spacing w:before="20" w:after="20"/>
              <w:rPr>
                <w:color w:val="000000"/>
                <w:sz w:val="21"/>
                <w:szCs w:val="16"/>
              </w:rPr>
            </w:pPr>
            <w:r>
              <w:rPr>
                <w:color w:val="000000"/>
                <w:sz w:val="21"/>
                <w:szCs w:val="16"/>
              </w:rPr>
              <w:t>Industrial</w:t>
            </w:r>
          </w:p>
        </w:tc>
        <w:tc>
          <w:tcPr>
            <w:tcW w:w="1080" w:type="dxa"/>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0</w:t>
            </w:r>
          </w:p>
        </w:tc>
        <w:tc>
          <w:tcPr>
            <w:tcW w:w="1584" w:type="dxa"/>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0</w:t>
            </w:r>
          </w:p>
        </w:tc>
        <w:tc>
          <w:tcPr>
            <w:tcW w:w="1262" w:type="dxa"/>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0</w:t>
            </w:r>
          </w:p>
        </w:tc>
        <w:tc>
          <w:tcPr>
            <w:tcW w:w="1440" w:type="dxa"/>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0</w:t>
            </w:r>
          </w:p>
        </w:tc>
        <w:tc>
          <w:tcPr>
            <w:tcW w:w="1296" w:type="dxa"/>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0</w:t>
            </w:r>
          </w:p>
        </w:tc>
        <w:tc>
          <w:tcPr>
            <w:tcW w:w="1080" w:type="dxa"/>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0</w:t>
            </w:r>
          </w:p>
        </w:tc>
      </w:tr>
      <w:tr w:rsidR="00173DDB">
        <w:tblPrEx>
          <w:tblCellMar>
            <w:top w:w="0" w:type="dxa"/>
            <w:bottom w:w="0" w:type="dxa"/>
          </w:tblCellMar>
        </w:tblPrEx>
        <w:tc>
          <w:tcPr>
            <w:tcW w:w="2160" w:type="dxa"/>
            <w:tcBorders>
              <w:bottom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Totals</w:t>
            </w:r>
          </w:p>
        </w:tc>
        <w:tc>
          <w:tcPr>
            <w:tcW w:w="1577" w:type="dxa"/>
            <w:tcBorders>
              <w:bottom w:val="single" w:sz="2" w:space="0" w:color="auto"/>
            </w:tcBorders>
          </w:tcPr>
          <w:p w:rsidR="00173DDB" w:rsidRDefault="00173DDB">
            <w:pPr>
              <w:autoSpaceDE w:val="0"/>
              <w:autoSpaceDN w:val="0"/>
              <w:adjustRightInd w:val="0"/>
              <w:spacing w:before="20" w:after="20"/>
              <w:jc w:val="right"/>
              <w:rPr>
                <w:color w:val="000000"/>
                <w:sz w:val="21"/>
                <w:szCs w:val="16"/>
              </w:rPr>
            </w:pPr>
          </w:p>
        </w:tc>
        <w:tc>
          <w:tcPr>
            <w:tcW w:w="1080" w:type="dxa"/>
            <w:tcBorders>
              <w:bottom w:val="single" w:sz="2" w:space="0" w:color="auto"/>
            </w:tcBorders>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714</w:t>
            </w:r>
          </w:p>
        </w:tc>
        <w:tc>
          <w:tcPr>
            <w:tcW w:w="1584" w:type="dxa"/>
            <w:tcBorders>
              <w:bottom w:val="single" w:sz="2" w:space="0" w:color="auto"/>
            </w:tcBorders>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93</w:t>
            </w:r>
          </w:p>
        </w:tc>
        <w:tc>
          <w:tcPr>
            <w:tcW w:w="1262" w:type="dxa"/>
            <w:tcBorders>
              <w:bottom w:val="single" w:sz="2" w:space="0" w:color="auto"/>
            </w:tcBorders>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74</w:t>
            </w:r>
          </w:p>
        </w:tc>
        <w:tc>
          <w:tcPr>
            <w:tcW w:w="1440" w:type="dxa"/>
            <w:tcBorders>
              <w:bottom w:val="single" w:sz="2" w:space="0" w:color="auto"/>
            </w:tcBorders>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17</w:t>
            </w:r>
          </w:p>
        </w:tc>
        <w:tc>
          <w:tcPr>
            <w:tcW w:w="1296" w:type="dxa"/>
            <w:tcBorders>
              <w:bottom w:val="single" w:sz="2" w:space="0" w:color="auto"/>
            </w:tcBorders>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2</w:t>
            </w:r>
          </w:p>
        </w:tc>
        <w:tc>
          <w:tcPr>
            <w:tcW w:w="1080" w:type="dxa"/>
            <w:tcBorders>
              <w:bottom w:val="single" w:sz="2" w:space="0" w:color="auto"/>
            </w:tcBorders>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Borders>
              <w:bottom w:val="single" w:sz="2" w:space="0" w:color="auto"/>
            </w:tcBorders>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113</w:t>
            </w:r>
          </w:p>
        </w:tc>
      </w:tr>
      <w:tr w:rsidR="00173DDB">
        <w:tblPrEx>
          <w:tblCellMar>
            <w:top w:w="0" w:type="dxa"/>
            <w:bottom w:w="0" w:type="dxa"/>
          </w:tblCellMar>
        </w:tblPrEx>
        <w:tc>
          <w:tcPr>
            <w:tcW w:w="2160" w:type="dxa"/>
            <w:tcBorders>
              <w:top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Lodging</w:t>
            </w:r>
          </w:p>
        </w:tc>
        <w:tc>
          <w:tcPr>
            <w:tcW w:w="1577" w:type="dxa"/>
            <w:tcBorders>
              <w:top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Commercial</w:t>
            </w:r>
          </w:p>
        </w:tc>
        <w:tc>
          <w:tcPr>
            <w:tcW w:w="1080" w:type="dxa"/>
            <w:tcBorders>
              <w:top w:val="single" w:sz="2" w:space="0" w:color="auto"/>
            </w:tcBorders>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0</w:t>
            </w:r>
          </w:p>
        </w:tc>
        <w:tc>
          <w:tcPr>
            <w:tcW w:w="1584" w:type="dxa"/>
            <w:tcBorders>
              <w:top w:val="single" w:sz="2" w:space="0" w:color="auto"/>
            </w:tcBorders>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0</w:t>
            </w:r>
          </w:p>
        </w:tc>
        <w:tc>
          <w:tcPr>
            <w:tcW w:w="1262" w:type="dxa"/>
            <w:tcBorders>
              <w:top w:val="single" w:sz="2" w:space="0" w:color="auto"/>
            </w:tcBorders>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0</w:t>
            </w:r>
          </w:p>
        </w:tc>
        <w:tc>
          <w:tcPr>
            <w:tcW w:w="1440" w:type="dxa"/>
            <w:tcBorders>
              <w:top w:val="single" w:sz="2" w:space="0" w:color="auto"/>
            </w:tcBorders>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0</w:t>
            </w:r>
          </w:p>
        </w:tc>
        <w:tc>
          <w:tcPr>
            <w:tcW w:w="1296" w:type="dxa"/>
            <w:tcBorders>
              <w:top w:val="single" w:sz="2" w:space="0" w:color="auto"/>
            </w:tcBorders>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0</w:t>
            </w:r>
          </w:p>
        </w:tc>
        <w:tc>
          <w:tcPr>
            <w:tcW w:w="1080" w:type="dxa"/>
            <w:tcBorders>
              <w:top w:val="single" w:sz="2" w:space="0" w:color="auto"/>
            </w:tcBorders>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Borders>
              <w:top w:val="single" w:sz="2" w:space="0" w:color="auto"/>
            </w:tcBorders>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0</w:t>
            </w:r>
          </w:p>
        </w:tc>
      </w:tr>
      <w:tr w:rsidR="00173DDB">
        <w:tblPrEx>
          <w:tblCellMar>
            <w:top w:w="0" w:type="dxa"/>
            <w:bottom w:w="0" w:type="dxa"/>
          </w:tblCellMar>
        </w:tblPrEx>
        <w:tc>
          <w:tcPr>
            <w:tcW w:w="2160" w:type="dxa"/>
          </w:tcPr>
          <w:p w:rsidR="00173DDB" w:rsidRDefault="00173DDB">
            <w:pPr>
              <w:autoSpaceDE w:val="0"/>
              <w:autoSpaceDN w:val="0"/>
              <w:adjustRightInd w:val="0"/>
              <w:spacing w:before="20" w:after="20"/>
              <w:jc w:val="right"/>
              <w:rPr>
                <w:color w:val="000000"/>
                <w:sz w:val="21"/>
                <w:szCs w:val="16"/>
              </w:rPr>
            </w:pPr>
          </w:p>
        </w:tc>
        <w:tc>
          <w:tcPr>
            <w:tcW w:w="1577" w:type="dxa"/>
          </w:tcPr>
          <w:p w:rsidR="00173DDB" w:rsidRDefault="00173DDB">
            <w:pPr>
              <w:autoSpaceDE w:val="0"/>
              <w:autoSpaceDN w:val="0"/>
              <w:adjustRightInd w:val="0"/>
              <w:spacing w:before="20" w:after="20"/>
              <w:rPr>
                <w:color w:val="000000"/>
                <w:sz w:val="21"/>
                <w:szCs w:val="16"/>
              </w:rPr>
            </w:pPr>
            <w:r>
              <w:rPr>
                <w:color w:val="000000"/>
                <w:sz w:val="21"/>
                <w:szCs w:val="16"/>
              </w:rPr>
              <w:t>Comfort cooling</w:t>
            </w:r>
          </w:p>
        </w:tc>
        <w:tc>
          <w:tcPr>
            <w:tcW w:w="1080" w:type="dxa"/>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67,818</w:t>
            </w:r>
          </w:p>
        </w:tc>
        <w:tc>
          <w:tcPr>
            <w:tcW w:w="1584" w:type="dxa"/>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8,803</w:t>
            </w:r>
          </w:p>
        </w:tc>
        <w:tc>
          <w:tcPr>
            <w:tcW w:w="1262" w:type="dxa"/>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7,042</w:t>
            </w:r>
          </w:p>
        </w:tc>
        <w:tc>
          <w:tcPr>
            <w:tcW w:w="1440" w:type="dxa"/>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1,584</w:t>
            </w:r>
          </w:p>
        </w:tc>
        <w:tc>
          <w:tcPr>
            <w:tcW w:w="1296" w:type="dxa"/>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167</w:t>
            </w:r>
          </w:p>
        </w:tc>
        <w:tc>
          <w:tcPr>
            <w:tcW w:w="1080" w:type="dxa"/>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9</w:t>
            </w:r>
          </w:p>
        </w:tc>
        <w:tc>
          <w:tcPr>
            <w:tcW w:w="1496" w:type="dxa"/>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10,739</w:t>
            </w:r>
          </w:p>
        </w:tc>
      </w:tr>
      <w:tr w:rsidR="00173DDB">
        <w:tblPrEx>
          <w:tblCellMar>
            <w:top w:w="0" w:type="dxa"/>
            <w:bottom w:w="0" w:type="dxa"/>
          </w:tblCellMar>
        </w:tblPrEx>
        <w:tc>
          <w:tcPr>
            <w:tcW w:w="2160" w:type="dxa"/>
          </w:tcPr>
          <w:p w:rsidR="00173DDB" w:rsidRDefault="00173DDB">
            <w:pPr>
              <w:autoSpaceDE w:val="0"/>
              <w:autoSpaceDN w:val="0"/>
              <w:adjustRightInd w:val="0"/>
              <w:spacing w:before="20" w:after="20"/>
              <w:jc w:val="right"/>
              <w:rPr>
                <w:color w:val="000000"/>
                <w:sz w:val="21"/>
                <w:szCs w:val="16"/>
              </w:rPr>
            </w:pPr>
          </w:p>
        </w:tc>
        <w:tc>
          <w:tcPr>
            <w:tcW w:w="1577" w:type="dxa"/>
          </w:tcPr>
          <w:p w:rsidR="00173DDB" w:rsidRDefault="00173DDB">
            <w:pPr>
              <w:autoSpaceDE w:val="0"/>
              <w:autoSpaceDN w:val="0"/>
              <w:adjustRightInd w:val="0"/>
              <w:spacing w:before="20" w:after="20"/>
              <w:rPr>
                <w:color w:val="000000"/>
                <w:sz w:val="21"/>
                <w:szCs w:val="16"/>
              </w:rPr>
            </w:pPr>
            <w:r>
              <w:rPr>
                <w:color w:val="000000"/>
                <w:sz w:val="21"/>
                <w:szCs w:val="16"/>
              </w:rPr>
              <w:t>Industrial</w:t>
            </w:r>
          </w:p>
        </w:tc>
        <w:tc>
          <w:tcPr>
            <w:tcW w:w="1080" w:type="dxa"/>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0</w:t>
            </w:r>
          </w:p>
        </w:tc>
        <w:tc>
          <w:tcPr>
            <w:tcW w:w="1584" w:type="dxa"/>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0</w:t>
            </w:r>
          </w:p>
        </w:tc>
        <w:tc>
          <w:tcPr>
            <w:tcW w:w="1262" w:type="dxa"/>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0</w:t>
            </w:r>
          </w:p>
        </w:tc>
        <w:tc>
          <w:tcPr>
            <w:tcW w:w="1440" w:type="dxa"/>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0</w:t>
            </w:r>
          </w:p>
        </w:tc>
        <w:tc>
          <w:tcPr>
            <w:tcW w:w="1296" w:type="dxa"/>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0</w:t>
            </w:r>
          </w:p>
        </w:tc>
        <w:tc>
          <w:tcPr>
            <w:tcW w:w="1080" w:type="dxa"/>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0</w:t>
            </w:r>
          </w:p>
        </w:tc>
      </w:tr>
      <w:tr w:rsidR="00173DDB">
        <w:tblPrEx>
          <w:tblCellMar>
            <w:top w:w="0" w:type="dxa"/>
            <w:bottom w:w="0" w:type="dxa"/>
          </w:tblCellMar>
        </w:tblPrEx>
        <w:tc>
          <w:tcPr>
            <w:tcW w:w="2160" w:type="dxa"/>
            <w:tcBorders>
              <w:bottom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Totals</w:t>
            </w:r>
          </w:p>
        </w:tc>
        <w:tc>
          <w:tcPr>
            <w:tcW w:w="1577" w:type="dxa"/>
            <w:tcBorders>
              <w:bottom w:val="single" w:sz="2" w:space="0" w:color="auto"/>
            </w:tcBorders>
          </w:tcPr>
          <w:p w:rsidR="00173DDB" w:rsidRDefault="00173DDB">
            <w:pPr>
              <w:autoSpaceDE w:val="0"/>
              <w:autoSpaceDN w:val="0"/>
              <w:adjustRightInd w:val="0"/>
              <w:spacing w:before="20" w:after="20"/>
              <w:jc w:val="right"/>
              <w:rPr>
                <w:color w:val="000000"/>
                <w:sz w:val="21"/>
                <w:szCs w:val="16"/>
              </w:rPr>
            </w:pPr>
          </w:p>
        </w:tc>
        <w:tc>
          <w:tcPr>
            <w:tcW w:w="1080" w:type="dxa"/>
            <w:tcBorders>
              <w:bottom w:val="single" w:sz="2" w:space="0" w:color="auto"/>
            </w:tcBorders>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67,818</w:t>
            </w:r>
          </w:p>
        </w:tc>
        <w:tc>
          <w:tcPr>
            <w:tcW w:w="1584" w:type="dxa"/>
            <w:tcBorders>
              <w:bottom w:val="single" w:sz="2" w:space="0" w:color="auto"/>
            </w:tcBorders>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8,803</w:t>
            </w:r>
          </w:p>
        </w:tc>
        <w:tc>
          <w:tcPr>
            <w:tcW w:w="1262" w:type="dxa"/>
            <w:tcBorders>
              <w:bottom w:val="single" w:sz="2" w:space="0" w:color="auto"/>
            </w:tcBorders>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7,042</w:t>
            </w:r>
          </w:p>
        </w:tc>
        <w:tc>
          <w:tcPr>
            <w:tcW w:w="1440" w:type="dxa"/>
            <w:tcBorders>
              <w:bottom w:val="single" w:sz="2" w:space="0" w:color="auto"/>
            </w:tcBorders>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1,584</w:t>
            </w:r>
          </w:p>
        </w:tc>
        <w:tc>
          <w:tcPr>
            <w:tcW w:w="1296" w:type="dxa"/>
            <w:tcBorders>
              <w:bottom w:val="single" w:sz="2" w:space="0" w:color="auto"/>
            </w:tcBorders>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167</w:t>
            </w:r>
          </w:p>
        </w:tc>
        <w:tc>
          <w:tcPr>
            <w:tcW w:w="1080" w:type="dxa"/>
            <w:tcBorders>
              <w:bottom w:val="single" w:sz="2" w:space="0" w:color="auto"/>
            </w:tcBorders>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9</w:t>
            </w:r>
          </w:p>
        </w:tc>
        <w:tc>
          <w:tcPr>
            <w:tcW w:w="1496" w:type="dxa"/>
            <w:tcBorders>
              <w:bottom w:val="single" w:sz="2" w:space="0" w:color="auto"/>
            </w:tcBorders>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10,739</w:t>
            </w:r>
          </w:p>
        </w:tc>
      </w:tr>
      <w:tr w:rsidR="00173DDB">
        <w:tblPrEx>
          <w:tblCellMar>
            <w:top w:w="0" w:type="dxa"/>
            <w:bottom w:w="0" w:type="dxa"/>
          </w:tblCellMar>
        </w:tblPrEx>
        <w:tc>
          <w:tcPr>
            <w:tcW w:w="2160" w:type="dxa"/>
            <w:tcBorders>
              <w:top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Chemical manufacturing</w:t>
            </w:r>
          </w:p>
        </w:tc>
        <w:tc>
          <w:tcPr>
            <w:tcW w:w="1577" w:type="dxa"/>
            <w:tcBorders>
              <w:top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Commercial</w:t>
            </w:r>
          </w:p>
        </w:tc>
        <w:tc>
          <w:tcPr>
            <w:tcW w:w="1080" w:type="dxa"/>
            <w:tcBorders>
              <w:top w:val="single" w:sz="2" w:space="0" w:color="auto"/>
            </w:tcBorders>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0</w:t>
            </w:r>
          </w:p>
        </w:tc>
        <w:tc>
          <w:tcPr>
            <w:tcW w:w="1584" w:type="dxa"/>
            <w:tcBorders>
              <w:top w:val="single" w:sz="2" w:space="0" w:color="auto"/>
            </w:tcBorders>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0</w:t>
            </w:r>
          </w:p>
        </w:tc>
        <w:tc>
          <w:tcPr>
            <w:tcW w:w="1262" w:type="dxa"/>
            <w:tcBorders>
              <w:top w:val="single" w:sz="2" w:space="0" w:color="auto"/>
            </w:tcBorders>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0</w:t>
            </w:r>
          </w:p>
        </w:tc>
        <w:tc>
          <w:tcPr>
            <w:tcW w:w="1440" w:type="dxa"/>
            <w:tcBorders>
              <w:top w:val="single" w:sz="2" w:space="0" w:color="auto"/>
            </w:tcBorders>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0</w:t>
            </w:r>
          </w:p>
        </w:tc>
        <w:tc>
          <w:tcPr>
            <w:tcW w:w="1296" w:type="dxa"/>
            <w:tcBorders>
              <w:top w:val="single" w:sz="2" w:space="0" w:color="auto"/>
            </w:tcBorders>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0</w:t>
            </w:r>
          </w:p>
        </w:tc>
        <w:tc>
          <w:tcPr>
            <w:tcW w:w="1080" w:type="dxa"/>
            <w:tcBorders>
              <w:top w:val="single" w:sz="2" w:space="0" w:color="auto"/>
            </w:tcBorders>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Borders>
              <w:top w:val="single" w:sz="2" w:space="0" w:color="auto"/>
            </w:tcBorders>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0</w:t>
            </w:r>
          </w:p>
        </w:tc>
      </w:tr>
      <w:tr w:rsidR="00173DDB">
        <w:tblPrEx>
          <w:tblCellMar>
            <w:top w:w="0" w:type="dxa"/>
            <w:bottom w:w="0" w:type="dxa"/>
          </w:tblCellMar>
        </w:tblPrEx>
        <w:tc>
          <w:tcPr>
            <w:tcW w:w="2160" w:type="dxa"/>
          </w:tcPr>
          <w:p w:rsidR="00173DDB" w:rsidRDefault="00173DDB">
            <w:pPr>
              <w:autoSpaceDE w:val="0"/>
              <w:autoSpaceDN w:val="0"/>
              <w:adjustRightInd w:val="0"/>
              <w:spacing w:before="20" w:after="20"/>
              <w:jc w:val="right"/>
              <w:rPr>
                <w:color w:val="000000"/>
                <w:sz w:val="21"/>
                <w:szCs w:val="16"/>
              </w:rPr>
            </w:pPr>
          </w:p>
        </w:tc>
        <w:tc>
          <w:tcPr>
            <w:tcW w:w="1577" w:type="dxa"/>
          </w:tcPr>
          <w:p w:rsidR="00173DDB" w:rsidRDefault="00173DDB">
            <w:pPr>
              <w:autoSpaceDE w:val="0"/>
              <w:autoSpaceDN w:val="0"/>
              <w:adjustRightInd w:val="0"/>
              <w:spacing w:before="20" w:after="20"/>
              <w:rPr>
                <w:color w:val="000000"/>
                <w:sz w:val="21"/>
                <w:szCs w:val="16"/>
              </w:rPr>
            </w:pPr>
            <w:r>
              <w:rPr>
                <w:color w:val="000000"/>
                <w:sz w:val="21"/>
                <w:szCs w:val="16"/>
              </w:rPr>
              <w:t>Comfort cooling</w:t>
            </w:r>
          </w:p>
        </w:tc>
        <w:tc>
          <w:tcPr>
            <w:tcW w:w="1080" w:type="dxa"/>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45,268</w:t>
            </w:r>
          </w:p>
        </w:tc>
        <w:tc>
          <w:tcPr>
            <w:tcW w:w="1584" w:type="dxa"/>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5,876</w:t>
            </w:r>
          </w:p>
        </w:tc>
        <w:tc>
          <w:tcPr>
            <w:tcW w:w="1262" w:type="dxa"/>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4,701</w:t>
            </w:r>
          </w:p>
        </w:tc>
        <w:tc>
          <w:tcPr>
            <w:tcW w:w="1440" w:type="dxa"/>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1,058</w:t>
            </w:r>
          </w:p>
        </w:tc>
        <w:tc>
          <w:tcPr>
            <w:tcW w:w="1296" w:type="dxa"/>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112</w:t>
            </w:r>
          </w:p>
        </w:tc>
        <w:tc>
          <w:tcPr>
            <w:tcW w:w="1080" w:type="dxa"/>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6</w:t>
            </w:r>
          </w:p>
        </w:tc>
        <w:tc>
          <w:tcPr>
            <w:tcW w:w="1496" w:type="dxa"/>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7,168</w:t>
            </w:r>
          </w:p>
        </w:tc>
      </w:tr>
      <w:tr w:rsidR="00173DDB">
        <w:tblPrEx>
          <w:tblCellMar>
            <w:top w:w="0" w:type="dxa"/>
            <w:bottom w:w="0" w:type="dxa"/>
          </w:tblCellMar>
        </w:tblPrEx>
        <w:tc>
          <w:tcPr>
            <w:tcW w:w="2160" w:type="dxa"/>
          </w:tcPr>
          <w:p w:rsidR="00173DDB" w:rsidRDefault="00173DDB">
            <w:pPr>
              <w:autoSpaceDE w:val="0"/>
              <w:autoSpaceDN w:val="0"/>
              <w:adjustRightInd w:val="0"/>
              <w:spacing w:before="20" w:after="20"/>
              <w:jc w:val="right"/>
              <w:rPr>
                <w:color w:val="000000"/>
                <w:sz w:val="21"/>
                <w:szCs w:val="16"/>
              </w:rPr>
            </w:pPr>
          </w:p>
        </w:tc>
        <w:tc>
          <w:tcPr>
            <w:tcW w:w="1577" w:type="dxa"/>
          </w:tcPr>
          <w:p w:rsidR="00173DDB" w:rsidRDefault="00173DDB">
            <w:pPr>
              <w:autoSpaceDE w:val="0"/>
              <w:autoSpaceDN w:val="0"/>
              <w:adjustRightInd w:val="0"/>
              <w:spacing w:before="20" w:after="20"/>
              <w:rPr>
                <w:color w:val="000000"/>
                <w:sz w:val="21"/>
                <w:szCs w:val="16"/>
              </w:rPr>
            </w:pPr>
            <w:r>
              <w:rPr>
                <w:color w:val="000000"/>
                <w:sz w:val="21"/>
                <w:szCs w:val="16"/>
              </w:rPr>
              <w:t>Industrial</w:t>
            </w:r>
          </w:p>
        </w:tc>
        <w:tc>
          <w:tcPr>
            <w:tcW w:w="1080" w:type="dxa"/>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45,268</w:t>
            </w:r>
          </w:p>
        </w:tc>
        <w:tc>
          <w:tcPr>
            <w:tcW w:w="1584" w:type="dxa"/>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10,113</w:t>
            </w:r>
          </w:p>
        </w:tc>
        <w:tc>
          <w:tcPr>
            <w:tcW w:w="1262" w:type="dxa"/>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8,090</w:t>
            </w:r>
          </w:p>
        </w:tc>
        <w:tc>
          <w:tcPr>
            <w:tcW w:w="1440" w:type="dxa"/>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1,820</w:t>
            </w:r>
          </w:p>
        </w:tc>
        <w:tc>
          <w:tcPr>
            <w:tcW w:w="1296" w:type="dxa"/>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192</w:t>
            </w:r>
          </w:p>
        </w:tc>
        <w:tc>
          <w:tcPr>
            <w:tcW w:w="1080" w:type="dxa"/>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10</w:t>
            </w:r>
          </w:p>
        </w:tc>
        <w:tc>
          <w:tcPr>
            <w:tcW w:w="1496" w:type="dxa"/>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12,338</w:t>
            </w:r>
          </w:p>
        </w:tc>
      </w:tr>
      <w:tr w:rsidR="00173DDB">
        <w:tblPrEx>
          <w:tblCellMar>
            <w:top w:w="0" w:type="dxa"/>
            <w:bottom w:w="0" w:type="dxa"/>
          </w:tblCellMar>
        </w:tblPrEx>
        <w:tc>
          <w:tcPr>
            <w:tcW w:w="2160" w:type="dxa"/>
            <w:tcBorders>
              <w:bottom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Totals</w:t>
            </w:r>
          </w:p>
        </w:tc>
        <w:tc>
          <w:tcPr>
            <w:tcW w:w="1577" w:type="dxa"/>
            <w:tcBorders>
              <w:bottom w:val="single" w:sz="2" w:space="0" w:color="auto"/>
            </w:tcBorders>
          </w:tcPr>
          <w:p w:rsidR="00173DDB" w:rsidRDefault="00173DDB">
            <w:pPr>
              <w:autoSpaceDE w:val="0"/>
              <w:autoSpaceDN w:val="0"/>
              <w:adjustRightInd w:val="0"/>
              <w:spacing w:before="20" w:after="20"/>
              <w:jc w:val="right"/>
              <w:rPr>
                <w:color w:val="000000"/>
                <w:sz w:val="21"/>
                <w:szCs w:val="16"/>
              </w:rPr>
            </w:pPr>
          </w:p>
        </w:tc>
        <w:tc>
          <w:tcPr>
            <w:tcW w:w="1080" w:type="dxa"/>
            <w:tcBorders>
              <w:bottom w:val="single" w:sz="2" w:space="0" w:color="auto"/>
            </w:tcBorders>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90,536</w:t>
            </w:r>
          </w:p>
        </w:tc>
        <w:tc>
          <w:tcPr>
            <w:tcW w:w="1584" w:type="dxa"/>
            <w:tcBorders>
              <w:bottom w:val="single" w:sz="2" w:space="0" w:color="auto"/>
            </w:tcBorders>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15,989</w:t>
            </w:r>
          </w:p>
        </w:tc>
        <w:tc>
          <w:tcPr>
            <w:tcW w:w="1262" w:type="dxa"/>
            <w:tcBorders>
              <w:bottom w:val="single" w:sz="2" w:space="0" w:color="auto"/>
            </w:tcBorders>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12,791</w:t>
            </w:r>
          </w:p>
        </w:tc>
        <w:tc>
          <w:tcPr>
            <w:tcW w:w="1440" w:type="dxa"/>
            <w:tcBorders>
              <w:bottom w:val="single" w:sz="2" w:space="0" w:color="auto"/>
            </w:tcBorders>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2,878</w:t>
            </w:r>
          </w:p>
        </w:tc>
        <w:tc>
          <w:tcPr>
            <w:tcW w:w="1296" w:type="dxa"/>
            <w:tcBorders>
              <w:bottom w:val="single" w:sz="2" w:space="0" w:color="auto"/>
            </w:tcBorders>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304</w:t>
            </w:r>
          </w:p>
        </w:tc>
        <w:tc>
          <w:tcPr>
            <w:tcW w:w="1080" w:type="dxa"/>
            <w:tcBorders>
              <w:bottom w:val="single" w:sz="2" w:space="0" w:color="auto"/>
            </w:tcBorders>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16</w:t>
            </w:r>
          </w:p>
        </w:tc>
        <w:tc>
          <w:tcPr>
            <w:tcW w:w="1496" w:type="dxa"/>
            <w:tcBorders>
              <w:bottom w:val="single" w:sz="2" w:space="0" w:color="auto"/>
            </w:tcBorders>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19,506</w:t>
            </w:r>
          </w:p>
        </w:tc>
      </w:tr>
      <w:tr w:rsidR="00173DDB">
        <w:tblPrEx>
          <w:tblCellMar>
            <w:top w:w="0" w:type="dxa"/>
            <w:bottom w:w="0" w:type="dxa"/>
          </w:tblCellMar>
        </w:tblPrEx>
        <w:trPr>
          <w:cantSplit/>
        </w:trPr>
        <w:tc>
          <w:tcPr>
            <w:tcW w:w="2160" w:type="dxa"/>
            <w:vMerge w:val="restart"/>
            <w:tcBorders>
              <w:top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Pharmaceutical manufacturing</w:t>
            </w:r>
          </w:p>
        </w:tc>
        <w:tc>
          <w:tcPr>
            <w:tcW w:w="1577" w:type="dxa"/>
            <w:tcBorders>
              <w:top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Commercial</w:t>
            </w:r>
          </w:p>
        </w:tc>
        <w:tc>
          <w:tcPr>
            <w:tcW w:w="1080" w:type="dxa"/>
            <w:tcBorders>
              <w:top w:val="single" w:sz="2" w:space="0" w:color="auto"/>
            </w:tcBorders>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0</w:t>
            </w:r>
          </w:p>
        </w:tc>
        <w:tc>
          <w:tcPr>
            <w:tcW w:w="1584" w:type="dxa"/>
            <w:tcBorders>
              <w:top w:val="single" w:sz="2" w:space="0" w:color="auto"/>
            </w:tcBorders>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0</w:t>
            </w:r>
          </w:p>
        </w:tc>
        <w:tc>
          <w:tcPr>
            <w:tcW w:w="1262" w:type="dxa"/>
            <w:tcBorders>
              <w:top w:val="single" w:sz="2" w:space="0" w:color="auto"/>
            </w:tcBorders>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0</w:t>
            </w:r>
          </w:p>
        </w:tc>
        <w:tc>
          <w:tcPr>
            <w:tcW w:w="1440" w:type="dxa"/>
            <w:tcBorders>
              <w:top w:val="single" w:sz="2" w:space="0" w:color="auto"/>
            </w:tcBorders>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0</w:t>
            </w:r>
          </w:p>
        </w:tc>
        <w:tc>
          <w:tcPr>
            <w:tcW w:w="1296" w:type="dxa"/>
            <w:tcBorders>
              <w:top w:val="single" w:sz="2" w:space="0" w:color="auto"/>
            </w:tcBorders>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0</w:t>
            </w:r>
          </w:p>
        </w:tc>
        <w:tc>
          <w:tcPr>
            <w:tcW w:w="1080" w:type="dxa"/>
            <w:tcBorders>
              <w:top w:val="single" w:sz="2" w:space="0" w:color="auto"/>
            </w:tcBorders>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Borders>
              <w:top w:val="single" w:sz="2" w:space="0" w:color="auto"/>
            </w:tcBorders>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0</w:t>
            </w:r>
          </w:p>
        </w:tc>
      </w:tr>
      <w:tr w:rsidR="00173DDB">
        <w:tblPrEx>
          <w:tblCellMar>
            <w:top w:w="0" w:type="dxa"/>
            <w:bottom w:w="0" w:type="dxa"/>
          </w:tblCellMar>
        </w:tblPrEx>
        <w:trPr>
          <w:cantSplit/>
        </w:trPr>
        <w:tc>
          <w:tcPr>
            <w:tcW w:w="2160" w:type="dxa"/>
            <w:vMerge/>
          </w:tcPr>
          <w:p w:rsidR="00173DDB" w:rsidRDefault="00173DDB">
            <w:pPr>
              <w:autoSpaceDE w:val="0"/>
              <w:autoSpaceDN w:val="0"/>
              <w:adjustRightInd w:val="0"/>
              <w:spacing w:before="20" w:after="20"/>
              <w:jc w:val="right"/>
              <w:rPr>
                <w:color w:val="000000"/>
                <w:sz w:val="21"/>
                <w:szCs w:val="16"/>
              </w:rPr>
            </w:pPr>
          </w:p>
        </w:tc>
        <w:tc>
          <w:tcPr>
            <w:tcW w:w="1577" w:type="dxa"/>
          </w:tcPr>
          <w:p w:rsidR="00173DDB" w:rsidRDefault="00173DDB">
            <w:pPr>
              <w:autoSpaceDE w:val="0"/>
              <w:autoSpaceDN w:val="0"/>
              <w:adjustRightInd w:val="0"/>
              <w:spacing w:before="20" w:after="20"/>
              <w:rPr>
                <w:color w:val="000000"/>
                <w:sz w:val="21"/>
                <w:szCs w:val="16"/>
              </w:rPr>
            </w:pPr>
            <w:r>
              <w:rPr>
                <w:color w:val="000000"/>
                <w:sz w:val="21"/>
                <w:szCs w:val="16"/>
              </w:rPr>
              <w:t>Comfort cooling</w:t>
            </w:r>
          </w:p>
        </w:tc>
        <w:tc>
          <w:tcPr>
            <w:tcW w:w="1080" w:type="dxa"/>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7,116</w:t>
            </w:r>
          </w:p>
        </w:tc>
        <w:tc>
          <w:tcPr>
            <w:tcW w:w="1584" w:type="dxa"/>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924</w:t>
            </w:r>
          </w:p>
        </w:tc>
        <w:tc>
          <w:tcPr>
            <w:tcW w:w="1262" w:type="dxa"/>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739</w:t>
            </w:r>
          </w:p>
        </w:tc>
        <w:tc>
          <w:tcPr>
            <w:tcW w:w="1440" w:type="dxa"/>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166</w:t>
            </w:r>
          </w:p>
        </w:tc>
        <w:tc>
          <w:tcPr>
            <w:tcW w:w="1296" w:type="dxa"/>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18</w:t>
            </w:r>
          </w:p>
        </w:tc>
        <w:tc>
          <w:tcPr>
            <w:tcW w:w="1080" w:type="dxa"/>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1</w:t>
            </w:r>
          </w:p>
        </w:tc>
        <w:tc>
          <w:tcPr>
            <w:tcW w:w="1496" w:type="dxa"/>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1,127</w:t>
            </w:r>
          </w:p>
        </w:tc>
      </w:tr>
      <w:tr w:rsidR="00173DDB">
        <w:tblPrEx>
          <w:tblCellMar>
            <w:top w:w="0" w:type="dxa"/>
            <w:bottom w:w="0" w:type="dxa"/>
          </w:tblCellMar>
        </w:tblPrEx>
        <w:tc>
          <w:tcPr>
            <w:tcW w:w="2160" w:type="dxa"/>
          </w:tcPr>
          <w:p w:rsidR="00173DDB" w:rsidRDefault="00173DDB">
            <w:pPr>
              <w:autoSpaceDE w:val="0"/>
              <w:autoSpaceDN w:val="0"/>
              <w:adjustRightInd w:val="0"/>
              <w:spacing w:before="20" w:after="20"/>
              <w:jc w:val="right"/>
              <w:rPr>
                <w:color w:val="000000"/>
                <w:sz w:val="21"/>
                <w:szCs w:val="16"/>
              </w:rPr>
            </w:pPr>
          </w:p>
        </w:tc>
        <w:tc>
          <w:tcPr>
            <w:tcW w:w="1577" w:type="dxa"/>
          </w:tcPr>
          <w:p w:rsidR="00173DDB" w:rsidRDefault="00173DDB">
            <w:pPr>
              <w:autoSpaceDE w:val="0"/>
              <w:autoSpaceDN w:val="0"/>
              <w:adjustRightInd w:val="0"/>
              <w:spacing w:before="20" w:after="20"/>
              <w:rPr>
                <w:color w:val="000000"/>
                <w:sz w:val="21"/>
                <w:szCs w:val="16"/>
              </w:rPr>
            </w:pPr>
            <w:r>
              <w:rPr>
                <w:color w:val="000000"/>
                <w:sz w:val="21"/>
                <w:szCs w:val="16"/>
              </w:rPr>
              <w:t>Industrial</w:t>
            </w:r>
          </w:p>
        </w:tc>
        <w:tc>
          <w:tcPr>
            <w:tcW w:w="1080" w:type="dxa"/>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7,116</w:t>
            </w:r>
          </w:p>
        </w:tc>
        <w:tc>
          <w:tcPr>
            <w:tcW w:w="1584" w:type="dxa"/>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1,590</w:t>
            </w:r>
          </w:p>
        </w:tc>
        <w:tc>
          <w:tcPr>
            <w:tcW w:w="1262" w:type="dxa"/>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1,272</w:t>
            </w:r>
          </w:p>
        </w:tc>
        <w:tc>
          <w:tcPr>
            <w:tcW w:w="1440" w:type="dxa"/>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286</w:t>
            </w:r>
          </w:p>
        </w:tc>
        <w:tc>
          <w:tcPr>
            <w:tcW w:w="1296" w:type="dxa"/>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30</w:t>
            </w:r>
          </w:p>
        </w:tc>
        <w:tc>
          <w:tcPr>
            <w:tcW w:w="1080" w:type="dxa"/>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2</w:t>
            </w:r>
          </w:p>
        </w:tc>
        <w:tc>
          <w:tcPr>
            <w:tcW w:w="1496" w:type="dxa"/>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1,939</w:t>
            </w:r>
          </w:p>
        </w:tc>
      </w:tr>
      <w:tr w:rsidR="00173DDB">
        <w:tblPrEx>
          <w:tblCellMar>
            <w:top w:w="0" w:type="dxa"/>
            <w:bottom w:w="0" w:type="dxa"/>
          </w:tblCellMar>
        </w:tblPrEx>
        <w:tc>
          <w:tcPr>
            <w:tcW w:w="2160" w:type="dxa"/>
            <w:tcBorders>
              <w:bottom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Totals</w:t>
            </w:r>
          </w:p>
        </w:tc>
        <w:tc>
          <w:tcPr>
            <w:tcW w:w="1577" w:type="dxa"/>
            <w:tcBorders>
              <w:bottom w:val="single" w:sz="2" w:space="0" w:color="auto"/>
            </w:tcBorders>
          </w:tcPr>
          <w:p w:rsidR="00173DDB" w:rsidRDefault="00173DDB">
            <w:pPr>
              <w:autoSpaceDE w:val="0"/>
              <w:autoSpaceDN w:val="0"/>
              <w:adjustRightInd w:val="0"/>
              <w:spacing w:before="20" w:after="20"/>
              <w:jc w:val="right"/>
              <w:rPr>
                <w:color w:val="000000"/>
                <w:sz w:val="21"/>
                <w:szCs w:val="16"/>
              </w:rPr>
            </w:pPr>
          </w:p>
        </w:tc>
        <w:tc>
          <w:tcPr>
            <w:tcW w:w="1080" w:type="dxa"/>
            <w:tcBorders>
              <w:bottom w:val="single" w:sz="2" w:space="0" w:color="auto"/>
            </w:tcBorders>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14,232</w:t>
            </w:r>
          </w:p>
        </w:tc>
        <w:tc>
          <w:tcPr>
            <w:tcW w:w="1584" w:type="dxa"/>
            <w:tcBorders>
              <w:bottom w:val="single" w:sz="2" w:space="0" w:color="auto"/>
            </w:tcBorders>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2,513</w:t>
            </w:r>
          </w:p>
        </w:tc>
        <w:tc>
          <w:tcPr>
            <w:tcW w:w="1262" w:type="dxa"/>
            <w:tcBorders>
              <w:bottom w:val="single" w:sz="2" w:space="0" w:color="auto"/>
            </w:tcBorders>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2,011</w:t>
            </w:r>
          </w:p>
        </w:tc>
        <w:tc>
          <w:tcPr>
            <w:tcW w:w="1440" w:type="dxa"/>
            <w:tcBorders>
              <w:bottom w:val="single" w:sz="2" w:space="0" w:color="auto"/>
            </w:tcBorders>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452</w:t>
            </w:r>
          </w:p>
        </w:tc>
        <w:tc>
          <w:tcPr>
            <w:tcW w:w="1296" w:type="dxa"/>
            <w:tcBorders>
              <w:bottom w:val="single" w:sz="2" w:space="0" w:color="auto"/>
            </w:tcBorders>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48</w:t>
            </w:r>
          </w:p>
        </w:tc>
        <w:tc>
          <w:tcPr>
            <w:tcW w:w="1080" w:type="dxa"/>
            <w:tcBorders>
              <w:bottom w:val="single" w:sz="2" w:space="0" w:color="auto"/>
            </w:tcBorders>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3</w:t>
            </w:r>
          </w:p>
        </w:tc>
        <w:tc>
          <w:tcPr>
            <w:tcW w:w="1496" w:type="dxa"/>
            <w:tcBorders>
              <w:bottom w:val="single" w:sz="2" w:space="0" w:color="auto"/>
            </w:tcBorders>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3,066</w:t>
            </w:r>
          </w:p>
        </w:tc>
      </w:tr>
      <w:tr w:rsidR="00173DDB">
        <w:tblPrEx>
          <w:tblCellMar>
            <w:top w:w="0" w:type="dxa"/>
            <w:bottom w:w="0" w:type="dxa"/>
          </w:tblCellMar>
        </w:tblPrEx>
        <w:trPr>
          <w:cantSplit/>
        </w:trPr>
        <w:tc>
          <w:tcPr>
            <w:tcW w:w="2160" w:type="dxa"/>
            <w:vMerge w:val="restart"/>
            <w:tcBorders>
              <w:top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Petrochemical manufacturing</w:t>
            </w:r>
          </w:p>
        </w:tc>
        <w:tc>
          <w:tcPr>
            <w:tcW w:w="1577" w:type="dxa"/>
            <w:tcBorders>
              <w:top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Commercial</w:t>
            </w:r>
          </w:p>
        </w:tc>
        <w:tc>
          <w:tcPr>
            <w:tcW w:w="1080" w:type="dxa"/>
            <w:tcBorders>
              <w:top w:val="single" w:sz="2" w:space="0" w:color="auto"/>
            </w:tcBorders>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0</w:t>
            </w:r>
          </w:p>
        </w:tc>
        <w:tc>
          <w:tcPr>
            <w:tcW w:w="1584" w:type="dxa"/>
            <w:tcBorders>
              <w:top w:val="single" w:sz="2" w:space="0" w:color="auto"/>
            </w:tcBorders>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0</w:t>
            </w:r>
          </w:p>
        </w:tc>
        <w:tc>
          <w:tcPr>
            <w:tcW w:w="1262" w:type="dxa"/>
            <w:tcBorders>
              <w:top w:val="single" w:sz="2" w:space="0" w:color="auto"/>
            </w:tcBorders>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0</w:t>
            </w:r>
          </w:p>
        </w:tc>
        <w:tc>
          <w:tcPr>
            <w:tcW w:w="1440" w:type="dxa"/>
            <w:tcBorders>
              <w:top w:val="single" w:sz="2" w:space="0" w:color="auto"/>
            </w:tcBorders>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0</w:t>
            </w:r>
          </w:p>
        </w:tc>
        <w:tc>
          <w:tcPr>
            <w:tcW w:w="1296" w:type="dxa"/>
            <w:tcBorders>
              <w:top w:val="single" w:sz="2" w:space="0" w:color="auto"/>
            </w:tcBorders>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0</w:t>
            </w:r>
          </w:p>
        </w:tc>
        <w:tc>
          <w:tcPr>
            <w:tcW w:w="1080" w:type="dxa"/>
            <w:tcBorders>
              <w:top w:val="single" w:sz="2" w:space="0" w:color="auto"/>
            </w:tcBorders>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Borders>
              <w:top w:val="single" w:sz="2" w:space="0" w:color="auto"/>
            </w:tcBorders>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0</w:t>
            </w:r>
          </w:p>
        </w:tc>
      </w:tr>
      <w:tr w:rsidR="00173DDB">
        <w:tblPrEx>
          <w:tblCellMar>
            <w:top w:w="0" w:type="dxa"/>
            <w:bottom w:w="0" w:type="dxa"/>
          </w:tblCellMar>
        </w:tblPrEx>
        <w:trPr>
          <w:cantSplit/>
        </w:trPr>
        <w:tc>
          <w:tcPr>
            <w:tcW w:w="2160" w:type="dxa"/>
            <w:vMerge/>
          </w:tcPr>
          <w:p w:rsidR="00173DDB" w:rsidRDefault="00173DDB">
            <w:pPr>
              <w:autoSpaceDE w:val="0"/>
              <w:autoSpaceDN w:val="0"/>
              <w:adjustRightInd w:val="0"/>
              <w:spacing w:before="20" w:after="20"/>
              <w:jc w:val="right"/>
              <w:rPr>
                <w:color w:val="000000"/>
                <w:sz w:val="21"/>
                <w:szCs w:val="16"/>
              </w:rPr>
            </w:pPr>
          </w:p>
        </w:tc>
        <w:tc>
          <w:tcPr>
            <w:tcW w:w="1577" w:type="dxa"/>
          </w:tcPr>
          <w:p w:rsidR="00173DDB" w:rsidRDefault="00173DDB">
            <w:pPr>
              <w:autoSpaceDE w:val="0"/>
              <w:autoSpaceDN w:val="0"/>
              <w:adjustRightInd w:val="0"/>
              <w:spacing w:before="20" w:after="20"/>
              <w:rPr>
                <w:color w:val="000000"/>
                <w:sz w:val="21"/>
                <w:szCs w:val="16"/>
              </w:rPr>
            </w:pPr>
            <w:r>
              <w:rPr>
                <w:color w:val="000000"/>
                <w:sz w:val="21"/>
                <w:szCs w:val="16"/>
              </w:rPr>
              <w:t>Comfort cooling</w:t>
            </w:r>
          </w:p>
        </w:tc>
        <w:tc>
          <w:tcPr>
            <w:tcW w:w="1080" w:type="dxa"/>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1,396</w:t>
            </w:r>
          </w:p>
        </w:tc>
        <w:tc>
          <w:tcPr>
            <w:tcW w:w="1584" w:type="dxa"/>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181</w:t>
            </w:r>
          </w:p>
        </w:tc>
        <w:tc>
          <w:tcPr>
            <w:tcW w:w="1262" w:type="dxa"/>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145</w:t>
            </w:r>
          </w:p>
        </w:tc>
        <w:tc>
          <w:tcPr>
            <w:tcW w:w="1440" w:type="dxa"/>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33</w:t>
            </w:r>
          </w:p>
        </w:tc>
        <w:tc>
          <w:tcPr>
            <w:tcW w:w="1296" w:type="dxa"/>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3</w:t>
            </w:r>
          </w:p>
        </w:tc>
        <w:tc>
          <w:tcPr>
            <w:tcW w:w="1080" w:type="dxa"/>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221</w:t>
            </w:r>
          </w:p>
        </w:tc>
      </w:tr>
      <w:tr w:rsidR="00173DDB">
        <w:tblPrEx>
          <w:tblCellMar>
            <w:top w:w="0" w:type="dxa"/>
            <w:bottom w:w="0" w:type="dxa"/>
          </w:tblCellMar>
        </w:tblPrEx>
        <w:tc>
          <w:tcPr>
            <w:tcW w:w="2160" w:type="dxa"/>
          </w:tcPr>
          <w:p w:rsidR="00173DDB" w:rsidRDefault="00173DDB">
            <w:pPr>
              <w:autoSpaceDE w:val="0"/>
              <w:autoSpaceDN w:val="0"/>
              <w:adjustRightInd w:val="0"/>
              <w:spacing w:before="20" w:after="20"/>
              <w:jc w:val="right"/>
              <w:rPr>
                <w:color w:val="000000"/>
                <w:sz w:val="21"/>
                <w:szCs w:val="16"/>
              </w:rPr>
            </w:pPr>
          </w:p>
        </w:tc>
        <w:tc>
          <w:tcPr>
            <w:tcW w:w="1577" w:type="dxa"/>
          </w:tcPr>
          <w:p w:rsidR="00173DDB" w:rsidRDefault="00173DDB">
            <w:pPr>
              <w:autoSpaceDE w:val="0"/>
              <w:autoSpaceDN w:val="0"/>
              <w:adjustRightInd w:val="0"/>
              <w:spacing w:before="20" w:after="20"/>
              <w:rPr>
                <w:color w:val="000000"/>
                <w:sz w:val="21"/>
                <w:szCs w:val="16"/>
              </w:rPr>
            </w:pPr>
            <w:r>
              <w:rPr>
                <w:color w:val="000000"/>
                <w:sz w:val="21"/>
                <w:szCs w:val="16"/>
              </w:rPr>
              <w:t>Industrial</w:t>
            </w:r>
          </w:p>
        </w:tc>
        <w:tc>
          <w:tcPr>
            <w:tcW w:w="1080" w:type="dxa"/>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1,396</w:t>
            </w:r>
          </w:p>
        </w:tc>
        <w:tc>
          <w:tcPr>
            <w:tcW w:w="1584" w:type="dxa"/>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312</w:t>
            </w:r>
          </w:p>
        </w:tc>
        <w:tc>
          <w:tcPr>
            <w:tcW w:w="1262" w:type="dxa"/>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249</w:t>
            </w:r>
          </w:p>
        </w:tc>
        <w:tc>
          <w:tcPr>
            <w:tcW w:w="1440" w:type="dxa"/>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56</w:t>
            </w:r>
          </w:p>
        </w:tc>
        <w:tc>
          <w:tcPr>
            <w:tcW w:w="1296" w:type="dxa"/>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6</w:t>
            </w:r>
          </w:p>
        </w:tc>
        <w:tc>
          <w:tcPr>
            <w:tcW w:w="1080" w:type="dxa"/>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380</w:t>
            </w:r>
          </w:p>
        </w:tc>
      </w:tr>
      <w:tr w:rsidR="00173DDB">
        <w:tblPrEx>
          <w:tblCellMar>
            <w:top w:w="0" w:type="dxa"/>
            <w:bottom w:w="0" w:type="dxa"/>
          </w:tblCellMar>
        </w:tblPrEx>
        <w:tc>
          <w:tcPr>
            <w:tcW w:w="2160" w:type="dxa"/>
            <w:tcBorders>
              <w:bottom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Totals</w:t>
            </w:r>
          </w:p>
        </w:tc>
        <w:tc>
          <w:tcPr>
            <w:tcW w:w="1577" w:type="dxa"/>
            <w:tcBorders>
              <w:bottom w:val="single" w:sz="2" w:space="0" w:color="auto"/>
            </w:tcBorders>
          </w:tcPr>
          <w:p w:rsidR="00173DDB" w:rsidRDefault="00173DDB">
            <w:pPr>
              <w:autoSpaceDE w:val="0"/>
              <w:autoSpaceDN w:val="0"/>
              <w:adjustRightInd w:val="0"/>
              <w:spacing w:before="20" w:after="20"/>
              <w:jc w:val="right"/>
              <w:rPr>
                <w:color w:val="000000"/>
                <w:sz w:val="21"/>
                <w:szCs w:val="16"/>
              </w:rPr>
            </w:pPr>
          </w:p>
        </w:tc>
        <w:tc>
          <w:tcPr>
            <w:tcW w:w="1080" w:type="dxa"/>
            <w:tcBorders>
              <w:bottom w:val="single" w:sz="2" w:space="0" w:color="auto"/>
            </w:tcBorders>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2,792</w:t>
            </w:r>
          </w:p>
        </w:tc>
        <w:tc>
          <w:tcPr>
            <w:tcW w:w="1584" w:type="dxa"/>
            <w:tcBorders>
              <w:bottom w:val="single" w:sz="2" w:space="0" w:color="auto"/>
            </w:tcBorders>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493</w:t>
            </w:r>
          </w:p>
        </w:tc>
        <w:tc>
          <w:tcPr>
            <w:tcW w:w="1262" w:type="dxa"/>
            <w:tcBorders>
              <w:bottom w:val="single" w:sz="2" w:space="0" w:color="auto"/>
            </w:tcBorders>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394</w:t>
            </w:r>
          </w:p>
        </w:tc>
        <w:tc>
          <w:tcPr>
            <w:tcW w:w="1440" w:type="dxa"/>
            <w:tcBorders>
              <w:bottom w:val="single" w:sz="2" w:space="0" w:color="auto"/>
            </w:tcBorders>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89</w:t>
            </w:r>
          </w:p>
        </w:tc>
        <w:tc>
          <w:tcPr>
            <w:tcW w:w="1296" w:type="dxa"/>
            <w:tcBorders>
              <w:bottom w:val="single" w:sz="2" w:space="0" w:color="auto"/>
            </w:tcBorders>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9</w:t>
            </w:r>
          </w:p>
        </w:tc>
        <w:tc>
          <w:tcPr>
            <w:tcW w:w="1080" w:type="dxa"/>
            <w:tcBorders>
              <w:bottom w:val="single" w:sz="2" w:space="0" w:color="auto"/>
            </w:tcBorders>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Borders>
              <w:bottom w:val="single" w:sz="2" w:space="0" w:color="auto"/>
            </w:tcBorders>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602</w:t>
            </w:r>
          </w:p>
        </w:tc>
      </w:tr>
      <w:tr w:rsidR="00173DDB">
        <w:tblPrEx>
          <w:tblCellMar>
            <w:top w:w="0" w:type="dxa"/>
            <w:bottom w:w="0" w:type="dxa"/>
          </w:tblCellMar>
        </w:tblPrEx>
        <w:tc>
          <w:tcPr>
            <w:tcW w:w="2160" w:type="dxa"/>
            <w:tcBorders>
              <w:top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Bakeries</w:t>
            </w:r>
          </w:p>
        </w:tc>
        <w:tc>
          <w:tcPr>
            <w:tcW w:w="1577" w:type="dxa"/>
            <w:tcBorders>
              <w:top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Commercial</w:t>
            </w:r>
          </w:p>
        </w:tc>
        <w:tc>
          <w:tcPr>
            <w:tcW w:w="1080" w:type="dxa"/>
            <w:tcBorders>
              <w:top w:val="single" w:sz="2" w:space="0" w:color="auto"/>
            </w:tcBorders>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0</w:t>
            </w:r>
          </w:p>
        </w:tc>
        <w:tc>
          <w:tcPr>
            <w:tcW w:w="1584" w:type="dxa"/>
            <w:tcBorders>
              <w:top w:val="single" w:sz="2" w:space="0" w:color="auto"/>
            </w:tcBorders>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0</w:t>
            </w:r>
          </w:p>
        </w:tc>
        <w:tc>
          <w:tcPr>
            <w:tcW w:w="1262" w:type="dxa"/>
            <w:tcBorders>
              <w:top w:val="single" w:sz="2" w:space="0" w:color="auto"/>
            </w:tcBorders>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0</w:t>
            </w:r>
          </w:p>
        </w:tc>
        <w:tc>
          <w:tcPr>
            <w:tcW w:w="1440" w:type="dxa"/>
            <w:tcBorders>
              <w:top w:val="single" w:sz="2" w:space="0" w:color="auto"/>
            </w:tcBorders>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0</w:t>
            </w:r>
          </w:p>
        </w:tc>
        <w:tc>
          <w:tcPr>
            <w:tcW w:w="1296" w:type="dxa"/>
            <w:tcBorders>
              <w:top w:val="single" w:sz="2" w:space="0" w:color="auto"/>
            </w:tcBorders>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0</w:t>
            </w:r>
          </w:p>
        </w:tc>
        <w:tc>
          <w:tcPr>
            <w:tcW w:w="1080" w:type="dxa"/>
            <w:tcBorders>
              <w:top w:val="single" w:sz="2" w:space="0" w:color="auto"/>
            </w:tcBorders>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Borders>
              <w:top w:val="single" w:sz="2" w:space="0" w:color="auto"/>
            </w:tcBorders>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0</w:t>
            </w:r>
          </w:p>
        </w:tc>
      </w:tr>
      <w:tr w:rsidR="00173DDB">
        <w:tblPrEx>
          <w:tblCellMar>
            <w:top w:w="0" w:type="dxa"/>
            <w:bottom w:w="0" w:type="dxa"/>
          </w:tblCellMar>
        </w:tblPrEx>
        <w:tc>
          <w:tcPr>
            <w:tcW w:w="2160" w:type="dxa"/>
          </w:tcPr>
          <w:p w:rsidR="00173DDB" w:rsidRDefault="00173DDB">
            <w:pPr>
              <w:autoSpaceDE w:val="0"/>
              <w:autoSpaceDN w:val="0"/>
              <w:adjustRightInd w:val="0"/>
              <w:spacing w:before="20" w:after="20"/>
              <w:jc w:val="right"/>
              <w:rPr>
                <w:color w:val="000000"/>
                <w:sz w:val="21"/>
                <w:szCs w:val="16"/>
              </w:rPr>
            </w:pPr>
          </w:p>
        </w:tc>
        <w:tc>
          <w:tcPr>
            <w:tcW w:w="1577" w:type="dxa"/>
          </w:tcPr>
          <w:p w:rsidR="00173DDB" w:rsidRDefault="00173DDB">
            <w:pPr>
              <w:autoSpaceDE w:val="0"/>
              <w:autoSpaceDN w:val="0"/>
              <w:adjustRightInd w:val="0"/>
              <w:spacing w:before="20" w:after="20"/>
              <w:rPr>
                <w:color w:val="000000"/>
                <w:sz w:val="21"/>
                <w:szCs w:val="16"/>
              </w:rPr>
            </w:pPr>
            <w:r>
              <w:rPr>
                <w:color w:val="000000"/>
                <w:sz w:val="21"/>
                <w:szCs w:val="16"/>
              </w:rPr>
              <w:t>Comfort cooling</w:t>
            </w:r>
          </w:p>
        </w:tc>
        <w:tc>
          <w:tcPr>
            <w:tcW w:w="1080" w:type="dxa"/>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21,068</w:t>
            </w:r>
          </w:p>
        </w:tc>
        <w:tc>
          <w:tcPr>
            <w:tcW w:w="1584" w:type="dxa"/>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2,735</w:t>
            </w:r>
          </w:p>
        </w:tc>
        <w:tc>
          <w:tcPr>
            <w:tcW w:w="1262" w:type="dxa"/>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2,188</w:t>
            </w:r>
          </w:p>
        </w:tc>
        <w:tc>
          <w:tcPr>
            <w:tcW w:w="1440" w:type="dxa"/>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492</w:t>
            </w:r>
          </w:p>
        </w:tc>
        <w:tc>
          <w:tcPr>
            <w:tcW w:w="1296" w:type="dxa"/>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52</w:t>
            </w:r>
          </w:p>
        </w:tc>
        <w:tc>
          <w:tcPr>
            <w:tcW w:w="1080" w:type="dxa"/>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3</w:t>
            </w:r>
          </w:p>
        </w:tc>
        <w:tc>
          <w:tcPr>
            <w:tcW w:w="1496" w:type="dxa"/>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3,336</w:t>
            </w:r>
          </w:p>
        </w:tc>
      </w:tr>
      <w:tr w:rsidR="00173DDB">
        <w:tblPrEx>
          <w:tblCellMar>
            <w:top w:w="0" w:type="dxa"/>
            <w:bottom w:w="0" w:type="dxa"/>
          </w:tblCellMar>
        </w:tblPrEx>
        <w:tc>
          <w:tcPr>
            <w:tcW w:w="2160" w:type="dxa"/>
          </w:tcPr>
          <w:p w:rsidR="00173DDB" w:rsidRDefault="00173DDB">
            <w:pPr>
              <w:autoSpaceDE w:val="0"/>
              <w:autoSpaceDN w:val="0"/>
              <w:adjustRightInd w:val="0"/>
              <w:spacing w:before="20" w:after="20"/>
              <w:jc w:val="right"/>
              <w:rPr>
                <w:color w:val="000000"/>
                <w:sz w:val="21"/>
                <w:szCs w:val="16"/>
              </w:rPr>
            </w:pPr>
          </w:p>
        </w:tc>
        <w:tc>
          <w:tcPr>
            <w:tcW w:w="1577" w:type="dxa"/>
          </w:tcPr>
          <w:p w:rsidR="00173DDB" w:rsidRDefault="00173DDB">
            <w:pPr>
              <w:autoSpaceDE w:val="0"/>
              <w:autoSpaceDN w:val="0"/>
              <w:adjustRightInd w:val="0"/>
              <w:spacing w:before="20" w:after="20"/>
              <w:rPr>
                <w:color w:val="000000"/>
                <w:sz w:val="21"/>
                <w:szCs w:val="16"/>
              </w:rPr>
            </w:pPr>
            <w:r>
              <w:rPr>
                <w:color w:val="000000"/>
                <w:sz w:val="21"/>
                <w:szCs w:val="16"/>
              </w:rPr>
              <w:t>Industrial</w:t>
            </w:r>
          </w:p>
        </w:tc>
        <w:tc>
          <w:tcPr>
            <w:tcW w:w="1080" w:type="dxa"/>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21,068</w:t>
            </w:r>
          </w:p>
        </w:tc>
        <w:tc>
          <w:tcPr>
            <w:tcW w:w="1584" w:type="dxa"/>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4,707</w:t>
            </w:r>
          </w:p>
        </w:tc>
        <w:tc>
          <w:tcPr>
            <w:tcW w:w="1262" w:type="dxa"/>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3,765</w:t>
            </w:r>
          </w:p>
        </w:tc>
        <w:tc>
          <w:tcPr>
            <w:tcW w:w="1440" w:type="dxa"/>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847</w:t>
            </w:r>
          </w:p>
        </w:tc>
        <w:tc>
          <w:tcPr>
            <w:tcW w:w="1296" w:type="dxa"/>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89</w:t>
            </w:r>
          </w:p>
        </w:tc>
        <w:tc>
          <w:tcPr>
            <w:tcW w:w="1080" w:type="dxa"/>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5</w:t>
            </w:r>
          </w:p>
        </w:tc>
        <w:tc>
          <w:tcPr>
            <w:tcW w:w="1496" w:type="dxa"/>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5,742</w:t>
            </w:r>
          </w:p>
        </w:tc>
      </w:tr>
      <w:tr w:rsidR="00173DDB">
        <w:tblPrEx>
          <w:tblCellMar>
            <w:top w:w="0" w:type="dxa"/>
            <w:bottom w:w="0" w:type="dxa"/>
          </w:tblCellMar>
        </w:tblPrEx>
        <w:tc>
          <w:tcPr>
            <w:tcW w:w="2160" w:type="dxa"/>
            <w:tcBorders>
              <w:bottom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Totals</w:t>
            </w:r>
          </w:p>
        </w:tc>
        <w:tc>
          <w:tcPr>
            <w:tcW w:w="1577" w:type="dxa"/>
            <w:tcBorders>
              <w:bottom w:val="single" w:sz="2" w:space="0" w:color="auto"/>
            </w:tcBorders>
          </w:tcPr>
          <w:p w:rsidR="00173DDB" w:rsidRDefault="00173DDB">
            <w:pPr>
              <w:autoSpaceDE w:val="0"/>
              <w:autoSpaceDN w:val="0"/>
              <w:adjustRightInd w:val="0"/>
              <w:spacing w:before="20" w:after="20"/>
              <w:jc w:val="right"/>
              <w:rPr>
                <w:color w:val="000000"/>
                <w:sz w:val="21"/>
                <w:szCs w:val="16"/>
              </w:rPr>
            </w:pPr>
          </w:p>
        </w:tc>
        <w:tc>
          <w:tcPr>
            <w:tcW w:w="1080" w:type="dxa"/>
            <w:tcBorders>
              <w:bottom w:val="single" w:sz="2" w:space="0" w:color="auto"/>
            </w:tcBorders>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42,136</w:t>
            </w:r>
          </w:p>
        </w:tc>
        <w:tc>
          <w:tcPr>
            <w:tcW w:w="1584" w:type="dxa"/>
            <w:tcBorders>
              <w:bottom w:val="single" w:sz="2" w:space="0" w:color="auto"/>
            </w:tcBorders>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7,441</w:t>
            </w:r>
          </w:p>
        </w:tc>
        <w:tc>
          <w:tcPr>
            <w:tcW w:w="1262" w:type="dxa"/>
            <w:tcBorders>
              <w:bottom w:val="single" w:sz="2" w:space="0" w:color="auto"/>
            </w:tcBorders>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5,953</w:t>
            </w:r>
          </w:p>
        </w:tc>
        <w:tc>
          <w:tcPr>
            <w:tcW w:w="1440" w:type="dxa"/>
            <w:tcBorders>
              <w:bottom w:val="single" w:sz="2" w:space="0" w:color="auto"/>
            </w:tcBorders>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1,339</w:t>
            </w:r>
          </w:p>
        </w:tc>
        <w:tc>
          <w:tcPr>
            <w:tcW w:w="1296" w:type="dxa"/>
            <w:tcBorders>
              <w:bottom w:val="single" w:sz="2" w:space="0" w:color="auto"/>
            </w:tcBorders>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141</w:t>
            </w:r>
          </w:p>
        </w:tc>
        <w:tc>
          <w:tcPr>
            <w:tcW w:w="1080" w:type="dxa"/>
            <w:tcBorders>
              <w:bottom w:val="single" w:sz="2" w:space="0" w:color="auto"/>
            </w:tcBorders>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7</w:t>
            </w:r>
          </w:p>
        </w:tc>
        <w:tc>
          <w:tcPr>
            <w:tcW w:w="1496" w:type="dxa"/>
            <w:tcBorders>
              <w:bottom w:val="single" w:sz="2" w:space="0" w:color="auto"/>
            </w:tcBorders>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9,078</w:t>
            </w:r>
          </w:p>
        </w:tc>
      </w:tr>
      <w:tr w:rsidR="00173DDB">
        <w:tblPrEx>
          <w:tblCellMar>
            <w:top w:w="0" w:type="dxa"/>
            <w:bottom w:w="0" w:type="dxa"/>
          </w:tblCellMar>
        </w:tblPrEx>
        <w:trPr>
          <w:cantSplit/>
        </w:trPr>
        <w:tc>
          <w:tcPr>
            <w:tcW w:w="2160" w:type="dxa"/>
            <w:tcBorders>
              <w:top w:val="single" w:sz="6" w:space="0" w:color="auto"/>
            </w:tcBorders>
          </w:tcPr>
          <w:p w:rsidR="00173DDB" w:rsidRDefault="00173DDB">
            <w:pPr>
              <w:autoSpaceDE w:val="0"/>
              <w:autoSpaceDN w:val="0"/>
              <w:adjustRightInd w:val="0"/>
              <w:spacing w:before="20" w:after="20"/>
              <w:rPr>
                <w:color w:val="000000"/>
                <w:sz w:val="21"/>
                <w:szCs w:val="16"/>
              </w:rPr>
            </w:pPr>
          </w:p>
        </w:tc>
        <w:tc>
          <w:tcPr>
            <w:tcW w:w="1577" w:type="dxa"/>
            <w:tcBorders>
              <w:top w:val="single" w:sz="6" w:space="0" w:color="auto"/>
            </w:tcBorders>
          </w:tcPr>
          <w:p w:rsidR="00173DDB" w:rsidRDefault="00173DDB">
            <w:pPr>
              <w:autoSpaceDE w:val="0"/>
              <w:autoSpaceDN w:val="0"/>
              <w:adjustRightInd w:val="0"/>
              <w:spacing w:before="20" w:after="20"/>
              <w:rPr>
                <w:color w:val="000000"/>
                <w:sz w:val="21"/>
                <w:szCs w:val="16"/>
              </w:rPr>
            </w:pPr>
          </w:p>
        </w:tc>
        <w:tc>
          <w:tcPr>
            <w:tcW w:w="1080" w:type="dxa"/>
            <w:tcBorders>
              <w:top w:val="single" w:sz="6" w:space="0" w:color="auto"/>
            </w:tcBorders>
          </w:tcPr>
          <w:p w:rsidR="00173DDB" w:rsidRDefault="00173DDB">
            <w:pPr>
              <w:tabs>
                <w:tab w:val="decimal" w:pos="823"/>
              </w:tabs>
              <w:autoSpaceDE w:val="0"/>
              <w:autoSpaceDN w:val="0"/>
              <w:adjustRightInd w:val="0"/>
              <w:spacing w:before="20" w:after="20"/>
              <w:rPr>
                <w:color w:val="000000"/>
                <w:sz w:val="21"/>
                <w:szCs w:val="16"/>
              </w:rPr>
            </w:pPr>
          </w:p>
        </w:tc>
        <w:tc>
          <w:tcPr>
            <w:tcW w:w="1584" w:type="dxa"/>
            <w:tcBorders>
              <w:top w:val="single" w:sz="6" w:space="0" w:color="auto"/>
            </w:tcBorders>
          </w:tcPr>
          <w:p w:rsidR="00173DDB" w:rsidRDefault="00173DDB">
            <w:pPr>
              <w:tabs>
                <w:tab w:val="decimal" w:pos="1063"/>
              </w:tabs>
              <w:autoSpaceDE w:val="0"/>
              <w:autoSpaceDN w:val="0"/>
              <w:adjustRightInd w:val="0"/>
              <w:spacing w:before="20" w:after="20"/>
              <w:rPr>
                <w:color w:val="000000"/>
                <w:sz w:val="21"/>
                <w:szCs w:val="16"/>
              </w:rPr>
            </w:pPr>
          </w:p>
        </w:tc>
        <w:tc>
          <w:tcPr>
            <w:tcW w:w="1262" w:type="dxa"/>
            <w:tcBorders>
              <w:top w:val="single" w:sz="6" w:space="0" w:color="auto"/>
            </w:tcBorders>
          </w:tcPr>
          <w:p w:rsidR="00173DDB" w:rsidRDefault="00173DDB">
            <w:pPr>
              <w:tabs>
                <w:tab w:val="decimal" w:pos="919"/>
              </w:tabs>
              <w:autoSpaceDE w:val="0"/>
              <w:autoSpaceDN w:val="0"/>
              <w:adjustRightInd w:val="0"/>
              <w:spacing w:before="20" w:after="20"/>
              <w:rPr>
                <w:color w:val="000000"/>
                <w:sz w:val="21"/>
                <w:szCs w:val="16"/>
              </w:rPr>
            </w:pPr>
          </w:p>
        </w:tc>
        <w:tc>
          <w:tcPr>
            <w:tcW w:w="1440" w:type="dxa"/>
            <w:tcBorders>
              <w:top w:val="single" w:sz="6" w:space="0" w:color="auto"/>
            </w:tcBorders>
          </w:tcPr>
          <w:p w:rsidR="00173DDB" w:rsidRDefault="00173DDB">
            <w:pPr>
              <w:tabs>
                <w:tab w:val="decimal" w:pos="977"/>
              </w:tabs>
              <w:autoSpaceDE w:val="0"/>
              <w:autoSpaceDN w:val="0"/>
              <w:adjustRightInd w:val="0"/>
              <w:spacing w:before="20" w:after="20"/>
              <w:rPr>
                <w:color w:val="000000"/>
                <w:sz w:val="21"/>
                <w:szCs w:val="16"/>
              </w:rPr>
            </w:pPr>
          </w:p>
        </w:tc>
        <w:tc>
          <w:tcPr>
            <w:tcW w:w="1296" w:type="dxa"/>
            <w:tcBorders>
              <w:top w:val="single" w:sz="6" w:space="0" w:color="auto"/>
            </w:tcBorders>
          </w:tcPr>
          <w:p w:rsidR="00173DDB" w:rsidRDefault="00173DDB">
            <w:pPr>
              <w:tabs>
                <w:tab w:val="decimal" w:pos="857"/>
              </w:tabs>
              <w:autoSpaceDE w:val="0"/>
              <w:autoSpaceDN w:val="0"/>
              <w:adjustRightInd w:val="0"/>
              <w:spacing w:before="20" w:after="20"/>
              <w:rPr>
                <w:color w:val="000000"/>
                <w:sz w:val="21"/>
                <w:szCs w:val="16"/>
              </w:rPr>
            </w:pPr>
          </w:p>
        </w:tc>
        <w:tc>
          <w:tcPr>
            <w:tcW w:w="1080" w:type="dxa"/>
            <w:tcBorders>
              <w:top w:val="single" w:sz="6" w:space="0" w:color="auto"/>
            </w:tcBorders>
          </w:tcPr>
          <w:p w:rsidR="00173DDB" w:rsidRDefault="00173DDB">
            <w:pPr>
              <w:tabs>
                <w:tab w:val="decimal" w:pos="540"/>
              </w:tabs>
              <w:autoSpaceDE w:val="0"/>
              <w:autoSpaceDN w:val="0"/>
              <w:adjustRightInd w:val="0"/>
              <w:spacing w:before="20" w:after="20"/>
              <w:rPr>
                <w:color w:val="000000"/>
                <w:sz w:val="21"/>
                <w:szCs w:val="16"/>
              </w:rPr>
            </w:pPr>
          </w:p>
        </w:tc>
        <w:tc>
          <w:tcPr>
            <w:tcW w:w="1496" w:type="dxa"/>
            <w:tcBorders>
              <w:top w:val="single" w:sz="6" w:space="0" w:color="auto"/>
            </w:tcBorders>
          </w:tcPr>
          <w:p w:rsidR="00173DDB" w:rsidRDefault="00173DDB">
            <w:pPr>
              <w:tabs>
                <w:tab w:val="decimal" w:pos="1001"/>
              </w:tabs>
              <w:autoSpaceDE w:val="0"/>
              <w:autoSpaceDN w:val="0"/>
              <w:adjustRightInd w:val="0"/>
              <w:spacing w:before="20" w:after="20"/>
              <w:rPr>
                <w:color w:val="000000"/>
                <w:sz w:val="21"/>
                <w:szCs w:val="16"/>
              </w:rPr>
            </w:pPr>
          </w:p>
        </w:tc>
      </w:tr>
      <w:tr w:rsidR="00173DDB">
        <w:tblPrEx>
          <w:tblCellMar>
            <w:top w:w="0" w:type="dxa"/>
            <w:bottom w:w="0" w:type="dxa"/>
          </w:tblCellMar>
        </w:tblPrEx>
        <w:trPr>
          <w:cantSplit/>
        </w:trPr>
        <w:tc>
          <w:tcPr>
            <w:tcW w:w="12975" w:type="dxa"/>
            <w:gridSpan w:val="9"/>
            <w:tcBorders>
              <w:bottom w:val="single" w:sz="6" w:space="0" w:color="auto"/>
            </w:tcBorders>
            <w:vAlign w:val="bottom"/>
          </w:tcPr>
          <w:p w:rsidR="00173DDB" w:rsidRDefault="00173DDB">
            <w:pPr>
              <w:keepNext/>
              <w:autoSpaceDE w:val="0"/>
              <w:autoSpaceDN w:val="0"/>
              <w:adjustRightInd w:val="0"/>
              <w:spacing w:before="20" w:after="20"/>
              <w:rPr>
                <w:b/>
                <w:bCs/>
                <w:color w:val="000000"/>
                <w:szCs w:val="16"/>
              </w:rPr>
            </w:pPr>
            <w:r>
              <w:rPr>
                <w:b/>
                <w:bCs/>
                <w:color w:val="000000"/>
                <w:szCs w:val="16"/>
              </w:rPr>
              <w:lastRenderedPageBreak/>
              <w:t>Table 2. Appliances requiring repair, number of successful repairs at each stage, and the total number of invoices to be filed and maintained (cont.)</w:t>
            </w:r>
          </w:p>
        </w:tc>
      </w:tr>
      <w:tr w:rsidR="00173DDB">
        <w:tblPrEx>
          <w:tblCellMar>
            <w:top w:w="0" w:type="dxa"/>
            <w:bottom w:w="0" w:type="dxa"/>
          </w:tblCellMar>
        </w:tblPrEx>
        <w:tc>
          <w:tcPr>
            <w:tcW w:w="2160" w:type="dxa"/>
            <w:tcBorders>
              <w:top w:val="single" w:sz="6" w:space="0" w:color="auto"/>
              <w:bottom w:val="single" w:sz="6" w:space="0" w:color="auto"/>
            </w:tcBorders>
            <w:vAlign w:val="bottom"/>
          </w:tcPr>
          <w:p w:rsidR="00173DDB" w:rsidRDefault="00173DDB">
            <w:pPr>
              <w:autoSpaceDE w:val="0"/>
              <w:autoSpaceDN w:val="0"/>
              <w:adjustRightInd w:val="0"/>
              <w:spacing w:before="20" w:after="20"/>
              <w:rPr>
                <w:b/>
                <w:bCs/>
                <w:color w:val="000000"/>
                <w:sz w:val="21"/>
                <w:szCs w:val="16"/>
              </w:rPr>
            </w:pPr>
            <w:r>
              <w:rPr>
                <w:b/>
                <w:bCs/>
                <w:color w:val="000000"/>
                <w:sz w:val="21"/>
                <w:szCs w:val="16"/>
              </w:rPr>
              <w:t>Sector</w:t>
            </w:r>
          </w:p>
        </w:tc>
        <w:tc>
          <w:tcPr>
            <w:tcW w:w="1577" w:type="dxa"/>
            <w:tcBorders>
              <w:top w:val="single" w:sz="6" w:space="0" w:color="auto"/>
              <w:bottom w:val="single" w:sz="6" w:space="0" w:color="auto"/>
            </w:tcBorders>
            <w:vAlign w:val="bottom"/>
          </w:tcPr>
          <w:p w:rsidR="00173DDB" w:rsidRDefault="00173DDB">
            <w:pPr>
              <w:autoSpaceDE w:val="0"/>
              <w:autoSpaceDN w:val="0"/>
              <w:adjustRightInd w:val="0"/>
              <w:spacing w:before="20" w:after="20"/>
              <w:jc w:val="center"/>
              <w:rPr>
                <w:b/>
                <w:bCs/>
                <w:color w:val="000000"/>
                <w:sz w:val="21"/>
                <w:szCs w:val="16"/>
              </w:rPr>
            </w:pPr>
            <w:r>
              <w:rPr>
                <w:b/>
                <w:bCs/>
                <w:color w:val="000000"/>
                <w:sz w:val="21"/>
                <w:szCs w:val="16"/>
              </w:rPr>
              <w:t>System type</w:t>
            </w:r>
          </w:p>
        </w:tc>
        <w:tc>
          <w:tcPr>
            <w:tcW w:w="1080" w:type="dxa"/>
            <w:tcBorders>
              <w:top w:val="single" w:sz="6" w:space="0" w:color="auto"/>
              <w:bottom w:val="single" w:sz="6" w:space="0" w:color="auto"/>
            </w:tcBorders>
            <w:vAlign w:val="bottom"/>
          </w:tcPr>
          <w:p w:rsidR="00173DDB" w:rsidRDefault="00173DDB">
            <w:pPr>
              <w:autoSpaceDE w:val="0"/>
              <w:autoSpaceDN w:val="0"/>
              <w:adjustRightInd w:val="0"/>
              <w:spacing w:before="20" w:after="20"/>
              <w:jc w:val="center"/>
              <w:rPr>
                <w:b/>
                <w:bCs/>
                <w:color w:val="000000"/>
                <w:sz w:val="21"/>
                <w:szCs w:val="16"/>
              </w:rPr>
            </w:pPr>
            <w:r>
              <w:rPr>
                <w:b/>
                <w:bCs/>
                <w:color w:val="000000"/>
                <w:sz w:val="21"/>
                <w:szCs w:val="16"/>
              </w:rPr>
              <w:t>Total no. of appliances</w:t>
            </w:r>
          </w:p>
        </w:tc>
        <w:tc>
          <w:tcPr>
            <w:tcW w:w="1584" w:type="dxa"/>
            <w:tcBorders>
              <w:top w:val="single" w:sz="6" w:space="0" w:color="auto"/>
              <w:bottom w:val="single" w:sz="6" w:space="0" w:color="auto"/>
            </w:tcBorders>
            <w:vAlign w:val="bottom"/>
          </w:tcPr>
          <w:p w:rsidR="00173DDB" w:rsidRDefault="00173DDB">
            <w:pPr>
              <w:autoSpaceDE w:val="0"/>
              <w:autoSpaceDN w:val="0"/>
              <w:adjustRightInd w:val="0"/>
              <w:spacing w:before="20" w:after="20"/>
              <w:jc w:val="center"/>
              <w:rPr>
                <w:b/>
                <w:bCs/>
                <w:color w:val="000000"/>
                <w:sz w:val="21"/>
                <w:szCs w:val="16"/>
              </w:rPr>
            </w:pPr>
            <w:r>
              <w:rPr>
                <w:b/>
                <w:bCs/>
                <w:color w:val="000000"/>
                <w:sz w:val="21"/>
                <w:szCs w:val="16"/>
              </w:rPr>
              <w:t>No. of appliances requiring repair</w:t>
            </w:r>
          </w:p>
        </w:tc>
        <w:tc>
          <w:tcPr>
            <w:tcW w:w="1262" w:type="dxa"/>
            <w:tcBorders>
              <w:top w:val="single" w:sz="6" w:space="0" w:color="auto"/>
              <w:bottom w:val="single" w:sz="6" w:space="0" w:color="auto"/>
            </w:tcBorders>
            <w:vAlign w:val="bottom"/>
          </w:tcPr>
          <w:p w:rsidR="00173DDB" w:rsidRDefault="00173DDB">
            <w:pPr>
              <w:autoSpaceDE w:val="0"/>
              <w:autoSpaceDN w:val="0"/>
              <w:adjustRightInd w:val="0"/>
              <w:spacing w:before="20" w:after="20"/>
              <w:jc w:val="center"/>
              <w:rPr>
                <w:b/>
                <w:bCs/>
                <w:color w:val="000000"/>
                <w:sz w:val="21"/>
                <w:szCs w:val="16"/>
              </w:rPr>
            </w:pPr>
            <w:r>
              <w:rPr>
                <w:b/>
                <w:bCs/>
                <w:color w:val="000000"/>
                <w:sz w:val="21"/>
                <w:szCs w:val="16"/>
              </w:rPr>
              <w:t>No. of successful first repairs</w:t>
            </w:r>
          </w:p>
        </w:tc>
        <w:tc>
          <w:tcPr>
            <w:tcW w:w="1440" w:type="dxa"/>
            <w:tcBorders>
              <w:top w:val="single" w:sz="6" w:space="0" w:color="auto"/>
              <w:bottom w:val="single" w:sz="6" w:space="0" w:color="auto"/>
            </w:tcBorders>
            <w:vAlign w:val="bottom"/>
          </w:tcPr>
          <w:p w:rsidR="00173DDB" w:rsidRDefault="00173DDB">
            <w:pPr>
              <w:autoSpaceDE w:val="0"/>
              <w:autoSpaceDN w:val="0"/>
              <w:adjustRightInd w:val="0"/>
              <w:spacing w:before="20" w:after="20"/>
              <w:jc w:val="center"/>
              <w:rPr>
                <w:b/>
                <w:bCs/>
                <w:color w:val="000000"/>
                <w:sz w:val="21"/>
                <w:szCs w:val="16"/>
              </w:rPr>
            </w:pPr>
            <w:r>
              <w:rPr>
                <w:b/>
                <w:bCs/>
                <w:color w:val="000000"/>
                <w:sz w:val="21"/>
                <w:szCs w:val="16"/>
              </w:rPr>
              <w:t>No. of successful second repairs</w:t>
            </w:r>
          </w:p>
        </w:tc>
        <w:tc>
          <w:tcPr>
            <w:tcW w:w="1296" w:type="dxa"/>
            <w:tcBorders>
              <w:top w:val="single" w:sz="6" w:space="0" w:color="auto"/>
              <w:bottom w:val="single" w:sz="6" w:space="0" w:color="auto"/>
            </w:tcBorders>
            <w:vAlign w:val="bottom"/>
          </w:tcPr>
          <w:p w:rsidR="00173DDB" w:rsidRDefault="00173DDB">
            <w:pPr>
              <w:autoSpaceDE w:val="0"/>
              <w:autoSpaceDN w:val="0"/>
              <w:adjustRightInd w:val="0"/>
              <w:spacing w:before="20" w:after="20"/>
              <w:jc w:val="center"/>
              <w:rPr>
                <w:b/>
                <w:bCs/>
                <w:color w:val="000000"/>
                <w:sz w:val="21"/>
                <w:szCs w:val="16"/>
              </w:rPr>
            </w:pPr>
            <w:r>
              <w:rPr>
                <w:b/>
                <w:bCs/>
                <w:color w:val="000000"/>
                <w:sz w:val="21"/>
                <w:szCs w:val="16"/>
              </w:rPr>
              <w:t>No. of successful third repairs</w:t>
            </w:r>
          </w:p>
        </w:tc>
        <w:tc>
          <w:tcPr>
            <w:tcW w:w="1080" w:type="dxa"/>
            <w:tcBorders>
              <w:top w:val="single" w:sz="6" w:space="0" w:color="auto"/>
              <w:bottom w:val="single" w:sz="6" w:space="0" w:color="auto"/>
            </w:tcBorders>
            <w:vAlign w:val="bottom"/>
          </w:tcPr>
          <w:p w:rsidR="00173DDB" w:rsidRDefault="00173DDB">
            <w:pPr>
              <w:autoSpaceDE w:val="0"/>
              <w:autoSpaceDN w:val="0"/>
              <w:adjustRightInd w:val="0"/>
              <w:spacing w:before="20" w:after="20"/>
              <w:jc w:val="center"/>
              <w:rPr>
                <w:b/>
                <w:bCs/>
                <w:color w:val="000000"/>
                <w:sz w:val="21"/>
                <w:szCs w:val="16"/>
              </w:rPr>
            </w:pPr>
            <w:r>
              <w:rPr>
                <w:b/>
                <w:bCs/>
                <w:color w:val="000000"/>
                <w:sz w:val="21"/>
                <w:szCs w:val="16"/>
              </w:rPr>
              <w:t>No. of retrofits or retirement</w:t>
            </w:r>
          </w:p>
        </w:tc>
        <w:tc>
          <w:tcPr>
            <w:tcW w:w="1496" w:type="dxa"/>
            <w:tcBorders>
              <w:top w:val="single" w:sz="6" w:space="0" w:color="auto"/>
              <w:bottom w:val="single" w:sz="6" w:space="0" w:color="auto"/>
            </w:tcBorders>
            <w:vAlign w:val="bottom"/>
          </w:tcPr>
          <w:p w:rsidR="00173DDB" w:rsidRDefault="00173DDB">
            <w:pPr>
              <w:autoSpaceDE w:val="0"/>
              <w:autoSpaceDN w:val="0"/>
              <w:adjustRightInd w:val="0"/>
              <w:spacing w:before="20" w:after="20"/>
              <w:jc w:val="center"/>
              <w:rPr>
                <w:b/>
                <w:bCs/>
                <w:color w:val="000000"/>
                <w:sz w:val="21"/>
                <w:szCs w:val="16"/>
              </w:rPr>
            </w:pPr>
            <w:r>
              <w:rPr>
                <w:b/>
                <w:bCs/>
                <w:color w:val="000000"/>
                <w:sz w:val="21"/>
                <w:szCs w:val="16"/>
              </w:rPr>
              <w:t>No. of invoices with required information</w:t>
            </w:r>
          </w:p>
        </w:tc>
      </w:tr>
      <w:tr w:rsidR="00173DDB">
        <w:tblPrEx>
          <w:tblCellMar>
            <w:top w:w="0" w:type="dxa"/>
            <w:bottom w:w="0" w:type="dxa"/>
          </w:tblCellMar>
        </w:tblPrEx>
        <w:trPr>
          <w:cantSplit/>
        </w:trPr>
        <w:tc>
          <w:tcPr>
            <w:tcW w:w="2160" w:type="dxa"/>
            <w:vMerge w:val="restart"/>
            <w:tcBorders>
              <w:top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Food manufacturing other than bakeries</w:t>
            </w:r>
          </w:p>
        </w:tc>
        <w:tc>
          <w:tcPr>
            <w:tcW w:w="1577" w:type="dxa"/>
            <w:tcBorders>
              <w:top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Commercial</w:t>
            </w:r>
          </w:p>
        </w:tc>
        <w:tc>
          <w:tcPr>
            <w:tcW w:w="1080" w:type="dxa"/>
            <w:tcBorders>
              <w:top w:val="single" w:sz="2" w:space="0" w:color="auto"/>
            </w:tcBorders>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0</w:t>
            </w:r>
          </w:p>
        </w:tc>
        <w:tc>
          <w:tcPr>
            <w:tcW w:w="1584" w:type="dxa"/>
            <w:tcBorders>
              <w:top w:val="single" w:sz="2" w:space="0" w:color="auto"/>
            </w:tcBorders>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0</w:t>
            </w:r>
          </w:p>
        </w:tc>
        <w:tc>
          <w:tcPr>
            <w:tcW w:w="1262" w:type="dxa"/>
            <w:tcBorders>
              <w:top w:val="single" w:sz="2" w:space="0" w:color="auto"/>
            </w:tcBorders>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0</w:t>
            </w:r>
          </w:p>
        </w:tc>
        <w:tc>
          <w:tcPr>
            <w:tcW w:w="1440" w:type="dxa"/>
            <w:tcBorders>
              <w:top w:val="single" w:sz="2" w:space="0" w:color="auto"/>
            </w:tcBorders>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0</w:t>
            </w:r>
          </w:p>
        </w:tc>
        <w:tc>
          <w:tcPr>
            <w:tcW w:w="1296" w:type="dxa"/>
            <w:tcBorders>
              <w:top w:val="single" w:sz="2" w:space="0" w:color="auto"/>
            </w:tcBorders>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0</w:t>
            </w:r>
          </w:p>
        </w:tc>
        <w:tc>
          <w:tcPr>
            <w:tcW w:w="1080" w:type="dxa"/>
            <w:tcBorders>
              <w:top w:val="single" w:sz="2" w:space="0" w:color="auto"/>
            </w:tcBorders>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Borders>
              <w:top w:val="single" w:sz="2" w:space="0" w:color="auto"/>
            </w:tcBorders>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0</w:t>
            </w:r>
          </w:p>
        </w:tc>
      </w:tr>
      <w:tr w:rsidR="00173DDB">
        <w:tblPrEx>
          <w:tblCellMar>
            <w:top w:w="0" w:type="dxa"/>
            <w:bottom w:w="0" w:type="dxa"/>
          </w:tblCellMar>
        </w:tblPrEx>
        <w:trPr>
          <w:cantSplit/>
        </w:trPr>
        <w:tc>
          <w:tcPr>
            <w:tcW w:w="2160" w:type="dxa"/>
            <w:vMerge/>
          </w:tcPr>
          <w:p w:rsidR="00173DDB" w:rsidRDefault="00173DDB">
            <w:pPr>
              <w:autoSpaceDE w:val="0"/>
              <w:autoSpaceDN w:val="0"/>
              <w:adjustRightInd w:val="0"/>
              <w:spacing w:before="20" w:after="20"/>
              <w:jc w:val="right"/>
              <w:rPr>
                <w:color w:val="000000"/>
                <w:sz w:val="21"/>
                <w:szCs w:val="16"/>
              </w:rPr>
            </w:pPr>
          </w:p>
        </w:tc>
        <w:tc>
          <w:tcPr>
            <w:tcW w:w="1577" w:type="dxa"/>
          </w:tcPr>
          <w:p w:rsidR="00173DDB" w:rsidRDefault="00173DDB">
            <w:pPr>
              <w:autoSpaceDE w:val="0"/>
              <w:autoSpaceDN w:val="0"/>
              <w:adjustRightInd w:val="0"/>
              <w:spacing w:before="20" w:after="20"/>
              <w:rPr>
                <w:color w:val="000000"/>
                <w:sz w:val="21"/>
                <w:szCs w:val="16"/>
              </w:rPr>
            </w:pPr>
            <w:r>
              <w:rPr>
                <w:color w:val="000000"/>
                <w:sz w:val="21"/>
                <w:szCs w:val="16"/>
              </w:rPr>
              <w:t>Comfort cooling</w:t>
            </w:r>
          </w:p>
        </w:tc>
        <w:tc>
          <w:tcPr>
            <w:tcW w:w="1080" w:type="dxa"/>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30,328</w:t>
            </w:r>
          </w:p>
        </w:tc>
        <w:tc>
          <w:tcPr>
            <w:tcW w:w="1584" w:type="dxa"/>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3,937</w:t>
            </w:r>
          </w:p>
        </w:tc>
        <w:tc>
          <w:tcPr>
            <w:tcW w:w="1262" w:type="dxa"/>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3,149</w:t>
            </w:r>
          </w:p>
        </w:tc>
        <w:tc>
          <w:tcPr>
            <w:tcW w:w="1440" w:type="dxa"/>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709</w:t>
            </w:r>
          </w:p>
        </w:tc>
        <w:tc>
          <w:tcPr>
            <w:tcW w:w="1296" w:type="dxa"/>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75</w:t>
            </w:r>
          </w:p>
        </w:tc>
        <w:tc>
          <w:tcPr>
            <w:tcW w:w="1080" w:type="dxa"/>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4</w:t>
            </w:r>
          </w:p>
        </w:tc>
        <w:tc>
          <w:tcPr>
            <w:tcW w:w="1496" w:type="dxa"/>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4,803</w:t>
            </w:r>
          </w:p>
        </w:tc>
      </w:tr>
      <w:tr w:rsidR="00173DDB">
        <w:tblPrEx>
          <w:tblCellMar>
            <w:top w:w="0" w:type="dxa"/>
            <w:bottom w:w="0" w:type="dxa"/>
          </w:tblCellMar>
        </w:tblPrEx>
        <w:tc>
          <w:tcPr>
            <w:tcW w:w="2160" w:type="dxa"/>
          </w:tcPr>
          <w:p w:rsidR="00173DDB" w:rsidRDefault="00173DDB">
            <w:pPr>
              <w:autoSpaceDE w:val="0"/>
              <w:autoSpaceDN w:val="0"/>
              <w:adjustRightInd w:val="0"/>
              <w:spacing w:before="20" w:after="20"/>
              <w:jc w:val="right"/>
              <w:rPr>
                <w:color w:val="000000"/>
                <w:sz w:val="21"/>
                <w:szCs w:val="16"/>
              </w:rPr>
            </w:pPr>
          </w:p>
        </w:tc>
        <w:tc>
          <w:tcPr>
            <w:tcW w:w="1577" w:type="dxa"/>
          </w:tcPr>
          <w:p w:rsidR="00173DDB" w:rsidRDefault="00173DDB">
            <w:pPr>
              <w:autoSpaceDE w:val="0"/>
              <w:autoSpaceDN w:val="0"/>
              <w:adjustRightInd w:val="0"/>
              <w:spacing w:before="20" w:after="20"/>
              <w:rPr>
                <w:color w:val="000000"/>
                <w:sz w:val="21"/>
                <w:szCs w:val="16"/>
              </w:rPr>
            </w:pPr>
            <w:r>
              <w:rPr>
                <w:color w:val="000000"/>
                <w:sz w:val="21"/>
                <w:szCs w:val="16"/>
              </w:rPr>
              <w:t>Industrial</w:t>
            </w:r>
          </w:p>
        </w:tc>
        <w:tc>
          <w:tcPr>
            <w:tcW w:w="1080" w:type="dxa"/>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30,328</w:t>
            </w:r>
          </w:p>
        </w:tc>
        <w:tc>
          <w:tcPr>
            <w:tcW w:w="1584" w:type="dxa"/>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6,775</w:t>
            </w:r>
          </w:p>
        </w:tc>
        <w:tc>
          <w:tcPr>
            <w:tcW w:w="1262" w:type="dxa"/>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5,420</w:t>
            </w:r>
          </w:p>
        </w:tc>
        <w:tc>
          <w:tcPr>
            <w:tcW w:w="1440" w:type="dxa"/>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1,220</w:t>
            </w:r>
          </w:p>
        </w:tc>
        <w:tc>
          <w:tcPr>
            <w:tcW w:w="1296" w:type="dxa"/>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129</w:t>
            </w:r>
          </w:p>
        </w:tc>
        <w:tc>
          <w:tcPr>
            <w:tcW w:w="1080" w:type="dxa"/>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7</w:t>
            </w:r>
          </w:p>
        </w:tc>
        <w:tc>
          <w:tcPr>
            <w:tcW w:w="1496" w:type="dxa"/>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8,266</w:t>
            </w:r>
          </w:p>
        </w:tc>
      </w:tr>
      <w:tr w:rsidR="00173DDB">
        <w:tblPrEx>
          <w:tblCellMar>
            <w:top w:w="0" w:type="dxa"/>
            <w:bottom w:w="0" w:type="dxa"/>
          </w:tblCellMar>
        </w:tblPrEx>
        <w:tc>
          <w:tcPr>
            <w:tcW w:w="2160" w:type="dxa"/>
            <w:tcBorders>
              <w:bottom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Totals</w:t>
            </w:r>
          </w:p>
        </w:tc>
        <w:tc>
          <w:tcPr>
            <w:tcW w:w="1577" w:type="dxa"/>
            <w:tcBorders>
              <w:bottom w:val="single" w:sz="2" w:space="0" w:color="auto"/>
            </w:tcBorders>
          </w:tcPr>
          <w:p w:rsidR="00173DDB" w:rsidRDefault="00173DDB">
            <w:pPr>
              <w:autoSpaceDE w:val="0"/>
              <w:autoSpaceDN w:val="0"/>
              <w:adjustRightInd w:val="0"/>
              <w:spacing w:before="20" w:after="20"/>
              <w:jc w:val="right"/>
              <w:rPr>
                <w:color w:val="000000"/>
                <w:sz w:val="21"/>
                <w:szCs w:val="16"/>
              </w:rPr>
            </w:pPr>
          </w:p>
        </w:tc>
        <w:tc>
          <w:tcPr>
            <w:tcW w:w="1080" w:type="dxa"/>
            <w:tcBorders>
              <w:bottom w:val="single" w:sz="2" w:space="0" w:color="auto"/>
            </w:tcBorders>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60,656</w:t>
            </w:r>
          </w:p>
        </w:tc>
        <w:tc>
          <w:tcPr>
            <w:tcW w:w="1584" w:type="dxa"/>
            <w:tcBorders>
              <w:bottom w:val="single" w:sz="2" w:space="0" w:color="auto"/>
            </w:tcBorders>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10,712</w:t>
            </w:r>
          </w:p>
        </w:tc>
        <w:tc>
          <w:tcPr>
            <w:tcW w:w="1262" w:type="dxa"/>
            <w:tcBorders>
              <w:bottom w:val="single" w:sz="2" w:space="0" w:color="auto"/>
            </w:tcBorders>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8,569</w:t>
            </w:r>
          </w:p>
        </w:tc>
        <w:tc>
          <w:tcPr>
            <w:tcW w:w="1440" w:type="dxa"/>
            <w:tcBorders>
              <w:bottom w:val="single" w:sz="2" w:space="0" w:color="auto"/>
            </w:tcBorders>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1,928</w:t>
            </w:r>
          </w:p>
        </w:tc>
        <w:tc>
          <w:tcPr>
            <w:tcW w:w="1296" w:type="dxa"/>
            <w:tcBorders>
              <w:bottom w:val="single" w:sz="2" w:space="0" w:color="auto"/>
            </w:tcBorders>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204</w:t>
            </w:r>
          </w:p>
        </w:tc>
        <w:tc>
          <w:tcPr>
            <w:tcW w:w="1080" w:type="dxa"/>
            <w:tcBorders>
              <w:bottom w:val="single" w:sz="2" w:space="0" w:color="auto"/>
            </w:tcBorders>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11</w:t>
            </w:r>
          </w:p>
        </w:tc>
        <w:tc>
          <w:tcPr>
            <w:tcW w:w="1496" w:type="dxa"/>
            <w:tcBorders>
              <w:bottom w:val="single" w:sz="2" w:space="0" w:color="auto"/>
            </w:tcBorders>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13,068</w:t>
            </w:r>
          </w:p>
        </w:tc>
      </w:tr>
      <w:tr w:rsidR="00173DDB">
        <w:tblPrEx>
          <w:tblCellMar>
            <w:top w:w="0" w:type="dxa"/>
            <w:bottom w:w="0" w:type="dxa"/>
          </w:tblCellMar>
        </w:tblPrEx>
        <w:tc>
          <w:tcPr>
            <w:tcW w:w="2160" w:type="dxa"/>
            <w:tcBorders>
              <w:top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Breweries</w:t>
            </w:r>
          </w:p>
        </w:tc>
        <w:tc>
          <w:tcPr>
            <w:tcW w:w="1577" w:type="dxa"/>
            <w:tcBorders>
              <w:top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Commercial</w:t>
            </w:r>
          </w:p>
        </w:tc>
        <w:tc>
          <w:tcPr>
            <w:tcW w:w="1080" w:type="dxa"/>
            <w:tcBorders>
              <w:top w:val="single" w:sz="2" w:space="0" w:color="auto"/>
            </w:tcBorders>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0</w:t>
            </w:r>
          </w:p>
        </w:tc>
        <w:tc>
          <w:tcPr>
            <w:tcW w:w="1584" w:type="dxa"/>
            <w:tcBorders>
              <w:top w:val="single" w:sz="2" w:space="0" w:color="auto"/>
            </w:tcBorders>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0</w:t>
            </w:r>
          </w:p>
        </w:tc>
        <w:tc>
          <w:tcPr>
            <w:tcW w:w="1262" w:type="dxa"/>
            <w:tcBorders>
              <w:top w:val="single" w:sz="2" w:space="0" w:color="auto"/>
            </w:tcBorders>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0</w:t>
            </w:r>
          </w:p>
        </w:tc>
        <w:tc>
          <w:tcPr>
            <w:tcW w:w="1440" w:type="dxa"/>
            <w:tcBorders>
              <w:top w:val="single" w:sz="2" w:space="0" w:color="auto"/>
            </w:tcBorders>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0</w:t>
            </w:r>
          </w:p>
        </w:tc>
        <w:tc>
          <w:tcPr>
            <w:tcW w:w="1296" w:type="dxa"/>
            <w:tcBorders>
              <w:top w:val="single" w:sz="2" w:space="0" w:color="auto"/>
            </w:tcBorders>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0</w:t>
            </w:r>
          </w:p>
        </w:tc>
        <w:tc>
          <w:tcPr>
            <w:tcW w:w="1080" w:type="dxa"/>
            <w:tcBorders>
              <w:top w:val="single" w:sz="2" w:space="0" w:color="auto"/>
            </w:tcBorders>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Borders>
              <w:top w:val="single" w:sz="2" w:space="0" w:color="auto"/>
            </w:tcBorders>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0</w:t>
            </w:r>
          </w:p>
        </w:tc>
      </w:tr>
      <w:tr w:rsidR="00173DDB">
        <w:tblPrEx>
          <w:tblCellMar>
            <w:top w:w="0" w:type="dxa"/>
            <w:bottom w:w="0" w:type="dxa"/>
          </w:tblCellMar>
        </w:tblPrEx>
        <w:tc>
          <w:tcPr>
            <w:tcW w:w="2160" w:type="dxa"/>
          </w:tcPr>
          <w:p w:rsidR="00173DDB" w:rsidRDefault="00173DDB">
            <w:pPr>
              <w:autoSpaceDE w:val="0"/>
              <w:autoSpaceDN w:val="0"/>
              <w:adjustRightInd w:val="0"/>
              <w:spacing w:before="20" w:after="20"/>
              <w:jc w:val="right"/>
              <w:rPr>
                <w:color w:val="000000"/>
                <w:sz w:val="21"/>
                <w:szCs w:val="16"/>
              </w:rPr>
            </w:pPr>
          </w:p>
        </w:tc>
        <w:tc>
          <w:tcPr>
            <w:tcW w:w="1577" w:type="dxa"/>
          </w:tcPr>
          <w:p w:rsidR="00173DDB" w:rsidRDefault="00173DDB">
            <w:pPr>
              <w:autoSpaceDE w:val="0"/>
              <w:autoSpaceDN w:val="0"/>
              <w:adjustRightInd w:val="0"/>
              <w:spacing w:before="20" w:after="20"/>
              <w:rPr>
                <w:color w:val="000000"/>
                <w:sz w:val="21"/>
                <w:szCs w:val="16"/>
              </w:rPr>
            </w:pPr>
            <w:r>
              <w:rPr>
                <w:color w:val="000000"/>
                <w:sz w:val="21"/>
                <w:szCs w:val="16"/>
              </w:rPr>
              <w:t>Comfort cooling</w:t>
            </w:r>
          </w:p>
        </w:tc>
        <w:tc>
          <w:tcPr>
            <w:tcW w:w="1080" w:type="dxa"/>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1,784</w:t>
            </w:r>
          </w:p>
        </w:tc>
        <w:tc>
          <w:tcPr>
            <w:tcW w:w="1584" w:type="dxa"/>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232</w:t>
            </w:r>
          </w:p>
        </w:tc>
        <w:tc>
          <w:tcPr>
            <w:tcW w:w="1262" w:type="dxa"/>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185</w:t>
            </w:r>
          </w:p>
        </w:tc>
        <w:tc>
          <w:tcPr>
            <w:tcW w:w="1440" w:type="dxa"/>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42</w:t>
            </w:r>
          </w:p>
        </w:tc>
        <w:tc>
          <w:tcPr>
            <w:tcW w:w="1296" w:type="dxa"/>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4</w:t>
            </w:r>
          </w:p>
        </w:tc>
        <w:tc>
          <w:tcPr>
            <w:tcW w:w="1080" w:type="dxa"/>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283</w:t>
            </w:r>
          </w:p>
        </w:tc>
      </w:tr>
      <w:tr w:rsidR="00173DDB">
        <w:tblPrEx>
          <w:tblCellMar>
            <w:top w:w="0" w:type="dxa"/>
            <w:bottom w:w="0" w:type="dxa"/>
          </w:tblCellMar>
        </w:tblPrEx>
        <w:tc>
          <w:tcPr>
            <w:tcW w:w="2160" w:type="dxa"/>
          </w:tcPr>
          <w:p w:rsidR="00173DDB" w:rsidRDefault="00173DDB">
            <w:pPr>
              <w:autoSpaceDE w:val="0"/>
              <w:autoSpaceDN w:val="0"/>
              <w:adjustRightInd w:val="0"/>
              <w:spacing w:before="20" w:after="20"/>
              <w:jc w:val="right"/>
              <w:rPr>
                <w:color w:val="000000"/>
                <w:sz w:val="21"/>
                <w:szCs w:val="16"/>
              </w:rPr>
            </w:pPr>
          </w:p>
        </w:tc>
        <w:tc>
          <w:tcPr>
            <w:tcW w:w="1577" w:type="dxa"/>
          </w:tcPr>
          <w:p w:rsidR="00173DDB" w:rsidRDefault="00173DDB">
            <w:pPr>
              <w:autoSpaceDE w:val="0"/>
              <w:autoSpaceDN w:val="0"/>
              <w:adjustRightInd w:val="0"/>
              <w:spacing w:before="20" w:after="20"/>
              <w:rPr>
                <w:color w:val="000000"/>
                <w:sz w:val="21"/>
                <w:szCs w:val="16"/>
              </w:rPr>
            </w:pPr>
            <w:r>
              <w:rPr>
                <w:color w:val="000000"/>
                <w:sz w:val="21"/>
                <w:szCs w:val="16"/>
              </w:rPr>
              <w:t>Industrial</w:t>
            </w:r>
          </w:p>
        </w:tc>
        <w:tc>
          <w:tcPr>
            <w:tcW w:w="1080" w:type="dxa"/>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1,784</w:t>
            </w:r>
          </w:p>
        </w:tc>
        <w:tc>
          <w:tcPr>
            <w:tcW w:w="1584" w:type="dxa"/>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399</w:t>
            </w:r>
          </w:p>
        </w:tc>
        <w:tc>
          <w:tcPr>
            <w:tcW w:w="1262" w:type="dxa"/>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319</w:t>
            </w:r>
          </w:p>
        </w:tc>
        <w:tc>
          <w:tcPr>
            <w:tcW w:w="1440" w:type="dxa"/>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72</w:t>
            </w:r>
          </w:p>
        </w:tc>
        <w:tc>
          <w:tcPr>
            <w:tcW w:w="1296" w:type="dxa"/>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8</w:t>
            </w:r>
          </w:p>
        </w:tc>
        <w:tc>
          <w:tcPr>
            <w:tcW w:w="1080" w:type="dxa"/>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486</w:t>
            </w:r>
          </w:p>
        </w:tc>
      </w:tr>
      <w:tr w:rsidR="00173DDB">
        <w:tblPrEx>
          <w:tblCellMar>
            <w:top w:w="0" w:type="dxa"/>
            <w:bottom w:w="0" w:type="dxa"/>
          </w:tblCellMar>
        </w:tblPrEx>
        <w:tc>
          <w:tcPr>
            <w:tcW w:w="2160" w:type="dxa"/>
            <w:tcBorders>
              <w:bottom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Totals</w:t>
            </w:r>
          </w:p>
        </w:tc>
        <w:tc>
          <w:tcPr>
            <w:tcW w:w="1577" w:type="dxa"/>
            <w:tcBorders>
              <w:bottom w:val="single" w:sz="2" w:space="0" w:color="auto"/>
            </w:tcBorders>
          </w:tcPr>
          <w:p w:rsidR="00173DDB" w:rsidRDefault="00173DDB">
            <w:pPr>
              <w:autoSpaceDE w:val="0"/>
              <w:autoSpaceDN w:val="0"/>
              <w:adjustRightInd w:val="0"/>
              <w:spacing w:before="20" w:after="20"/>
              <w:jc w:val="right"/>
              <w:rPr>
                <w:color w:val="000000"/>
                <w:sz w:val="21"/>
                <w:szCs w:val="16"/>
              </w:rPr>
            </w:pPr>
          </w:p>
        </w:tc>
        <w:tc>
          <w:tcPr>
            <w:tcW w:w="1080" w:type="dxa"/>
            <w:tcBorders>
              <w:bottom w:val="single" w:sz="2" w:space="0" w:color="auto"/>
            </w:tcBorders>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3,568</w:t>
            </w:r>
          </w:p>
        </w:tc>
        <w:tc>
          <w:tcPr>
            <w:tcW w:w="1584" w:type="dxa"/>
            <w:tcBorders>
              <w:bottom w:val="single" w:sz="2" w:space="0" w:color="auto"/>
            </w:tcBorders>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630</w:t>
            </w:r>
          </w:p>
        </w:tc>
        <w:tc>
          <w:tcPr>
            <w:tcW w:w="1262" w:type="dxa"/>
            <w:tcBorders>
              <w:bottom w:val="single" w:sz="2" w:space="0" w:color="auto"/>
            </w:tcBorders>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504</w:t>
            </w:r>
          </w:p>
        </w:tc>
        <w:tc>
          <w:tcPr>
            <w:tcW w:w="1440" w:type="dxa"/>
            <w:tcBorders>
              <w:bottom w:val="single" w:sz="2" w:space="0" w:color="auto"/>
            </w:tcBorders>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113</w:t>
            </w:r>
          </w:p>
        </w:tc>
        <w:tc>
          <w:tcPr>
            <w:tcW w:w="1296" w:type="dxa"/>
            <w:tcBorders>
              <w:bottom w:val="single" w:sz="2" w:space="0" w:color="auto"/>
            </w:tcBorders>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12</w:t>
            </w:r>
          </w:p>
        </w:tc>
        <w:tc>
          <w:tcPr>
            <w:tcW w:w="1080" w:type="dxa"/>
            <w:tcBorders>
              <w:bottom w:val="single" w:sz="2" w:space="0" w:color="auto"/>
            </w:tcBorders>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1</w:t>
            </w:r>
          </w:p>
        </w:tc>
        <w:tc>
          <w:tcPr>
            <w:tcW w:w="1496" w:type="dxa"/>
            <w:tcBorders>
              <w:bottom w:val="single" w:sz="2" w:space="0" w:color="auto"/>
            </w:tcBorders>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769</w:t>
            </w:r>
          </w:p>
        </w:tc>
      </w:tr>
      <w:tr w:rsidR="00173DDB">
        <w:tblPrEx>
          <w:tblCellMar>
            <w:top w:w="0" w:type="dxa"/>
            <w:bottom w:w="0" w:type="dxa"/>
          </w:tblCellMar>
        </w:tblPrEx>
        <w:trPr>
          <w:cantSplit/>
        </w:trPr>
        <w:tc>
          <w:tcPr>
            <w:tcW w:w="2160" w:type="dxa"/>
            <w:vMerge w:val="restart"/>
            <w:tcBorders>
              <w:top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Soft drink manufacturing</w:t>
            </w:r>
          </w:p>
        </w:tc>
        <w:tc>
          <w:tcPr>
            <w:tcW w:w="1577" w:type="dxa"/>
            <w:tcBorders>
              <w:top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Commercial</w:t>
            </w:r>
          </w:p>
        </w:tc>
        <w:tc>
          <w:tcPr>
            <w:tcW w:w="1080" w:type="dxa"/>
            <w:tcBorders>
              <w:top w:val="single" w:sz="2" w:space="0" w:color="auto"/>
            </w:tcBorders>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0</w:t>
            </w:r>
          </w:p>
        </w:tc>
        <w:tc>
          <w:tcPr>
            <w:tcW w:w="1584" w:type="dxa"/>
            <w:tcBorders>
              <w:top w:val="single" w:sz="2" w:space="0" w:color="auto"/>
            </w:tcBorders>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0</w:t>
            </w:r>
          </w:p>
        </w:tc>
        <w:tc>
          <w:tcPr>
            <w:tcW w:w="1262" w:type="dxa"/>
            <w:tcBorders>
              <w:top w:val="single" w:sz="2" w:space="0" w:color="auto"/>
            </w:tcBorders>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0</w:t>
            </w:r>
          </w:p>
        </w:tc>
        <w:tc>
          <w:tcPr>
            <w:tcW w:w="1440" w:type="dxa"/>
            <w:tcBorders>
              <w:top w:val="single" w:sz="2" w:space="0" w:color="auto"/>
            </w:tcBorders>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0</w:t>
            </w:r>
          </w:p>
        </w:tc>
        <w:tc>
          <w:tcPr>
            <w:tcW w:w="1296" w:type="dxa"/>
            <w:tcBorders>
              <w:top w:val="single" w:sz="2" w:space="0" w:color="auto"/>
            </w:tcBorders>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0</w:t>
            </w:r>
          </w:p>
        </w:tc>
        <w:tc>
          <w:tcPr>
            <w:tcW w:w="1080" w:type="dxa"/>
            <w:tcBorders>
              <w:top w:val="single" w:sz="2" w:space="0" w:color="auto"/>
            </w:tcBorders>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Borders>
              <w:top w:val="single" w:sz="2" w:space="0" w:color="auto"/>
            </w:tcBorders>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0</w:t>
            </w:r>
          </w:p>
        </w:tc>
      </w:tr>
      <w:tr w:rsidR="00173DDB">
        <w:tblPrEx>
          <w:tblCellMar>
            <w:top w:w="0" w:type="dxa"/>
            <w:bottom w:w="0" w:type="dxa"/>
          </w:tblCellMar>
        </w:tblPrEx>
        <w:trPr>
          <w:cantSplit/>
        </w:trPr>
        <w:tc>
          <w:tcPr>
            <w:tcW w:w="2160" w:type="dxa"/>
            <w:vMerge/>
          </w:tcPr>
          <w:p w:rsidR="00173DDB" w:rsidRDefault="00173DDB">
            <w:pPr>
              <w:autoSpaceDE w:val="0"/>
              <w:autoSpaceDN w:val="0"/>
              <w:adjustRightInd w:val="0"/>
              <w:spacing w:before="20" w:after="20"/>
              <w:jc w:val="right"/>
              <w:rPr>
                <w:color w:val="000000"/>
                <w:sz w:val="21"/>
                <w:szCs w:val="16"/>
              </w:rPr>
            </w:pPr>
          </w:p>
        </w:tc>
        <w:tc>
          <w:tcPr>
            <w:tcW w:w="1577" w:type="dxa"/>
          </w:tcPr>
          <w:p w:rsidR="00173DDB" w:rsidRDefault="00173DDB">
            <w:pPr>
              <w:autoSpaceDE w:val="0"/>
              <w:autoSpaceDN w:val="0"/>
              <w:adjustRightInd w:val="0"/>
              <w:spacing w:before="20" w:after="20"/>
              <w:rPr>
                <w:color w:val="000000"/>
                <w:sz w:val="21"/>
                <w:szCs w:val="16"/>
              </w:rPr>
            </w:pPr>
            <w:r>
              <w:rPr>
                <w:color w:val="000000"/>
                <w:sz w:val="21"/>
                <w:szCs w:val="16"/>
              </w:rPr>
              <w:t>Comfort cooling</w:t>
            </w:r>
          </w:p>
        </w:tc>
        <w:tc>
          <w:tcPr>
            <w:tcW w:w="1080" w:type="dxa"/>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2,204</w:t>
            </w:r>
          </w:p>
        </w:tc>
        <w:tc>
          <w:tcPr>
            <w:tcW w:w="1584" w:type="dxa"/>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286</w:t>
            </w:r>
          </w:p>
        </w:tc>
        <w:tc>
          <w:tcPr>
            <w:tcW w:w="1262" w:type="dxa"/>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229</w:t>
            </w:r>
          </w:p>
        </w:tc>
        <w:tc>
          <w:tcPr>
            <w:tcW w:w="1440" w:type="dxa"/>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51</w:t>
            </w:r>
          </w:p>
        </w:tc>
        <w:tc>
          <w:tcPr>
            <w:tcW w:w="1296" w:type="dxa"/>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5</w:t>
            </w:r>
          </w:p>
        </w:tc>
        <w:tc>
          <w:tcPr>
            <w:tcW w:w="1080" w:type="dxa"/>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349</w:t>
            </w:r>
          </w:p>
        </w:tc>
      </w:tr>
      <w:tr w:rsidR="00173DDB">
        <w:tblPrEx>
          <w:tblCellMar>
            <w:top w:w="0" w:type="dxa"/>
            <w:bottom w:w="0" w:type="dxa"/>
          </w:tblCellMar>
        </w:tblPrEx>
        <w:tc>
          <w:tcPr>
            <w:tcW w:w="2160" w:type="dxa"/>
          </w:tcPr>
          <w:p w:rsidR="00173DDB" w:rsidRDefault="00173DDB">
            <w:pPr>
              <w:autoSpaceDE w:val="0"/>
              <w:autoSpaceDN w:val="0"/>
              <w:adjustRightInd w:val="0"/>
              <w:spacing w:before="20" w:after="20"/>
              <w:jc w:val="right"/>
              <w:rPr>
                <w:color w:val="000000"/>
                <w:sz w:val="21"/>
                <w:szCs w:val="16"/>
              </w:rPr>
            </w:pPr>
          </w:p>
        </w:tc>
        <w:tc>
          <w:tcPr>
            <w:tcW w:w="1577" w:type="dxa"/>
          </w:tcPr>
          <w:p w:rsidR="00173DDB" w:rsidRDefault="00173DDB">
            <w:pPr>
              <w:autoSpaceDE w:val="0"/>
              <w:autoSpaceDN w:val="0"/>
              <w:adjustRightInd w:val="0"/>
              <w:spacing w:before="20" w:after="20"/>
              <w:rPr>
                <w:color w:val="000000"/>
                <w:sz w:val="21"/>
                <w:szCs w:val="16"/>
              </w:rPr>
            </w:pPr>
            <w:r>
              <w:rPr>
                <w:color w:val="000000"/>
                <w:sz w:val="21"/>
                <w:szCs w:val="16"/>
              </w:rPr>
              <w:t>Industrial</w:t>
            </w:r>
          </w:p>
        </w:tc>
        <w:tc>
          <w:tcPr>
            <w:tcW w:w="1080" w:type="dxa"/>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2,204</w:t>
            </w:r>
          </w:p>
        </w:tc>
        <w:tc>
          <w:tcPr>
            <w:tcW w:w="1584" w:type="dxa"/>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492</w:t>
            </w:r>
          </w:p>
        </w:tc>
        <w:tc>
          <w:tcPr>
            <w:tcW w:w="1262" w:type="dxa"/>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394</w:t>
            </w:r>
          </w:p>
        </w:tc>
        <w:tc>
          <w:tcPr>
            <w:tcW w:w="1440" w:type="dxa"/>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89</w:t>
            </w:r>
          </w:p>
        </w:tc>
        <w:tc>
          <w:tcPr>
            <w:tcW w:w="1296" w:type="dxa"/>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9</w:t>
            </w:r>
          </w:p>
        </w:tc>
        <w:tc>
          <w:tcPr>
            <w:tcW w:w="1080" w:type="dxa"/>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601</w:t>
            </w:r>
          </w:p>
        </w:tc>
      </w:tr>
      <w:tr w:rsidR="00173DDB">
        <w:tblPrEx>
          <w:tblCellMar>
            <w:top w:w="0" w:type="dxa"/>
            <w:bottom w:w="0" w:type="dxa"/>
          </w:tblCellMar>
        </w:tblPrEx>
        <w:tc>
          <w:tcPr>
            <w:tcW w:w="2160" w:type="dxa"/>
            <w:tcBorders>
              <w:bottom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Totals</w:t>
            </w:r>
          </w:p>
        </w:tc>
        <w:tc>
          <w:tcPr>
            <w:tcW w:w="1577" w:type="dxa"/>
            <w:tcBorders>
              <w:bottom w:val="single" w:sz="2" w:space="0" w:color="auto"/>
            </w:tcBorders>
          </w:tcPr>
          <w:p w:rsidR="00173DDB" w:rsidRDefault="00173DDB">
            <w:pPr>
              <w:autoSpaceDE w:val="0"/>
              <w:autoSpaceDN w:val="0"/>
              <w:adjustRightInd w:val="0"/>
              <w:spacing w:before="20" w:after="20"/>
              <w:jc w:val="right"/>
              <w:rPr>
                <w:color w:val="000000"/>
                <w:sz w:val="21"/>
                <w:szCs w:val="16"/>
              </w:rPr>
            </w:pPr>
          </w:p>
        </w:tc>
        <w:tc>
          <w:tcPr>
            <w:tcW w:w="1080" w:type="dxa"/>
            <w:tcBorders>
              <w:bottom w:val="single" w:sz="2" w:space="0" w:color="auto"/>
            </w:tcBorders>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4,408</w:t>
            </w:r>
          </w:p>
        </w:tc>
        <w:tc>
          <w:tcPr>
            <w:tcW w:w="1584" w:type="dxa"/>
            <w:tcBorders>
              <w:bottom w:val="single" w:sz="2" w:space="0" w:color="auto"/>
            </w:tcBorders>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778</w:t>
            </w:r>
          </w:p>
        </w:tc>
        <w:tc>
          <w:tcPr>
            <w:tcW w:w="1262" w:type="dxa"/>
            <w:tcBorders>
              <w:bottom w:val="single" w:sz="2" w:space="0" w:color="auto"/>
            </w:tcBorders>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623</w:t>
            </w:r>
          </w:p>
        </w:tc>
        <w:tc>
          <w:tcPr>
            <w:tcW w:w="1440" w:type="dxa"/>
            <w:tcBorders>
              <w:bottom w:val="single" w:sz="2" w:space="0" w:color="auto"/>
            </w:tcBorders>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140</w:t>
            </w:r>
          </w:p>
        </w:tc>
        <w:tc>
          <w:tcPr>
            <w:tcW w:w="1296" w:type="dxa"/>
            <w:tcBorders>
              <w:bottom w:val="single" w:sz="2" w:space="0" w:color="auto"/>
            </w:tcBorders>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15</w:t>
            </w:r>
          </w:p>
        </w:tc>
        <w:tc>
          <w:tcPr>
            <w:tcW w:w="1080" w:type="dxa"/>
            <w:tcBorders>
              <w:bottom w:val="single" w:sz="2" w:space="0" w:color="auto"/>
            </w:tcBorders>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1</w:t>
            </w:r>
          </w:p>
        </w:tc>
        <w:tc>
          <w:tcPr>
            <w:tcW w:w="1496" w:type="dxa"/>
            <w:tcBorders>
              <w:bottom w:val="single" w:sz="2" w:space="0" w:color="auto"/>
            </w:tcBorders>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950</w:t>
            </w:r>
          </w:p>
        </w:tc>
      </w:tr>
      <w:tr w:rsidR="00173DDB">
        <w:tblPrEx>
          <w:tblCellMar>
            <w:top w:w="0" w:type="dxa"/>
            <w:bottom w:w="0" w:type="dxa"/>
          </w:tblCellMar>
        </w:tblPrEx>
        <w:tc>
          <w:tcPr>
            <w:tcW w:w="2160" w:type="dxa"/>
            <w:tcBorders>
              <w:top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Bottled water</w:t>
            </w:r>
          </w:p>
        </w:tc>
        <w:tc>
          <w:tcPr>
            <w:tcW w:w="1577" w:type="dxa"/>
            <w:tcBorders>
              <w:top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Commercial</w:t>
            </w:r>
          </w:p>
        </w:tc>
        <w:tc>
          <w:tcPr>
            <w:tcW w:w="1080" w:type="dxa"/>
            <w:tcBorders>
              <w:top w:val="single" w:sz="2" w:space="0" w:color="auto"/>
            </w:tcBorders>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0</w:t>
            </w:r>
          </w:p>
        </w:tc>
        <w:tc>
          <w:tcPr>
            <w:tcW w:w="1584" w:type="dxa"/>
            <w:tcBorders>
              <w:top w:val="single" w:sz="2" w:space="0" w:color="auto"/>
            </w:tcBorders>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0</w:t>
            </w:r>
          </w:p>
        </w:tc>
        <w:tc>
          <w:tcPr>
            <w:tcW w:w="1262" w:type="dxa"/>
            <w:tcBorders>
              <w:top w:val="single" w:sz="2" w:space="0" w:color="auto"/>
            </w:tcBorders>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0</w:t>
            </w:r>
          </w:p>
        </w:tc>
        <w:tc>
          <w:tcPr>
            <w:tcW w:w="1440" w:type="dxa"/>
            <w:tcBorders>
              <w:top w:val="single" w:sz="2" w:space="0" w:color="auto"/>
            </w:tcBorders>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0</w:t>
            </w:r>
          </w:p>
        </w:tc>
        <w:tc>
          <w:tcPr>
            <w:tcW w:w="1296" w:type="dxa"/>
            <w:tcBorders>
              <w:top w:val="single" w:sz="2" w:space="0" w:color="auto"/>
            </w:tcBorders>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0</w:t>
            </w:r>
          </w:p>
        </w:tc>
        <w:tc>
          <w:tcPr>
            <w:tcW w:w="1080" w:type="dxa"/>
            <w:tcBorders>
              <w:top w:val="single" w:sz="2" w:space="0" w:color="auto"/>
            </w:tcBorders>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Borders>
              <w:top w:val="single" w:sz="2" w:space="0" w:color="auto"/>
            </w:tcBorders>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0</w:t>
            </w:r>
          </w:p>
        </w:tc>
      </w:tr>
      <w:tr w:rsidR="00173DDB">
        <w:tblPrEx>
          <w:tblCellMar>
            <w:top w:w="0" w:type="dxa"/>
            <w:bottom w:w="0" w:type="dxa"/>
          </w:tblCellMar>
        </w:tblPrEx>
        <w:tc>
          <w:tcPr>
            <w:tcW w:w="2160" w:type="dxa"/>
          </w:tcPr>
          <w:p w:rsidR="00173DDB" w:rsidRDefault="00173DDB">
            <w:pPr>
              <w:autoSpaceDE w:val="0"/>
              <w:autoSpaceDN w:val="0"/>
              <w:adjustRightInd w:val="0"/>
              <w:spacing w:before="20" w:after="20"/>
              <w:jc w:val="right"/>
              <w:rPr>
                <w:color w:val="000000"/>
                <w:sz w:val="21"/>
                <w:szCs w:val="16"/>
              </w:rPr>
            </w:pPr>
          </w:p>
        </w:tc>
        <w:tc>
          <w:tcPr>
            <w:tcW w:w="1577" w:type="dxa"/>
          </w:tcPr>
          <w:p w:rsidR="00173DDB" w:rsidRDefault="00173DDB">
            <w:pPr>
              <w:autoSpaceDE w:val="0"/>
              <w:autoSpaceDN w:val="0"/>
              <w:adjustRightInd w:val="0"/>
              <w:spacing w:before="20" w:after="20"/>
              <w:rPr>
                <w:color w:val="000000"/>
                <w:sz w:val="21"/>
                <w:szCs w:val="16"/>
              </w:rPr>
            </w:pPr>
            <w:r>
              <w:rPr>
                <w:color w:val="000000"/>
                <w:sz w:val="21"/>
                <w:szCs w:val="16"/>
              </w:rPr>
              <w:t>Comfort cooling</w:t>
            </w:r>
          </w:p>
        </w:tc>
        <w:tc>
          <w:tcPr>
            <w:tcW w:w="1080" w:type="dxa"/>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1,140</w:t>
            </w:r>
          </w:p>
        </w:tc>
        <w:tc>
          <w:tcPr>
            <w:tcW w:w="1584" w:type="dxa"/>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148</w:t>
            </w:r>
          </w:p>
        </w:tc>
        <w:tc>
          <w:tcPr>
            <w:tcW w:w="1262" w:type="dxa"/>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118</w:t>
            </w:r>
          </w:p>
        </w:tc>
        <w:tc>
          <w:tcPr>
            <w:tcW w:w="1440" w:type="dxa"/>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27</w:t>
            </w:r>
          </w:p>
        </w:tc>
        <w:tc>
          <w:tcPr>
            <w:tcW w:w="1296" w:type="dxa"/>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3</w:t>
            </w:r>
          </w:p>
        </w:tc>
        <w:tc>
          <w:tcPr>
            <w:tcW w:w="1080" w:type="dxa"/>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181</w:t>
            </w:r>
          </w:p>
        </w:tc>
      </w:tr>
      <w:tr w:rsidR="00173DDB">
        <w:tblPrEx>
          <w:tblCellMar>
            <w:top w:w="0" w:type="dxa"/>
            <w:bottom w:w="0" w:type="dxa"/>
          </w:tblCellMar>
        </w:tblPrEx>
        <w:tc>
          <w:tcPr>
            <w:tcW w:w="2160" w:type="dxa"/>
          </w:tcPr>
          <w:p w:rsidR="00173DDB" w:rsidRDefault="00173DDB">
            <w:pPr>
              <w:autoSpaceDE w:val="0"/>
              <w:autoSpaceDN w:val="0"/>
              <w:adjustRightInd w:val="0"/>
              <w:spacing w:before="20" w:after="20"/>
              <w:jc w:val="right"/>
              <w:rPr>
                <w:color w:val="000000"/>
                <w:sz w:val="21"/>
                <w:szCs w:val="16"/>
              </w:rPr>
            </w:pPr>
          </w:p>
        </w:tc>
        <w:tc>
          <w:tcPr>
            <w:tcW w:w="1577" w:type="dxa"/>
          </w:tcPr>
          <w:p w:rsidR="00173DDB" w:rsidRDefault="00173DDB">
            <w:pPr>
              <w:autoSpaceDE w:val="0"/>
              <w:autoSpaceDN w:val="0"/>
              <w:adjustRightInd w:val="0"/>
              <w:spacing w:before="20" w:after="20"/>
              <w:rPr>
                <w:color w:val="000000"/>
                <w:sz w:val="21"/>
                <w:szCs w:val="16"/>
              </w:rPr>
            </w:pPr>
            <w:r>
              <w:rPr>
                <w:color w:val="000000"/>
                <w:sz w:val="21"/>
                <w:szCs w:val="16"/>
              </w:rPr>
              <w:t>Industrial</w:t>
            </w:r>
          </w:p>
        </w:tc>
        <w:tc>
          <w:tcPr>
            <w:tcW w:w="1080" w:type="dxa"/>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1,140</w:t>
            </w:r>
          </w:p>
        </w:tc>
        <w:tc>
          <w:tcPr>
            <w:tcW w:w="1584" w:type="dxa"/>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255</w:t>
            </w:r>
          </w:p>
        </w:tc>
        <w:tc>
          <w:tcPr>
            <w:tcW w:w="1262" w:type="dxa"/>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204</w:t>
            </w:r>
          </w:p>
        </w:tc>
        <w:tc>
          <w:tcPr>
            <w:tcW w:w="1440" w:type="dxa"/>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46</w:t>
            </w:r>
          </w:p>
        </w:tc>
        <w:tc>
          <w:tcPr>
            <w:tcW w:w="1296" w:type="dxa"/>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5</w:t>
            </w:r>
          </w:p>
        </w:tc>
        <w:tc>
          <w:tcPr>
            <w:tcW w:w="1080" w:type="dxa"/>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311</w:t>
            </w:r>
          </w:p>
        </w:tc>
      </w:tr>
      <w:tr w:rsidR="00173DDB">
        <w:tblPrEx>
          <w:tblCellMar>
            <w:top w:w="0" w:type="dxa"/>
            <w:bottom w:w="0" w:type="dxa"/>
          </w:tblCellMar>
        </w:tblPrEx>
        <w:tc>
          <w:tcPr>
            <w:tcW w:w="2160" w:type="dxa"/>
            <w:tcBorders>
              <w:bottom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Totals</w:t>
            </w:r>
          </w:p>
        </w:tc>
        <w:tc>
          <w:tcPr>
            <w:tcW w:w="1577" w:type="dxa"/>
            <w:tcBorders>
              <w:bottom w:val="single" w:sz="2" w:space="0" w:color="auto"/>
            </w:tcBorders>
          </w:tcPr>
          <w:p w:rsidR="00173DDB" w:rsidRDefault="00173DDB">
            <w:pPr>
              <w:autoSpaceDE w:val="0"/>
              <w:autoSpaceDN w:val="0"/>
              <w:adjustRightInd w:val="0"/>
              <w:spacing w:before="20" w:after="20"/>
              <w:jc w:val="right"/>
              <w:rPr>
                <w:color w:val="000000"/>
                <w:sz w:val="21"/>
                <w:szCs w:val="16"/>
              </w:rPr>
            </w:pPr>
          </w:p>
        </w:tc>
        <w:tc>
          <w:tcPr>
            <w:tcW w:w="1080" w:type="dxa"/>
            <w:tcBorders>
              <w:bottom w:val="single" w:sz="2" w:space="0" w:color="auto"/>
            </w:tcBorders>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2,280</w:t>
            </w:r>
          </w:p>
        </w:tc>
        <w:tc>
          <w:tcPr>
            <w:tcW w:w="1584" w:type="dxa"/>
            <w:tcBorders>
              <w:bottom w:val="single" w:sz="2" w:space="0" w:color="auto"/>
            </w:tcBorders>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403</w:t>
            </w:r>
          </w:p>
        </w:tc>
        <w:tc>
          <w:tcPr>
            <w:tcW w:w="1262" w:type="dxa"/>
            <w:tcBorders>
              <w:bottom w:val="single" w:sz="2" w:space="0" w:color="auto"/>
            </w:tcBorders>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322</w:t>
            </w:r>
          </w:p>
        </w:tc>
        <w:tc>
          <w:tcPr>
            <w:tcW w:w="1440" w:type="dxa"/>
            <w:tcBorders>
              <w:bottom w:val="single" w:sz="2" w:space="0" w:color="auto"/>
            </w:tcBorders>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72</w:t>
            </w:r>
          </w:p>
        </w:tc>
        <w:tc>
          <w:tcPr>
            <w:tcW w:w="1296" w:type="dxa"/>
            <w:tcBorders>
              <w:bottom w:val="single" w:sz="2" w:space="0" w:color="auto"/>
            </w:tcBorders>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8</w:t>
            </w:r>
          </w:p>
        </w:tc>
        <w:tc>
          <w:tcPr>
            <w:tcW w:w="1080" w:type="dxa"/>
            <w:tcBorders>
              <w:bottom w:val="single" w:sz="2" w:space="0" w:color="auto"/>
            </w:tcBorders>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Borders>
              <w:bottom w:val="single" w:sz="2" w:space="0" w:color="auto"/>
            </w:tcBorders>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491</w:t>
            </w:r>
          </w:p>
        </w:tc>
      </w:tr>
      <w:tr w:rsidR="00173DDB">
        <w:tblPrEx>
          <w:tblCellMar>
            <w:top w:w="0" w:type="dxa"/>
            <w:bottom w:w="0" w:type="dxa"/>
          </w:tblCellMar>
        </w:tblPrEx>
        <w:tc>
          <w:tcPr>
            <w:tcW w:w="2160" w:type="dxa"/>
            <w:tcBorders>
              <w:top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Ice manufacturing</w:t>
            </w:r>
          </w:p>
        </w:tc>
        <w:tc>
          <w:tcPr>
            <w:tcW w:w="1577" w:type="dxa"/>
            <w:tcBorders>
              <w:top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Commercial</w:t>
            </w:r>
          </w:p>
        </w:tc>
        <w:tc>
          <w:tcPr>
            <w:tcW w:w="1080" w:type="dxa"/>
            <w:tcBorders>
              <w:top w:val="single" w:sz="2" w:space="0" w:color="auto"/>
            </w:tcBorders>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0</w:t>
            </w:r>
          </w:p>
        </w:tc>
        <w:tc>
          <w:tcPr>
            <w:tcW w:w="1584" w:type="dxa"/>
            <w:tcBorders>
              <w:top w:val="single" w:sz="2" w:space="0" w:color="auto"/>
            </w:tcBorders>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0</w:t>
            </w:r>
          </w:p>
        </w:tc>
        <w:tc>
          <w:tcPr>
            <w:tcW w:w="1262" w:type="dxa"/>
            <w:tcBorders>
              <w:top w:val="single" w:sz="2" w:space="0" w:color="auto"/>
            </w:tcBorders>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0</w:t>
            </w:r>
          </w:p>
        </w:tc>
        <w:tc>
          <w:tcPr>
            <w:tcW w:w="1440" w:type="dxa"/>
            <w:tcBorders>
              <w:top w:val="single" w:sz="2" w:space="0" w:color="auto"/>
            </w:tcBorders>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0</w:t>
            </w:r>
          </w:p>
        </w:tc>
        <w:tc>
          <w:tcPr>
            <w:tcW w:w="1296" w:type="dxa"/>
            <w:tcBorders>
              <w:top w:val="single" w:sz="2" w:space="0" w:color="auto"/>
            </w:tcBorders>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0</w:t>
            </w:r>
          </w:p>
        </w:tc>
        <w:tc>
          <w:tcPr>
            <w:tcW w:w="1080" w:type="dxa"/>
            <w:tcBorders>
              <w:top w:val="single" w:sz="2" w:space="0" w:color="auto"/>
            </w:tcBorders>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Borders>
              <w:top w:val="single" w:sz="2" w:space="0" w:color="auto"/>
            </w:tcBorders>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0</w:t>
            </w:r>
          </w:p>
        </w:tc>
      </w:tr>
      <w:tr w:rsidR="00173DDB">
        <w:tblPrEx>
          <w:tblCellMar>
            <w:top w:w="0" w:type="dxa"/>
            <w:bottom w:w="0" w:type="dxa"/>
          </w:tblCellMar>
        </w:tblPrEx>
        <w:tc>
          <w:tcPr>
            <w:tcW w:w="2160" w:type="dxa"/>
          </w:tcPr>
          <w:p w:rsidR="00173DDB" w:rsidRDefault="00173DDB">
            <w:pPr>
              <w:autoSpaceDE w:val="0"/>
              <w:autoSpaceDN w:val="0"/>
              <w:adjustRightInd w:val="0"/>
              <w:spacing w:before="20" w:after="20"/>
              <w:jc w:val="right"/>
              <w:rPr>
                <w:color w:val="000000"/>
                <w:sz w:val="21"/>
                <w:szCs w:val="16"/>
              </w:rPr>
            </w:pPr>
          </w:p>
        </w:tc>
        <w:tc>
          <w:tcPr>
            <w:tcW w:w="1577" w:type="dxa"/>
          </w:tcPr>
          <w:p w:rsidR="00173DDB" w:rsidRDefault="00173DDB">
            <w:pPr>
              <w:autoSpaceDE w:val="0"/>
              <w:autoSpaceDN w:val="0"/>
              <w:adjustRightInd w:val="0"/>
              <w:spacing w:before="20" w:after="20"/>
              <w:rPr>
                <w:color w:val="000000"/>
                <w:sz w:val="21"/>
                <w:szCs w:val="16"/>
              </w:rPr>
            </w:pPr>
            <w:r>
              <w:rPr>
                <w:color w:val="000000"/>
                <w:sz w:val="21"/>
                <w:szCs w:val="16"/>
              </w:rPr>
              <w:t>Comfort cooling</w:t>
            </w:r>
          </w:p>
        </w:tc>
        <w:tc>
          <w:tcPr>
            <w:tcW w:w="1080" w:type="dxa"/>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1,464</w:t>
            </w:r>
          </w:p>
        </w:tc>
        <w:tc>
          <w:tcPr>
            <w:tcW w:w="1584" w:type="dxa"/>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190</w:t>
            </w:r>
          </w:p>
        </w:tc>
        <w:tc>
          <w:tcPr>
            <w:tcW w:w="1262" w:type="dxa"/>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152</w:t>
            </w:r>
          </w:p>
        </w:tc>
        <w:tc>
          <w:tcPr>
            <w:tcW w:w="1440" w:type="dxa"/>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34</w:t>
            </w:r>
          </w:p>
        </w:tc>
        <w:tc>
          <w:tcPr>
            <w:tcW w:w="1296" w:type="dxa"/>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4</w:t>
            </w:r>
          </w:p>
        </w:tc>
        <w:tc>
          <w:tcPr>
            <w:tcW w:w="1080" w:type="dxa"/>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232</w:t>
            </w:r>
          </w:p>
        </w:tc>
      </w:tr>
      <w:tr w:rsidR="00173DDB">
        <w:tblPrEx>
          <w:tblCellMar>
            <w:top w:w="0" w:type="dxa"/>
            <w:bottom w:w="0" w:type="dxa"/>
          </w:tblCellMar>
        </w:tblPrEx>
        <w:tc>
          <w:tcPr>
            <w:tcW w:w="2160" w:type="dxa"/>
          </w:tcPr>
          <w:p w:rsidR="00173DDB" w:rsidRDefault="00173DDB">
            <w:pPr>
              <w:autoSpaceDE w:val="0"/>
              <w:autoSpaceDN w:val="0"/>
              <w:adjustRightInd w:val="0"/>
              <w:spacing w:before="20" w:after="20"/>
              <w:jc w:val="right"/>
              <w:rPr>
                <w:color w:val="000000"/>
                <w:sz w:val="21"/>
                <w:szCs w:val="16"/>
              </w:rPr>
            </w:pPr>
          </w:p>
        </w:tc>
        <w:tc>
          <w:tcPr>
            <w:tcW w:w="1577" w:type="dxa"/>
          </w:tcPr>
          <w:p w:rsidR="00173DDB" w:rsidRDefault="00173DDB">
            <w:pPr>
              <w:autoSpaceDE w:val="0"/>
              <w:autoSpaceDN w:val="0"/>
              <w:adjustRightInd w:val="0"/>
              <w:spacing w:before="20" w:after="20"/>
              <w:rPr>
                <w:color w:val="000000"/>
                <w:sz w:val="21"/>
                <w:szCs w:val="16"/>
              </w:rPr>
            </w:pPr>
            <w:r>
              <w:rPr>
                <w:color w:val="000000"/>
                <w:sz w:val="21"/>
                <w:szCs w:val="16"/>
              </w:rPr>
              <w:t>Industrial</w:t>
            </w:r>
          </w:p>
        </w:tc>
        <w:tc>
          <w:tcPr>
            <w:tcW w:w="1080" w:type="dxa"/>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1,464</w:t>
            </w:r>
          </w:p>
        </w:tc>
        <w:tc>
          <w:tcPr>
            <w:tcW w:w="1584" w:type="dxa"/>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327</w:t>
            </w:r>
          </w:p>
        </w:tc>
        <w:tc>
          <w:tcPr>
            <w:tcW w:w="1262" w:type="dxa"/>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262</w:t>
            </w:r>
          </w:p>
        </w:tc>
        <w:tc>
          <w:tcPr>
            <w:tcW w:w="1440" w:type="dxa"/>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59</w:t>
            </w:r>
          </w:p>
        </w:tc>
        <w:tc>
          <w:tcPr>
            <w:tcW w:w="1296" w:type="dxa"/>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6</w:t>
            </w:r>
          </w:p>
        </w:tc>
        <w:tc>
          <w:tcPr>
            <w:tcW w:w="1080" w:type="dxa"/>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399</w:t>
            </w:r>
          </w:p>
        </w:tc>
      </w:tr>
      <w:tr w:rsidR="00173DDB">
        <w:tblPrEx>
          <w:tblCellMar>
            <w:top w:w="0" w:type="dxa"/>
            <w:bottom w:w="0" w:type="dxa"/>
          </w:tblCellMar>
        </w:tblPrEx>
        <w:tc>
          <w:tcPr>
            <w:tcW w:w="2160" w:type="dxa"/>
            <w:tcBorders>
              <w:bottom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Totals</w:t>
            </w:r>
          </w:p>
        </w:tc>
        <w:tc>
          <w:tcPr>
            <w:tcW w:w="1577" w:type="dxa"/>
            <w:tcBorders>
              <w:bottom w:val="single" w:sz="2" w:space="0" w:color="auto"/>
            </w:tcBorders>
          </w:tcPr>
          <w:p w:rsidR="00173DDB" w:rsidRDefault="00173DDB">
            <w:pPr>
              <w:autoSpaceDE w:val="0"/>
              <w:autoSpaceDN w:val="0"/>
              <w:adjustRightInd w:val="0"/>
              <w:spacing w:before="20" w:after="20"/>
              <w:jc w:val="right"/>
              <w:rPr>
                <w:color w:val="000000"/>
                <w:sz w:val="21"/>
                <w:szCs w:val="16"/>
              </w:rPr>
            </w:pPr>
          </w:p>
        </w:tc>
        <w:tc>
          <w:tcPr>
            <w:tcW w:w="1080" w:type="dxa"/>
            <w:tcBorders>
              <w:bottom w:val="single" w:sz="2" w:space="0" w:color="auto"/>
            </w:tcBorders>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2,928</w:t>
            </w:r>
          </w:p>
        </w:tc>
        <w:tc>
          <w:tcPr>
            <w:tcW w:w="1584" w:type="dxa"/>
            <w:tcBorders>
              <w:bottom w:val="single" w:sz="2" w:space="0" w:color="auto"/>
            </w:tcBorders>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517</w:t>
            </w:r>
          </w:p>
        </w:tc>
        <w:tc>
          <w:tcPr>
            <w:tcW w:w="1262" w:type="dxa"/>
            <w:tcBorders>
              <w:bottom w:val="single" w:sz="2" w:space="0" w:color="auto"/>
            </w:tcBorders>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414</w:t>
            </w:r>
          </w:p>
        </w:tc>
        <w:tc>
          <w:tcPr>
            <w:tcW w:w="1440" w:type="dxa"/>
            <w:tcBorders>
              <w:bottom w:val="single" w:sz="2" w:space="0" w:color="auto"/>
            </w:tcBorders>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93</w:t>
            </w:r>
          </w:p>
        </w:tc>
        <w:tc>
          <w:tcPr>
            <w:tcW w:w="1296" w:type="dxa"/>
            <w:tcBorders>
              <w:bottom w:val="single" w:sz="2" w:space="0" w:color="auto"/>
            </w:tcBorders>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10</w:t>
            </w:r>
          </w:p>
        </w:tc>
        <w:tc>
          <w:tcPr>
            <w:tcW w:w="1080" w:type="dxa"/>
            <w:tcBorders>
              <w:bottom w:val="single" w:sz="2" w:space="0" w:color="auto"/>
            </w:tcBorders>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1</w:t>
            </w:r>
          </w:p>
        </w:tc>
        <w:tc>
          <w:tcPr>
            <w:tcW w:w="1496" w:type="dxa"/>
            <w:tcBorders>
              <w:bottom w:val="single" w:sz="2" w:space="0" w:color="auto"/>
            </w:tcBorders>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631</w:t>
            </w:r>
          </w:p>
        </w:tc>
      </w:tr>
      <w:tr w:rsidR="00173DDB">
        <w:tblPrEx>
          <w:tblCellMar>
            <w:top w:w="0" w:type="dxa"/>
            <w:bottom w:w="0" w:type="dxa"/>
          </w:tblCellMar>
        </w:tblPrEx>
        <w:tc>
          <w:tcPr>
            <w:tcW w:w="2160" w:type="dxa"/>
            <w:tcBorders>
              <w:top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Ice rinks</w:t>
            </w:r>
          </w:p>
        </w:tc>
        <w:tc>
          <w:tcPr>
            <w:tcW w:w="1577" w:type="dxa"/>
            <w:tcBorders>
              <w:top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Commercial</w:t>
            </w:r>
          </w:p>
        </w:tc>
        <w:tc>
          <w:tcPr>
            <w:tcW w:w="1080" w:type="dxa"/>
            <w:tcBorders>
              <w:top w:val="single" w:sz="2" w:space="0" w:color="auto"/>
            </w:tcBorders>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0</w:t>
            </w:r>
          </w:p>
        </w:tc>
        <w:tc>
          <w:tcPr>
            <w:tcW w:w="1584" w:type="dxa"/>
            <w:tcBorders>
              <w:top w:val="single" w:sz="2" w:space="0" w:color="auto"/>
            </w:tcBorders>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0</w:t>
            </w:r>
          </w:p>
        </w:tc>
        <w:tc>
          <w:tcPr>
            <w:tcW w:w="1262" w:type="dxa"/>
            <w:tcBorders>
              <w:top w:val="single" w:sz="2" w:space="0" w:color="auto"/>
            </w:tcBorders>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0</w:t>
            </w:r>
          </w:p>
        </w:tc>
        <w:tc>
          <w:tcPr>
            <w:tcW w:w="1440" w:type="dxa"/>
            <w:tcBorders>
              <w:top w:val="single" w:sz="2" w:space="0" w:color="auto"/>
            </w:tcBorders>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0</w:t>
            </w:r>
          </w:p>
        </w:tc>
        <w:tc>
          <w:tcPr>
            <w:tcW w:w="1296" w:type="dxa"/>
            <w:tcBorders>
              <w:top w:val="single" w:sz="2" w:space="0" w:color="auto"/>
            </w:tcBorders>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0</w:t>
            </w:r>
          </w:p>
        </w:tc>
        <w:tc>
          <w:tcPr>
            <w:tcW w:w="1080" w:type="dxa"/>
            <w:tcBorders>
              <w:top w:val="single" w:sz="2" w:space="0" w:color="auto"/>
            </w:tcBorders>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Borders>
              <w:top w:val="single" w:sz="2" w:space="0" w:color="auto"/>
            </w:tcBorders>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0</w:t>
            </w:r>
          </w:p>
        </w:tc>
      </w:tr>
      <w:tr w:rsidR="00173DDB">
        <w:tblPrEx>
          <w:tblCellMar>
            <w:top w:w="0" w:type="dxa"/>
            <w:bottom w:w="0" w:type="dxa"/>
          </w:tblCellMar>
        </w:tblPrEx>
        <w:tc>
          <w:tcPr>
            <w:tcW w:w="2160" w:type="dxa"/>
          </w:tcPr>
          <w:p w:rsidR="00173DDB" w:rsidRDefault="00173DDB">
            <w:pPr>
              <w:autoSpaceDE w:val="0"/>
              <w:autoSpaceDN w:val="0"/>
              <w:adjustRightInd w:val="0"/>
              <w:spacing w:before="20" w:after="20"/>
              <w:jc w:val="right"/>
              <w:rPr>
                <w:color w:val="000000"/>
                <w:sz w:val="21"/>
                <w:szCs w:val="16"/>
              </w:rPr>
            </w:pPr>
          </w:p>
        </w:tc>
        <w:tc>
          <w:tcPr>
            <w:tcW w:w="1577" w:type="dxa"/>
          </w:tcPr>
          <w:p w:rsidR="00173DDB" w:rsidRDefault="00173DDB">
            <w:pPr>
              <w:autoSpaceDE w:val="0"/>
              <w:autoSpaceDN w:val="0"/>
              <w:adjustRightInd w:val="0"/>
              <w:spacing w:before="20" w:after="20"/>
              <w:rPr>
                <w:color w:val="000000"/>
                <w:sz w:val="21"/>
                <w:szCs w:val="16"/>
              </w:rPr>
            </w:pPr>
            <w:r>
              <w:rPr>
                <w:color w:val="000000"/>
                <w:sz w:val="21"/>
                <w:szCs w:val="16"/>
              </w:rPr>
              <w:t>Comfort cooling</w:t>
            </w:r>
          </w:p>
        </w:tc>
        <w:tc>
          <w:tcPr>
            <w:tcW w:w="1080" w:type="dxa"/>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450</w:t>
            </w:r>
          </w:p>
        </w:tc>
        <w:tc>
          <w:tcPr>
            <w:tcW w:w="1584" w:type="dxa"/>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58</w:t>
            </w:r>
          </w:p>
        </w:tc>
        <w:tc>
          <w:tcPr>
            <w:tcW w:w="1262" w:type="dxa"/>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47</w:t>
            </w:r>
          </w:p>
        </w:tc>
        <w:tc>
          <w:tcPr>
            <w:tcW w:w="1440" w:type="dxa"/>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11</w:t>
            </w:r>
          </w:p>
        </w:tc>
        <w:tc>
          <w:tcPr>
            <w:tcW w:w="1296" w:type="dxa"/>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1</w:t>
            </w:r>
          </w:p>
        </w:tc>
        <w:tc>
          <w:tcPr>
            <w:tcW w:w="1080" w:type="dxa"/>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71</w:t>
            </w:r>
          </w:p>
        </w:tc>
      </w:tr>
      <w:tr w:rsidR="00173DDB">
        <w:tblPrEx>
          <w:tblCellMar>
            <w:top w:w="0" w:type="dxa"/>
            <w:bottom w:w="0" w:type="dxa"/>
          </w:tblCellMar>
        </w:tblPrEx>
        <w:tc>
          <w:tcPr>
            <w:tcW w:w="2160" w:type="dxa"/>
          </w:tcPr>
          <w:p w:rsidR="00173DDB" w:rsidRDefault="00173DDB">
            <w:pPr>
              <w:autoSpaceDE w:val="0"/>
              <w:autoSpaceDN w:val="0"/>
              <w:adjustRightInd w:val="0"/>
              <w:spacing w:before="20" w:after="20"/>
              <w:jc w:val="right"/>
              <w:rPr>
                <w:color w:val="000000"/>
                <w:sz w:val="21"/>
                <w:szCs w:val="16"/>
              </w:rPr>
            </w:pPr>
          </w:p>
        </w:tc>
        <w:tc>
          <w:tcPr>
            <w:tcW w:w="1577" w:type="dxa"/>
          </w:tcPr>
          <w:p w:rsidR="00173DDB" w:rsidRDefault="00173DDB">
            <w:pPr>
              <w:autoSpaceDE w:val="0"/>
              <w:autoSpaceDN w:val="0"/>
              <w:adjustRightInd w:val="0"/>
              <w:spacing w:before="20" w:after="20"/>
              <w:rPr>
                <w:color w:val="000000"/>
                <w:sz w:val="21"/>
                <w:szCs w:val="16"/>
              </w:rPr>
            </w:pPr>
            <w:r>
              <w:rPr>
                <w:color w:val="000000"/>
                <w:sz w:val="21"/>
                <w:szCs w:val="16"/>
              </w:rPr>
              <w:t>Industrial</w:t>
            </w:r>
          </w:p>
        </w:tc>
        <w:tc>
          <w:tcPr>
            <w:tcW w:w="1080" w:type="dxa"/>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899</w:t>
            </w:r>
          </w:p>
        </w:tc>
        <w:tc>
          <w:tcPr>
            <w:tcW w:w="1584" w:type="dxa"/>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201</w:t>
            </w:r>
          </w:p>
        </w:tc>
        <w:tc>
          <w:tcPr>
            <w:tcW w:w="1262" w:type="dxa"/>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161</w:t>
            </w:r>
          </w:p>
        </w:tc>
        <w:tc>
          <w:tcPr>
            <w:tcW w:w="1440" w:type="dxa"/>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36</w:t>
            </w:r>
          </w:p>
        </w:tc>
        <w:tc>
          <w:tcPr>
            <w:tcW w:w="1296" w:type="dxa"/>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4</w:t>
            </w:r>
          </w:p>
        </w:tc>
        <w:tc>
          <w:tcPr>
            <w:tcW w:w="1080" w:type="dxa"/>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245</w:t>
            </w:r>
          </w:p>
        </w:tc>
      </w:tr>
      <w:tr w:rsidR="00173DDB">
        <w:tblPrEx>
          <w:tblCellMar>
            <w:top w:w="0" w:type="dxa"/>
            <w:bottom w:w="0" w:type="dxa"/>
          </w:tblCellMar>
        </w:tblPrEx>
        <w:tc>
          <w:tcPr>
            <w:tcW w:w="2160" w:type="dxa"/>
            <w:tcBorders>
              <w:bottom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Totals</w:t>
            </w:r>
          </w:p>
        </w:tc>
        <w:tc>
          <w:tcPr>
            <w:tcW w:w="1577" w:type="dxa"/>
            <w:tcBorders>
              <w:bottom w:val="single" w:sz="2" w:space="0" w:color="auto"/>
            </w:tcBorders>
          </w:tcPr>
          <w:p w:rsidR="00173DDB" w:rsidRDefault="00173DDB">
            <w:pPr>
              <w:autoSpaceDE w:val="0"/>
              <w:autoSpaceDN w:val="0"/>
              <w:adjustRightInd w:val="0"/>
              <w:spacing w:before="20" w:after="20"/>
              <w:jc w:val="right"/>
              <w:rPr>
                <w:color w:val="000000"/>
                <w:sz w:val="21"/>
                <w:szCs w:val="16"/>
              </w:rPr>
            </w:pPr>
          </w:p>
        </w:tc>
        <w:tc>
          <w:tcPr>
            <w:tcW w:w="1080" w:type="dxa"/>
            <w:tcBorders>
              <w:bottom w:val="single" w:sz="2" w:space="0" w:color="auto"/>
            </w:tcBorders>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1,349</w:t>
            </w:r>
          </w:p>
        </w:tc>
        <w:tc>
          <w:tcPr>
            <w:tcW w:w="1584" w:type="dxa"/>
            <w:tcBorders>
              <w:bottom w:val="single" w:sz="2" w:space="0" w:color="auto"/>
            </w:tcBorders>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259</w:t>
            </w:r>
          </w:p>
        </w:tc>
        <w:tc>
          <w:tcPr>
            <w:tcW w:w="1262" w:type="dxa"/>
            <w:tcBorders>
              <w:bottom w:val="single" w:sz="2" w:space="0" w:color="auto"/>
            </w:tcBorders>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207</w:t>
            </w:r>
          </w:p>
        </w:tc>
        <w:tc>
          <w:tcPr>
            <w:tcW w:w="1440" w:type="dxa"/>
            <w:tcBorders>
              <w:bottom w:val="single" w:sz="2" w:space="0" w:color="auto"/>
            </w:tcBorders>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47</w:t>
            </w:r>
          </w:p>
        </w:tc>
        <w:tc>
          <w:tcPr>
            <w:tcW w:w="1296" w:type="dxa"/>
            <w:tcBorders>
              <w:bottom w:val="single" w:sz="2" w:space="0" w:color="auto"/>
            </w:tcBorders>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5</w:t>
            </w:r>
          </w:p>
        </w:tc>
        <w:tc>
          <w:tcPr>
            <w:tcW w:w="1080" w:type="dxa"/>
            <w:tcBorders>
              <w:bottom w:val="single" w:sz="2" w:space="0" w:color="auto"/>
            </w:tcBorders>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Borders>
              <w:bottom w:val="single" w:sz="2" w:space="0" w:color="auto"/>
            </w:tcBorders>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316</w:t>
            </w:r>
          </w:p>
        </w:tc>
      </w:tr>
      <w:tr w:rsidR="00173DDB">
        <w:tblPrEx>
          <w:tblCellMar>
            <w:top w:w="0" w:type="dxa"/>
            <w:bottom w:w="0" w:type="dxa"/>
          </w:tblCellMar>
        </w:tblPrEx>
        <w:trPr>
          <w:cantSplit/>
        </w:trPr>
        <w:tc>
          <w:tcPr>
            <w:tcW w:w="2160" w:type="dxa"/>
            <w:tcBorders>
              <w:top w:val="single" w:sz="6" w:space="0" w:color="auto"/>
            </w:tcBorders>
          </w:tcPr>
          <w:p w:rsidR="00173DDB" w:rsidRDefault="00173DDB">
            <w:pPr>
              <w:autoSpaceDE w:val="0"/>
              <w:autoSpaceDN w:val="0"/>
              <w:adjustRightInd w:val="0"/>
              <w:spacing w:before="20" w:after="20"/>
              <w:rPr>
                <w:color w:val="000000"/>
                <w:sz w:val="21"/>
                <w:szCs w:val="16"/>
              </w:rPr>
            </w:pPr>
          </w:p>
        </w:tc>
        <w:tc>
          <w:tcPr>
            <w:tcW w:w="1577" w:type="dxa"/>
            <w:tcBorders>
              <w:top w:val="single" w:sz="6" w:space="0" w:color="auto"/>
            </w:tcBorders>
          </w:tcPr>
          <w:p w:rsidR="00173DDB" w:rsidRDefault="00173DDB">
            <w:pPr>
              <w:autoSpaceDE w:val="0"/>
              <w:autoSpaceDN w:val="0"/>
              <w:adjustRightInd w:val="0"/>
              <w:spacing w:before="20" w:after="20"/>
              <w:rPr>
                <w:color w:val="000000"/>
                <w:sz w:val="21"/>
                <w:szCs w:val="16"/>
              </w:rPr>
            </w:pPr>
          </w:p>
        </w:tc>
        <w:tc>
          <w:tcPr>
            <w:tcW w:w="1080" w:type="dxa"/>
            <w:tcBorders>
              <w:top w:val="single" w:sz="6" w:space="0" w:color="auto"/>
            </w:tcBorders>
          </w:tcPr>
          <w:p w:rsidR="00173DDB" w:rsidRDefault="00173DDB">
            <w:pPr>
              <w:tabs>
                <w:tab w:val="decimal" w:pos="823"/>
              </w:tabs>
              <w:autoSpaceDE w:val="0"/>
              <w:autoSpaceDN w:val="0"/>
              <w:adjustRightInd w:val="0"/>
              <w:spacing w:before="20" w:after="20"/>
              <w:rPr>
                <w:color w:val="000000"/>
                <w:sz w:val="21"/>
                <w:szCs w:val="16"/>
              </w:rPr>
            </w:pPr>
          </w:p>
        </w:tc>
        <w:tc>
          <w:tcPr>
            <w:tcW w:w="1584" w:type="dxa"/>
            <w:tcBorders>
              <w:top w:val="single" w:sz="6" w:space="0" w:color="auto"/>
            </w:tcBorders>
          </w:tcPr>
          <w:p w:rsidR="00173DDB" w:rsidRDefault="00173DDB">
            <w:pPr>
              <w:tabs>
                <w:tab w:val="decimal" w:pos="1063"/>
              </w:tabs>
              <w:autoSpaceDE w:val="0"/>
              <w:autoSpaceDN w:val="0"/>
              <w:adjustRightInd w:val="0"/>
              <w:spacing w:before="20" w:after="20"/>
              <w:rPr>
                <w:color w:val="000000"/>
                <w:sz w:val="21"/>
                <w:szCs w:val="16"/>
              </w:rPr>
            </w:pPr>
          </w:p>
        </w:tc>
        <w:tc>
          <w:tcPr>
            <w:tcW w:w="1262" w:type="dxa"/>
            <w:tcBorders>
              <w:top w:val="single" w:sz="6" w:space="0" w:color="auto"/>
            </w:tcBorders>
          </w:tcPr>
          <w:p w:rsidR="00173DDB" w:rsidRDefault="00173DDB">
            <w:pPr>
              <w:tabs>
                <w:tab w:val="decimal" w:pos="919"/>
              </w:tabs>
              <w:autoSpaceDE w:val="0"/>
              <w:autoSpaceDN w:val="0"/>
              <w:adjustRightInd w:val="0"/>
              <w:spacing w:before="20" w:after="20"/>
              <w:rPr>
                <w:color w:val="000000"/>
                <w:sz w:val="21"/>
                <w:szCs w:val="16"/>
              </w:rPr>
            </w:pPr>
          </w:p>
        </w:tc>
        <w:tc>
          <w:tcPr>
            <w:tcW w:w="1440" w:type="dxa"/>
            <w:tcBorders>
              <w:top w:val="single" w:sz="6" w:space="0" w:color="auto"/>
            </w:tcBorders>
          </w:tcPr>
          <w:p w:rsidR="00173DDB" w:rsidRDefault="00173DDB">
            <w:pPr>
              <w:tabs>
                <w:tab w:val="decimal" w:pos="977"/>
              </w:tabs>
              <w:autoSpaceDE w:val="0"/>
              <w:autoSpaceDN w:val="0"/>
              <w:adjustRightInd w:val="0"/>
              <w:spacing w:before="20" w:after="20"/>
              <w:rPr>
                <w:color w:val="000000"/>
                <w:sz w:val="21"/>
                <w:szCs w:val="16"/>
              </w:rPr>
            </w:pPr>
          </w:p>
        </w:tc>
        <w:tc>
          <w:tcPr>
            <w:tcW w:w="1296" w:type="dxa"/>
            <w:tcBorders>
              <w:top w:val="single" w:sz="6" w:space="0" w:color="auto"/>
            </w:tcBorders>
          </w:tcPr>
          <w:p w:rsidR="00173DDB" w:rsidRDefault="00173DDB">
            <w:pPr>
              <w:tabs>
                <w:tab w:val="decimal" w:pos="857"/>
              </w:tabs>
              <w:autoSpaceDE w:val="0"/>
              <w:autoSpaceDN w:val="0"/>
              <w:adjustRightInd w:val="0"/>
              <w:spacing w:before="20" w:after="20"/>
              <w:rPr>
                <w:color w:val="000000"/>
                <w:sz w:val="21"/>
                <w:szCs w:val="16"/>
              </w:rPr>
            </w:pPr>
          </w:p>
        </w:tc>
        <w:tc>
          <w:tcPr>
            <w:tcW w:w="1080" w:type="dxa"/>
            <w:tcBorders>
              <w:top w:val="single" w:sz="6" w:space="0" w:color="auto"/>
            </w:tcBorders>
          </w:tcPr>
          <w:p w:rsidR="00173DDB" w:rsidRDefault="00173DDB">
            <w:pPr>
              <w:tabs>
                <w:tab w:val="decimal" w:pos="540"/>
              </w:tabs>
              <w:autoSpaceDE w:val="0"/>
              <w:autoSpaceDN w:val="0"/>
              <w:adjustRightInd w:val="0"/>
              <w:spacing w:before="20" w:after="20"/>
              <w:rPr>
                <w:color w:val="000000"/>
                <w:sz w:val="21"/>
                <w:szCs w:val="16"/>
              </w:rPr>
            </w:pPr>
          </w:p>
        </w:tc>
        <w:tc>
          <w:tcPr>
            <w:tcW w:w="1496" w:type="dxa"/>
            <w:tcBorders>
              <w:top w:val="single" w:sz="6" w:space="0" w:color="auto"/>
            </w:tcBorders>
          </w:tcPr>
          <w:p w:rsidR="00173DDB" w:rsidRDefault="00173DDB">
            <w:pPr>
              <w:tabs>
                <w:tab w:val="decimal" w:pos="1001"/>
              </w:tabs>
              <w:autoSpaceDE w:val="0"/>
              <w:autoSpaceDN w:val="0"/>
              <w:adjustRightInd w:val="0"/>
              <w:spacing w:before="20" w:after="20"/>
              <w:rPr>
                <w:color w:val="000000"/>
                <w:sz w:val="21"/>
                <w:szCs w:val="16"/>
              </w:rPr>
            </w:pPr>
          </w:p>
        </w:tc>
      </w:tr>
      <w:tr w:rsidR="00173DDB">
        <w:tblPrEx>
          <w:tblCellMar>
            <w:top w:w="0" w:type="dxa"/>
            <w:bottom w:w="0" w:type="dxa"/>
          </w:tblCellMar>
        </w:tblPrEx>
        <w:trPr>
          <w:cantSplit/>
        </w:trPr>
        <w:tc>
          <w:tcPr>
            <w:tcW w:w="12975" w:type="dxa"/>
            <w:gridSpan w:val="9"/>
            <w:tcBorders>
              <w:bottom w:val="single" w:sz="6" w:space="0" w:color="auto"/>
            </w:tcBorders>
            <w:vAlign w:val="bottom"/>
          </w:tcPr>
          <w:p w:rsidR="00173DDB" w:rsidRDefault="00173DDB">
            <w:pPr>
              <w:keepNext/>
              <w:autoSpaceDE w:val="0"/>
              <w:autoSpaceDN w:val="0"/>
              <w:adjustRightInd w:val="0"/>
              <w:spacing w:before="20" w:after="20"/>
              <w:rPr>
                <w:b/>
                <w:bCs/>
                <w:color w:val="000000"/>
                <w:szCs w:val="16"/>
              </w:rPr>
            </w:pPr>
            <w:r>
              <w:rPr>
                <w:b/>
                <w:bCs/>
                <w:color w:val="000000"/>
                <w:szCs w:val="16"/>
              </w:rPr>
              <w:lastRenderedPageBreak/>
              <w:t>Table 2. Appliances requiring repair, number of successful repairs at each stage, and the total number of invoices to be filed and maintained (cont.)</w:t>
            </w:r>
          </w:p>
        </w:tc>
      </w:tr>
      <w:tr w:rsidR="00173DDB">
        <w:tblPrEx>
          <w:tblCellMar>
            <w:top w:w="0" w:type="dxa"/>
            <w:bottom w:w="0" w:type="dxa"/>
          </w:tblCellMar>
        </w:tblPrEx>
        <w:tc>
          <w:tcPr>
            <w:tcW w:w="2160" w:type="dxa"/>
            <w:tcBorders>
              <w:top w:val="single" w:sz="6" w:space="0" w:color="auto"/>
              <w:bottom w:val="single" w:sz="6" w:space="0" w:color="auto"/>
            </w:tcBorders>
            <w:vAlign w:val="bottom"/>
          </w:tcPr>
          <w:p w:rsidR="00173DDB" w:rsidRDefault="00173DDB">
            <w:pPr>
              <w:autoSpaceDE w:val="0"/>
              <w:autoSpaceDN w:val="0"/>
              <w:adjustRightInd w:val="0"/>
              <w:spacing w:before="20" w:after="20"/>
              <w:rPr>
                <w:b/>
                <w:bCs/>
                <w:color w:val="000000"/>
                <w:sz w:val="21"/>
                <w:szCs w:val="16"/>
              </w:rPr>
            </w:pPr>
            <w:r>
              <w:rPr>
                <w:b/>
                <w:bCs/>
                <w:color w:val="000000"/>
                <w:sz w:val="21"/>
                <w:szCs w:val="16"/>
              </w:rPr>
              <w:t>Sector</w:t>
            </w:r>
          </w:p>
        </w:tc>
        <w:tc>
          <w:tcPr>
            <w:tcW w:w="1577" w:type="dxa"/>
            <w:tcBorders>
              <w:top w:val="single" w:sz="6" w:space="0" w:color="auto"/>
              <w:bottom w:val="single" w:sz="6" w:space="0" w:color="auto"/>
            </w:tcBorders>
            <w:vAlign w:val="bottom"/>
          </w:tcPr>
          <w:p w:rsidR="00173DDB" w:rsidRDefault="00173DDB">
            <w:pPr>
              <w:autoSpaceDE w:val="0"/>
              <w:autoSpaceDN w:val="0"/>
              <w:adjustRightInd w:val="0"/>
              <w:spacing w:before="20" w:after="20"/>
              <w:jc w:val="center"/>
              <w:rPr>
                <w:b/>
                <w:bCs/>
                <w:color w:val="000000"/>
                <w:sz w:val="21"/>
                <w:szCs w:val="16"/>
              </w:rPr>
            </w:pPr>
            <w:r>
              <w:rPr>
                <w:b/>
                <w:bCs/>
                <w:color w:val="000000"/>
                <w:sz w:val="21"/>
                <w:szCs w:val="16"/>
              </w:rPr>
              <w:t>System type</w:t>
            </w:r>
          </w:p>
        </w:tc>
        <w:tc>
          <w:tcPr>
            <w:tcW w:w="1080" w:type="dxa"/>
            <w:tcBorders>
              <w:top w:val="single" w:sz="6" w:space="0" w:color="auto"/>
              <w:bottom w:val="single" w:sz="6" w:space="0" w:color="auto"/>
            </w:tcBorders>
            <w:vAlign w:val="bottom"/>
          </w:tcPr>
          <w:p w:rsidR="00173DDB" w:rsidRDefault="00173DDB">
            <w:pPr>
              <w:autoSpaceDE w:val="0"/>
              <w:autoSpaceDN w:val="0"/>
              <w:adjustRightInd w:val="0"/>
              <w:spacing w:before="20" w:after="20"/>
              <w:jc w:val="center"/>
              <w:rPr>
                <w:b/>
                <w:bCs/>
                <w:color w:val="000000"/>
                <w:sz w:val="21"/>
                <w:szCs w:val="16"/>
              </w:rPr>
            </w:pPr>
            <w:r>
              <w:rPr>
                <w:b/>
                <w:bCs/>
                <w:color w:val="000000"/>
                <w:sz w:val="21"/>
                <w:szCs w:val="16"/>
              </w:rPr>
              <w:t>Total no. of appliances</w:t>
            </w:r>
          </w:p>
        </w:tc>
        <w:tc>
          <w:tcPr>
            <w:tcW w:w="1584" w:type="dxa"/>
            <w:tcBorders>
              <w:top w:val="single" w:sz="6" w:space="0" w:color="auto"/>
              <w:bottom w:val="single" w:sz="6" w:space="0" w:color="auto"/>
            </w:tcBorders>
            <w:vAlign w:val="bottom"/>
          </w:tcPr>
          <w:p w:rsidR="00173DDB" w:rsidRDefault="00173DDB">
            <w:pPr>
              <w:autoSpaceDE w:val="0"/>
              <w:autoSpaceDN w:val="0"/>
              <w:adjustRightInd w:val="0"/>
              <w:spacing w:before="20" w:after="20"/>
              <w:jc w:val="center"/>
              <w:rPr>
                <w:b/>
                <w:bCs/>
                <w:color w:val="000000"/>
                <w:sz w:val="21"/>
                <w:szCs w:val="16"/>
              </w:rPr>
            </w:pPr>
            <w:r>
              <w:rPr>
                <w:b/>
                <w:bCs/>
                <w:color w:val="000000"/>
                <w:sz w:val="21"/>
                <w:szCs w:val="16"/>
              </w:rPr>
              <w:t>No. of appliances requiring repair</w:t>
            </w:r>
          </w:p>
        </w:tc>
        <w:tc>
          <w:tcPr>
            <w:tcW w:w="1262" w:type="dxa"/>
            <w:tcBorders>
              <w:top w:val="single" w:sz="6" w:space="0" w:color="auto"/>
              <w:bottom w:val="single" w:sz="6" w:space="0" w:color="auto"/>
            </w:tcBorders>
            <w:vAlign w:val="bottom"/>
          </w:tcPr>
          <w:p w:rsidR="00173DDB" w:rsidRDefault="00173DDB">
            <w:pPr>
              <w:autoSpaceDE w:val="0"/>
              <w:autoSpaceDN w:val="0"/>
              <w:adjustRightInd w:val="0"/>
              <w:spacing w:before="20" w:after="20"/>
              <w:jc w:val="center"/>
              <w:rPr>
                <w:b/>
                <w:bCs/>
                <w:color w:val="000000"/>
                <w:sz w:val="21"/>
                <w:szCs w:val="16"/>
              </w:rPr>
            </w:pPr>
            <w:r>
              <w:rPr>
                <w:b/>
                <w:bCs/>
                <w:color w:val="000000"/>
                <w:sz w:val="21"/>
                <w:szCs w:val="16"/>
              </w:rPr>
              <w:t>No. of successful first repairs</w:t>
            </w:r>
          </w:p>
        </w:tc>
        <w:tc>
          <w:tcPr>
            <w:tcW w:w="1440" w:type="dxa"/>
            <w:tcBorders>
              <w:top w:val="single" w:sz="6" w:space="0" w:color="auto"/>
              <w:bottom w:val="single" w:sz="6" w:space="0" w:color="auto"/>
            </w:tcBorders>
            <w:vAlign w:val="bottom"/>
          </w:tcPr>
          <w:p w:rsidR="00173DDB" w:rsidRDefault="00173DDB">
            <w:pPr>
              <w:autoSpaceDE w:val="0"/>
              <w:autoSpaceDN w:val="0"/>
              <w:adjustRightInd w:val="0"/>
              <w:spacing w:before="20" w:after="20"/>
              <w:jc w:val="center"/>
              <w:rPr>
                <w:b/>
                <w:bCs/>
                <w:color w:val="000000"/>
                <w:sz w:val="21"/>
                <w:szCs w:val="16"/>
              </w:rPr>
            </w:pPr>
            <w:r>
              <w:rPr>
                <w:b/>
                <w:bCs/>
                <w:color w:val="000000"/>
                <w:sz w:val="21"/>
                <w:szCs w:val="16"/>
              </w:rPr>
              <w:t>No. of successful second repairs</w:t>
            </w:r>
          </w:p>
        </w:tc>
        <w:tc>
          <w:tcPr>
            <w:tcW w:w="1296" w:type="dxa"/>
            <w:tcBorders>
              <w:top w:val="single" w:sz="6" w:space="0" w:color="auto"/>
              <w:bottom w:val="single" w:sz="6" w:space="0" w:color="auto"/>
            </w:tcBorders>
            <w:vAlign w:val="bottom"/>
          </w:tcPr>
          <w:p w:rsidR="00173DDB" w:rsidRDefault="00173DDB">
            <w:pPr>
              <w:autoSpaceDE w:val="0"/>
              <w:autoSpaceDN w:val="0"/>
              <w:adjustRightInd w:val="0"/>
              <w:spacing w:before="20" w:after="20"/>
              <w:jc w:val="center"/>
              <w:rPr>
                <w:b/>
                <w:bCs/>
                <w:color w:val="000000"/>
                <w:sz w:val="21"/>
                <w:szCs w:val="16"/>
              </w:rPr>
            </w:pPr>
            <w:r>
              <w:rPr>
                <w:b/>
                <w:bCs/>
                <w:color w:val="000000"/>
                <w:sz w:val="21"/>
                <w:szCs w:val="16"/>
              </w:rPr>
              <w:t>No. of successful third repairs</w:t>
            </w:r>
          </w:p>
        </w:tc>
        <w:tc>
          <w:tcPr>
            <w:tcW w:w="1080" w:type="dxa"/>
            <w:tcBorders>
              <w:top w:val="single" w:sz="6" w:space="0" w:color="auto"/>
              <w:bottom w:val="single" w:sz="6" w:space="0" w:color="auto"/>
            </w:tcBorders>
            <w:vAlign w:val="bottom"/>
          </w:tcPr>
          <w:p w:rsidR="00173DDB" w:rsidRDefault="00173DDB">
            <w:pPr>
              <w:autoSpaceDE w:val="0"/>
              <w:autoSpaceDN w:val="0"/>
              <w:adjustRightInd w:val="0"/>
              <w:spacing w:before="20" w:after="20"/>
              <w:jc w:val="center"/>
              <w:rPr>
                <w:b/>
                <w:bCs/>
                <w:color w:val="000000"/>
                <w:sz w:val="21"/>
                <w:szCs w:val="16"/>
              </w:rPr>
            </w:pPr>
            <w:r>
              <w:rPr>
                <w:b/>
                <w:bCs/>
                <w:color w:val="000000"/>
                <w:sz w:val="21"/>
                <w:szCs w:val="16"/>
              </w:rPr>
              <w:t>No. of retrofits or retirement</w:t>
            </w:r>
          </w:p>
        </w:tc>
        <w:tc>
          <w:tcPr>
            <w:tcW w:w="1496" w:type="dxa"/>
            <w:tcBorders>
              <w:top w:val="single" w:sz="6" w:space="0" w:color="auto"/>
              <w:bottom w:val="single" w:sz="6" w:space="0" w:color="auto"/>
            </w:tcBorders>
            <w:vAlign w:val="bottom"/>
          </w:tcPr>
          <w:p w:rsidR="00173DDB" w:rsidRDefault="00173DDB">
            <w:pPr>
              <w:autoSpaceDE w:val="0"/>
              <w:autoSpaceDN w:val="0"/>
              <w:adjustRightInd w:val="0"/>
              <w:spacing w:before="20" w:after="20"/>
              <w:jc w:val="center"/>
              <w:rPr>
                <w:b/>
                <w:bCs/>
                <w:color w:val="000000"/>
                <w:sz w:val="21"/>
                <w:szCs w:val="16"/>
              </w:rPr>
            </w:pPr>
            <w:r>
              <w:rPr>
                <w:b/>
                <w:bCs/>
                <w:color w:val="000000"/>
                <w:sz w:val="21"/>
                <w:szCs w:val="16"/>
              </w:rPr>
              <w:t>No. of invoices with required information</w:t>
            </w:r>
          </w:p>
        </w:tc>
      </w:tr>
      <w:tr w:rsidR="00173DDB">
        <w:tblPrEx>
          <w:tblCellMar>
            <w:top w:w="0" w:type="dxa"/>
            <w:bottom w:w="0" w:type="dxa"/>
          </w:tblCellMar>
        </w:tblPrEx>
        <w:trPr>
          <w:cantSplit/>
        </w:trPr>
        <w:tc>
          <w:tcPr>
            <w:tcW w:w="2160" w:type="dxa"/>
            <w:vMerge w:val="restart"/>
            <w:tcBorders>
              <w:top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Elementary and secondary schools</w:t>
            </w:r>
          </w:p>
        </w:tc>
        <w:tc>
          <w:tcPr>
            <w:tcW w:w="1577" w:type="dxa"/>
            <w:tcBorders>
              <w:top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Commercial</w:t>
            </w:r>
          </w:p>
        </w:tc>
        <w:tc>
          <w:tcPr>
            <w:tcW w:w="1080" w:type="dxa"/>
            <w:tcBorders>
              <w:top w:val="single" w:sz="2" w:space="0" w:color="auto"/>
            </w:tcBorders>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0</w:t>
            </w:r>
          </w:p>
        </w:tc>
        <w:tc>
          <w:tcPr>
            <w:tcW w:w="1584" w:type="dxa"/>
            <w:tcBorders>
              <w:top w:val="single" w:sz="2" w:space="0" w:color="auto"/>
            </w:tcBorders>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0</w:t>
            </w:r>
          </w:p>
        </w:tc>
        <w:tc>
          <w:tcPr>
            <w:tcW w:w="1262" w:type="dxa"/>
            <w:tcBorders>
              <w:top w:val="single" w:sz="2" w:space="0" w:color="auto"/>
            </w:tcBorders>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0</w:t>
            </w:r>
          </w:p>
        </w:tc>
        <w:tc>
          <w:tcPr>
            <w:tcW w:w="1440" w:type="dxa"/>
            <w:tcBorders>
              <w:top w:val="single" w:sz="2" w:space="0" w:color="auto"/>
            </w:tcBorders>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0</w:t>
            </w:r>
          </w:p>
        </w:tc>
        <w:tc>
          <w:tcPr>
            <w:tcW w:w="1296" w:type="dxa"/>
            <w:tcBorders>
              <w:top w:val="single" w:sz="2" w:space="0" w:color="auto"/>
            </w:tcBorders>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0</w:t>
            </w:r>
          </w:p>
        </w:tc>
        <w:tc>
          <w:tcPr>
            <w:tcW w:w="1080" w:type="dxa"/>
            <w:tcBorders>
              <w:top w:val="single" w:sz="2" w:space="0" w:color="auto"/>
            </w:tcBorders>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Borders>
              <w:top w:val="single" w:sz="2" w:space="0" w:color="auto"/>
            </w:tcBorders>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0</w:t>
            </w:r>
          </w:p>
        </w:tc>
      </w:tr>
      <w:tr w:rsidR="00173DDB">
        <w:tblPrEx>
          <w:tblCellMar>
            <w:top w:w="0" w:type="dxa"/>
            <w:bottom w:w="0" w:type="dxa"/>
          </w:tblCellMar>
        </w:tblPrEx>
        <w:trPr>
          <w:cantSplit/>
        </w:trPr>
        <w:tc>
          <w:tcPr>
            <w:tcW w:w="2160" w:type="dxa"/>
            <w:vMerge/>
          </w:tcPr>
          <w:p w:rsidR="00173DDB" w:rsidRDefault="00173DDB">
            <w:pPr>
              <w:autoSpaceDE w:val="0"/>
              <w:autoSpaceDN w:val="0"/>
              <w:adjustRightInd w:val="0"/>
              <w:spacing w:before="20" w:after="20"/>
              <w:jc w:val="right"/>
              <w:rPr>
                <w:color w:val="000000"/>
                <w:sz w:val="21"/>
                <w:szCs w:val="16"/>
              </w:rPr>
            </w:pPr>
          </w:p>
        </w:tc>
        <w:tc>
          <w:tcPr>
            <w:tcW w:w="1577" w:type="dxa"/>
          </w:tcPr>
          <w:p w:rsidR="00173DDB" w:rsidRDefault="00173DDB">
            <w:pPr>
              <w:autoSpaceDE w:val="0"/>
              <w:autoSpaceDN w:val="0"/>
              <w:adjustRightInd w:val="0"/>
              <w:spacing w:before="20" w:after="20"/>
              <w:rPr>
                <w:color w:val="000000"/>
                <w:sz w:val="21"/>
                <w:szCs w:val="16"/>
              </w:rPr>
            </w:pPr>
            <w:r>
              <w:rPr>
                <w:color w:val="000000"/>
                <w:sz w:val="21"/>
                <w:szCs w:val="16"/>
              </w:rPr>
              <w:t>Comfort cooling</w:t>
            </w:r>
          </w:p>
        </w:tc>
        <w:tc>
          <w:tcPr>
            <w:tcW w:w="1080" w:type="dxa"/>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2,507</w:t>
            </w:r>
          </w:p>
        </w:tc>
        <w:tc>
          <w:tcPr>
            <w:tcW w:w="1584" w:type="dxa"/>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325</w:t>
            </w:r>
          </w:p>
        </w:tc>
        <w:tc>
          <w:tcPr>
            <w:tcW w:w="1262" w:type="dxa"/>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260</w:t>
            </w:r>
          </w:p>
        </w:tc>
        <w:tc>
          <w:tcPr>
            <w:tcW w:w="1440" w:type="dxa"/>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59</w:t>
            </w:r>
          </w:p>
        </w:tc>
        <w:tc>
          <w:tcPr>
            <w:tcW w:w="1296" w:type="dxa"/>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6</w:t>
            </w:r>
          </w:p>
        </w:tc>
        <w:tc>
          <w:tcPr>
            <w:tcW w:w="1080" w:type="dxa"/>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397</w:t>
            </w:r>
          </w:p>
        </w:tc>
      </w:tr>
      <w:tr w:rsidR="00173DDB">
        <w:tblPrEx>
          <w:tblCellMar>
            <w:top w:w="0" w:type="dxa"/>
            <w:bottom w:w="0" w:type="dxa"/>
          </w:tblCellMar>
        </w:tblPrEx>
        <w:tc>
          <w:tcPr>
            <w:tcW w:w="2160" w:type="dxa"/>
          </w:tcPr>
          <w:p w:rsidR="00173DDB" w:rsidRDefault="00173DDB">
            <w:pPr>
              <w:autoSpaceDE w:val="0"/>
              <w:autoSpaceDN w:val="0"/>
              <w:adjustRightInd w:val="0"/>
              <w:spacing w:before="20" w:after="20"/>
              <w:jc w:val="right"/>
              <w:rPr>
                <w:color w:val="000000"/>
                <w:sz w:val="21"/>
                <w:szCs w:val="16"/>
              </w:rPr>
            </w:pPr>
          </w:p>
        </w:tc>
        <w:tc>
          <w:tcPr>
            <w:tcW w:w="1577" w:type="dxa"/>
          </w:tcPr>
          <w:p w:rsidR="00173DDB" w:rsidRDefault="00173DDB">
            <w:pPr>
              <w:autoSpaceDE w:val="0"/>
              <w:autoSpaceDN w:val="0"/>
              <w:adjustRightInd w:val="0"/>
              <w:spacing w:before="20" w:after="20"/>
              <w:rPr>
                <w:color w:val="000000"/>
                <w:sz w:val="21"/>
                <w:szCs w:val="16"/>
              </w:rPr>
            </w:pPr>
            <w:r>
              <w:rPr>
                <w:color w:val="000000"/>
                <w:sz w:val="21"/>
                <w:szCs w:val="16"/>
              </w:rPr>
              <w:t>Industrial</w:t>
            </w:r>
          </w:p>
        </w:tc>
        <w:tc>
          <w:tcPr>
            <w:tcW w:w="1080" w:type="dxa"/>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0</w:t>
            </w:r>
          </w:p>
        </w:tc>
        <w:tc>
          <w:tcPr>
            <w:tcW w:w="1584" w:type="dxa"/>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0</w:t>
            </w:r>
          </w:p>
        </w:tc>
        <w:tc>
          <w:tcPr>
            <w:tcW w:w="1262" w:type="dxa"/>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0</w:t>
            </w:r>
          </w:p>
        </w:tc>
        <w:tc>
          <w:tcPr>
            <w:tcW w:w="1440" w:type="dxa"/>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0</w:t>
            </w:r>
          </w:p>
        </w:tc>
        <w:tc>
          <w:tcPr>
            <w:tcW w:w="1296" w:type="dxa"/>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0</w:t>
            </w:r>
          </w:p>
        </w:tc>
        <w:tc>
          <w:tcPr>
            <w:tcW w:w="1080" w:type="dxa"/>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0</w:t>
            </w:r>
          </w:p>
        </w:tc>
      </w:tr>
      <w:tr w:rsidR="00173DDB">
        <w:tblPrEx>
          <w:tblCellMar>
            <w:top w:w="0" w:type="dxa"/>
            <w:bottom w:w="0" w:type="dxa"/>
          </w:tblCellMar>
        </w:tblPrEx>
        <w:tc>
          <w:tcPr>
            <w:tcW w:w="2160" w:type="dxa"/>
            <w:tcBorders>
              <w:bottom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Totals</w:t>
            </w:r>
          </w:p>
        </w:tc>
        <w:tc>
          <w:tcPr>
            <w:tcW w:w="1577" w:type="dxa"/>
            <w:tcBorders>
              <w:bottom w:val="single" w:sz="2" w:space="0" w:color="auto"/>
            </w:tcBorders>
          </w:tcPr>
          <w:p w:rsidR="00173DDB" w:rsidRDefault="00173DDB">
            <w:pPr>
              <w:autoSpaceDE w:val="0"/>
              <w:autoSpaceDN w:val="0"/>
              <w:adjustRightInd w:val="0"/>
              <w:spacing w:before="20" w:after="20"/>
              <w:jc w:val="right"/>
              <w:rPr>
                <w:color w:val="000000"/>
                <w:sz w:val="21"/>
                <w:szCs w:val="16"/>
              </w:rPr>
            </w:pPr>
          </w:p>
        </w:tc>
        <w:tc>
          <w:tcPr>
            <w:tcW w:w="1080" w:type="dxa"/>
            <w:tcBorders>
              <w:bottom w:val="single" w:sz="2" w:space="0" w:color="auto"/>
            </w:tcBorders>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2,507</w:t>
            </w:r>
          </w:p>
        </w:tc>
        <w:tc>
          <w:tcPr>
            <w:tcW w:w="1584" w:type="dxa"/>
            <w:tcBorders>
              <w:bottom w:val="single" w:sz="2" w:space="0" w:color="auto"/>
            </w:tcBorders>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325</w:t>
            </w:r>
          </w:p>
        </w:tc>
        <w:tc>
          <w:tcPr>
            <w:tcW w:w="1262" w:type="dxa"/>
            <w:tcBorders>
              <w:bottom w:val="single" w:sz="2" w:space="0" w:color="auto"/>
            </w:tcBorders>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260</w:t>
            </w:r>
          </w:p>
        </w:tc>
        <w:tc>
          <w:tcPr>
            <w:tcW w:w="1440" w:type="dxa"/>
            <w:tcBorders>
              <w:bottom w:val="single" w:sz="2" w:space="0" w:color="auto"/>
            </w:tcBorders>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59</w:t>
            </w:r>
          </w:p>
        </w:tc>
        <w:tc>
          <w:tcPr>
            <w:tcW w:w="1296" w:type="dxa"/>
            <w:tcBorders>
              <w:bottom w:val="single" w:sz="2" w:space="0" w:color="auto"/>
            </w:tcBorders>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6</w:t>
            </w:r>
          </w:p>
        </w:tc>
        <w:tc>
          <w:tcPr>
            <w:tcW w:w="1080" w:type="dxa"/>
            <w:tcBorders>
              <w:bottom w:val="single" w:sz="2" w:space="0" w:color="auto"/>
            </w:tcBorders>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Borders>
              <w:bottom w:val="single" w:sz="2" w:space="0" w:color="auto"/>
            </w:tcBorders>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397</w:t>
            </w:r>
          </w:p>
        </w:tc>
      </w:tr>
      <w:tr w:rsidR="00173DDB">
        <w:tblPrEx>
          <w:tblCellMar>
            <w:top w:w="0" w:type="dxa"/>
            <w:bottom w:w="0" w:type="dxa"/>
          </w:tblCellMar>
        </w:tblPrEx>
        <w:trPr>
          <w:cantSplit/>
        </w:trPr>
        <w:tc>
          <w:tcPr>
            <w:tcW w:w="2160" w:type="dxa"/>
            <w:vMerge w:val="restart"/>
            <w:tcBorders>
              <w:top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Junior colleges, colleges, and universities</w:t>
            </w:r>
          </w:p>
        </w:tc>
        <w:tc>
          <w:tcPr>
            <w:tcW w:w="1577" w:type="dxa"/>
            <w:tcBorders>
              <w:top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Commercial</w:t>
            </w:r>
          </w:p>
        </w:tc>
        <w:tc>
          <w:tcPr>
            <w:tcW w:w="1080" w:type="dxa"/>
            <w:tcBorders>
              <w:top w:val="single" w:sz="2" w:space="0" w:color="auto"/>
            </w:tcBorders>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0</w:t>
            </w:r>
          </w:p>
        </w:tc>
        <w:tc>
          <w:tcPr>
            <w:tcW w:w="1584" w:type="dxa"/>
            <w:tcBorders>
              <w:top w:val="single" w:sz="2" w:space="0" w:color="auto"/>
            </w:tcBorders>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0</w:t>
            </w:r>
          </w:p>
        </w:tc>
        <w:tc>
          <w:tcPr>
            <w:tcW w:w="1262" w:type="dxa"/>
            <w:tcBorders>
              <w:top w:val="single" w:sz="2" w:space="0" w:color="auto"/>
            </w:tcBorders>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0</w:t>
            </w:r>
          </w:p>
        </w:tc>
        <w:tc>
          <w:tcPr>
            <w:tcW w:w="1440" w:type="dxa"/>
            <w:tcBorders>
              <w:top w:val="single" w:sz="2" w:space="0" w:color="auto"/>
            </w:tcBorders>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0</w:t>
            </w:r>
          </w:p>
        </w:tc>
        <w:tc>
          <w:tcPr>
            <w:tcW w:w="1296" w:type="dxa"/>
            <w:tcBorders>
              <w:top w:val="single" w:sz="2" w:space="0" w:color="auto"/>
            </w:tcBorders>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0</w:t>
            </w:r>
          </w:p>
        </w:tc>
        <w:tc>
          <w:tcPr>
            <w:tcW w:w="1080" w:type="dxa"/>
            <w:tcBorders>
              <w:top w:val="single" w:sz="2" w:space="0" w:color="auto"/>
            </w:tcBorders>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Borders>
              <w:top w:val="single" w:sz="2" w:space="0" w:color="auto"/>
            </w:tcBorders>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0</w:t>
            </w:r>
          </w:p>
        </w:tc>
      </w:tr>
      <w:tr w:rsidR="00173DDB">
        <w:tblPrEx>
          <w:tblCellMar>
            <w:top w:w="0" w:type="dxa"/>
            <w:bottom w:w="0" w:type="dxa"/>
          </w:tblCellMar>
        </w:tblPrEx>
        <w:trPr>
          <w:cantSplit/>
        </w:trPr>
        <w:tc>
          <w:tcPr>
            <w:tcW w:w="2160" w:type="dxa"/>
            <w:vMerge/>
          </w:tcPr>
          <w:p w:rsidR="00173DDB" w:rsidRDefault="00173DDB">
            <w:pPr>
              <w:autoSpaceDE w:val="0"/>
              <w:autoSpaceDN w:val="0"/>
              <w:adjustRightInd w:val="0"/>
              <w:spacing w:before="20" w:after="20"/>
              <w:jc w:val="right"/>
              <w:rPr>
                <w:color w:val="000000"/>
                <w:sz w:val="21"/>
                <w:szCs w:val="16"/>
              </w:rPr>
            </w:pPr>
          </w:p>
        </w:tc>
        <w:tc>
          <w:tcPr>
            <w:tcW w:w="1577" w:type="dxa"/>
          </w:tcPr>
          <w:p w:rsidR="00173DDB" w:rsidRDefault="00173DDB">
            <w:pPr>
              <w:autoSpaceDE w:val="0"/>
              <w:autoSpaceDN w:val="0"/>
              <w:adjustRightInd w:val="0"/>
              <w:spacing w:before="20" w:after="20"/>
              <w:rPr>
                <w:color w:val="000000"/>
                <w:sz w:val="21"/>
                <w:szCs w:val="16"/>
              </w:rPr>
            </w:pPr>
            <w:r>
              <w:rPr>
                <w:color w:val="000000"/>
                <w:sz w:val="21"/>
                <w:szCs w:val="16"/>
              </w:rPr>
              <w:t>Comfort cooling</w:t>
            </w:r>
          </w:p>
        </w:tc>
        <w:tc>
          <w:tcPr>
            <w:tcW w:w="1080" w:type="dxa"/>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517</w:t>
            </w:r>
          </w:p>
        </w:tc>
        <w:tc>
          <w:tcPr>
            <w:tcW w:w="1584" w:type="dxa"/>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67</w:t>
            </w:r>
          </w:p>
        </w:tc>
        <w:tc>
          <w:tcPr>
            <w:tcW w:w="1262" w:type="dxa"/>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54</w:t>
            </w:r>
          </w:p>
        </w:tc>
        <w:tc>
          <w:tcPr>
            <w:tcW w:w="1440" w:type="dxa"/>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12</w:t>
            </w:r>
          </w:p>
        </w:tc>
        <w:tc>
          <w:tcPr>
            <w:tcW w:w="1296" w:type="dxa"/>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1</w:t>
            </w:r>
          </w:p>
        </w:tc>
        <w:tc>
          <w:tcPr>
            <w:tcW w:w="1080" w:type="dxa"/>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82</w:t>
            </w:r>
          </w:p>
        </w:tc>
      </w:tr>
      <w:tr w:rsidR="00173DDB">
        <w:tblPrEx>
          <w:tblCellMar>
            <w:top w:w="0" w:type="dxa"/>
            <w:bottom w:w="0" w:type="dxa"/>
          </w:tblCellMar>
        </w:tblPrEx>
        <w:trPr>
          <w:cantSplit/>
        </w:trPr>
        <w:tc>
          <w:tcPr>
            <w:tcW w:w="2160" w:type="dxa"/>
            <w:vMerge/>
          </w:tcPr>
          <w:p w:rsidR="00173DDB" w:rsidRDefault="00173DDB">
            <w:pPr>
              <w:autoSpaceDE w:val="0"/>
              <w:autoSpaceDN w:val="0"/>
              <w:adjustRightInd w:val="0"/>
              <w:spacing w:before="20" w:after="20"/>
              <w:jc w:val="right"/>
              <w:rPr>
                <w:color w:val="000000"/>
                <w:sz w:val="21"/>
                <w:szCs w:val="16"/>
              </w:rPr>
            </w:pPr>
          </w:p>
        </w:tc>
        <w:tc>
          <w:tcPr>
            <w:tcW w:w="1577" w:type="dxa"/>
          </w:tcPr>
          <w:p w:rsidR="00173DDB" w:rsidRDefault="00173DDB">
            <w:pPr>
              <w:autoSpaceDE w:val="0"/>
              <w:autoSpaceDN w:val="0"/>
              <w:adjustRightInd w:val="0"/>
              <w:spacing w:before="20" w:after="20"/>
              <w:rPr>
                <w:color w:val="000000"/>
                <w:sz w:val="21"/>
                <w:szCs w:val="16"/>
              </w:rPr>
            </w:pPr>
            <w:r>
              <w:rPr>
                <w:color w:val="000000"/>
                <w:sz w:val="21"/>
                <w:szCs w:val="16"/>
              </w:rPr>
              <w:t>Industrial</w:t>
            </w:r>
          </w:p>
        </w:tc>
        <w:tc>
          <w:tcPr>
            <w:tcW w:w="1080" w:type="dxa"/>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0</w:t>
            </w:r>
          </w:p>
        </w:tc>
        <w:tc>
          <w:tcPr>
            <w:tcW w:w="1584" w:type="dxa"/>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0</w:t>
            </w:r>
          </w:p>
        </w:tc>
        <w:tc>
          <w:tcPr>
            <w:tcW w:w="1262" w:type="dxa"/>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0</w:t>
            </w:r>
          </w:p>
        </w:tc>
        <w:tc>
          <w:tcPr>
            <w:tcW w:w="1440" w:type="dxa"/>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0</w:t>
            </w:r>
          </w:p>
        </w:tc>
        <w:tc>
          <w:tcPr>
            <w:tcW w:w="1296" w:type="dxa"/>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0</w:t>
            </w:r>
          </w:p>
        </w:tc>
        <w:tc>
          <w:tcPr>
            <w:tcW w:w="1080" w:type="dxa"/>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0</w:t>
            </w:r>
          </w:p>
        </w:tc>
      </w:tr>
      <w:tr w:rsidR="00173DDB">
        <w:tblPrEx>
          <w:tblCellMar>
            <w:top w:w="0" w:type="dxa"/>
            <w:bottom w:w="0" w:type="dxa"/>
          </w:tblCellMar>
        </w:tblPrEx>
        <w:tc>
          <w:tcPr>
            <w:tcW w:w="2160" w:type="dxa"/>
            <w:tcBorders>
              <w:bottom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Totals</w:t>
            </w:r>
          </w:p>
        </w:tc>
        <w:tc>
          <w:tcPr>
            <w:tcW w:w="1577" w:type="dxa"/>
            <w:tcBorders>
              <w:bottom w:val="single" w:sz="2" w:space="0" w:color="auto"/>
            </w:tcBorders>
          </w:tcPr>
          <w:p w:rsidR="00173DDB" w:rsidRDefault="00173DDB">
            <w:pPr>
              <w:autoSpaceDE w:val="0"/>
              <w:autoSpaceDN w:val="0"/>
              <w:adjustRightInd w:val="0"/>
              <w:spacing w:before="20" w:after="20"/>
              <w:jc w:val="right"/>
              <w:rPr>
                <w:color w:val="000000"/>
                <w:sz w:val="21"/>
                <w:szCs w:val="16"/>
              </w:rPr>
            </w:pPr>
          </w:p>
        </w:tc>
        <w:tc>
          <w:tcPr>
            <w:tcW w:w="1080" w:type="dxa"/>
            <w:tcBorders>
              <w:bottom w:val="single" w:sz="2" w:space="0" w:color="auto"/>
            </w:tcBorders>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517</w:t>
            </w:r>
          </w:p>
        </w:tc>
        <w:tc>
          <w:tcPr>
            <w:tcW w:w="1584" w:type="dxa"/>
            <w:tcBorders>
              <w:bottom w:val="single" w:sz="2" w:space="0" w:color="auto"/>
            </w:tcBorders>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67</w:t>
            </w:r>
          </w:p>
        </w:tc>
        <w:tc>
          <w:tcPr>
            <w:tcW w:w="1262" w:type="dxa"/>
            <w:tcBorders>
              <w:bottom w:val="single" w:sz="2" w:space="0" w:color="auto"/>
            </w:tcBorders>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54</w:t>
            </w:r>
          </w:p>
        </w:tc>
        <w:tc>
          <w:tcPr>
            <w:tcW w:w="1440" w:type="dxa"/>
            <w:tcBorders>
              <w:bottom w:val="single" w:sz="2" w:space="0" w:color="auto"/>
            </w:tcBorders>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12</w:t>
            </w:r>
          </w:p>
        </w:tc>
        <w:tc>
          <w:tcPr>
            <w:tcW w:w="1296" w:type="dxa"/>
            <w:tcBorders>
              <w:bottom w:val="single" w:sz="2" w:space="0" w:color="auto"/>
            </w:tcBorders>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1</w:t>
            </w:r>
          </w:p>
        </w:tc>
        <w:tc>
          <w:tcPr>
            <w:tcW w:w="1080" w:type="dxa"/>
            <w:tcBorders>
              <w:bottom w:val="single" w:sz="2" w:space="0" w:color="auto"/>
            </w:tcBorders>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Borders>
              <w:bottom w:val="single" w:sz="2" w:space="0" w:color="auto"/>
            </w:tcBorders>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82</w:t>
            </w:r>
          </w:p>
        </w:tc>
      </w:tr>
      <w:tr w:rsidR="00173DDB">
        <w:tblPrEx>
          <w:tblCellMar>
            <w:top w:w="0" w:type="dxa"/>
            <w:bottom w:w="0" w:type="dxa"/>
          </w:tblCellMar>
        </w:tblPrEx>
        <w:tc>
          <w:tcPr>
            <w:tcW w:w="2160" w:type="dxa"/>
            <w:tcBorders>
              <w:top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Hospitals</w:t>
            </w:r>
          </w:p>
        </w:tc>
        <w:tc>
          <w:tcPr>
            <w:tcW w:w="1577" w:type="dxa"/>
            <w:tcBorders>
              <w:top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Commercial</w:t>
            </w:r>
          </w:p>
        </w:tc>
        <w:tc>
          <w:tcPr>
            <w:tcW w:w="1080" w:type="dxa"/>
            <w:tcBorders>
              <w:top w:val="single" w:sz="2" w:space="0" w:color="auto"/>
            </w:tcBorders>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0</w:t>
            </w:r>
          </w:p>
        </w:tc>
        <w:tc>
          <w:tcPr>
            <w:tcW w:w="1584" w:type="dxa"/>
            <w:tcBorders>
              <w:top w:val="single" w:sz="2" w:space="0" w:color="auto"/>
            </w:tcBorders>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0</w:t>
            </w:r>
          </w:p>
        </w:tc>
        <w:tc>
          <w:tcPr>
            <w:tcW w:w="1262" w:type="dxa"/>
            <w:tcBorders>
              <w:top w:val="single" w:sz="2" w:space="0" w:color="auto"/>
            </w:tcBorders>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0</w:t>
            </w:r>
          </w:p>
        </w:tc>
        <w:tc>
          <w:tcPr>
            <w:tcW w:w="1440" w:type="dxa"/>
            <w:tcBorders>
              <w:top w:val="single" w:sz="2" w:space="0" w:color="auto"/>
            </w:tcBorders>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0</w:t>
            </w:r>
          </w:p>
        </w:tc>
        <w:tc>
          <w:tcPr>
            <w:tcW w:w="1296" w:type="dxa"/>
            <w:tcBorders>
              <w:top w:val="single" w:sz="2" w:space="0" w:color="auto"/>
            </w:tcBorders>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0</w:t>
            </w:r>
          </w:p>
        </w:tc>
        <w:tc>
          <w:tcPr>
            <w:tcW w:w="1080" w:type="dxa"/>
            <w:tcBorders>
              <w:top w:val="single" w:sz="2" w:space="0" w:color="auto"/>
            </w:tcBorders>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Borders>
              <w:top w:val="single" w:sz="2" w:space="0" w:color="auto"/>
            </w:tcBorders>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0</w:t>
            </w:r>
          </w:p>
        </w:tc>
      </w:tr>
      <w:tr w:rsidR="00173DDB">
        <w:tblPrEx>
          <w:tblCellMar>
            <w:top w:w="0" w:type="dxa"/>
            <w:bottom w:w="0" w:type="dxa"/>
          </w:tblCellMar>
        </w:tblPrEx>
        <w:tc>
          <w:tcPr>
            <w:tcW w:w="2160" w:type="dxa"/>
          </w:tcPr>
          <w:p w:rsidR="00173DDB" w:rsidRDefault="00173DDB">
            <w:pPr>
              <w:autoSpaceDE w:val="0"/>
              <w:autoSpaceDN w:val="0"/>
              <w:adjustRightInd w:val="0"/>
              <w:spacing w:before="20" w:after="20"/>
              <w:jc w:val="right"/>
              <w:rPr>
                <w:color w:val="000000"/>
                <w:sz w:val="21"/>
                <w:szCs w:val="16"/>
              </w:rPr>
            </w:pPr>
          </w:p>
        </w:tc>
        <w:tc>
          <w:tcPr>
            <w:tcW w:w="1577" w:type="dxa"/>
          </w:tcPr>
          <w:p w:rsidR="00173DDB" w:rsidRDefault="00173DDB">
            <w:pPr>
              <w:autoSpaceDE w:val="0"/>
              <w:autoSpaceDN w:val="0"/>
              <w:adjustRightInd w:val="0"/>
              <w:spacing w:before="20" w:after="20"/>
              <w:rPr>
                <w:color w:val="000000"/>
                <w:sz w:val="21"/>
                <w:szCs w:val="16"/>
              </w:rPr>
            </w:pPr>
            <w:r>
              <w:rPr>
                <w:color w:val="000000"/>
                <w:sz w:val="21"/>
                <w:szCs w:val="16"/>
              </w:rPr>
              <w:t>Comfort cooling</w:t>
            </w:r>
          </w:p>
        </w:tc>
        <w:tc>
          <w:tcPr>
            <w:tcW w:w="1080" w:type="dxa"/>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1,817</w:t>
            </w:r>
          </w:p>
        </w:tc>
        <w:tc>
          <w:tcPr>
            <w:tcW w:w="1584" w:type="dxa"/>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236</w:t>
            </w:r>
          </w:p>
        </w:tc>
        <w:tc>
          <w:tcPr>
            <w:tcW w:w="1262" w:type="dxa"/>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189</w:t>
            </w:r>
          </w:p>
        </w:tc>
        <w:tc>
          <w:tcPr>
            <w:tcW w:w="1440" w:type="dxa"/>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42</w:t>
            </w:r>
          </w:p>
        </w:tc>
        <w:tc>
          <w:tcPr>
            <w:tcW w:w="1296" w:type="dxa"/>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4</w:t>
            </w:r>
          </w:p>
        </w:tc>
        <w:tc>
          <w:tcPr>
            <w:tcW w:w="1080" w:type="dxa"/>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288</w:t>
            </w:r>
          </w:p>
        </w:tc>
      </w:tr>
      <w:tr w:rsidR="00173DDB">
        <w:tblPrEx>
          <w:tblCellMar>
            <w:top w:w="0" w:type="dxa"/>
            <w:bottom w:w="0" w:type="dxa"/>
          </w:tblCellMar>
        </w:tblPrEx>
        <w:tc>
          <w:tcPr>
            <w:tcW w:w="2160" w:type="dxa"/>
          </w:tcPr>
          <w:p w:rsidR="00173DDB" w:rsidRDefault="00173DDB">
            <w:pPr>
              <w:autoSpaceDE w:val="0"/>
              <w:autoSpaceDN w:val="0"/>
              <w:adjustRightInd w:val="0"/>
              <w:spacing w:before="20" w:after="20"/>
              <w:jc w:val="right"/>
              <w:rPr>
                <w:color w:val="000000"/>
                <w:sz w:val="21"/>
                <w:szCs w:val="16"/>
              </w:rPr>
            </w:pPr>
          </w:p>
        </w:tc>
        <w:tc>
          <w:tcPr>
            <w:tcW w:w="1577" w:type="dxa"/>
          </w:tcPr>
          <w:p w:rsidR="00173DDB" w:rsidRDefault="00173DDB">
            <w:pPr>
              <w:autoSpaceDE w:val="0"/>
              <w:autoSpaceDN w:val="0"/>
              <w:adjustRightInd w:val="0"/>
              <w:spacing w:before="20" w:after="20"/>
              <w:rPr>
                <w:color w:val="000000"/>
                <w:sz w:val="21"/>
                <w:szCs w:val="16"/>
              </w:rPr>
            </w:pPr>
            <w:r>
              <w:rPr>
                <w:color w:val="000000"/>
                <w:sz w:val="21"/>
                <w:szCs w:val="16"/>
              </w:rPr>
              <w:t>Industrial</w:t>
            </w:r>
          </w:p>
        </w:tc>
        <w:tc>
          <w:tcPr>
            <w:tcW w:w="1080" w:type="dxa"/>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0</w:t>
            </w:r>
          </w:p>
        </w:tc>
        <w:tc>
          <w:tcPr>
            <w:tcW w:w="1584" w:type="dxa"/>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0</w:t>
            </w:r>
          </w:p>
        </w:tc>
        <w:tc>
          <w:tcPr>
            <w:tcW w:w="1262" w:type="dxa"/>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0</w:t>
            </w:r>
          </w:p>
        </w:tc>
        <w:tc>
          <w:tcPr>
            <w:tcW w:w="1440" w:type="dxa"/>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0</w:t>
            </w:r>
          </w:p>
        </w:tc>
        <w:tc>
          <w:tcPr>
            <w:tcW w:w="1296" w:type="dxa"/>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0</w:t>
            </w:r>
          </w:p>
        </w:tc>
        <w:tc>
          <w:tcPr>
            <w:tcW w:w="1080" w:type="dxa"/>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0</w:t>
            </w:r>
          </w:p>
        </w:tc>
      </w:tr>
      <w:tr w:rsidR="00173DDB">
        <w:tblPrEx>
          <w:tblCellMar>
            <w:top w:w="0" w:type="dxa"/>
            <w:bottom w:w="0" w:type="dxa"/>
          </w:tblCellMar>
        </w:tblPrEx>
        <w:tc>
          <w:tcPr>
            <w:tcW w:w="2160" w:type="dxa"/>
            <w:tcBorders>
              <w:bottom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Totals</w:t>
            </w:r>
          </w:p>
        </w:tc>
        <w:tc>
          <w:tcPr>
            <w:tcW w:w="1577" w:type="dxa"/>
            <w:tcBorders>
              <w:bottom w:val="single" w:sz="2" w:space="0" w:color="auto"/>
            </w:tcBorders>
          </w:tcPr>
          <w:p w:rsidR="00173DDB" w:rsidRDefault="00173DDB">
            <w:pPr>
              <w:autoSpaceDE w:val="0"/>
              <w:autoSpaceDN w:val="0"/>
              <w:adjustRightInd w:val="0"/>
              <w:spacing w:before="20" w:after="20"/>
              <w:jc w:val="right"/>
              <w:rPr>
                <w:color w:val="000000"/>
                <w:sz w:val="21"/>
                <w:szCs w:val="16"/>
              </w:rPr>
            </w:pPr>
          </w:p>
        </w:tc>
        <w:tc>
          <w:tcPr>
            <w:tcW w:w="1080" w:type="dxa"/>
            <w:tcBorders>
              <w:bottom w:val="single" w:sz="2" w:space="0" w:color="auto"/>
            </w:tcBorders>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1,817</w:t>
            </w:r>
          </w:p>
        </w:tc>
        <w:tc>
          <w:tcPr>
            <w:tcW w:w="1584" w:type="dxa"/>
            <w:tcBorders>
              <w:bottom w:val="single" w:sz="2" w:space="0" w:color="auto"/>
            </w:tcBorders>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236</w:t>
            </w:r>
          </w:p>
        </w:tc>
        <w:tc>
          <w:tcPr>
            <w:tcW w:w="1262" w:type="dxa"/>
            <w:tcBorders>
              <w:bottom w:val="single" w:sz="2" w:space="0" w:color="auto"/>
            </w:tcBorders>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189</w:t>
            </w:r>
          </w:p>
        </w:tc>
        <w:tc>
          <w:tcPr>
            <w:tcW w:w="1440" w:type="dxa"/>
            <w:tcBorders>
              <w:bottom w:val="single" w:sz="2" w:space="0" w:color="auto"/>
            </w:tcBorders>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42</w:t>
            </w:r>
          </w:p>
        </w:tc>
        <w:tc>
          <w:tcPr>
            <w:tcW w:w="1296" w:type="dxa"/>
            <w:tcBorders>
              <w:bottom w:val="single" w:sz="2" w:space="0" w:color="auto"/>
            </w:tcBorders>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4</w:t>
            </w:r>
          </w:p>
        </w:tc>
        <w:tc>
          <w:tcPr>
            <w:tcW w:w="1080" w:type="dxa"/>
            <w:tcBorders>
              <w:bottom w:val="single" w:sz="2" w:space="0" w:color="auto"/>
            </w:tcBorders>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Borders>
              <w:bottom w:val="single" w:sz="2" w:space="0" w:color="auto"/>
            </w:tcBorders>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288</w:t>
            </w:r>
          </w:p>
        </w:tc>
      </w:tr>
      <w:tr w:rsidR="00173DDB">
        <w:tblPrEx>
          <w:tblCellMar>
            <w:top w:w="0" w:type="dxa"/>
            <w:bottom w:w="0" w:type="dxa"/>
          </w:tblCellMar>
        </w:tblPrEx>
        <w:trPr>
          <w:cantSplit/>
        </w:trPr>
        <w:tc>
          <w:tcPr>
            <w:tcW w:w="2160" w:type="dxa"/>
            <w:vMerge w:val="restart"/>
            <w:tcBorders>
              <w:top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Others not included above</w:t>
            </w:r>
          </w:p>
        </w:tc>
        <w:tc>
          <w:tcPr>
            <w:tcW w:w="1577" w:type="dxa"/>
            <w:tcBorders>
              <w:top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Commercial</w:t>
            </w:r>
          </w:p>
        </w:tc>
        <w:tc>
          <w:tcPr>
            <w:tcW w:w="1080" w:type="dxa"/>
            <w:tcBorders>
              <w:top w:val="single" w:sz="2" w:space="0" w:color="auto"/>
            </w:tcBorders>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0</w:t>
            </w:r>
          </w:p>
        </w:tc>
        <w:tc>
          <w:tcPr>
            <w:tcW w:w="1584" w:type="dxa"/>
            <w:tcBorders>
              <w:top w:val="single" w:sz="2" w:space="0" w:color="auto"/>
            </w:tcBorders>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0</w:t>
            </w:r>
          </w:p>
        </w:tc>
        <w:tc>
          <w:tcPr>
            <w:tcW w:w="1262" w:type="dxa"/>
            <w:tcBorders>
              <w:top w:val="single" w:sz="2" w:space="0" w:color="auto"/>
            </w:tcBorders>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0</w:t>
            </w:r>
          </w:p>
        </w:tc>
        <w:tc>
          <w:tcPr>
            <w:tcW w:w="1440" w:type="dxa"/>
            <w:tcBorders>
              <w:top w:val="single" w:sz="2" w:space="0" w:color="auto"/>
            </w:tcBorders>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0</w:t>
            </w:r>
          </w:p>
        </w:tc>
        <w:tc>
          <w:tcPr>
            <w:tcW w:w="1296" w:type="dxa"/>
            <w:tcBorders>
              <w:top w:val="single" w:sz="2" w:space="0" w:color="auto"/>
            </w:tcBorders>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0</w:t>
            </w:r>
          </w:p>
        </w:tc>
        <w:tc>
          <w:tcPr>
            <w:tcW w:w="1080" w:type="dxa"/>
            <w:tcBorders>
              <w:top w:val="single" w:sz="2" w:space="0" w:color="auto"/>
            </w:tcBorders>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Borders>
              <w:top w:val="single" w:sz="2" w:space="0" w:color="auto"/>
            </w:tcBorders>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0</w:t>
            </w:r>
          </w:p>
        </w:tc>
      </w:tr>
      <w:tr w:rsidR="00173DDB">
        <w:tblPrEx>
          <w:tblCellMar>
            <w:top w:w="0" w:type="dxa"/>
            <w:bottom w:w="0" w:type="dxa"/>
          </w:tblCellMar>
        </w:tblPrEx>
        <w:trPr>
          <w:cantSplit/>
        </w:trPr>
        <w:tc>
          <w:tcPr>
            <w:tcW w:w="2160" w:type="dxa"/>
            <w:vMerge/>
          </w:tcPr>
          <w:p w:rsidR="00173DDB" w:rsidRDefault="00173DDB">
            <w:pPr>
              <w:autoSpaceDE w:val="0"/>
              <w:autoSpaceDN w:val="0"/>
              <w:adjustRightInd w:val="0"/>
              <w:spacing w:before="20" w:after="20"/>
              <w:jc w:val="right"/>
              <w:rPr>
                <w:color w:val="000000"/>
                <w:sz w:val="21"/>
                <w:szCs w:val="16"/>
              </w:rPr>
            </w:pPr>
          </w:p>
        </w:tc>
        <w:tc>
          <w:tcPr>
            <w:tcW w:w="1577" w:type="dxa"/>
          </w:tcPr>
          <w:p w:rsidR="00173DDB" w:rsidRDefault="00173DDB">
            <w:pPr>
              <w:autoSpaceDE w:val="0"/>
              <w:autoSpaceDN w:val="0"/>
              <w:adjustRightInd w:val="0"/>
              <w:spacing w:before="20" w:after="20"/>
              <w:rPr>
                <w:color w:val="000000"/>
                <w:sz w:val="21"/>
                <w:szCs w:val="16"/>
              </w:rPr>
            </w:pPr>
            <w:r>
              <w:rPr>
                <w:color w:val="000000"/>
                <w:sz w:val="21"/>
                <w:szCs w:val="16"/>
              </w:rPr>
              <w:t>Comfort cooling</w:t>
            </w:r>
          </w:p>
        </w:tc>
        <w:tc>
          <w:tcPr>
            <w:tcW w:w="1080" w:type="dxa"/>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72,600</w:t>
            </w:r>
          </w:p>
        </w:tc>
        <w:tc>
          <w:tcPr>
            <w:tcW w:w="1584" w:type="dxa"/>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9,423</w:t>
            </w:r>
          </w:p>
        </w:tc>
        <w:tc>
          <w:tcPr>
            <w:tcW w:w="1262" w:type="dxa"/>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7,539</w:t>
            </w:r>
          </w:p>
        </w:tc>
        <w:tc>
          <w:tcPr>
            <w:tcW w:w="1440" w:type="dxa"/>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1,696</w:t>
            </w:r>
          </w:p>
        </w:tc>
        <w:tc>
          <w:tcPr>
            <w:tcW w:w="1296" w:type="dxa"/>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179</w:t>
            </w:r>
          </w:p>
        </w:tc>
        <w:tc>
          <w:tcPr>
            <w:tcW w:w="1080" w:type="dxa"/>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9</w:t>
            </w:r>
          </w:p>
        </w:tc>
        <w:tc>
          <w:tcPr>
            <w:tcW w:w="1496" w:type="dxa"/>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11,497</w:t>
            </w:r>
          </w:p>
        </w:tc>
      </w:tr>
      <w:tr w:rsidR="00173DDB">
        <w:tblPrEx>
          <w:tblCellMar>
            <w:top w:w="0" w:type="dxa"/>
            <w:bottom w:w="0" w:type="dxa"/>
          </w:tblCellMar>
        </w:tblPrEx>
        <w:tc>
          <w:tcPr>
            <w:tcW w:w="2160" w:type="dxa"/>
          </w:tcPr>
          <w:p w:rsidR="00173DDB" w:rsidRDefault="00173DDB">
            <w:pPr>
              <w:autoSpaceDE w:val="0"/>
              <w:autoSpaceDN w:val="0"/>
              <w:adjustRightInd w:val="0"/>
              <w:spacing w:before="20" w:after="20"/>
              <w:jc w:val="right"/>
              <w:rPr>
                <w:color w:val="000000"/>
                <w:sz w:val="21"/>
                <w:szCs w:val="16"/>
              </w:rPr>
            </w:pPr>
          </w:p>
        </w:tc>
        <w:tc>
          <w:tcPr>
            <w:tcW w:w="1577" w:type="dxa"/>
          </w:tcPr>
          <w:p w:rsidR="00173DDB" w:rsidRDefault="00173DDB">
            <w:pPr>
              <w:autoSpaceDE w:val="0"/>
              <w:autoSpaceDN w:val="0"/>
              <w:adjustRightInd w:val="0"/>
              <w:spacing w:before="20" w:after="20"/>
              <w:rPr>
                <w:color w:val="000000"/>
                <w:sz w:val="21"/>
                <w:szCs w:val="16"/>
              </w:rPr>
            </w:pPr>
            <w:r>
              <w:rPr>
                <w:color w:val="000000"/>
                <w:sz w:val="21"/>
                <w:szCs w:val="16"/>
              </w:rPr>
              <w:t>Industrial</w:t>
            </w:r>
          </w:p>
        </w:tc>
        <w:tc>
          <w:tcPr>
            <w:tcW w:w="1080" w:type="dxa"/>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0</w:t>
            </w:r>
          </w:p>
        </w:tc>
        <w:tc>
          <w:tcPr>
            <w:tcW w:w="1584" w:type="dxa"/>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0</w:t>
            </w:r>
          </w:p>
        </w:tc>
        <w:tc>
          <w:tcPr>
            <w:tcW w:w="1262" w:type="dxa"/>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0</w:t>
            </w:r>
          </w:p>
        </w:tc>
        <w:tc>
          <w:tcPr>
            <w:tcW w:w="1440" w:type="dxa"/>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0</w:t>
            </w:r>
          </w:p>
        </w:tc>
        <w:tc>
          <w:tcPr>
            <w:tcW w:w="1296" w:type="dxa"/>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0</w:t>
            </w:r>
          </w:p>
        </w:tc>
        <w:tc>
          <w:tcPr>
            <w:tcW w:w="1080" w:type="dxa"/>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0</w:t>
            </w:r>
          </w:p>
        </w:tc>
        <w:tc>
          <w:tcPr>
            <w:tcW w:w="1496" w:type="dxa"/>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0</w:t>
            </w:r>
          </w:p>
        </w:tc>
      </w:tr>
      <w:tr w:rsidR="00173DDB">
        <w:tblPrEx>
          <w:tblCellMar>
            <w:top w:w="0" w:type="dxa"/>
            <w:bottom w:w="0" w:type="dxa"/>
          </w:tblCellMar>
        </w:tblPrEx>
        <w:tc>
          <w:tcPr>
            <w:tcW w:w="2160" w:type="dxa"/>
            <w:tcBorders>
              <w:bottom w:val="single" w:sz="2" w:space="0" w:color="auto"/>
            </w:tcBorders>
          </w:tcPr>
          <w:p w:rsidR="00173DDB" w:rsidRDefault="00173DDB">
            <w:pPr>
              <w:autoSpaceDE w:val="0"/>
              <w:autoSpaceDN w:val="0"/>
              <w:adjustRightInd w:val="0"/>
              <w:spacing w:before="20" w:after="20"/>
              <w:rPr>
                <w:color w:val="000000"/>
                <w:sz w:val="21"/>
                <w:szCs w:val="16"/>
              </w:rPr>
            </w:pPr>
            <w:r>
              <w:rPr>
                <w:color w:val="000000"/>
                <w:sz w:val="21"/>
                <w:szCs w:val="16"/>
              </w:rPr>
              <w:t>Totals</w:t>
            </w:r>
          </w:p>
        </w:tc>
        <w:tc>
          <w:tcPr>
            <w:tcW w:w="1577" w:type="dxa"/>
            <w:tcBorders>
              <w:bottom w:val="single" w:sz="2" w:space="0" w:color="auto"/>
            </w:tcBorders>
          </w:tcPr>
          <w:p w:rsidR="00173DDB" w:rsidRDefault="00173DDB">
            <w:pPr>
              <w:autoSpaceDE w:val="0"/>
              <w:autoSpaceDN w:val="0"/>
              <w:adjustRightInd w:val="0"/>
              <w:spacing w:before="20" w:after="20"/>
              <w:jc w:val="right"/>
              <w:rPr>
                <w:color w:val="000000"/>
                <w:sz w:val="21"/>
                <w:szCs w:val="16"/>
              </w:rPr>
            </w:pPr>
          </w:p>
        </w:tc>
        <w:tc>
          <w:tcPr>
            <w:tcW w:w="1080" w:type="dxa"/>
            <w:tcBorders>
              <w:bottom w:val="single" w:sz="2" w:space="0" w:color="auto"/>
            </w:tcBorders>
          </w:tcPr>
          <w:p w:rsidR="00173DDB" w:rsidRDefault="00173DDB">
            <w:pPr>
              <w:tabs>
                <w:tab w:val="decimal" w:pos="823"/>
              </w:tabs>
              <w:autoSpaceDE w:val="0"/>
              <w:autoSpaceDN w:val="0"/>
              <w:adjustRightInd w:val="0"/>
              <w:spacing w:before="20" w:after="20"/>
              <w:rPr>
                <w:color w:val="000000"/>
                <w:sz w:val="21"/>
                <w:szCs w:val="16"/>
              </w:rPr>
            </w:pPr>
            <w:r>
              <w:rPr>
                <w:color w:val="000000"/>
                <w:sz w:val="21"/>
                <w:szCs w:val="16"/>
              </w:rPr>
              <w:t>72,600</w:t>
            </w:r>
          </w:p>
        </w:tc>
        <w:tc>
          <w:tcPr>
            <w:tcW w:w="1584" w:type="dxa"/>
            <w:tcBorders>
              <w:bottom w:val="single" w:sz="2" w:space="0" w:color="auto"/>
            </w:tcBorders>
          </w:tcPr>
          <w:p w:rsidR="00173DDB" w:rsidRDefault="00173DDB">
            <w:pPr>
              <w:tabs>
                <w:tab w:val="decimal" w:pos="1063"/>
              </w:tabs>
              <w:autoSpaceDE w:val="0"/>
              <w:autoSpaceDN w:val="0"/>
              <w:adjustRightInd w:val="0"/>
              <w:spacing w:before="20" w:after="20"/>
              <w:rPr>
                <w:color w:val="000000"/>
                <w:sz w:val="21"/>
                <w:szCs w:val="16"/>
              </w:rPr>
            </w:pPr>
            <w:r>
              <w:rPr>
                <w:color w:val="000000"/>
                <w:sz w:val="21"/>
                <w:szCs w:val="16"/>
              </w:rPr>
              <w:t>9,423</w:t>
            </w:r>
          </w:p>
        </w:tc>
        <w:tc>
          <w:tcPr>
            <w:tcW w:w="1262" w:type="dxa"/>
            <w:tcBorders>
              <w:bottom w:val="single" w:sz="2" w:space="0" w:color="auto"/>
            </w:tcBorders>
          </w:tcPr>
          <w:p w:rsidR="00173DDB" w:rsidRDefault="00173DDB">
            <w:pPr>
              <w:tabs>
                <w:tab w:val="decimal" w:pos="919"/>
              </w:tabs>
              <w:autoSpaceDE w:val="0"/>
              <w:autoSpaceDN w:val="0"/>
              <w:adjustRightInd w:val="0"/>
              <w:spacing w:before="20" w:after="20"/>
              <w:rPr>
                <w:color w:val="000000"/>
                <w:sz w:val="21"/>
                <w:szCs w:val="16"/>
              </w:rPr>
            </w:pPr>
            <w:r>
              <w:rPr>
                <w:color w:val="000000"/>
                <w:sz w:val="21"/>
                <w:szCs w:val="16"/>
              </w:rPr>
              <w:t>7,539</w:t>
            </w:r>
          </w:p>
        </w:tc>
        <w:tc>
          <w:tcPr>
            <w:tcW w:w="1440" w:type="dxa"/>
            <w:tcBorders>
              <w:bottom w:val="single" w:sz="2" w:space="0" w:color="auto"/>
            </w:tcBorders>
          </w:tcPr>
          <w:p w:rsidR="00173DDB" w:rsidRDefault="00173DDB">
            <w:pPr>
              <w:tabs>
                <w:tab w:val="decimal" w:pos="977"/>
              </w:tabs>
              <w:autoSpaceDE w:val="0"/>
              <w:autoSpaceDN w:val="0"/>
              <w:adjustRightInd w:val="0"/>
              <w:spacing w:before="20" w:after="20"/>
              <w:rPr>
                <w:color w:val="000000"/>
                <w:sz w:val="21"/>
                <w:szCs w:val="16"/>
              </w:rPr>
            </w:pPr>
            <w:r>
              <w:rPr>
                <w:color w:val="000000"/>
                <w:sz w:val="21"/>
                <w:szCs w:val="16"/>
              </w:rPr>
              <w:t>1,696</w:t>
            </w:r>
          </w:p>
        </w:tc>
        <w:tc>
          <w:tcPr>
            <w:tcW w:w="1296" w:type="dxa"/>
            <w:tcBorders>
              <w:bottom w:val="single" w:sz="2" w:space="0" w:color="auto"/>
            </w:tcBorders>
          </w:tcPr>
          <w:p w:rsidR="00173DDB" w:rsidRDefault="00173DDB">
            <w:pPr>
              <w:tabs>
                <w:tab w:val="decimal" w:pos="857"/>
              </w:tabs>
              <w:autoSpaceDE w:val="0"/>
              <w:autoSpaceDN w:val="0"/>
              <w:adjustRightInd w:val="0"/>
              <w:spacing w:before="20" w:after="20"/>
              <w:rPr>
                <w:color w:val="000000"/>
                <w:sz w:val="21"/>
                <w:szCs w:val="16"/>
              </w:rPr>
            </w:pPr>
            <w:r>
              <w:rPr>
                <w:color w:val="000000"/>
                <w:sz w:val="21"/>
                <w:szCs w:val="16"/>
              </w:rPr>
              <w:t>179</w:t>
            </w:r>
          </w:p>
        </w:tc>
        <w:tc>
          <w:tcPr>
            <w:tcW w:w="1080" w:type="dxa"/>
            <w:tcBorders>
              <w:bottom w:val="single" w:sz="2" w:space="0" w:color="auto"/>
            </w:tcBorders>
          </w:tcPr>
          <w:p w:rsidR="00173DDB" w:rsidRDefault="00173DDB">
            <w:pPr>
              <w:tabs>
                <w:tab w:val="decimal" w:pos="540"/>
              </w:tabs>
              <w:autoSpaceDE w:val="0"/>
              <w:autoSpaceDN w:val="0"/>
              <w:adjustRightInd w:val="0"/>
              <w:spacing w:before="20" w:after="20"/>
              <w:rPr>
                <w:color w:val="000000"/>
                <w:sz w:val="21"/>
                <w:szCs w:val="16"/>
              </w:rPr>
            </w:pPr>
            <w:r>
              <w:rPr>
                <w:color w:val="000000"/>
                <w:sz w:val="21"/>
                <w:szCs w:val="16"/>
              </w:rPr>
              <w:t>9</w:t>
            </w:r>
          </w:p>
        </w:tc>
        <w:tc>
          <w:tcPr>
            <w:tcW w:w="1496" w:type="dxa"/>
            <w:tcBorders>
              <w:bottom w:val="single" w:sz="2" w:space="0" w:color="auto"/>
            </w:tcBorders>
          </w:tcPr>
          <w:p w:rsidR="00173DDB" w:rsidRDefault="00173DDB">
            <w:pPr>
              <w:tabs>
                <w:tab w:val="decimal" w:pos="1001"/>
              </w:tabs>
              <w:autoSpaceDE w:val="0"/>
              <w:autoSpaceDN w:val="0"/>
              <w:adjustRightInd w:val="0"/>
              <w:spacing w:before="20" w:after="20"/>
              <w:rPr>
                <w:color w:val="000000"/>
                <w:sz w:val="21"/>
                <w:szCs w:val="16"/>
              </w:rPr>
            </w:pPr>
            <w:r>
              <w:rPr>
                <w:color w:val="000000"/>
                <w:sz w:val="21"/>
                <w:szCs w:val="16"/>
              </w:rPr>
              <w:t>11,497</w:t>
            </w:r>
          </w:p>
        </w:tc>
      </w:tr>
      <w:tr w:rsidR="00173DDB">
        <w:tblPrEx>
          <w:tblCellMar>
            <w:top w:w="0" w:type="dxa"/>
            <w:bottom w:w="0" w:type="dxa"/>
          </w:tblCellMar>
        </w:tblPrEx>
        <w:tc>
          <w:tcPr>
            <w:tcW w:w="2160" w:type="dxa"/>
            <w:tcBorders>
              <w:top w:val="single" w:sz="2" w:space="0" w:color="auto"/>
              <w:bottom w:val="single" w:sz="6" w:space="0" w:color="auto"/>
            </w:tcBorders>
          </w:tcPr>
          <w:p w:rsidR="00173DDB" w:rsidRDefault="00173DDB">
            <w:pPr>
              <w:autoSpaceDE w:val="0"/>
              <w:autoSpaceDN w:val="0"/>
              <w:adjustRightInd w:val="0"/>
              <w:spacing w:before="20" w:after="20"/>
              <w:rPr>
                <w:b/>
                <w:bCs/>
                <w:color w:val="000000"/>
                <w:sz w:val="21"/>
                <w:szCs w:val="16"/>
              </w:rPr>
            </w:pPr>
            <w:r>
              <w:rPr>
                <w:b/>
                <w:bCs/>
                <w:color w:val="000000"/>
                <w:sz w:val="21"/>
                <w:szCs w:val="16"/>
              </w:rPr>
              <w:t>Grand total</w:t>
            </w:r>
          </w:p>
        </w:tc>
        <w:tc>
          <w:tcPr>
            <w:tcW w:w="1577" w:type="dxa"/>
            <w:tcBorders>
              <w:top w:val="single" w:sz="2" w:space="0" w:color="auto"/>
              <w:bottom w:val="single" w:sz="6" w:space="0" w:color="auto"/>
            </w:tcBorders>
          </w:tcPr>
          <w:p w:rsidR="00173DDB" w:rsidRDefault="00173DDB">
            <w:pPr>
              <w:autoSpaceDE w:val="0"/>
              <w:autoSpaceDN w:val="0"/>
              <w:adjustRightInd w:val="0"/>
              <w:spacing w:before="20" w:after="20"/>
              <w:jc w:val="right"/>
              <w:rPr>
                <w:b/>
                <w:bCs/>
                <w:color w:val="000000"/>
                <w:sz w:val="21"/>
                <w:szCs w:val="16"/>
              </w:rPr>
            </w:pPr>
          </w:p>
        </w:tc>
        <w:tc>
          <w:tcPr>
            <w:tcW w:w="1080" w:type="dxa"/>
            <w:tcBorders>
              <w:top w:val="single" w:sz="2" w:space="0" w:color="auto"/>
              <w:bottom w:val="single" w:sz="6" w:space="0" w:color="auto"/>
            </w:tcBorders>
          </w:tcPr>
          <w:p w:rsidR="00173DDB" w:rsidRDefault="00173DDB">
            <w:pPr>
              <w:tabs>
                <w:tab w:val="decimal" w:pos="823"/>
              </w:tabs>
              <w:autoSpaceDE w:val="0"/>
              <w:autoSpaceDN w:val="0"/>
              <w:adjustRightInd w:val="0"/>
              <w:spacing w:before="20" w:after="20"/>
              <w:rPr>
                <w:b/>
                <w:bCs/>
                <w:color w:val="000000"/>
                <w:sz w:val="21"/>
                <w:szCs w:val="16"/>
              </w:rPr>
            </w:pPr>
            <w:r>
              <w:rPr>
                <w:b/>
                <w:bCs/>
                <w:color w:val="000000"/>
                <w:sz w:val="21"/>
                <w:szCs w:val="16"/>
              </w:rPr>
              <w:t>726,314</w:t>
            </w:r>
          </w:p>
        </w:tc>
        <w:tc>
          <w:tcPr>
            <w:tcW w:w="1584" w:type="dxa"/>
            <w:tcBorders>
              <w:top w:val="single" w:sz="2" w:space="0" w:color="auto"/>
              <w:bottom w:val="single" w:sz="6" w:space="0" w:color="auto"/>
            </w:tcBorders>
          </w:tcPr>
          <w:p w:rsidR="00173DDB" w:rsidRDefault="00173DDB">
            <w:pPr>
              <w:tabs>
                <w:tab w:val="decimal" w:pos="1063"/>
              </w:tabs>
              <w:autoSpaceDE w:val="0"/>
              <w:autoSpaceDN w:val="0"/>
              <w:adjustRightInd w:val="0"/>
              <w:spacing w:before="20" w:after="20"/>
              <w:rPr>
                <w:b/>
                <w:bCs/>
                <w:color w:val="000000"/>
                <w:sz w:val="21"/>
                <w:szCs w:val="16"/>
              </w:rPr>
            </w:pPr>
            <w:r>
              <w:rPr>
                <w:b/>
                <w:bCs/>
                <w:color w:val="000000"/>
                <w:sz w:val="21"/>
                <w:szCs w:val="16"/>
              </w:rPr>
              <w:t>133,777</w:t>
            </w:r>
          </w:p>
        </w:tc>
        <w:tc>
          <w:tcPr>
            <w:tcW w:w="1262" w:type="dxa"/>
            <w:tcBorders>
              <w:top w:val="single" w:sz="2" w:space="0" w:color="auto"/>
              <w:bottom w:val="single" w:sz="6" w:space="0" w:color="auto"/>
            </w:tcBorders>
          </w:tcPr>
          <w:p w:rsidR="00173DDB" w:rsidRDefault="00173DDB">
            <w:pPr>
              <w:tabs>
                <w:tab w:val="decimal" w:pos="919"/>
              </w:tabs>
              <w:autoSpaceDE w:val="0"/>
              <w:autoSpaceDN w:val="0"/>
              <w:adjustRightInd w:val="0"/>
              <w:spacing w:before="20" w:after="20"/>
              <w:rPr>
                <w:b/>
                <w:bCs/>
                <w:color w:val="000000"/>
                <w:sz w:val="21"/>
                <w:szCs w:val="16"/>
              </w:rPr>
            </w:pPr>
            <w:r>
              <w:rPr>
                <w:b/>
                <w:bCs/>
                <w:color w:val="000000"/>
                <w:sz w:val="21"/>
                <w:szCs w:val="16"/>
              </w:rPr>
              <w:t>107,022</w:t>
            </w:r>
          </w:p>
        </w:tc>
        <w:tc>
          <w:tcPr>
            <w:tcW w:w="1440" w:type="dxa"/>
            <w:tcBorders>
              <w:top w:val="single" w:sz="2" w:space="0" w:color="auto"/>
              <w:bottom w:val="single" w:sz="6" w:space="0" w:color="auto"/>
            </w:tcBorders>
          </w:tcPr>
          <w:p w:rsidR="00173DDB" w:rsidRDefault="00173DDB">
            <w:pPr>
              <w:tabs>
                <w:tab w:val="decimal" w:pos="977"/>
              </w:tabs>
              <w:autoSpaceDE w:val="0"/>
              <w:autoSpaceDN w:val="0"/>
              <w:adjustRightInd w:val="0"/>
              <w:spacing w:before="20" w:after="20"/>
              <w:rPr>
                <w:b/>
                <w:bCs/>
                <w:color w:val="000000"/>
                <w:sz w:val="21"/>
                <w:szCs w:val="16"/>
              </w:rPr>
            </w:pPr>
            <w:r>
              <w:rPr>
                <w:b/>
                <w:bCs/>
                <w:color w:val="000000"/>
                <w:sz w:val="21"/>
                <w:szCs w:val="16"/>
              </w:rPr>
              <w:t>24,080</w:t>
            </w:r>
          </w:p>
        </w:tc>
        <w:tc>
          <w:tcPr>
            <w:tcW w:w="1296" w:type="dxa"/>
            <w:tcBorders>
              <w:top w:val="single" w:sz="2" w:space="0" w:color="auto"/>
              <w:bottom w:val="single" w:sz="6" w:space="0" w:color="auto"/>
            </w:tcBorders>
          </w:tcPr>
          <w:p w:rsidR="00173DDB" w:rsidRDefault="00173DDB">
            <w:pPr>
              <w:tabs>
                <w:tab w:val="decimal" w:pos="857"/>
              </w:tabs>
              <w:autoSpaceDE w:val="0"/>
              <w:autoSpaceDN w:val="0"/>
              <w:adjustRightInd w:val="0"/>
              <w:spacing w:before="20" w:after="20"/>
              <w:rPr>
                <w:b/>
                <w:bCs/>
                <w:color w:val="000000"/>
                <w:sz w:val="21"/>
                <w:szCs w:val="16"/>
              </w:rPr>
            </w:pPr>
            <w:r>
              <w:rPr>
                <w:b/>
                <w:bCs/>
                <w:color w:val="000000"/>
                <w:sz w:val="21"/>
                <w:szCs w:val="16"/>
              </w:rPr>
              <w:t>2,542</w:t>
            </w:r>
          </w:p>
        </w:tc>
        <w:tc>
          <w:tcPr>
            <w:tcW w:w="1080" w:type="dxa"/>
            <w:tcBorders>
              <w:top w:val="single" w:sz="2" w:space="0" w:color="auto"/>
              <w:bottom w:val="single" w:sz="6" w:space="0" w:color="auto"/>
            </w:tcBorders>
          </w:tcPr>
          <w:p w:rsidR="00173DDB" w:rsidRDefault="00173DDB">
            <w:pPr>
              <w:tabs>
                <w:tab w:val="decimal" w:pos="540"/>
              </w:tabs>
              <w:autoSpaceDE w:val="0"/>
              <w:autoSpaceDN w:val="0"/>
              <w:adjustRightInd w:val="0"/>
              <w:spacing w:before="20" w:after="20"/>
              <w:rPr>
                <w:b/>
                <w:bCs/>
                <w:color w:val="000000"/>
                <w:sz w:val="21"/>
                <w:szCs w:val="16"/>
              </w:rPr>
            </w:pPr>
            <w:r>
              <w:rPr>
                <w:b/>
                <w:bCs/>
                <w:color w:val="000000"/>
                <w:sz w:val="21"/>
                <w:szCs w:val="16"/>
              </w:rPr>
              <w:t>134</w:t>
            </w:r>
          </w:p>
        </w:tc>
        <w:tc>
          <w:tcPr>
            <w:tcW w:w="1496" w:type="dxa"/>
            <w:tcBorders>
              <w:top w:val="single" w:sz="2" w:space="0" w:color="auto"/>
              <w:bottom w:val="single" w:sz="6" w:space="0" w:color="auto"/>
            </w:tcBorders>
          </w:tcPr>
          <w:p w:rsidR="00173DDB" w:rsidRDefault="00173DDB">
            <w:pPr>
              <w:tabs>
                <w:tab w:val="decimal" w:pos="1001"/>
              </w:tabs>
              <w:autoSpaceDE w:val="0"/>
              <w:autoSpaceDN w:val="0"/>
              <w:adjustRightInd w:val="0"/>
              <w:spacing w:before="20" w:after="20"/>
              <w:rPr>
                <w:b/>
                <w:bCs/>
                <w:color w:val="000000"/>
                <w:sz w:val="21"/>
                <w:szCs w:val="16"/>
              </w:rPr>
            </w:pPr>
            <w:r>
              <w:rPr>
                <w:b/>
                <w:bCs/>
                <w:color w:val="000000"/>
                <w:sz w:val="21"/>
                <w:szCs w:val="16"/>
              </w:rPr>
              <w:t>163,208</w:t>
            </w:r>
          </w:p>
        </w:tc>
      </w:tr>
    </w:tbl>
    <w:p w:rsidR="00173DDB" w:rsidRDefault="00173DDB">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1440"/>
        </w:tabs>
        <w:spacing w:after="240"/>
        <w:ind w:left="720" w:hanging="720"/>
        <w:rPr>
          <w:rFonts w:ascii="Times New Roman" w:hAnsi="Times New Roman"/>
        </w:rPr>
        <w:sectPr w:rsidR="00173DDB">
          <w:headerReference w:type="default" r:id="rId8"/>
          <w:footerReference w:type="default" r:id="rId9"/>
          <w:pgSz w:w="15840" w:h="12240" w:orient="landscape" w:code="1"/>
          <w:pgMar w:top="1440" w:right="1440" w:bottom="1440" w:left="1440" w:header="1080" w:footer="1080" w:gutter="0"/>
          <w:cols w:space="720"/>
          <w:docGrid w:linePitch="326"/>
        </w:sectPr>
      </w:pPr>
    </w:p>
    <w:p w:rsidR="00173DDB" w:rsidRDefault="00173DDB">
      <w:pPr>
        <w:pStyle w:val="Level1"/>
        <w:widowControl/>
        <w:numPr>
          <w:ilvl w:val="0"/>
          <w:numId w:val="6"/>
        </w:numPr>
        <w:pBdr>
          <w:top w:val="single" w:sz="6" w:space="0" w:color="FFFFFF"/>
          <w:left w:val="single" w:sz="6" w:space="0" w:color="FFFFFF"/>
          <w:bottom w:val="single" w:sz="6" w:space="0" w:color="FFFFFF"/>
          <w:right w:val="single" w:sz="6" w:space="0" w:color="FFFFFF"/>
        </w:pBdr>
        <w:tabs>
          <w:tab w:val="left" w:pos="-1440"/>
        </w:tabs>
        <w:spacing w:after="240"/>
        <w:rPr>
          <w:rFonts w:ascii="Times New Roman" w:hAnsi="Times New Roman"/>
        </w:rPr>
      </w:pPr>
      <w:r>
        <w:rPr>
          <w:rFonts w:ascii="Times New Roman" w:hAnsi="Times New Roman"/>
          <w:b/>
          <w:bCs/>
        </w:rPr>
        <w:lastRenderedPageBreak/>
        <w:t>Transferring refrigerant recovered from appliances to a different owner:</w:t>
      </w:r>
      <w:r>
        <w:rPr>
          <w:rFonts w:ascii="Times New Roman" w:hAnsi="Times New Roman"/>
        </w:rPr>
        <w:t xml:space="preserve"> EPA assumes that refrigerant transfer typically happens at the time of retrofits and replacements. Hence the total number of annual events is 134. Based on the previous ICR, </w:t>
      </w:r>
      <w:r>
        <w:t>EPA estimates that it typically takes 2 minutes to file and maintain the paperwork.</w:t>
      </w:r>
    </w:p>
    <w:p w:rsidR="00173DDB" w:rsidRDefault="00173DDB">
      <w:pPr>
        <w:pStyle w:val="Level1"/>
        <w:widowControl/>
        <w:numPr>
          <w:ilvl w:val="0"/>
          <w:numId w:val="6"/>
        </w:numPr>
        <w:pBdr>
          <w:top w:val="single" w:sz="6" w:space="0" w:color="FFFFFF"/>
          <w:left w:val="single" w:sz="6" w:space="0" w:color="FFFFFF"/>
          <w:bottom w:val="single" w:sz="6" w:space="0" w:color="FFFFFF"/>
          <w:right w:val="single" w:sz="6" w:space="0" w:color="FFFFFF"/>
        </w:pBdr>
        <w:tabs>
          <w:tab w:val="left" w:pos="-1440"/>
        </w:tabs>
        <w:spacing w:after="240"/>
        <w:rPr>
          <w:rFonts w:ascii="Times New Roman" w:hAnsi="Times New Roman"/>
        </w:rPr>
      </w:pPr>
      <w:r>
        <w:rPr>
          <w:rFonts w:ascii="Times New Roman" w:hAnsi="Times New Roman"/>
          <w:b/>
          <w:bCs/>
        </w:rPr>
        <w:t>Being unable to complete repairs in 30 days due to radiological conditions or unavailability of components:</w:t>
      </w:r>
      <w:bookmarkStart w:id="1" w:name="OLE_LINK1"/>
      <w:r>
        <w:rPr>
          <w:rFonts w:ascii="Times New Roman" w:hAnsi="Times New Roman"/>
        </w:rPr>
        <w:t xml:space="preserve"> Based on past experience, EPA estimates that there will be 3 instances in 10 years where radiological conditions prevent immediate repair of an appliance and 10 instances per year where unavailability of components prevent immediate repair of an appliance. EPA also estimates that it would take 4 minutes per event to develop a statement describing the situation and filing and maintaining the paperwork.</w:t>
      </w:r>
      <w:bookmarkEnd w:id="1"/>
    </w:p>
    <w:p w:rsidR="00173DDB" w:rsidRDefault="00173DDB">
      <w:pPr>
        <w:pStyle w:val="Level1"/>
        <w:widowControl/>
        <w:numPr>
          <w:ilvl w:val="0"/>
          <w:numId w:val="6"/>
        </w:numPr>
        <w:pBdr>
          <w:top w:val="single" w:sz="6" w:space="0" w:color="FFFFFF"/>
          <w:left w:val="single" w:sz="6" w:space="0" w:color="FFFFFF"/>
          <w:bottom w:val="single" w:sz="6" w:space="0" w:color="FFFFFF"/>
          <w:right w:val="single" w:sz="6" w:space="0" w:color="FFFFFF"/>
        </w:pBdr>
        <w:tabs>
          <w:tab w:val="left" w:pos="-1440"/>
        </w:tabs>
        <w:spacing w:after="240"/>
        <w:rPr>
          <w:rFonts w:ascii="Times New Roman" w:hAnsi="Times New Roman"/>
        </w:rPr>
      </w:pPr>
      <w:r>
        <w:rPr>
          <w:rFonts w:ascii="Times New Roman" w:hAnsi="Times New Roman"/>
          <w:b/>
          <w:bCs/>
        </w:rPr>
        <w:t>Being unable to complete retrofit plans within 6 months due to the unavailability of one or more of the appliance’s components that have a quoted delivery time of more than 12 weeks:</w:t>
      </w:r>
      <w:r>
        <w:rPr>
          <w:rFonts w:ascii="Times New Roman" w:hAnsi="Times New Roman"/>
        </w:rPr>
        <w:t xml:space="preserve"> EPA estimates that about 3% of planned retrofits will face a delay in planned completion due to unavailability of components. EPA also estimates that it would take 4 minutes per event to develop a statement describing the situation and filing and maintaining the paperwork.</w:t>
      </w:r>
    </w:p>
    <w:p w:rsidR="00173DDB" w:rsidRDefault="00173DDB">
      <w:pPr>
        <w:pStyle w:val="Level1"/>
        <w:widowControl/>
        <w:numPr>
          <w:ilvl w:val="0"/>
          <w:numId w:val="6"/>
        </w:numPr>
        <w:pBdr>
          <w:top w:val="single" w:sz="6" w:space="0" w:color="FFFFFF"/>
          <w:left w:val="single" w:sz="6" w:space="0" w:color="FFFFFF"/>
          <w:bottom w:val="single" w:sz="6" w:space="0" w:color="FFFFFF"/>
          <w:right w:val="single" w:sz="6" w:space="0" w:color="FFFFFF"/>
        </w:pBdr>
        <w:tabs>
          <w:tab w:val="left" w:pos="-1440"/>
        </w:tabs>
        <w:spacing w:after="240"/>
        <w:rPr>
          <w:rFonts w:ascii="Times New Roman" w:hAnsi="Times New Roman"/>
        </w:rPr>
      </w:pPr>
      <w:r>
        <w:rPr>
          <w:rFonts w:ascii="Times New Roman" w:hAnsi="Times New Roman"/>
          <w:b/>
          <w:bCs/>
        </w:rPr>
        <w:t>Determining full charge:</w:t>
      </w:r>
      <w:r>
        <w:rPr>
          <w:rFonts w:ascii="Times New Roman" w:hAnsi="Times New Roman"/>
        </w:rPr>
        <w:t xml:space="preserve"> EPA assumes that information about the full charge capacity of all affected appliances would be provided by the equipment vendor and filed along with the paperwork associated with the equipment. In the case of retrofits, new information on the full charge needs to be filed and maintained. The number of retrofits is 134, as shown in Table 2. This is an overestimate because some equipment might be replaced. Based on the previous ICR, </w:t>
      </w:r>
      <w:r>
        <w:t>EPA estimates that it typically takes 2 minutes to file and maintain the paperwork.</w:t>
      </w:r>
    </w:p>
    <w:p w:rsidR="00173DDB" w:rsidRDefault="00173DDB">
      <w:pPr>
        <w:pStyle w:val="Level1"/>
        <w:widowControl/>
        <w:numPr>
          <w:ilvl w:val="0"/>
          <w:numId w:val="6"/>
        </w:numPr>
        <w:pBdr>
          <w:top w:val="single" w:sz="6" w:space="0" w:color="FFFFFF"/>
          <w:left w:val="single" w:sz="6" w:space="0" w:color="FFFFFF"/>
          <w:bottom w:val="single" w:sz="6" w:space="0" w:color="FFFFFF"/>
          <w:right w:val="single" w:sz="6" w:space="0" w:color="FFFFFF"/>
        </w:pBdr>
        <w:tabs>
          <w:tab w:val="left" w:pos="-1440"/>
        </w:tabs>
        <w:spacing w:after="240"/>
      </w:pPr>
      <w:r>
        <w:rPr>
          <w:b/>
          <w:bCs/>
        </w:rPr>
        <w:t xml:space="preserve">Seeking an exemption from the requirement to calculate the leak rate upon each addition of refrigerant, as specified in §82.152, due to a seasonal variance: </w:t>
      </w:r>
      <w:r>
        <w:t>Input was sought from industry experts on the frequency of adding (in winter) or removing (in summer) refrigerant due to seasonal variance. Industry input indicated that it was a rare event and affected only commercial refrigeration equipment. EPA assumed that a maximum of 2% of all commercial equipment considered in this study would face this situation. As a result, 5,558 pieces of equipment are affected (this is likely an overestimate). EPA assumes that it would take 2 minutes to file and maintain the paper work on addition of refrigerant in the winter and 2 minutes to do the same on removing in summer, resulting in 4 minutes per event.</w:t>
      </w:r>
    </w:p>
    <w:p w:rsidR="00173DDB" w:rsidRDefault="00173DDB">
      <w:pPr>
        <w:pStyle w:val="Level1"/>
        <w:widowControl/>
        <w:numPr>
          <w:ilvl w:val="0"/>
          <w:numId w:val="6"/>
        </w:numPr>
        <w:pBdr>
          <w:top w:val="single" w:sz="6" w:space="0" w:color="FFFFFF"/>
          <w:left w:val="single" w:sz="6" w:space="0" w:color="FFFFFF"/>
          <w:bottom w:val="single" w:sz="6" w:space="0" w:color="FFFFFF"/>
          <w:right w:val="single" w:sz="6" w:space="0" w:color="FFFFFF"/>
        </w:pBdr>
        <w:tabs>
          <w:tab w:val="left" w:pos="-1440"/>
        </w:tabs>
        <w:spacing w:after="240"/>
      </w:pPr>
      <w:r>
        <w:rPr>
          <w:b/>
          <w:bCs/>
        </w:rPr>
        <w:t>Recovering but not returning refrigerant to an appliance:</w:t>
      </w:r>
      <w:r>
        <w:t xml:space="preserve"> EPA assumes that about 10% of first repairs might have recovered refrigerant not returned to the appliance, which results in 10,702 events annually. </w:t>
      </w:r>
      <w:r>
        <w:rPr>
          <w:rFonts w:ascii="Times New Roman" w:hAnsi="Times New Roman"/>
        </w:rPr>
        <w:t xml:space="preserve">Based on the previous ICR, </w:t>
      </w:r>
      <w:r>
        <w:t>EPA estimates that it typically takes service technicians 2 minutes to file and maintain the paperwork.</w:t>
      </w:r>
    </w:p>
    <w:p w:rsidR="00173DDB" w:rsidRDefault="00173DDB">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1440"/>
        </w:tabs>
        <w:spacing w:after="240"/>
      </w:pPr>
      <w:r>
        <w:t>Table 3 shows the number of events, the associated burden per event, and the total burden associated with this rule. The total burden is 6,182 hours.</w:t>
      </w:r>
    </w:p>
    <w:tbl>
      <w:tblPr>
        <w:tblW w:w="9511" w:type="dxa"/>
        <w:jc w:val="center"/>
        <w:tblInd w:w="453" w:type="dxa"/>
        <w:tblLayout w:type="fixed"/>
        <w:tblCellMar>
          <w:left w:w="0" w:type="dxa"/>
          <w:right w:w="0" w:type="dxa"/>
        </w:tblCellMar>
        <w:tblLook w:val="0000"/>
      </w:tblPr>
      <w:tblGrid>
        <w:gridCol w:w="4756"/>
        <w:gridCol w:w="1680"/>
        <w:gridCol w:w="1724"/>
        <w:gridCol w:w="1351"/>
      </w:tblGrid>
      <w:tr w:rsidR="00173DDB">
        <w:tblPrEx>
          <w:tblCellMar>
            <w:top w:w="0" w:type="dxa"/>
            <w:bottom w:w="0" w:type="dxa"/>
          </w:tblCellMar>
        </w:tblPrEx>
        <w:trPr>
          <w:cantSplit/>
          <w:jc w:val="center"/>
        </w:trPr>
        <w:tc>
          <w:tcPr>
            <w:tcW w:w="9511" w:type="dxa"/>
            <w:gridSpan w:val="4"/>
            <w:tcBorders>
              <w:bottom w:val="single" w:sz="6" w:space="0" w:color="auto"/>
            </w:tcBorders>
            <w:tcMar>
              <w:left w:w="43" w:type="dxa"/>
              <w:right w:w="43" w:type="dxa"/>
            </w:tcMar>
          </w:tcPr>
          <w:p w:rsidR="00173DDB" w:rsidRDefault="00173DDB">
            <w:pPr>
              <w:pStyle w:val="TableTitle"/>
              <w:spacing w:before="40" w:after="40"/>
            </w:pPr>
            <w:r>
              <w:lastRenderedPageBreak/>
              <w:t>Table 3. Number of events, the associated burden per event, and the total burden.</w:t>
            </w:r>
          </w:p>
        </w:tc>
      </w:tr>
      <w:tr w:rsidR="00173DDB">
        <w:tblPrEx>
          <w:tblCellMar>
            <w:top w:w="0" w:type="dxa"/>
            <w:bottom w:w="0" w:type="dxa"/>
          </w:tblCellMar>
        </w:tblPrEx>
        <w:trPr>
          <w:cantSplit/>
          <w:jc w:val="center"/>
        </w:trPr>
        <w:tc>
          <w:tcPr>
            <w:tcW w:w="4756" w:type="dxa"/>
            <w:tcBorders>
              <w:top w:val="single" w:sz="6" w:space="0" w:color="auto"/>
              <w:bottom w:val="single" w:sz="6" w:space="0" w:color="auto"/>
            </w:tcBorders>
            <w:tcMar>
              <w:left w:w="43" w:type="dxa"/>
              <w:right w:w="43" w:type="dxa"/>
            </w:tcMar>
            <w:vAlign w:val="bottom"/>
          </w:tcPr>
          <w:p w:rsidR="00173DDB" w:rsidRDefault="00173DDB">
            <w:pPr>
              <w:spacing w:before="40" w:after="40"/>
              <w:rPr>
                <w:b/>
                <w:sz w:val="21"/>
              </w:rPr>
            </w:pPr>
            <w:r>
              <w:rPr>
                <w:b/>
                <w:sz w:val="21"/>
              </w:rPr>
              <w:t>Type of event</w:t>
            </w:r>
          </w:p>
        </w:tc>
        <w:tc>
          <w:tcPr>
            <w:tcW w:w="1680" w:type="dxa"/>
            <w:tcBorders>
              <w:top w:val="single" w:sz="6" w:space="0" w:color="auto"/>
              <w:bottom w:val="single" w:sz="6" w:space="0" w:color="auto"/>
            </w:tcBorders>
            <w:tcMar>
              <w:left w:w="43" w:type="dxa"/>
              <w:right w:w="43" w:type="dxa"/>
            </w:tcMar>
          </w:tcPr>
          <w:p w:rsidR="00173DDB" w:rsidRDefault="00173DDB">
            <w:pPr>
              <w:spacing w:before="40" w:after="40"/>
              <w:jc w:val="center"/>
              <w:rPr>
                <w:b/>
                <w:sz w:val="21"/>
              </w:rPr>
            </w:pPr>
            <w:r>
              <w:rPr>
                <w:b/>
                <w:sz w:val="21"/>
              </w:rPr>
              <w:t>No. of filing and maintenance activities</w:t>
            </w:r>
          </w:p>
        </w:tc>
        <w:tc>
          <w:tcPr>
            <w:tcW w:w="1724" w:type="dxa"/>
            <w:tcBorders>
              <w:top w:val="single" w:sz="6" w:space="0" w:color="auto"/>
              <w:bottom w:val="single" w:sz="6" w:space="0" w:color="auto"/>
            </w:tcBorders>
            <w:tcMar>
              <w:left w:w="43" w:type="dxa"/>
              <w:right w:w="43" w:type="dxa"/>
            </w:tcMar>
          </w:tcPr>
          <w:p w:rsidR="00173DDB" w:rsidRDefault="00173DDB">
            <w:pPr>
              <w:spacing w:before="40" w:after="40"/>
              <w:jc w:val="center"/>
              <w:rPr>
                <w:b/>
                <w:sz w:val="21"/>
              </w:rPr>
            </w:pPr>
            <w:r>
              <w:rPr>
                <w:b/>
                <w:sz w:val="21"/>
              </w:rPr>
              <w:t>Burden per filing and maintenance activity (hours)</w:t>
            </w:r>
          </w:p>
        </w:tc>
        <w:tc>
          <w:tcPr>
            <w:tcW w:w="1351" w:type="dxa"/>
            <w:tcBorders>
              <w:top w:val="single" w:sz="6" w:space="0" w:color="auto"/>
              <w:bottom w:val="single" w:sz="6" w:space="0" w:color="auto"/>
            </w:tcBorders>
            <w:tcMar>
              <w:left w:w="43" w:type="dxa"/>
              <w:right w:w="43" w:type="dxa"/>
            </w:tcMar>
          </w:tcPr>
          <w:p w:rsidR="00173DDB" w:rsidRDefault="00173DDB">
            <w:pPr>
              <w:spacing w:before="40" w:after="40"/>
              <w:jc w:val="center"/>
              <w:rPr>
                <w:b/>
                <w:sz w:val="21"/>
              </w:rPr>
            </w:pPr>
            <w:r>
              <w:rPr>
                <w:b/>
                <w:sz w:val="21"/>
              </w:rPr>
              <w:t>Total burden per event (hours)</w:t>
            </w:r>
          </w:p>
        </w:tc>
      </w:tr>
      <w:tr w:rsidR="00173DDB">
        <w:tblPrEx>
          <w:tblCellMar>
            <w:top w:w="0" w:type="dxa"/>
            <w:bottom w:w="0" w:type="dxa"/>
          </w:tblCellMar>
        </w:tblPrEx>
        <w:trPr>
          <w:cantSplit/>
          <w:jc w:val="center"/>
        </w:trPr>
        <w:tc>
          <w:tcPr>
            <w:tcW w:w="4756" w:type="dxa"/>
            <w:tcBorders>
              <w:top w:val="single" w:sz="6" w:space="0" w:color="auto"/>
              <w:bottom w:val="single" w:sz="2" w:space="0" w:color="auto"/>
            </w:tcBorders>
            <w:tcMar>
              <w:left w:w="43" w:type="dxa"/>
              <w:right w:w="43" w:type="dxa"/>
            </w:tcMar>
          </w:tcPr>
          <w:p w:rsidR="00173DDB" w:rsidRDefault="00173DDB">
            <w:pPr>
              <w:spacing w:before="40" w:after="40"/>
              <w:rPr>
                <w:sz w:val="21"/>
              </w:rPr>
            </w:pPr>
            <w:r>
              <w:rPr>
                <w:sz w:val="21"/>
              </w:rPr>
              <w:t>Repairing appliances</w:t>
            </w:r>
          </w:p>
        </w:tc>
        <w:tc>
          <w:tcPr>
            <w:tcW w:w="1680" w:type="dxa"/>
            <w:tcBorders>
              <w:top w:val="single" w:sz="6" w:space="0" w:color="auto"/>
              <w:bottom w:val="single" w:sz="2" w:space="0" w:color="auto"/>
            </w:tcBorders>
            <w:tcMar>
              <w:left w:w="43" w:type="dxa"/>
              <w:right w:w="43" w:type="dxa"/>
            </w:tcMar>
            <w:vAlign w:val="bottom"/>
          </w:tcPr>
          <w:p w:rsidR="00173DDB" w:rsidRDefault="00173DDB">
            <w:pPr>
              <w:pStyle w:val="FootnoteText"/>
              <w:numPr>
                <w:ilvl w:val="0"/>
                <w:numId w:val="0"/>
              </w:numPr>
              <w:tabs>
                <w:tab w:val="decimal" w:pos="1037"/>
              </w:tabs>
              <w:spacing w:before="40" w:after="40"/>
            </w:pPr>
            <w:r>
              <w:t>163,208</w:t>
            </w:r>
          </w:p>
        </w:tc>
        <w:tc>
          <w:tcPr>
            <w:tcW w:w="1724" w:type="dxa"/>
            <w:tcBorders>
              <w:top w:val="single" w:sz="6" w:space="0" w:color="auto"/>
              <w:bottom w:val="single" w:sz="2" w:space="0" w:color="auto"/>
            </w:tcBorders>
            <w:tcMar>
              <w:left w:w="43" w:type="dxa"/>
              <w:right w:w="43" w:type="dxa"/>
            </w:tcMar>
            <w:vAlign w:val="bottom"/>
          </w:tcPr>
          <w:p w:rsidR="00173DDB" w:rsidRDefault="00173DDB">
            <w:pPr>
              <w:pStyle w:val="FootnoteText"/>
              <w:numPr>
                <w:ilvl w:val="0"/>
                <w:numId w:val="0"/>
              </w:numPr>
              <w:tabs>
                <w:tab w:val="decimal" w:pos="677"/>
              </w:tabs>
              <w:spacing w:before="40" w:after="40"/>
            </w:pPr>
            <w:r>
              <w:t>0.033</w:t>
            </w:r>
          </w:p>
        </w:tc>
        <w:tc>
          <w:tcPr>
            <w:tcW w:w="1351" w:type="dxa"/>
            <w:tcBorders>
              <w:top w:val="single" w:sz="6" w:space="0" w:color="auto"/>
              <w:bottom w:val="single" w:sz="2" w:space="0" w:color="auto"/>
            </w:tcBorders>
            <w:tcMar>
              <w:left w:w="43" w:type="dxa"/>
              <w:right w:w="43" w:type="dxa"/>
            </w:tcMar>
            <w:vAlign w:val="bottom"/>
          </w:tcPr>
          <w:p w:rsidR="00173DDB" w:rsidRDefault="00173DDB">
            <w:pPr>
              <w:pStyle w:val="FootnoteText"/>
              <w:numPr>
                <w:ilvl w:val="0"/>
                <w:numId w:val="0"/>
              </w:numPr>
              <w:tabs>
                <w:tab w:val="decimal" w:pos="753"/>
              </w:tabs>
              <w:spacing w:before="40" w:after="40"/>
            </w:pPr>
            <w:r>
              <w:t>5,440.27</w:t>
            </w:r>
          </w:p>
        </w:tc>
      </w:tr>
      <w:tr w:rsidR="00173DDB">
        <w:tblPrEx>
          <w:tblCellMar>
            <w:top w:w="0" w:type="dxa"/>
            <w:bottom w:w="0" w:type="dxa"/>
          </w:tblCellMar>
        </w:tblPrEx>
        <w:trPr>
          <w:cantSplit/>
          <w:jc w:val="center"/>
        </w:trPr>
        <w:tc>
          <w:tcPr>
            <w:tcW w:w="4756" w:type="dxa"/>
            <w:tcBorders>
              <w:top w:val="single" w:sz="2" w:space="0" w:color="auto"/>
              <w:bottom w:val="single" w:sz="2" w:space="0" w:color="auto"/>
            </w:tcBorders>
            <w:tcMar>
              <w:left w:w="43" w:type="dxa"/>
              <w:right w:w="43" w:type="dxa"/>
            </w:tcMar>
          </w:tcPr>
          <w:p w:rsidR="00173DDB" w:rsidRDefault="00173DDB">
            <w:pPr>
              <w:spacing w:before="40" w:after="40"/>
              <w:rPr>
                <w:sz w:val="21"/>
              </w:rPr>
            </w:pPr>
            <w:r>
              <w:rPr>
                <w:sz w:val="21"/>
              </w:rPr>
              <w:t>Retrofitting or retiring appliances</w:t>
            </w:r>
          </w:p>
        </w:tc>
        <w:tc>
          <w:tcPr>
            <w:tcW w:w="1680" w:type="dxa"/>
            <w:tcBorders>
              <w:top w:val="single" w:sz="2" w:space="0" w:color="auto"/>
              <w:bottom w:val="single" w:sz="2" w:space="0" w:color="auto"/>
            </w:tcBorders>
            <w:tcMar>
              <w:left w:w="43" w:type="dxa"/>
              <w:right w:w="43" w:type="dxa"/>
            </w:tcMar>
            <w:vAlign w:val="bottom"/>
          </w:tcPr>
          <w:p w:rsidR="00173DDB" w:rsidRDefault="00173DDB">
            <w:pPr>
              <w:tabs>
                <w:tab w:val="decimal" w:pos="1037"/>
              </w:tabs>
              <w:spacing w:before="40" w:after="40"/>
              <w:rPr>
                <w:sz w:val="21"/>
              </w:rPr>
            </w:pPr>
            <w:r>
              <w:rPr>
                <w:sz w:val="21"/>
              </w:rPr>
              <w:t>134</w:t>
            </w:r>
          </w:p>
        </w:tc>
        <w:tc>
          <w:tcPr>
            <w:tcW w:w="1724" w:type="dxa"/>
            <w:tcBorders>
              <w:top w:val="single" w:sz="2" w:space="0" w:color="auto"/>
              <w:bottom w:val="single" w:sz="2" w:space="0" w:color="auto"/>
            </w:tcBorders>
            <w:tcMar>
              <w:left w:w="43" w:type="dxa"/>
              <w:right w:w="43" w:type="dxa"/>
            </w:tcMar>
            <w:vAlign w:val="bottom"/>
          </w:tcPr>
          <w:p w:rsidR="00173DDB" w:rsidRDefault="00173DDB">
            <w:pPr>
              <w:tabs>
                <w:tab w:val="decimal" w:pos="677"/>
              </w:tabs>
              <w:spacing w:before="40" w:after="40"/>
              <w:rPr>
                <w:sz w:val="21"/>
              </w:rPr>
            </w:pPr>
            <w:r>
              <w:rPr>
                <w:sz w:val="21"/>
              </w:rPr>
              <w:t>0.333</w:t>
            </w:r>
          </w:p>
        </w:tc>
        <w:tc>
          <w:tcPr>
            <w:tcW w:w="1351" w:type="dxa"/>
            <w:tcBorders>
              <w:top w:val="single" w:sz="2" w:space="0" w:color="auto"/>
              <w:bottom w:val="single" w:sz="2" w:space="0" w:color="auto"/>
            </w:tcBorders>
            <w:tcMar>
              <w:left w:w="43" w:type="dxa"/>
              <w:right w:w="43" w:type="dxa"/>
            </w:tcMar>
            <w:vAlign w:val="bottom"/>
          </w:tcPr>
          <w:p w:rsidR="00173DDB" w:rsidRDefault="00173DDB">
            <w:pPr>
              <w:tabs>
                <w:tab w:val="decimal" w:pos="753"/>
              </w:tabs>
              <w:spacing w:before="40" w:after="40"/>
              <w:rPr>
                <w:sz w:val="21"/>
              </w:rPr>
            </w:pPr>
            <w:r>
              <w:rPr>
                <w:sz w:val="21"/>
              </w:rPr>
              <w:t>4.46</w:t>
            </w:r>
          </w:p>
        </w:tc>
      </w:tr>
      <w:tr w:rsidR="00173DDB">
        <w:tblPrEx>
          <w:tblCellMar>
            <w:top w:w="0" w:type="dxa"/>
            <w:bottom w:w="0" w:type="dxa"/>
          </w:tblCellMar>
        </w:tblPrEx>
        <w:trPr>
          <w:cantSplit/>
          <w:jc w:val="center"/>
        </w:trPr>
        <w:tc>
          <w:tcPr>
            <w:tcW w:w="4756" w:type="dxa"/>
            <w:tcBorders>
              <w:top w:val="single" w:sz="2" w:space="0" w:color="auto"/>
              <w:bottom w:val="single" w:sz="2" w:space="0" w:color="auto"/>
            </w:tcBorders>
            <w:tcMar>
              <w:left w:w="43" w:type="dxa"/>
              <w:right w:w="43" w:type="dxa"/>
            </w:tcMar>
          </w:tcPr>
          <w:p w:rsidR="00173DDB" w:rsidRDefault="00173DDB">
            <w:pPr>
              <w:spacing w:before="40" w:after="40"/>
              <w:rPr>
                <w:sz w:val="21"/>
              </w:rPr>
            </w:pPr>
            <w:r>
              <w:rPr>
                <w:sz w:val="21"/>
              </w:rPr>
              <w:t>Transferring refrigerant recovered from appliances to a different owner</w:t>
            </w:r>
          </w:p>
        </w:tc>
        <w:tc>
          <w:tcPr>
            <w:tcW w:w="1680" w:type="dxa"/>
            <w:tcBorders>
              <w:top w:val="single" w:sz="2" w:space="0" w:color="auto"/>
              <w:bottom w:val="single" w:sz="2" w:space="0" w:color="auto"/>
            </w:tcBorders>
            <w:tcMar>
              <w:left w:w="43" w:type="dxa"/>
              <w:right w:w="43" w:type="dxa"/>
            </w:tcMar>
            <w:vAlign w:val="bottom"/>
          </w:tcPr>
          <w:p w:rsidR="00173DDB" w:rsidRDefault="00173DDB">
            <w:pPr>
              <w:tabs>
                <w:tab w:val="decimal" w:pos="1037"/>
              </w:tabs>
              <w:spacing w:before="40" w:after="40"/>
              <w:rPr>
                <w:sz w:val="21"/>
              </w:rPr>
            </w:pPr>
            <w:r>
              <w:rPr>
                <w:sz w:val="21"/>
              </w:rPr>
              <w:t>134</w:t>
            </w:r>
          </w:p>
        </w:tc>
        <w:tc>
          <w:tcPr>
            <w:tcW w:w="1724" w:type="dxa"/>
            <w:tcBorders>
              <w:top w:val="single" w:sz="2" w:space="0" w:color="auto"/>
              <w:bottom w:val="single" w:sz="2" w:space="0" w:color="auto"/>
            </w:tcBorders>
            <w:tcMar>
              <w:left w:w="43" w:type="dxa"/>
              <w:right w:w="43" w:type="dxa"/>
            </w:tcMar>
            <w:vAlign w:val="bottom"/>
          </w:tcPr>
          <w:p w:rsidR="00173DDB" w:rsidRDefault="00173DDB">
            <w:pPr>
              <w:tabs>
                <w:tab w:val="decimal" w:pos="677"/>
              </w:tabs>
              <w:spacing w:before="40" w:after="40"/>
              <w:rPr>
                <w:sz w:val="21"/>
              </w:rPr>
            </w:pPr>
            <w:r>
              <w:rPr>
                <w:sz w:val="21"/>
              </w:rPr>
              <w:t>0.333</w:t>
            </w:r>
          </w:p>
        </w:tc>
        <w:tc>
          <w:tcPr>
            <w:tcW w:w="1351" w:type="dxa"/>
            <w:tcBorders>
              <w:top w:val="single" w:sz="2" w:space="0" w:color="auto"/>
              <w:bottom w:val="single" w:sz="2" w:space="0" w:color="auto"/>
            </w:tcBorders>
            <w:tcMar>
              <w:left w:w="43" w:type="dxa"/>
              <w:right w:w="43" w:type="dxa"/>
            </w:tcMar>
            <w:vAlign w:val="bottom"/>
          </w:tcPr>
          <w:p w:rsidR="00173DDB" w:rsidRDefault="00173DDB">
            <w:pPr>
              <w:tabs>
                <w:tab w:val="decimal" w:pos="753"/>
              </w:tabs>
              <w:spacing w:before="40" w:after="40"/>
              <w:rPr>
                <w:sz w:val="21"/>
              </w:rPr>
            </w:pPr>
            <w:r>
              <w:rPr>
                <w:sz w:val="21"/>
              </w:rPr>
              <w:t>4.46</w:t>
            </w:r>
          </w:p>
        </w:tc>
      </w:tr>
      <w:tr w:rsidR="00173DDB">
        <w:tblPrEx>
          <w:tblCellMar>
            <w:top w:w="0" w:type="dxa"/>
            <w:bottom w:w="0" w:type="dxa"/>
          </w:tblCellMar>
        </w:tblPrEx>
        <w:trPr>
          <w:cantSplit/>
          <w:jc w:val="center"/>
        </w:trPr>
        <w:tc>
          <w:tcPr>
            <w:tcW w:w="4756" w:type="dxa"/>
            <w:tcBorders>
              <w:top w:val="single" w:sz="2" w:space="0" w:color="auto"/>
              <w:bottom w:val="single" w:sz="2" w:space="0" w:color="auto"/>
            </w:tcBorders>
            <w:tcMar>
              <w:left w:w="43" w:type="dxa"/>
              <w:right w:w="43" w:type="dxa"/>
            </w:tcMar>
          </w:tcPr>
          <w:p w:rsidR="00173DDB" w:rsidRDefault="00173DDB">
            <w:pPr>
              <w:spacing w:before="40" w:after="40"/>
              <w:rPr>
                <w:sz w:val="21"/>
              </w:rPr>
            </w:pPr>
            <w:r>
              <w:rPr>
                <w:sz w:val="21"/>
              </w:rPr>
              <w:t>Unable to complete repairs in 30 days due to radiological contamination or unavailability of components</w:t>
            </w:r>
          </w:p>
        </w:tc>
        <w:tc>
          <w:tcPr>
            <w:tcW w:w="1680" w:type="dxa"/>
            <w:tcBorders>
              <w:top w:val="single" w:sz="2" w:space="0" w:color="auto"/>
              <w:bottom w:val="single" w:sz="2" w:space="0" w:color="auto"/>
            </w:tcBorders>
            <w:tcMar>
              <w:left w:w="43" w:type="dxa"/>
              <w:right w:w="43" w:type="dxa"/>
            </w:tcMar>
            <w:vAlign w:val="bottom"/>
          </w:tcPr>
          <w:p w:rsidR="00173DDB" w:rsidRDefault="00173DDB">
            <w:pPr>
              <w:tabs>
                <w:tab w:val="decimal" w:pos="1037"/>
              </w:tabs>
              <w:spacing w:before="40" w:after="40"/>
              <w:rPr>
                <w:sz w:val="21"/>
              </w:rPr>
            </w:pPr>
            <w:r>
              <w:rPr>
                <w:sz w:val="21"/>
              </w:rPr>
              <w:t>10.3</w:t>
            </w:r>
          </w:p>
        </w:tc>
        <w:tc>
          <w:tcPr>
            <w:tcW w:w="1724" w:type="dxa"/>
            <w:tcBorders>
              <w:top w:val="single" w:sz="2" w:space="0" w:color="auto"/>
              <w:bottom w:val="single" w:sz="2" w:space="0" w:color="auto"/>
            </w:tcBorders>
            <w:tcMar>
              <w:left w:w="43" w:type="dxa"/>
              <w:right w:w="43" w:type="dxa"/>
            </w:tcMar>
            <w:vAlign w:val="bottom"/>
          </w:tcPr>
          <w:p w:rsidR="00173DDB" w:rsidRDefault="00173DDB">
            <w:pPr>
              <w:tabs>
                <w:tab w:val="decimal" w:pos="677"/>
              </w:tabs>
              <w:spacing w:before="40" w:after="40"/>
              <w:rPr>
                <w:sz w:val="21"/>
              </w:rPr>
            </w:pPr>
            <w:r>
              <w:rPr>
                <w:sz w:val="21"/>
              </w:rPr>
              <w:t>0.067</w:t>
            </w:r>
          </w:p>
        </w:tc>
        <w:tc>
          <w:tcPr>
            <w:tcW w:w="1351" w:type="dxa"/>
            <w:tcBorders>
              <w:top w:val="single" w:sz="2" w:space="0" w:color="auto"/>
              <w:bottom w:val="single" w:sz="2" w:space="0" w:color="auto"/>
            </w:tcBorders>
            <w:tcMar>
              <w:left w:w="43" w:type="dxa"/>
              <w:right w:w="43" w:type="dxa"/>
            </w:tcMar>
            <w:vAlign w:val="bottom"/>
          </w:tcPr>
          <w:p w:rsidR="00173DDB" w:rsidRDefault="00173DDB">
            <w:pPr>
              <w:tabs>
                <w:tab w:val="decimal" w:pos="753"/>
              </w:tabs>
              <w:spacing w:before="40" w:after="40"/>
              <w:rPr>
                <w:sz w:val="21"/>
              </w:rPr>
            </w:pPr>
            <w:r>
              <w:rPr>
                <w:sz w:val="21"/>
              </w:rPr>
              <w:t>0.69</w:t>
            </w:r>
          </w:p>
        </w:tc>
      </w:tr>
      <w:tr w:rsidR="00173DDB">
        <w:tblPrEx>
          <w:tblCellMar>
            <w:top w:w="0" w:type="dxa"/>
            <w:bottom w:w="0" w:type="dxa"/>
          </w:tblCellMar>
        </w:tblPrEx>
        <w:trPr>
          <w:cantSplit/>
          <w:jc w:val="center"/>
        </w:trPr>
        <w:tc>
          <w:tcPr>
            <w:tcW w:w="4756" w:type="dxa"/>
            <w:tcBorders>
              <w:top w:val="single" w:sz="2" w:space="0" w:color="auto"/>
              <w:bottom w:val="single" w:sz="2" w:space="0" w:color="auto"/>
            </w:tcBorders>
            <w:tcMar>
              <w:left w:w="43" w:type="dxa"/>
              <w:right w:w="43" w:type="dxa"/>
            </w:tcMar>
          </w:tcPr>
          <w:p w:rsidR="00173DDB" w:rsidRDefault="00173DDB">
            <w:pPr>
              <w:spacing w:before="40" w:after="40"/>
              <w:rPr>
                <w:sz w:val="21"/>
              </w:rPr>
            </w:pPr>
            <w:r>
              <w:rPr>
                <w:sz w:val="21"/>
              </w:rPr>
              <w:t>Unable to complete retrofit plans within 6 months due unavailability of components</w:t>
            </w:r>
          </w:p>
        </w:tc>
        <w:tc>
          <w:tcPr>
            <w:tcW w:w="1680" w:type="dxa"/>
            <w:tcBorders>
              <w:top w:val="single" w:sz="2" w:space="0" w:color="auto"/>
              <w:bottom w:val="single" w:sz="2" w:space="0" w:color="auto"/>
            </w:tcBorders>
            <w:tcMar>
              <w:left w:w="43" w:type="dxa"/>
              <w:right w:w="43" w:type="dxa"/>
            </w:tcMar>
            <w:vAlign w:val="bottom"/>
          </w:tcPr>
          <w:p w:rsidR="00173DDB" w:rsidRDefault="00173DDB">
            <w:pPr>
              <w:tabs>
                <w:tab w:val="decimal" w:pos="1037"/>
              </w:tabs>
              <w:spacing w:before="40" w:after="40"/>
              <w:rPr>
                <w:sz w:val="21"/>
              </w:rPr>
            </w:pPr>
            <w:r>
              <w:rPr>
                <w:sz w:val="21"/>
              </w:rPr>
              <w:t>4</w:t>
            </w:r>
          </w:p>
        </w:tc>
        <w:tc>
          <w:tcPr>
            <w:tcW w:w="1724" w:type="dxa"/>
            <w:tcBorders>
              <w:top w:val="single" w:sz="2" w:space="0" w:color="auto"/>
              <w:bottom w:val="single" w:sz="2" w:space="0" w:color="auto"/>
            </w:tcBorders>
            <w:tcMar>
              <w:left w:w="43" w:type="dxa"/>
              <w:right w:w="43" w:type="dxa"/>
            </w:tcMar>
            <w:vAlign w:val="bottom"/>
          </w:tcPr>
          <w:p w:rsidR="00173DDB" w:rsidRDefault="00173DDB">
            <w:pPr>
              <w:tabs>
                <w:tab w:val="decimal" w:pos="677"/>
              </w:tabs>
              <w:spacing w:before="40" w:after="40"/>
              <w:rPr>
                <w:sz w:val="21"/>
              </w:rPr>
            </w:pPr>
            <w:r>
              <w:rPr>
                <w:sz w:val="21"/>
              </w:rPr>
              <w:t>0.067</w:t>
            </w:r>
          </w:p>
        </w:tc>
        <w:tc>
          <w:tcPr>
            <w:tcW w:w="1351" w:type="dxa"/>
            <w:tcBorders>
              <w:top w:val="single" w:sz="2" w:space="0" w:color="auto"/>
              <w:bottom w:val="single" w:sz="2" w:space="0" w:color="auto"/>
            </w:tcBorders>
            <w:tcMar>
              <w:left w:w="43" w:type="dxa"/>
              <w:right w:w="43" w:type="dxa"/>
            </w:tcMar>
            <w:vAlign w:val="bottom"/>
          </w:tcPr>
          <w:p w:rsidR="00173DDB" w:rsidRDefault="00173DDB">
            <w:pPr>
              <w:tabs>
                <w:tab w:val="decimal" w:pos="753"/>
              </w:tabs>
              <w:spacing w:before="40" w:after="40"/>
              <w:rPr>
                <w:sz w:val="21"/>
              </w:rPr>
            </w:pPr>
            <w:r>
              <w:rPr>
                <w:sz w:val="21"/>
              </w:rPr>
              <w:t>0.27</w:t>
            </w:r>
          </w:p>
        </w:tc>
      </w:tr>
      <w:tr w:rsidR="00173DDB">
        <w:tblPrEx>
          <w:tblCellMar>
            <w:top w:w="0" w:type="dxa"/>
            <w:bottom w:w="0" w:type="dxa"/>
          </w:tblCellMar>
        </w:tblPrEx>
        <w:trPr>
          <w:cantSplit/>
          <w:jc w:val="center"/>
        </w:trPr>
        <w:tc>
          <w:tcPr>
            <w:tcW w:w="4756" w:type="dxa"/>
            <w:tcBorders>
              <w:top w:val="single" w:sz="2" w:space="0" w:color="auto"/>
              <w:bottom w:val="single" w:sz="2" w:space="0" w:color="auto"/>
            </w:tcBorders>
            <w:tcMar>
              <w:left w:w="43" w:type="dxa"/>
              <w:right w:w="43" w:type="dxa"/>
            </w:tcMar>
          </w:tcPr>
          <w:p w:rsidR="00173DDB" w:rsidRDefault="00173DDB">
            <w:pPr>
              <w:spacing w:before="40" w:after="40"/>
              <w:rPr>
                <w:sz w:val="21"/>
              </w:rPr>
            </w:pPr>
            <w:r>
              <w:rPr>
                <w:sz w:val="21"/>
              </w:rPr>
              <w:t>Determining full charge</w:t>
            </w:r>
          </w:p>
        </w:tc>
        <w:tc>
          <w:tcPr>
            <w:tcW w:w="1680" w:type="dxa"/>
            <w:tcBorders>
              <w:top w:val="single" w:sz="2" w:space="0" w:color="auto"/>
              <w:bottom w:val="single" w:sz="2" w:space="0" w:color="auto"/>
            </w:tcBorders>
            <w:tcMar>
              <w:left w:w="43" w:type="dxa"/>
              <w:right w:w="43" w:type="dxa"/>
            </w:tcMar>
            <w:vAlign w:val="bottom"/>
          </w:tcPr>
          <w:p w:rsidR="00173DDB" w:rsidRDefault="00173DDB">
            <w:pPr>
              <w:tabs>
                <w:tab w:val="decimal" w:pos="1037"/>
              </w:tabs>
              <w:spacing w:before="40" w:after="40"/>
              <w:rPr>
                <w:sz w:val="21"/>
              </w:rPr>
            </w:pPr>
            <w:r>
              <w:rPr>
                <w:sz w:val="21"/>
              </w:rPr>
              <w:t>134</w:t>
            </w:r>
          </w:p>
        </w:tc>
        <w:tc>
          <w:tcPr>
            <w:tcW w:w="1724" w:type="dxa"/>
            <w:tcBorders>
              <w:top w:val="single" w:sz="2" w:space="0" w:color="auto"/>
              <w:bottom w:val="single" w:sz="2" w:space="0" w:color="auto"/>
            </w:tcBorders>
            <w:tcMar>
              <w:left w:w="43" w:type="dxa"/>
              <w:right w:w="43" w:type="dxa"/>
            </w:tcMar>
            <w:vAlign w:val="bottom"/>
          </w:tcPr>
          <w:p w:rsidR="00173DDB" w:rsidRDefault="00173DDB">
            <w:pPr>
              <w:tabs>
                <w:tab w:val="decimal" w:pos="677"/>
              </w:tabs>
              <w:spacing w:before="40" w:after="40"/>
              <w:rPr>
                <w:sz w:val="21"/>
              </w:rPr>
            </w:pPr>
            <w:r>
              <w:rPr>
                <w:sz w:val="21"/>
              </w:rPr>
              <w:t>0.333</w:t>
            </w:r>
          </w:p>
        </w:tc>
        <w:tc>
          <w:tcPr>
            <w:tcW w:w="1351" w:type="dxa"/>
            <w:tcBorders>
              <w:top w:val="single" w:sz="2" w:space="0" w:color="auto"/>
              <w:bottom w:val="single" w:sz="2" w:space="0" w:color="auto"/>
            </w:tcBorders>
            <w:tcMar>
              <w:left w:w="43" w:type="dxa"/>
              <w:right w:w="43" w:type="dxa"/>
            </w:tcMar>
            <w:vAlign w:val="bottom"/>
          </w:tcPr>
          <w:p w:rsidR="00173DDB" w:rsidRDefault="00173DDB">
            <w:pPr>
              <w:tabs>
                <w:tab w:val="decimal" w:pos="753"/>
              </w:tabs>
              <w:spacing w:before="40" w:after="40"/>
              <w:rPr>
                <w:sz w:val="21"/>
              </w:rPr>
            </w:pPr>
            <w:r>
              <w:rPr>
                <w:sz w:val="21"/>
              </w:rPr>
              <w:t>4.46</w:t>
            </w:r>
          </w:p>
        </w:tc>
      </w:tr>
      <w:tr w:rsidR="00173DDB">
        <w:tblPrEx>
          <w:tblCellMar>
            <w:top w:w="0" w:type="dxa"/>
            <w:bottom w:w="0" w:type="dxa"/>
          </w:tblCellMar>
        </w:tblPrEx>
        <w:trPr>
          <w:cantSplit/>
          <w:jc w:val="center"/>
        </w:trPr>
        <w:tc>
          <w:tcPr>
            <w:tcW w:w="4756" w:type="dxa"/>
            <w:tcBorders>
              <w:top w:val="single" w:sz="2" w:space="0" w:color="auto"/>
              <w:bottom w:val="single" w:sz="2" w:space="0" w:color="auto"/>
            </w:tcBorders>
            <w:tcMar>
              <w:left w:w="43" w:type="dxa"/>
              <w:right w:w="43" w:type="dxa"/>
            </w:tcMar>
          </w:tcPr>
          <w:p w:rsidR="00173DDB" w:rsidRDefault="00173DDB">
            <w:pPr>
              <w:spacing w:before="40" w:after="40"/>
              <w:rPr>
                <w:sz w:val="21"/>
              </w:rPr>
            </w:pPr>
            <w:r>
              <w:rPr>
                <w:sz w:val="21"/>
              </w:rPr>
              <w:t>Adding and removing refrigerant due to seasonal variance</w:t>
            </w:r>
          </w:p>
        </w:tc>
        <w:tc>
          <w:tcPr>
            <w:tcW w:w="1680" w:type="dxa"/>
            <w:tcBorders>
              <w:top w:val="single" w:sz="2" w:space="0" w:color="auto"/>
              <w:bottom w:val="single" w:sz="2" w:space="0" w:color="auto"/>
            </w:tcBorders>
            <w:tcMar>
              <w:left w:w="43" w:type="dxa"/>
              <w:right w:w="43" w:type="dxa"/>
            </w:tcMar>
            <w:vAlign w:val="bottom"/>
          </w:tcPr>
          <w:p w:rsidR="00173DDB" w:rsidRDefault="00173DDB">
            <w:pPr>
              <w:tabs>
                <w:tab w:val="decimal" w:pos="1037"/>
              </w:tabs>
              <w:spacing w:before="40" w:after="40"/>
              <w:rPr>
                <w:sz w:val="21"/>
              </w:rPr>
            </w:pPr>
            <w:r>
              <w:rPr>
                <w:sz w:val="21"/>
              </w:rPr>
              <w:t>5,558</w:t>
            </w:r>
          </w:p>
        </w:tc>
        <w:tc>
          <w:tcPr>
            <w:tcW w:w="1724" w:type="dxa"/>
            <w:tcBorders>
              <w:top w:val="single" w:sz="2" w:space="0" w:color="auto"/>
              <w:bottom w:val="single" w:sz="2" w:space="0" w:color="auto"/>
            </w:tcBorders>
            <w:tcMar>
              <w:left w:w="43" w:type="dxa"/>
              <w:right w:w="43" w:type="dxa"/>
            </w:tcMar>
            <w:vAlign w:val="bottom"/>
          </w:tcPr>
          <w:p w:rsidR="00173DDB" w:rsidRDefault="00173DDB">
            <w:pPr>
              <w:tabs>
                <w:tab w:val="decimal" w:pos="677"/>
              </w:tabs>
              <w:spacing w:before="40" w:after="40"/>
              <w:rPr>
                <w:sz w:val="21"/>
              </w:rPr>
            </w:pPr>
            <w:r>
              <w:rPr>
                <w:sz w:val="21"/>
              </w:rPr>
              <w:t>0.067</w:t>
            </w:r>
          </w:p>
        </w:tc>
        <w:tc>
          <w:tcPr>
            <w:tcW w:w="1351" w:type="dxa"/>
            <w:tcBorders>
              <w:top w:val="single" w:sz="2" w:space="0" w:color="auto"/>
              <w:bottom w:val="single" w:sz="2" w:space="0" w:color="auto"/>
            </w:tcBorders>
            <w:tcMar>
              <w:left w:w="43" w:type="dxa"/>
              <w:right w:w="43" w:type="dxa"/>
            </w:tcMar>
            <w:vAlign w:val="bottom"/>
          </w:tcPr>
          <w:p w:rsidR="00173DDB" w:rsidRDefault="00173DDB">
            <w:pPr>
              <w:tabs>
                <w:tab w:val="decimal" w:pos="753"/>
              </w:tabs>
              <w:spacing w:before="40" w:after="40"/>
              <w:rPr>
                <w:sz w:val="21"/>
              </w:rPr>
            </w:pPr>
            <w:r>
              <w:rPr>
                <w:sz w:val="21"/>
              </w:rPr>
              <w:t>370.52</w:t>
            </w:r>
          </w:p>
        </w:tc>
      </w:tr>
      <w:tr w:rsidR="00173DDB">
        <w:tblPrEx>
          <w:tblCellMar>
            <w:top w:w="0" w:type="dxa"/>
            <w:bottom w:w="0" w:type="dxa"/>
          </w:tblCellMar>
        </w:tblPrEx>
        <w:trPr>
          <w:cantSplit/>
          <w:jc w:val="center"/>
        </w:trPr>
        <w:tc>
          <w:tcPr>
            <w:tcW w:w="4756" w:type="dxa"/>
            <w:tcBorders>
              <w:top w:val="single" w:sz="2" w:space="0" w:color="auto"/>
              <w:bottom w:val="single" w:sz="2" w:space="0" w:color="auto"/>
            </w:tcBorders>
            <w:tcMar>
              <w:left w:w="43" w:type="dxa"/>
              <w:right w:w="43" w:type="dxa"/>
            </w:tcMar>
          </w:tcPr>
          <w:p w:rsidR="00173DDB" w:rsidRDefault="00173DDB">
            <w:pPr>
              <w:spacing w:before="40" w:after="40"/>
              <w:rPr>
                <w:sz w:val="21"/>
              </w:rPr>
            </w:pPr>
            <w:r>
              <w:rPr>
                <w:sz w:val="21"/>
              </w:rPr>
              <w:t>Recovering but not returning refrigerant to an appliance</w:t>
            </w:r>
          </w:p>
        </w:tc>
        <w:tc>
          <w:tcPr>
            <w:tcW w:w="1680" w:type="dxa"/>
            <w:tcBorders>
              <w:top w:val="single" w:sz="2" w:space="0" w:color="auto"/>
              <w:bottom w:val="single" w:sz="2" w:space="0" w:color="auto"/>
            </w:tcBorders>
            <w:tcMar>
              <w:left w:w="43" w:type="dxa"/>
              <w:right w:w="43" w:type="dxa"/>
            </w:tcMar>
            <w:vAlign w:val="bottom"/>
          </w:tcPr>
          <w:p w:rsidR="00173DDB" w:rsidRDefault="00173DDB">
            <w:pPr>
              <w:tabs>
                <w:tab w:val="decimal" w:pos="1037"/>
              </w:tabs>
              <w:spacing w:before="40" w:after="40"/>
              <w:rPr>
                <w:sz w:val="21"/>
              </w:rPr>
            </w:pPr>
            <w:r>
              <w:rPr>
                <w:sz w:val="21"/>
              </w:rPr>
              <w:t>10,702</w:t>
            </w:r>
          </w:p>
        </w:tc>
        <w:tc>
          <w:tcPr>
            <w:tcW w:w="1724" w:type="dxa"/>
            <w:tcBorders>
              <w:top w:val="single" w:sz="2" w:space="0" w:color="auto"/>
              <w:bottom w:val="single" w:sz="2" w:space="0" w:color="auto"/>
            </w:tcBorders>
            <w:tcMar>
              <w:left w:w="43" w:type="dxa"/>
              <w:right w:w="43" w:type="dxa"/>
            </w:tcMar>
            <w:vAlign w:val="bottom"/>
          </w:tcPr>
          <w:p w:rsidR="00173DDB" w:rsidRDefault="00173DDB">
            <w:pPr>
              <w:tabs>
                <w:tab w:val="decimal" w:pos="677"/>
              </w:tabs>
              <w:spacing w:before="40" w:after="40"/>
              <w:rPr>
                <w:sz w:val="21"/>
              </w:rPr>
            </w:pPr>
            <w:r>
              <w:rPr>
                <w:sz w:val="21"/>
              </w:rPr>
              <w:t>0.033</w:t>
            </w:r>
          </w:p>
        </w:tc>
        <w:tc>
          <w:tcPr>
            <w:tcW w:w="1351" w:type="dxa"/>
            <w:tcBorders>
              <w:top w:val="single" w:sz="2" w:space="0" w:color="auto"/>
              <w:bottom w:val="single" w:sz="2" w:space="0" w:color="auto"/>
            </w:tcBorders>
            <w:tcMar>
              <w:left w:w="43" w:type="dxa"/>
              <w:right w:w="43" w:type="dxa"/>
            </w:tcMar>
            <w:vAlign w:val="bottom"/>
          </w:tcPr>
          <w:p w:rsidR="00173DDB" w:rsidRDefault="00173DDB">
            <w:pPr>
              <w:tabs>
                <w:tab w:val="decimal" w:pos="753"/>
              </w:tabs>
              <w:spacing w:before="40" w:after="40"/>
              <w:rPr>
                <w:sz w:val="21"/>
              </w:rPr>
            </w:pPr>
            <w:r>
              <w:rPr>
                <w:sz w:val="21"/>
              </w:rPr>
              <w:t>356.74</w:t>
            </w:r>
          </w:p>
        </w:tc>
      </w:tr>
      <w:tr w:rsidR="00173DDB">
        <w:tblPrEx>
          <w:tblCellMar>
            <w:top w:w="0" w:type="dxa"/>
            <w:bottom w:w="0" w:type="dxa"/>
          </w:tblCellMar>
        </w:tblPrEx>
        <w:trPr>
          <w:cantSplit/>
          <w:jc w:val="center"/>
        </w:trPr>
        <w:tc>
          <w:tcPr>
            <w:tcW w:w="4756" w:type="dxa"/>
            <w:tcBorders>
              <w:top w:val="single" w:sz="2" w:space="0" w:color="auto"/>
              <w:bottom w:val="single" w:sz="6" w:space="0" w:color="auto"/>
            </w:tcBorders>
            <w:tcMar>
              <w:left w:w="43" w:type="dxa"/>
              <w:right w:w="43" w:type="dxa"/>
            </w:tcMar>
          </w:tcPr>
          <w:p w:rsidR="00173DDB" w:rsidRDefault="00173DDB">
            <w:pPr>
              <w:pStyle w:val="Heading7"/>
              <w:spacing w:before="40" w:after="40"/>
              <w:rPr>
                <w:sz w:val="21"/>
              </w:rPr>
            </w:pPr>
            <w:r>
              <w:rPr>
                <w:sz w:val="21"/>
              </w:rPr>
              <w:t>Total burden</w:t>
            </w:r>
          </w:p>
        </w:tc>
        <w:tc>
          <w:tcPr>
            <w:tcW w:w="1680" w:type="dxa"/>
            <w:tcBorders>
              <w:top w:val="single" w:sz="2" w:space="0" w:color="auto"/>
              <w:bottom w:val="single" w:sz="6" w:space="0" w:color="auto"/>
            </w:tcBorders>
            <w:tcMar>
              <w:left w:w="43" w:type="dxa"/>
              <w:right w:w="43" w:type="dxa"/>
            </w:tcMar>
            <w:vAlign w:val="bottom"/>
          </w:tcPr>
          <w:p w:rsidR="00173DDB" w:rsidRDefault="00173DDB">
            <w:pPr>
              <w:tabs>
                <w:tab w:val="decimal" w:pos="842"/>
              </w:tabs>
              <w:spacing w:before="40" w:after="40"/>
              <w:rPr>
                <w:sz w:val="21"/>
              </w:rPr>
            </w:pPr>
          </w:p>
        </w:tc>
        <w:tc>
          <w:tcPr>
            <w:tcW w:w="1724" w:type="dxa"/>
            <w:tcBorders>
              <w:top w:val="single" w:sz="2" w:space="0" w:color="auto"/>
              <w:bottom w:val="single" w:sz="6" w:space="0" w:color="auto"/>
            </w:tcBorders>
            <w:tcMar>
              <w:left w:w="43" w:type="dxa"/>
              <w:right w:w="43" w:type="dxa"/>
            </w:tcMar>
            <w:vAlign w:val="bottom"/>
          </w:tcPr>
          <w:p w:rsidR="00173DDB" w:rsidRDefault="00173DDB">
            <w:pPr>
              <w:tabs>
                <w:tab w:val="decimal" w:pos="864"/>
              </w:tabs>
              <w:spacing w:before="40" w:after="40"/>
              <w:rPr>
                <w:sz w:val="21"/>
              </w:rPr>
            </w:pPr>
          </w:p>
        </w:tc>
        <w:tc>
          <w:tcPr>
            <w:tcW w:w="1351" w:type="dxa"/>
            <w:tcBorders>
              <w:top w:val="single" w:sz="2" w:space="0" w:color="auto"/>
              <w:bottom w:val="single" w:sz="6" w:space="0" w:color="auto"/>
            </w:tcBorders>
            <w:tcMar>
              <w:left w:w="43" w:type="dxa"/>
              <w:right w:w="43" w:type="dxa"/>
            </w:tcMar>
            <w:vAlign w:val="bottom"/>
          </w:tcPr>
          <w:p w:rsidR="00173DDB" w:rsidRDefault="00173DDB">
            <w:pPr>
              <w:tabs>
                <w:tab w:val="decimal" w:pos="753"/>
              </w:tabs>
              <w:spacing w:before="40" w:after="40"/>
              <w:rPr>
                <w:b/>
                <w:bCs/>
                <w:sz w:val="21"/>
              </w:rPr>
            </w:pPr>
            <w:r>
              <w:rPr>
                <w:b/>
                <w:bCs/>
                <w:sz w:val="21"/>
              </w:rPr>
              <w:t>6,181.87</w:t>
            </w:r>
          </w:p>
        </w:tc>
      </w:tr>
    </w:tbl>
    <w:p w:rsidR="00173DDB" w:rsidRDefault="00173DDB">
      <w:pPr>
        <w:pStyle w:val="Level1"/>
        <w:widowControl/>
        <w:numPr>
          <w:ilvl w:val="0"/>
          <w:numId w:val="0"/>
        </w:numPr>
        <w:pBdr>
          <w:top w:val="single" w:sz="6" w:space="0" w:color="FFFFFF"/>
          <w:left w:val="single" w:sz="6" w:space="0" w:color="FFFFFF"/>
          <w:bottom w:val="single" w:sz="6" w:space="0" w:color="FFFFFF"/>
          <w:right w:val="single" w:sz="6" w:space="0" w:color="FFFFFF"/>
        </w:pBdr>
        <w:tabs>
          <w:tab w:val="left" w:pos="-1440"/>
        </w:tabs>
        <w:spacing w:after="240"/>
      </w:pPr>
    </w:p>
    <w:p w:rsidR="00173DDB" w:rsidRDefault="00173DDB">
      <w:pPr>
        <w:pStyle w:val="Header"/>
        <w:widowControl/>
        <w:tabs>
          <w:tab w:val="clear" w:pos="4320"/>
          <w:tab w:val="clear" w:pos="8640"/>
        </w:tabs>
        <w:autoSpaceDE/>
        <w:autoSpaceDN/>
        <w:adjustRightInd/>
        <w:spacing w:before="240" w:after="240"/>
        <w:rPr>
          <w:b/>
          <w:bCs/>
        </w:rPr>
      </w:pPr>
      <w:r>
        <w:rPr>
          <w:b/>
          <w:bCs/>
        </w:rPr>
        <w:t xml:space="preserve">6(b) </w:t>
      </w:r>
      <w:r>
        <w:rPr>
          <w:b/>
          <w:bCs/>
        </w:rPr>
        <w:tab/>
        <w:t>Estimating Respondent Costs</w:t>
      </w:r>
    </w:p>
    <w:p w:rsidR="00173DDB" w:rsidRDefault="00173DDB">
      <w:r>
        <w:t>Filing and maintaining paperwork associated with the events described in Sections 4b and 6a is typically done by office and administrative support staff. The labor rates used to determine the estimated costs to respondents are based on the hourly wage rates published by the Bureau of Labor Statistics publications on employment and earnings for office and administrative support staff, plus an allowance for fringe benefits and overhead. The mean wage rate for office and administrative support staff in 2007 was $15.00/hour,</w:t>
      </w:r>
      <w:r>
        <w:rPr>
          <w:rStyle w:val="FootnoteReference"/>
        </w:rPr>
        <w:footnoteReference w:id="2"/>
      </w:r>
      <w:r>
        <w:t xml:space="preserve"> and EPA estimated an average respondent hourly labor rate (including a multiplier of 1.6 for fringe benefits) of $24.00/hour. </w:t>
      </w:r>
    </w:p>
    <w:p w:rsidR="00173DDB" w:rsidRDefault="00173DDB">
      <w:pPr>
        <w:spacing w:after="220"/>
      </w:pPr>
      <w:r>
        <w:t xml:space="preserve">Table 4 shows the burden hours associated with each event and the total cost associated with each event. The total cost to respondents is $148,365. </w:t>
      </w:r>
    </w:p>
    <w:p w:rsidR="00173DDB" w:rsidRDefault="00173DDB">
      <w:pPr>
        <w:pStyle w:val="Header"/>
        <w:widowControl/>
        <w:tabs>
          <w:tab w:val="clear" w:pos="4320"/>
          <w:tab w:val="clear" w:pos="8640"/>
        </w:tabs>
        <w:autoSpaceDE/>
        <w:autoSpaceDN/>
        <w:adjustRightInd/>
        <w:spacing w:before="240" w:after="240"/>
        <w:rPr>
          <w:b/>
          <w:bCs/>
        </w:rPr>
      </w:pPr>
      <w:r>
        <w:rPr>
          <w:b/>
          <w:bCs/>
        </w:rPr>
        <w:t xml:space="preserve">6(c) </w:t>
      </w:r>
      <w:r>
        <w:rPr>
          <w:b/>
          <w:bCs/>
        </w:rPr>
        <w:tab/>
        <w:t>Estimating Agency Burden and Costs</w:t>
      </w:r>
    </w:p>
    <w:p w:rsidR="00173DDB" w:rsidRDefault="00173DDB">
      <w:pPr>
        <w:pStyle w:val="Header"/>
        <w:widowControl/>
        <w:tabs>
          <w:tab w:val="clear" w:pos="4320"/>
          <w:tab w:val="clear" w:pos="8640"/>
        </w:tabs>
        <w:autoSpaceDE/>
        <w:autoSpaceDN/>
        <w:adjustRightInd/>
        <w:spacing w:after="240"/>
      </w:pPr>
      <w:r>
        <w:t>No agency burden or associated costs are with this rule.</w:t>
      </w:r>
    </w:p>
    <w:tbl>
      <w:tblPr>
        <w:tblW w:w="9659" w:type="dxa"/>
        <w:jc w:val="center"/>
        <w:tblLayout w:type="fixed"/>
        <w:tblCellMar>
          <w:left w:w="0" w:type="dxa"/>
          <w:right w:w="0" w:type="dxa"/>
        </w:tblCellMar>
        <w:tblLook w:val="0000"/>
      </w:tblPr>
      <w:tblGrid>
        <w:gridCol w:w="7230"/>
        <w:gridCol w:w="1320"/>
        <w:gridCol w:w="1109"/>
      </w:tblGrid>
      <w:tr w:rsidR="00173DDB">
        <w:tblPrEx>
          <w:tblCellMar>
            <w:top w:w="0" w:type="dxa"/>
            <w:bottom w:w="0" w:type="dxa"/>
          </w:tblCellMar>
        </w:tblPrEx>
        <w:trPr>
          <w:cantSplit/>
          <w:jc w:val="center"/>
        </w:trPr>
        <w:tc>
          <w:tcPr>
            <w:tcW w:w="7230" w:type="dxa"/>
            <w:tcBorders>
              <w:bottom w:val="single" w:sz="6" w:space="0" w:color="auto"/>
            </w:tcBorders>
            <w:tcMar>
              <w:left w:w="43" w:type="dxa"/>
              <w:right w:w="43" w:type="dxa"/>
            </w:tcMar>
            <w:vAlign w:val="bottom"/>
          </w:tcPr>
          <w:p w:rsidR="00173DDB" w:rsidRDefault="00173DDB">
            <w:pPr>
              <w:keepNext/>
              <w:spacing w:before="20" w:after="20"/>
              <w:rPr>
                <w:b/>
                <w:bCs/>
                <w:sz w:val="21"/>
              </w:rPr>
            </w:pPr>
            <w:r>
              <w:rPr>
                <w:b/>
                <w:bCs/>
              </w:rPr>
              <w:lastRenderedPageBreak/>
              <w:t>Table 4. Total burden and cost</w:t>
            </w:r>
          </w:p>
        </w:tc>
        <w:tc>
          <w:tcPr>
            <w:tcW w:w="1320" w:type="dxa"/>
            <w:tcBorders>
              <w:bottom w:val="single" w:sz="6" w:space="0" w:color="auto"/>
            </w:tcBorders>
            <w:tcMar>
              <w:left w:w="43" w:type="dxa"/>
              <w:right w:w="43" w:type="dxa"/>
            </w:tcMar>
          </w:tcPr>
          <w:p w:rsidR="00173DDB" w:rsidRDefault="00173DDB">
            <w:pPr>
              <w:keepNext/>
              <w:spacing w:before="20" w:after="20"/>
              <w:jc w:val="center"/>
              <w:rPr>
                <w:b/>
                <w:bCs/>
                <w:sz w:val="21"/>
              </w:rPr>
            </w:pPr>
          </w:p>
        </w:tc>
        <w:tc>
          <w:tcPr>
            <w:tcW w:w="1109" w:type="dxa"/>
            <w:tcBorders>
              <w:bottom w:val="single" w:sz="6" w:space="0" w:color="auto"/>
            </w:tcBorders>
            <w:tcMar>
              <w:left w:w="43" w:type="dxa"/>
              <w:right w:w="43" w:type="dxa"/>
            </w:tcMar>
          </w:tcPr>
          <w:p w:rsidR="00173DDB" w:rsidRDefault="00173DDB">
            <w:pPr>
              <w:keepNext/>
              <w:spacing w:before="20" w:after="20"/>
              <w:jc w:val="center"/>
              <w:rPr>
                <w:b/>
                <w:bCs/>
                <w:sz w:val="21"/>
              </w:rPr>
            </w:pPr>
          </w:p>
        </w:tc>
      </w:tr>
      <w:tr w:rsidR="00173DDB">
        <w:tblPrEx>
          <w:tblCellMar>
            <w:top w:w="0" w:type="dxa"/>
            <w:bottom w:w="0" w:type="dxa"/>
          </w:tblCellMar>
        </w:tblPrEx>
        <w:trPr>
          <w:cantSplit/>
          <w:jc w:val="center"/>
        </w:trPr>
        <w:tc>
          <w:tcPr>
            <w:tcW w:w="7230" w:type="dxa"/>
            <w:tcBorders>
              <w:top w:val="single" w:sz="6" w:space="0" w:color="auto"/>
              <w:bottom w:val="single" w:sz="6" w:space="0" w:color="auto"/>
            </w:tcBorders>
            <w:tcMar>
              <w:left w:w="43" w:type="dxa"/>
              <w:right w:w="43" w:type="dxa"/>
            </w:tcMar>
            <w:vAlign w:val="bottom"/>
          </w:tcPr>
          <w:p w:rsidR="00173DDB" w:rsidRDefault="00173DDB">
            <w:pPr>
              <w:spacing w:before="20" w:after="20"/>
              <w:rPr>
                <w:b/>
                <w:sz w:val="21"/>
              </w:rPr>
            </w:pPr>
            <w:r>
              <w:rPr>
                <w:b/>
                <w:sz w:val="21"/>
              </w:rPr>
              <w:t>Type of event</w:t>
            </w:r>
          </w:p>
        </w:tc>
        <w:tc>
          <w:tcPr>
            <w:tcW w:w="1320" w:type="dxa"/>
            <w:tcBorders>
              <w:top w:val="single" w:sz="6" w:space="0" w:color="auto"/>
              <w:bottom w:val="single" w:sz="6" w:space="0" w:color="auto"/>
            </w:tcBorders>
            <w:tcMar>
              <w:left w:w="43" w:type="dxa"/>
              <w:right w:w="43" w:type="dxa"/>
            </w:tcMar>
          </w:tcPr>
          <w:p w:rsidR="00173DDB" w:rsidRDefault="00173DDB">
            <w:pPr>
              <w:spacing w:before="20" w:after="20"/>
              <w:jc w:val="center"/>
              <w:rPr>
                <w:b/>
                <w:sz w:val="21"/>
              </w:rPr>
            </w:pPr>
            <w:r>
              <w:rPr>
                <w:b/>
                <w:sz w:val="21"/>
              </w:rPr>
              <w:t xml:space="preserve">Total burden per event </w:t>
            </w:r>
            <w:r>
              <w:rPr>
                <w:b/>
                <w:sz w:val="21"/>
              </w:rPr>
              <w:br/>
              <w:t>(hours)</w:t>
            </w:r>
          </w:p>
        </w:tc>
        <w:tc>
          <w:tcPr>
            <w:tcW w:w="1109" w:type="dxa"/>
            <w:tcBorders>
              <w:top w:val="single" w:sz="6" w:space="0" w:color="auto"/>
              <w:bottom w:val="single" w:sz="6" w:space="0" w:color="auto"/>
            </w:tcBorders>
            <w:tcMar>
              <w:left w:w="43" w:type="dxa"/>
              <w:right w:w="43" w:type="dxa"/>
            </w:tcMar>
          </w:tcPr>
          <w:p w:rsidR="00173DDB" w:rsidRDefault="00173DDB">
            <w:pPr>
              <w:spacing w:before="20" w:after="20"/>
              <w:jc w:val="center"/>
              <w:rPr>
                <w:b/>
                <w:sz w:val="21"/>
              </w:rPr>
            </w:pPr>
            <w:r>
              <w:rPr>
                <w:b/>
                <w:sz w:val="21"/>
              </w:rPr>
              <w:t xml:space="preserve">Total cost per event </w:t>
            </w:r>
            <w:r>
              <w:rPr>
                <w:b/>
                <w:sz w:val="21"/>
              </w:rPr>
              <w:br/>
              <w:t>($)</w:t>
            </w:r>
            <w:r>
              <w:rPr>
                <w:b/>
                <w:sz w:val="21"/>
                <w:vertAlign w:val="superscript"/>
              </w:rPr>
              <w:t>a</w:t>
            </w:r>
          </w:p>
        </w:tc>
      </w:tr>
      <w:tr w:rsidR="00173DDB">
        <w:tblPrEx>
          <w:tblCellMar>
            <w:top w:w="0" w:type="dxa"/>
            <w:bottom w:w="0" w:type="dxa"/>
          </w:tblCellMar>
        </w:tblPrEx>
        <w:trPr>
          <w:cantSplit/>
          <w:jc w:val="center"/>
        </w:trPr>
        <w:tc>
          <w:tcPr>
            <w:tcW w:w="7230" w:type="dxa"/>
            <w:tcBorders>
              <w:top w:val="single" w:sz="6" w:space="0" w:color="auto"/>
            </w:tcBorders>
            <w:tcMar>
              <w:left w:w="43" w:type="dxa"/>
              <w:right w:w="43" w:type="dxa"/>
            </w:tcMar>
          </w:tcPr>
          <w:p w:rsidR="00173DDB" w:rsidRDefault="00173DDB">
            <w:pPr>
              <w:spacing w:before="20" w:after="20"/>
              <w:rPr>
                <w:sz w:val="21"/>
              </w:rPr>
            </w:pPr>
            <w:r>
              <w:rPr>
                <w:sz w:val="21"/>
              </w:rPr>
              <w:t>Repairing appliances</w:t>
            </w:r>
          </w:p>
        </w:tc>
        <w:tc>
          <w:tcPr>
            <w:tcW w:w="1320" w:type="dxa"/>
            <w:tcBorders>
              <w:top w:val="single" w:sz="6" w:space="0" w:color="auto"/>
            </w:tcBorders>
            <w:tcMar>
              <w:left w:w="43" w:type="dxa"/>
              <w:right w:w="43" w:type="dxa"/>
            </w:tcMar>
          </w:tcPr>
          <w:p w:rsidR="00173DDB" w:rsidRDefault="00173DDB">
            <w:pPr>
              <w:pStyle w:val="FootnoteText"/>
              <w:numPr>
                <w:ilvl w:val="0"/>
                <w:numId w:val="0"/>
              </w:numPr>
              <w:tabs>
                <w:tab w:val="decimal" w:pos="797"/>
              </w:tabs>
              <w:spacing w:before="20" w:after="20"/>
            </w:pPr>
            <w:r>
              <w:t>5,440.27</w:t>
            </w:r>
          </w:p>
        </w:tc>
        <w:tc>
          <w:tcPr>
            <w:tcW w:w="1109" w:type="dxa"/>
            <w:tcBorders>
              <w:top w:val="single" w:sz="6" w:space="0" w:color="auto"/>
            </w:tcBorders>
            <w:tcMar>
              <w:left w:w="43" w:type="dxa"/>
              <w:right w:w="43" w:type="dxa"/>
            </w:tcMar>
          </w:tcPr>
          <w:p w:rsidR="00173DDB" w:rsidRDefault="00173DDB">
            <w:pPr>
              <w:spacing w:before="20" w:after="20"/>
              <w:jc w:val="right"/>
              <w:rPr>
                <w:sz w:val="21"/>
              </w:rPr>
            </w:pPr>
            <w:r>
              <w:rPr>
                <w:sz w:val="21"/>
              </w:rPr>
              <w:t>130,566.39</w:t>
            </w:r>
          </w:p>
        </w:tc>
      </w:tr>
      <w:tr w:rsidR="00173DDB">
        <w:tblPrEx>
          <w:tblCellMar>
            <w:top w:w="0" w:type="dxa"/>
            <w:bottom w:w="0" w:type="dxa"/>
          </w:tblCellMar>
        </w:tblPrEx>
        <w:trPr>
          <w:cantSplit/>
          <w:jc w:val="center"/>
        </w:trPr>
        <w:tc>
          <w:tcPr>
            <w:tcW w:w="7230" w:type="dxa"/>
            <w:tcMar>
              <w:left w:w="43" w:type="dxa"/>
              <w:right w:w="43" w:type="dxa"/>
            </w:tcMar>
          </w:tcPr>
          <w:p w:rsidR="00173DDB" w:rsidRDefault="00173DDB">
            <w:pPr>
              <w:spacing w:before="20" w:after="20"/>
              <w:rPr>
                <w:sz w:val="21"/>
              </w:rPr>
            </w:pPr>
            <w:r>
              <w:rPr>
                <w:sz w:val="21"/>
              </w:rPr>
              <w:t>Retrofitting or retiring appliances</w:t>
            </w:r>
          </w:p>
        </w:tc>
        <w:tc>
          <w:tcPr>
            <w:tcW w:w="1320" w:type="dxa"/>
            <w:tcMar>
              <w:left w:w="43" w:type="dxa"/>
              <w:right w:w="43" w:type="dxa"/>
            </w:tcMar>
          </w:tcPr>
          <w:p w:rsidR="00173DDB" w:rsidRDefault="00173DDB">
            <w:pPr>
              <w:tabs>
                <w:tab w:val="decimal" w:pos="797"/>
              </w:tabs>
              <w:spacing w:before="20" w:after="20"/>
              <w:rPr>
                <w:sz w:val="21"/>
              </w:rPr>
            </w:pPr>
            <w:r>
              <w:rPr>
                <w:sz w:val="21"/>
              </w:rPr>
              <w:t>4.46</w:t>
            </w:r>
          </w:p>
        </w:tc>
        <w:tc>
          <w:tcPr>
            <w:tcW w:w="1109" w:type="dxa"/>
            <w:tcMar>
              <w:left w:w="43" w:type="dxa"/>
              <w:right w:w="43" w:type="dxa"/>
            </w:tcMar>
          </w:tcPr>
          <w:p w:rsidR="00173DDB" w:rsidRDefault="00173DDB">
            <w:pPr>
              <w:spacing w:before="20" w:after="20"/>
              <w:jc w:val="right"/>
              <w:rPr>
                <w:sz w:val="21"/>
              </w:rPr>
            </w:pPr>
            <w:r>
              <w:rPr>
                <w:sz w:val="21"/>
              </w:rPr>
              <w:t>107.02</w:t>
            </w:r>
          </w:p>
        </w:tc>
      </w:tr>
      <w:tr w:rsidR="00173DDB">
        <w:tblPrEx>
          <w:tblCellMar>
            <w:top w:w="0" w:type="dxa"/>
            <w:bottom w:w="0" w:type="dxa"/>
          </w:tblCellMar>
        </w:tblPrEx>
        <w:trPr>
          <w:cantSplit/>
          <w:jc w:val="center"/>
        </w:trPr>
        <w:tc>
          <w:tcPr>
            <w:tcW w:w="7230" w:type="dxa"/>
            <w:tcMar>
              <w:left w:w="43" w:type="dxa"/>
              <w:right w:w="43" w:type="dxa"/>
            </w:tcMar>
          </w:tcPr>
          <w:p w:rsidR="00173DDB" w:rsidRDefault="00173DDB">
            <w:pPr>
              <w:spacing w:before="20" w:after="20"/>
              <w:rPr>
                <w:sz w:val="21"/>
              </w:rPr>
            </w:pPr>
            <w:r>
              <w:rPr>
                <w:sz w:val="21"/>
              </w:rPr>
              <w:t>Transferring refrigerant recovered from appliances to a different owner</w:t>
            </w:r>
          </w:p>
        </w:tc>
        <w:tc>
          <w:tcPr>
            <w:tcW w:w="1320" w:type="dxa"/>
            <w:tcMar>
              <w:left w:w="43" w:type="dxa"/>
              <w:right w:w="43" w:type="dxa"/>
            </w:tcMar>
          </w:tcPr>
          <w:p w:rsidR="00173DDB" w:rsidRDefault="00173DDB">
            <w:pPr>
              <w:tabs>
                <w:tab w:val="decimal" w:pos="797"/>
              </w:tabs>
              <w:spacing w:before="20" w:after="20"/>
              <w:rPr>
                <w:sz w:val="21"/>
              </w:rPr>
            </w:pPr>
            <w:r>
              <w:rPr>
                <w:sz w:val="21"/>
              </w:rPr>
              <w:t>4.46</w:t>
            </w:r>
          </w:p>
        </w:tc>
        <w:tc>
          <w:tcPr>
            <w:tcW w:w="1109" w:type="dxa"/>
            <w:tcMar>
              <w:left w:w="43" w:type="dxa"/>
              <w:right w:w="43" w:type="dxa"/>
            </w:tcMar>
          </w:tcPr>
          <w:p w:rsidR="00173DDB" w:rsidRDefault="00173DDB">
            <w:pPr>
              <w:spacing w:before="20" w:after="20"/>
              <w:jc w:val="right"/>
              <w:rPr>
                <w:sz w:val="21"/>
              </w:rPr>
            </w:pPr>
            <w:r>
              <w:rPr>
                <w:sz w:val="21"/>
              </w:rPr>
              <w:t>107.02</w:t>
            </w:r>
          </w:p>
        </w:tc>
      </w:tr>
      <w:tr w:rsidR="00173DDB">
        <w:tblPrEx>
          <w:tblCellMar>
            <w:top w:w="0" w:type="dxa"/>
            <w:bottom w:w="0" w:type="dxa"/>
          </w:tblCellMar>
        </w:tblPrEx>
        <w:trPr>
          <w:cantSplit/>
          <w:jc w:val="center"/>
        </w:trPr>
        <w:tc>
          <w:tcPr>
            <w:tcW w:w="7230" w:type="dxa"/>
            <w:tcMar>
              <w:left w:w="43" w:type="dxa"/>
              <w:right w:w="43" w:type="dxa"/>
            </w:tcMar>
          </w:tcPr>
          <w:p w:rsidR="00173DDB" w:rsidRDefault="00173DDB">
            <w:pPr>
              <w:spacing w:before="20" w:after="20"/>
              <w:rPr>
                <w:sz w:val="21"/>
              </w:rPr>
            </w:pPr>
            <w:r>
              <w:rPr>
                <w:sz w:val="21"/>
              </w:rPr>
              <w:t>Unable to complete repairs in 30 days due to radiological contamination or unavailability of components</w:t>
            </w:r>
          </w:p>
        </w:tc>
        <w:tc>
          <w:tcPr>
            <w:tcW w:w="1320" w:type="dxa"/>
            <w:tcMar>
              <w:left w:w="43" w:type="dxa"/>
              <w:right w:w="43" w:type="dxa"/>
            </w:tcMar>
            <w:vAlign w:val="bottom"/>
          </w:tcPr>
          <w:p w:rsidR="00173DDB" w:rsidRDefault="00173DDB">
            <w:pPr>
              <w:tabs>
                <w:tab w:val="decimal" w:pos="797"/>
              </w:tabs>
              <w:spacing w:before="20" w:after="20"/>
              <w:rPr>
                <w:sz w:val="21"/>
              </w:rPr>
            </w:pPr>
            <w:r>
              <w:rPr>
                <w:sz w:val="21"/>
              </w:rPr>
              <w:t>0.69</w:t>
            </w:r>
          </w:p>
        </w:tc>
        <w:tc>
          <w:tcPr>
            <w:tcW w:w="1109" w:type="dxa"/>
            <w:tcMar>
              <w:left w:w="43" w:type="dxa"/>
              <w:right w:w="43" w:type="dxa"/>
            </w:tcMar>
            <w:vAlign w:val="bottom"/>
          </w:tcPr>
          <w:p w:rsidR="00173DDB" w:rsidRDefault="00173DDB">
            <w:pPr>
              <w:spacing w:before="20" w:after="20"/>
              <w:jc w:val="right"/>
              <w:rPr>
                <w:sz w:val="21"/>
              </w:rPr>
            </w:pPr>
            <w:r>
              <w:rPr>
                <w:sz w:val="21"/>
              </w:rPr>
              <w:t>16.56</w:t>
            </w:r>
          </w:p>
        </w:tc>
      </w:tr>
      <w:tr w:rsidR="00173DDB">
        <w:tblPrEx>
          <w:tblCellMar>
            <w:top w:w="0" w:type="dxa"/>
            <w:bottom w:w="0" w:type="dxa"/>
          </w:tblCellMar>
        </w:tblPrEx>
        <w:trPr>
          <w:cantSplit/>
          <w:jc w:val="center"/>
        </w:trPr>
        <w:tc>
          <w:tcPr>
            <w:tcW w:w="7230" w:type="dxa"/>
            <w:tcMar>
              <w:left w:w="43" w:type="dxa"/>
              <w:right w:w="43" w:type="dxa"/>
            </w:tcMar>
          </w:tcPr>
          <w:p w:rsidR="00173DDB" w:rsidRDefault="00173DDB">
            <w:pPr>
              <w:spacing w:before="20" w:after="20"/>
              <w:rPr>
                <w:sz w:val="21"/>
              </w:rPr>
            </w:pPr>
            <w:r>
              <w:rPr>
                <w:sz w:val="21"/>
              </w:rPr>
              <w:t>Unable to complete retrofit plans within 6 months due unavailability of components</w:t>
            </w:r>
          </w:p>
        </w:tc>
        <w:tc>
          <w:tcPr>
            <w:tcW w:w="1320" w:type="dxa"/>
            <w:tcMar>
              <w:left w:w="43" w:type="dxa"/>
              <w:right w:w="43" w:type="dxa"/>
            </w:tcMar>
          </w:tcPr>
          <w:p w:rsidR="00173DDB" w:rsidRDefault="00173DDB">
            <w:pPr>
              <w:tabs>
                <w:tab w:val="decimal" w:pos="797"/>
              </w:tabs>
              <w:spacing w:before="20" w:after="20"/>
              <w:rPr>
                <w:sz w:val="21"/>
              </w:rPr>
            </w:pPr>
            <w:r>
              <w:rPr>
                <w:sz w:val="21"/>
              </w:rPr>
              <w:t>0.27</w:t>
            </w:r>
          </w:p>
        </w:tc>
        <w:tc>
          <w:tcPr>
            <w:tcW w:w="1109" w:type="dxa"/>
            <w:tcMar>
              <w:left w:w="43" w:type="dxa"/>
              <w:right w:w="43" w:type="dxa"/>
            </w:tcMar>
          </w:tcPr>
          <w:p w:rsidR="00173DDB" w:rsidRDefault="00173DDB">
            <w:pPr>
              <w:spacing w:before="20" w:after="20"/>
              <w:jc w:val="right"/>
              <w:rPr>
                <w:sz w:val="21"/>
              </w:rPr>
            </w:pPr>
            <w:r>
              <w:rPr>
                <w:sz w:val="21"/>
              </w:rPr>
              <w:t>6.45</w:t>
            </w:r>
          </w:p>
        </w:tc>
      </w:tr>
      <w:tr w:rsidR="00173DDB">
        <w:tblPrEx>
          <w:tblCellMar>
            <w:top w:w="0" w:type="dxa"/>
            <w:bottom w:w="0" w:type="dxa"/>
          </w:tblCellMar>
        </w:tblPrEx>
        <w:trPr>
          <w:cantSplit/>
          <w:jc w:val="center"/>
        </w:trPr>
        <w:tc>
          <w:tcPr>
            <w:tcW w:w="7230" w:type="dxa"/>
            <w:tcMar>
              <w:left w:w="43" w:type="dxa"/>
              <w:right w:w="43" w:type="dxa"/>
            </w:tcMar>
          </w:tcPr>
          <w:p w:rsidR="00173DDB" w:rsidRDefault="00173DDB">
            <w:pPr>
              <w:spacing w:before="20" w:after="20"/>
              <w:rPr>
                <w:sz w:val="21"/>
              </w:rPr>
            </w:pPr>
            <w:r>
              <w:rPr>
                <w:sz w:val="21"/>
              </w:rPr>
              <w:t>Determining full charge</w:t>
            </w:r>
          </w:p>
        </w:tc>
        <w:tc>
          <w:tcPr>
            <w:tcW w:w="1320" w:type="dxa"/>
            <w:tcMar>
              <w:left w:w="43" w:type="dxa"/>
              <w:right w:w="43" w:type="dxa"/>
            </w:tcMar>
          </w:tcPr>
          <w:p w:rsidR="00173DDB" w:rsidRDefault="00173DDB">
            <w:pPr>
              <w:tabs>
                <w:tab w:val="decimal" w:pos="797"/>
              </w:tabs>
              <w:spacing w:before="20" w:after="20"/>
              <w:rPr>
                <w:sz w:val="21"/>
              </w:rPr>
            </w:pPr>
            <w:r>
              <w:rPr>
                <w:sz w:val="21"/>
              </w:rPr>
              <w:t>4.46</w:t>
            </w:r>
          </w:p>
        </w:tc>
        <w:tc>
          <w:tcPr>
            <w:tcW w:w="1109" w:type="dxa"/>
            <w:tcMar>
              <w:left w:w="43" w:type="dxa"/>
              <w:right w:w="43" w:type="dxa"/>
            </w:tcMar>
          </w:tcPr>
          <w:p w:rsidR="00173DDB" w:rsidRDefault="00173DDB">
            <w:pPr>
              <w:spacing w:before="20" w:after="20"/>
              <w:jc w:val="right"/>
              <w:rPr>
                <w:sz w:val="21"/>
              </w:rPr>
            </w:pPr>
            <w:r>
              <w:rPr>
                <w:sz w:val="21"/>
              </w:rPr>
              <w:t>107.02</w:t>
            </w:r>
          </w:p>
        </w:tc>
      </w:tr>
      <w:tr w:rsidR="00173DDB">
        <w:tblPrEx>
          <w:tblCellMar>
            <w:top w:w="0" w:type="dxa"/>
            <w:bottom w:w="0" w:type="dxa"/>
          </w:tblCellMar>
        </w:tblPrEx>
        <w:trPr>
          <w:cantSplit/>
          <w:jc w:val="center"/>
        </w:trPr>
        <w:tc>
          <w:tcPr>
            <w:tcW w:w="7230" w:type="dxa"/>
            <w:tcMar>
              <w:left w:w="43" w:type="dxa"/>
              <w:right w:w="43" w:type="dxa"/>
            </w:tcMar>
          </w:tcPr>
          <w:p w:rsidR="00173DDB" w:rsidRDefault="00173DDB">
            <w:pPr>
              <w:spacing w:before="20" w:after="20"/>
              <w:rPr>
                <w:sz w:val="21"/>
              </w:rPr>
            </w:pPr>
            <w:r>
              <w:rPr>
                <w:sz w:val="21"/>
              </w:rPr>
              <w:t>Adding and removing refrigerant due to seasonal variance</w:t>
            </w:r>
          </w:p>
        </w:tc>
        <w:tc>
          <w:tcPr>
            <w:tcW w:w="1320" w:type="dxa"/>
            <w:tcMar>
              <w:left w:w="43" w:type="dxa"/>
              <w:right w:w="43" w:type="dxa"/>
            </w:tcMar>
          </w:tcPr>
          <w:p w:rsidR="00173DDB" w:rsidRDefault="00173DDB">
            <w:pPr>
              <w:tabs>
                <w:tab w:val="decimal" w:pos="797"/>
              </w:tabs>
              <w:spacing w:before="20" w:after="20"/>
              <w:rPr>
                <w:sz w:val="21"/>
              </w:rPr>
            </w:pPr>
            <w:r>
              <w:rPr>
                <w:sz w:val="21"/>
              </w:rPr>
              <w:t>370.52</w:t>
            </w:r>
          </w:p>
        </w:tc>
        <w:tc>
          <w:tcPr>
            <w:tcW w:w="1109" w:type="dxa"/>
            <w:tcMar>
              <w:left w:w="43" w:type="dxa"/>
              <w:right w:w="43" w:type="dxa"/>
            </w:tcMar>
          </w:tcPr>
          <w:p w:rsidR="00173DDB" w:rsidRDefault="00173DDB">
            <w:pPr>
              <w:spacing w:before="20" w:after="20"/>
              <w:jc w:val="right"/>
              <w:rPr>
                <w:sz w:val="21"/>
              </w:rPr>
            </w:pPr>
            <w:r>
              <w:rPr>
                <w:sz w:val="21"/>
              </w:rPr>
              <w:t>8,892.38</w:t>
            </w:r>
          </w:p>
        </w:tc>
      </w:tr>
      <w:tr w:rsidR="00173DDB">
        <w:tblPrEx>
          <w:tblCellMar>
            <w:top w:w="0" w:type="dxa"/>
            <w:bottom w:w="0" w:type="dxa"/>
          </w:tblCellMar>
        </w:tblPrEx>
        <w:trPr>
          <w:cantSplit/>
          <w:jc w:val="center"/>
        </w:trPr>
        <w:tc>
          <w:tcPr>
            <w:tcW w:w="7230" w:type="dxa"/>
            <w:tcMar>
              <w:left w:w="43" w:type="dxa"/>
              <w:right w:w="43" w:type="dxa"/>
            </w:tcMar>
          </w:tcPr>
          <w:p w:rsidR="00173DDB" w:rsidRDefault="00173DDB">
            <w:pPr>
              <w:spacing w:before="20" w:after="20"/>
              <w:rPr>
                <w:sz w:val="21"/>
              </w:rPr>
            </w:pPr>
            <w:r>
              <w:rPr>
                <w:sz w:val="21"/>
              </w:rPr>
              <w:t>Recovering but not returning refrigerant to an appliance</w:t>
            </w:r>
          </w:p>
        </w:tc>
        <w:tc>
          <w:tcPr>
            <w:tcW w:w="1320" w:type="dxa"/>
            <w:tcMar>
              <w:left w:w="43" w:type="dxa"/>
              <w:right w:w="43" w:type="dxa"/>
            </w:tcMar>
          </w:tcPr>
          <w:p w:rsidR="00173DDB" w:rsidRDefault="00173DDB">
            <w:pPr>
              <w:tabs>
                <w:tab w:val="decimal" w:pos="797"/>
              </w:tabs>
              <w:spacing w:before="20" w:after="20"/>
              <w:rPr>
                <w:sz w:val="21"/>
              </w:rPr>
            </w:pPr>
            <w:r>
              <w:rPr>
                <w:sz w:val="21"/>
              </w:rPr>
              <w:t>356.74</w:t>
            </w:r>
          </w:p>
        </w:tc>
        <w:tc>
          <w:tcPr>
            <w:tcW w:w="1109" w:type="dxa"/>
            <w:tcMar>
              <w:left w:w="43" w:type="dxa"/>
              <w:right w:w="43" w:type="dxa"/>
            </w:tcMar>
          </w:tcPr>
          <w:p w:rsidR="00173DDB" w:rsidRDefault="00173DDB">
            <w:pPr>
              <w:spacing w:before="20" w:after="20"/>
              <w:jc w:val="right"/>
              <w:rPr>
                <w:sz w:val="21"/>
              </w:rPr>
            </w:pPr>
            <w:r>
              <w:rPr>
                <w:sz w:val="21"/>
              </w:rPr>
              <w:t>8,561.73</w:t>
            </w:r>
          </w:p>
        </w:tc>
      </w:tr>
      <w:tr w:rsidR="00173DDB">
        <w:tblPrEx>
          <w:tblCellMar>
            <w:top w:w="0" w:type="dxa"/>
            <w:bottom w:w="0" w:type="dxa"/>
          </w:tblCellMar>
        </w:tblPrEx>
        <w:trPr>
          <w:cantSplit/>
          <w:jc w:val="center"/>
        </w:trPr>
        <w:tc>
          <w:tcPr>
            <w:tcW w:w="7230" w:type="dxa"/>
            <w:tcBorders>
              <w:bottom w:val="single" w:sz="2" w:space="0" w:color="auto"/>
            </w:tcBorders>
            <w:tcMar>
              <w:left w:w="43" w:type="dxa"/>
              <w:right w:w="43" w:type="dxa"/>
            </w:tcMar>
          </w:tcPr>
          <w:p w:rsidR="00173DDB" w:rsidRDefault="00173DDB">
            <w:pPr>
              <w:pStyle w:val="Heading7"/>
              <w:spacing w:before="20" w:after="20"/>
              <w:rPr>
                <w:i w:val="0"/>
                <w:iCs w:val="0"/>
                <w:sz w:val="21"/>
              </w:rPr>
            </w:pPr>
            <w:r>
              <w:rPr>
                <w:i w:val="0"/>
                <w:iCs w:val="0"/>
                <w:sz w:val="21"/>
              </w:rPr>
              <w:t>Total burden</w:t>
            </w:r>
          </w:p>
        </w:tc>
        <w:tc>
          <w:tcPr>
            <w:tcW w:w="1320" w:type="dxa"/>
            <w:tcBorders>
              <w:bottom w:val="single" w:sz="2" w:space="0" w:color="auto"/>
            </w:tcBorders>
            <w:tcMar>
              <w:left w:w="43" w:type="dxa"/>
              <w:right w:w="43" w:type="dxa"/>
            </w:tcMar>
          </w:tcPr>
          <w:p w:rsidR="00173DDB" w:rsidRDefault="00173DDB">
            <w:pPr>
              <w:tabs>
                <w:tab w:val="decimal" w:pos="797"/>
              </w:tabs>
              <w:spacing w:before="20" w:after="20"/>
              <w:rPr>
                <w:b/>
                <w:bCs/>
                <w:sz w:val="21"/>
              </w:rPr>
            </w:pPr>
            <w:r>
              <w:rPr>
                <w:b/>
                <w:bCs/>
                <w:sz w:val="21"/>
              </w:rPr>
              <w:t>6,181.87</w:t>
            </w:r>
          </w:p>
        </w:tc>
        <w:tc>
          <w:tcPr>
            <w:tcW w:w="1109" w:type="dxa"/>
            <w:tcBorders>
              <w:bottom w:val="single" w:sz="2" w:space="0" w:color="auto"/>
            </w:tcBorders>
            <w:tcMar>
              <w:left w:w="43" w:type="dxa"/>
              <w:right w:w="43" w:type="dxa"/>
            </w:tcMar>
          </w:tcPr>
          <w:p w:rsidR="00173DDB" w:rsidRDefault="00173DDB">
            <w:pPr>
              <w:spacing w:before="20" w:after="20"/>
              <w:jc w:val="right"/>
              <w:rPr>
                <w:b/>
                <w:bCs/>
                <w:sz w:val="21"/>
              </w:rPr>
            </w:pPr>
            <w:r>
              <w:rPr>
                <w:b/>
                <w:bCs/>
                <w:sz w:val="21"/>
              </w:rPr>
              <w:t>148,364.58</w:t>
            </w:r>
          </w:p>
        </w:tc>
      </w:tr>
      <w:tr w:rsidR="00173DDB">
        <w:tblPrEx>
          <w:tblCellMar>
            <w:top w:w="0" w:type="dxa"/>
            <w:bottom w:w="0" w:type="dxa"/>
          </w:tblCellMar>
        </w:tblPrEx>
        <w:trPr>
          <w:cantSplit/>
          <w:jc w:val="center"/>
        </w:trPr>
        <w:tc>
          <w:tcPr>
            <w:tcW w:w="9659" w:type="dxa"/>
            <w:gridSpan w:val="3"/>
            <w:tcBorders>
              <w:top w:val="single" w:sz="2" w:space="0" w:color="auto"/>
              <w:bottom w:val="single" w:sz="6" w:space="0" w:color="auto"/>
            </w:tcBorders>
            <w:tcMar>
              <w:left w:w="43" w:type="dxa"/>
              <w:right w:w="43" w:type="dxa"/>
            </w:tcMar>
          </w:tcPr>
          <w:p w:rsidR="00173DDB" w:rsidRDefault="00173DDB">
            <w:pPr>
              <w:spacing w:before="20" w:after="20"/>
              <w:rPr>
                <w:b/>
                <w:bCs/>
                <w:sz w:val="21"/>
              </w:rPr>
            </w:pPr>
            <w:r>
              <w:rPr>
                <w:sz w:val="21"/>
              </w:rPr>
              <w:t xml:space="preserve">a. Based on labor rate of $24.00 per hour. </w:t>
            </w:r>
          </w:p>
        </w:tc>
      </w:tr>
    </w:tbl>
    <w:p w:rsidR="00173DDB" w:rsidRDefault="00173DDB">
      <w:pPr>
        <w:pStyle w:val="Header"/>
        <w:widowControl/>
        <w:tabs>
          <w:tab w:val="clear" w:pos="4320"/>
          <w:tab w:val="clear" w:pos="8640"/>
        </w:tabs>
        <w:autoSpaceDE/>
        <w:autoSpaceDN/>
        <w:adjustRightInd/>
        <w:spacing w:after="240"/>
      </w:pPr>
    </w:p>
    <w:p w:rsidR="00173DDB" w:rsidRDefault="00173DDB">
      <w:pPr>
        <w:pStyle w:val="Header"/>
        <w:keepNext/>
        <w:widowControl/>
        <w:tabs>
          <w:tab w:val="clear" w:pos="4320"/>
          <w:tab w:val="clear" w:pos="8640"/>
        </w:tabs>
        <w:autoSpaceDE/>
        <w:autoSpaceDN/>
        <w:adjustRightInd/>
        <w:spacing w:before="240" w:after="240"/>
        <w:rPr>
          <w:b/>
          <w:bCs/>
        </w:rPr>
      </w:pPr>
      <w:r>
        <w:rPr>
          <w:b/>
          <w:bCs/>
        </w:rPr>
        <w:t xml:space="preserve">6(d) </w:t>
      </w:r>
      <w:r>
        <w:rPr>
          <w:b/>
          <w:bCs/>
        </w:rPr>
        <w:tab/>
        <w:t>Estimating the Respondent Universe and Total Burden and Costs</w:t>
      </w:r>
    </w:p>
    <w:p w:rsidR="00173DDB" w:rsidRDefault="00173DDB">
      <w:pPr>
        <w:pStyle w:val="Header"/>
        <w:widowControl/>
        <w:tabs>
          <w:tab w:val="clear" w:pos="4320"/>
          <w:tab w:val="clear" w:pos="8640"/>
        </w:tabs>
        <w:autoSpaceDE/>
        <w:autoSpaceDN/>
        <w:adjustRightInd/>
        <w:spacing w:after="240"/>
      </w:pPr>
      <w:r>
        <w:t>The universe of respondents has been estimated by EPA as 267,554 respondents, consisting of 133,777 service technicians and 133,777 owners or operators of appliances that have greater than a 50 pound charge requiring repair. This represents a high estimate accounting for a unique owner and service technician for each appliance requiring a repair. The total burden is 6,182 hours at a cost of $148,365 per year.</w:t>
      </w:r>
    </w:p>
    <w:p w:rsidR="00173DDB" w:rsidRDefault="00173DDB">
      <w:pPr>
        <w:pStyle w:val="Header"/>
        <w:keepNext/>
        <w:widowControl/>
        <w:tabs>
          <w:tab w:val="clear" w:pos="4320"/>
          <w:tab w:val="clear" w:pos="8640"/>
        </w:tabs>
        <w:autoSpaceDE/>
        <w:autoSpaceDN/>
        <w:adjustRightInd/>
        <w:spacing w:before="240" w:after="240"/>
        <w:rPr>
          <w:b/>
          <w:bCs/>
        </w:rPr>
      </w:pPr>
      <w:r>
        <w:rPr>
          <w:b/>
          <w:bCs/>
        </w:rPr>
        <w:t xml:space="preserve">6(e) </w:t>
      </w:r>
      <w:r>
        <w:rPr>
          <w:b/>
          <w:bCs/>
        </w:rPr>
        <w:tab/>
        <w:t>Bottom Line Burden Hours and Costs Tables</w:t>
      </w:r>
    </w:p>
    <w:p w:rsidR="00173DDB" w:rsidRDefault="00173DDB">
      <w:pPr>
        <w:pStyle w:val="Header"/>
        <w:widowControl/>
        <w:tabs>
          <w:tab w:val="clear" w:pos="4320"/>
          <w:tab w:val="clear" w:pos="8640"/>
        </w:tabs>
        <w:autoSpaceDE/>
        <w:autoSpaceDN/>
        <w:adjustRightInd/>
        <w:spacing w:after="240"/>
      </w:pPr>
      <w:r>
        <w:t xml:space="preserve">The bottom line burden is 6,182 hours at a cost of $148,365 per year and 18,546 hours and $445,094 over a 3 year period borne by owners or operators of refrigeration and air conditioning appliances with a charge size greater than 50 pounds. </w:t>
      </w:r>
    </w:p>
    <w:p w:rsidR="00173DDB" w:rsidRDefault="00173DDB">
      <w:pPr>
        <w:pStyle w:val="Header"/>
        <w:keepNext/>
        <w:widowControl/>
        <w:tabs>
          <w:tab w:val="clear" w:pos="4320"/>
          <w:tab w:val="clear" w:pos="8640"/>
        </w:tabs>
        <w:autoSpaceDE/>
        <w:autoSpaceDN/>
        <w:adjustRightInd/>
        <w:spacing w:before="240" w:after="240"/>
        <w:rPr>
          <w:b/>
          <w:bCs/>
        </w:rPr>
      </w:pPr>
      <w:r>
        <w:rPr>
          <w:b/>
          <w:bCs/>
        </w:rPr>
        <w:t xml:space="preserve">6(f) </w:t>
      </w:r>
      <w:r>
        <w:rPr>
          <w:b/>
          <w:bCs/>
        </w:rPr>
        <w:tab/>
        <w:t>Reasons for Change in Burden</w:t>
      </w:r>
    </w:p>
    <w:p w:rsidR="00173DDB" w:rsidRDefault="00173DDB">
      <w:pPr>
        <w:pStyle w:val="Header"/>
        <w:widowControl/>
        <w:tabs>
          <w:tab w:val="clear" w:pos="4320"/>
          <w:tab w:val="clear" w:pos="8640"/>
        </w:tabs>
        <w:autoSpaceDE/>
        <w:autoSpaceDN/>
        <w:adjustRightInd/>
        <w:spacing w:after="240"/>
      </w:pPr>
      <w:r>
        <w:t xml:space="preserve">There is a change in burden due to a change in the trigger rates for leak repair and required practices according to </w:t>
      </w:r>
      <w:r w:rsidR="00BB3B05">
        <w:t>the proposed</w:t>
      </w:r>
      <w:r>
        <w:t xml:space="preserve"> regulation.</w:t>
      </w:r>
    </w:p>
    <w:p w:rsidR="00173DDB" w:rsidRDefault="00173DDB">
      <w:pPr>
        <w:pStyle w:val="Header"/>
        <w:keepNext/>
        <w:widowControl/>
        <w:tabs>
          <w:tab w:val="clear" w:pos="4320"/>
          <w:tab w:val="clear" w:pos="8640"/>
        </w:tabs>
        <w:autoSpaceDE/>
        <w:autoSpaceDN/>
        <w:adjustRightInd/>
        <w:spacing w:before="240" w:after="240"/>
        <w:rPr>
          <w:b/>
          <w:bCs/>
        </w:rPr>
      </w:pPr>
      <w:r>
        <w:rPr>
          <w:b/>
          <w:bCs/>
        </w:rPr>
        <w:t xml:space="preserve">6(g) </w:t>
      </w:r>
      <w:r>
        <w:rPr>
          <w:b/>
          <w:bCs/>
        </w:rPr>
        <w:tab/>
        <w:t>Burden Statement</w:t>
      </w:r>
    </w:p>
    <w:p w:rsidR="00173DDB" w:rsidRDefault="00173DDB">
      <w:r>
        <w:t xml:space="preserve">The annual burden is 6,182 hours. Burden means the total time, effort, or financial resources expended by persons to generate, maintain, retain, or disclose or provide information to or for a federal agency. This includes the time needed to review forms; develop, acquire, install, and utilize technology and systems for the purposes of collecting, validating, and verifying information, processing and maintaining information, and disclosing and providing information; </w:t>
      </w:r>
      <w:r>
        <w:lastRenderedPageBreak/>
        <w:t>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w:t>
      </w:r>
    </w:p>
    <w:p w:rsidR="00173DDB" w:rsidRDefault="00173DDB">
      <w:r>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EPA-HQ-OAR-200</w:t>
      </w:r>
      <w:r w:rsidR="00BB3B05">
        <w:t>3-0167</w:t>
      </w:r>
      <w:r>
        <w:t xml:space="preserve">, which is available for online viewing at </w:t>
      </w:r>
      <w:hyperlink r:id="rId10" w:history="1">
        <w:r>
          <w:rPr>
            <w:rStyle w:val="Hyperlink"/>
          </w:rPr>
          <w:t>www.regulations.gov</w:t>
        </w:r>
      </w:hyperlink>
      <w:r>
        <w:t xml:space="preserve"> or in-person viewing at the Air Docket in the EPA Docket Center (EPA/DC), EPA West Room 3334, 1301 Constitution Avenue, NW, Washington, DC. The EPA/DC Public Reading Room is open from 8:30 a.m. to 4:30 p.m., Monday through Friday, excluding legal holidays. The telephone number for the Reading Room is (202) 566-1744, and the telephone number for the Air Docket is (202) 566-1742. An electronic version of the public docket is available at </w:t>
      </w:r>
      <w:hyperlink r:id="rId11" w:history="1">
        <w:r>
          <w:rPr>
            <w:rStyle w:val="Hyperlink"/>
          </w:rPr>
          <w:t>www.regulations.gov</w:t>
        </w:r>
      </w:hyperlink>
      <w:r>
        <w:t xml:space="preserve">. This site can be used to submit or view public comments, access the index listing of the contents of the public docket, and access those documents in the public docket that are available electronically. When in the system, select “search,” then key in the Docket ID Number identified above. Also, comments can be sent to the Office of Information and Regulatory Affairs, Office of Management and Budget, </w:t>
      </w:r>
      <w:smartTag w:uri="urn:schemas-microsoft-com:office:smarttags" w:element="address">
        <w:smartTag w:uri="urn:schemas-microsoft-com:office:smarttags" w:element="Street">
          <w:r>
            <w:t>725 17th Street, NW</w:t>
          </w:r>
        </w:smartTag>
        <w:r>
          <w:t xml:space="preserve">, </w:t>
        </w:r>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20503</w:t>
          </w:r>
        </w:smartTag>
      </w:smartTag>
      <w:r>
        <w:t>, Attention: Desk Officer for EPA. Please include the EPA Docket ID Number EPA-HQ-OAR-200</w:t>
      </w:r>
      <w:r w:rsidR="00BB3B05">
        <w:t>3-0167</w:t>
      </w:r>
      <w:r>
        <w:t xml:space="preserve"> and OMB Control Number</w:t>
      </w:r>
      <w:r w:rsidR="00BB3B05">
        <w:t>2060-0256</w:t>
      </w:r>
      <w:r>
        <w:t xml:space="preserve"> in any correspondence.</w:t>
      </w:r>
    </w:p>
    <w:p w:rsidR="00173DDB" w:rsidRDefault="00173DDB"/>
    <w:p w:rsidR="00173DDB" w:rsidRDefault="00173DDB"/>
    <w:p w:rsidR="00173DDB" w:rsidRDefault="00173DDB"/>
    <w:sectPr w:rsidR="00173DDB">
      <w:headerReference w:type="default" r:id="rId12"/>
      <w:footerReference w:type="default" r:id="rId13"/>
      <w:pgSz w:w="12240" w:h="15840"/>
      <w:pgMar w:top="1440" w:right="1440" w:bottom="1440" w:left="1440" w:header="1080" w:footer="108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C95" w:rsidRDefault="00647C95">
      <w:r>
        <w:separator/>
      </w:r>
    </w:p>
  </w:endnote>
  <w:endnote w:type="continuationSeparator" w:id="0">
    <w:p w:rsidR="00647C95" w:rsidRDefault="00647C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47F" w:rsidRDefault="0001547F">
    <w:pPr>
      <w:pStyle w:val="Footer"/>
      <w:spacing w:after="0"/>
      <w:jc w:val="center"/>
      <w:rPr>
        <w:b/>
        <w:bCs/>
        <w:sz w:val="21"/>
      </w:rPr>
    </w:pPr>
    <w:r>
      <w:rPr>
        <w:b/>
        <w:bCs/>
        <w:sz w:val="21"/>
      </w:rPr>
      <w:t xml:space="preserve">Page </w:t>
    </w:r>
    <w:r>
      <w:rPr>
        <w:rStyle w:val="PageNumber"/>
        <w:b/>
        <w:bCs/>
        <w:sz w:val="21"/>
      </w:rPr>
      <w:fldChar w:fldCharType="begin"/>
    </w:r>
    <w:r>
      <w:rPr>
        <w:rStyle w:val="PageNumber"/>
        <w:b/>
        <w:bCs/>
        <w:sz w:val="21"/>
      </w:rPr>
      <w:instrText xml:space="preserve"> PAGE </w:instrText>
    </w:r>
    <w:r>
      <w:rPr>
        <w:rStyle w:val="PageNumber"/>
        <w:b/>
        <w:bCs/>
        <w:sz w:val="21"/>
      </w:rPr>
      <w:fldChar w:fldCharType="separate"/>
    </w:r>
    <w:r w:rsidR="00870D44">
      <w:rPr>
        <w:rStyle w:val="PageNumber"/>
        <w:b/>
        <w:bCs/>
        <w:noProof/>
        <w:sz w:val="21"/>
      </w:rPr>
      <w:t>1</w:t>
    </w:r>
    <w:r>
      <w:rPr>
        <w:rStyle w:val="PageNumber"/>
        <w:b/>
        <w:bCs/>
        <w:sz w:val="21"/>
      </w:rPr>
      <w:fldChar w:fldCharType="end"/>
    </w:r>
    <w:r>
      <w:rPr>
        <w:rStyle w:val="PageNumber"/>
        <w:b/>
        <w:bCs/>
        <w:sz w:val="21"/>
      </w:rPr>
      <w:b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47F" w:rsidRDefault="0001547F">
    <w:pPr>
      <w:pStyle w:val="Footer"/>
      <w:tabs>
        <w:tab w:val="clear" w:pos="4320"/>
        <w:tab w:val="clear" w:pos="8640"/>
        <w:tab w:val="center" w:pos="6480"/>
        <w:tab w:val="right" w:leader="underscore" w:pos="12960"/>
      </w:tabs>
      <w:spacing w:after="0"/>
      <w:jc w:val="center"/>
      <w:rPr>
        <w:b/>
        <w:bCs/>
        <w:sz w:val="21"/>
      </w:rPr>
    </w:pPr>
    <w:r>
      <w:rPr>
        <w:b/>
        <w:bCs/>
        <w:sz w:val="21"/>
      </w:rPr>
      <w:t xml:space="preserve">Page </w:t>
    </w:r>
    <w:r>
      <w:rPr>
        <w:rStyle w:val="PageNumber"/>
        <w:b/>
        <w:bCs/>
        <w:sz w:val="21"/>
      </w:rPr>
      <w:fldChar w:fldCharType="begin"/>
    </w:r>
    <w:r>
      <w:rPr>
        <w:rStyle w:val="PageNumber"/>
        <w:b/>
        <w:bCs/>
        <w:sz w:val="21"/>
      </w:rPr>
      <w:instrText xml:space="preserve"> PAGE </w:instrText>
    </w:r>
    <w:r>
      <w:rPr>
        <w:rStyle w:val="PageNumber"/>
        <w:b/>
        <w:bCs/>
        <w:sz w:val="21"/>
      </w:rPr>
      <w:fldChar w:fldCharType="separate"/>
    </w:r>
    <w:r w:rsidR="00870D44">
      <w:rPr>
        <w:rStyle w:val="PageNumber"/>
        <w:b/>
        <w:bCs/>
        <w:noProof/>
        <w:sz w:val="21"/>
      </w:rPr>
      <w:t>8</w:t>
    </w:r>
    <w:r>
      <w:rPr>
        <w:rStyle w:val="PageNumber"/>
        <w:b/>
        <w:bCs/>
        <w:sz w:val="21"/>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47F" w:rsidRDefault="0001547F">
    <w:pPr>
      <w:pStyle w:val="Footer"/>
      <w:spacing w:after="0"/>
      <w:jc w:val="center"/>
      <w:rPr>
        <w:b/>
        <w:bCs/>
        <w:sz w:val="21"/>
      </w:rPr>
    </w:pPr>
    <w:r>
      <w:rPr>
        <w:b/>
        <w:bCs/>
        <w:sz w:val="21"/>
      </w:rPr>
      <w:t xml:space="preserve">Page </w:t>
    </w:r>
    <w:r>
      <w:rPr>
        <w:rStyle w:val="PageNumber"/>
        <w:b/>
        <w:bCs/>
        <w:sz w:val="21"/>
      </w:rPr>
      <w:fldChar w:fldCharType="begin"/>
    </w:r>
    <w:r>
      <w:rPr>
        <w:rStyle w:val="PageNumber"/>
        <w:b/>
        <w:bCs/>
        <w:sz w:val="21"/>
      </w:rPr>
      <w:instrText xml:space="preserve"> PAGE </w:instrText>
    </w:r>
    <w:r>
      <w:rPr>
        <w:rStyle w:val="PageNumber"/>
        <w:b/>
        <w:bCs/>
        <w:sz w:val="21"/>
      </w:rPr>
      <w:fldChar w:fldCharType="separate"/>
    </w:r>
    <w:r w:rsidR="00870D44">
      <w:rPr>
        <w:rStyle w:val="PageNumber"/>
        <w:b/>
        <w:bCs/>
        <w:noProof/>
        <w:sz w:val="21"/>
      </w:rPr>
      <w:t>12</w:t>
    </w:r>
    <w:r>
      <w:rPr>
        <w:rStyle w:val="PageNumber"/>
        <w:b/>
        <w:bCs/>
        <w:sz w:val="21"/>
      </w:rPr>
      <w:fldChar w:fldCharType="end"/>
    </w:r>
    <w:r>
      <w:rPr>
        <w:rStyle w:val="PageNumber"/>
        <w:b/>
        <w:bCs/>
        <w:sz w:val="21"/>
      </w:rPr>
      <w:b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C95" w:rsidRDefault="00647C95">
      <w:pPr>
        <w:spacing w:after="60"/>
      </w:pPr>
      <w:r>
        <w:separator/>
      </w:r>
    </w:p>
  </w:footnote>
  <w:footnote w:type="continuationSeparator" w:id="0">
    <w:p w:rsidR="00647C95" w:rsidRDefault="00647C95">
      <w:r>
        <w:continuationSeparator/>
      </w:r>
    </w:p>
  </w:footnote>
  <w:footnote w:id="1">
    <w:p w:rsidR="0001547F" w:rsidRDefault="0001547F">
      <w:pPr>
        <w:pStyle w:val="FootnoteText"/>
        <w:numPr>
          <w:ilvl w:val="0"/>
          <w:numId w:val="0"/>
        </w:numPr>
        <w:spacing w:after="120"/>
      </w:pPr>
      <w:r>
        <w:rPr>
          <w:rStyle w:val="FootnoteReference"/>
          <w:vertAlign w:val="baseline"/>
        </w:rPr>
        <w:footnoteRef/>
      </w:r>
      <w:r>
        <w:t xml:space="preserve"> EPA ICR No. 1626.10, OMB Control No. 2060–0256.</w:t>
      </w:r>
    </w:p>
  </w:footnote>
  <w:footnote w:id="2">
    <w:p w:rsidR="0001547F" w:rsidRDefault="0001547F">
      <w:pPr>
        <w:pStyle w:val="FootnoteText"/>
        <w:numPr>
          <w:ilvl w:val="0"/>
          <w:numId w:val="0"/>
        </w:numPr>
        <w:spacing w:after="120"/>
      </w:pPr>
      <w:r>
        <w:rPr>
          <w:rStyle w:val="FootnoteReference"/>
          <w:vertAlign w:val="baseline"/>
        </w:rPr>
        <w:footnoteRef/>
      </w:r>
      <w:r>
        <w:t xml:space="preserve">. </w:t>
      </w:r>
      <w:proofErr w:type="gramStart"/>
      <w:r>
        <w:t>BLS.</w:t>
      </w:r>
      <w:proofErr w:type="gramEnd"/>
      <w:r>
        <w:t xml:space="preserve"> 2008. Occupational Employment and Wages, May 2007 – 43-0000 Office and Administrative Support Occupations (Major Group). </w:t>
      </w:r>
      <w:proofErr w:type="gramStart"/>
      <w:r>
        <w:t>Bureau of Labor Statistics.</w:t>
      </w:r>
      <w:proofErr w:type="gramEnd"/>
      <w:r>
        <w:t xml:space="preserve"> Available: </w:t>
      </w:r>
      <w:hyperlink r:id="rId1" w:history="1">
        <w:r>
          <w:rPr>
            <w:rStyle w:val="Hyperlink"/>
          </w:rPr>
          <w:t>http://www.bls.gov/oes/2007/may/oes430000.htm</w:t>
        </w:r>
      </w:hyperlink>
      <w:r>
        <w:t>. Accessed 10/20/09.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47F" w:rsidRPr="00870D44" w:rsidRDefault="0001547F" w:rsidP="00870D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47F" w:rsidRPr="00870D44" w:rsidRDefault="0001547F" w:rsidP="00870D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0"/>
    <w:name w:val="AutoList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B"/>
    <w:multiLevelType w:val="singleLevel"/>
    <w:tmpl w:val="0000000B"/>
    <w:name w:val="WW8Num25"/>
    <w:lvl w:ilvl="0">
      <w:start w:val="1"/>
      <w:numFmt w:val="bullet"/>
      <w:lvlText w:val=""/>
      <w:lvlJc w:val="left"/>
      <w:pPr>
        <w:tabs>
          <w:tab w:val="num" w:pos="1080"/>
        </w:tabs>
      </w:pPr>
      <w:rPr>
        <w:rFonts w:ascii="Symbol" w:hAnsi="Symbol"/>
        <w:sz w:val="16"/>
      </w:rPr>
    </w:lvl>
  </w:abstractNum>
  <w:abstractNum w:abstractNumId="2">
    <w:nsid w:val="078B180A"/>
    <w:multiLevelType w:val="multilevel"/>
    <w:tmpl w:val="49E678F8"/>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1080"/>
        </w:tabs>
        <w:ind w:left="720" w:hanging="720"/>
      </w:pPr>
    </w:lvl>
    <w:lvl w:ilvl="3">
      <w:start w:val="1"/>
      <w:numFmt w:val="none"/>
      <w:pStyle w:val="Heading4"/>
      <w:suff w:val="nothing"/>
      <w:lvlText w:val=""/>
      <w:lvlJc w:val="left"/>
      <w:pPr>
        <w:ind w:left="0" w:firstLine="0"/>
      </w:pPr>
    </w:lvl>
    <w:lvl w:ilvl="4">
      <w:start w:val="1"/>
      <w:numFmt w:val="none"/>
      <w:suff w:val="nothing"/>
      <w:lvlText w:val=""/>
      <w:lvlJc w:val="left"/>
      <w:pPr>
        <w:ind w:left="720" w:hanging="720"/>
      </w:pPr>
    </w:lvl>
    <w:lvl w:ilvl="5">
      <w:start w:val="1"/>
      <w:numFmt w:val="none"/>
      <w:suff w:val="nothing"/>
      <w:lvlText w:val=""/>
      <w:lvlJc w:val="left"/>
      <w:pPr>
        <w:ind w:left="720" w:hanging="720"/>
      </w:pPr>
    </w:lvl>
    <w:lvl w:ilvl="6">
      <w:start w:val="1"/>
      <w:numFmt w:val="none"/>
      <w:suff w:val="nothing"/>
      <w:lvlText w:val=""/>
      <w:lvlJc w:val="left"/>
      <w:pPr>
        <w:ind w:left="720" w:hanging="720"/>
      </w:pPr>
    </w:lvl>
    <w:lvl w:ilvl="7">
      <w:start w:val="1"/>
      <w:numFmt w:val="none"/>
      <w:pStyle w:val="Heading8"/>
      <w:suff w:val="nothing"/>
      <w:lvlText w:val=""/>
      <w:lvlJc w:val="left"/>
      <w:pPr>
        <w:ind w:left="720" w:hanging="720"/>
      </w:pPr>
    </w:lvl>
    <w:lvl w:ilvl="8">
      <w:start w:val="1"/>
      <w:numFmt w:val="none"/>
      <w:pStyle w:val="Heading9"/>
      <w:suff w:val="nothing"/>
      <w:lvlText w:val=""/>
      <w:lvlJc w:val="left"/>
      <w:pPr>
        <w:ind w:left="720" w:hanging="720"/>
      </w:pPr>
    </w:lvl>
  </w:abstractNum>
  <w:abstractNum w:abstractNumId="3">
    <w:nsid w:val="212B2634"/>
    <w:multiLevelType w:val="singleLevel"/>
    <w:tmpl w:val="07745166"/>
    <w:lvl w:ilvl="0">
      <w:start w:val="1"/>
      <w:numFmt w:val="decimal"/>
      <w:pStyle w:val="FootnoteText"/>
      <w:lvlText w:val="%1."/>
      <w:lvlJc w:val="left"/>
      <w:pPr>
        <w:tabs>
          <w:tab w:val="num" w:pos="360"/>
        </w:tabs>
        <w:ind w:left="360" w:hanging="360"/>
      </w:pPr>
    </w:lvl>
  </w:abstractNum>
  <w:abstractNum w:abstractNumId="4">
    <w:nsid w:val="45C83A89"/>
    <w:multiLevelType w:val="multilevel"/>
    <w:tmpl w:val="00000000"/>
    <w:lvl w:ilvl="0">
      <w:start w:val="1"/>
      <w:numFmt w:val="none"/>
      <w:lvlText w:val="}"/>
      <w:legacy w:legacy="1" w:legacySpace="0" w:legacyIndent="720"/>
      <w:lvlJc w:val="left"/>
      <w:pPr>
        <w:ind w:left="720" w:hanging="720"/>
      </w:pPr>
      <w:rPr>
        <w:rFonts w:ascii="Wingdings 3" w:hAnsi="Wingdings 3" w:hint="default"/>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nsid w:val="70506EF1"/>
    <w:multiLevelType w:val="multilevel"/>
    <w:tmpl w:val="00000000"/>
    <w:lvl w:ilvl="0">
      <w:start w:val="1"/>
      <w:numFmt w:val="none"/>
      <w:lvlText w:val="}"/>
      <w:legacy w:legacy="1" w:legacySpace="0" w:legacyIndent="720"/>
      <w:lvlJc w:val="left"/>
      <w:pPr>
        <w:ind w:left="720" w:hanging="720"/>
      </w:pPr>
      <w:rPr>
        <w:rFonts w:ascii="Wingdings 3" w:hAnsi="Wingdings 3" w:hint="default"/>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2"/>
  </w:num>
  <w:num w:numId="2">
    <w:abstractNumId w:val="2"/>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3F01"/>
  <w:doNotTrackMoves/>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67F6C"/>
    <w:rsid w:val="0001547F"/>
    <w:rsid w:val="00173DDB"/>
    <w:rsid w:val="00296AE1"/>
    <w:rsid w:val="00647C95"/>
    <w:rsid w:val="007F7473"/>
    <w:rsid w:val="00870D44"/>
    <w:rsid w:val="00967F6C"/>
    <w:rsid w:val="00BB3B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pPr>
    <w:rPr>
      <w:sz w:val="24"/>
    </w:rPr>
  </w:style>
  <w:style w:type="paragraph" w:styleId="Heading1">
    <w:name w:val="heading 1"/>
    <w:basedOn w:val="Normal"/>
    <w:next w:val="Normal"/>
    <w:qFormat/>
    <w:pPr>
      <w:keepNext/>
      <w:numPr>
        <w:numId w:val="3"/>
      </w:numPr>
      <w:tabs>
        <w:tab w:val="clear" w:pos="720"/>
      </w:tabs>
      <w:spacing w:before="240"/>
      <w:outlineLvl w:val="0"/>
    </w:pPr>
    <w:rPr>
      <w:b/>
      <w:kern w:val="28"/>
      <w:sz w:val="48"/>
    </w:rPr>
  </w:style>
  <w:style w:type="paragraph" w:styleId="Heading2">
    <w:name w:val="heading 2"/>
    <w:basedOn w:val="Normal"/>
    <w:next w:val="Normal"/>
    <w:qFormat/>
    <w:pPr>
      <w:keepNext/>
      <w:numPr>
        <w:ilvl w:val="1"/>
        <w:numId w:val="3"/>
      </w:numPr>
      <w:spacing w:before="240"/>
      <w:outlineLvl w:val="1"/>
    </w:pPr>
    <w:rPr>
      <w:b/>
      <w:sz w:val="32"/>
    </w:rPr>
  </w:style>
  <w:style w:type="paragraph" w:styleId="Heading3">
    <w:name w:val="heading 3"/>
    <w:basedOn w:val="Normal"/>
    <w:next w:val="Normal"/>
    <w:qFormat/>
    <w:pPr>
      <w:keepNext/>
      <w:numPr>
        <w:ilvl w:val="2"/>
        <w:numId w:val="3"/>
      </w:numPr>
      <w:tabs>
        <w:tab w:val="clear" w:pos="1080"/>
      </w:tabs>
      <w:spacing w:before="240"/>
      <w:outlineLvl w:val="2"/>
    </w:pPr>
    <w:rPr>
      <w:b/>
    </w:rPr>
  </w:style>
  <w:style w:type="paragraph" w:styleId="Heading4">
    <w:name w:val="heading 4"/>
    <w:basedOn w:val="Heading1"/>
    <w:next w:val="Normal"/>
    <w:qFormat/>
    <w:pPr>
      <w:numPr>
        <w:ilvl w:val="3"/>
      </w:numPr>
      <w:ind w:left="720"/>
      <w:outlineLvl w:val="3"/>
    </w:pPr>
    <w:rPr>
      <w:sz w:val="24"/>
    </w:rPr>
  </w:style>
  <w:style w:type="paragraph" w:styleId="Heading5">
    <w:name w:val="heading 5"/>
    <w:basedOn w:val="Heading4"/>
    <w:next w:val="Normal"/>
    <w:qFormat/>
    <w:pPr>
      <w:numPr>
        <w:ilvl w:val="0"/>
        <w:numId w:val="0"/>
      </w:numPr>
      <w:ind w:left="720"/>
      <w:outlineLvl w:val="4"/>
    </w:pPr>
    <w:rPr>
      <w:i/>
    </w:rPr>
  </w:style>
  <w:style w:type="paragraph" w:styleId="Heading6">
    <w:name w:val="heading 6"/>
    <w:basedOn w:val="Heading5"/>
    <w:next w:val="Normal"/>
    <w:qFormat/>
    <w:pPr>
      <w:outlineLvl w:val="5"/>
    </w:pPr>
    <w:rPr>
      <w:b w:val="0"/>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numPr>
        <w:ilvl w:val="7"/>
        <w:numId w:val="1"/>
      </w:numPr>
      <w:tabs>
        <w:tab w:val="num" w:pos="720"/>
      </w:tabs>
      <w:spacing w:before="240" w:after="60"/>
      <w:outlineLvl w:val="7"/>
    </w:pPr>
    <w:rPr>
      <w:rFonts w:ascii="Arial" w:hAnsi="Arial"/>
      <w:i/>
      <w:sz w:val="20"/>
    </w:rPr>
  </w:style>
  <w:style w:type="paragraph" w:styleId="Heading9">
    <w:name w:val="heading 9"/>
    <w:basedOn w:val="Normal"/>
    <w:next w:val="Normal"/>
    <w:qFormat/>
    <w:pPr>
      <w:numPr>
        <w:ilvl w:val="8"/>
        <w:numId w:val="1"/>
      </w:numPr>
      <w:tabs>
        <w:tab w:val="num" w:pos="720"/>
      </w:tabs>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spacing w:before="240" w:after="60"/>
      <w:outlineLvl w:val="0"/>
    </w:pPr>
    <w:rPr>
      <w:b/>
      <w:kern w:val="28"/>
      <w:sz w:val="48"/>
    </w:rPr>
  </w:style>
  <w:style w:type="paragraph" w:styleId="FootnoteText">
    <w:name w:val="footnote text"/>
    <w:basedOn w:val="Normal"/>
    <w:semiHidden/>
    <w:pPr>
      <w:numPr>
        <w:numId w:val="4"/>
      </w:numPr>
    </w:pPr>
    <w:rPr>
      <w:sz w:val="21"/>
    </w:rPr>
  </w:style>
  <w:style w:type="paragraph" w:styleId="Caption">
    <w:name w:val="caption"/>
    <w:basedOn w:val="Normal"/>
    <w:next w:val="Normal"/>
    <w:qFormat/>
    <w:pPr>
      <w:keepNext/>
      <w:spacing w:before="120" w:after="120"/>
    </w:pPr>
    <w:rPr>
      <w:b/>
    </w:rPr>
  </w:style>
  <w:style w:type="character" w:styleId="FootnoteReference">
    <w:name w:val="footnote reference"/>
    <w:basedOn w:val="DefaultParagraphFont"/>
    <w:semiHidden/>
    <w:rPr>
      <w:rFonts w:ascii="Times New Roman" w:hAnsi="Times New Roman"/>
      <w:sz w:val="21"/>
      <w:vertAlign w:val="superscript"/>
    </w:rPr>
  </w:style>
  <w:style w:type="paragraph" w:customStyle="1" w:styleId="TableTitle">
    <w:name w:val="Table Title"/>
    <w:basedOn w:val="Normal"/>
    <w:pPr>
      <w:spacing w:after="0"/>
    </w:pPr>
    <w:rPr>
      <w:b/>
    </w:rPr>
  </w:style>
  <w:style w:type="paragraph" w:customStyle="1" w:styleId="Level1">
    <w:name w:val="Level 1"/>
    <w:basedOn w:val="Normal"/>
    <w:pPr>
      <w:widowControl w:val="0"/>
      <w:numPr>
        <w:numId w:val="2"/>
      </w:numPr>
      <w:autoSpaceDE w:val="0"/>
      <w:autoSpaceDN w:val="0"/>
      <w:adjustRightInd w:val="0"/>
      <w:spacing w:after="0"/>
      <w:outlineLvl w:val="0"/>
    </w:pPr>
    <w:rPr>
      <w:rFonts w:ascii="CG Times" w:hAnsi="CG Times"/>
      <w:szCs w:val="24"/>
    </w:rPr>
  </w:style>
  <w:style w:type="paragraph" w:styleId="Header">
    <w:name w:val="header"/>
    <w:basedOn w:val="Normal"/>
    <w:pPr>
      <w:widowControl w:val="0"/>
      <w:tabs>
        <w:tab w:val="center" w:pos="4320"/>
        <w:tab w:val="right" w:pos="8640"/>
      </w:tabs>
      <w:autoSpaceDE w:val="0"/>
      <w:autoSpaceDN w:val="0"/>
      <w:adjustRightInd w:val="0"/>
      <w:spacing w:after="0"/>
    </w:pPr>
    <w:rPr>
      <w:rFonts w:ascii="CG Times" w:hAnsi="CG Times"/>
      <w:szCs w:val="24"/>
    </w:rPr>
  </w:style>
  <w:style w:type="character" w:customStyle="1" w:styleId="WW8Num4z2">
    <w:name w:val="WW8Num4z2"/>
    <w:rPr>
      <w:rFonts w:ascii="Wingdings" w:hAnsi="Wingdings"/>
    </w:rPr>
  </w:style>
  <w:style w:type="character" w:styleId="Hyperlink">
    <w:name w:val="Hyperlink"/>
    <w:basedOn w:val="DefaultParagraphFont"/>
    <w:rPr>
      <w:color w:val="0000FF"/>
      <w:u w:val="single"/>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basedOn w:val="DefaultParagraphFont"/>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CKerwin\DOCUME~1\NDAMOD~1\LOCALS~1\EMiles\Local%20Settings\smorlando\Local%20Settings\Temporary%20Internet%20Files\Local%20Settings\Temporary%20Internet%20Files\OLKC\www.regulations.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Documents%20and%20Settings\CKerwin\DOCUME~1\NDAMOD~1\LOCALS~1\EMiles\Local%20Settings\smorlando\Local%20Settings\Temporary%20Internet%20Files\Local%20Settings\Temporary%20Internet%20Files\OLKC\www.regulations.gov"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oes/2007/may/oes430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4750</Words>
  <Characters>27077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MS Word Default Normal Template</vt:lpstr>
    </vt:vector>
  </TitlesOfParts>
  <Company> </Company>
  <LinksUpToDate>false</LinksUpToDate>
  <CharactersWithSpaces>31764</CharactersWithSpaces>
  <SharedDoc>false</SharedDoc>
  <HLinks>
    <vt:vector size="18" baseType="variant">
      <vt:variant>
        <vt:i4>5832781</vt:i4>
      </vt:variant>
      <vt:variant>
        <vt:i4>3</vt:i4>
      </vt:variant>
      <vt:variant>
        <vt:i4>0</vt:i4>
      </vt:variant>
      <vt:variant>
        <vt:i4>5</vt:i4>
      </vt:variant>
      <vt:variant>
        <vt:lpwstr>../../../DOCUME~1/NDAMOD~1/LOCALS~1/EMiles/Local Settings/smorlando/Local Settings/Temporary Internet Files/Local Settings/Temporary Internet Files/OLKC/www.regulations.gov</vt:lpwstr>
      </vt:variant>
      <vt:variant>
        <vt:lpwstr/>
      </vt:variant>
      <vt:variant>
        <vt:i4>5832781</vt:i4>
      </vt:variant>
      <vt:variant>
        <vt:i4>0</vt:i4>
      </vt:variant>
      <vt:variant>
        <vt:i4>0</vt:i4>
      </vt:variant>
      <vt:variant>
        <vt:i4>5</vt:i4>
      </vt:variant>
      <vt:variant>
        <vt:lpwstr>../../../DOCUME~1/NDAMOD~1/LOCALS~1/EMiles/Local Settings/smorlando/Local Settings/Temporary Internet Files/Local Settings/Temporary Internet Files/OLKC/www.regulations.gov</vt:lpwstr>
      </vt:variant>
      <vt:variant>
        <vt:lpwstr/>
      </vt:variant>
      <vt:variant>
        <vt:i4>6225996</vt:i4>
      </vt:variant>
      <vt:variant>
        <vt:i4>0</vt:i4>
      </vt:variant>
      <vt:variant>
        <vt:i4>0</vt:i4>
      </vt:variant>
      <vt:variant>
        <vt:i4>5</vt:i4>
      </vt:variant>
      <vt:variant>
        <vt:lpwstr>http://www.bls.gov/oes/2007/may/oes430000.htm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Default Normal Template</dc:title>
  <dc:subject/>
  <dc:creator>NDamodaran</dc:creator>
  <cp:keywords/>
  <dc:description/>
  <cp:lastModifiedBy>EPA</cp:lastModifiedBy>
  <cp:revision>3</cp:revision>
  <cp:lastPrinted>2009-10-22T13:38:00Z</cp:lastPrinted>
  <dcterms:created xsi:type="dcterms:W3CDTF">2010-12-15T15:44:00Z</dcterms:created>
  <dcterms:modified xsi:type="dcterms:W3CDTF">2010-12-15T15:46:00Z</dcterms:modified>
</cp:coreProperties>
</file>