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A6" w:rsidRDefault="00EA3DA6" w:rsidP="00383F37">
      <w:pPr>
        <w:pStyle w:val="BodyText"/>
        <w:rPr>
          <w:rFonts w:ascii="Times New Roman" w:hAnsi="Times New Roman"/>
          <w:b/>
          <w:caps/>
          <w:sz w:val="28"/>
          <w:szCs w:val="28"/>
        </w:rPr>
      </w:pPr>
    </w:p>
    <w:p w:rsidR="00EA3DA6" w:rsidRDefault="00EA3DA6" w:rsidP="00383F37">
      <w:pPr>
        <w:pStyle w:val="BodyText"/>
        <w:rPr>
          <w:rFonts w:ascii="Times New Roman" w:hAnsi="Times New Roman"/>
          <w:b/>
          <w:caps/>
          <w:sz w:val="28"/>
          <w:szCs w:val="28"/>
        </w:rPr>
      </w:pPr>
    </w:p>
    <w:p w:rsidR="00EA3DA6" w:rsidRPr="00C65652" w:rsidRDefault="00EA3DA6" w:rsidP="00EA3DA6">
      <w:pPr>
        <w:pStyle w:val="BodyText"/>
        <w:rPr>
          <w:rFonts w:ascii="Times New Roman" w:hAnsi="Times New Roman"/>
          <w:b/>
          <w:sz w:val="32"/>
          <w:szCs w:val="32"/>
        </w:rPr>
      </w:pPr>
      <w:r w:rsidRPr="00C65652">
        <w:rPr>
          <w:rFonts w:ascii="Times New Roman" w:hAnsi="Times New Roman"/>
          <w:b/>
          <w:sz w:val="32"/>
          <w:szCs w:val="32"/>
        </w:rPr>
        <w:t>Department of Transportation</w:t>
      </w:r>
    </w:p>
    <w:p w:rsidR="00EA3DA6" w:rsidRPr="00C65652" w:rsidRDefault="00EA3DA6" w:rsidP="00EA3DA6">
      <w:pPr>
        <w:pStyle w:val="BodyText"/>
        <w:rPr>
          <w:rFonts w:ascii="Times New Roman" w:hAnsi="Times New Roman"/>
          <w:b/>
          <w:sz w:val="32"/>
          <w:szCs w:val="32"/>
        </w:rPr>
      </w:pPr>
      <w:r w:rsidRPr="00C65652">
        <w:rPr>
          <w:rFonts w:ascii="Times New Roman" w:hAnsi="Times New Roman"/>
          <w:b/>
          <w:sz w:val="32"/>
          <w:szCs w:val="32"/>
        </w:rPr>
        <w:t>National Highway Traffic Safety Administration</w:t>
      </w:r>
    </w:p>
    <w:p w:rsidR="00EA3DA6" w:rsidRPr="002C40DB" w:rsidRDefault="00EA3DA6" w:rsidP="00EA3DA6">
      <w:pPr>
        <w:pStyle w:val="BodyText"/>
        <w:rPr>
          <w:rFonts w:ascii="Times New Roman" w:hAnsi="Times New Roman"/>
          <w:b/>
          <w:sz w:val="24"/>
          <w:szCs w:val="24"/>
        </w:rPr>
      </w:pPr>
    </w:p>
    <w:p w:rsidR="00EA3DA6" w:rsidRPr="002C40DB" w:rsidRDefault="00EA3DA6" w:rsidP="00EA3DA6">
      <w:pPr>
        <w:pStyle w:val="BodyText"/>
        <w:rPr>
          <w:rFonts w:ascii="Times New Roman" w:hAnsi="Times New Roman"/>
          <w:b/>
          <w:sz w:val="24"/>
          <w:szCs w:val="24"/>
          <w:u w:val="single"/>
        </w:rPr>
      </w:pPr>
      <w:r w:rsidRPr="002C40DB">
        <w:rPr>
          <w:rFonts w:ascii="Times New Roman" w:hAnsi="Times New Roman"/>
          <w:b/>
          <w:sz w:val="24"/>
          <w:szCs w:val="24"/>
          <w:u w:val="single"/>
        </w:rPr>
        <w:t>SUPPORTING STATEMENT</w:t>
      </w:r>
    </w:p>
    <w:p w:rsidR="00EA3DA6" w:rsidRPr="002C40DB" w:rsidRDefault="00EA3DA6" w:rsidP="00EA3DA6">
      <w:pPr>
        <w:pStyle w:val="BodyText"/>
        <w:rPr>
          <w:rFonts w:ascii="Times New Roman" w:hAnsi="Times New Roman"/>
          <w:b/>
          <w:sz w:val="24"/>
          <w:szCs w:val="24"/>
        </w:rPr>
      </w:pPr>
    </w:p>
    <w:p w:rsidR="00EA3DA6" w:rsidRPr="002C40DB" w:rsidRDefault="00EA3DA6" w:rsidP="00EA3DA6">
      <w:pPr>
        <w:jc w:val="center"/>
        <w:rPr>
          <w:b/>
          <w:sz w:val="24"/>
          <w:szCs w:val="24"/>
        </w:rPr>
      </w:pPr>
      <w:r w:rsidRPr="002C40DB">
        <w:rPr>
          <w:b/>
          <w:sz w:val="24"/>
          <w:szCs w:val="24"/>
        </w:rPr>
        <w:t>Focus Groups to Develop</w:t>
      </w:r>
    </w:p>
    <w:p w:rsidR="00EA3DA6" w:rsidRPr="002C40DB" w:rsidRDefault="00EA3DA6" w:rsidP="00EA3DA6">
      <w:pPr>
        <w:pStyle w:val="Default"/>
        <w:jc w:val="center"/>
        <w:rPr>
          <w:b/>
        </w:rPr>
      </w:pPr>
      <w:r>
        <w:rPr>
          <w:b/>
        </w:rPr>
        <w:t>Impaired Driving</w:t>
      </w:r>
      <w:r w:rsidRPr="002C40DB">
        <w:rPr>
          <w:b/>
        </w:rPr>
        <w:t xml:space="preserve"> </w:t>
      </w:r>
      <w:r w:rsidR="0083314F">
        <w:rPr>
          <w:b/>
        </w:rPr>
        <w:t xml:space="preserve">Prevention </w:t>
      </w:r>
      <w:r w:rsidRPr="002C40DB">
        <w:rPr>
          <w:b/>
        </w:rPr>
        <w:t>Public Service Advertising Campaign</w:t>
      </w:r>
    </w:p>
    <w:p w:rsidR="00EA3DA6" w:rsidRPr="002C40DB" w:rsidRDefault="00EA3DA6" w:rsidP="00EA3DA6">
      <w:pPr>
        <w:pStyle w:val="BodyText"/>
        <w:rPr>
          <w:rFonts w:ascii="Times New Roman" w:hAnsi="Times New Roman"/>
          <w:b/>
          <w:sz w:val="24"/>
          <w:szCs w:val="24"/>
        </w:rPr>
      </w:pPr>
    </w:p>
    <w:p w:rsidR="00EA3DA6" w:rsidRPr="002C40DB" w:rsidRDefault="00EA3DA6" w:rsidP="00EA3DA6">
      <w:pPr>
        <w:pStyle w:val="BodyText"/>
        <w:rPr>
          <w:rFonts w:ascii="Times New Roman" w:hAnsi="Times New Roman"/>
          <w:b/>
          <w:sz w:val="24"/>
          <w:szCs w:val="24"/>
        </w:rPr>
      </w:pPr>
      <w:r w:rsidRPr="002C40DB">
        <w:rPr>
          <w:rFonts w:ascii="Times New Roman" w:hAnsi="Times New Roman"/>
          <w:b/>
          <w:sz w:val="24"/>
          <w:szCs w:val="24"/>
        </w:rPr>
        <w:t>Generic Clearance OMB Control No:</w:t>
      </w:r>
      <w:r w:rsidRPr="002C40DB">
        <w:rPr>
          <w:b/>
          <w:sz w:val="24"/>
          <w:szCs w:val="24"/>
        </w:rPr>
        <w:t xml:space="preserve"> </w:t>
      </w:r>
      <w:r w:rsidRPr="002C40DB">
        <w:rPr>
          <w:rFonts w:ascii="Times New Roman" w:hAnsi="Times New Roman"/>
          <w:b/>
          <w:sz w:val="24"/>
          <w:szCs w:val="24"/>
        </w:rPr>
        <w:t xml:space="preserve">2127-0667: Focus Groups for Traffic and Motor Vehicle Safety Programs and Activities </w:t>
      </w:r>
    </w:p>
    <w:p w:rsidR="00EA3DA6" w:rsidRPr="00255955" w:rsidRDefault="00EA3DA6" w:rsidP="00383F37">
      <w:pPr>
        <w:pStyle w:val="BodyText"/>
        <w:rPr>
          <w:rFonts w:ascii="Times New Roman" w:hAnsi="Times New Roman"/>
          <w:b/>
          <w:caps/>
          <w:sz w:val="24"/>
          <w:szCs w:val="24"/>
        </w:rPr>
      </w:pPr>
    </w:p>
    <w:p w:rsidR="00A4437A" w:rsidRPr="00255955" w:rsidRDefault="00A4437A" w:rsidP="00A4437A">
      <w:pPr>
        <w:pStyle w:val="BodyText"/>
        <w:jc w:val="left"/>
        <w:rPr>
          <w:rFonts w:ascii="Times New Roman" w:hAnsi="Times New Roman"/>
          <w:sz w:val="24"/>
          <w:szCs w:val="24"/>
        </w:rPr>
      </w:pPr>
      <w:r w:rsidRPr="00255955">
        <w:rPr>
          <w:rFonts w:ascii="Times New Roman" w:hAnsi="Times New Roman"/>
          <w:sz w:val="24"/>
          <w:szCs w:val="24"/>
        </w:rPr>
        <w:t xml:space="preserve">As part of its generic clearance entitled </w:t>
      </w:r>
      <w:r w:rsidRPr="00255955">
        <w:rPr>
          <w:rFonts w:ascii="Times New Roman" w:hAnsi="Times New Roman"/>
          <w:i/>
          <w:sz w:val="24"/>
          <w:szCs w:val="24"/>
        </w:rPr>
        <w:t xml:space="preserve">Focus Groups for Traffic and Motor Vehicle Safety Programs and Activities </w:t>
      </w:r>
      <w:r w:rsidRPr="00255955">
        <w:rPr>
          <w:rFonts w:ascii="Times New Roman" w:hAnsi="Times New Roman"/>
          <w:sz w:val="24"/>
          <w:szCs w:val="24"/>
        </w:rPr>
        <w:t>(</w:t>
      </w:r>
      <w:r w:rsidR="00B0439A">
        <w:rPr>
          <w:rFonts w:ascii="Times New Roman" w:hAnsi="Times New Roman"/>
          <w:sz w:val="24"/>
          <w:szCs w:val="24"/>
        </w:rPr>
        <w:t xml:space="preserve">General Clearance </w:t>
      </w:r>
      <w:r w:rsidRPr="00255955">
        <w:rPr>
          <w:rFonts w:ascii="Times New Roman" w:hAnsi="Times New Roman"/>
          <w:sz w:val="24"/>
          <w:szCs w:val="24"/>
        </w:rPr>
        <w:t>OMB Control No: 2127-0667), NHTSA would like to conduct a limited number of focus group session</w:t>
      </w:r>
      <w:r w:rsidR="0070620C">
        <w:rPr>
          <w:rFonts w:ascii="Times New Roman" w:hAnsi="Times New Roman"/>
          <w:sz w:val="24"/>
          <w:szCs w:val="24"/>
        </w:rPr>
        <w:t>s to help r</w:t>
      </w:r>
      <w:r w:rsidRPr="00255955">
        <w:rPr>
          <w:rFonts w:ascii="Times New Roman" w:hAnsi="Times New Roman"/>
          <w:sz w:val="24"/>
          <w:szCs w:val="24"/>
        </w:rPr>
        <w:t>efine its communications strategy for a public service campaign designed to deter impaired driving among young adults, ages 21-</w:t>
      </w:r>
      <w:r w:rsidR="002E191C" w:rsidRPr="00255955">
        <w:rPr>
          <w:rFonts w:ascii="Times New Roman" w:hAnsi="Times New Roman"/>
          <w:sz w:val="24"/>
          <w:szCs w:val="24"/>
        </w:rPr>
        <w:t>3</w:t>
      </w:r>
      <w:r w:rsidR="002E191C">
        <w:rPr>
          <w:rFonts w:ascii="Times New Roman" w:hAnsi="Times New Roman"/>
          <w:sz w:val="24"/>
          <w:szCs w:val="24"/>
        </w:rPr>
        <w:t>4</w:t>
      </w:r>
      <w:r w:rsidRPr="00255955">
        <w:rPr>
          <w:rFonts w:ascii="Times New Roman" w:hAnsi="Times New Roman"/>
          <w:sz w:val="24"/>
          <w:szCs w:val="24"/>
        </w:rPr>
        <w:t xml:space="preserve">.  </w:t>
      </w:r>
    </w:p>
    <w:p w:rsidR="00A4437A" w:rsidRPr="00255955" w:rsidRDefault="00A4437A" w:rsidP="00A4437A">
      <w:pPr>
        <w:pStyle w:val="BodyText"/>
        <w:jc w:val="left"/>
        <w:rPr>
          <w:rFonts w:ascii="Times New Roman" w:hAnsi="Times New Roman"/>
          <w:sz w:val="24"/>
          <w:szCs w:val="24"/>
        </w:rPr>
      </w:pPr>
    </w:p>
    <w:p w:rsidR="00A4437A" w:rsidRPr="00255955" w:rsidRDefault="00A4437A" w:rsidP="00A4437A">
      <w:pPr>
        <w:pStyle w:val="BodyText"/>
        <w:jc w:val="left"/>
        <w:rPr>
          <w:rFonts w:ascii="Times New Roman" w:hAnsi="Times New Roman"/>
          <w:sz w:val="24"/>
          <w:szCs w:val="24"/>
        </w:rPr>
      </w:pPr>
      <w:r w:rsidRPr="00255955">
        <w:rPr>
          <w:rFonts w:ascii="Times New Roman" w:hAnsi="Times New Roman"/>
          <w:sz w:val="24"/>
          <w:szCs w:val="24"/>
        </w:rPr>
        <w:t xml:space="preserve">For this, NHTSA proposes to conduct </w:t>
      </w:r>
      <w:r w:rsidR="00255955" w:rsidRPr="00255955">
        <w:rPr>
          <w:rFonts w:ascii="Times New Roman" w:hAnsi="Times New Roman"/>
          <w:sz w:val="24"/>
          <w:szCs w:val="24"/>
        </w:rPr>
        <w:t>8</w:t>
      </w:r>
      <w:r w:rsidRPr="00255955">
        <w:rPr>
          <w:rFonts w:ascii="Times New Roman" w:hAnsi="Times New Roman"/>
          <w:sz w:val="24"/>
          <w:szCs w:val="24"/>
        </w:rPr>
        <w:t xml:space="preserve"> focus group sessions,</w:t>
      </w:r>
      <w:r w:rsidR="00255955" w:rsidRPr="00255955">
        <w:rPr>
          <w:rFonts w:ascii="Times New Roman" w:hAnsi="Times New Roman"/>
          <w:sz w:val="24"/>
          <w:szCs w:val="24"/>
        </w:rPr>
        <w:t xml:space="preserve"> each lasting 120 minutes with </w:t>
      </w:r>
      <w:r w:rsidR="00FC5D39">
        <w:rPr>
          <w:rFonts w:ascii="Times New Roman" w:hAnsi="Times New Roman"/>
          <w:sz w:val="24"/>
          <w:szCs w:val="24"/>
        </w:rPr>
        <w:t>9</w:t>
      </w:r>
      <w:r w:rsidR="00FC5D39" w:rsidRPr="00255955">
        <w:rPr>
          <w:rFonts w:ascii="Times New Roman" w:hAnsi="Times New Roman"/>
          <w:sz w:val="24"/>
          <w:szCs w:val="24"/>
        </w:rPr>
        <w:t xml:space="preserve"> </w:t>
      </w:r>
      <w:r w:rsidRPr="00255955">
        <w:rPr>
          <w:rFonts w:ascii="Times New Roman" w:hAnsi="Times New Roman"/>
          <w:sz w:val="24"/>
          <w:szCs w:val="24"/>
        </w:rPr>
        <w:t>participants in each.  For the recruiting of these participants, N</w:t>
      </w:r>
      <w:r w:rsidR="00255955" w:rsidRPr="00255955">
        <w:rPr>
          <w:rFonts w:ascii="Times New Roman" w:hAnsi="Times New Roman"/>
          <w:sz w:val="24"/>
          <w:szCs w:val="24"/>
        </w:rPr>
        <w:t xml:space="preserve">HTSA proposes to recruit up to </w:t>
      </w:r>
      <w:r w:rsidR="00FC5D39">
        <w:rPr>
          <w:rFonts w:ascii="Times New Roman" w:hAnsi="Times New Roman"/>
          <w:sz w:val="24"/>
          <w:szCs w:val="24"/>
        </w:rPr>
        <w:t>12</w:t>
      </w:r>
      <w:r w:rsidR="00FC5D39" w:rsidRPr="00255955">
        <w:rPr>
          <w:rFonts w:ascii="Times New Roman" w:hAnsi="Times New Roman"/>
          <w:sz w:val="24"/>
          <w:szCs w:val="24"/>
        </w:rPr>
        <w:t xml:space="preserve"> </w:t>
      </w:r>
      <w:r w:rsidRPr="00255955">
        <w:rPr>
          <w:rFonts w:ascii="Times New Roman" w:hAnsi="Times New Roman"/>
          <w:sz w:val="24"/>
          <w:szCs w:val="24"/>
        </w:rPr>
        <w:t xml:space="preserve">people for each of the </w:t>
      </w:r>
      <w:r w:rsidR="00255955" w:rsidRPr="00255955">
        <w:rPr>
          <w:rFonts w:ascii="Times New Roman" w:hAnsi="Times New Roman"/>
          <w:sz w:val="24"/>
          <w:szCs w:val="24"/>
        </w:rPr>
        <w:t xml:space="preserve">8 groups, although only </w:t>
      </w:r>
      <w:r w:rsidR="00FC5D39">
        <w:rPr>
          <w:rFonts w:ascii="Times New Roman" w:hAnsi="Times New Roman"/>
          <w:sz w:val="24"/>
          <w:szCs w:val="24"/>
        </w:rPr>
        <w:t>9</w:t>
      </w:r>
      <w:r w:rsidR="00FC5D39" w:rsidRPr="00255955">
        <w:rPr>
          <w:rFonts w:ascii="Times New Roman" w:hAnsi="Times New Roman"/>
          <w:sz w:val="24"/>
          <w:szCs w:val="24"/>
        </w:rPr>
        <w:t xml:space="preserve"> </w:t>
      </w:r>
      <w:r w:rsidRPr="00255955">
        <w:rPr>
          <w:rFonts w:ascii="Times New Roman" w:hAnsi="Times New Roman"/>
          <w:sz w:val="24"/>
          <w:szCs w:val="24"/>
        </w:rPr>
        <w:t xml:space="preserve">recruits per group will actually be seated as participants for the focus group session.  Recruiting will be done via telephone screening calls estimated to take no more than </w:t>
      </w:r>
      <w:r w:rsidR="00255955" w:rsidRPr="00255955">
        <w:rPr>
          <w:rFonts w:ascii="Times New Roman" w:hAnsi="Times New Roman"/>
          <w:sz w:val="24"/>
          <w:szCs w:val="24"/>
        </w:rPr>
        <w:t>6</w:t>
      </w:r>
      <w:r w:rsidRPr="00255955">
        <w:rPr>
          <w:rFonts w:ascii="Times New Roman" w:hAnsi="Times New Roman"/>
          <w:sz w:val="24"/>
          <w:szCs w:val="24"/>
        </w:rPr>
        <w:t xml:space="preserve"> minutes each.  The total estimated burden for this information collection is </w:t>
      </w:r>
      <w:r w:rsidR="00FC5D39">
        <w:rPr>
          <w:rFonts w:ascii="Times New Roman" w:hAnsi="Times New Roman"/>
          <w:sz w:val="24"/>
          <w:szCs w:val="24"/>
        </w:rPr>
        <w:t>153.6</w:t>
      </w:r>
      <w:r w:rsidRPr="00255955">
        <w:rPr>
          <w:rFonts w:ascii="Times New Roman" w:hAnsi="Times New Roman"/>
          <w:sz w:val="24"/>
          <w:szCs w:val="24"/>
        </w:rPr>
        <w:t xml:space="preserve"> hours.</w:t>
      </w:r>
    </w:p>
    <w:p w:rsidR="00A4437A" w:rsidRPr="00255955" w:rsidRDefault="00A4437A" w:rsidP="00A4437A">
      <w:pPr>
        <w:pStyle w:val="BodyText"/>
        <w:jc w:val="left"/>
        <w:rPr>
          <w:rFonts w:ascii="Times New Roman" w:hAnsi="Times New Roman"/>
          <w:sz w:val="24"/>
          <w:szCs w:val="24"/>
        </w:rPr>
      </w:pPr>
    </w:p>
    <w:p w:rsidR="00A4437A" w:rsidRPr="00255955" w:rsidRDefault="00A4437A" w:rsidP="00383F37">
      <w:pPr>
        <w:pStyle w:val="BodyText"/>
        <w:rPr>
          <w:rFonts w:ascii="Times New Roman" w:hAnsi="Times New Roman"/>
          <w:sz w:val="24"/>
          <w:szCs w:val="24"/>
        </w:rPr>
      </w:pPr>
    </w:p>
    <w:p w:rsidR="00A4437A" w:rsidRPr="00255955" w:rsidRDefault="00A4437A" w:rsidP="00A4437A">
      <w:pPr>
        <w:numPr>
          <w:ilvl w:val="0"/>
          <w:numId w:val="1"/>
        </w:numPr>
        <w:rPr>
          <w:sz w:val="24"/>
          <w:szCs w:val="24"/>
          <w:u w:val="single"/>
        </w:rPr>
      </w:pPr>
      <w:r w:rsidRPr="00255955">
        <w:rPr>
          <w:sz w:val="24"/>
          <w:szCs w:val="24"/>
          <w:u w:val="single"/>
        </w:rPr>
        <w:t>JUSTIFICATION</w:t>
      </w:r>
    </w:p>
    <w:p w:rsidR="00B61C95" w:rsidRPr="00255955" w:rsidRDefault="00B61C95" w:rsidP="00383F37">
      <w:pPr>
        <w:jc w:val="center"/>
        <w:rPr>
          <w:sz w:val="24"/>
          <w:szCs w:val="24"/>
        </w:rPr>
      </w:pPr>
    </w:p>
    <w:p w:rsidR="00F811AB" w:rsidRPr="00255955" w:rsidRDefault="00F811AB" w:rsidP="00383F37">
      <w:pPr>
        <w:numPr>
          <w:ilvl w:val="1"/>
          <w:numId w:val="31"/>
        </w:numPr>
        <w:outlineLvl w:val="1"/>
        <w:rPr>
          <w:b/>
          <w:sz w:val="24"/>
          <w:szCs w:val="24"/>
        </w:rPr>
      </w:pPr>
      <w:bookmarkStart w:id="0" w:name="_Toc239210244"/>
      <w:bookmarkStart w:id="1" w:name="_Toc239228476"/>
      <w:r w:rsidRPr="00255955">
        <w:rPr>
          <w:b/>
          <w:sz w:val="24"/>
          <w:szCs w:val="24"/>
        </w:rPr>
        <w:t xml:space="preserve">Explain the circumstances that make the collection of </w:t>
      </w:r>
      <w:r w:rsidR="003F7D83" w:rsidRPr="00255955">
        <w:rPr>
          <w:b/>
          <w:sz w:val="24"/>
          <w:szCs w:val="24"/>
        </w:rPr>
        <w:t xml:space="preserve">information necessary. Identify </w:t>
      </w:r>
      <w:r w:rsidRPr="00255955">
        <w:rPr>
          <w:b/>
          <w:sz w:val="24"/>
          <w:szCs w:val="24"/>
        </w:rPr>
        <w:t>any Legal or administrative requirements that necessitate the collection. Attach a copy of the appropriate section of each statute and regulation mandating or authorizing the collection of information</w:t>
      </w:r>
      <w:bookmarkEnd w:id="0"/>
      <w:bookmarkEnd w:id="1"/>
      <w:r w:rsidR="00DC2FE0" w:rsidRPr="00255955">
        <w:rPr>
          <w:b/>
          <w:sz w:val="24"/>
          <w:szCs w:val="24"/>
        </w:rPr>
        <w:t>.</w:t>
      </w:r>
    </w:p>
    <w:p w:rsidR="00C773B1" w:rsidRPr="00255955" w:rsidRDefault="00C773B1" w:rsidP="00C773B1">
      <w:pPr>
        <w:ind w:left="720"/>
        <w:outlineLvl w:val="1"/>
        <w:rPr>
          <w:b/>
          <w:sz w:val="24"/>
          <w:szCs w:val="24"/>
        </w:rPr>
      </w:pPr>
    </w:p>
    <w:p w:rsidR="00F811AB" w:rsidRPr="00255955" w:rsidRDefault="00F811AB" w:rsidP="00383F37">
      <w:pPr>
        <w:numPr>
          <w:ilvl w:val="2"/>
          <w:numId w:val="31"/>
        </w:numPr>
        <w:outlineLvl w:val="2"/>
        <w:rPr>
          <w:b/>
          <w:sz w:val="24"/>
          <w:szCs w:val="24"/>
        </w:rPr>
      </w:pPr>
      <w:bookmarkStart w:id="2" w:name="_Toc239210245"/>
      <w:bookmarkStart w:id="3" w:name="_Toc239228477"/>
      <w:r w:rsidRPr="00255955">
        <w:rPr>
          <w:b/>
          <w:sz w:val="24"/>
          <w:szCs w:val="24"/>
        </w:rPr>
        <w:t xml:space="preserve">Circumstances </w:t>
      </w:r>
      <w:r w:rsidR="00C443C2" w:rsidRPr="00255955">
        <w:rPr>
          <w:b/>
          <w:sz w:val="24"/>
          <w:szCs w:val="24"/>
        </w:rPr>
        <w:t>M</w:t>
      </w:r>
      <w:r w:rsidRPr="00255955">
        <w:rPr>
          <w:b/>
          <w:sz w:val="24"/>
          <w:szCs w:val="24"/>
        </w:rPr>
        <w:t xml:space="preserve">aking the </w:t>
      </w:r>
      <w:r w:rsidR="00C443C2" w:rsidRPr="00255955">
        <w:rPr>
          <w:b/>
          <w:sz w:val="24"/>
          <w:szCs w:val="24"/>
        </w:rPr>
        <w:t>C</w:t>
      </w:r>
      <w:r w:rsidRPr="00255955">
        <w:rPr>
          <w:b/>
          <w:sz w:val="24"/>
          <w:szCs w:val="24"/>
        </w:rPr>
        <w:t xml:space="preserve">ollection </w:t>
      </w:r>
      <w:r w:rsidR="00C443C2" w:rsidRPr="00255955">
        <w:rPr>
          <w:b/>
          <w:sz w:val="24"/>
          <w:szCs w:val="24"/>
        </w:rPr>
        <w:t>N</w:t>
      </w:r>
      <w:r w:rsidRPr="00255955">
        <w:rPr>
          <w:b/>
          <w:sz w:val="24"/>
          <w:szCs w:val="24"/>
        </w:rPr>
        <w:t>ecessary</w:t>
      </w:r>
      <w:bookmarkEnd w:id="2"/>
      <w:bookmarkEnd w:id="3"/>
    </w:p>
    <w:p w:rsidR="00397F19" w:rsidRPr="00255955" w:rsidRDefault="00397F19" w:rsidP="00383F37">
      <w:pPr>
        <w:ind w:left="720"/>
        <w:outlineLvl w:val="2"/>
        <w:rPr>
          <w:b/>
          <w:sz w:val="24"/>
          <w:szCs w:val="24"/>
        </w:rPr>
      </w:pPr>
    </w:p>
    <w:p w:rsidR="00AE69A8" w:rsidRPr="00255955" w:rsidRDefault="00AE69A8" w:rsidP="00E617D1">
      <w:pPr>
        <w:pStyle w:val="BodyTextIndent"/>
        <w:ind w:left="720"/>
        <w:rPr>
          <w:rFonts w:ascii="Times New Roman" w:hAnsi="Times New Roman"/>
          <w:sz w:val="24"/>
          <w:szCs w:val="24"/>
        </w:rPr>
      </w:pPr>
      <w:r w:rsidRPr="00255955">
        <w:rPr>
          <w:rFonts w:ascii="Times New Roman" w:hAnsi="Times New Roman"/>
          <w:sz w:val="24"/>
          <w:szCs w:val="24"/>
        </w:rPr>
        <w:t xml:space="preserve">The National Highway Traffic Safety Administration (NHTSA) was established by the Highway Safety Act of 1970 (23 U.S.C. 101) to carry out a Congressional mandate to reduce the mounting number of deaths, injuries and economic losses resulting from motor vehicle crashes on our Nation’s highways.  In support of this mission, NHTSA has developed a public service communications campaign in partnership with the Ad Council designed to deter impaired driving.  The </w:t>
      </w:r>
      <w:r w:rsidR="00A4437A" w:rsidRPr="00255955">
        <w:rPr>
          <w:rFonts w:ascii="Times New Roman" w:hAnsi="Times New Roman"/>
          <w:sz w:val="24"/>
          <w:szCs w:val="24"/>
        </w:rPr>
        <w:t xml:space="preserve">multi-media </w:t>
      </w:r>
      <w:r w:rsidRPr="00255955">
        <w:rPr>
          <w:rFonts w:ascii="Times New Roman" w:hAnsi="Times New Roman"/>
          <w:sz w:val="24"/>
          <w:szCs w:val="24"/>
        </w:rPr>
        <w:t xml:space="preserve">campaign, entitled </w:t>
      </w:r>
      <w:r w:rsidRPr="00255955">
        <w:rPr>
          <w:rFonts w:ascii="Times New Roman" w:hAnsi="Times New Roman"/>
          <w:i/>
          <w:sz w:val="24"/>
          <w:szCs w:val="24"/>
        </w:rPr>
        <w:t>Buzzed Driving Is Drunk Driving</w:t>
      </w:r>
      <w:r w:rsidRPr="00255955">
        <w:rPr>
          <w:rFonts w:ascii="Times New Roman" w:hAnsi="Times New Roman"/>
          <w:sz w:val="24"/>
          <w:szCs w:val="24"/>
        </w:rPr>
        <w:t xml:space="preserve">, has been running for more than five years.  At this time, NHTSA proposes to conduct information collections to assess the public’s attitudes, beliefs, and behaviors related to </w:t>
      </w:r>
      <w:proofErr w:type="gramStart"/>
      <w:r w:rsidRPr="00255955">
        <w:rPr>
          <w:rFonts w:ascii="Times New Roman" w:hAnsi="Times New Roman"/>
          <w:sz w:val="24"/>
          <w:szCs w:val="24"/>
        </w:rPr>
        <w:t>impaired</w:t>
      </w:r>
      <w:proofErr w:type="gramEnd"/>
      <w:r w:rsidRPr="00255955">
        <w:rPr>
          <w:rFonts w:ascii="Times New Roman" w:hAnsi="Times New Roman"/>
          <w:sz w:val="24"/>
          <w:szCs w:val="24"/>
        </w:rPr>
        <w:t xml:space="preserve"> driving, receive direct feedback on the effectiveness of the existing campaign’s creative assets, and to use these insights to optimize campaign strategy and creative development moving forward.</w:t>
      </w:r>
    </w:p>
    <w:p w:rsidR="00A4437A" w:rsidRPr="00255955" w:rsidRDefault="00A4437A" w:rsidP="00A4437A">
      <w:pPr>
        <w:pStyle w:val="BodyTextIndent"/>
        <w:rPr>
          <w:rFonts w:ascii="Times New Roman" w:hAnsi="Times New Roman"/>
          <w:sz w:val="24"/>
          <w:szCs w:val="24"/>
        </w:rPr>
      </w:pPr>
    </w:p>
    <w:p w:rsidR="001A7120" w:rsidRPr="00255955" w:rsidRDefault="00AE69A8" w:rsidP="00E617D1">
      <w:pPr>
        <w:pStyle w:val="BodyTextIndent"/>
        <w:ind w:left="720"/>
        <w:rPr>
          <w:rFonts w:ascii="Times New Roman" w:hAnsi="Times New Roman"/>
          <w:sz w:val="24"/>
          <w:szCs w:val="24"/>
        </w:rPr>
      </w:pPr>
      <w:r w:rsidRPr="00255955">
        <w:rPr>
          <w:rFonts w:ascii="Times New Roman" w:hAnsi="Times New Roman"/>
          <w:sz w:val="24"/>
          <w:szCs w:val="24"/>
        </w:rPr>
        <w:lastRenderedPageBreak/>
        <w:t xml:space="preserve">NHTSA </w:t>
      </w:r>
      <w:r w:rsidR="00A47346" w:rsidRPr="00255955">
        <w:rPr>
          <w:rFonts w:ascii="Times New Roman" w:hAnsi="Times New Roman"/>
          <w:sz w:val="24"/>
          <w:szCs w:val="24"/>
        </w:rPr>
        <w:t>i</w:t>
      </w:r>
      <w:r w:rsidR="00500F60" w:rsidRPr="00255955">
        <w:rPr>
          <w:rFonts w:ascii="Times New Roman" w:hAnsi="Times New Roman"/>
          <w:sz w:val="24"/>
          <w:szCs w:val="24"/>
        </w:rPr>
        <w:t xml:space="preserve">s requesting approval for </w:t>
      </w:r>
      <w:r w:rsidRPr="00255955">
        <w:rPr>
          <w:rFonts w:ascii="Times New Roman" w:hAnsi="Times New Roman"/>
          <w:sz w:val="24"/>
          <w:szCs w:val="24"/>
        </w:rPr>
        <w:t>collecting information under its existing generic clearance through the use of focus groups</w:t>
      </w:r>
      <w:r w:rsidR="00500F60" w:rsidRPr="00255955">
        <w:rPr>
          <w:rFonts w:ascii="Times New Roman" w:hAnsi="Times New Roman"/>
          <w:sz w:val="24"/>
          <w:szCs w:val="24"/>
        </w:rPr>
        <w:t xml:space="preserve">.  </w:t>
      </w:r>
      <w:r w:rsidR="009B6C10" w:rsidRPr="00255955">
        <w:rPr>
          <w:rFonts w:ascii="Times New Roman" w:hAnsi="Times New Roman"/>
          <w:sz w:val="24"/>
          <w:szCs w:val="24"/>
        </w:rPr>
        <w:t xml:space="preserve"> </w:t>
      </w:r>
      <w:r w:rsidRPr="00255955">
        <w:rPr>
          <w:rFonts w:ascii="Times New Roman" w:hAnsi="Times New Roman"/>
          <w:sz w:val="24"/>
          <w:szCs w:val="24"/>
        </w:rPr>
        <w:t>Focus groups do provide an important role in gathering information because they allow for a more in-depth understanding of drivers’ attitudes, beliefs, mot</w:t>
      </w:r>
      <w:r w:rsidR="00A4437A" w:rsidRPr="00255955">
        <w:rPr>
          <w:rFonts w:ascii="Times New Roman" w:hAnsi="Times New Roman"/>
          <w:sz w:val="24"/>
          <w:szCs w:val="24"/>
        </w:rPr>
        <w:t>ivations, and feelings than do other kinds of</w:t>
      </w:r>
      <w:r w:rsidRPr="00255955">
        <w:rPr>
          <w:rFonts w:ascii="Times New Roman" w:hAnsi="Times New Roman"/>
          <w:sz w:val="24"/>
          <w:szCs w:val="24"/>
        </w:rPr>
        <w:t xml:space="preserve"> studies</w:t>
      </w:r>
      <w:r w:rsidR="00985D4E" w:rsidRPr="00255955">
        <w:rPr>
          <w:rFonts w:ascii="Times New Roman" w:hAnsi="Times New Roman"/>
          <w:sz w:val="24"/>
          <w:szCs w:val="24"/>
        </w:rPr>
        <w:t>.</w:t>
      </w:r>
      <w:r w:rsidR="009B6C10" w:rsidRPr="00255955">
        <w:rPr>
          <w:rFonts w:ascii="Times New Roman" w:hAnsi="Times New Roman"/>
          <w:sz w:val="24"/>
          <w:szCs w:val="24"/>
        </w:rPr>
        <w:t xml:space="preserve">  </w:t>
      </w:r>
      <w:r w:rsidRPr="00255955">
        <w:rPr>
          <w:rFonts w:ascii="Times New Roman" w:hAnsi="Times New Roman"/>
          <w:sz w:val="24"/>
          <w:szCs w:val="24"/>
        </w:rPr>
        <w:t xml:space="preserve">A focus group serves the narrowly defined need for direct and informal opinion on a specific topic.  </w:t>
      </w:r>
      <w:r w:rsidR="009B6C10" w:rsidRPr="00255955">
        <w:rPr>
          <w:rFonts w:ascii="Times New Roman" w:hAnsi="Times New Roman"/>
          <w:sz w:val="24"/>
          <w:szCs w:val="24"/>
        </w:rPr>
        <w:t xml:space="preserve">The </w:t>
      </w:r>
      <w:r w:rsidR="004C2F9D" w:rsidRPr="00255955">
        <w:rPr>
          <w:rFonts w:ascii="Times New Roman" w:hAnsi="Times New Roman"/>
          <w:sz w:val="24"/>
          <w:szCs w:val="24"/>
        </w:rPr>
        <w:t xml:space="preserve">feedback from the focus group participants will be used to </w:t>
      </w:r>
      <w:r w:rsidRPr="00255955">
        <w:rPr>
          <w:rFonts w:ascii="Times New Roman" w:hAnsi="Times New Roman"/>
          <w:sz w:val="24"/>
          <w:szCs w:val="24"/>
        </w:rPr>
        <w:t>help assess</w:t>
      </w:r>
      <w:r w:rsidR="004C2F9D" w:rsidRPr="00255955">
        <w:rPr>
          <w:rFonts w:ascii="Times New Roman" w:hAnsi="Times New Roman"/>
          <w:sz w:val="24"/>
          <w:szCs w:val="24"/>
        </w:rPr>
        <w:t xml:space="preserve"> the </w:t>
      </w:r>
      <w:r w:rsidRPr="00255955">
        <w:rPr>
          <w:rFonts w:ascii="Times New Roman" w:hAnsi="Times New Roman"/>
          <w:sz w:val="24"/>
          <w:szCs w:val="24"/>
        </w:rPr>
        <w:t xml:space="preserve">effectiveness of the current </w:t>
      </w:r>
      <w:r w:rsidR="00A47346" w:rsidRPr="00255955">
        <w:rPr>
          <w:rFonts w:ascii="Times New Roman" w:hAnsi="Times New Roman"/>
          <w:sz w:val="24"/>
          <w:szCs w:val="24"/>
        </w:rPr>
        <w:t>advertising</w:t>
      </w:r>
      <w:r w:rsidRPr="00255955">
        <w:rPr>
          <w:rFonts w:ascii="Times New Roman" w:hAnsi="Times New Roman"/>
          <w:sz w:val="24"/>
          <w:szCs w:val="24"/>
        </w:rPr>
        <w:t xml:space="preserve">, particularly whether it is </w:t>
      </w:r>
      <w:r w:rsidR="004C2F9D" w:rsidRPr="00255955">
        <w:rPr>
          <w:rFonts w:ascii="Times New Roman" w:hAnsi="Times New Roman"/>
          <w:sz w:val="24"/>
          <w:szCs w:val="24"/>
        </w:rPr>
        <w:t>motivating to elicit the intended change in behavior</w:t>
      </w:r>
      <w:r w:rsidRPr="00255955">
        <w:rPr>
          <w:rFonts w:ascii="Times New Roman" w:hAnsi="Times New Roman"/>
          <w:sz w:val="24"/>
          <w:szCs w:val="24"/>
        </w:rPr>
        <w:t>.  Findings from the focus groups will also help determine where improvements can be made in order to ensure the messaging is as effective as possible.</w:t>
      </w:r>
      <w:r w:rsidR="004C2F9D" w:rsidRPr="00255955">
        <w:rPr>
          <w:rFonts w:ascii="Times New Roman" w:hAnsi="Times New Roman"/>
          <w:sz w:val="24"/>
          <w:szCs w:val="24"/>
        </w:rPr>
        <w:t xml:space="preserve">  </w:t>
      </w:r>
    </w:p>
    <w:p w:rsidR="00AE69A8" w:rsidRPr="00255955" w:rsidRDefault="00AE69A8" w:rsidP="00AE69A8">
      <w:pPr>
        <w:pStyle w:val="BodyTextIndent"/>
        <w:rPr>
          <w:rFonts w:ascii="Times New Roman" w:hAnsi="Times New Roman"/>
          <w:sz w:val="24"/>
          <w:szCs w:val="24"/>
        </w:rPr>
      </w:pPr>
    </w:p>
    <w:p w:rsidR="001A7120" w:rsidRPr="00255955" w:rsidRDefault="001A7120" w:rsidP="00E617D1">
      <w:pPr>
        <w:pStyle w:val="BodyTextIndent"/>
        <w:ind w:left="720"/>
        <w:rPr>
          <w:rFonts w:ascii="Times New Roman" w:hAnsi="Times New Roman"/>
          <w:sz w:val="24"/>
          <w:szCs w:val="24"/>
        </w:rPr>
      </w:pPr>
      <w:r w:rsidRPr="00255955">
        <w:rPr>
          <w:rFonts w:ascii="Times New Roman" w:hAnsi="Times New Roman"/>
          <w:sz w:val="24"/>
          <w:szCs w:val="24"/>
        </w:rPr>
        <w:t>Specifically, the key objectives of message testing are to determine:</w:t>
      </w:r>
    </w:p>
    <w:p w:rsidR="001A7120" w:rsidRPr="00255955" w:rsidRDefault="00AE69A8" w:rsidP="00E617D1">
      <w:pPr>
        <w:pStyle w:val="BodyTextIndent"/>
        <w:numPr>
          <w:ilvl w:val="0"/>
          <w:numId w:val="33"/>
        </w:numPr>
        <w:tabs>
          <w:tab w:val="left" w:pos="1800"/>
        </w:tabs>
        <w:rPr>
          <w:rFonts w:ascii="Times New Roman" w:hAnsi="Times New Roman"/>
          <w:sz w:val="24"/>
          <w:szCs w:val="24"/>
        </w:rPr>
      </w:pPr>
      <w:r w:rsidRPr="00255955">
        <w:rPr>
          <w:rFonts w:ascii="Times New Roman" w:hAnsi="Times New Roman"/>
          <w:sz w:val="24"/>
          <w:szCs w:val="24"/>
        </w:rPr>
        <w:t>Whether the strategy and language of the cu</w:t>
      </w:r>
      <w:r w:rsidR="00340104" w:rsidRPr="00255955">
        <w:rPr>
          <w:rFonts w:ascii="Times New Roman" w:hAnsi="Times New Roman"/>
          <w:sz w:val="24"/>
          <w:szCs w:val="24"/>
        </w:rPr>
        <w:t>rrent campaign remain</w:t>
      </w:r>
      <w:r w:rsidRPr="00255955">
        <w:rPr>
          <w:rFonts w:ascii="Times New Roman" w:hAnsi="Times New Roman"/>
          <w:sz w:val="24"/>
          <w:szCs w:val="24"/>
        </w:rPr>
        <w:t xml:space="preserve"> relevant and motivating;</w:t>
      </w:r>
    </w:p>
    <w:p w:rsidR="004A4122" w:rsidRPr="00255955" w:rsidRDefault="004A4122" w:rsidP="00E617D1">
      <w:pPr>
        <w:pStyle w:val="BodyTextIndent"/>
        <w:numPr>
          <w:ilvl w:val="0"/>
          <w:numId w:val="33"/>
        </w:numPr>
        <w:tabs>
          <w:tab w:val="left" w:pos="1800"/>
        </w:tabs>
        <w:rPr>
          <w:rFonts w:ascii="Times New Roman" w:hAnsi="Times New Roman"/>
          <w:sz w:val="24"/>
          <w:szCs w:val="24"/>
        </w:rPr>
      </w:pPr>
      <w:r w:rsidRPr="00255955">
        <w:rPr>
          <w:rFonts w:ascii="Times New Roman" w:hAnsi="Times New Roman"/>
          <w:sz w:val="24"/>
          <w:szCs w:val="24"/>
        </w:rPr>
        <w:t>Public perceptions of the campaign;</w:t>
      </w:r>
    </w:p>
    <w:p w:rsidR="001A7120" w:rsidRPr="00255955" w:rsidRDefault="001A7120" w:rsidP="00E617D1">
      <w:pPr>
        <w:pStyle w:val="BodyTextIndent"/>
        <w:numPr>
          <w:ilvl w:val="0"/>
          <w:numId w:val="33"/>
        </w:numPr>
        <w:tabs>
          <w:tab w:val="left" w:pos="1800"/>
        </w:tabs>
        <w:rPr>
          <w:rFonts w:ascii="Times New Roman" w:hAnsi="Times New Roman"/>
          <w:sz w:val="24"/>
          <w:szCs w:val="24"/>
        </w:rPr>
      </w:pPr>
      <w:r w:rsidRPr="00255955">
        <w:rPr>
          <w:rFonts w:ascii="Times New Roman" w:hAnsi="Times New Roman"/>
          <w:sz w:val="24"/>
          <w:szCs w:val="24"/>
        </w:rPr>
        <w:t xml:space="preserve">The overall </w:t>
      </w:r>
      <w:r w:rsidR="004A4122" w:rsidRPr="00255955">
        <w:rPr>
          <w:rFonts w:ascii="Times New Roman" w:hAnsi="Times New Roman"/>
          <w:sz w:val="24"/>
          <w:szCs w:val="24"/>
        </w:rPr>
        <w:t>effectiveness</w:t>
      </w:r>
      <w:r w:rsidRPr="00255955">
        <w:rPr>
          <w:rFonts w:ascii="Times New Roman" w:hAnsi="Times New Roman"/>
          <w:sz w:val="24"/>
          <w:szCs w:val="24"/>
        </w:rPr>
        <w:t xml:space="preserve"> of the </w:t>
      </w:r>
      <w:r w:rsidR="00AE69A8" w:rsidRPr="00255955">
        <w:rPr>
          <w:rFonts w:ascii="Times New Roman" w:hAnsi="Times New Roman"/>
          <w:sz w:val="24"/>
          <w:szCs w:val="24"/>
        </w:rPr>
        <w:t>current advertising</w:t>
      </w:r>
      <w:r w:rsidR="004A4122" w:rsidRPr="00255955">
        <w:rPr>
          <w:rFonts w:ascii="Times New Roman" w:hAnsi="Times New Roman"/>
          <w:sz w:val="24"/>
          <w:szCs w:val="24"/>
        </w:rPr>
        <w:t>, including comprehensibility, relevance, and motivation.</w:t>
      </w:r>
    </w:p>
    <w:p w:rsidR="00323D15" w:rsidRPr="00255955" w:rsidRDefault="00323D15" w:rsidP="00E617D1">
      <w:pPr>
        <w:tabs>
          <w:tab w:val="left" w:pos="1800"/>
        </w:tabs>
        <w:ind w:left="1800"/>
        <w:rPr>
          <w:sz w:val="24"/>
          <w:szCs w:val="24"/>
        </w:rPr>
      </w:pPr>
    </w:p>
    <w:p w:rsidR="004A4122" w:rsidRPr="00255955" w:rsidRDefault="004A4122" w:rsidP="00383F37">
      <w:pPr>
        <w:rPr>
          <w:sz w:val="24"/>
          <w:szCs w:val="24"/>
        </w:rPr>
      </w:pPr>
    </w:p>
    <w:p w:rsidR="00A25FAE" w:rsidRPr="00255955" w:rsidRDefault="00A25FAE" w:rsidP="00383F37">
      <w:pPr>
        <w:numPr>
          <w:ilvl w:val="2"/>
          <w:numId w:val="31"/>
        </w:numPr>
        <w:outlineLvl w:val="2"/>
        <w:rPr>
          <w:b/>
          <w:sz w:val="24"/>
          <w:szCs w:val="24"/>
        </w:rPr>
      </w:pPr>
      <w:bookmarkStart w:id="4" w:name="_Toc239210246"/>
      <w:bookmarkStart w:id="5" w:name="_Toc239228478"/>
      <w:r w:rsidRPr="00255955">
        <w:rPr>
          <w:b/>
          <w:sz w:val="24"/>
          <w:szCs w:val="24"/>
        </w:rPr>
        <w:t>Statute authorizing the collection of information</w:t>
      </w:r>
      <w:bookmarkEnd w:id="4"/>
      <w:bookmarkEnd w:id="5"/>
    </w:p>
    <w:p w:rsidR="00397F19" w:rsidRPr="00255955" w:rsidRDefault="00397F19" w:rsidP="00383F37">
      <w:pPr>
        <w:ind w:left="1440"/>
        <w:rPr>
          <w:sz w:val="24"/>
          <w:szCs w:val="24"/>
          <w:u w:val="single"/>
        </w:rPr>
      </w:pPr>
    </w:p>
    <w:p w:rsidR="00A4437A" w:rsidRPr="00255955" w:rsidRDefault="00A4437A" w:rsidP="00E617D1">
      <w:pPr>
        <w:ind w:left="720"/>
        <w:rPr>
          <w:sz w:val="24"/>
          <w:szCs w:val="24"/>
        </w:rPr>
      </w:pPr>
      <w:r w:rsidRPr="00255955">
        <w:rPr>
          <w:sz w:val="24"/>
          <w:szCs w:val="24"/>
          <w:u w:val="single"/>
        </w:rPr>
        <w:t>The National Traffic and Motor Vehicle Safety Act of 1966, Title 15 United States Code 1395, Section 106 (b)</w:t>
      </w:r>
      <w:r w:rsidRPr="00255955">
        <w:rPr>
          <w:sz w:val="24"/>
          <w:szCs w:val="24"/>
        </w:rPr>
        <w:t>, gives the Secretary authorization to conduct research, testing, development, and training as authorized to be carried out by subsections of this title. The Vehicle Safety Act was subsequently re-codified under Title 49 of the U.S. Code in Chapter 301, Motor Vehicle Safety.  Section 30168 of Title 49, Chapter 301, gives the Secretary authorization to conduct research, testing, development, and training to carry out this chapter.</w:t>
      </w:r>
    </w:p>
    <w:p w:rsidR="00A4437A" w:rsidRPr="00255955" w:rsidRDefault="00A4437A" w:rsidP="00383F37">
      <w:pPr>
        <w:pBdr>
          <w:bottom w:val="single" w:sz="6" w:space="1" w:color="auto"/>
        </w:pBdr>
        <w:rPr>
          <w:sz w:val="24"/>
          <w:szCs w:val="24"/>
        </w:rPr>
      </w:pPr>
    </w:p>
    <w:p w:rsidR="00E95CD9" w:rsidRPr="00255955" w:rsidRDefault="00E95CD9" w:rsidP="00383F37">
      <w:pPr>
        <w:pBdr>
          <w:bottom w:val="single" w:sz="6" w:space="1" w:color="auto"/>
        </w:pBdr>
        <w:rPr>
          <w:sz w:val="24"/>
          <w:szCs w:val="24"/>
        </w:rPr>
      </w:pPr>
    </w:p>
    <w:p w:rsidR="00E95CD9" w:rsidRPr="00255955" w:rsidRDefault="00E95CD9" w:rsidP="00383F37">
      <w:pPr>
        <w:rPr>
          <w:sz w:val="24"/>
          <w:szCs w:val="24"/>
        </w:rPr>
      </w:pPr>
    </w:p>
    <w:p w:rsidR="00DA7C92" w:rsidRPr="00255955" w:rsidRDefault="00DA7C92" w:rsidP="00383F37">
      <w:pPr>
        <w:rPr>
          <w:sz w:val="24"/>
          <w:szCs w:val="24"/>
        </w:rPr>
      </w:pPr>
    </w:p>
    <w:p w:rsidR="00DA7C92" w:rsidRPr="00255955" w:rsidRDefault="00DA7C92" w:rsidP="00383F37">
      <w:pPr>
        <w:numPr>
          <w:ilvl w:val="1"/>
          <w:numId w:val="31"/>
        </w:numPr>
        <w:outlineLvl w:val="1"/>
        <w:rPr>
          <w:b/>
          <w:sz w:val="24"/>
          <w:szCs w:val="24"/>
        </w:rPr>
      </w:pPr>
      <w:bookmarkStart w:id="6" w:name="_Toc239210247"/>
      <w:bookmarkStart w:id="7" w:name="_Toc239228479"/>
      <w:r w:rsidRPr="00255955">
        <w:rPr>
          <w:b/>
          <w:sz w:val="24"/>
          <w:szCs w:val="24"/>
        </w:rPr>
        <w:t xml:space="preserve">Indicate how, by whom, and for what purpose the information is to be used. </w:t>
      </w:r>
      <w:r w:rsidR="0088568E" w:rsidRPr="00255955">
        <w:rPr>
          <w:b/>
          <w:sz w:val="24"/>
          <w:szCs w:val="24"/>
        </w:rPr>
        <w:t xml:space="preserve"> </w:t>
      </w:r>
      <w:r w:rsidRPr="00255955">
        <w:rPr>
          <w:b/>
          <w:sz w:val="24"/>
          <w:szCs w:val="24"/>
        </w:rPr>
        <w:t>Except for a new collection, indicate the actual use the agency has made of the information received from the current collection.</w:t>
      </w:r>
      <w:bookmarkEnd w:id="6"/>
      <w:bookmarkEnd w:id="7"/>
    </w:p>
    <w:p w:rsidR="00AD7F9D" w:rsidRPr="00255955" w:rsidRDefault="00AD7F9D" w:rsidP="00AD7F9D">
      <w:pPr>
        <w:ind w:left="360"/>
        <w:rPr>
          <w:sz w:val="24"/>
          <w:szCs w:val="24"/>
        </w:rPr>
      </w:pPr>
    </w:p>
    <w:p w:rsidR="00D24922" w:rsidRPr="00255955" w:rsidRDefault="00D24922" w:rsidP="00D24922">
      <w:pPr>
        <w:ind w:left="720"/>
        <w:rPr>
          <w:sz w:val="24"/>
          <w:szCs w:val="24"/>
        </w:rPr>
      </w:pPr>
      <w:r w:rsidRPr="00255955">
        <w:rPr>
          <w:sz w:val="24"/>
          <w:szCs w:val="24"/>
        </w:rPr>
        <w:t>If this information is not collected, a vital link in gathering information by NHTSA to develop appropriate messages and programmatic activity policy and programmatic proposals will be missed.</w:t>
      </w:r>
      <w:r w:rsidRPr="00255955" w:rsidDel="00AE6F16">
        <w:rPr>
          <w:sz w:val="24"/>
          <w:szCs w:val="24"/>
        </w:rPr>
        <w:t xml:space="preserve">  </w:t>
      </w:r>
      <w:r w:rsidRPr="00255955">
        <w:rPr>
          <w:sz w:val="24"/>
          <w:szCs w:val="24"/>
        </w:rPr>
        <w:t xml:space="preserve">Without finely tuned messages, NHTSA could jeopardize the ongoing effectiveness of this impaired driving prevention initiative. </w:t>
      </w:r>
    </w:p>
    <w:p w:rsidR="00D24922" w:rsidRPr="00255955" w:rsidRDefault="00D24922" w:rsidP="00D24922">
      <w:pPr>
        <w:ind w:left="360"/>
        <w:rPr>
          <w:sz w:val="24"/>
          <w:szCs w:val="24"/>
        </w:rPr>
      </w:pPr>
    </w:p>
    <w:p w:rsidR="00D24922" w:rsidRPr="00255955" w:rsidRDefault="00D24922" w:rsidP="00D24922">
      <w:pPr>
        <w:pStyle w:val="BodyTextIndent"/>
        <w:ind w:firstLine="360"/>
        <w:rPr>
          <w:rFonts w:ascii="Times New Roman" w:hAnsi="Times New Roman"/>
          <w:sz w:val="24"/>
          <w:szCs w:val="24"/>
        </w:rPr>
      </w:pPr>
      <w:r w:rsidRPr="00255955">
        <w:rPr>
          <w:rFonts w:ascii="Times New Roman" w:hAnsi="Times New Roman"/>
          <w:sz w:val="24"/>
          <w:szCs w:val="24"/>
        </w:rPr>
        <w:t>Focus groups, used as a qualitative research tool, have three major purposes:</w:t>
      </w:r>
    </w:p>
    <w:p w:rsidR="00D24922" w:rsidRPr="00255955" w:rsidRDefault="00D24922" w:rsidP="00D24922">
      <w:pPr>
        <w:ind w:left="360"/>
        <w:rPr>
          <w:sz w:val="24"/>
          <w:szCs w:val="24"/>
        </w:rPr>
      </w:pPr>
    </w:p>
    <w:p w:rsidR="00D24922" w:rsidRPr="00255955" w:rsidRDefault="00D24922" w:rsidP="00D24922">
      <w:pPr>
        <w:numPr>
          <w:ilvl w:val="0"/>
          <w:numId w:val="3"/>
        </w:numPr>
        <w:tabs>
          <w:tab w:val="clear" w:pos="360"/>
          <w:tab w:val="num" w:pos="1440"/>
        </w:tabs>
        <w:ind w:left="1440"/>
        <w:rPr>
          <w:sz w:val="24"/>
          <w:szCs w:val="24"/>
        </w:rPr>
      </w:pPr>
      <w:r w:rsidRPr="00255955">
        <w:rPr>
          <w:sz w:val="24"/>
          <w:szCs w:val="24"/>
        </w:rPr>
        <w:t xml:space="preserve">To obtain information useful for developing variables and measures for quantitative studies; </w:t>
      </w:r>
    </w:p>
    <w:p w:rsidR="00D24922" w:rsidRPr="00255955" w:rsidRDefault="00D24922" w:rsidP="00D24922">
      <w:pPr>
        <w:ind w:left="1440"/>
        <w:rPr>
          <w:sz w:val="24"/>
          <w:szCs w:val="24"/>
        </w:rPr>
      </w:pPr>
    </w:p>
    <w:p w:rsidR="00D24922" w:rsidRPr="00255955" w:rsidRDefault="00D24922" w:rsidP="00D24922">
      <w:pPr>
        <w:numPr>
          <w:ilvl w:val="0"/>
          <w:numId w:val="3"/>
        </w:numPr>
        <w:tabs>
          <w:tab w:val="clear" w:pos="360"/>
          <w:tab w:val="num" w:pos="1440"/>
        </w:tabs>
        <w:ind w:left="1440"/>
        <w:rPr>
          <w:sz w:val="24"/>
          <w:szCs w:val="24"/>
        </w:rPr>
      </w:pPr>
      <w:r w:rsidRPr="00255955">
        <w:rPr>
          <w:sz w:val="24"/>
          <w:szCs w:val="24"/>
        </w:rPr>
        <w:t>To better understand the public attitudes and emotions in response to topics and concepts; and</w:t>
      </w:r>
    </w:p>
    <w:p w:rsidR="00D24922" w:rsidRPr="00255955" w:rsidRDefault="00D24922" w:rsidP="00D24922">
      <w:pPr>
        <w:rPr>
          <w:sz w:val="24"/>
          <w:szCs w:val="24"/>
        </w:rPr>
      </w:pPr>
    </w:p>
    <w:p w:rsidR="00D24922" w:rsidRPr="00255955" w:rsidRDefault="00D24922" w:rsidP="00D24922">
      <w:pPr>
        <w:numPr>
          <w:ilvl w:val="0"/>
          <w:numId w:val="3"/>
        </w:numPr>
        <w:tabs>
          <w:tab w:val="clear" w:pos="360"/>
          <w:tab w:val="num" w:pos="1440"/>
        </w:tabs>
        <w:ind w:left="1440"/>
        <w:rPr>
          <w:sz w:val="24"/>
          <w:szCs w:val="24"/>
        </w:rPr>
      </w:pPr>
      <w:r w:rsidRPr="00255955">
        <w:rPr>
          <w:sz w:val="24"/>
          <w:szCs w:val="24"/>
        </w:rPr>
        <w:t>To further explore findings obtained from quantitative studies.</w:t>
      </w:r>
    </w:p>
    <w:p w:rsidR="00D24922" w:rsidRPr="00255955" w:rsidRDefault="00D24922" w:rsidP="00D24922">
      <w:pPr>
        <w:ind w:left="360"/>
        <w:rPr>
          <w:sz w:val="24"/>
          <w:szCs w:val="24"/>
        </w:rPr>
      </w:pPr>
    </w:p>
    <w:p w:rsidR="00D24922" w:rsidRPr="00255955" w:rsidRDefault="00D24922" w:rsidP="00D24922">
      <w:pPr>
        <w:pStyle w:val="BodyTextIndent"/>
        <w:ind w:left="720"/>
        <w:rPr>
          <w:rFonts w:ascii="Times New Roman" w:hAnsi="Times New Roman"/>
          <w:sz w:val="24"/>
          <w:szCs w:val="24"/>
        </w:rPr>
      </w:pPr>
      <w:r w:rsidRPr="00255955">
        <w:rPr>
          <w:rFonts w:ascii="Times New Roman" w:hAnsi="Times New Roman"/>
          <w:sz w:val="24"/>
          <w:szCs w:val="24"/>
        </w:rPr>
        <w:t>Focus groups do not yield meaningful quantitative findings.  They can provide public input, but they do not yield data about public opinion that can be generalized to the population at large.  As such, they cannot be used to drive the development of policies, programs, and services.  Policy makers and educators can use focus groups findings to test and refine their ideas, but should then conduct further research before making important decisions such as adopting new policies and allocating or redirecting significant resources to support these policies.  Without the appropriate use of focus groups, the agency could potentially waste time and resources pursuing ineffective approaches to public service advertising messages.</w:t>
      </w:r>
    </w:p>
    <w:p w:rsidR="00147603" w:rsidRPr="00255955" w:rsidRDefault="00147603" w:rsidP="00147603">
      <w:pPr>
        <w:ind w:left="720"/>
        <w:rPr>
          <w:sz w:val="24"/>
          <w:szCs w:val="24"/>
        </w:rPr>
      </w:pPr>
    </w:p>
    <w:p w:rsidR="00AF5B7B" w:rsidRPr="00255955" w:rsidRDefault="00AF5B7B" w:rsidP="00383F37">
      <w:pPr>
        <w:pBdr>
          <w:bottom w:val="single" w:sz="6" w:space="1" w:color="auto"/>
        </w:pBdr>
        <w:rPr>
          <w:sz w:val="24"/>
          <w:szCs w:val="24"/>
        </w:rPr>
      </w:pPr>
    </w:p>
    <w:p w:rsidR="00E95CD9" w:rsidRPr="00255955" w:rsidRDefault="00E95CD9" w:rsidP="00383F37">
      <w:pPr>
        <w:ind w:left="360"/>
        <w:rPr>
          <w:sz w:val="24"/>
          <w:szCs w:val="24"/>
        </w:rPr>
      </w:pPr>
    </w:p>
    <w:p w:rsidR="00E06B6C" w:rsidRPr="00255955" w:rsidRDefault="00E06B6C" w:rsidP="00383F37">
      <w:pPr>
        <w:ind w:left="360"/>
        <w:rPr>
          <w:sz w:val="24"/>
          <w:szCs w:val="24"/>
        </w:rPr>
      </w:pPr>
    </w:p>
    <w:p w:rsidR="00216F3C" w:rsidRPr="00255955" w:rsidRDefault="00216F3C" w:rsidP="00383F37">
      <w:pPr>
        <w:numPr>
          <w:ilvl w:val="1"/>
          <w:numId w:val="31"/>
        </w:numPr>
        <w:outlineLvl w:val="1"/>
        <w:rPr>
          <w:b/>
          <w:sz w:val="24"/>
          <w:szCs w:val="24"/>
        </w:rPr>
      </w:pPr>
      <w:bookmarkStart w:id="8" w:name="_Toc239210248"/>
      <w:bookmarkStart w:id="9" w:name="_Toc239228480"/>
      <w:r w:rsidRPr="00255955">
        <w:rPr>
          <w:b/>
          <w:sz w:val="24"/>
          <w:szCs w:val="24"/>
        </w:rPr>
        <w:t>Describe whether, and to what extent, the collection of information involves the use of automated, electronic, mechanical or other technological collection techniques or other information technology. Also describe any consideration of using information technology to reduce burden.</w:t>
      </w:r>
      <w:bookmarkEnd w:id="8"/>
      <w:bookmarkEnd w:id="9"/>
    </w:p>
    <w:p w:rsidR="00ED4DE8" w:rsidRPr="00255955" w:rsidRDefault="00ED4DE8" w:rsidP="00383F37">
      <w:pPr>
        <w:pStyle w:val="BodyTextIndent"/>
        <w:ind w:left="720"/>
        <w:rPr>
          <w:rFonts w:ascii="Times New Roman" w:hAnsi="Times New Roman"/>
          <w:sz w:val="24"/>
          <w:szCs w:val="24"/>
        </w:rPr>
      </w:pPr>
    </w:p>
    <w:p w:rsidR="005E658E" w:rsidRPr="00255955" w:rsidRDefault="005E658E" w:rsidP="005E658E">
      <w:pPr>
        <w:pStyle w:val="BodyTextIndent"/>
        <w:ind w:left="720"/>
        <w:rPr>
          <w:rFonts w:ascii="Times New Roman" w:hAnsi="Times New Roman"/>
          <w:sz w:val="24"/>
          <w:szCs w:val="24"/>
        </w:rPr>
      </w:pPr>
      <w:r w:rsidRPr="00255955">
        <w:rPr>
          <w:rFonts w:ascii="Times New Roman" w:hAnsi="Times New Roman"/>
          <w:sz w:val="24"/>
          <w:szCs w:val="24"/>
        </w:rPr>
        <w:t>Focus group studies are directed group discussions that enable skilled observers to infer the underlying views and assumptions of the group.  To facilitate interpretation, discussions are recorded and videotaped so that both a visual record and written transcript of the discussion are available for review.</w:t>
      </w:r>
    </w:p>
    <w:p w:rsidR="00AF5B7B" w:rsidRPr="00255955" w:rsidRDefault="00AF5B7B" w:rsidP="00383F37">
      <w:pPr>
        <w:pStyle w:val="BodyTextIndent"/>
        <w:pBdr>
          <w:bottom w:val="single" w:sz="6" w:space="1" w:color="auto"/>
        </w:pBdr>
        <w:ind w:left="0"/>
        <w:rPr>
          <w:rFonts w:ascii="Times New Roman" w:hAnsi="Times New Roman"/>
          <w:sz w:val="24"/>
          <w:szCs w:val="24"/>
        </w:rPr>
      </w:pPr>
    </w:p>
    <w:p w:rsidR="008B4F8C" w:rsidRPr="00255955" w:rsidRDefault="008B4F8C" w:rsidP="00383F37">
      <w:pPr>
        <w:pStyle w:val="BodyTextIndent"/>
        <w:ind w:left="0"/>
        <w:rPr>
          <w:rFonts w:ascii="Times New Roman" w:hAnsi="Times New Roman"/>
          <w:sz w:val="24"/>
          <w:szCs w:val="24"/>
        </w:rPr>
      </w:pPr>
    </w:p>
    <w:p w:rsidR="00E95CD9" w:rsidRPr="00255955" w:rsidRDefault="00E95CD9" w:rsidP="00383F37">
      <w:pPr>
        <w:numPr>
          <w:ilvl w:val="1"/>
          <w:numId w:val="31"/>
        </w:numPr>
        <w:outlineLvl w:val="1"/>
        <w:rPr>
          <w:b/>
          <w:sz w:val="24"/>
          <w:szCs w:val="24"/>
        </w:rPr>
      </w:pPr>
      <w:bookmarkStart w:id="10" w:name="_Toc239210249"/>
      <w:bookmarkStart w:id="11" w:name="_Toc239228481"/>
      <w:r w:rsidRPr="00255955">
        <w:rPr>
          <w:b/>
          <w:sz w:val="24"/>
          <w:szCs w:val="24"/>
        </w:rPr>
        <w:t>Describe efforts to identify duplication. Show specifically why any similar information, already available cannot be used or modified for use for the purposes described in Item 2 above.</w:t>
      </w:r>
      <w:bookmarkEnd w:id="10"/>
      <w:bookmarkEnd w:id="11"/>
    </w:p>
    <w:p w:rsidR="005E658E" w:rsidRPr="00255955" w:rsidRDefault="005E658E" w:rsidP="005E658E">
      <w:pPr>
        <w:rPr>
          <w:sz w:val="24"/>
          <w:szCs w:val="24"/>
        </w:rPr>
      </w:pPr>
    </w:p>
    <w:p w:rsidR="005E658E" w:rsidRPr="00255955" w:rsidRDefault="005E658E" w:rsidP="005E658E">
      <w:pPr>
        <w:ind w:left="720"/>
        <w:rPr>
          <w:sz w:val="24"/>
          <w:szCs w:val="24"/>
        </w:rPr>
      </w:pPr>
      <w:r w:rsidRPr="00255955">
        <w:rPr>
          <w:sz w:val="24"/>
          <w:szCs w:val="24"/>
        </w:rPr>
        <w:t>Each focus group study is formative and designed to address a narrowly defined need.   Focus groups are only considered for use when no other source of relevant information is available.  Therefore, it is not expected that any of the information gathered during these focus group studies is duplicative or is already in the possession of the Federal government.  In this instance, focus groups will be used to elicit feedback on the unique public service advertising campaign strategy and messaging.</w:t>
      </w:r>
    </w:p>
    <w:p w:rsidR="005E658E" w:rsidRPr="00255955" w:rsidRDefault="005E658E" w:rsidP="00383F37">
      <w:pPr>
        <w:ind w:left="720"/>
        <w:rPr>
          <w:sz w:val="24"/>
          <w:szCs w:val="24"/>
        </w:rPr>
      </w:pPr>
    </w:p>
    <w:p w:rsidR="00F940B6" w:rsidRPr="00255955" w:rsidRDefault="00F940B6" w:rsidP="00383F37">
      <w:pPr>
        <w:pBdr>
          <w:bottom w:val="single" w:sz="6" w:space="1" w:color="auto"/>
        </w:pBdr>
        <w:rPr>
          <w:sz w:val="24"/>
          <w:szCs w:val="24"/>
        </w:rPr>
      </w:pPr>
    </w:p>
    <w:p w:rsidR="00AF5B7B" w:rsidRPr="00255955" w:rsidRDefault="00AF5B7B" w:rsidP="00383F37">
      <w:pPr>
        <w:rPr>
          <w:sz w:val="24"/>
          <w:szCs w:val="24"/>
        </w:rPr>
      </w:pPr>
    </w:p>
    <w:p w:rsidR="00AF5B7B" w:rsidRPr="00255955" w:rsidRDefault="00AF5B7B" w:rsidP="00383F37">
      <w:pPr>
        <w:numPr>
          <w:ilvl w:val="1"/>
          <w:numId w:val="31"/>
        </w:numPr>
        <w:outlineLvl w:val="1"/>
        <w:rPr>
          <w:b/>
          <w:sz w:val="24"/>
          <w:szCs w:val="24"/>
        </w:rPr>
      </w:pPr>
      <w:bookmarkStart w:id="12" w:name="_Toc239210250"/>
      <w:bookmarkStart w:id="13" w:name="_Toc239228482"/>
      <w:r w:rsidRPr="00255955">
        <w:rPr>
          <w:b/>
          <w:sz w:val="24"/>
          <w:szCs w:val="24"/>
        </w:rPr>
        <w:t>If the collection of information involves small businesses or other small entities, describe the methods used to minimize burden.</w:t>
      </w:r>
      <w:bookmarkEnd w:id="12"/>
      <w:bookmarkEnd w:id="13"/>
    </w:p>
    <w:p w:rsidR="00B61C95" w:rsidRPr="00255955" w:rsidRDefault="00B61C95" w:rsidP="00383F37">
      <w:pPr>
        <w:rPr>
          <w:sz w:val="24"/>
          <w:szCs w:val="24"/>
        </w:rPr>
      </w:pPr>
    </w:p>
    <w:p w:rsidR="00F811AB" w:rsidRPr="00255955" w:rsidRDefault="00F60652" w:rsidP="00383F37">
      <w:pPr>
        <w:ind w:left="720"/>
        <w:rPr>
          <w:sz w:val="24"/>
          <w:szCs w:val="24"/>
        </w:rPr>
      </w:pPr>
      <w:r w:rsidRPr="00255955">
        <w:rPr>
          <w:sz w:val="24"/>
          <w:szCs w:val="24"/>
        </w:rPr>
        <w:t>There will be no impact on small business or other small entities.  The collection of information involves selected individuals, not small businesses.</w:t>
      </w:r>
    </w:p>
    <w:p w:rsidR="00F940B6" w:rsidRPr="00255955" w:rsidRDefault="00F940B6" w:rsidP="00383F37">
      <w:pPr>
        <w:rPr>
          <w:sz w:val="24"/>
          <w:szCs w:val="24"/>
        </w:rPr>
      </w:pPr>
    </w:p>
    <w:p w:rsidR="00F940B6" w:rsidRPr="00255955" w:rsidRDefault="00F940B6" w:rsidP="00383F37">
      <w:pPr>
        <w:pBdr>
          <w:bottom w:val="single" w:sz="6" w:space="1" w:color="auto"/>
        </w:pBdr>
        <w:rPr>
          <w:sz w:val="24"/>
          <w:szCs w:val="24"/>
        </w:rPr>
      </w:pPr>
    </w:p>
    <w:p w:rsidR="00B61C95" w:rsidRPr="00255955" w:rsidRDefault="00B61C95" w:rsidP="00383F37">
      <w:pPr>
        <w:ind w:left="360"/>
        <w:rPr>
          <w:sz w:val="24"/>
          <w:szCs w:val="24"/>
        </w:rPr>
      </w:pPr>
    </w:p>
    <w:p w:rsidR="00B61C95" w:rsidRPr="00255955" w:rsidRDefault="00D637AD" w:rsidP="00383F37">
      <w:pPr>
        <w:numPr>
          <w:ilvl w:val="1"/>
          <w:numId w:val="31"/>
        </w:numPr>
        <w:outlineLvl w:val="1"/>
        <w:rPr>
          <w:sz w:val="24"/>
          <w:szCs w:val="24"/>
        </w:rPr>
      </w:pPr>
      <w:bookmarkStart w:id="14" w:name="_Toc239210251"/>
      <w:bookmarkStart w:id="15" w:name="_Toc239228483"/>
      <w:r w:rsidRPr="00255955">
        <w:rPr>
          <w:b/>
          <w:sz w:val="24"/>
          <w:szCs w:val="24"/>
        </w:rPr>
        <w:t>Describe the consequences to Federal Program or policy activities if the collection is not collected or collected less frequently.</w:t>
      </w:r>
      <w:bookmarkEnd w:id="14"/>
      <w:bookmarkEnd w:id="15"/>
    </w:p>
    <w:p w:rsidR="00ED4DE8" w:rsidRPr="00255955" w:rsidRDefault="00ED4DE8" w:rsidP="00383F37">
      <w:pPr>
        <w:pStyle w:val="BodyTextIndent"/>
        <w:ind w:left="720"/>
        <w:rPr>
          <w:rFonts w:ascii="Times New Roman" w:hAnsi="Times New Roman"/>
          <w:sz w:val="24"/>
          <w:szCs w:val="24"/>
        </w:rPr>
      </w:pPr>
    </w:p>
    <w:p w:rsidR="005E658E" w:rsidRPr="00255955" w:rsidRDefault="001C37FA" w:rsidP="005E658E">
      <w:pPr>
        <w:pStyle w:val="BodyTextIndent"/>
        <w:ind w:left="720"/>
        <w:rPr>
          <w:rFonts w:ascii="Times New Roman" w:hAnsi="Times New Roman"/>
          <w:sz w:val="24"/>
          <w:szCs w:val="24"/>
        </w:rPr>
      </w:pPr>
      <w:r w:rsidRPr="00255955">
        <w:rPr>
          <w:rFonts w:ascii="Times New Roman" w:hAnsi="Times New Roman"/>
          <w:sz w:val="24"/>
          <w:szCs w:val="24"/>
        </w:rPr>
        <w:lastRenderedPageBreak/>
        <w:t xml:space="preserve">Without these data collections, NHTSA will not have information on how to best communicate intended messages about impaired driving enforcement.  </w:t>
      </w:r>
      <w:r w:rsidR="005E658E" w:rsidRPr="00255955">
        <w:rPr>
          <w:rFonts w:ascii="Times New Roman" w:hAnsi="Times New Roman"/>
          <w:sz w:val="24"/>
          <w:szCs w:val="24"/>
        </w:rPr>
        <w:t>Without additional information of the kind that would be provided by the study, large segments of the driving public will likely be unaffected by the impaired driving messages.  Without the information obtained from focus groups NHTSA may make assumptions about attitudes, knowledge, and understanding of proposed messages that are not accurate or useful.  Ultimately, the impact of the impaired driving prevention campaign depends on this information.</w:t>
      </w:r>
    </w:p>
    <w:p w:rsidR="005E658E" w:rsidRPr="00255955" w:rsidRDefault="005E658E" w:rsidP="005E658E">
      <w:pPr>
        <w:pBdr>
          <w:bottom w:val="single" w:sz="6" w:space="1" w:color="auto"/>
        </w:pBdr>
        <w:rPr>
          <w:sz w:val="24"/>
          <w:szCs w:val="24"/>
        </w:rPr>
      </w:pPr>
    </w:p>
    <w:p w:rsidR="001A686B" w:rsidRPr="00255955" w:rsidRDefault="001A686B" w:rsidP="00383F37">
      <w:pPr>
        <w:ind w:left="360"/>
        <w:rPr>
          <w:sz w:val="24"/>
          <w:szCs w:val="24"/>
        </w:rPr>
      </w:pPr>
    </w:p>
    <w:p w:rsidR="001A686B" w:rsidRPr="00255955" w:rsidRDefault="001A686B" w:rsidP="00383F37">
      <w:pPr>
        <w:numPr>
          <w:ilvl w:val="1"/>
          <w:numId w:val="31"/>
        </w:numPr>
        <w:outlineLvl w:val="1"/>
        <w:rPr>
          <w:b/>
          <w:sz w:val="24"/>
          <w:szCs w:val="24"/>
        </w:rPr>
      </w:pPr>
      <w:bookmarkStart w:id="16" w:name="_Toc239210252"/>
      <w:bookmarkStart w:id="17" w:name="_Toc239228484"/>
      <w:r w:rsidRPr="00255955">
        <w:rPr>
          <w:b/>
          <w:sz w:val="24"/>
          <w:szCs w:val="24"/>
        </w:rPr>
        <w:t>Explain any special circumstances that require the collection to be conducted in a manner inconsistent with the guidelines set forth in 5 CFR 1320.6.</w:t>
      </w:r>
      <w:bookmarkEnd w:id="16"/>
      <w:bookmarkEnd w:id="17"/>
    </w:p>
    <w:p w:rsidR="00ED4DE8" w:rsidRPr="00255955" w:rsidRDefault="00ED4DE8" w:rsidP="00383F37">
      <w:pPr>
        <w:ind w:left="720"/>
        <w:rPr>
          <w:sz w:val="24"/>
          <w:szCs w:val="24"/>
        </w:rPr>
      </w:pPr>
    </w:p>
    <w:p w:rsidR="007C0F0D" w:rsidRPr="00255955" w:rsidRDefault="007C0F0D" w:rsidP="00383F37">
      <w:pPr>
        <w:ind w:left="720"/>
        <w:rPr>
          <w:sz w:val="24"/>
          <w:szCs w:val="24"/>
        </w:rPr>
      </w:pPr>
      <w:r w:rsidRPr="00255955">
        <w:rPr>
          <w:sz w:val="24"/>
          <w:szCs w:val="24"/>
        </w:rPr>
        <w:t>No special circumstances require the collection to be conducted in a manner inconsistent with the guidelines in 5CFR 1320.6.</w:t>
      </w:r>
    </w:p>
    <w:p w:rsidR="00383F37" w:rsidRPr="00255955" w:rsidRDefault="00383F37" w:rsidP="00383F37">
      <w:pPr>
        <w:ind w:left="720"/>
        <w:rPr>
          <w:sz w:val="24"/>
          <w:szCs w:val="24"/>
        </w:rPr>
      </w:pPr>
    </w:p>
    <w:p w:rsidR="007C0F0D" w:rsidRPr="00255955" w:rsidRDefault="007C0F0D" w:rsidP="00383F37">
      <w:pPr>
        <w:pBdr>
          <w:bottom w:val="single" w:sz="6" w:space="1" w:color="auto"/>
        </w:pBdr>
        <w:rPr>
          <w:sz w:val="24"/>
          <w:szCs w:val="24"/>
        </w:rPr>
      </w:pPr>
    </w:p>
    <w:p w:rsidR="007C0F0D" w:rsidRPr="00255955" w:rsidRDefault="007C0F0D" w:rsidP="00383F37">
      <w:pPr>
        <w:rPr>
          <w:sz w:val="24"/>
          <w:szCs w:val="24"/>
        </w:rPr>
      </w:pPr>
    </w:p>
    <w:p w:rsidR="007C0F0D" w:rsidRPr="00255955" w:rsidRDefault="007C0F0D" w:rsidP="00383F37">
      <w:pPr>
        <w:rPr>
          <w:sz w:val="24"/>
          <w:szCs w:val="24"/>
        </w:rPr>
      </w:pPr>
    </w:p>
    <w:p w:rsidR="007C0F0D" w:rsidRPr="00255955" w:rsidRDefault="007C0F0D" w:rsidP="00383F37">
      <w:pPr>
        <w:numPr>
          <w:ilvl w:val="1"/>
          <w:numId w:val="31"/>
        </w:numPr>
        <w:outlineLvl w:val="1"/>
        <w:rPr>
          <w:b/>
          <w:sz w:val="24"/>
          <w:szCs w:val="24"/>
        </w:rPr>
      </w:pPr>
      <w:bookmarkStart w:id="18" w:name="_Toc239210253"/>
      <w:bookmarkStart w:id="19" w:name="_Toc239228485"/>
      <w:r w:rsidRPr="00255955">
        <w:rPr>
          <w:b/>
          <w:sz w:val="24"/>
          <w:szCs w:val="24"/>
        </w:rPr>
        <w:t>Provide a copy of the Federal Register document soliciting comments on the collection of information, a summary of all public comments responding to the notice, and a description of the agency’s actions in response to the comments. Describe efforts to consult with persons outside the agency to obtain their views.</w:t>
      </w:r>
      <w:bookmarkEnd w:id="18"/>
      <w:bookmarkEnd w:id="19"/>
    </w:p>
    <w:p w:rsidR="00ED4DE8" w:rsidRPr="00255955" w:rsidRDefault="00ED4DE8" w:rsidP="00383F37">
      <w:pPr>
        <w:ind w:left="720"/>
        <w:outlineLvl w:val="2"/>
        <w:rPr>
          <w:b/>
          <w:sz w:val="24"/>
          <w:szCs w:val="24"/>
        </w:rPr>
      </w:pPr>
      <w:bookmarkStart w:id="20" w:name="_Toc239210254"/>
      <w:bookmarkStart w:id="21" w:name="_Toc239228486"/>
    </w:p>
    <w:bookmarkEnd w:id="20"/>
    <w:bookmarkEnd w:id="21"/>
    <w:p w:rsidR="005E658E" w:rsidRPr="00255955" w:rsidRDefault="005E658E" w:rsidP="005E658E">
      <w:pPr>
        <w:numPr>
          <w:ilvl w:val="2"/>
          <w:numId w:val="31"/>
        </w:numPr>
        <w:outlineLvl w:val="2"/>
        <w:rPr>
          <w:b/>
          <w:sz w:val="24"/>
          <w:szCs w:val="24"/>
        </w:rPr>
      </w:pPr>
      <w:r w:rsidRPr="00255955">
        <w:rPr>
          <w:b/>
          <w:sz w:val="24"/>
          <w:szCs w:val="24"/>
        </w:rPr>
        <w:t>Federal Register Notice</w:t>
      </w:r>
    </w:p>
    <w:p w:rsidR="005E658E" w:rsidRPr="00255955" w:rsidRDefault="005E658E" w:rsidP="005E658E">
      <w:pPr>
        <w:ind w:left="1440"/>
        <w:rPr>
          <w:sz w:val="24"/>
          <w:szCs w:val="24"/>
        </w:rPr>
      </w:pPr>
    </w:p>
    <w:p w:rsidR="005E658E" w:rsidRPr="00255955" w:rsidRDefault="005E658E" w:rsidP="005E658E">
      <w:pPr>
        <w:ind w:left="1440"/>
        <w:rPr>
          <w:sz w:val="24"/>
          <w:szCs w:val="24"/>
        </w:rPr>
      </w:pPr>
      <w:r w:rsidRPr="00255955">
        <w:rPr>
          <w:sz w:val="24"/>
          <w:szCs w:val="24"/>
        </w:rPr>
        <w:t>NHTSA submitted the required 60-day (75 FR 8426) and 30-day (75 FR 25034) Federal Register Notices with its request for generic clearance (OMB Control No: 2127-0667).</w:t>
      </w:r>
    </w:p>
    <w:p w:rsidR="005E658E" w:rsidRPr="00255955" w:rsidRDefault="005E658E" w:rsidP="005E658E">
      <w:pPr>
        <w:ind w:left="1440"/>
        <w:rPr>
          <w:sz w:val="24"/>
          <w:szCs w:val="24"/>
        </w:rPr>
      </w:pPr>
    </w:p>
    <w:p w:rsidR="00383F37" w:rsidRPr="00255955" w:rsidRDefault="00383F37" w:rsidP="00383F37">
      <w:pPr>
        <w:ind w:left="1440"/>
        <w:rPr>
          <w:sz w:val="24"/>
          <w:szCs w:val="24"/>
        </w:rPr>
      </w:pPr>
    </w:p>
    <w:p w:rsidR="00397F19" w:rsidRPr="00255955" w:rsidRDefault="00397F19" w:rsidP="00383F37">
      <w:pPr>
        <w:numPr>
          <w:ilvl w:val="2"/>
          <w:numId w:val="31"/>
        </w:numPr>
        <w:outlineLvl w:val="2"/>
        <w:rPr>
          <w:b/>
          <w:sz w:val="24"/>
          <w:szCs w:val="24"/>
        </w:rPr>
      </w:pPr>
      <w:bookmarkStart w:id="22" w:name="_Toc239210255"/>
      <w:bookmarkStart w:id="23" w:name="_Toc239228487"/>
      <w:r w:rsidRPr="00255955">
        <w:rPr>
          <w:b/>
          <w:sz w:val="24"/>
          <w:szCs w:val="24"/>
        </w:rPr>
        <w:t>Expert Consultation</w:t>
      </w:r>
      <w:bookmarkEnd w:id="22"/>
      <w:bookmarkEnd w:id="23"/>
    </w:p>
    <w:p w:rsidR="001A686B" w:rsidRPr="00255955" w:rsidRDefault="001A686B" w:rsidP="00383F37">
      <w:pPr>
        <w:ind w:left="360"/>
        <w:rPr>
          <w:sz w:val="24"/>
          <w:szCs w:val="24"/>
        </w:rPr>
      </w:pPr>
    </w:p>
    <w:p w:rsidR="005E658E" w:rsidRPr="00255955" w:rsidRDefault="005E658E" w:rsidP="005E658E">
      <w:pPr>
        <w:ind w:left="1440"/>
        <w:rPr>
          <w:sz w:val="24"/>
          <w:szCs w:val="24"/>
        </w:rPr>
      </w:pPr>
      <w:r w:rsidRPr="00255955">
        <w:rPr>
          <w:sz w:val="24"/>
          <w:szCs w:val="24"/>
        </w:rPr>
        <w:t xml:space="preserve">NHTSA has reviewed reports on impaired driving and other qualitative information collections to identify areas of interest and concern.  NHTSA used experienced contractors to develop focus group plans and materials. </w:t>
      </w:r>
      <w:r w:rsidR="00B36563">
        <w:rPr>
          <w:sz w:val="24"/>
          <w:szCs w:val="24"/>
        </w:rPr>
        <w:t>NHTSA</w:t>
      </w:r>
      <w:r w:rsidRPr="00255955">
        <w:rPr>
          <w:sz w:val="24"/>
          <w:szCs w:val="24"/>
        </w:rPr>
        <w:t xml:space="preserve"> will hire a professional recruiting company and moderator to help facilitate the focus groups.  NHTSA will establish an independent review process to assure the development and implementation of high quality focus groups.  </w:t>
      </w:r>
    </w:p>
    <w:p w:rsidR="005E658E" w:rsidRPr="00255955" w:rsidRDefault="005E658E" w:rsidP="005E658E">
      <w:pPr>
        <w:ind w:left="1440"/>
        <w:rPr>
          <w:sz w:val="24"/>
          <w:szCs w:val="24"/>
          <w:highlight w:val="cyan"/>
        </w:rPr>
      </w:pPr>
    </w:p>
    <w:p w:rsidR="005E658E" w:rsidRPr="00255955" w:rsidRDefault="005E658E" w:rsidP="005E658E">
      <w:pPr>
        <w:pBdr>
          <w:bottom w:val="single" w:sz="6" w:space="1" w:color="auto"/>
        </w:pBdr>
        <w:rPr>
          <w:sz w:val="24"/>
          <w:szCs w:val="24"/>
        </w:rPr>
      </w:pPr>
    </w:p>
    <w:p w:rsidR="005D6EB7" w:rsidRPr="00255955" w:rsidRDefault="000C7053" w:rsidP="00383F37">
      <w:pPr>
        <w:pBdr>
          <w:bottom w:val="single" w:sz="6" w:space="1" w:color="auto"/>
        </w:pBdr>
        <w:rPr>
          <w:sz w:val="24"/>
          <w:szCs w:val="24"/>
        </w:rPr>
      </w:pPr>
      <w:r w:rsidRPr="00255955">
        <w:rPr>
          <w:sz w:val="24"/>
          <w:szCs w:val="24"/>
        </w:rPr>
        <w:br w:type="page"/>
      </w:r>
    </w:p>
    <w:p w:rsidR="008B4F8C" w:rsidRPr="00255955" w:rsidRDefault="008B4F8C" w:rsidP="00383F37">
      <w:pPr>
        <w:pBdr>
          <w:bottom w:val="single" w:sz="6" w:space="1" w:color="auto"/>
        </w:pBdr>
        <w:rPr>
          <w:sz w:val="24"/>
          <w:szCs w:val="24"/>
        </w:rPr>
      </w:pPr>
    </w:p>
    <w:p w:rsidR="005D6EB7" w:rsidRPr="00255955" w:rsidRDefault="005D6EB7" w:rsidP="00383F37">
      <w:pPr>
        <w:rPr>
          <w:sz w:val="24"/>
          <w:szCs w:val="24"/>
        </w:rPr>
      </w:pPr>
    </w:p>
    <w:p w:rsidR="005D6EB7" w:rsidRPr="00255955" w:rsidRDefault="005D6EB7" w:rsidP="00383F37">
      <w:pPr>
        <w:numPr>
          <w:ilvl w:val="1"/>
          <w:numId w:val="31"/>
        </w:numPr>
        <w:outlineLvl w:val="1"/>
        <w:rPr>
          <w:b/>
          <w:sz w:val="24"/>
          <w:szCs w:val="24"/>
        </w:rPr>
      </w:pPr>
      <w:bookmarkStart w:id="24" w:name="_Toc239210256"/>
      <w:bookmarkStart w:id="25" w:name="_Toc239228488"/>
      <w:r w:rsidRPr="00255955">
        <w:rPr>
          <w:b/>
          <w:sz w:val="24"/>
          <w:szCs w:val="24"/>
        </w:rPr>
        <w:t>Explain any decision to provide any payment or gift to respondents, other than remuneration of contractors or grantees.</w:t>
      </w:r>
      <w:bookmarkEnd w:id="24"/>
      <w:bookmarkEnd w:id="25"/>
    </w:p>
    <w:p w:rsidR="00383F37" w:rsidRPr="00255955" w:rsidRDefault="00383F37" w:rsidP="00383F37">
      <w:pPr>
        <w:pStyle w:val="BodyTextIndent"/>
        <w:ind w:left="720"/>
        <w:rPr>
          <w:rFonts w:ascii="Times New Roman" w:hAnsi="Times New Roman"/>
          <w:sz w:val="24"/>
          <w:szCs w:val="24"/>
        </w:rPr>
      </w:pPr>
    </w:p>
    <w:p w:rsidR="003C73CB" w:rsidRPr="00255955" w:rsidRDefault="003C73CB" w:rsidP="003C73CB">
      <w:pPr>
        <w:pStyle w:val="BodyTextIndent"/>
        <w:ind w:left="720"/>
        <w:rPr>
          <w:rFonts w:ascii="Times New Roman" w:hAnsi="Times New Roman"/>
          <w:sz w:val="24"/>
          <w:szCs w:val="24"/>
        </w:rPr>
      </w:pPr>
      <w:r w:rsidRPr="00255955">
        <w:rPr>
          <w:rFonts w:ascii="Times New Roman" w:hAnsi="Times New Roman"/>
          <w:sz w:val="24"/>
          <w:szCs w:val="24"/>
        </w:rPr>
        <w:t xml:space="preserve">It is standard practice to reimburse focus group respondents for their time.  Each respondent will be provided with </w:t>
      </w:r>
      <w:r w:rsidRPr="004A2080">
        <w:rPr>
          <w:rFonts w:ascii="Times New Roman" w:hAnsi="Times New Roman"/>
          <w:sz w:val="24"/>
          <w:szCs w:val="24"/>
        </w:rPr>
        <w:t>$75</w:t>
      </w:r>
      <w:r w:rsidRPr="00255955">
        <w:rPr>
          <w:rFonts w:ascii="Times New Roman" w:hAnsi="Times New Roman"/>
          <w:sz w:val="24"/>
          <w:szCs w:val="24"/>
        </w:rPr>
        <w:t xml:space="preserve"> following their participation in a focus group session. This amount is in line with the industry standard, relative to focus group participation by people in the target market.</w:t>
      </w:r>
    </w:p>
    <w:p w:rsidR="008B4F8C" w:rsidRPr="00255955" w:rsidRDefault="008B4F8C" w:rsidP="00383F37">
      <w:pPr>
        <w:pBdr>
          <w:bottom w:val="single" w:sz="6" w:space="1" w:color="auto"/>
        </w:pBdr>
        <w:rPr>
          <w:sz w:val="24"/>
          <w:szCs w:val="24"/>
        </w:rPr>
      </w:pPr>
    </w:p>
    <w:p w:rsidR="00AA290C" w:rsidRPr="00255955" w:rsidRDefault="00AA290C" w:rsidP="00383F37">
      <w:pPr>
        <w:rPr>
          <w:sz w:val="24"/>
          <w:szCs w:val="24"/>
        </w:rPr>
      </w:pPr>
    </w:p>
    <w:p w:rsidR="008B7842" w:rsidRPr="00255955" w:rsidRDefault="008B7842" w:rsidP="00383F37">
      <w:pPr>
        <w:pStyle w:val="BodyTextIndent"/>
        <w:rPr>
          <w:rFonts w:ascii="Times New Roman" w:hAnsi="Times New Roman"/>
          <w:sz w:val="24"/>
          <w:szCs w:val="24"/>
        </w:rPr>
      </w:pPr>
    </w:p>
    <w:p w:rsidR="008B7842" w:rsidRPr="00255955" w:rsidRDefault="008B7842" w:rsidP="00383F37">
      <w:pPr>
        <w:numPr>
          <w:ilvl w:val="1"/>
          <w:numId w:val="31"/>
        </w:numPr>
        <w:outlineLvl w:val="1"/>
        <w:rPr>
          <w:b/>
          <w:sz w:val="24"/>
          <w:szCs w:val="24"/>
        </w:rPr>
      </w:pPr>
      <w:bookmarkStart w:id="26" w:name="_Toc239210257"/>
      <w:bookmarkStart w:id="27" w:name="_Toc239228489"/>
      <w:r w:rsidRPr="00255955">
        <w:rPr>
          <w:b/>
          <w:sz w:val="24"/>
          <w:szCs w:val="24"/>
        </w:rPr>
        <w:t>Describe any assurance of confidentiality provided to respondents.</w:t>
      </w:r>
      <w:bookmarkEnd w:id="26"/>
      <w:bookmarkEnd w:id="27"/>
    </w:p>
    <w:p w:rsidR="00383F37" w:rsidRPr="00255955" w:rsidRDefault="00383F37" w:rsidP="00383F37">
      <w:pPr>
        <w:pStyle w:val="BodyTextIndent"/>
        <w:ind w:left="720"/>
        <w:rPr>
          <w:rFonts w:ascii="Times New Roman" w:hAnsi="Times New Roman"/>
          <w:sz w:val="24"/>
          <w:szCs w:val="24"/>
        </w:rPr>
      </w:pPr>
    </w:p>
    <w:p w:rsidR="003C73CB" w:rsidRPr="00255955" w:rsidRDefault="003C73CB" w:rsidP="003C73CB">
      <w:pPr>
        <w:pStyle w:val="BodyTextIndent"/>
        <w:ind w:left="720"/>
        <w:rPr>
          <w:rFonts w:ascii="Times New Roman" w:hAnsi="Times New Roman"/>
          <w:sz w:val="24"/>
          <w:szCs w:val="24"/>
        </w:rPr>
      </w:pPr>
      <w:r w:rsidRPr="00255955">
        <w:rPr>
          <w:rFonts w:ascii="Times New Roman" w:hAnsi="Times New Roman"/>
          <w:sz w:val="24"/>
          <w:szCs w:val="24"/>
        </w:rPr>
        <w:t xml:space="preserve">Respondents will participate in person, and therefore no assurances of complete confidentiality can be issued.  However, the moderator conducting the Focus Groups will verbally explain to participants that qualitative results will not be associated with identifying information or with a particular participant.  Moderators and contractors will follow procedures to prevent unauthorized access to respondent data and will not disclose to the public the identities or responses of individual participants.  </w:t>
      </w:r>
    </w:p>
    <w:p w:rsidR="00AA290C" w:rsidRPr="00255955" w:rsidRDefault="00AA290C" w:rsidP="00383F37">
      <w:pPr>
        <w:pBdr>
          <w:bottom w:val="single" w:sz="6" w:space="1" w:color="auto"/>
        </w:pBdr>
        <w:rPr>
          <w:sz w:val="24"/>
          <w:szCs w:val="24"/>
        </w:rPr>
      </w:pPr>
    </w:p>
    <w:p w:rsidR="00AA290C" w:rsidRPr="00255955" w:rsidRDefault="00AA290C" w:rsidP="00383F37">
      <w:pPr>
        <w:pStyle w:val="BodyTextIndent"/>
        <w:rPr>
          <w:rFonts w:ascii="Times New Roman" w:hAnsi="Times New Roman"/>
          <w:sz w:val="24"/>
          <w:szCs w:val="24"/>
        </w:rPr>
      </w:pPr>
    </w:p>
    <w:p w:rsidR="00AA290C" w:rsidRPr="00255955" w:rsidRDefault="00AA290C" w:rsidP="00383F37">
      <w:pPr>
        <w:pStyle w:val="BodyTextIndent"/>
        <w:rPr>
          <w:rFonts w:ascii="Times New Roman" w:hAnsi="Times New Roman"/>
          <w:sz w:val="24"/>
          <w:szCs w:val="24"/>
        </w:rPr>
      </w:pPr>
    </w:p>
    <w:p w:rsidR="00AA290C" w:rsidRPr="00255955" w:rsidRDefault="00AA290C" w:rsidP="00383F37">
      <w:pPr>
        <w:numPr>
          <w:ilvl w:val="1"/>
          <w:numId w:val="31"/>
        </w:numPr>
        <w:outlineLvl w:val="1"/>
        <w:rPr>
          <w:b/>
          <w:sz w:val="24"/>
          <w:szCs w:val="24"/>
        </w:rPr>
      </w:pPr>
      <w:bookmarkStart w:id="28" w:name="_Toc239210258"/>
      <w:bookmarkStart w:id="29" w:name="_Toc239228490"/>
      <w:r w:rsidRPr="00255955">
        <w:rPr>
          <w:b/>
          <w:sz w:val="24"/>
          <w:szCs w:val="24"/>
        </w:rPr>
        <w:t>Provide additional justification for any questions of a sensitive nature, such as sexual behavior or attitudes, religious beliefs, and other matters that are commonly considered private.</w:t>
      </w:r>
      <w:bookmarkEnd w:id="28"/>
      <w:bookmarkEnd w:id="29"/>
    </w:p>
    <w:p w:rsidR="003C73CB" w:rsidRPr="00255955" w:rsidRDefault="003C73CB" w:rsidP="003C73CB">
      <w:pPr>
        <w:pStyle w:val="BodyTextIndent"/>
        <w:rPr>
          <w:rFonts w:ascii="Times New Roman" w:hAnsi="Times New Roman"/>
          <w:sz w:val="24"/>
          <w:szCs w:val="24"/>
        </w:rPr>
      </w:pPr>
    </w:p>
    <w:p w:rsidR="003C73CB" w:rsidRPr="00255955" w:rsidRDefault="003C73CB" w:rsidP="003C73CB">
      <w:pPr>
        <w:pStyle w:val="BodyTextIndent"/>
        <w:ind w:left="720"/>
        <w:rPr>
          <w:rFonts w:ascii="Times New Roman" w:hAnsi="Times New Roman"/>
          <w:sz w:val="24"/>
          <w:szCs w:val="24"/>
        </w:rPr>
      </w:pPr>
      <w:r w:rsidRPr="00255955">
        <w:rPr>
          <w:rFonts w:ascii="Times New Roman" w:hAnsi="Times New Roman"/>
          <w:sz w:val="24"/>
          <w:szCs w:val="24"/>
        </w:rPr>
        <w:t xml:space="preserve">The focus groups do not contain any questions of a sensitive nature or related to matters that are commonly considered private. </w:t>
      </w:r>
    </w:p>
    <w:p w:rsidR="008E5BA9" w:rsidRPr="00255955" w:rsidRDefault="008E5BA9" w:rsidP="00FC7A82">
      <w:pPr>
        <w:pBdr>
          <w:bottom w:val="single" w:sz="6" w:space="0" w:color="auto"/>
        </w:pBdr>
        <w:rPr>
          <w:sz w:val="24"/>
          <w:szCs w:val="24"/>
        </w:rPr>
      </w:pPr>
    </w:p>
    <w:p w:rsidR="008E5BA9" w:rsidRPr="00255955" w:rsidRDefault="008E5BA9" w:rsidP="00383F37">
      <w:pPr>
        <w:rPr>
          <w:sz w:val="24"/>
          <w:szCs w:val="24"/>
        </w:rPr>
      </w:pPr>
    </w:p>
    <w:p w:rsidR="008E5BA9" w:rsidRPr="00255955" w:rsidRDefault="008E5BA9" w:rsidP="00383F37">
      <w:pPr>
        <w:pStyle w:val="BodyTextIndent"/>
        <w:rPr>
          <w:rFonts w:ascii="Times New Roman" w:hAnsi="Times New Roman"/>
          <w:sz w:val="24"/>
          <w:szCs w:val="24"/>
        </w:rPr>
      </w:pPr>
    </w:p>
    <w:p w:rsidR="008E5BA9" w:rsidRPr="00255955" w:rsidRDefault="008E5BA9" w:rsidP="00383F37">
      <w:pPr>
        <w:numPr>
          <w:ilvl w:val="1"/>
          <w:numId w:val="31"/>
        </w:numPr>
        <w:outlineLvl w:val="1"/>
        <w:rPr>
          <w:b/>
          <w:sz w:val="24"/>
          <w:szCs w:val="24"/>
        </w:rPr>
      </w:pPr>
      <w:bookmarkStart w:id="30" w:name="_Toc239210259"/>
      <w:bookmarkStart w:id="31" w:name="_Toc239228491"/>
      <w:r w:rsidRPr="00255955">
        <w:rPr>
          <w:b/>
          <w:sz w:val="24"/>
          <w:szCs w:val="24"/>
        </w:rPr>
        <w:t>Provide estimates of the hour burden of the collection of information on the respondents.</w:t>
      </w:r>
      <w:bookmarkEnd w:id="30"/>
      <w:bookmarkEnd w:id="31"/>
    </w:p>
    <w:p w:rsidR="00B61C95" w:rsidRPr="00255955" w:rsidRDefault="00B61C95" w:rsidP="00383F37">
      <w:pPr>
        <w:pStyle w:val="BodyTextIndent"/>
        <w:rPr>
          <w:rFonts w:ascii="Times New Roman" w:hAnsi="Times New Roman"/>
          <w:sz w:val="24"/>
          <w:szCs w:val="24"/>
        </w:rPr>
      </w:pPr>
    </w:p>
    <w:p w:rsidR="00712C50" w:rsidRPr="00255955" w:rsidRDefault="00712C50" w:rsidP="006570EC">
      <w:pPr>
        <w:pStyle w:val="BodyText3"/>
        <w:ind w:left="720"/>
        <w:rPr>
          <w:sz w:val="24"/>
          <w:szCs w:val="24"/>
        </w:rPr>
      </w:pPr>
      <w:r w:rsidRPr="00255955">
        <w:rPr>
          <w:snapToGrid w:val="0"/>
          <w:sz w:val="24"/>
          <w:szCs w:val="24"/>
        </w:rPr>
        <w:t xml:space="preserve">NHTSA estimates that there will be </w:t>
      </w:r>
      <w:r w:rsidR="00FC5D39">
        <w:rPr>
          <w:snapToGrid w:val="0"/>
          <w:sz w:val="24"/>
          <w:szCs w:val="24"/>
        </w:rPr>
        <w:t>153.6</w:t>
      </w:r>
      <w:r w:rsidRPr="00255955">
        <w:rPr>
          <w:snapToGrid w:val="0"/>
          <w:sz w:val="24"/>
          <w:szCs w:val="24"/>
        </w:rPr>
        <w:t xml:space="preserve"> burden hours based on this information collection request to use focus groups. </w:t>
      </w:r>
    </w:p>
    <w:p w:rsidR="00712C50" w:rsidRPr="00AE2780" w:rsidRDefault="00712C50" w:rsidP="00712C50">
      <w:pPr>
        <w:pStyle w:val="BodyText3"/>
        <w:ind w:left="720"/>
        <w:rPr>
          <w:sz w:val="24"/>
          <w:szCs w:val="24"/>
        </w:rPr>
      </w:pPr>
      <w:r w:rsidRPr="00255955">
        <w:rPr>
          <w:sz w:val="24"/>
          <w:szCs w:val="24"/>
        </w:rPr>
        <w:t xml:space="preserve">NHTSA plans to </w:t>
      </w:r>
      <w:r w:rsidR="006570EC">
        <w:rPr>
          <w:sz w:val="24"/>
          <w:szCs w:val="24"/>
        </w:rPr>
        <w:t>conduct a total of</w:t>
      </w:r>
      <w:r w:rsidR="00A14C83">
        <w:rPr>
          <w:sz w:val="24"/>
          <w:szCs w:val="24"/>
        </w:rPr>
        <w:t xml:space="preserve"> eight</w:t>
      </w:r>
      <w:r w:rsidR="006570EC">
        <w:rPr>
          <w:sz w:val="24"/>
          <w:szCs w:val="24"/>
        </w:rPr>
        <w:t xml:space="preserve"> focus groups to </w:t>
      </w:r>
      <w:r w:rsidRPr="00255955">
        <w:rPr>
          <w:sz w:val="24"/>
          <w:szCs w:val="24"/>
        </w:rPr>
        <w:t xml:space="preserve">elicit the feedback from target audience members that will inform the development of the Buzzed Driving Is Drunk Driving campaign. </w:t>
      </w:r>
      <w:r w:rsidR="006570EC">
        <w:rPr>
          <w:sz w:val="24"/>
          <w:szCs w:val="24"/>
        </w:rPr>
        <w:t xml:space="preserve"> </w:t>
      </w:r>
      <w:r w:rsidR="006570EC">
        <w:rPr>
          <w:snapToGrid w:val="0"/>
          <w:sz w:val="24"/>
          <w:szCs w:val="24"/>
        </w:rPr>
        <w:t xml:space="preserve">Each group will consist of 9 </w:t>
      </w:r>
      <w:r w:rsidR="006570EC" w:rsidRPr="005D776A">
        <w:rPr>
          <w:snapToGrid w:val="0"/>
          <w:sz w:val="24"/>
          <w:szCs w:val="24"/>
        </w:rPr>
        <w:t>participants.</w:t>
      </w:r>
      <w:r w:rsidR="006570EC">
        <w:rPr>
          <w:snapToGrid w:val="0"/>
          <w:sz w:val="24"/>
          <w:szCs w:val="24"/>
        </w:rPr>
        <w:t xml:space="preserve">  </w:t>
      </w:r>
      <w:r w:rsidR="006570EC">
        <w:rPr>
          <w:sz w:val="24"/>
          <w:szCs w:val="24"/>
        </w:rPr>
        <w:t>A</w:t>
      </w:r>
      <w:r w:rsidRPr="00255955">
        <w:rPr>
          <w:sz w:val="24"/>
          <w:szCs w:val="24"/>
        </w:rPr>
        <w:t xml:space="preserve"> total of </w:t>
      </w:r>
      <w:r w:rsidR="00FC5D39">
        <w:rPr>
          <w:sz w:val="24"/>
          <w:szCs w:val="24"/>
        </w:rPr>
        <w:t>96</w:t>
      </w:r>
      <w:r w:rsidR="00FC5D39" w:rsidRPr="00255955">
        <w:rPr>
          <w:sz w:val="24"/>
          <w:szCs w:val="24"/>
        </w:rPr>
        <w:t xml:space="preserve"> </w:t>
      </w:r>
      <w:r w:rsidRPr="00255955">
        <w:rPr>
          <w:sz w:val="24"/>
          <w:szCs w:val="24"/>
        </w:rPr>
        <w:t>potential participants (</w:t>
      </w:r>
      <w:r w:rsidR="00FC5D39">
        <w:rPr>
          <w:sz w:val="24"/>
          <w:szCs w:val="24"/>
        </w:rPr>
        <w:t>12</w:t>
      </w:r>
      <w:r w:rsidR="00FC5D39" w:rsidRPr="00255955">
        <w:rPr>
          <w:sz w:val="24"/>
          <w:szCs w:val="24"/>
        </w:rPr>
        <w:t xml:space="preserve"> </w:t>
      </w:r>
      <w:r w:rsidRPr="00255955">
        <w:rPr>
          <w:sz w:val="24"/>
          <w:szCs w:val="24"/>
        </w:rPr>
        <w:t>per group) will be recruited</w:t>
      </w:r>
      <w:r w:rsidR="006570EC">
        <w:rPr>
          <w:sz w:val="24"/>
          <w:szCs w:val="24"/>
        </w:rPr>
        <w:t>.</w:t>
      </w:r>
      <w:r w:rsidRPr="00255955">
        <w:rPr>
          <w:sz w:val="24"/>
          <w:szCs w:val="24"/>
        </w:rPr>
        <w:t xml:space="preserve">  Based on experience, it is prudent to recruit up to </w:t>
      </w:r>
      <w:r w:rsidR="00FC5D39">
        <w:rPr>
          <w:sz w:val="24"/>
          <w:szCs w:val="24"/>
        </w:rPr>
        <w:t>12</w:t>
      </w:r>
      <w:r w:rsidR="00FC5D39" w:rsidRPr="00255955">
        <w:rPr>
          <w:sz w:val="24"/>
          <w:szCs w:val="24"/>
        </w:rPr>
        <w:t xml:space="preserve"> </w:t>
      </w:r>
      <w:r w:rsidRPr="00255955">
        <w:rPr>
          <w:sz w:val="24"/>
          <w:szCs w:val="24"/>
        </w:rPr>
        <w:t xml:space="preserve">people per group in order to help ensure at least </w:t>
      </w:r>
      <w:r w:rsidR="00FC5D39">
        <w:rPr>
          <w:sz w:val="24"/>
          <w:szCs w:val="24"/>
        </w:rPr>
        <w:t>9</w:t>
      </w:r>
      <w:r w:rsidR="00FC5D39" w:rsidRPr="00255955">
        <w:rPr>
          <w:sz w:val="24"/>
          <w:szCs w:val="24"/>
        </w:rPr>
        <w:t xml:space="preserve"> </w:t>
      </w:r>
      <w:r w:rsidRPr="00255955">
        <w:rPr>
          <w:sz w:val="24"/>
          <w:szCs w:val="24"/>
        </w:rPr>
        <w:t xml:space="preserve">will appear at the focus group facility at the appointed time.   </w:t>
      </w:r>
      <w:r w:rsidRPr="00AE2780">
        <w:rPr>
          <w:sz w:val="24"/>
          <w:szCs w:val="24"/>
        </w:rPr>
        <w:t>Because of the high incidence of im</w:t>
      </w:r>
      <w:r w:rsidR="00F91CAB" w:rsidRPr="00AE2780">
        <w:rPr>
          <w:sz w:val="24"/>
          <w:szCs w:val="24"/>
        </w:rPr>
        <w:t xml:space="preserve">paired driving crashes among the 21-34 year old age group, </w:t>
      </w:r>
      <w:r w:rsidRPr="00AE2780">
        <w:rPr>
          <w:sz w:val="24"/>
          <w:szCs w:val="24"/>
        </w:rPr>
        <w:t>four of the groups will consist of men ages 21-</w:t>
      </w:r>
      <w:r w:rsidR="00FC5D39" w:rsidRPr="00AE2780">
        <w:rPr>
          <w:sz w:val="24"/>
          <w:szCs w:val="24"/>
        </w:rPr>
        <w:t>34</w:t>
      </w:r>
      <w:r w:rsidRPr="00AE2780">
        <w:rPr>
          <w:sz w:val="24"/>
          <w:szCs w:val="24"/>
        </w:rPr>
        <w:t>, and four of the groups will consist of women ages 21-</w:t>
      </w:r>
      <w:r w:rsidR="00FC5D39" w:rsidRPr="00AE2780">
        <w:rPr>
          <w:sz w:val="24"/>
          <w:szCs w:val="24"/>
        </w:rPr>
        <w:t>34</w:t>
      </w:r>
      <w:r w:rsidRPr="00AE2780">
        <w:rPr>
          <w:sz w:val="24"/>
          <w:szCs w:val="24"/>
        </w:rPr>
        <w:t xml:space="preserve">.  </w:t>
      </w:r>
    </w:p>
    <w:p w:rsidR="00712C50" w:rsidRPr="00255955" w:rsidRDefault="00712C50" w:rsidP="00712C50">
      <w:pPr>
        <w:pStyle w:val="BodyText3"/>
        <w:ind w:left="720"/>
        <w:rPr>
          <w:sz w:val="24"/>
          <w:szCs w:val="24"/>
        </w:rPr>
      </w:pPr>
      <w:r w:rsidRPr="00AE2780">
        <w:rPr>
          <w:sz w:val="24"/>
          <w:szCs w:val="24"/>
        </w:rPr>
        <w:t>Participa</w:t>
      </w:r>
      <w:r w:rsidR="00581EF8" w:rsidRPr="00AE2780">
        <w:rPr>
          <w:sz w:val="24"/>
          <w:szCs w:val="24"/>
        </w:rPr>
        <w:t xml:space="preserve">nts will be recruited via telephone by a market </w:t>
      </w:r>
      <w:r w:rsidR="00F91CAB" w:rsidRPr="00AE2780">
        <w:rPr>
          <w:sz w:val="24"/>
          <w:szCs w:val="24"/>
        </w:rPr>
        <w:t>research facility</w:t>
      </w:r>
      <w:r w:rsidR="00542493" w:rsidRPr="00AE2780">
        <w:rPr>
          <w:sz w:val="24"/>
          <w:szCs w:val="24"/>
        </w:rPr>
        <w:t>.  The facility will randomly dial telephone numbers from a database of potential participant</w:t>
      </w:r>
      <w:r w:rsidR="001E706A" w:rsidRPr="00AE2780">
        <w:rPr>
          <w:sz w:val="24"/>
          <w:szCs w:val="24"/>
        </w:rPr>
        <w:t>s</w:t>
      </w:r>
      <w:r w:rsidR="00542493" w:rsidRPr="00AE2780">
        <w:rPr>
          <w:sz w:val="24"/>
          <w:szCs w:val="24"/>
        </w:rPr>
        <w:t xml:space="preserve"> who have </w:t>
      </w:r>
      <w:r w:rsidR="001E706A" w:rsidRPr="00AE2780">
        <w:rPr>
          <w:sz w:val="24"/>
          <w:szCs w:val="24"/>
        </w:rPr>
        <w:t xml:space="preserve">opted-in to the database and </w:t>
      </w:r>
      <w:r w:rsidR="00542493" w:rsidRPr="00AE2780">
        <w:rPr>
          <w:sz w:val="24"/>
          <w:szCs w:val="24"/>
        </w:rPr>
        <w:t xml:space="preserve">provided a mobile or landline phone number. </w:t>
      </w:r>
      <w:r w:rsidR="00F91CAB" w:rsidRPr="00AE2780">
        <w:rPr>
          <w:sz w:val="24"/>
          <w:szCs w:val="24"/>
        </w:rPr>
        <w:t xml:space="preserve"> </w:t>
      </w:r>
      <w:r w:rsidR="00581EF8" w:rsidRPr="00AE2780">
        <w:rPr>
          <w:sz w:val="24"/>
          <w:szCs w:val="24"/>
        </w:rPr>
        <w:t>E</w:t>
      </w:r>
      <w:r w:rsidRPr="00AE2780">
        <w:rPr>
          <w:sz w:val="24"/>
          <w:szCs w:val="24"/>
        </w:rPr>
        <w:t>ach screening</w:t>
      </w:r>
      <w:r w:rsidRPr="00255955">
        <w:rPr>
          <w:sz w:val="24"/>
          <w:szCs w:val="24"/>
        </w:rPr>
        <w:t xml:space="preserve"> call will </w:t>
      </w:r>
      <w:r w:rsidRPr="00255955">
        <w:rPr>
          <w:sz w:val="24"/>
          <w:szCs w:val="24"/>
        </w:rPr>
        <w:lastRenderedPageBreak/>
        <w:t xml:space="preserve">average approximately 6 minutes.  The estimated response burden for the screening process will be 6 minutes x </w:t>
      </w:r>
      <w:r w:rsidR="00FC5D39">
        <w:rPr>
          <w:sz w:val="24"/>
          <w:szCs w:val="24"/>
        </w:rPr>
        <w:t>96</w:t>
      </w:r>
      <w:r w:rsidR="00FC5D39" w:rsidRPr="00255955">
        <w:rPr>
          <w:sz w:val="24"/>
          <w:szCs w:val="24"/>
        </w:rPr>
        <w:t xml:space="preserve"> </w:t>
      </w:r>
      <w:r w:rsidRPr="00255955">
        <w:rPr>
          <w:sz w:val="24"/>
          <w:szCs w:val="24"/>
        </w:rPr>
        <w:t xml:space="preserve">respondents, which equals </w:t>
      </w:r>
      <w:r w:rsidR="00FC5D39">
        <w:rPr>
          <w:sz w:val="24"/>
          <w:szCs w:val="24"/>
        </w:rPr>
        <w:t>576</w:t>
      </w:r>
      <w:r w:rsidR="00FC5D39" w:rsidRPr="00255955">
        <w:rPr>
          <w:sz w:val="24"/>
          <w:szCs w:val="24"/>
        </w:rPr>
        <w:t xml:space="preserve"> </w:t>
      </w:r>
      <w:r w:rsidRPr="00255955">
        <w:rPr>
          <w:sz w:val="24"/>
          <w:szCs w:val="24"/>
        </w:rPr>
        <w:t xml:space="preserve">minutes or </w:t>
      </w:r>
      <w:r w:rsidR="00FC5D39">
        <w:rPr>
          <w:sz w:val="24"/>
          <w:szCs w:val="24"/>
        </w:rPr>
        <w:t>9.6</w:t>
      </w:r>
      <w:r w:rsidRPr="00255955">
        <w:rPr>
          <w:sz w:val="24"/>
          <w:szCs w:val="24"/>
        </w:rPr>
        <w:t xml:space="preserve"> hours. Respondent screening will involve no startup or operational costs to respondents.  </w:t>
      </w:r>
    </w:p>
    <w:p w:rsidR="00712C50" w:rsidRPr="00255955" w:rsidRDefault="00712C50" w:rsidP="00712C50">
      <w:pPr>
        <w:pStyle w:val="BodyText3"/>
        <w:ind w:left="720"/>
        <w:rPr>
          <w:sz w:val="24"/>
          <w:szCs w:val="24"/>
        </w:rPr>
      </w:pPr>
      <w:r w:rsidRPr="00255955">
        <w:rPr>
          <w:sz w:val="24"/>
          <w:szCs w:val="24"/>
        </w:rPr>
        <w:t>It is estimated th</w:t>
      </w:r>
      <w:r w:rsidR="006570EC">
        <w:rPr>
          <w:sz w:val="24"/>
          <w:szCs w:val="24"/>
        </w:rPr>
        <w:t xml:space="preserve">at the response burden for the focus group </w:t>
      </w:r>
      <w:r w:rsidRPr="00255955">
        <w:rPr>
          <w:sz w:val="24"/>
          <w:szCs w:val="24"/>
        </w:rPr>
        <w:t>discussions will be approximately 120 minutes per individual participant. Thus, the total respons</w:t>
      </w:r>
      <w:r w:rsidR="00EB4F92" w:rsidRPr="00255955">
        <w:rPr>
          <w:sz w:val="24"/>
          <w:szCs w:val="24"/>
        </w:rPr>
        <w:t xml:space="preserve">e burden </w:t>
      </w:r>
      <w:r w:rsidR="006570EC">
        <w:rPr>
          <w:sz w:val="24"/>
          <w:szCs w:val="24"/>
        </w:rPr>
        <w:t xml:space="preserve">for the discussion </w:t>
      </w:r>
      <w:r w:rsidR="00EB4F92" w:rsidRPr="00255955">
        <w:rPr>
          <w:sz w:val="24"/>
          <w:szCs w:val="24"/>
        </w:rPr>
        <w:t xml:space="preserve">will be 120 minutes x </w:t>
      </w:r>
      <w:r w:rsidR="00FC5D39">
        <w:rPr>
          <w:sz w:val="24"/>
          <w:szCs w:val="24"/>
        </w:rPr>
        <w:t>72</w:t>
      </w:r>
      <w:r w:rsidR="00FC5D39" w:rsidRPr="00255955">
        <w:rPr>
          <w:sz w:val="24"/>
          <w:szCs w:val="24"/>
        </w:rPr>
        <w:t xml:space="preserve"> </w:t>
      </w:r>
      <w:r w:rsidRPr="00255955">
        <w:rPr>
          <w:sz w:val="24"/>
          <w:szCs w:val="24"/>
        </w:rPr>
        <w:t xml:space="preserve">respondents, which equals </w:t>
      </w:r>
      <w:r w:rsidR="00FC5D39">
        <w:rPr>
          <w:sz w:val="24"/>
          <w:szCs w:val="24"/>
        </w:rPr>
        <w:t>8,640</w:t>
      </w:r>
      <w:r w:rsidR="00EB4F92" w:rsidRPr="00255955">
        <w:rPr>
          <w:sz w:val="24"/>
          <w:szCs w:val="24"/>
        </w:rPr>
        <w:t xml:space="preserve"> minutes or </w:t>
      </w:r>
      <w:r w:rsidR="00FC5D39">
        <w:rPr>
          <w:sz w:val="24"/>
          <w:szCs w:val="24"/>
        </w:rPr>
        <w:t>144</w:t>
      </w:r>
      <w:r w:rsidR="00FC5D39" w:rsidRPr="00255955">
        <w:rPr>
          <w:sz w:val="24"/>
          <w:szCs w:val="24"/>
        </w:rPr>
        <w:t xml:space="preserve"> </w:t>
      </w:r>
      <w:r w:rsidRPr="00255955">
        <w:rPr>
          <w:sz w:val="24"/>
          <w:szCs w:val="24"/>
        </w:rPr>
        <w:t xml:space="preserve">total hours. The focus group discussions will involve no startup or operational costs to respondents.  </w:t>
      </w:r>
    </w:p>
    <w:p w:rsidR="00712C50" w:rsidRPr="00255955" w:rsidRDefault="00712C50" w:rsidP="00712C50">
      <w:pPr>
        <w:pStyle w:val="BodyTextIndent"/>
        <w:ind w:left="720"/>
        <w:rPr>
          <w:rFonts w:ascii="Times New Roman" w:hAnsi="Times New Roman"/>
          <w:sz w:val="24"/>
          <w:szCs w:val="24"/>
        </w:rPr>
      </w:pPr>
      <w:r w:rsidRPr="00255955">
        <w:rPr>
          <w:rFonts w:ascii="Times New Roman" w:hAnsi="Times New Roman"/>
          <w:sz w:val="24"/>
          <w:szCs w:val="24"/>
        </w:rPr>
        <w:t xml:space="preserve">The total annual estimated burden imposed by this collection of </w:t>
      </w:r>
      <w:r w:rsidR="00EB4F92" w:rsidRPr="00255955">
        <w:rPr>
          <w:rFonts w:ascii="Times New Roman" w:hAnsi="Times New Roman"/>
          <w:sz w:val="24"/>
          <w:szCs w:val="24"/>
        </w:rPr>
        <w:t xml:space="preserve">information is approximately </w:t>
      </w:r>
      <w:r w:rsidR="00FC5D39">
        <w:rPr>
          <w:rFonts w:ascii="Times New Roman" w:hAnsi="Times New Roman"/>
          <w:sz w:val="24"/>
          <w:szCs w:val="24"/>
        </w:rPr>
        <w:t>153.6</w:t>
      </w:r>
      <w:r w:rsidRPr="00255955">
        <w:rPr>
          <w:rFonts w:ascii="Times New Roman" w:hAnsi="Times New Roman"/>
          <w:sz w:val="24"/>
          <w:szCs w:val="24"/>
        </w:rPr>
        <w:t xml:space="preserve"> hours.</w:t>
      </w:r>
    </w:p>
    <w:p w:rsidR="00712C50" w:rsidRPr="00255955" w:rsidRDefault="00712C50" w:rsidP="00712C50">
      <w:pPr>
        <w:pStyle w:val="BodyTextIndent"/>
        <w:rPr>
          <w:rFonts w:ascii="Times New Roman" w:hAnsi="Times New Roman"/>
          <w:b/>
          <w:sz w:val="24"/>
          <w:szCs w:val="24"/>
        </w:rPr>
      </w:pPr>
    </w:p>
    <w:p w:rsidR="00712C50" w:rsidRPr="00255955" w:rsidRDefault="00712C50" w:rsidP="00712C50">
      <w:pPr>
        <w:pStyle w:val="BodyTextIndent"/>
        <w:jc w:val="center"/>
        <w:rPr>
          <w:rFonts w:ascii="Times New Roman" w:hAnsi="Times New Roman"/>
          <w:b/>
          <w:sz w:val="24"/>
          <w:szCs w:val="24"/>
        </w:rPr>
      </w:pPr>
      <w:r w:rsidRPr="00255955">
        <w:rPr>
          <w:rFonts w:ascii="Times New Roman" w:hAnsi="Times New Roman"/>
          <w:b/>
          <w:sz w:val="24"/>
          <w:szCs w:val="24"/>
        </w:rPr>
        <w:t>ESTIMATED ANNUAL REPORTING BURDEN</w:t>
      </w:r>
    </w:p>
    <w:p w:rsidR="00712C50" w:rsidRPr="00255955" w:rsidRDefault="00712C50" w:rsidP="00712C50">
      <w:pPr>
        <w:pStyle w:val="BodyTextIndent"/>
        <w:jc w:val="center"/>
        <w:rPr>
          <w:rFonts w:ascii="Times New Roman" w:hAnsi="Times New Roman"/>
          <w:b/>
          <w:sz w:val="24"/>
          <w:szCs w:val="24"/>
        </w:rPr>
      </w:pPr>
    </w:p>
    <w:p w:rsidR="00712C50" w:rsidRPr="00255955" w:rsidRDefault="00712C50" w:rsidP="00712C50">
      <w:pPr>
        <w:pStyle w:val="BodyTextIndent"/>
        <w:jc w:val="center"/>
        <w:rPr>
          <w:rFonts w:ascii="Times New Roman" w:hAnsi="Times New Roman"/>
          <w:b/>
          <w:sz w:val="24"/>
          <w:szCs w:val="24"/>
        </w:rPr>
      </w:pP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tblPr>
      <w:tblGrid>
        <w:gridCol w:w="1744"/>
        <w:gridCol w:w="2126"/>
        <w:gridCol w:w="2340"/>
        <w:gridCol w:w="1710"/>
      </w:tblGrid>
      <w:tr w:rsidR="00712C50" w:rsidRPr="00255955" w:rsidTr="00712C50">
        <w:tc>
          <w:tcPr>
            <w:tcW w:w="1744" w:type="dxa"/>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No. of Respondents</w:t>
            </w:r>
          </w:p>
        </w:tc>
        <w:tc>
          <w:tcPr>
            <w:tcW w:w="2126" w:type="dxa"/>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No. of Responses per Respondent</w:t>
            </w:r>
          </w:p>
        </w:tc>
        <w:tc>
          <w:tcPr>
            <w:tcW w:w="2340" w:type="dxa"/>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Average Burden per Response (hours)</w:t>
            </w:r>
          </w:p>
        </w:tc>
        <w:tc>
          <w:tcPr>
            <w:tcW w:w="1710" w:type="dxa"/>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Total Burden Hours</w:t>
            </w:r>
          </w:p>
        </w:tc>
      </w:tr>
      <w:tr w:rsidR="00712C50" w:rsidRPr="00255955" w:rsidTr="00712C50">
        <w:trPr>
          <w:trHeight w:val="94"/>
        </w:trPr>
        <w:tc>
          <w:tcPr>
            <w:tcW w:w="1744" w:type="dxa"/>
          </w:tcPr>
          <w:p w:rsidR="00E200E5" w:rsidRDefault="00FC5D39" w:rsidP="00712C50">
            <w:pPr>
              <w:pStyle w:val="BodyTextIndent"/>
              <w:ind w:left="0"/>
              <w:jc w:val="center"/>
              <w:rPr>
                <w:rFonts w:ascii="Times New Roman" w:hAnsi="Times New Roman"/>
                <w:b/>
                <w:sz w:val="24"/>
                <w:szCs w:val="24"/>
              </w:rPr>
            </w:pPr>
            <w:r>
              <w:rPr>
                <w:rFonts w:ascii="Times New Roman" w:hAnsi="Times New Roman"/>
                <w:b/>
                <w:sz w:val="24"/>
                <w:szCs w:val="24"/>
              </w:rPr>
              <w:t>96</w:t>
            </w:r>
          </w:p>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 xml:space="preserve"> (recruits)</w:t>
            </w:r>
          </w:p>
        </w:tc>
        <w:tc>
          <w:tcPr>
            <w:tcW w:w="2126" w:type="dxa"/>
            <w:shd w:val="clear" w:color="auto" w:fill="auto"/>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1</w:t>
            </w:r>
          </w:p>
        </w:tc>
        <w:tc>
          <w:tcPr>
            <w:tcW w:w="2340" w:type="dxa"/>
            <w:shd w:val="clear" w:color="auto" w:fill="auto"/>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1/</w:t>
            </w:r>
            <w:r w:rsidR="00EB4F92" w:rsidRPr="00255955">
              <w:rPr>
                <w:rFonts w:ascii="Times New Roman" w:hAnsi="Times New Roman"/>
                <w:b/>
                <w:sz w:val="24"/>
                <w:szCs w:val="24"/>
              </w:rPr>
              <w:t>10</w:t>
            </w:r>
            <w:r w:rsidRPr="00255955">
              <w:rPr>
                <w:rFonts w:ascii="Times New Roman" w:hAnsi="Times New Roman"/>
                <w:b/>
                <w:sz w:val="24"/>
                <w:szCs w:val="24"/>
              </w:rPr>
              <w:t>-hours</w:t>
            </w:r>
          </w:p>
          <w:p w:rsidR="00712C50" w:rsidRPr="00255955" w:rsidRDefault="00EB4F92"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(6</w:t>
            </w:r>
            <w:r w:rsidR="00712C50" w:rsidRPr="00255955">
              <w:rPr>
                <w:rFonts w:ascii="Times New Roman" w:hAnsi="Times New Roman"/>
                <w:b/>
                <w:sz w:val="24"/>
                <w:szCs w:val="24"/>
              </w:rPr>
              <w:t xml:space="preserve"> minutes)</w:t>
            </w:r>
          </w:p>
        </w:tc>
        <w:tc>
          <w:tcPr>
            <w:tcW w:w="1710" w:type="dxa"/>
            <w:shd w:val="clear" w:color="auto" w:fill="auto"/>
          </w:tcPr>
          <w:p w:rsidR="00712C50" w:rsidRPr="00255955" w:rsidRDefault="00FC5D39" w:rsidP="00712C50">
            <w:pPr>
              <w:pStyle w:val="BodyTextIndent"/>
              <w:ind w:left="0"/>
              <w:jc w:val="center"/>
              <w:rPr>
                <w:rFonts w:ascii="Times New Roman" w:hAnsi="Times New Roman"/>
                <w:b/>
                <w:sz w:val="24"/>
                <w:szCs w:val="24"/>
              </w:rPr>
            </w:pPr>
            <w:r>
              <w:rPr>
                <w:rFonts w:ascii="Times New Roman" w:hAnsi="Times New Roman"/>
                <w:b/>
                <w:sz w:val="24"/>
                <w:szCs w:val="24"/>
              </w:rPr>
              <w:t>9.6</w:t>
            </w:r>
          </w:p>
        </w:tc>
      </w:tr>
      <w:tr w:rsidR="00712C50" w:rsidRPr="00255955" w:rsidTr="00712C50">
        <w:trPr>
          <w:trHeight w:val="93"/>
        </w:trPr>
        <w:tc>
          <w:tcPr>
            <w:tcW w:w="1744" w:type="dxa"/>
          </w:tcPr>
          <w:p w:rsidR="00712C50" w:rsidRPr="00255955" w:rsidRDefault="00FC5D39" w:rsidP="00712C50">
            <w:pPr>
              <w:pStyle w:val="BodyTextIndent"/>
              <w:ind w:left="0"/>
              <w:jc w:val="center"/>
              <w:rPr>
                <w:rFonts w:ascii="Times New Roman" w:hAnsi="Times New Roman"/>
                <w:b/>
                <w:sz w:val="24"/>
                <w:szCs w:val="24"/>
              </w:rPr>
            </w:pPr>
            <w:r>
              <w:rPr>
                <w:rFonts w:ascii="Times New Roman" w:hAnsi="Times New Roman"/>
                <w:b/>
                <w:sz w:val="24"/>
                <w:szCs w:val="24"/>
              </w:rPr>
              <w:t>72</w:t>
            </w:r>
          </w:p>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(participants)</w:t>
            </w:r>
          </w:p>
        </w:tc>
        <w:tc>
          <w:tcPr>
            <w:tcW w:w="2126" w:type="dxa"/>
            <w:shd w:val="clear" w:color="auto" w:fill="auto"/>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1</w:t>
            </w:r>
          </w:p>
        </w:tc>
        <w:tc>
          <w:tcPr>
            <w:tcW w:w="2340" w:type="dxa"/>
            <w:shd w:val="clear" w:color="auto" w:fill="auto"/>
          </w:tcPr>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2 hours</w:t>
            </w:r>
          </w:p>
          <w:p w:rsidR="00712C50" w:rsidRPr="00255955" w:rsidRDefault="00712C50" w:rsidP="00712C50">
            <w:pPr>
              <w:pStyle w:val="BodyTextIndent"/>
              <w:ind w:left="0"/>
              <w:jc w:val="center"/>
              <w:rPr>
                <w:rFonts w:ascii="Times New Roman" w:hAnsi="Times New Roman"/>
                <w:b/>
                <w:sz w:val="24"/>
                <w:szCs w:val="24"/>
              </w:rPr>
            </w:pPr>
            <w:r w:rsidRPr="00255955">
              <w:rPr>
                <w:rFonts w:ascii="Times New Roman" w:hAnsi="Times New Roman"/>
                <w:b/>
                <w:sz w:val="24"/>
                <w:szCs w:val="24"/>
              </w:rPr>
              <w:t>(120 minutes)</w:t>
            </w:r>
          </w:p>
        </w:tc>
        <w:tc>
          <w:tcPr>
            <w:tcW w:w="1710" w:type="dxa"/>
            <w:shd w:val="clear" w:color="auto" w:fill="auto"/>
          </w:tcPr>
          <w:p w:rsidR="00712C50" w:rsidRPr="00255955" w:rsidRDefault="00FC5D39" w:rsidP="00712C50">
            <w:pPr>
              <w:pStyle w:val="BodyTextIndent"/>
              <w:ind w:left="0"/>
              <w:jc w:val="center"/>
              <w:rPr>
                <w:rFonts w:ascii="Times New Roman" w:hAnsi="Times New Roman"/>
                <w:b/>
                <w:sz w:val="24"/>
                <w:szCs w:val="24"/>
              </w:rPr>
            </w:pPr>
            <w:r>
              <w:rPr>
                <w:rFonts w:ascii="Times New Roman" w:hAnsi="Times New Roman"/>
                <w:b/>
                <w:sz w:val="24"/>
                <w:szCs w:val="24"/>
              </w:rPr>
              <w:t>144</w:t>
            </w:r>
          </w:p>
        </w:tc>
      </w:tr>
      <w:tr w:rsidR="00712C50" w:rsidRPr="00255955" w:rsidTr="00712C50">
        <w:trPr>
          <w:trHeight w:val="93"/>
        </w:trPr>
        <w:tc>
          <w:tcPr>
            <w:tcW w:w="1744" w:type="dxa"/>
          </w:tcPr>
          <w:p w:rsidR="00712C50" w:rsidRPr="00255955" w:rsidRDefault="00712C50" w:rsidP="00712C50">
            <w:pPr>
              <w:pStyle w:val="BodyTextIndent"/>
              <w:ind w:left="0"/>
              <w:jc w:val="center"/>
              <w:rPr>
                <w:rFonts w:ascii="Times New Roman" w:hAnsi="Times New Roman"/>
                <w:b/>
                <w:sz w:val="24"/>
                <w:szCs w:val="24"/>
              </w:rPr>
            </w:pPr>
          </w:p>
        </w:tc>
        <w:tc>
          <w:tcPr>
            <w:tcW w:w="2126" w:type="dxa"/>
            <w:shd w:val="clear" w:color="auto" w:fill="auto"/>
          </w:tcPr>
          <w:p w:rsidR="00712C50" w:rsidRPr="00255955" w:rsidRDefault="00712C50" w:rsidP="00712C50">
            <w:pPr>
              <w:pStyle w:val="BodyTextIndent"/>
              <w:ind w:left="0"/>
              <w:jc w:val="center"/>
              <w:rPr>
                <w:rFonts w:ascii="Times New Roman" w:hAnsi="Times New Roman"/>
                <w:b/>
                <w:sz w:val="24"/>
                <w:szCs w:val="24"/>
              </w:rPr>
            </w:pPr>
          </w:p>
        </w:tc>
        <w:tc>
          <w:tcPr>
            <w:tcW w:w="2340" w:type="dxa"/>
            <w:shd w:val="clear" w:color="auto" w:fill="auto"/>
          </w:tcPr>
          <w:p w:rsidR="00712C50" w:rsidRPr="00255955" w:rsidRDefault="00712C50" w:rsidP="00712C50">
            <w:pPr>
              <w:pStyle w:val="BodyTextIndent"/>
              <w:ind w:left="0"/>
              <w:jc w:val="center"/>
              <w:rPr>
                <w:rFonts w:ascii="Times New Roman" w:hAnsi="Times New Roman"/>
                <w:b/>
                <w:sz w:val="24"/>
                <w:szCs w:val="24"/>
              </w:rPr>
            </w:pPr>
          </w:p>
        </w:tc>
        <w:tc>
          <w:tcPr>
            <w:tcW w:w="1710" w:type="dxa"/>
            <w:shd w:val="clear" w:color="auto" w:fill="auto"/>
          </w:tcPr>
          <w:p w:rsidR="00712C50" w:rsidRPr="00255955" w:rsidRDefault="00FC5D39" w:rsidP="00EB4F92">
            <w:pPr>
              <w:pStyle w:val="BodyTextIndent"/>
              <w:ind w:left="0"/>
              <w:jc w:val="center"/>
              <w:rPr>
                <w:rFonts w:ascii="Times New Roman" w:hAnsi="Times New Roman"/>
                <w:b/>
                <w:sz w:val="24"/>
                <w:szCs w:val="24"/>
              </w:rPr>
            </w:pPr>
            <w:r>
              <w:rPr>
                <w:rFonts w:ascii="Times New Roman" w:hAnsi="Times New Roman"/>
                <w:b/>
                <w:sz w:val="24"/>
                <w:szCs w:val="24"/>
              </w:rPr>
              <w:t>153.6</w:t>
            </w:r>
            <w:r w:rsidR="00712C50" w:rsidRPr="00255955">
              <w:rPr>
                <w:rFonts w:ascii="Times New Roman" w:hAnsi="Times New Roman"/>
                <w:b/>
                <w:sz w:val="24"/>
                <w:szCs w:val="24"/>
              </w:rPr>
              <w:t xml:space="preserve"> hrs total</w:t>
            </w:r>
          </w:p>
        </w:tc>
      </w:tr>
    </w:tbl>
    <w:p w:rsidR="00712C50" w:rsidRPr="00255955" w:rsidRDefault="00712C50" w:rsidP="00712C50">
      <w:pPr>
        <w:pStyle w:val="BodyTextIndent"/>
        <w:ind w:left="0"/>
        <w:rPr>
          <w:rFonts w:ascii="Times New Roman" w:hAnsi="Times New Roman"/>
          <w:b/>
          <w:sz w:val="24"/>
          <w:szCs w:val="24"/>
        </w:rPr>
      </w:pPr>
    </w:p>
    <w:p w:rsidR="00712C50" w:rsidRPr="00255955" w:rsidRDefault="00712C50" w:rsidP="00712C50">
      <w:pPr>
        <w:pStyle w:val="BodyTextIndent"/>
        <w:rPr>
          <w:rFonts w:ascii="Times New Roman" w:hAnsi="Times New Roman"/>
          <w:b/>
          <w:sz w:val="24"/>
          <w:szCs w:val="24"/>
        </w:rPr>
      </w:pPr>
    </w:p>
    <w:p w:rsidR="00712C50" w:rsidRPr="00255955" w:rsidRDefault="005B52CE" w:rsidP="00712C50">
      <w:pPr>
        <w:pStyle w:val="BodyTextIndent"/>
        <w:ind w:left="720"/>
        <w:rPr>
          <w:rFonts w:ascii="Times New Roman" w:hAnsi="Times New Roman"/>
          <w:sz w:val="24"/>
          <w:szCs w:val="24"/>
        </w:rPr>
      </w:pPr>
      <w:r w:rsidRPr="00255955">
        <w:rPr>
          <w:rFonts w:ascii="Times New Roman" w:hAnsi="Times New Roman"/>
          <w:sz w:val="24"/>
          <w:szCs w:val="24"/>
        </w:rPr>
        <w:t>The Agency</w:t>
      </w:r>
      <w:r w:rsidR="00712C50" w:rsidRPr="00255955">
        <w:rPr>
          <w:rFonts w:ascii="Times New Roman" w:hAnsi="Times New Roman"/>
          <w:sz w:val="24"/>
          <w:szCs w:val="24"/>
        </w:rPr>
        <w:t xml:space="preserve"> estimates that it may cost respondents $15.57 an hour in loss of potential salary by participating in the survey.  The maximum total input cost, if all respondents were interviewed on the job, is estimated as follows:</w:t>
      </w:r>
    </w:p>
    <w:p w:rsidR="00712C50" w:rsidRPr="00255955" w:rsidRDefault="00712C50" w:rsidP="00712C50">
      <w:pPr>
        <w:pStyle w:val="BodyTextIndent"/>
        <w:rPr>
          <w:rFonts w:ascii="Times New Roman" w:hAnsi="Times New Roman"/>
          <w:sz w:val="24"/>
          <w:szCs w:val="24"/>
        </w:rPr>
      </w:pPr>
    </w:p>
    <w:p w:rsidR="00712C50" w:rsidRPr="00255955" w:rsidRDefault="00712C50" w:rsidP="00712C50">
      <w:pPr>
        <w:pStyle w:val="BodyTextIndent"/>
        <w:rPr>
          <w:rFonts w:ascii="Times New Roman" w:hAnsi="Times New Roman"/>
          <w:sz w:val="24"/>
          <w:szCs w:val="24"/>
        </w:rPr>
      </w:pPr>
      <w:r w:rsidRPr="00255955">
        <w:rPr>
          <w:rFonts w:ascii="Times New Roman" w:hAnsi="Times New Roman"/>
          <w:sz w:val="24"/>
          <w:szCs w:val="24"/>
        </w:rPr>
        <w:tab/>
      </w:r>
      <w:r w:rsidRPr="00255955">
        <w:rPr>
          <w:rFonts w:ascii="Times New Roman" w:hAnsi="Times New Roman"/>
          <w:sz w:val="24"/>
          <w:szCs w:val="24"/>
        </w:rPr>
        <w:tab/>
        <w:t xml:space="preserve">$15.57 per hour </w:t>
      </w:r>
      <w:r w:rsidRPr="00255955">
        <w:rPr>
          <w:rFonts w:ascii="Times New Roman" w:hAnsi="Times New Roman"/>
          <w:sz w:val="24"/>
          <w:szCs w:val="24"/>
        </w:rPr>
        <w:tab/>
        <w:t xml:space="preserve">x   </w:t>
      </w:r>
      <w:r w:rsidR="00FC5D39">
        <w:rPr>
          <w:rFonts w:ascii="Times New Roman" w:hAnsi="Times New Roman"/>
          <w:sz w:val="24"/>
          <w:szCs w:val="24"/>
        </w:rPr>
        <w:t>153.6</w:t>
      </w:r>
      <w:r w:rsidRPr="00255955">
        <w:rPr>
          <w:rFonts w:ascii="Times New Roman" w:hAnsi="Times New Roman"/>
          <w:sz w:val="24"/>
          <w:szCs w:val="24"/>
        </w:rPr>
        <w:t xml:space="preserve"> interviewing hours</w:t>
      </w:r>
      <w:r w:rsidRPr="00255955">
        <w:rPr>
          <w:rFonts w:ascii="Times New Roman" w:hAnsi="Times New Roman"/>
          <w:sz w:val="24"/>
          <w:szCs w:val="24"/>
        </w:rPr>
        <w:tab/>
      </w:r>
      <w:r w:rsidRPr="00255955">
        <w:rPr>
          <w:rFonts w:ascii="Times New Roman" w:hAnsi="Times New Roman"/>
          <w:sz w:val="24"/>
          <w:szCs w:val="24"/>
        </w:rPr>
        <w:tab/>
      </w:r>
      <w:r w:rsidR="005B52CE" w:rsidRPr="00255955">
        <w:rPr>
          <w:rFonts w:ascii="Times New Roman" w:hAnsi="Times New Roman"/>
          <w:sz w:val="24"/>
          <w:szCs w:val="24"/>
        </w:rPr>
        <w:t>= $</w:t>
      </w:r>
      <w:r w:rsidR="00FC5D39">
        <w:rPr>
          <w:rFonts w:ascii="Times New Roman" w:hAnsi="Times New Roman"/>
          <w:sz w:val="24"/>
          <w:szCs w:val="24"/>
        </w:rPr>
        <w:t>2,391</w:t>
      </w:r>
      <w:r w:rsidR="00EB4F92" w:rsidRPr="00255955">
        <w:rPr>
          <w:rFonts w:ascii="Times New Roman" w:hAnsi="Times New Roman"/>
          <w:sz w:val="24"/>
          <w:szCs w:val="24"/>
        </w:rPr>
        <w:t>.</w:t>
      </w:r>
      <w:r w:rsidR="00FC5D39">
        <w:rPr>
          <w:rFonts w:ascii="Times New Roman" w:hAnsi="Times New Roman"/>
          <w:sz w:val="24"/>
          <w:szCs w:val="24"/>
        </w:rPr>
        <w:t>55</w:t>
      </w:r>
    </w:p>
    <w:p w:rsidR="00587758" w:rsidRPr="00255955" w:rsidRDefault="00587758" w:rsidP="00587758">
      <w:pPr>
        <w:rPr>
          <w:sz w:val="24"/>
          <w:szCs w:val="24"/>
        </w:rPr>
      </w:pPr>
    </w:p>
    <w:p w:rsidR="00383F37" w:rsidRPr="00255955" w:rsidRDefault="00383F37" w:rsidP="00383F37">
      <w:pPr>
        <w:pBdr>
          <w:bottom w:val="single" w:sz="6" w:space="1" w:color="auto"/>
        </w:pBdr>
        <w:rPr>
          <w:sz w:val="24"/>
          <w:szCs w:val="24"/>
        </w:rPr>
      </w:pPr>
      <w:bookmarkStart w:id="32" w:name="_Toc239210260"/>
      <w:bookmarkStart w:id="33" w:name="_Toc239228492"/>
    </w:p>
    <w:p w:rsidR="00383F37" w:rsidRPr="00255955" w:rsidRDefault="00383F37" w:rsidP="00383F37">
      <w:pPr>
        <w:pBdr>
          <w:bottom w:val="single" w:sz="6" w:space="1" w:color="auto"/>
        </w:pBdr>
        <w:rPr>
          <w:sz w:val="24"/>
          <w:szCs w:val="24"/>
        </w:rPr>
      </w:pPr>
    </w:p>
    <w:p w:rsidR="00383F37" w:rsidRPr="00255955" w:rsidRDefault="00383F37" w:rsidP="00383F37">
      <w:pPr>
        <w:rPr>
          <w:sz w:val="24"/>
          <w:szCs w:val="24"/>
        </w:rPr>
      </w:pPr>
    </w:p>
    <w:p w:rsidR="00383F37" w:rsidRPr="00255955" w:rsidRDefault="00383F37" w:rsidP="00383F37">
      <w:pPr>
        <w:outlineLvl w:val="1"/>
        <w:rPr>
          <w:b/>
          <w:sz w:val="24"/>
          <w:szCs w:val="24"/>
        </w:rPr>
      </w:pPr>
    </w:p>
    <w:p w:rsidR="00383F37" w:rsidRPr="00255955" w:rsidRDefault="00383F37" w:rsidP="00383F37">
      <w:pPr>
        <w:numPr>
          <w:ilvl w:val="1"/>
          <w:numId w:val="31"/>
        </w:numPr>
        <w:outlineLvl w:val="1"/>
        <w:rPr>
          <w:b/>
          <w:sz w:val="24"/>
          <w:szCs w:val="24"/>
        </w:rPr>
      </w:pPr>
      <w:r w:rsidRPr="00255955">
        <w:rPr>
          <w:b/>
          <w:sz w:val="24"/>
          <w:szCs w:val="24"/>
        </w:rPr>
        <w:t>Provide an estimate of the total annual cost to the respondents or record keepers resulting from the collection of information.</w:t>
      </w:r>
      <w:bookmarkEnd w:id="32"/>
      <w:bookmarkEnd w:id="33"/>
    </w:p>
    <w:p w:rsidR="00383F37" w:rsidRPr="00255955" w:rsidRDefault="00383F37" w:rsidP="00383F37">
      <w:pPr>
        <w:pStyle w:val="BodyTextIndent"/>
        <w:ind w:left="720"/>
        <w:rPr>
          <w:rFonts w:ascii="Times New Roman" w:hAnsi="Times New Roman"/>
          <w:sz w:val="24"/>
          <w:szCs w:val="24"/>
        </w:rPr>
      </w:pPr>
    </w:p>
    <w:p w:rsidR="00EB4F92" w:rsidRPr="00255955" w:rsidRDefault="00EB4F92" w:rsidP="00EB4F92">
      <w:pPr>
        <w:pStyle w:val="BodyTextIndent"/>
        <w:ind w:left="720"/>
        <w:rPr>
          <w:rFonts w:ascii="Times New Roman" w:hAnsi="Times New Roman"/>
          <w:sz w:val="24"/>
          <w:szCs w:val="24"/>
        </w:rPr>
      </w:pPr>
      <w:r w:rsidRPr="00255955">
        <w:rPr>
          <w:rFonts w:ascii="Times New Roman" w:hAnsi="Times New Roman"/>
          <w:sz w:val="24"/>
          <w:szCs w:val="24"/>
        </w:rPr>
        <w:t>Respondents will have no additional burden beyond the burden hours shown in item A12.  Respondents will not need capital equipment, ongoing recordkeeping operations, or services to complete the information collection.</w:t>
      </w:r>
    </w:p>
    <w:p w:rsidR="00E0350C" w:rsidRPr="00255955" w:rsidRDefault="00E0350C" w:rsidP="00383F37">
      <w:pPr>
        <w:pStyle w:val="BodyTextIndent"/>
        <w:ind w:left="720"/>
        <w:rPr>
          <w:rFonts w:ascii="Times New Roman" w:hAnsi="Times New Roman"/>
          <w:sz w:val="24"/>
          <w:szCs w:val="24"/>
        </w:rPr>
      </w:pPr>
    </w:p>
    <w:p w:rsidR="00383F37" w:rsidRPr="00255955" w:rsidRDefault="00383F37" w:rsidP="00383F37">
      <w:pPr>
        <w:pBdr>
          <w:bottom w:val="single" w:sz="6" w:space="1" w:color="auto"/>
        </w:pBdr>
        <w:rPr>
          <w:sz w:val="24"/>
          <w:szCs w:val="24"/>
        </w:rPr>
      </w:pPr>
    </w:p>
    <w:p w:rsidR="00383F37" w:rsidRPr="00255955" w:rsidRDefault="00383F37" w:rsidP="00383F37">
      <w:pPr>
        <w:pBdr>
          <w:bottom w:val="single" w:sz="6" w:space="1" w:color="auto"/>
        </w:pBdr>
        <w:rPr>
          <w:sz w:val="24"/>
          <w:szCs w:val="24"/>
        </w:rPr>
      </w:pPr>
    </w:p>
    <w:p w:rsidR="00383F37" w:rsidRPr="00255955" w:rsidRDefault="00383F37" w:rsidP="00383F37">
      <w:pPr>
        <w:pStyle w:val="BodyTextIndent"/>
        <w:ind w:left="0"/>
        <w:rPr>
          <w:rFonts w:ascii="Times New Roman" w:hAnsi="Times New Roman"/>
          <w:sz w:val="24"/>
          <w:szCs w:val="24"/>
        </w:rPr>
      </w:pPr>
    </w:p>
    <w:p w:rsidR="00383F37" w:rsidRPr="00255955" w:rsidRDefault="00383F37" w:rsidP="00383F37">
      <w:pPr>
        <w:pStyle w:val="BodyTextIndent"/>
        <w:ind w:left="0"/>
        <w:rPr>
          <w:rFonts w:ascii="Times New Roman" w:hAnsi="Times New Roman"/>
          <w:sz w:val="24"/>
          <w:szCs w:val="24"/>
        </w:rPr>
      </w:pPr>
    </w:p>
    <w:p w:rsidR="00383F37" w:rsidRPr="00255955" w:rsidRDefault="00383F37" w:rsidP="005F511C">
      <w:pPr>
        <w:pStyle w:val="BodyTextIndent"/>
        <w:ind w:left="0"/>
        <w:rPr>
          <w:rFonts w:ascii="Times New Roman" w:hAnsi="Times New Roman"/>
          <w:b/>
          <w:sz w:val="24"/>
          <w:szCs w:val="24"/>
        </w:rPr>
      </w:pPr>
      <w:r w:rsidRPr="00255955">
        <w:rPr>
          <w:rFonts w:ascii="Times New Roman" w:hAnsi="Times New Roman"/>
          <w:b/>
          <w:sz w:val="24"/>
          <w:szCs w:val="24"/>
        </w:rPr>
        <w:lastRenderedPageBreak/>
        <w:t>A.14)  Provide estimates of the annualized cost to the Federal Government.</w:t>
      </w:r>
    </w:p>
    <w:p w:rsidR="00383F37" w:rsidRPr="00255955" w:rsidRDefault="00383F37" w:rsidP="005F511C">
      <w:pPr>
        <w:pStyle w:val="BodyTextIndent"/>
        <w:ind w:left="0"/>
        <w:rPr>
          <w:rFonts w:ascii="Times New Roman" w:hAnsi="Times New Roman"/>
          <w:sz w:val="24"/>
          <w:szCs w:val="24"/>
          <w:u w:val="single"/>
        </w:rPr>
      </w:pPr>
    </w:p>
    <w:p w:rsidR="00FB4E1F" w:rsidRPr="00255955" w:rsidRDefault="00FB4E1F" w:rsidP="00FB4E1F">
      <w:pPr>
        <w:pStyle w:val="BodyTextIndent"/>
        <w:ind w:left="720"/>
        <w:rPr>
          <w:rFonts w:ascii="Times New Roman" w:hAnsi="Times New Roman"/>
          <w:sz w:val="24"/>
          <w:szCs w:val="24"/>
        </w:rPr>
      </w:pPr>
      <w:r w:rsidRPr="00255955">
        <w:rPr>
          <w:rFonts w:ascii="Times New Roman" w:hAnsi="Times New Roman"/>
          <w:sz w:val="24"/>
          <w:szCs w:val="24"/>
        </w:rPr>
        <w:t xml:space="preserve">The Agency incurs costs to set up the focus groups including hiring the contractor (facilitator or moderator), renting meeting space, travel and subsistence and the payment of a de </w:t>
      </w:r>
      <w:proofErr w:type="spellStart"/>
      <w:r w:rsidRPr="00255955">
        <w:rPr>
          <w:rFonts w:ascii="Times New Roman" w:hAnsi="Times New Roman"/>
          <w:sz w:val="24"/>
          <w:szCs w:val="24"/>
        </w:rPr>
        <w:t>minimis</w:t>
      </w:r>
      <w:proofErr w:type="spellEnd"/>
      <w:r w:rsidRPr="00255955">
        <w:rPr>
          <w:rFonts w:ascii="Times New Roman" w:hAnsi="Times New Roman"/>
          <w:sz w:val="24"/>
          <w:szCs w:val="24"/>
        </w:rPr>
        <w:t xml:space="preserve"> cost in the form of a token stipend.  For these expenses, NHTSA estimates the costs to be approximately </w:t>
      </w:r>
      <w:r w:rsidRPr="006808FE">
        <w:rPr>
          <w:rFonts w:ascii="Times New Roman" w:hAnsi="Times New Roman"/>
          <w:sz w:val="24"/>
          <w:szCs w:val="24"/>
        </w:rPr>
        <w:t>$4</w:t>
      </w:r>
      <w:r w:rsidR="00A14C83">
        <w:rPr>
          <w:rFonts w:ascii="Times New Roman" w:hAnsi="Times New Roman"/>
          <w:sz w:val="24"/>
          <w:szCs w:val="24"/>
        </w:rPr>
        <w:t>5</w:t>
      </w:r>
      <w:r w:rsidRPr="006808FE">
        <w:rPr>
          <w:rFonts w:ascii="Times New Roman" w:hAnsi="Times New Roman"/>
          <w:sz w:val="24"/>
          <w:szCs w:val="24"/>
        </w:rPr>
        <w:t>,000</w:t>
      </w:r>
      <w:r w:rsidRPr="00255955">
        <w:rPr>
          <w:rFonts w:ascii="Times New Roman" w:hAnsi="Times New Roman"/>
          <w:sz w:val="24"/>
          <w:szCs w:val="24"/>
        </w:rPr>
        <w:t xml:space="preserve"> annually.</w:t>
      </w:r>
    </w:p>
    <w:p w:rsidR="00165E94" w:rsidRPr="00255955" w:rsidRDefault="00165E94" w:rsidP="003C379B">
      <w:pPr>
        <w:pStyle w:val="BodyTextIndent"/>
        <w:ind w:left="720"/>
        <w:rPr>
          <w:rFonts w:ascii="Times New Roman" w:hAnsi="Times New Roman"/>
          <w:sz w:val="24"/>
          <w:szCs w:val="24"/>
        </w:rPr>
      </w:pPr>
    </w:p>
    <w:p w:rsidR="00255955" w:rsidRPr="00255955" w:rsidRDefault="00255955" w:rsidP="00255955">
      <w:pPr>
        <w:pBdr>
          <w:bottom w:val="single" w:sz="6" w:space="1" w:color="auto"/>
        </w:pBdr>
        <w:rPr>
          <w:sz w:val="24"/>
          <w:szCs w:val="24"/>
        </w:rPr>
      </w:pPr>
    </w:p>
    <w:p w:rsidR="00255955" w:rsidRPr="00255955" w:rsidRDefault="00255955" w:rsidP="00255955">
      <w:pPr>
        <w:pStyle w:val="BodyTextIndent"/>
        <w:ind w:left="0"/>
        <w:rPr>
          <w:rFonts w:ascii="Times New Roman" w:hAnsi="Times New Roman"/>
          <w:sz w:val="24"/>
          <w:szCs w:val="24"/>
        </w:rPr>
      </w:pPr>
    </w:p>
    <w:p w:rsidR="00255955" w:rsidRPr="00255955" w:rsidRDefault="00255955" w:rsidP="005F511C">
      <w:pPr>
        <w:pStyle w:val="BodyTextIndent"/>
        <w:ind w:left="0"/>
        <w:rPr>
          <w:rFonts w:ascii="Times New Roman" w:hAnsi="Times New Roman"/>
          <w:sz w:val="24"/>
          <w:szCs w:val="24"/>
        </w:rPr>
      </w:pPr>
    </w:p>
    <w:p w:rsidR="005F511C" w:rsidRPr="00255955" w:rsidRDefault="005F511C" w:rsidP="005F511C">
      <w:pPr>
        <w:pStyle w:val="BodyTextIndent"/>
        <w:ind w:left="0"/>
        <w:rPr>
          <w:rFonts w:ascii="Times New Roman" w:hAnsi="Times New Roman"/>
          <w:sz w:val="24"/>
          <w:szCs w:val="24"/>
        </w:rPr>
      </w:pPr>
      <w:r w:rsidRPr="00255955">
        <w:rPr>
          <w:rFonts w:ascii="Times New Roman" w:hAnsi="Times New Roman"/>
          <w:b/>
          <w:sz w:val="24"/>
          <w:szCs w:val="24"/>
        </w:rPr>
        <w:t>A.15)  Explain the reasons for any program changes or adjustments in Items 13 or 14 of the OMB 83-I.</w:t>
      </w:r>
    </w:p>
    <w:p w:rsidR="005F511C" w:rsidRPr="00255955" w:rsidRDefault="005F511C" w:rsidP="005F511C">
      <w:pPr>
        <w:pStyle w:val="BodyTextIndent"/>
        <w:rPr>
          <w:rFonts w:ascii="Times New Roman" w:hAnsi="Times New Roman"/>
          <w:sz w:val="24"/>
          <w:szCs w:val="24"/>
        </w:rPr>
      </w:pPr>
    </w:p>
    <w:p w:rsidR="005F511C" w:rsidRPr="00255955" w:rsidRDefault="005F511C" w:rsidP="005E1A47">
      <w:pPr>
        <w:pStyle w:val="BodyTextIndent"/>
        <w:ind w:left="0"/>
        <w:rPr>
          <w:rFonts w:ascii="Times New Roman" w:hAnsi="Times New Roman"/>
          <w:sz w:val="24"/>
          <w:szCs w:val="24"/>
        </w:rPr>
      </w:pPr>
      <w:r w:rsidRPr="00255955">
        <w:rPr>
          <w:rFonts w:ascii="Times New Roman" w:hAnsi="Times New Roman"/>
          <w:sz w:val="24"/>
          <w:szCs w:val="24"/>
        </w:rPr>
        <w:t>This item is not applicable</w:t>
      </w:r>
      <w:r w:rsidR="004D0083" w:rsidRPr="00255955">
        <w:rPr>
          <w:rFonts w:ascii="Times New Roman" w:hAnsi="Times New Roman"/>
          <w:sz w:val="24"/>
          <w:szCs w:val="24"/>
        </w:rPr>
        <w:t xml:space="preserve"> to NHTSA’s ICR.</w:t>
      </w: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Bdr>
          <w:bottom w:val="single" w:sz="6" w:space="1" w:color="auto"/>
        </w:pBdr>
        <w:rPr>
          <w:sz w:val="24"/>
          <w:szCs w:val="24"/>
        </w:rPr>
      </w:pPr>
    </w:p>
    <w:p w:rsidR="005F511C" w:rsidRPr="00255955" w:rsidRDefault="005F511C" w:rsidP="005F511C">
      <w:pPr>
        <w:pStyle w:val="BodyTextIndent"/>
        <w:ind w:left="0"/>
        <w:rPr>
          <w:rFonts w:ascii="Times New Roman" w:hAnsi="Times New Roman"/>
          <w:sz w:val="24"/>
          <w:szCs w:val="24"/>
        </w:rPr>
      </w:pP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Style w:val="BodyTextIndent"/>
        <w:ind w:left="0"/>
        <w:rPr>
          <w:rFonts w:ascii="Times New Roman" w:hAnsi="Times New Roman"/>
          <w:b/>
          <w:sz w:val="24"/>
          <w:szCs w:val="24"/>
        </w:rPr>
      </w:pPr>
      <w:r w:rsidRPr="00255955">
        <w:rPr>
          <w:rFonts w:ascii="Times New Roman" w:hAnsi="Times New Roman"/>
          <w:b/>
          <w:sz w:val="24"/>
          <w:szCs w:val="24"/>
        </w:rPr>
        <w:t xml:space="preserve">A.16)  </w:t>
      </w:r>
      <w:proofErr w:type="gramStart"/>
      <w:r w:rsidRPr="00255955">
        <w:rPr>
          <w:rFonts w:ascii="Times New Roman" w:hAnsi="Times New Roman"/>
          <w:b/>
          <w:sz w:val="24"/>
          <w:szCs w:val="24"/>
        </w:rPr>
        <w:t>For</w:t>
      </w:r>
      <w:proofErr w:type="gramEnd"/>
      <w:r w:rsidRPr="00255955">
        <w:rPr>
          <w:rFonts w:ascii="Times New Roman" w:hAnsi="Times New Roman"/>
          <w:b/>
          <w:sz w:val="24"/>
          <w:szCs w:val="24"/>
        </w:rPr>
        <w:t xml:space="preserve"> collection of information whose results will be published, outline plans for tabulation and publication.</w:t>
      </w:r>
    </w:p>
    <w:p w:rsidR="005F511C" w:rsidRPr="00255955" w:rsidRDefault="005F511C" w:rsidP="005F511C">
      <w:pPr>
        <w:pStyle w:val="BodyTextIndent"/>
        <w:rPr>
          <w:rFonts w:ascii="Times New Roman" w:hAnsi="Times New Roman"/>
          <w:sz w:val="24"/>
          <w:szCs w:val="24"/>
        </w:rPr>
      </w:pPr>
    </w:p>
    <w:p w:rsidR="005F511C" w:rsidRPr="00255955" w:rsidRDefault="005F511C" w:rsidP="005E1A47">
      <w:pPr>
        <w:pStyle w:val="BodyTextIndent"/>
        <w:ind w:left="0"/>
        <w:rPr>
          <w:rFonts w:ascii="Times New Roman" w:hAnsi="Times New Roman"/>
          <w:sz w:val="24"/>
          <w:szCs w:val="24"/>
        </w:rPr>
      </w:pPr>
      <w:r w:rsidRPr="00255955">
        <w:rPr>
          <w:rFonts w:ascii="Times New Roman" w:hAnsi="Times New Roman"/>
          <w:sz w:val="24"/>
          <w:szCs w:val="24"/>
        </w:rPr>
        <w:t>There are no tabulated results for this information collection.</w:t>
      </w: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Bdr>
          <w:bottom w:val="single" w:sz="6" w:space="1" w:color="auto"/>
        </w:pBdr>
        <w:rPr>
          <w:sz w:val="24"/>
          <w:szCs w:val="24"/>
        </w:rPr>
      </w:pPr>
    </w:p>
    <w:p w:rsidR="005F511C" w:rsidRPr="00255955" w:rsidRDefault="005F511C" w:rsidP="005F511C">
      <w:pPr>
        <w:pStyle w:val="BodyTextIndent"/>
        <w:ind w:left="0"/>
        <w:rPr>
          <w:rFonts w:ascii="Times New Roman" w:hAnsi="Times New Roman"/>
          <w:sz w:val="24"/>
          <w:szCs w:val="24"/>
        </w:rPr>
      </w:pP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Style w:val="BodyTextIndent"/>
        <w:ind w:left="0"/>
        <w:rPr>
          <w:rFonts w:ascii="Times New Roman" w:hAnsi="Times New Roman"/>
          <w:b/>
          <w:sz w:val="24"/>
          <w:szCs w:val="24"/>
        </w:rPr>
      </w:pPr>
      <w:r w:rsidRPr="00255955">
        <w:rPr>
          <w:rFonts w:ascii="Times New Roman" w:hAnsi="Times New Roman"/>
          <w:b/>
          <w:sz w:val="24"/>
          <w:szCs w:val="24"/>
        </w:rPr>
        <w:t xml:space="preserve">A.17)  </w:t>
      </w:r>
      <w:proofErr w:type="gramStart"/>
      <w:r w:rsidRPr="00255955">
        <w:rPr>
          <w:rFonts w:ascii="Times New Roman" w:hAnsi="Times New Roman"/>
          <w:b/>
          <w:sz w:val="24"/>
          <w:szCs w:val="24"/>
        </w:rPr>
        <w:t>If</w:t>
      </w:r>
      <w:proofErr w:type="gramEnd"/>
      <w:r w:rsidRPr="00255955">
        <w:rPr>
          <w:rFonts w:ascii="Times New Roman" w:hAnsi="Times New Roman"/>
          <w:b/>
          <w:sz w:val="24"/>
          <w:szCs w:val="24"/>
        </w:rPr>
        <w:t xml:space="preserve"> seeking approval to not display the expiration date for OMB approval of the information collection, explain the reasons that display would be inappropriate.</w:t>
      </w:r>
    </w:p>
    <w:p w:rsidR="00255955" w:rsidRPr="00255955" w:rsidRDefault="00255955" w:rsidP="00255955">
      <w:pPr>
        <w:pStyle w:val="BodyTextIndent"/>
        <w:rPr>
          <w:rFonts w:ascii="Times New Roman" w:hAnsi="Times New Roman"/>
          <w:sz w:val="24"/>
          <w:szCs w:val="24"/>
        </w:rPr>
      </w:pPr>
    </w:p>
    <w:p w:rsidR="00255955" w:rsidRPr="00255955" w:rsidRDefault="00255955" w:rsidP="00255955">
      <w:pPr>
        <w:rPr>
          <w:sz w:val="24"/>
          <w:szCs w:val="24"/>
        </w:rPr>
      </w:pPr>
      <w:r w:rsidRPr="00255955">
        <w:rPr>
          <w:sz w:val="24"/>
          <w:szCs w:val="24"/>
        </w:rPr>
        <w:t>Approval is not sought to not display the expiration date for OMB approval. NHTSA will display the expiration date for OMB approval on any collection materials (e.g., screening questionnaire, moderator guide).</w:t>
      </w: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Bdr>
          <w:bottom w:val="single" w:sz="6" w:space="1" w:color="auto"/>
        </w:pBdr>
        <w:rPr>
          <w:sz w:val="24"/>
          <w:szCs w:val="24"/>
        </w:rPr>
      </w:pPr>
    </w:p>
    <w:p w:rsidR="005F511C" w:rsidRPr="00255955" w:rsidRDefault="005F511C" w:rsidP="005F511C">
      <w:pPr>
        <w:pStyle w:val="BodyTextIndent"/>
        <w:ind w:left="0"/>
        <w:rPr>
          <w:rFonts w:ascii="Times New Roman" w:hAnsi="Times New Roman"/>
          <w:sz w:val="24"/>
          <w:szCs w:val="24"/>
        </w:rPr>
      </w:pPr>
    </w:p>
    <w:p w:rsidR="005F511C" w:rsidRPr="00255955" w:rsidRDefault="005F511C" w:rsidP="005F511C">
      <w:pPr>
        <w:pStyle w:val="BodyTextIndent"/>
        <w:rPr>
          <w:rFonts w:ascii="Times New Roman" w:hAnsi="Times New Roman"/>
          <w:sz w:val="24"/>
          <w:szCs w:val="24"/>
        </w:rPr>
      </w:pPr>
    </w:p>
    <w:p w:rsidR="005F511C" w:rsidRPr="00255955" w:rsidRDefault="005F511C" w:rsidP="005F511C">
      <w:pPr>
        <w:pStyle w:val="BodyTextIndent"/>
        <w:ind w:left="0"/>
        <w:rPr>
          <w:rFonts w:ascii="Times New Roman" w:hAnsi="Times New Roman"/>
          <w:b/>
          <w:sz w:val="24"/>
          <w:szCs w:val="24"/>
        </w:rPr>
      </w:pPr>
      <w:r w:rsidRPr="00255955">
        <w:rPr>
          <w:rFonts w:ascii="Times New Roman" w:hAnsi="Times New Roman"/>
          <w:b/>
          <w:sz w:val="24"/>
          <w:szCs w:val="24"/>
        </w:rPr>
        <w:t>A.18)  Explain each exception to the certification statement identified in Item 19, “Certification for Paperwork Reduction Act Submissions” of the OMB Form 83-I.</w:t>
      </w:r>
    </w:p>
    <w:p w:rsidR="005F511C" w:rsidRPr="00255955" w:rsidRDefault="005F511C" w:rsidP="005F511C">
      <w:pPr>
        <w:pStyle w:val="BodyTextIndent"/>
        <w:rPr>
          <w:rFonts w:ascii="Times New Roman" w:hAnsi="Times New Roman"/>
          <w:sz w:val="24"/>
          <w:szCs w:val="24"/>
        </w:rPr>
      </w:pPr>
    </w:p>
    <w:p w:rsidR="005F511C" w:rsidRPr="00255955" w:rsidRDefault="005F511C" w:rsidP="005E1A47">
      <w:pPr>
        <w:pStyle w:val="BodyTextIndent"/>
        <w:ind w:left="0"/>
        <w:rPr>
          <w:rFonts w:ascii="Times New Roman" w:hAnsi="Times New Roman"/>
          <w:sz w:val="24"/>
          <w:szCs w:val="24"/>
        </w:rPr>
      </w:pPr>
      <w:r w:rsidRPr="00255955">
        <w:rPr>
          <w:rFonts w:ascii="Times New Roman" w:hAnsi="Times New Roman"/>
          <w:sz w:val="24"/>
          <w:szCs w:val="24"/>
        </w:rPr>
        <w:t>No exceptions to the certification are made.</w:t>
      </w:r>
    </w:p>
    <w:p w:rsidR="005F511C" w:rsidRPr="00255955" w:rsidRDefault="005F511C" w:rsidP="005F511C">
      <w:pPr>
        <w:pStyle w:val="BodyTextIndent"/>
        <w:ind w:left="0"/>
        <w:rPr>
          <w:rFonts w:ascii="Times New Roman" w:hAnsi="Times New Roman"/>
          <w:sz w:val="24"/>
          <w:szCs w:val="24"/>
        </w:rPr>
      </w:pPr>
    </w:p>
    <w:p w:rsidR="0052777C" w:rsidRPr="00255955" w:rsidRDefault="0052777C" w:rsidP="0052777C">
      <w:pPr>
        <w:pBdr>
          <w:bottom w:val="single" w:sz="6" w:space="1" w:color="auto"/>
        </w:pBdr>
        <w:rPr>
          <w:sz w:val="24"/>
          <w:szCs w:val="24"/>
        </w:rPr>
      </w:pPr>
    </w:p>
    <w:p w:rsidR="0052777C" w:rsidRPr="00255955" w:rsidRDefault="0052777C" w:rsidP="0052777C">
      <w:pPr>
        <w:pStyle w:val="BodyTextIndent"/>
        <w:ind w:left="0"/>
        <w:rPr>
          <w:rFonts w:ascii="Times New Roman" w:hAnsi="Times New Roman"/>
          <w:sz w:val="24"/>
          <w:szCs w:val="24"/>
        </w:rPr>
      </w:pPr>
    </w:p>
    <w:p w:rsidR="005F511C" w:rsidRPr="00255955" w:rsidRDefault="005F511C" w:rsidP="005F511C">
      <w:pPr>
        <w:pStyle w:val="BodyTextIndent"/>
        <w:ind w:left="0"/>
        <w:rPr>
          <w:rFonts w:ascii="Times New Roman" w:hAnsi="Times New Roman"/>
          <w:sz w:val="24"/>
          <w:szCs w:val="24"/>
        </w:rPr>
      </w:pPr>
    </w:p>
    <w:p w:rsidR="000C4BEF" w:rsidRPr="00255955" w:rsidRDefault="000C4BEF" w:rsidP="00255955">
      <w:pPr>
        <w:pStyle w:val="BodyTextIndent"/>
        <w:ind w:left="0"/>
        <w:rPr>
          <w:rFonts w:ascii="Times New Roman" w:hAnsi="Times New Roman"/>
          <w:sz w:val="24"/>
          <w:szCs w:val="24"/>
        </w:rPr>
      </w:pPr>
    </w:p>
    <w:sectPr w:rsidR="000C4BEF" w:rsidRPr="00255955" w:rsidSect="00CD47C4">
      <w:headerReference w:type="default" r:id="rId8"/>
      <w:footerReference w:type="even" r:id="rId9"/>
      <w:footerReference w:type="default" r:id="rId10"/>
      <w:pgSz w:w="12240" w:h="15840"/>
      <w:pgMar w:top="1008" w:right="1152"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B6" w:rsidRDefault="00DA1AB6">
      <w:r>
        <w:separator/>
      </w:r>
    </w:p>
  </w:endnote>
  <w:endnote w:type="continuationSeparator" w:id="0">
    <w:p w:rsidR="00DA1AB6" w:rsidRDefault="00DA1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F8" w:rsidRDefault="007B4EC2">
    <w:pPr>
      <w:pStyle w:val="Footer"/>
      <w:framePr w:wrap="around" w:vAnchor="text" w:hAnchor="margin" w:xAlign="right" w:y="1"/>
      <w:rPr>
        <w:rStyle w:val="PageNumber"/>
      </w:rPr>
    </w:pPr>
    <w:r>
      <w:rPr>
        <w:rStyle w:val="PageNumber"/>
      </w:rPr>
      <w:fldChar w:fldCharType="begin"/>
    </w:r>
    <w:r w:rsidR="00581EF8">
      <w:rPr>
        <w:rStyle w:val="PageNumber"/>
      </w:rPr>
      <w:instrText xml:space="preserve">PAGE  </w:instrText>
    </w:r>
    <w:r>
      <w:rPr>
        <w:rStyle w:val="PageNumber"/>
      </w:rPr>
      <w:fldChar w:fldCharType="end"/>
    </w:r>
  </w:p>
  <w:p w:rsidR="00581EF8" w:rsidRDefault="00581E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F8" w:rsidRDefault="007B4EC2">
    <w:pPr>
      <w:pStyle w:val="Footer"/>
      <w:framePr w:wrap="around" w:vAnchor="text" w:hAnchor="margin" w:xAlign="right" w:y="1"/>
      <w:rPr>
        <w:rStyle w:val="PageNumber"/>
      </w:rPr>
    </w:pPr>
    <w:r>
      <w:rPr>
        <w:rStyle w:val="PageNumber"/>
      </w:rPr>
      <w:fldChar w:fldCharType="begin"/>
    </w:r>
    <w:r w:rsidR="00581EF8">
      <w:rPr>
        <w:rStyle w:val="PageNumber"/>
      </w:rPr>
      <w:instrText xml:space="preserve">PAGE  </w:instrText>
    </w:r>
    <w:r>
      <w:rPr>
        <w:rStyle w:val="PageNumber"/>
      </w:rPr>
      <w:fldChar w:fldCharType="separate"/>
    </w:r>
    <w:r w:rsidR="00843D8C">
      <w:rPr>
        <w:rStyle w:val="PageNumber"/>
        <w:noProof/>
      </w:rPr>
      <w:t>7</w:t>
    </w:r>
    <w:r>
      <w:rPr>
        <w:rStyle w:val="PageNumber"/>
      </w:rPr>
      <w:fldChar w:fldCharType="end"/>
    </w:r>
  </w:p>
  <w:p w:rsidR="00581EF8" w:rsidRDefault="00581E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B6" w:rsidRDefault="00DA1AB6">
      <w:r>
        <w:separator/>
      </w:r>
    </w:p>
  </w:footnote>
  <w:footnote w:type="continuationSeparator" w:id="0">
    <w:p w:rsidR="00DA1AB6" w:rsidRDefault="00D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F8" w:rsidRPr="008B1EBF" w:rsidRDefault="00581EF8" w:rsidP="00F71B9D">
    <w:pPr>
      <w:pStyle w:val="Header"/>
      <w:rPr>
        <w:rFonts w:ascii="Arial" w:hAnsi="Arial" w:cs="Arial"/>
        <w:color w:val="595959"/>
        <w:sz w:val="18"/>
        <w:szCs w:val="18"/>
      </w:rPr>
    </w:pPr>
    <w:r w:rsidRPr="008B1EBF">
      <w:rPr>
        <w:rFonts w:ascii="Arial" w:hAnsi="Arial" w:cs="Arial"/>
        <w:noProof/>
        <w:color w:val="595959"/>
        <w:sz w:val="18"/>
        <w:szCs w:val="18"/>
        <w:lang w:eastAsia="zh-TW"/>
      </w:rPr>
      <w:t xml:space="preserve">Focus Group Studies Under Generic Clearance - Appendix </w:t>
    </w:r>
    <w:r>
      <w:rPr>
        <w:rFonts w:ascii="Arial" w:hAnsi="Arial" w:cs="Arial"/>
        <w:noProof/>
        <w:color w:val="595959"/>
        <w:sz w:val="18"/>
        <w:szCs w:val="18"/>
        <w:lang w:eastAsia="zh-TW"/>
      </w:rPr>
      <w:t>A</w:t>
    </w:r>
    <w:r w:rsidRPr="008B1EBF">
      <w:rPr>
        <w:rFonts w:ascii="Arial" w:hAnsi="Arial" w:cs="Arial"/>
        <w:noProof/>
        <w:color w:val="595959"/>
        <w:sz w:val="18"/>
        <w:szCs w:val="18"/>
        <w:lang w:eastAsia="zh-TW"/>
      </w:rPr>
      <w:t xml:space="preserve">: Sample </w:t>
    </w:r>
    <w:r>
      <w:rPr>
        <w:rFonts w:ascii="Arial" w:hAnsi="Arial" w:cs="Arial"/>
        <w:noProof/>
        <w:color w:val="595959"/>
        <w:sz w:val="18"/>
        <w:szCs w:val="18"/>
        <w:lang w:eastAsia="zh-TW"/>
      </w:rPr>
      <w:t>Supporting Statement</w:t>
    </w:r>
  </w:p>
  <w:p w:rsidR="00581EF8" w:rsidRDefault="00581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735"/>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
    <w:nsid w:val="0934435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
    <w:nsid w:val="0B114DC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
    <w:nsid w:val="1392009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4">
    <w:nsid w:val="13BA010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5">
    <w:nsid w:val="143D2179"/>
    <w:multiLevelType w:val="singleLevel"/>
    <w:tmpl w:val="AFCEFCDC"/>
    <w:lvl w:ilvl="0">
      <w:start w:val="1"/>
      <w:numFmt w:val="upperLetter"/>
      <w:lvlText w:val="%1."/>
      <w:lvlJc w:val="left"/>
      <w:pPr>
        <w:tabs>
          <w:tab w:val="num" w:pos="720"/>
        </w:tabs>
        <w:ind w:left="720" w:hanging="720"/>
      </w:pPr>
      <w:rPr>
        <w:rFonts w:hint="default"/>
      </w:rPr>
    </w:lvl>
  </w:abstractNum>
  <w:abstractNum w:abstractNumId="6">
    <w:nsid w:val="22775CFA"/>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7">
    <w:nsid w:val="2458100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8">
    <w:nsid w:val="26C21CC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9">
    <w:nsid w:val="2ADB4768"/>
    <w:multiLevelType w:val="hybridMultilevel"/>
    <w:tmpl w:val="37B2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05583"/>
    <w:multiLevelType w:val="singleLevel"/>
    <w:tmpl w:val="0409000F"/>
    <w:lvl w:ilvl="0">
      <w:start w:val="1"/>
      <w:numFmt w:val="decimal"/>
      <w:lvlText w:val="%1."/>
      <w:lvlJc w:val="left"/>
      <w:pPr>
        <w:tabs>
          <w:tab w:val="num" w:pos="360"/>
        </w:tabs>
        <w:ind w:left="360" w:hanging="360"/>
      </w:pPr>
    </w:lvl>
  </w:abstractNum>
  <w:abstractNum w:abstractNumId="11">
    <w:nsid w:val="2C24238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2">
    <w:nsid w:val="2DE315E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3">
    <w:nsid w:val="3017129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4">
    <w:nsid w:val="31442C34"/>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5">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A2483F"/>
    <w:multiLevelType w:val="multilevel"/>
    <w:tmpl w:val="B6C8A8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6D36FC"/>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8">
    <w:nsid w:val="43F314D8"/>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19">
    <w:nsid w:val="467B1B4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0">
    <w:nsid w:val="488F62AD"/>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1">
    <w:nsid w:val="49114594"/>
    <w:multiLevelType w:val="multilevel"/>
    <w:tmpl w:val="198C8706"/>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lowerLetter"/>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595D08"/>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3">
    <w:nsid w:val="4EF96F4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4">
    <w:nsid w:val="52C04BF0"/>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5">
    <w:nsid w:val="53570756"/>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6">
    <w:nsid w:val="59CA7453"/>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7">
    <w:nsid w:val="5D6C321B"/>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28">
    <w:nsid w:val="601D138E"/>
    <w:multiLevelType w:val="hybridMultilevel"/>
    <w:tmpl w:val="82AA3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AD23C9"/>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0">
    <w:nsid w:val="69E40E8D"/>
    <w:multiLevelType w:val="singleLevel"/>
    <w:tmpl w:val="AD3EC95A"/>
    <w:lvl w:ilvl="0">
      <w:start w:val="13"/>
      <w:numFmt w:val="decimal"/>
      <w:lvlText w:val="%1."/>
      <w:lvlJc w:val="left"/>
      <w:pPr>
        <w:tabs>
          <w:tab w:val="num" w:pos="720"/>
        </w:tabs>
        <w:ind w:left="720" w:hanging="360"/>
      </w:pPr>
      <w:rPr>
        <w:rFonts w:hint="default"/>
      </w:rPr>
    </w:lvl>
  </w:abstractNum>
  <w:abstractNum w:abstractNumId="31">
    <w:nsid w:val="6D15093E"/>
    <w:multiLevelType w:val="singleLevel"/>
    <w:tmpl w:val="9AB452D4"/>
    <w:lvl w:ilvl="0">
      <w:start w:val="1"/>
      <w:numFmt w:val="bullet"/>
      <w:lvlText w:val=""/>
      <w:lvlJc w:val="left"/>
      <w:pPr>
        <w:tabs>
          <w:tab w:val="num" w:pos="360"/>
        </w:tabs>
        <w:ind w:left="360" w:hanging="360"/>
      </w:pPr>
      <w:rPr>
        <w:rFonts w:ascii="Symbol" w:hAnsi="Symbol" w:hint="default"/>
      </w:rPr>
    </w:lvl>
  </w:abstractNum>
  <w:abstractNum w:abstractNumId="32">
    <w:nsid w:val="7A153F0E"/>
    <w:multiLevelType w:val="singleLevel"/>
    <w:tmpl w:val="9AB452D4"/>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15"/>
  </w:num>
  <w:num w:numId="4">
    <w:abstractNumId w:val="10"/>
  </w:num>
  <w:num w:numId="5">
    <w:abstractNumId w:val="5"/>
  </w:num>
  <w:num w:numId="6">
    <w:abstractNumId w:val="2"/>
  </w:num>
  <w:num w:numId="7">
    <w:abstractNumId w:val="23"/>
  </w:num>
  <w:num w:numId="8">
    <w:abstractNumId w:val="29"/>
  </w:num>
  <w:num w:numId="9">
    <w:abstractNumId w:val="4"/>
  </w:num>
  <w:num w:numId="10">
    <w:abstractNumId w:val="1"/>
  </w:num>
  <w:num w:numId="11">
    <w:abstractNumId w:val="7"/>
  </w:num>
  <w:num w:numId="12">
    <w:abstractNumId w:val="11"/>
  </w:num>
  <w:num w:numId="13">
    <w:abstractNumId w:val="26"/>
  </w:num>
  <w:num w:numId="14">
    <w:abstractNumId w:val="24"/>
  </w:num>
  <w:num w:numId="15">
    <w:abstractNumId w:val="32"/>
  </w:num>
  <w:num w:numId="16">
    <w:abstractNumId w:val="19"/>
  </w:num>
  <w:num w:numId="17">
    <w:abstractNumId w:val="6"/>
  </w:num>
  <w:num w:numId="18">
    <w:abstractNumId w:val="17"/>
  </w:num>
  <w:num w:numId="19">
    <w:abstractNumId w:val="8"/>
  </w:num>
  <w:num w:numId="20">
    <w:abstractNumId w:val="14"/>
  </w:num>
  <w:num w:numId="21">
    <w:abstractNumId w:val="0"/>
  </w:num>
  <w:num w:numId="22">
    <w:abstractNumId w:val="12"/>
  </w:num>
  <w:num w:numId="23">
    <w:abstractNumId w:val="27"/>
  </w:num>
  <w:num w:numId="24">
    <w:abstractNumId w:val="31"/>
  </w:num>
  <w:num w:numId="25">
    <w:abstractNumId w:val="20"/>
  </w:num>
  <w:num w:numId="26">
    <w:abstractNumId w:val="18"/>
  </w:num>
  <w:num w:numId="27">
    <w:abstractNumId w:val="25"/>
  </w:num>
  <w:num w:numId="28">
    <w:abstractNumId w:val="3"/>
  </w:num>
  <w:num w:numId="29">
    <w:abstractNumId w:val="13"/>
  </w:num>
  <w:num w:numId="30">
    <w:abstractNumId w:val="30"/>
  </w:num>
  <w:num w:numId="31">
    <w:abstractNumId w:val="21"/>
  </w:num>
  <w:num w:numId="32">
    <w:abstractNumId w:val="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1"/>
    <w:footnote w:id="0"/>
  </w:footnotePr>
  <w:endnotePr>
    <w:endnote w:id="-1"/>
    <w:endnote w:id="0"/>
  </w:endnotePr>
  <w:compat/>
  <w:rsids>
    <w:rsidRoot w:val="00537A87"/>
    <w:rsid w:val="00000F9B"/>
    <w:rsid w:val="00003953"/>
    <w:rsid w:val="00015885"/>
    <w:rsid w:val="000254E4"/>
    <w:rsid w:val="00027B1A"/>
    <w:rsid w:val="0003021D"/>
    <w:rsid w:val="00032151"/>
    <w:rsid w:val="00034762"/>
    <w:rsid w:val="00035DD4"/>
    <w:rsid w:val="00060362"/>
    <w:rsid w:val="00060815"/>
    <w:rsid w:val="00063E86"/>
    <w:rsid w:val="000658A5"/>
    <w:rsid w:val="00076D49"/>
    <w:rsid w:val="00085100"/>
    <w:rsid w:val="000916B0"/>
    <w:rsid w:val="00096257"/>
    <w:rsid w:val="000A0A5C"/>
    <w:rsid w:val="000B2778"/>
    <w:rsid w:val="000B333D"/>
    <w:rsid w:val="000B4211"/>
    <w:rsid w:val="000B5FE2"/>
    <w:rsid w:val="000B622C"/>
    <w:rsid w:val="000C4BEF"/>
    <w:rsid w:val="000C7053"/>
    <w:rsid w:val="000D22B9"/>
    <w:rsid w:val="000D3EAA"/>
    <w:rsid w:val="000D5B19"/>
    <w:rsid w:val="000D7C8A"/>
    <w:rsid w:val="000D7F84"/>
    <w:rsid w:val="000F0BC4"/>
    <w:rsid w:val="00112409"/>
    <w:rsid w:val="001255B1"/>
    <w:rsid w:val="00125DB5"/>
    <w:rsid w:val="0013331C"/>
    <w:rsid w:val="0013788A"/>
    <w:rsid w:val="001379CE"/>
    <w:rsid w:val="001402A7"/>
    <w:rsid w:val="00147603"/>
    <w:rsid w:val="00156C8B"/>
    <w:rsid w:val="00165BBB"/>
    <w:rsid w:val="00165E94"/>
    <w:rsid w:val="001719A1"/>
    <w:rsid w:val="00173DD2"/>
    <w:rsid w:val="00174CFE"/>
    <w:rsid w:val="001775EF"/>
    <w:rsid w:val="001822CA"/>
    <w:rsid w:val="00183EE5"/>
    <w:rsid w:val="001A686B"/>
    <w:rsid w:val="001A7120"/>
    <w:rsid w:val="001B1118"/>
    <w:rsid w:val="001B330F"/>
    <w:rsid w:val="001B50DA"/>
    <w:rsid w:val="001C37FA"/>
    <w:rsid w:val="001C4C01"/>
    <w:rsid w:val="001D4AD9"/>
    <w:rsid w:val="001E212A"/>
    <w:rsid w:val="001E302A"/>
    <w:rsid w:val="001E3CD3"/>
    <w:rsid w:val="001E60AE"/>
    <w:rsid w:val="001E706A"/>
    <w:rsid w:val="001F78CF"/>
    <w:rsid w:val="001F79E8"/>
    <w:rsid w:val="002012DA"/>
    <w:rsid w:val="00206367"/>
    <w:rsid w:val="00210AEB"/>
    <w:rsid w:val="00216F3C"/>
    <w:rsid w:val="00241386"/>
    <w:rsid w:val="00245BD6"/>
    <w:rsid w:val="00246AB8"/>
    <w:rsid w:val="00255955"/>
    <w:rsid w:val="002613F1"/>
    <w:rsid w:val="00262C83"/>
    <w:rsid w:val="0026750C"/>
    <w:rsid w:val="00272F56"/>
    <w:rsid w:val="00275A20"/>
    <w:rsid w:val="002826F1"/>
    <w:rsid w:val="00283A79"/>
    <w:rsid w:val="00287A20"/>
    <w:rsid w:val="002B0CF5"/>
    <w:rsid w:val="002C5D31"/>
    <w:rsid w:val="002C5D92"/>
    <w:rsid w:val="002D51F7"/>
    <w:rsid w:val="002E191C"/>
    <w:rsid w:val="002E2115"/>
    <w:rsid w:val="002E680A"/>
    <w:rsid w:val="002F554B"/>
    <w:rsid w:val="00323781"/>
    <w:rsid w:val="00323D15"/>
    <w:rsid w:val="00337FA4"/>
    <w:rsid w:val="00340104"/>
    <w:rsid w:val="00346BA2"/>
    <w:rsid w:val="00353EDA"/>
    <w:rsid w:val="00355091"/>
    <w:rsid w:val="0036511F"/>
    <w:rsid w:val="00365AAD"/>
    <w:rsid w:val="0037428D"/>
    <w:rsid w:val="00382BEF"/>
    <w:rsid w:val="00383F37"/>
    <w:rsid w:val="00384FFD"/>
    <w:rsid w:val="00385596"/>
    <w:rsid w:val="00397F19"/>
    <w:rsid w:val="003A4250"/>
    <w:rsid w:val="003B2D45"/>
    <w:rsid w:val="003C069D"/>
    <w:rsid w:val="003C379B"/>
    <w:rsid w:val="003C73CB"/>
    <w:rsid w:val="003D2DFC"/>
    <w:rsid w:val="003E2275"/>
    <w:rsid w:val="003E55F8"/>
    <w:rsid w:val="003F7D83"/>
    <w:rsid w:val="00400ED7"/>
    <w:rsid w:val="004043C6"/>
    <w:rsid w:val="0040467D"/>
    <w:rsid w:val="004204DF"/>
    <w:rsid w:val="004236DC"/>
    <w:rsid w:val="0042467C"/>
    <w:rsid w:val="0042579A"/>
    <w:rsid w:val="00431118"/>
    <w:rsid w:val="00432A69"/>
    <w:rsid w:val="00436F3C"/>
    <w:rsid w:val="004467CF"/>
    <w:rsid w:val="00447A76"/>
    <w:rsid w:val="00455E2C"/>
    <w:rsid w:val="00473059"/>
    <w:rsid w:val="004743AD"/>
    <w:rsid w:val="004846DD"/>
    <w:rsid w:val="0049007B"/>
    <w:rsid w:val="0049540E"/>
    <w:rsid w:val="004A2080"/>
    <w:rsid w:val="004A4122"/>
    <w:rsid w:val="004B0E6A"/>
    <w:rsid w:val="004C1FB5"/>
    <w:rsid w:val="004C2418"/>
    <w:rsid w:val="004C2F9D"/>
    <w:rsid w:val="004D0083"/>
    <w:rsid w:val="004D20CF"/>
    <w:rsid w:val="004D7053"/>
    <w:rsid w:val="004E58D2"/>
    <w:rsid w:val="004F4100"/>
    <w:rsid w:val="00500F60"/>
    <w:rsid w:val="00502D3E"/>
    <w:rsid w:val="005101D8"/>
    <w:rsid w:val="00523591"/>
    <w:rsid w:val="00524B49"/>
    <w:rsid w:val="0052777C"/>
    <w:rsid w:val="00537A87"/>
    <w:rsid w:val="00542493"/>
    <w:rsid w:val="00542FD3"/>
    <w:rsid w:val="00550EDA"/>
    <w:rsid w:val="00554E78"/>
    <w:rsid w:val="00555207"/>
    <w:rsid w:val="00564DAD"/>
    <w:rsid w:val="0057030C"/>
    <w:rsid w:val="00570554"/>
    <w:rsid w:val="00581EF8"/>
    <w:rsid w:val="0058660F"/>
    <w:rsid w:val="00587758"/>
    <w:rsid w:val="005920D9"/>
    <w:rsid w:val="005A00CD"/>
    <w:rsid w:val="005A207A"/>
    <w:rsid w:val="005A51AD"/>
    <w:rsid w:val="005B52CE"/>
    <w:rsid w:val="005C0F4C"/>
    <w:rsid w:val="005C33D4"/>
    <w:rsid w:val="005D6EB7"/>
    <w:rsid w:val="005D71F1"/>
    <w:rsid w:val="005E1A08"/>
    <w:rsid w:val="005E1A47"/>
    <w:rsid w:val="005E658E"/>
    <w:rsid w:val="005F511C"/>
    <w:rsid w:val="00606C0E"/>
    <w:rsid w:val="00612161"/>
    <w:rsid w:val="00614A77"/>
    <w:rsid w:val="00626777"/>
    <w:rsid w:val="00627EBF"/>
    <w:rsid w:val="00650753"/>
    <w:rsid w:val="006570EC"/>
    <w:rsid w:val="00667226"/>
    <w:rsid w:val="00674759"/>
    <w:rsid w:val="0067778E"/>
    <w:rsid w:val="00680059"/>
    <w:rsid w:val="006808FE"/>
    <w:rsid w:val="00681129"/>
    <w:rsid w:val="00683892"/>
    <w:rsid w:val="006838DB"/>
    <w:rsid w:val="00687FAD"/>
    <w:rsid w:val="006A1B0E"/>
    <w:rsid w:val="006A2E05"/>
    <w:rsid w:val="006B33C6"/>
    <w:rsid w:val="006C2D9E"/>
    <w:rsid w:val="006C339E"/>
    <w:rsid w:val="006D16C3"/>
    <w:rsid w:val="006D1A02"/>
    <w:rsid w:val="006D43DB"/>
    <w:rsid w:val="006D73FD"/>
    <w:rsid w:val="006E3C02"/>
    <w:rsid w:val="006F173A"/>
    <w:rsid w:val="006F61E2"/>
    <w:rsid w:val="007021F9"/>
    <w:rsid w:val="0070472F"/>
    <w:rsid w:val="00705B47"/>
    <w:rsid w:val="0070620C"/>
    <w:rsid w:val="00712C50"/>
    <w:rsid w:val="00714C9D"/>
    <w:rsid w:val="007153A3"/>
    <w:rsid w:val="00735379"/>
    <w:rsid w:val="0074102C"/>
    <w:rsid w:val="007447D2"/>
    <w:rsid w:val="00753926"/>
    <w:rsid w:val="00756AEB"/>
    <w:rsid w:val="0077642D"/>
    <w:rsid w:val="007773BE"/>
    <w:rsid w:val="007826EC"/>
    <w:rsid w:val="00792CCC"/>
    <w:rsid w:val="007A376C"/>
    <w:rsid w:val="007B4EC2"/>
    <w:rsid w:val="007C0F0D"/>
    <w:rsid w:val="007E314F"/>
    <w:rsid w:val="007E3ED0"/>
    <w:rsid w:val="007F0993"/>
    <w:rsid w:val="007F0E50"/>
    <w:rsid w:val="007F3A48"/>
    <w:rsid w:val="007F5D80"/>
    <w:rsid w:val="007F6E04"/>
    <w:rsid w:val="0080121F"/>
    <w:rsid w:val="008026D2"/>
    <w:rsid w:val="00815A07"/>
    <w:rsid w:val="00827E1A"/>
    <w:rsid w:val="0083177A"/>
    <w:rsid w:val="0083314F"/>
    <w:rsid w:val="00843D8C"/>
    <w:rsid w:val="0084607A"/>
    <w:rsid w:val="00853E16"/>
    <w:rsid w:val="00857F51"/>
    <w:rsid w:val="00860AC7"/>
    <w:rsid w:val="00861456"/>
    <w:rsid w:val="008632EB"/>
    <w:rsid w:val="008647C5"/>
    <w:rsid w:val="0088445C"/>
    <w:rsid w:val="0088568E"/>
    <w:rsid w:val="008B3862"/>
    <w:rsid w:val="008B4F8C"/>
    <w:rsid w:val="008B7842"/>
    <w:rsid w:val="008D3E4A"/>
    <w:rsid w:val="008E2744"/>
    <w:rsid w:val="008E45C2"/>
    <w:rsid w:val="008E5BA9"/>
    <w:rsid w:val="008F7EB3"/>
    <w:rsid w:val="009037DB"/>
    <w:rsid w:val="00903BF9"/>
    <w:rsid w:val="00912E59"/>
    <w:rsid w:val="0092223B"/>
    <w:rsid w:val="009324CE"/>
    <w:rsid w:val="00935121"/>
    <w:rsid w:val="00936319"/>
    <w:rsid w:val="009470B7"/>
    <w:rsid w:val="00950B97"/>
    <w:rsid w:val="00962E09"/>
    <w:rsid w:val="00974D5D"/>
    <w:rsid w:val="00975B15"/>
    <w:rsid w:val="00976174"/>
    <w:rsid w:val="00976480"/>
    <w:rsid w:val="00985D4E"/>
    <w:rsid w:val="00990345"/>
    <w:rsid w:val="00993F24"/>
    <w:rsid w:val="009A35EC"/>
    <w:rsid w:val="009A3676"/>
    <w:rsid w:val="009A67C5"/>
    <w:rsid w:val="009B6C10"/>
    <w:rsid w:val="009B700E"/>
    <w:rsid w:val="009C7587"/>
    <w:rsid w:val="009D220C"/>
    <w:rsid w:val="009D54BF"/>
    <w:rsid w:val="009E5943"/>
    <w:rsid w:val="009E7A7A"/>
    <w:rsid w:val="009F317B"/>
    <w:rsid w:val="009F380B"/>
    <w:rsid w:val="00A07BB5"/>
    <w:rsid w:val="00A10E88"/>
    <w:rsid w:val="00A14C83"/>
    <w:rsid w:val="00A150AA"/>
    <w:rsid w:val="00A1510D"/>
    <w:rsid w:val="00A16043"/>
    <w:rsid w:val="00A2380E"/>
    <w:rsid w:val="00A25FAE"/>
    <w:rsid w:val="00A26E89"/>
    <w:rsid w:val="00A31A27"/>
    <w:rsid w:val="00A4239A"/>
    <w:rsid w:val="00A4437A"/>
    <w:rsid w:val="00A443C3"/>
    <w:rsid w:val="00A47346"/>
    <w:rsid w:val="00A476E3"/>
    <w:rsid w:val="00A6301B"/>
    <w:rsid w:val="00A679DA"/>
    <w:rsid w:val="00A77321"/>
    <w:rsid w:val="00A94AA5"/>
    <w:rsid w:val="00AA290C"/>
    <w:rsid w:val="00AA7F74"/>
    <w:rsid w:val="00AB018D"/>
    <w:rsid w:val="00AB1FF8"/>
    <w:rsid w:val="00AB71D8"/>
    <w:rsid w:val="00AC4022"/>
    <w:rsid w:val="00AD2C17"/>
    <w:rsid w:val="00AD7F9D"/>
    <w:rsid w:val="00AE2780"/>
    <w:rsid w:val="00AE69A8"/>
    <w:rsid w:val="00AF0B34"/>
    <w:rsid w:val="00AF5B7B"/>
    <w:rsid w:val="00AF7353"/>
    <w:rsid w:val="00B0056A"/>
    <w:rsid w:val="00B006D0"/>
    <w:rsid w:val="00B0439A"/>
    <w:rsid w:val="00B05D81"/>
    <w:rsid w:val="00B21BEC"/>
    <w:rsid w:val="00B27183"/>
    <w:rsid w:val="00B333A2"/>
    <w:rsid w:val="00B35563"/>
    <w:rsid w:val="00B35651"/>
    <w:rsid w:val="00B36563"/>
    <w:rsid w:val="00B40602"/>
    <w:rsid w:val="00B42181"/>
    <w:rsid w:val="00B43FC1"/>
    <w:rsid w:val="00B57BC4"/>
    <w:rsid w:val="00B60E10"/>
    <w:rsid w:val="00B61C95"/>
    <w:rsid w:val="00B72D3B"/>
    <w:rsid w:val="00B74FC0"/>
    <w:rsid w:val="00B82D9A"/>
    <w:rsid w:val="00B83FB0"/>
    <w:rsid w:val="00B8594A"/>
    <w:rsid w:val="00B95823"/>
    <w:rsid w:val="00BA2D6A"/>
    <w:rsid w:val="00BA3CA0"/>
    <w:rsid w:val="00BA7DC6"/>
    <w:rsid w:val="00BB73A5"/>
    <w:rsid w:val="00BC3CB3"/>
    <w:rsid w:val="00BD00CF"/>
    <w:rsid w:val="00BE5B55"/>
    <w:rsid w:val="00BE5DB5"/>
    <w:rsid w:val="00BE6922"/>
    <w:rsid w:val="00BF0996"/>
    <w:rsid w:val="00BF3891"/>
    <w:rsid w:val="00C130A2"/>
    <w:rsid w:val="00C325FB"/>
    <w:rsid w:val="00C335B7"/>
    <w:rsid w:val="00C4001E"/>
    <w:rsid w:val="00C443C2"/>
    <w:rsid w:val="00C44B85"/>
    <w:rsid w:val="00C44D05"/>
    <w:rsid w:val="00C52B1D"/>
    <w:rsid w:val="00C5430A"/>
    <w:rsid w:val="00C573F8"/>
    <w:rsid w:val="00C63177"/>
    <w:rsid w:val="00C74833"/>
    <w:rsid w:val="00C74FA7"/>
    <w:rsid w:val="00C773B1"/>
    <w:rsid w:val="00C8226B"/>
    <w:rsid w:val="00C85873"/>
    <w:rsid w:val="00C86FEC"/>
    <w:rsid w:val="00C92422"/>
    <w:rsid w:val="00C94CFB"/>
    <w:rsid w:val="00C956DA"/>
    <w:rsid w:val="00CA21FA"/>
    <w:rsid w:val="00CA3D0C"/>
    <w:rsid w:val="00CA4655"/>
    <w:rsid w:val="00CB01B6"/>
    <w:rsid w:val="00CB5A9D"/>
    <w:rsid w:val="00CB7BC9"/>
    <w:rsid w:val="00CC0FDB"/>
    <w:rsid w:val="00CC1130"/>
    <w:rsid w:val="00CC188F"/>
    <w:rsid w:val="00CD47C4"/>
    <w:rsid w:val="00CD5972"/>
    <w:rsid w:val="00CE5889"/>
    <w:rsid w:val="00CE73E0"/>
    <w:rsid w:val="00CF0972"/>
    <w:rsid w:val="00CF1D0F"/>
    <w:rsid w:val="00CF2089"/>
    <w:rsid w:val="00CF2A04"/>
    <w:rsid w:val="00D036DD"/>
    <w:rsid w:val="00D10D24"/>
    <w:rsid w:val="00D1116B"/>
    <w:rsid w:val="00D13585"/>
    <w:rsid w:val="00D13BE5"/>
    <w:rsid w:val="00D17BCF"/>
    <w:rsid w:val="00D2421A"/>
    <w:rsid w:val="00D24922"/>
    <w:rsid w:val="00D2749A"/>
    <w:rsid w:val="00D312A3"/>
    <w:rsid w:val="00D505C2"/>
    <w:rsid w:val="00D637AD"/>
    <w:rsid w:val="00D653BD"/>
    <w:rsid w:val="00D66BB4"/>
    <w:rsid w:val="00D677AA"/>
    <w:rsid w:val="00D67A08"/>
    <w:rsid w:val="00D7661D"/>
    <w:rsid w:val="00D77473"/>
    <w:rsid w:val="00D81D1A"/>
    <w:rsid w:val="00D81E1B"/>
    <w:rsid w:val="00D87CA9"/>
    <w:rsid w:val="00D93A0D"/>
    <w:rsid w:val="00DA1AB6"/>
    <w:rsid w:val="00DA59E7"/>
    <w:rsid w:val="00DA6973"/>
    <w:rsid w:val="00DA7C92"/>
    <w:rsid w:val="00DB3A43"/>
    <w:rsid w:val="00DC2FE0"/>
    <w:rsid w:val="00DC7E07"/>
    <w:rsid w:val="00DD2894"/>
    <w:rsid w:val="00DE58D9"/>
    <w:rsid w:val="00DE774E"/>
    <w:rsid w:val="00DF2443"/>
    <w:rsid w:val="00DF3799"/>
    <w:rsid w:val="00DF7174"/>
    <w:rsid w:val="00E01362"/>
    <w:rsid w:val="00E02ECC"/>
    <w:rsid w:val="00E0350C"/>
    <w:rsid w:val="00E06B6C"/>
    <w:rsid w:val="00E132B0"/>
    <w:rsid w:val="00E1344F"/>
    <w:rsid w:val="00E200E5"/>
    <w:rsid w:val="00E2158A"/>
    <w:rsid w:val="00E23602"/>
    <w:rsid w:val="00E26FEE"/>
    <w:rsid w:val="00E349BA"/>
    <w:rsid w:val="00E37514"/>
    <w:rsid w:val="00E50341"/>
    <w:rsid w:val="00E504F4"/>
    <w:rsid w:val="00E617D1"/>
    <w:rsid w:val="00E62384"/>
    <w:rsid w:val="00E64670"/>
    <w:rsid w:val="00E71056"/>
    <w:rsid w:val="00E92825"/>
    <w:rsid w:val="00E9498D"/>
    <w:rsid w:val="00E95CD9"/>
    <w:rsid w:val="00EA0948"/>
    <w:rsid w:val="00EA3DA6"/>
    <w:rsid w:val="00EB42EC"/>
    <w:rsid w:val="00EB4F92"/>
    <w:rsid w:val="00EB52AE"/>
    <w:rsid w:val="00EB7A05"/>
    <w:rsid w:val="00EC383C"/>
    <w:rsid w:val="00ED4DE8"/>
    <w:rsid w:val="00EE36A5"/>
    <w:rsid w:val="00EE4786"/>
    <w:rsid w:val="00EF140D"/>
    <w:rsid w:val="00F00295"/>
    <w:rsid w:val="00F01E2A"/>
    <w:rsid w:val="00F03F00"/>
    <w:rsid w:val="00F103E6"/>
    <w:rsid w:val="00F1582C"/>
    <w:rsid w:val="00F15EF8"/>
    <w:rsid w:val="00F209FA"/>
    <w:rsid w:val="00F20CCF"/>
    <w:rsid w:val="00F21C84"/>
    <w:rsid w:val="00F342FD"/>
    <w:rsid w:val="00F34E5F"/>
    <w:rsid w:val="00F374EF"/>
    <w:rsid w:val="00F4746A"/>
    <w:rsid w:val="00F5321C"/>
    <w:rsid w:val="00F60652"/>
    <w:rsid w:val="00F712DD"/>
    <w:rsid w:val="00F71B9D"/>
    <w:rsid w:val="00F7483B"/>
    <w:rsid w:val="00F805A4"/>
    <w:rsid w:val="00F811AB"/>
    <w:rsid w:val="00F916EF"/>
    <w:rsid w:val="00F91CAB"/>
    <w:rsid w:val="00F940B6"/>
    <w:rsid w:val="00FA7A10"/>
    <w:rsid w:val="00FB2FE2"/>
    <w:rsid w:val="00FB4E1F"/>
    <w:rsid w:val="00FB5DC1"/>
    <w:rsid w:val="00FC38DD"/>
    <w:rsid w:val="00FC43D1"/>
    <w:rsid w:val="00FC5596"/>
    <w:rsid w:val="00FC5D39"/>
    <w:rsid w:val="00FC7A82"/>
    <w:rsid w:val="00FD0E15"/>
    <w:rsid w:val="00FE35FF"/>
    <w:rsid w:val="00FE7159"/>
    <w:rsid w:val="00FF35A4"/>
    <w:rsid w:val="00FF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5885"/>
    <w:pPr>
      <w:jc w:val="center"/>
    </w:pPr>
    <w:rPr>
      <w:rFonts w:ascii="Tahoma" w:hAnsi="Tahoma"/>
    </w:rPr>
  </w:style>
  <w:style w:type="paragraph" w:styleId="BodyTextIndent">
    <w:name w:val="Body Text Indent"/>
    <w:basedOn w:val="Normal"/>
    <w:rsid w:val="00015885"/>
    <w:pPr>
      <w:ind w:left="360"/>
    </w:pPr>
    <w:rPr>
      <w:rFonts w:ascii="Tahoma" w:hAnsi="Tahoma"/>
    </w:rPr>
  </w:style>
  <w:style w:type="paragraph" w:customStyle="1" w:styleId="bodytext0">
    <w:name w:val="body text"/>
    <w:aliases w:val="bt,body tx,indent,flush"/>
    <w:basedOn w:val="Normal"/>
    <w:rsid w:val="00015885"/>
    <w:pPr>
      <w:spacing w:after="240" w:line="360" w:lineRule="atLeast"/>
      <w:ind w:firstLine="720"/>
    </w:pPr>
    <w:rPr>
      <w:sz w:val="24"/>
    </w:rPr>
  </w:style>
  <w:style w:type="paragraph" w:styleId="BodyTextIndent3">
    <w:name w:val="Body Text Indent 3"/>
    <w:basedOn w:val="Normal"/>
    <w:rsid w:val="00015885"/>
    <w:pPr>
      <w:tabs>
        <w:tab w:val="left" w:pos="360"/>
      </w:tabs>
      <w:ind w:left="360" w:hanging="360"/>
    </w:pPr>
    <w:rPr>
      <w:rFonts w:ascii="Tahoma" w:hAnsi="Tahoma"/>
    </w:rPr>
  </w:style>
  <w:style w:type="character" w:styleId="Hyperlink">
    <w:name w:val="Hyperlink"/>
    <w:basedOn w:val="DefaultParagraphFont"/>
    <w:rsid w:val="00015885"/>
    <w:rPr>
      <w:color w:val="0000FF"/>
      <w:u w:val="single"/>
    </w:rPr>
  </w:style>
  <w:style w:type="paragraph" w:styleId="BodyTextIndent2">
    <w:name w:val="Body Text Indent 2"/>
    <w:basedOn w:val="Normal"/>
    <w:rsid w:val="00015885"/>
    <w:pPr>
      <w:tabs>
        <w:tab w:val="left" w:pos="360"/>
      </w:tabs>
      <w:ind w:left="360" w:hanging="360"/>
    </w:pPr>
    <w:rPr>
      <w:rFonts w:ascii="Tahoma" w:hAnsi="Tahoma"/>
      <w:sz w:val="22"/>
    </w:rPr>
  </w:style>
  <w:style w:type="character" w:styleId="Emphasis">
    <w:name w:val="Emphasis"/>
    <w:basedOn w:val="DefaultParagraphFont"/>
    <w:qFormat/>
    <w:rsid w:val="00015885"/>
    <w:rPr>
      <w:i/>
    </w:rPr>
  </w:style>
  <w:style w:type="paragraph" w:styleId="Footer">
    <w:name w:val="footer"/>
    <w:basedOn w:val="Normal"/>
    <w:rsid w:val="00015885"/>
    <w:pPr>
      <w:tabs>
        <w:tab w:val="center" w:pos="4320"/>
        <w:tab w:val="right" w:pos="8640"/>
      </w:tabs>
    </w:pPr>
  </w:style>
  <w:style w:type="character" w:styleId="PageNumber">
    <w:name w:val="page number"/>
    <w:basedOn w:val="DefaultParagraphFont"/>
    <w:rsid w:val="00015885"/>
  </w:style>
  <w:style w:type="paragraph" w:styleId="BalloonText">
    <w:name w:val="Balloon Text"/>
    <w:basedOn w:val="Normal"/>
    <w:link w:val="BalloonTextChar"/>
    <w:semiHidden/>
    <w:rsid w:val="00792CCC"/>
    <w:rPr>
      <w:rFonts w:ascii="Tahoma" w:hAnsi="Tahoma" w:cs="Tahoma"/>
      <w:sz w:val="16"/>
      <w:szCs w:val="16"/>
    </w:rPr>
  </w:style>
  <w:style w:type="table" w:styleId="TableGrid">
    <w:name w:val="Table Grid"/>
    <w:basedOn w:val="TableNormal"/>
    <w:uiPriority w:val="59"/>
    <w:rsid w:val="00B4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7F84"/>
    <w:pPr>
      <w:tabs>
        <w:tab w:val="center" w:pos="4320"/>
        <w:tab w:val="right" w:pos="8640"/>
      </w:tabs>
    </w:pPr>
  </w:style>
  <w:style w:type="paragraph" w:styleId="FootnoteText">
    <w:name w:val="footnote text"/>
    <w:basedOn w:val="Normal"/>
    <w:link w:val="FootnoteTextChar"/>
    <w:uiPriority w:val="99"/>
    <w:rsid w:val="007F0E50"/>
  </w:style>
  <w:style w:type="character" w:styleId="FootnoteReference">
    <w:name w:val="footnote reference"/>
    <w:basedOn w:val="DefaultParagraphFont"/>
    <w:uiPriority w:val="99"/>
    <w:rsid w:val="007F0E50"/>
    <w:rPr>
      <w:vertAlign w:val="superscript"/>
    </w:rPr>
  </w:style>
  <w:style w:type="character" w:styleId="CommentReference">
    <w:name w:val="annotation reference"/>
    <w:basedOn w:val="DefaultParagraphFont"/>
    <w:rsid w:val="00E64670"/>
    <w:rPr>
      <w:sz w:val="16"/>
      <w:szCs w:val="16"/>
    </w:rPr>
  </w:style>
  <w:style w:type="paragraph" w:styleId="CommentText">
    <w:name w:val="annotation text"/>
    <w:basedOn w:val="Normal"/>
    <w:link w:val="CommentTextChar"/>
    <w:rsid w:val="00E64670"/>
  </w:style>
  <w:style w:type="character" w:customStyle="1" w:styleId="CommentTextChar">
    <w:name w:val="Comment Text Char"/>
    <w:basedOn w:val="DefaultParagraphFont"/>
    <w:link w:val="CommentText"/>
    <w:rsid w:val="00E64670"/>
  </w:style>
  <w:style w:type="paragraph" w:styleId="CommentSubject">
    <w:name w:val="annotation subject"/>
    <w:basedOn w:val="CommentText"/>
    <w:next w:val="CommentText"/>
    <w:link w:val="CommentSubjectChar"/>
    <w:rsid w:val="00E64670"/>
    <w:rPr>
      <w:b/>
      <w:bCs/>
    </w:rPr>
  </w:style>
  <w:style w:type="character" w:customStyle="1" w:styleId="CommentSubjectChar">
    <w:name w:val="Comment Subject Char"/>
    <w:basedOn w:val="CommentTextChar"/>
    <w:link w:val="CommentSubject"/>
    <w:rsid w:val="00E64670"/>
    <w:rPr>
      <w:b/>
      <w:bCs/>
    </w:rPr>
  </w:style>
  <w:style w:type="paragraph" w:styleId="Revision">
    <w:name w:val="Revision"/>
    <w:hidden/>
    <w:uiPriority w:val="99"/>
    <w:semiHidden/>
    <w:rsid w:val="00060815"/>
  </w:style>
  <w:style w:type="paragraph" w:styleId="BodyText3">
    <w:name w:val="Body Text 3"/>
    <w:basedOn w:val="Normal"/>
    <w:link w:val="BodyText3Char"/>
    <w:rsid w:val="009B6C1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9B6C10"/>
    <w:rPr>
      <w:sz w:val="16"/>
      <w:szCs w:val="16"/>
    </w:rPr>
  </w:style>
  <w:style w:type="character" w:customStyle="1" w:styleId="FootnoteTextChar">
    <w:name w:val="Footnote Text Char"/>
    <w:basedOn w:val="DefaultParagraphFont"/>
    <w:link w:val="FootnoteText"/>
    <w:uiPriority w:val="99"/>
    <w:rsid w:val="00E0350C"/>
  </w:style>
  <w:style w:type="paragraph" w:customStyle="1" w:styleId="Default">
    <w:name w:val="Default"/>
    <w:rsid w:val="00EA3DA6"/>
    <w:pPr>
      <w:widowControl w:val="0"/>
      <w:autoSpaceDE w:val="0"/>
      <w:autoSpaceDN w:val="0"/>
      <w:adjustRightInd w:val="0"/>
    </w:pPr>
    <w:rPr>
      <w:color w:val="000000"/>
      <w:sz w:val="24"/>
      <w:szCs w:val="24"/>
    </w:rPr>
  </w:style>
  <w:style w:type="character" w:customStyle="1" w:styleId="BalloonTextChar">
    <w:name w:val="Balloon Text Char"/>
    <w:basedOn w:val="DefaultParagraphFont"/>
    <w:link w:val="BalloonText"/>
    <w:semiHidden/>
    <w:rsid w:val="00A4437A"/>
    <w:rPr>
      <w:rFonts w:ascii="Tahoma" w:hAnsi="Tahoma" w:cs="Tahoma"/>
      <w:sz w:val="16"/>
      <w:szCs w:val="16"/>
    </w:rPr>
  </w:style>
  <w:style w:type="character" w:customStyle="1" w:styleId="HeaderChar">
    <w:name w:val="Header Char"/>
    <w:basedOn w:val="DefaultParagraphFont"/>
    <w:link w:val="Header"/>
    <w:rsid w:val="00F71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708E-F7D5-4AE4-8CAA-F8A4F080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FDA/OC</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creator>Mark Pincus</dc:creator>
  <cp:lastModifiedBy>walter.culbreath</cp:lastModifiedBy>
  <cp:revision>2</cp:revision>
  <cp:lastPrinted>2010-04-27T16:45:00Z</cp:lastPrinted>
  <dcterms:created xsi:type="dcterms:W3CDTF">2011-07-19T15:19:00Z</dcterms:created>
  <dcterms:modified xsi:type="dcterms:W3CDTF">2011-07-19T15:19:00Z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