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4B" w:rsidRDefault="00783A4B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4"/>
          <w:u w:val="single"/>
        </w:rPr>
      </w:pPr>
      <w:r>
        <w:rPr>
          <w:rFonts w:ascii="Times New Roman" w:eastAsia="MS Mincho" w:hAnsi="Times New Roman" w:cs="Times New Roman"/>
          <w:b/>
          <w:bCs/>
          <w:sz w:val="24"/>
          <w:u w:val="single"/>
        </w:rPr>
        <w:t>Pre-Award and Post-Delivery Review Requirements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</w:p>
    <w:p w:rsidR="00783A4B" w:rsidRDefault="00783A4B" w:rsidP="007049E8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4"/>
          <w:u w:val="single"/>
        </w:rPr>
      </w:pPr>
      <w:r>
        <w:rPr>
          <w:rFonts w:ascii="Times New Roman" w:eastAsia="MS Mincho" w:hAnsi="Times New Roman" w:cs="Times New Roman"/>
          <w:sz w:val="24"/>
          <w:u w:val="single"/>
        </w:rPr>
        <w:t>Justification Statement</w:t>
      </w:r>
    </w:p>
    <w:p w:rsidR="007049E8" w:rsidRDefault="007049E8" w:rsidP="007049E8">
      <w:pPr>
        <w:pStyle w:val="PlainText"/>
        <w:ind w:left="360"/>
        <w:rPr>
          <w:rFonts w:ascii="Times New Roman" w:eastAsia="MS Mincho" w:hAnsi="Times New Roman" w:cs="Times New Roman"/>
          <w:sz w:val="24"/>
          <w:u w:val="single"/>
        </w:rPr>
      </w:pPr>
    </w:p>
    <w:p w:rsidR="00783A4B" w:rsidRDefault="00783A4B" w:rsidP="007049E8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Circumstances that make the collection necessary. </w:t>
      </w:r>
    </w:p>
    <w:p w:rsidR="007049E8" w:rsidRDefault="007049E8" w:rsidP="007049E8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049E8" w:rsidRPr="007049E8" w:rsidRDefault="007049E8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5B43F0">
        <w:rPr>
          <w:rFonts w:ascii="Times New Roman" w:eastAsia="MS Mincho" w:hAnsi="Times New Roman" w:cs="Times New Roman"/>
          <w:b/>
          <w:sz w:val="24"/>
        </w:rPr>
        <w:t>Summary of Submission</w:t>
      </w:r>
      <w:r w:rsidR="005B43F0">
        <w:rPr>
          <w:rFonts w:ascii="Times New Roman" w:eastAsia="MS Mincho" w:hAnsi="Times New Roman" w:cs="Times New Roman"/>
          <w:sz w:val="24"/>
        </w:rPr>
        <w:t>:</w:t>
      </w:r>
    </w:p>
    <w:p w:rsidR="007049E8" w:rsidRPr="007049E8" w:rsidRDefault="007049E8" w:rsidP="007049E8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344DE9" w:rsidRDefault="007049E8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 w:rsidRPr="007049E8">
        <w:rPr>
          <w:rFonts w:ascii="Times New Roman" w:eastAsia="MS Mincho" w:hAnsi="Times New Roman" w:cs="Times New Roman"/>
          <w:sz w:val="24"/>
        </w:rPr>
        <w:t xml:space="preserve">             T</w:t>
      </w:r>
      <w:r>
        <w:rPr>
          <w:rFonts w:ascii="Times New Roman" w:eastAsia="MS Mincho" w:hAnsi="Times New Roman" w:cs="Times New Roman"/>
          <w:sz w:val="24"/>
        </w:rPr>
        <w:t>his submission is being amended to correct the number of respondents</w:t>
      </w:r>
      <w:r w:rsidR="00344DE9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shown in </w:t>
      </w:r>
    </w:p>
    <w:p w:rsidR="007049E8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="007049E8">
        <w:rPr>
          <w:rFonts w:ascii="Times New Roman" w:eastAsia="MS Mincho" w:hAnsi="Times New Roman" w:cs="Times New Roman"/>
          <w:sz w:val="24"/>
        </w:rPr>
        <w:t>ROCIS.  The previous ROCIS entry was 3 respondents.  That number was</w:t>
      </w:r>
    </w:p>
    <w:p w:rsidR="007049E8" w:rsidRDefault="007049E8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submitted in error</w:t>
      </w:r>
      <w:r w:rsidR="00344DE9">
        <w:rPr>
          <w:rFonts w:ascii="Times New Roman" w:eastAsia="MS Mincho" w:hAnsi="Times New Roman" w:cs="Times New Roman"/>
          <w:sz w:val="24"/>
        </w:rPr>
        <w:t xml:space="preserve"> and should have been entered as 700 respondents.  The correct</w:t>
      </w: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proofErr w:type="gramStart"/>
      <w:r>
        <w:rPr>
          <w:rFonts w:ascii="Times New Roman" w:eastAsia="MS Mincho" w:hAnsi="Times New Roman" w:cs="Times New Roman"/>
          <w:sz w:val="24"/>
        </w:rPr>
        <w:t>number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of respondents was already included in the justification statement.</w:t>
      </w:r>
      <w:r w:rsidR="005B43F0">
        <w:rPr>
          <w:rFonts w:ascii="Times New Roman" w:eastAsia="MS Mincho" w:hAnsi="Times New Roman" w:cs="Times New Roman"/>
          <w:sz w:val="24"/>
        </w:rPr>
        <w:t xml:space="preserve">  No </w:t>
      </w:r>
    </w:p>
    <w:p w:rsidR="005B43F0" w:rsidRDefault="005B43F0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proofErr w:type="gramStart"/>
      <w:r>
        <w:rPr>
          <w:rFonts w:ascii="Times New Roman" w:eastAsia="MS Mincho" w:hAnsi="Times New Roman" w:cs="Times New Roman"/>
          <w:sz w:val="24"/>
        </w:rPr>
        <w:t>adjustment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is required for the justification statement.</w:t>
      </w: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FTA is providing a Federal Register notice dated November 2, 2010, entitled </w:t>
      </w: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“Federal Fiscal Year 2011 Annual List of Certifications and Assurances for Federal</w:t>
      </w: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Transit Administration Grants and Cooperative Agreements” which includes sample</w:t>
      </w:r>
    </w:p>
    <w:p w:rsidR="00344DE9" w:rsidRDefault="00344DE9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certification language that is available</w:t>
      </w:r>
      <w:r w:rsidR="00340943">
        <w:rPr>
          <w:rFonts w:ascii="Times New Roman" w:eastAsia="MS Mincho" w:hAnsi="Times New Roman" w:cs="Times New Roman"/>
          <w:sz w:val="24"/>
        </w:rPr>
        <w:t xml:space="preserve"> to grantees</w:t>
      </w:r>
      <w:r w:rsidR="00394F00">
        <w:rPr>
          <w:rFonts w:ascii="Times New Roman" w:eastAsia="MS Mincho" w:hAnsi="Times New Roman" w:cs="Times New Roman"/>
          <w:sz w:val="24"/>
        </w:rPr>
        <w:t xml:space="preserve"> for use in completing the Buy</w:t>
      </w:r>
    </w:p>
    <w:p w:rsidR="00394F00" w:rsidRPr="007049E8" w:rsidRDefault="00394F00" w:rsidP="007049E8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America requirements.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5B43F0" w:rsidRPr="007049E8" w:rsidRDefault="005B43F0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E647A2" w:rsidRDefault="00783A4B" w:rsidP="00E647A2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This is a request for continuation of a current approval </w:t>
      </w:r>
      <w:r w:rsidR="00E647A2">
        <w:rPr>
          <w:rFonts w:ascii="Times New Roman" w:eastAsia="MS Mincho" w:hAnsi="Times New Roman" w:cs="Times New Roman"/>
          <w:sz w:val="24"/>
        </w:rPr>
        <w:t xml:space="preserve">and to estimate the burden of </w:t>
      </w:r>
      <w:r>
        <w:rPr>
          <w:rFonts w:ascii="Times New Roman" w:eastAsia="MS Mincho" w:hAnsi="Times New Roman" w:cs="Times New Roman"/>
          <w:sz w:val="24"/>
        </w:rPr>
        <w:t xml:space="preserve">     specific certification requirements on federally-supported purchases of transit rolling     stock.  In this request we are seeking </w:t>
      </w:r>
      <w:r w:rsidR="003E63BE">
        <w:rPr>
          <w:rFonts w:ascii="Times New Roman" w:eastAsia="MS Mincho" w:hAnsi="Times New Roman" w:cs="Times New Roman"/>
          <w:sz w:val="24"/>
        </w:rPr>
        <w:t>OMB</w:t>
      </w:r>
      <w:r>
        <w:rPr>
          <w:rFonts w:ascii="Times New Roman" w:eastAsia="MS Mincho" w:hAnsi="Times New Roman" w:cs="Times New Roman"/>
          <w:sz w:val="24"/>
        </w:rPr>
        <w:t xml:space="preserve"> approval for </w:t>
      </w:r>
      <w:r w:rsidR="003E63BE">
        <w:rPr>
          <w:rFonts w:ascii="Times New Roman" w:eastAsia="MS Mincho" w:hAnsi="Times New Roman" w:cs="Times New Roman"/>
          <w:sz w:val="24"/>
        </w:rPr>
        <w:t>two</w:t>
      </w:r>
      <w:r w:rsidR="00E647A2">
        <w:rPr>
          <w:rFonts w:ascii="Times New Roman" w:eastAsia="MS Mincho" w:hAnsi="Times New Roman" w:cs="Times New Roman"/>
          <w:sz w:val="24"/>
        </w:rPr>
        <w:t xml:space="preserve"> </w:t>
      </w:r>
      <w:r w:rsidR="003E63BE">
        <w:rPr>
          <w:rFonts w:ascii="Times New Roman" w:eastAsia="MS Mincho" w:hAnsi="Times New Roman" w:cs="Times New Roman"/>
          <w:sz w:val="24"/>
        </w:rPr>
        <w:t xml:space="preserve">audit </w:t>
      </w:r>
      <w:r w:rsidR="00E647A2">
        <w:rPr>
          <w:rFonts w:ascii="Times New Roman" w:eastAsia="MS Mincho" w:hAnsi="Times New Roman" w:cs="Times New Roman"/>
          <w:sz w:val="24"/>
        </w:rPr>
        <w:t>certifications (</w:t>
      </w:r>
      <w:r w:rsidR="003E63BE">
        <w:rPr>
          <w:rFonts w:ascii="Times New Roman" w:eastAsia="MS Mincho" w:hAnsi="Times New Roman" w:cs="Times New Roman"/>
          <w:sz w:val="24"/>
        </w:rPr>
        <w:t xml:space="preserve">the </w:t>
      </w:r>
      <w:r w:rsidR="00E647A2">
        <w:rPr>
          <w:rFonts w:ascii="Times New Roman" w:eastAsia="MS Mincho" w:hAnsi="Times New Roman" w:cs="Times New Roman"/>
          <w:sz w:val="24"/>
        </w:rPr>
        <w:t>Buy</w:t>
      </w:r>
      <w:r w:rsidR="003E63BE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America </w:t>
      </w:r>
      <w:r w:rsidR="00E647A2">
        <w:rPr>
          <w:rFonts w:ascii="Times New Roman" w:eastAsia="MS Mincho" w:hAnsi="Times New Roman" w:cs="Times New Roman"/>
          <w:sz w:val="24"/>
        </w:rPr>
        <w:t>Pre-Award and Post-Delivery</w:t>
      </w:r>
      <w:r w:rsidR="003E63BE">
        <w:rPr>
          <w:rFonts w:ascii="Times New Roman" w:eastAsia="MS Mincho" w:hAnsi="Times New Roman" w:cs="Times New Roman"/>
          <w:sz w:val="24"/>
        </w:rPr>
        <w:t xml:space="preserve"> audits</w:t>
      </w:r>
      <w:r>
        <w:rPr>
          <w:rFonts w:ascii="Times New Roman" w:eastAsia="MS Mincho" w:hAnsi="Times New Roman" w:cs="Times New Roman"/>
          <w:sz w:val="24"/>
        </w:rPr>
        <w:t xml:space="preserve">), which must be completed </w:t>
      </w:r>
      <w:r w:rsidR="003E63BE">
        <w:rPr>
          <w:rFonts w:ascii="Times New Roman" w:eastAsia="MS Mincho" w:hAnsi="Times New Roman" w:cs="Times New Roman"/>
          <w:sz w:val="24"/>
        </w:rPr>
        <w:t xml:space="preserve">by recipients of Federal Transit Administration (FTA) funds procuring transit </w:t>
      </w:r>
      <w:r>
        <w:rPr>
          <w:rFonts w:ascii="Times New Roman" w:eastAsia="MS Mincho" w:hAnsi="Times New Roman" w:cs="Times New Roman"/>
          <w:sz w:val="24"/>
        </w:rPr>
        <w:t>rolling stock</w:t>
      </w:r>
      <w:r w:rsidR="003E63BE">
        <w:rPr>
          <w:rFonts w:ascii="Times New Roman" w:eastAsia="MS Mincho" w:hAnsi="Times New Roman" w:cs="Times New Roman"/>
          <w:sz w:val="24"/>
        </w:rPr>
        <w:t xml:space="preserve"> (vehicles intended for the transportation of fare-paying passengers).</w:t>
      </w:r>
      <w:r>
        <w:rPr>
          <w:rFonts w:ascii="Times New Roman" w:eastAsia="MS Mincho" w:hAnsi="Times New Roman" w:cs="Times New Roman"/>
          <w:sz w:val="24"/>
        </w:rPr>
        <w:t xml:space="preserve">  </w:t>
      </w:r>
    </w:p>
    <w:p w:rsidR="00E647A2" w:rsidRDefault="00E647A2" w:rsidP="00E647A2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783A4B" w:rsidRDefault="00E647A2" w:rsidP="00B000A8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Section 5323(</w:t>
      </w:r>
      <w:r w:rsidR="003E63BE">
        <w:rPr>
          <w:rFonts w:ascii="Times New Roman" w:eastAsia="MS Mincho" w:hAnsi="Times New Roman" w:cs="Times New Roman"/>
          <w:sz w:val="24"/>
        </w:rPr>
        <w:t>j</w:t>
      </w:r>
      <w:r>
        <w:rPr>
          <w:rFonts w:ascii="Times New Roman" w:eastAsia="MS Mincho" w:hAnsi="Times New Roman" w:cs="Times New Roman"/>
          <w:sz w:val="24"/>
        </w:rPr>
        <w:t xml:space="preserve">) of Title 49 USC </w:t>
      </w:r>
      <w:r w:rsidR="003E63BE">
        <w:rPr>
          <w:rFonts w:ascii="Times New Roman" w:eastAsia="MS Mincho" w:hAnsi="Times New Roman" w:cs="Times New Roman"/>
          <w:sz w:val="24"/>
        </w:rPr>
        <w:t xml:space="preserve">requires recipients of FTA funds to comply with Buy America requirements </w:t>
      </w:r>
      <w:r w:rsidR="00B000A8">
        <w:rPr>
          <w:rFonts w:ascii="Times New Roman" w:eastAsia="MS Mincho" w:hAnsi="Times New Roman" w:cs="Times New Roman"/>
          <w:sz w:val="24"/>
        </w:rPr>
        <w:t xml:space="preserve">when procuring steel, iron, and manufactured products </w:t>
      </w:r>
      <w:r w:rsidR="003E63BE">
        <w:rPr>
          <w:rFonts w:ascii="Times New Roman" w:eastAsia="MS Mincho" w:hAnsi="Times New Roman" w:cs="Times New Roman"/>
          <w:sz w:val="24"/>
        </w:rPr>
        <w:t xml:space="preserve">using FTA financial assistance.  Section 5323(m) requires recipients to </w:t>
      </w:r>
      <w:r w:rsidR="00B000A8">
        <w:rPr>
          <w:rFonts w:ascii="Times New Roman" w:eastAsia="MS Mincho" w:hAnsi="Times New Roman" w:cs="Times New Roman"/>
          <w:sz w:val="24"/>
        </w:rPr>
        <w:t xml:space="preserve">conduct pre-award and post-delivery </w:t>
      </w:r>
      <w:r w:rsidR="003E63BE">
        <w:rPr>
          <w:rFonts w:ascii="Times New Roman" w:eastAsia="MS Mincho" w:hAnsi="Times New Roman" w:cs="Times New Roman"/>
          <w:sz w:val="24"/>
        </w:rPr>
        <w:t>review</w:t>
      </w:r>
      <w:r w:rsidR="00B000A8">
        <w:rPr>
          <w:rFonts w:ascii="Times New Roman" w:eastAsia="MS Mincho" w:hAnsi="Times New Roman" w:cs="Times New Roman"/>
          <w:sz w:val="24"/>
        </w:rPr>
        <w:t xml:space="preserve">s to ensure that rolling stock procured with FTA funds complies with Buy America requirements, Federal Motor Vehicle Safety Standards (FMVSS), and the procurement specifications.  Vendors must complete the </w:t>
      </w:r>
      <w:r w:rsidR="003E63BE">
        <w:rPr>
          <w:rFonts w:ascii="Times New Roman" w:eastAsia="MS Mincho" w:hAnsi="Times New Roman" w:cs="Times New Roman"/>
          <w:sz w:val="24"/>
        </w:rPr>
        <w:t>Buy America certification forms  found at 49 CFR 661.6 and 49 CFR</w:t>
      </w:r>
      <w:r w:rsidR="00B000A8">
        <w:rPr>
          <w:rFonts w:ascii="Times New Roman" w:eastAsia="MS Mincho" w:hAnsi="Times New Roman" w:cs="Times New Roman"/>
          <w:sz w:val="24"/>
        </w:rPr>
        <w:t xml:space="preserve"> 661.12.</w:t>
      </w:r>
    </w:p>
    <w:p w:rsidR="00783A4B" w:rsidRDefault="00783A4B">
      <w:pPr>
        <w:pStyle w:val="PlainText"/>
        <w:ind w:left="1080" w:hanging="360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ab/>
        <w:t>2.  How, by whom, and for what purpose the information is to be used.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93238" w:rsidRDefault="00783A4B" w:rsidP="00CB6FC7">
      <w:pPr>
        <w:pStyle w:val="PlainText"/>
        <w:tabs>
          <w:tab w:val="left" w:pos="810"/>
          <w:tab w:val="left" w:pos="1080"/>
        </w:tabs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The Pre-Award and Post-Delivery certification </w:t>
      </w:r>
      <w:r w:rsidR="00B000A8">
        <w:rPr>
          <w:rFonts w:ascii="Times New Roman" w:eastAsia="MS Mincho" w:hAnsi="Times New Roman" w:cs="Times New Roman"/>
          <w:sz w:val="24"/>
        </w:rPr>
        <w:t xml:space="preserve">processes </w:t>
      </w:r>
      <w:r>
        <w:rPr>
          <w:rFonts w:ascii="Times New Roman" w:eastAsia="MS Mincho" w:hAnsi="Times New Roman" w:cs="Times New Roman"/>
          <w:sz w:val="24"/>
        </w:rPr>
        <w:t>are used by FTA grantees and</w:t>
      </w:r>
      <w:r w:rsidR="00B000A8">
        <w:rPr>
          <w:rFonts w:ascii="Times New Roman" w:eastAsia="MS Mincho" w:hAnsi="Times New Roman" w:cs="Times New Roman"/>
          <w:sz w:val="24"/>
        </w:rPr>
        <w:t xml:space="preserve"> vendors</w:t>
      </w:r>
      <w:r>
        <w:rPr>
          <w:rFonts w:ascii="Times New Roman" w:eastAsia="MS Mincho" w:hAnsi="Times New Roman" w:cs="Times New Roman"/>
          <w:sz w:val="24"/>
        </w:rPr>
        <w:t xml:space="preserve"> to </w:t>
      </w:r>
      <w:r w:rsidR="00B000A8">
        <w:rPr>
          <w:rFonts w:ascii="Times New Roman" w:eastAsia="MS Mincho" w:hAnsi="Times New Roman" w:cs="Times New Roman"/>
          <w:sz w:val="24"/>
        </w:rPr>
        <w:t>en</w:t>
      </w:r>
      <w:r>
        <w:rPr>
          <w:rFonts w:ascii="Times New Roman" w:eastAsia="MS Mincho" w:hAnsi="Times New Roman" w:cs="Times New Roman"/>
          <w:sz w:val="24"/>
        </w:rPr>
        <w:t xml:space="preserve">sure that the products purchased </w:t>
      </w:r>
      <w:r w:rsidR="00CB6FC7">
        <w:rPr>
          <w:rFonts w:ascii="Times New Roman" w:eastAsia="MS Mincho" w:hAnsi="Times New Roman" w:cs="Times New Roman"/>
          <w:sz w:val="24"/>
        </w:rPr>
        <w:t xml:space="preserve">with FTA funds </w:t>
      </w:r>
      <w:r>
        <w:rPr>
          <w:rFonts w:ascii="Times New Roman" w:eastAsia="MS Mincho" w:hAnsi="Times New Roman" w:cs="Times New Roman"/>
          <w:sz w:val="24"/>
        </w:rPr>
        <w:t xml:space="preserve">comply with the applicable statutory and regulatory requirements.  This assurance of compliance is necessary because </w:t>
      </w:r>
      <w:r w:rsidR="00CB6FC7">
        <w:rPr>
          <w:rFonts w:ascii="Times New Roman" w:eastAsia="MS Mincho" w:hAnsi="Times New Roman" w:cs="Times New Roman"/>
          <w:sz w:val="24"/>
        </w:rPr>
        <w:t xml:space="preserve">Congress requires </w:t>
      </w:r>
      <w:r>
        <w:rPr>
          <w:rFonts w:ascii="Times New Roman" w:eastAsia="MS Mincho" w:hAnsi="Times New Roman" w:cs="Times New Roman"/>
          <w:sz w:val="24"/>
        </w:rPr>
        <w:t xml:space="preserve">FTA </w:t>
      </w:r>
      <w:r w:rsidR="00CB6FC7">
        <w:rPr>
          <w:rFonts w:ascii="Times New Roman" w:eastAsia="MS Mincho" w:hAnsi="Times New Roman" w:cs="Times New Roman"/>
          <w:sz w:val="24"/>
        </w:rPr>
        <w:t xml:space="preserve">recipients to comply with </w:t>
      </w:r>
      <w:r>
        <w:rPr>
          <w:rFonts w:ascii="Times New Roman" w:eastAsia="MS Mincho" w:hAnsi="Times New Roman" w:cs="Times New Roman"/>
          <w:sz w:val="24"/>
        </w:rPr>
        <w:t>Buy America</w:t>
      </w:r>
      <w:r w:rsidR="00CB6FC7">
        <w:rPr>
          <w:rFonts w:ascii="Times New Roman" w:eastAsia="MS Mincho" w:hAnsi="Times New Roman" w:cs="Times New Roman"/>
          <w:sz w:val="24"/>
        </w:rPr>
        <w:t xml:space="preserve"> in their procurements and to confirm compliance by reviewing documentation</w:t>
      </w:r>
      <w:r>
        <w:rPr>
          <w:rFonts w:ascii="Times New Roman" w:eastAsia="MS Mincho" w:hAnsi="Times New Roman" w:cs="Times New Roman"/>
          <w:sz w:val="24"/>
        </w:rPr>
        <w:t xml:space="preserve">. </w:t>
      </w:r>
      <w:r w:rsidR="00CB6FC7">
        <w:rPr>
          <w:rFonts w:ascii="Times New Roman" w:eastAsia="MS Mincho" w:hAnsi="Times New Roman" w:cs="Times New Roman"/>
          <w:sz w:val="24"/>
        </w:rPr>
        <w:t xml:space="preserve"> FTA, in turn, may review the audit reports and supporting documentation to confirm compliance, particularly in response to an allegation of non-compliance.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3.  </w:t>
      </w:r>
      <w:r w:rsidR="00B96C82">
        <w:rPr>
          <w:rFonts w:ascii="Times New Roman" w:eastAsia="MS Mincho" w:hAnsi="Times New Roman" w:cs="Times New Roman"/>
          <w:sz w:val="24"/>
        </w:rPr>
        <w:t xml:space="preserve">Describe to </w:t>
      </w:r>
      <w:r>
        <w:rPr>
          <w:rFonts w:ascii="Times New Roman" w:eastAsia="MS Mincho" w:hAnsi="Times New Roman" w:cs="Times New Roman"/>
          <w:sz w:val="24"/>
        </w:rPr>
        <w:t>what extent</w:t>
      </w:r>
      <w:r w:rsidR="00B96C82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the co</w:t>
      </w:r>
      <w:r w:rsidR="00B96C82">
        <w:rPr>
          <w:rFonts w:ascii="Times New Roman" w:eastAsia="MS Mincho" w:hAnsi="Times New Roman" w:cs="Times New Roman"/>
          <w:sz w:val="24"/>
        </w:rPr>
        <w:t>llection of information involves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B96C82">
        <w:rPr>
          <w:rFonts w:ascii="Times New Roman" w:eastAsia="MS Mincho" w:hAnsi="Times New Roman" w:cs="Times New Roman"/>
          <w:sz w:val="24"/>
        </w:rPr>
        <w:t xml:space="preserve">information technology and the use of </w:t>
      </w:r>
      <w:r>
        <w:rPr>
          <w:rFonts w:ascii="Times New Roman" w:eastAsia="MS Mincho" w:hAnsi="Times New Roman" w:cs="Times New Roman"/>
          <w:sz w:val="24"/>
        </w:rPr>
        <w:t xml:space="preserve">information technology to reduce the burden.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The information </w:t>
      </w:r>
      <w:r w:rsidR="006020A7">
        <w:rPr>
          <w:rFonts w:ascii="Times New Roman" w:eastAsia="MS Mincho" w:hAnsi="Times New Roman" w:cs="Times New Roman"/>
          <w:sz w:val="24"/>
        </w:rPr>
        <w:t xml:space="preserve">is </w:t>
      </w:r>
      <w:r w:rsidR="00CB6FC7">
        <w:rPr>
          <w:rFonts w:ascii="Times New Roman" w:eastAsia="MS Mincho" w:hAnsi="Times New Roman" w:cs="Times New Roman"/>
          <w:sz w:val="24"/>
        </w:rPr>
        <w:t xml:space="preserve">collected and maintained by the recipient.  </w:t>
      </w:r>
      <w:r>
        <w:rPr>
          <w:rFonts w:ascii="Times New Roman" w:eastAsia="MS Mincho" w:hAnsi="Times New Roman" w:cs="Times New Roman"/>
          <w:sz w:val="24"/>
        </w:rPr>
        <w:t xml:space="preserve">FTA will review the </w:t>
      </w:r>
      <w:r w:rsidR="00CB6FC7">
        <w:rPr>
          <w:rFonts w:ascii="Times New Roman" w:eastAsia="MS Mincho" w:hAnsi="Times New Roman" w:cs="Times New Roman"/>
          <w:sz w:val="24"/>
        </w:rPr>
        <w:t xml:space="preserve">documentation </w:t>
      </w:r>
      <w:r>
        <w:rPr>
          <w:rFonts w:ascii="Times New Roman" w:eastAsia="MS Mincho" w:hAnsi="Times New Roman" w:cs="Times New Roman"/>
          <w:sz w:val="24"/>
        </w:rPr>
        <w:t xml:space="preserve">during its triennial reviews of the </w:t>
      </w:r>
      <w:r w:rsidR="00CB6FC7">
        <w:rPr>
          <w:rFonts w:ascii="Times New Roman" w:eastAsia="MS Mincho" w:hAnsi="Times New Roman" w:cs="Times New Roman"/>
          <w:sz w:val="24"/>
        </w:rPr>
        <w:t xml:space="preserve">recipient’s </w:t>
      </w:r>
      <w:r>
        <w:rPr>
          <w:rFonts w:ascii="Times New Roman" w:eastAsia="MS Mincho" w:hAnsi="Times New Roman" w:cs="Times New Roman"/>
          <w:sz w:val="24"/>
        </w:rPr>
        <w:t>FTA projects or if there is a</w:t>
      </w:r>
      <w:r w:rsidR="00CB6FC7">
        <w:rPr>
          <w:rFonts w:ascii="Times New Roman" w:eastAsia="MS Mincho" w:hAnsi="Times New Roman" w:cs="Times New Roman"/>
          <w:sz w:val="24"/>
        </w:rPr>
        <w:t>n issue concerning a procurement for rolling</w:t>
      </w:r>
      <w:r>
        <w:rPr>
          <w:rFonts w:ascii="Times New Roman" w:eastAsia="MS Mincho" w:hAnsi="Times New Roman" w:cs="Times New Roman"/>
          <w:sz w:val="24"/>
        </w:rPr>
        <w:t xml:space="preserve"> stock.</w:t>
      </w:r>
      <w:r w:rsidR="00E76933">
        <w:rPr>
          <w:rFonts w:ascii="Times New Roman" w:eastAsia="MS Mincho" w:hAnsi="Times New Roman" w:cs="Times New Roman"/>
          <w:sz w:val="24"/>
        </w:rPr>
        <w:t xml:space="preserve">  Information technology does not have a significant impact on burden reduction.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ab/>
        <w:t xml:space="preserve">4.  Describe efforts to identify duplication. 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There is no duplication because the information requested is not required by any other</w:t>
      </w:r>
      <w:r w:rsidR="00CB6FC7">
        <w:rPr>
          <w:rFonts w:ascii="Times New Roman" w:eastAsia="MS Mincho" w:hAnsi="Times New Roman" w:cs="Times New Roman"/>
          <w:sz w:val="24"/>
        </w:rPr>
        <w:t xml:space="preserve">     source or for any other purpose but for the two audits.</w:t>
      </w:r>
      <w:r>
        <w:rPr>
          <w:rFonts w:ascii="Times New Roman" w:eastAsia="MS Mincho" w:hAnsi="Times New Roman" w:cs="Times New Roman"/>
          <w:sz w:val="24"/>
        </w:rPr>
        <w:t xml:space="preserve">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F059C8" w:rsidRDefault="00F059C8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firstLine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5.  Describe methods used to minimize burden on small business or other small entities.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Grantees are not </w:t>
      </w:r>
      <w:r w:rsidR="00CB6FC7">
        <w:rPr>
          <w:rFonts w:ascii="Times New Roman" w:eastAsia="MS Mincho" w:hAnsi="Times New Roman" w:cs="Times New Roman"/>
          <w:sz w:val="24"/>
        </w:rPr>
        <w:t xml:space="preserve">required </w:t>
      </w:r>
      <w:r>
        <w:rPr>
          <w:rFonts w:ascii="Times New Roman" w:eastAsia="MS Mincho" w:hAnsi="Times New Roman" w:cs="Times New Roman"/>
          <w:sz w:val="24"/>
        </w:rPr>
        <w:t xml:space="preserve">to verify the accuracy of the </w:t>
      </w:r>
      <w:r w:rsidR="00CB6FC7">
        <w:rPr>
          <w:rFonts w:ascii="Times New Roman" w:eastAsia="MS Mincho" w:hAnsi="Times New Roman" w:cs="Times New Roman"/>
          <w:sz w:val="24"/>
        </w:rPr>
        <w:t xml:space="preserve">data submitted by the </w:t>
      </w:r>
      <w:r>
        <w:rPr>
          <w:rFonts w:ascii="Times New Roman" w:eastAsia="MS Mincho" w:hAnsi="Times New Roman" w:cs="Times New Roman"/>
          <w:sz w:val="24"/>
        </w:rPr>
        <w:t>manufacturer</w:t>
      </w:r>
      <w:r w:rsidR="00E76933">
        <w:rPr>
          <w:rFonts w:ascii="Times New Roman" w:eastAsia="MS Mincho" w:hAnsi="Times New Roman" w:cs="Times New Roman"/>
          <w:sz w:val="24"/>
        </w:rPr>
        <w:t xml:space="preserve">’s </w:t>
      </w:r>
      <w:r w:rsidR="00CB6FC7">
        <w:rPr>
          <w:rFonts w:ascii="Times New Roman" w:eastAsia="MS Mincho" w:hAnsi="Times New Roman" w:cs="Times New Roman"/>
          <w:sz w:val="24"/>
        </w:rPr>
        <w:t xml:space="preserve">data absent an allegation of non-compliance.  </w:t>
      </w:r>
      <w:r>
        <w:rPr>
          <w:rFonts w:ascii="Times New Roman" w:eastAsia="MS Mincho" w:hAnsi="Times New Roman" w:cs="Times New Roman"/>
          <w:sz w:val="24"/>
        </w:rPr>
        <w:t>The reporting burden</w:t>
      </w:r>
      <w:r w:rsidR="00CB6FC7">
        <w:rPr>
          <w:rFonts w:ascii="Times New Roman" w:eastAsia="MS Mincho" w:hAnsi="Times New Roman" w:cs="Times New Roman"/>
          <w:sz w:val="24"/>
        </w:rPr>
        <w:t xml:space="preserve"> is limited to a review of the compliance certifications and supporting documentation.  This review process </w:t>
      </w:r>
      <w:r>
        <w:rPr>
          <w:rFonts w:ascii="Times New Roman" w:eastAsia="MS Mincho" w:hAnsi="Times New Roman" w:cs="Times New Roman"/>
          <w:sz w:val="24"/>
        </w:rPr>
        <w:t>is minimal and not expected to vary significantly among</w:t>
      </w:r>
      <w:r w:rsidR="00CB6FC7">
        <w:rPr>
          <w:rFonts w:ascii="Times New Roman" w:eastAsia="MS Mincho" w:hAnsi="Times New Roman" w:cs="Times New Roman"/>
          <w:sz w:val="24"/>
        </w:rPr>
        <w:t xml:space="preserve"> recipients</w:t>
      </w:r>
      <w:r>
        <w:rPr>
          <w:rFonts w:ascii="Times New Roman" w:eastAsia="MS Mincho" w:hAnsi="Times New Roman" w:cs="Times New Roman"/>
          <w:sz w:val="24"/>
        </w:rPr>
        <w:t>.</w:t>
      </w:r>
    </w:p>
    <w:p w:rsidR="00783A4B" w:rsidRDefault="00783A4B">
      <w:pPr>
        <w:pStyle w:val="PlainText"/>
        <w:ind w:left="1080"/>
        <w:rPr>
          <w:rFonts w:ascii="Times New Roman" w:eastAsia="MS Mincho" w:hAnsi="Times New Roman" w:cs="Times New Roman"/>
          <w:sz w:val="24"/>
        </w:rPr>
      </w:pPr>
    </w:p>
    <w:p w:rsidR="00783A4B" w:rsidRDefault="00F059C8" w:rsidP="00CB6FC7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6.  Consequences to </w:t>
      </w:r>
      <w:r w:rsidR="00E76933">
        <w:rPr>
          <w:rFonts w:ascii="Times New Roman" w:eastAsia="MS Mincho" w:hAnsi="Times New Roman" w:cs="Times New Roman"/>
          <w:sz w:val="24"/>
        </w:rPr>
        <w:t xml:space="preserve">the </w:t>
      </w:r>
      <w:r>
        <w:rPr>
          <w:rFonts w:ascii="Times New Roman" w:eastAsia="MS Mincho" w:hAnsi="Times New Roman" w:cs="Times New Roman"/>
          <w:sz w:val="24"/>
        </w:rPr>
        <w:t>f</w:t>
      </w:r>
      <w:r w:rsidR="00783A4B">
        <w:rPr>
          <w:rFonts w:ascii="Times New Roman" w:eastAsia="MS Mincho" w:hAnsi="Times New Roman" w:cs="Times New Roman"/>
          <w:sz w:val="24"/>
        </w:rPr>
        <w:t>ederal program or policy activities if collection were conducted less frequently.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To comply with </w:t>
      </w:r>
      <w:r w:rsidR="00CB6FC7">
        <w:rPr>
          <w:rFonts w:ascii="Times New Roman" w:eastAsia="MS Mincho" w:hAnsi="Times New Roman" w:cs="Times New Roman"/>
          <w:sz w:val="24"/>
        </w:rPr>
        <w:t xml:space="preserve">statutory </w:t>
      </w:r>
      <w:r>
        <w:rPr>
          <w:rFonts w:ascii="Times New Roman" w:eastAsia="MS Mincho" w:hAnsi="Times New Roman" w:cs="Times New Roman"/>
          <w:sz w:val="24"/>
        </w:rPr>
        <w:t xml:space="preserve">Buy America </w:t>
      </w:r>
      <w:r w:rsidR="00CB6FC7">
        <w:rPr>
          <w:rFonts w:ascii="Times New Roman" w:eastAsia="MS Mincho" w:hAnsi="Times New Roman" w:cs="Times New Roman"/>
          <w:sz w:val="24"/>
        </w:rPr>
        <w:t>requirements, the</w:t>
      </w:r>
      <w:r>
        <w:rPr>
          <w:rFonts w:ascii="Times New Roman" w:eastAsia="MS Mincho" w:hAnsi="Times New Roman" w:cs="Times New Roman"/>
          <w:sz w:val="24"/>
        </w:rPr>
        <w:t xml:space="preserve"> information </w:t>
      </w:r>
      <w:r w:rsidR="00CB6FC7">
        <w:rPr>
          <w:rFonts w:ascii="Times New Roman" w:eastAsia="MS Mincho" w:hAnsi="Times New Roman" w:cs="Times New Roman"/>
          <w:sz w:val="24"/>
        </w:rPr>
        <w:t>must be collected</w:t>
      </w:r>
      <w:r w:rsidR="00C433D6">
        <w:rPr>
          <w:rFonts w:ascii="Times New Roman" w:eastAsia="MS Mincho" w:hAnsi="Times New Roman" w:cs="Times New Roman"/>
          <w:sz w:val="24"/>
        </w:rPr>
        <w:t xml:space="preserve"> every time a recipient of FTA funds procures rolling stock.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 w:rsidP="00C433D6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7.  Special circumstances that would cause an information collection to be conducted in a manner inconsistent with the guidelines in 5 CFR 1320.6.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The collection is consistent with 5 CFR 1320.6.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firstLine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8.  Efforts to consult with persons outside the agency to obtain their views.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A 60-day Federal Register </w:t>
      </w:r>
      <w:r w:rsidR="00EA4822">
        <w:rPr>
          <w:rFonts w:ascii="Times New Roman" w:eastAsia="MS Mincho" w:hAnsi="Times New Roman" w:cs="Times New Roman"/>
          <w:sz w:val="24"/>
        </w:rPr>
        <w:t>n</w:t>
      </w:r>
      <w:r>
        <w:rPr>
          <w:rFonts w:ascii="Times New Roman" w:eastAsia="MS Mincho" w:hAnsi="Times New Roman" w:cs="Times New Roman"/>
          <w:sz w:val="24"/>
        </w:rPr>
        <w:t xml:space="preserve">otice was published on </w:t>
      </w:r>
      <w:r w:rsidR="00E76933">
        <w:rPr>
          <w:rFonts w:ascii="Times New Roman" w:eastAsia="MS Mincho" w:hAnsi="Times New Roman" w:cs="Times New Roman"/>
          <w:sz w:val="24"/>
        </w:rPr>
        <w:t xml:space="preserve">September 2, 2010 </w:t>
      </w:r>
      <w:r>
        <w:rPr>
          <w:rFonts w:ascii="Times New Roman" w:eastAsia="MS Mincho" w:hAnsi="Times New Roman" w:cs="Times New Roman"/>
          <w:sz w:val="24"/>
        </w:rPr>
        <w:t xml:space="preserve">(pages </w:t>
      </w:r>
      <w:r w:rsidR="00EA4822">
        <w:rPr>
          <w:rFonts w:ascii="Times New Roman" w:eastAsia="MS Mincho" w:hAnsi="Times New Roman" w:cs="Times New Roman"/>
          <w:sz w:val="24"/>
        </w:rPr>
        <w:t>5</w:t>
      </w:r>
      <w:r w:rsidR="00E76933">
        <w:rPr>
          <w:rFonts w:ascii="Times New Roman" w:eastAsia="MS Mincho" w:hAnsi="Times New Roman" w:cs="Times New Roman"/>
          <w:sz w:val="24"/>
        </w:rPr>
        <w:t>3</w:t>
      </w:r>
      <w:r w:rsidR="00EA4822">
        <w:rPr>
          <w:rFonts w:ascii="Times New Roman" w:eastAsia="MS Mincho" w:hAnsi="Times New Roman" w:cs="Times New Roman"/>
          <w:sz w:val="24"/>
        </w:rPr>
        <w:t>9</w:t>
      </w:r>
      <w:r w:rsidR="00E76933">
        <w:rPr>
          <w:rFonts w:ascii="Times New Roman" w:eastAsia="MS Mincho" w:hAnsi="Times New Roman" w:cs="Times New Roman"/>
          <w:sz w:val="24"/>
        </w:rPr>
        <w:t>99</w:t>
      </w:r>
    </w:p>
    <w:p w:rsidR="00783A4B" w:rsidRDefault="00E76933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and </w:t>
      </w:r>
      <w:r w:rsidR="00EA4822">
        <w:rPr>
          <w:rFonts w:ascii="Times New Roman" w:eastAsia="MS Mincho" w:hAnsi="Times New Roman" w:cs="Times New Roman"/>
          <w:sz w:val="24"/>
        </w:rPr>
        <w:t>54</w:t>
      </w:r>
      <w:r>
        <w:rPr>
          <w:rFonts w:ascii="Times New Roman" w:eastAsia="MS Mincho" w:hAnsi="Times New Roman" w:cs="Times New Roman"/>
          <w:sz w:val="24"/>
        </w:rPr>
        <w:t>000</w:t>
      </w:r>
      <w:r w:rsidR="00783A4B">
        <w:rPr>
          <w:rFonts w:ascii="Times New Roman" w:eastAsia="MS Mincho" w:hAnsi="Times New Roman" w:cs="Times New Roman"/>
          <w:sz w:val="24"/>
        </w:rPr>
        <w:t xml:space="preserve">), soliciting comments prior to submission to the Office of Management and </w:t>
      </w:r>
    </w:p>
    <w:p w:rsidR="00E76933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Budget (OMB).  </w:t>
      </w:r>
      <w:r w:rsidR="00E76933">
        <w:rPr>
          <w:rFonts w:ascii="Times New Roman" w:eastAsia="MS Mincho" w:hAnsi="Times New Roman" w:cs="Times New Roman"/>
          <w:sz w:val="24"/>
        </w:rPr>
        <w:t xml:space="preserve">No comments were received in response to that notice.  A 30-day </w:t>
      </w:r>
    </w:p>
    <w:p w:rsidR="007166F6" w:rsidRDefault="00E76933" w:rsidP="003B1B45">
      <w:pPr>
        <w:pStyle w:val="PlainText"/>
        <w:ind w:left="720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>Federal Register no</w:t>
      </w:r>
      <w:r w:rsidR="003B1B45">
        <w:rPr>
          <w:rFonts w:ascii="Times New Roman" w:eastAsia="MS Mincho" w:hAnsi="Times New Roman" w:cs="Times New Roman"/>
          <w:sz w:val="24"/>
        </w:rPr>
        <w:t>tice was published on December 8</w:t>
      </w:r>
      <w:r>
        <w:rPr>
          <w:rFonts w:ascii="Times New Roman" w:eastAsia="MS Mincho" w:hAnsi="Times New Roman" w:cs="Times New Roman"/>
          <w:sz w:val="24"/>
        </w:rPr>
        <w:t xml:space="preserve">, 2010 (pages </w:t>
      </w:r>
      <w:r w:rsidR="003B1B45">
        <w:rPr>
          <w:rFonts w:ascii="Times New Roman" w:eastAsia="MS Mincho" w:hAnsi="Times New Roman" w:cs="Times New Roman"/>
          <w:sz w:val="24"/>
        </w:rPr>
        <w:t>76517 and 76518).</w:t>
      </w:r>
      <w:r w:rsidR="007166F6" w:rsidRPr="00CB1907">
        <w:rPr>
          <w:rFonts w:ascii="Times New Roman" w:hAnsi="Times New Roman" w:cs="Times New Roman"/>
        </w:rPr>
        <w:t xml:space="preserve">  </w:t>
      </w:r>
    </w:p>
    <w:p w:rsidR="00693610" w:rsidRDefault="00693610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3B1B45" w:rsidRDefault="004E2501" w:rsidP="007A5598">
      <w:pPr>
        <w:pStyle w:val="PlainText"/>
        <w:ind w:left="99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 xml:space="preserve">9.  Explain any decision to provide any payment or </w:t>
      </w:r>
      <w:r w:rsidR="00CB6FC7">
        <w:rPr>
          <w:rFonts w:ascii="Times New Roman" w:eastAsia="MS Mincho" w:hAnsi="Times New Roman" w:cs="Times New Roman"/>
          <w:sz w:val="24"/>
        </w:rPr>
        <w:t>gift to respondents, other than</w:t>
      </w:r>
      <w:r w:rsidR="003B1B45">
        <w:rPr>
          <w:rFonts w:ascii="Times New Roman" w:eastAsia="MS Mincho" w:hAnsi="Times New Roman" w:cs="Times New Roman"/>
          <w:sz w:val="24"/>
        </w:rPr>
        <w:t xml:space="preserve">   </w:t>
      </w:r>
    </w:p>
    <w:p w:rsidR="00783A4B" w:rsidRDefault="004E2501" w:rsidP="007A5598">
      <w:pPr>
        <w:pStyle w:val="PlainText"/>
        <w:ind w:left="99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>remuneration of contractors or grantees.</w:t>
      </w:r>
    </w:p>
    <w:p w:rsidR="003B1B45" w:rsidRDefault="003B1B45" w:rsidP="003B1B45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</w:p>
    <w:p w:rsidR="00783A4B" w:rsidRDefault="003B1B45" w:rsidP="003B1B45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>No gifts or payments are made to respondents.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95374" w:rsidRDefault="00195374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95374" w:rsidRDefault="00195374" w:rsidP="00195374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-2-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 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10.  Describe any assurance of confidentiality provided to respondents.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3C716A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 xml:space="preserve">The </w:t>
      </w:r>
      <w:r w:rsidR="00630C7C">
        <w:rPr>
          <w:rFonts w:ascii="Times New Roman" w:eastAsia="MS Mincho" w:hAnsi="Times New Roman" w:cs="Times New Roman"/>
          <w:sz w:val="24"/>
        </w:rPr>
        <w:t xml:space="preserve">Buy America </w:t>
      </w:r>
      <w:r w:rsidR="00783A4B">
        <w:rPr>
          <w:rFonts w:ascii="Times New Roman" w:eastAsia="MS Mincho" w:hAnsi="Times New Roman" w:cs="Times New Roman"/>
          <w:sz w:val="24"/>
        </w:rPr>
        <w:t xml:space="preserve">certification form </w:t>
      </w:r>
      <w:r w:rsidR="00630C7C">
        <w:rPr>
          <w:rFonts w:ascii="Times New Roman" w:eastAsia="MS Mincho" w:hAnsi="Times New Roman" w:cs="Times New Roman"/>
          <w:sz w:val="24"/>
        </w:rPr>
        <w:t xml:space="preserve">does not require the disclosure of </w:t>
      </w:r>
      <w:r w:rsidR="00783A4B">
        <w:rPr>
          <w:rFonts w:ascii="Times New Roman" w:eastAsia="MS Mincho" w:hAnsi="Times New Roman" w:cs="Times New Roman"/>
          <w:sz w:val="24"/>
        </w:rPr>
        <w:t xml:space="preserve">any confidential </w:t>
      </w:r>
    </w:p>
    <w:p w:rsidR="003C716A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  </w:t>
      </w:r>
      <w:r w:rsidR="00783A4B">
        <w:rPr>
          <w:rFonts w:ascii="Times New Roman" w:eastAsia="MS Mincho" w:hAnsi="Times New Roman" w:cs="Times New Roman"/>
          <w:sz w:val="24"/>
        </w:rPr>
        <w:t xml:space="preserve">information.  It is a </w:t>
      </w:r>
      <w:r w:rsidR="00630C7C">
        <w:rPr>
          <w:rFonts w:ascii="Times New Roman" w:eastAsia="MS Mincho" w:hAnsi="Times New Roman" w:cs="Times New Roman"/>
          <w:sz w:val="24"/>
        </w:rPr>
        <w:t>certification of</w:t>
      </w:r>
      <w:r w:rsidR="00783A4B">
        <w:rPr>
          <w:rFonts w:ascii="Times New Roman" w:eastAsia="MS Mincho" w:hAnsi="Times New Roman" w:cs="Times New Roman"/>
          <w:sz w:val="24"/>
        </w:rPr>
        <w:t xml:space="preserve"> compliance with the requirements. </w:t>
      </w:r>
      <w:r w:rsidR="00630C7C">
        <w:rPr>
          <w:rFonts w:ascii="Times New Roman" w:eastAsia="MS Mincho" w:hAnsi="Times New Roman" w:cs="Times New Roman"/>
          <w:sz w:val="24"/>
        </w:rPr>
        <w:t xml:space="preserve">The audit documents </w:t>
      </w:r>
    </w:p>
    <w:p w:rsidR="003C716A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   </w:t>
      </w:r>
      <w:r w:rsidR="00630C7C">
        <w:rPr>
          <w:rFonts w:ascii="Times New Roman" w:eastAsia="MS Mincho" w:hAnsi="Times New Roman" w:cs="Times New Roman"/>
          <w:sz w:val="24"/>
        </w:rPr>
        <w:t xml:space="preserve">must provide country-of-origin information sufficient to demonstrate that at least 60% of the </w:t>
      </w:r>
    </w:p>
    <w:p w:rsidR="004E2501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 w:rsidR="00630C7C">
        <w:rPr>
          <w:rFonts w:ascii="Times New Roman" w:eastAsia="MS Mincho" w:hAnsi="Times New Roman" w:cs="Times New Roman"/>
          <w:sz w:val="24"/>
        </w:rPr>
        <w:t xml:space="preserve">vehicles’ components, by cost, are manufactured in the United States.  </w:t>
      </w:r>
      <w:r w:rsidR="00A0503E">
        <w:rPr>
          <w:rFonts w:ascii="Times New Roman" w:eastAsia="MS Mincho" w:hAnsi="Times New Roman" w:cs="Times New Roman"/>
          <w:sz w:val="24"/>
        </w:rPr>
        <w:t>Since</w:t>
      </w:r>
      <w:r w:rsidR="00630C7C">
        <w:rPr>
          <w:rFonts w:ascii="Times New Roman" w:eastAsia="MS Mincho" w:hAnsi="Times New Roman" w:cs="Times New Roman"/>
          <w:sz w:val="24"/>
        </w:rPr>
        <w:t xml:space="preserve"> FTA does </w:t>
      </w:r>
    </w:p>
    <w:p w:rsidR="004E2501" w:rsidRDefault="004E2501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</w:t>
      </w:r>
      <w:r w:rsidR="00630C7C">
        <w:rPr>
          <w:rFonts w:ascii="Times New Roman" w:eastAsia="MS Mincho" w:hAnsi="Times New Roman" w:cs="Times New Roman"/>
          <w:sz w:val="24"/>
        </w:rPr>
        <w:t xml:space="preserve">not take physical possession of the audit documents, they are not subject to FOIA, and FTA </w:t>
      </w:r>
    </w:p>
    <w:p w:rsidR="00783A4B" w:rsidRDefault="004E2501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</w:t>
      </w:r>
      <w:r w:rsidR="00630C7C">
        <w:rPr>
          <w:rFonts w:ascii="Times New Roman" w:eastAsia="MS Mincho" w:hAnsi="Times New Roman" w:cs="Times New Roman"/>
          <w:sz w:val="24"/>
        </w:rPr>
        <w:t xml:space="preserve">does not require recipients to release the contents to third parties.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 11.  Provide additional justification for any questions of a sensitive nature.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3C716A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>There are no questions of a sensitive nature.</w:t>
      </w:r>
    </w:p>
    <w:p w:rsidR="003C716A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A442AB" w:rsidP="00A442AB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12.</w:t>
      </w:r>
      <w:r w:rsidR="004E2501"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 xml:space="preserve"> Provide estimate of the hour burden of the information collection and annualized cost to </w:t>
      </w:r>
    </w:p>
    <w:p w:rsidR="00783A4B" w:rsidRDefault="003C716A" w:rsidP="003C716A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</w:t>
      </w:r>
      <w:r w:rsidR="00A442A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630C7C">
        <w:rPr>
          <w:rFonts w:ascii="Times New Roman" w:eastAsia="MS Mincho" w:hAnsi="Times New Roman" w:cs="Times New Roman"/>
          <w:sz w:val="24"/>
        </w:rPr>
        <w:t>respondents.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783A4B" w:rsidRDefault="00783A4B" w:rsidP="00304AC9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  <w:u w:val="single"/>
        </w:rPr>
        <w:t>The hourly burden</w:t>
      </w:r>
      <w:r>
        <w:rPr>
          <w:rFonts w:ascii="Times New Roman" w:eastAsia="MS Mincho" w:hAnsi="Times New Roman" w:cs="Times New Roman"/>
          <w:sz w:val="24"/>
        </w:rPr>
        <w:tab/>
      </w:r>
    </w:p>
    <w:p w:rsidR="00783A4B" w:rsidRDefault="00783A4B">
      <w:pPr>
        <w:pStyle w:val="PlainText"/>
        <w:tabs>
          <w:tab w:val="left" w:pos="1080"/>
        </w:tabs>
        <w:ind w:left="1080"/>
        <w:rPr>
          <w:rFonts w:ascii="Times New Roman" w:eastAsia="MS Mincho" w:hAnsi="Times New Roman" w:cs="Times New Roman"/>
          <w:sz w:val="24"/>
        </w:rPr>
      </w:pPr>
    </w:p>
    <w:p w:rsidR="007A5598" w:rsidRDefault="00783A4B" w:rsidP="007A5598">
      <w:pPr>
        <w:pStyle w:val="PlainText"/>
        <w:tabs>
          <w:tab w:val="left" w:pos="117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The burden for the Pre-Award/Post-Delivery certification is approximately 10 minutes and for the Pre-Award and Post-Delivery procurement certifications an hour each, for </w:t>
      </w:r>
      <w:r w:rsidR="00630C7C">
        <w:rPr>
          <w:rFonts w:ascii="Times New Roman" w:eastAsia="MS Mincho" w:hAnsi="Times New Roman" w:cs="Times New Roman"/>
          <w:sz w:val="24"/>
        </w:rPr>
        <w:t xml:space="preserve">a </w:t>
      </w:r>
      <w:r>
        <w:rPr>
          <w:rFonts w:ascii="Times New Roman" w:eastAsia="MS Mincho" w:hAnsi="Times New Roman" w:cs="Times New Roman"/>
          <w:sz w:val="24"/>
        </w:rPr>
        <w:t xml:space="preserve">total </w:t>
      </w:r>
      <w:r w:rsidR="00C433D6">
        <w:rPr>
          <w:rFonts w:ascii="Times New Roman" w:eastAsia="MS Mincho" w:hAnsi="Times New Roman" w:cs="Times New Roman"/>
          <w:sz w:val="24"/>
        </w:rPr>
        <w:t>of 2.16</w:t>
      </w:r>
      <w:r>
        <w:rPr>
          <w:rFonts w:ascii="Times New Roman" w:eastAsia="MS Mincho" w:hAnsi="Times New Roman" w:cs="Times New Roman"/>
          <w:sz w:val="24"/>
        </w:rPr>
        <w:t xml:space="preserve"> hours (2.16 x 700 procurements = 1,512 hours).</w:t>
      </w:r>
    </w:p>
    <w:p w:rsidR="007166F6" w:rsidRDefault="00783A4B" w:rsidP="007A5598">
      <w:pPr>
        <w:pStyle w:val="PlainText"/>
        <w:tabs>
          <w:tab w:val="left" w:pos="117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    </w:t>
      </w:r>
    </w:p>
    <w:p w:rsidR="00783A4B" w:rsidRDefault="00783A4B" w:rsidP="007A5598">
      <w:pPr>
        <w:pStyle w:val="PlainText"/>
        <w:tabs>
          <w:tab w:val="left" w:pos="117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The recordkeeping burden per procurement is approximately 10 minutes (.16 hours x 700 procurements = 112 hours).  In addition, manufacturers submit information to the grantees on their Buy America breakout which takes approximately</w:t>
      </w:r>
      <w:r w:rsidR="00630C7C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1.66 hours to review (1.66 hours x 700 procurements = 1,162 hours).  The reviews could take up to 3 hours if the manufacturers have to be contacted because they did not submit adequate information.  The total annual burden is estimated as follows: </w:t>
      </w:r>
    </w:p>
    <w:p w:rsidR="00630C7C" w:rsidRDefault="00630C7C" w:rsidP="007A5598">
      <w:pPr>
        <w:pStyle w:val="PlainText"/>
        <w:tabs>
          <w:tab w:val="left" w:pos="1170"/>
        </w:tabs>
        <w:ind w:left="1080"/>
        <w:rPr>
          <w:rFonts w:ascii="Times New Roman" w:eastAsia="MS Mincho" w:hAnsi="Times New Roman" w:cs="Times New Roman"/>
          <w:sz w:val="24"/>
        </w:rPr>
      </w:pPr>
    </w:p>
    <w:p w:rsidR="00693610" w:rsidRDefault="00783A4B" w:rsidP="007A5598">
      <w:pPr>
        <w:pStyle w:val="PlainText"/>
        <w:tabs>
          <w:tab w:val="left" w:pos="117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1,512 hours (certifications) + 112 hours (recordkeep</w:t>
      </w:r>
      <w:r w:rsidR="00630C7C">
        <w:rPr>
          <w:rFonts w:ascii="Times New Roman" w:eastAsia="MS Mincho" w:hAnsi="Times New Roman" w:cs="Times New Roman"/>
          <w:sz w:val="24"/>
        </w:rPr>
        <w:t xml:space="preserve">ing) + 1,162 hours (Buy America </w:t>
      </w:r>
      <w:r>
        <w:rPr>
          <w:rFonts w:ascii="Times New Roman" w:eastAsia="MS Mincho" w:hAnsi="Times New Roman" w:cs="Times New Roman"/>
          <w:sz w:val="24"/>
        </w:rPr>
        <w:t>reviews) = 2,786 hours.</w:t>
      </w:r>
    </w:p>
    <w:p w:rsidR="00783A4B" w:rsidRDefault="00783A4B">
      <w:pPr>
        <w:pStyle w:val="PlainText"/>
        <w:tabs>
          <w:tab w:val="left" w:pos="1080"/>
        </w:tabs>
        <w:ind w:left="1080"/>
        <w:rPr>
          <w:rFonts w:ascii="Times New Roman" w:eastAsia="MS Mincho" w:hAnsi="Times New Roman" w:cs="Times New Roman"/>
          <w:sz w:val="24"/>
        </w:rPr>
      </w:pPr>
    </w:p>
    <w:p w:rsidR="00783A4B" w:rsidRPr="00FF3B2E" w:rsidRDefault="00FF3B2E" w:rsidP="00FF3B2E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sz w:val="24"/>
          <w:u w:val="single"/>
        </w:rPr>
      </w:pPr>
      <w:r w:rsidRPr="00FF3B2E">
        <w:rPr>
          <w:rFonts w:ascii="Times New Roman" w:eastAsia="MS Mincho" w:hAnsi="Times New Roman" w:cs="Times New Roman"/>
          <w:sz w:val="24"/>
        </w:rPr>
        <w:t xml:space="preserve"> </w:t>
      </w:r>
      <w:r w:rsidR="00783A4B" w:rsidRPr="00FF3B2E">
        <w:rPr>
          <w:rFonts w:ascii="Times New Roman" w:eastAsia="MS Mincho" w:hAnsi="Times New Roman" w:cs="Times New Roman"/>
          <w:sz w:val="24"/>
          <w:u w:val="single"/>
        </w:rPr>
        <w:t>Estimated annual cost</w:t>
      </w:r>
    </w:p>
    <w:p w:rsidR="00783A4B" w:rsidRDefault="00783A4B">
      <w:pPr>
        <w:pStyle w:val="PlainText"/>
        <w:ind w:left="1440" w:firstLine="360"/>
        <w:rPr>
          <w:rFonts w:ascii="Times New Roman" w:eastAsia="MS Mincho" w:hAnsi="Times New Roman" w:cs="Times New Roman"/>
          <w:sz w:val="24"/>
        </w:rPr>
      </w:pPr>
    </w:p>
    <w:p w:rsidR="00884B44" w:rsidRDefault="00884B44" w:rsidP="00884B44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     </w:t>
      </w:r>
      <w:r w:rsidR="00783A4B">
        <w:rPr>
          <w:rFonts w:ascii="Times New Roman" w:eastAsia="MS Mincho" w:hAnsi="Times New Roman" w:cs="Times New Roman"/>
          <w:sz w:val="24"/>
        </w:rPr>
        <w:t xml:space="preserve">Using a rate of $36.50 for an hourly rate to the grantee, the </w:t>
      </w:r>
      <w:r w:rsidR="00630C7C">
        <w:rPr>
          <w:rFonts w:ascii="Times New Roman" w:eastAsia="MS Mincho" w:hAnsi="Times New Roman" w:cs="Times New Roman"/>
          <w:sz w:val="24"/>
        </w:rPr>
        <w:t xml:space="preserve">total annual cost is </w:t>
      </w:r>
      <w:r w:rsidR="00783A4B">
        <w:rPr>
          <w:rFonts w:ascii="Times New Roman" w:eastAsia="MS Mincho" w:hAnsi="Times New Roman" w:cs="Times New Roman"/>
          <w:sz w:val="24"/>
        </w:rPr>
        <w:t xml:space="preserve">estimated </w:t>
      </w:r>
    </w:p>
    <w:p w:rsidR="00783A4B" w:rsidRDefault="00884B44" w:rsidP="00884B44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      </w:t>
      </w:r>
      <w:r w:rsidR="00783A4B">
        <w:rPr>
          <w:rFonts w:ascii="Times New Roman" w:eastAsia="MS Mincho" w:hAnsi="Times New Roman" w:cs="Times New Roman"/>
          <w:sz w:val="24"/>
        </w:rPr>
        <w:t>to be $101,689 ($36.50 x 2,786 hours).</w:t>
      </w:r>
    </w:p>
    <w:p w:rsidR="00783A4B" w:rsidRDefault="00783A4B">
      <w:pPr>
        <w:pStyle w:val="PlainText"/>
        <w:ind w:left="1080"/>
        <w:rPr>
          <w:rFonts w:ascii="Times New Roman" w:eastAsia="MS Mincho" w:hAnsi="Times New Roman" w:cs="Times New Roman"/>
          <w:sz w:val="24"/>
        </w:rPr>
      </w:pPr>
    </w:p>
    <w:p w:rsidR="008D01F4" w:rsidRDefault="00304AC9" w:rsidP="00304AC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</w:t>
      </w:r>
      <w:r w:rsidR="00783A4B">
        <w:rPr>
          <w:rFonts w:ascii="Times New Roman" w:eastAsia="MS Mincho" w:hAnsi="Times New Roman" w:cs="Times New Roman"/>
          <w:sz w:val="24"/>
        </w:rPr>
        <w:t xml:space="preserve"> 13. </w:t>
      </w:r>
      <w:r w:rsidR="00FF3B2E">
        <w:rPr>
          <w:rFonts w:ascii="Times New Roman" w:eastAsia="MS Mincho" w:hAnsi="Times New Roman" w:cs="Times New Roman"/>
          <w:sz w:val="24"/>
        </w:rPr>
        <w:t xml:space="preserve"> </w:t>
      </w:r>
      <w:r w:rsidR="00783A4B">
        <w:rPr>
          <w:rFonts w:ascii="Times New Roman" w:eastAsia="MS Mincho" w:hAnsi="Times New Roman" w:cs="Times New Roman"/>
          <w:sz w:val="24"/>
        </w:rPr>
        <w:t xml:space="preserve">Estimate of total annual cost burden to respondents or recordkeepers resulting from the   </w:t>
      </w:r>
    </w:p>
    <w:p w:rsidR="008D01F4" w:rsidRDefault="008D01F4" w:rsidP="00304AC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</w:t>
      </w:r>
      <w:r w:rsidR="00783A4B">
        <w:rPr>
          <w:rFonts w:ascii="Times New Roman" w:eastAsia="MS Mincho" w:hAnsi="Times New Roman" w:cs="Times New Roman"/>
          <w:sz w:val="24"/>
        </w:rPr>
        <w:t xml:space="preserve">    collection of information (not including the cost of any hour burden shown in Items 12       </w:t>
      </w:r>
    </w:p>
    <w:p w:rsidR="00783A4B" w:rsidRDefault="008D01F4" w:rsidP="00304AC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</w:t>
      </w:r>
      <w:r w:rsidR="00783A4B">
        <w:rPr>
          <w:rFonts w:ascii="Times New Roman" w:eastAsia="MS Mincho" w:hAnsi="Times New Roman" w:cs="Times New Roman"/>
          <w:sz w:val="24"/>
        </w:rPr>
        <w:t>and 14).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A07559" w:rsidP="00A0755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</w:t>
      </w:r>
      <w:r w:rsidR="00783A4B">
        <w:rPr>
          <w:rFonts w:ascii="Times New Roman" w:eastAsia="MS Mincho" w:hAnsi="Times New Roman" w:cs="Times New Roman"/>
          <w:sz w:val="24"/>
        </w:rPr>
        <w:t xml:space="preserve">There are no additional costs beyond that shown in Items 12 and 14. </w:t>
      </w:r>
    </w:p>
    <w:p w:rsidR="00195374" w:rsidRDefault="00195374" w:rsidP="00A07559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95374" w:rsidRDefault="00195374" w:rsidP="00A07559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95374" w:rsidRDefault="00195374" w:rsidP="00A07559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195374" w:rsidP="00195374">
      <w:pPr>
        <w:pStyle w:val="PlainText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-3-</w:t>
      </w:r>
    </w:p>
    <w:p w:rsidR="00783A4B" w:rsidRDefault="00783A4B">
      <w:pPr>
        <w:pStyle w:val="PlainText"/>
        <w:ind w:firstLine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14.  Estimates of annualized cost to the </w:t>
      </w:r>
      <w:r w:rsidR="00060539">
        <w:rPr>
          <w:rFonts w:ascii="Times New Roman" w:eastAsia="MS Mincho" w:hAnsi="Times New Roman" w:cs="Times New Roman"/>
          <w:sz w:val="24"/>
        </w:rPr>
        <w:t>f</w:t>
      </w:r>
      <w:r>
        <w:rPr>
          <w:rFonts w:ascii="Times New Roman" w:eastAsia="MS Mincho" w:hAnsi="Times New Roman" w:cs="Times New Roman"/>
          <w:sz w:val="24"/>
        </w:rPr>
        <w:t xml:space="preserve">ederal </w:t>
      </w:r>
      <w:r w:rsidR="00060539">
        <w:rPr>
          <w:rFonts w:ascii="Times New Roman" w:eastAsia="MS Mincho" w:hAnsi="Times New Roman" w:cs="Times New Roman"/>
          <w:sz w:val="24"/>
        </w:rPr>
        <w:t>g</w:t>
      </w:r>
      <w:r>
        <w:rPr>
          <w:rFonts w:ascii="Times New Roman" w:eastAsia="MS Mincho" w:hAnsi="Times New Roman" w:cs="Times New Roman"/>
          <w:sz w:val="24"/>
        </w:rPr>
        <w:t>overnment.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A07559" w:rsidRDefault="00A07559" w:rsidP="00A0755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</w:t>
      </w:r>
      <w:r w:rsidR="00783A4B">
        <w:rPr>
          <w:rFonts w:ascii="Times New Roman" w:eastAsia="MS Mincho" w:hAnsi="Times New Roman" w:cs="Times New Roman"/>
          <w:sz w:val="24"/>
        </w:rPr>
        <w:t xml:space="preserve">There is no estimated annual cost to the </w:t>
      </w:r>
      <w:r w:rsidR="00060539">
        <w:rPr>
          <w:rFonts w:ascii="Times New Roman" w:eastAsia="MS Mincho" w:hAnsi="Times New Roman" w:cs="Times New Roman"/>
          <w:sz w:val="24"/>
        </w:rPr>
        <w:t>f</w:t>
      </w:r>
      <w:r w:rsidR="00783A4B">
        <w:rPr>
          <w:rFonts w:ascii="Times New Roman" w:eastAsia="MS Mincho" w:hAnsi="Times New Roman" w:cs="Times New Roman"/>
          <w:sz w:val="24"/>
        </w:rPr>
        <w:t xml:space="preserve">ederal </w:t>
      </w:r>
      <w:r w:rsidR="00060539">
        <w:rPr>
          <w:rFonts w:ascii="Times New Roman" w:eastAsia="MS Mincho" w:hAnsi="Times New Roman" w:cs="Times New Roman"/>
          <w:sz w:val="24"/>
        </w:rPr>
        <w:t>g</w:t>
      </w:r>
      <w:r w:rsidR="00783A4B">
        <w:rPr>
          <w:rFonts w:ascii="Times New Roman" w:eastAsia="MS Mincho" w:hAnsi="Times New Roman" w:cs="Times New Roman"/>
          <w:sz w:val="24"/>
        </w:rPr>
        <w:t xml:space="preserve">overnment.  Neither FTA nor any other </w:t>
      </w:r>
    </w:p>
    <w:p w:rsidR="00783A4B" w:rsidRDefault="00A07559" w:rsidP="00A0755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</w:t>
      </w:r>
      <w:r w:rsidR="00060539">
        <w:rPr>
          <w:rFonts w:ascii="Times New Roman" w:eastAsia="MS Mincho" w:hAnsi="Times New Roman" w:cs="Times New Roman"/>
          <w:sz w:val="24"/>
        </w:rPr>
        <w:t>f</w:t>
      </w:r>
      <w:r w:rsidR="00783A4B">
        <w:rPr>
          <w:rFonts w:ascii="Times New Roman" w:eastAsia="MS Mincho" w:hAnsi="Times New Roman" w:cs="Times New Roman"/>
          <w:sz w:val="24"/>
        </w:rPr>
        <w:t>ederal agency is required to review, receive, file, or retain certifications.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numPr>
          <w:ilvl w:val="0"/>
          <w:numId w:val="17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Explain the reasons for any program changes or adjustments reported in Items 13 or 14.</w:t>
      </w:r>
    </w:p>
    <w:p w:rsidR="00783A4B" w:rsidRDefault="00783A4B" w:rsidP="00A82BE4">
      <w:pPr>
        <w:pStyle w:val="PlainText"/>
        <w:ind w:left="1080"/>
        <w:rPr>
          <w:rFonts w:ascii="Times New Roman" w:eastAsia="MS Mincho" w:hAnsi="Times New Roman" w:cs="Times New Roman"/>
          <w:sz w:val="24"/>
        </w:rPr>
      </w:pPr>
    </w:p>
    <w:p w:rsidR="00783A4B" w:rsidRDefault="00A07559" w:rsidP="00A07559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</w:t>
      </w:r>
      <w:r w:rsidR="0098519E">
        <w:rPr>
          <w:rFonts w:ascii="Times New Roman" w:eastAsia="MS Mincho" w:hAnsi="Times New Roman" w:cs="Times New Roman"/>
          <w:sz w:val="24"/>
        </w:rPr>
        <w:t>There are no changes from the previous request</w:t>
      </w:r>
      <w:r w:rsidR="00783A4B">
        <w:rPr>
          <w:rFonts w:ascii="Times New Roman" w:eastAsia="MS Mincho" w:hAnsi="Times New Roman" w:cs="Times New Roman"/>
          <w:sz w:val="24"/>
        </w:rPr>
        <w:t>.</w:t>
      </w:r>
    </w:p>
    <w:p w:rsidR="00783A4B" w:rsidRDefault="00783A4B">
      <w:pPr>
        <w:pStyle w:val="PlainText"/>
        <w:ind w:left="1080"/>
        <w:rPr>
          <w:rFonts w:ascii="Times New Roman" w:eastAsia="MS Mincho" w:hAnsi="Times New Roman" w:cs="Times New Roman"/>
          <w:sz w:val="24"/>
        </w:rPr>
      </w:pPr>
    </w:p>
    <w:p w:rsidR="00A07559" w:rsidRDefault="00783A4B" w:rsidP="00630C7C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Plans for tabulation and publication for collections of information whose results will be</w:t>
      </w:r>
      <w:r w:rsidR="00630C7C">
        <w:rPr>
          <w:rFonts w:ascii="Times New Roman" w:eastAsia="MS Mincho" w:hAnsi="Times New Roman" w:cs="Times New Roman"/>
          <w:sz w:val="24"/>
        </w:rPr>
        <w:t xml:space="preserve"> </w:t>
      </w:r>
    </w:p>
    <w:p w:rsidR="00783A4B" w:rsidRPr="00630C7C" w:rsidRDefault="00630C7C" w:rsidP="00A07559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 w:rsidRPr="00630C7C">
        <w:rPr>
          <w:rFonts w:ascii="Times New Roman" w:eastAsia="MS Mincho" w:hAnsi="Times New Roman" w:cs="Times New Roman"/>
          <w:sz w:val="24"/>
        </w:rPr>
        <w:t>published.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1A7797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None of the information collected will be </w:t>
      </w:r>
      <w:r w:rsidR="00495D7D">
        <w:rPr>
          <w:rFonts w:ascii="Times New Roman" w:eastAsia="MS Mincho" w:hAnsi="Times New Roman" w:cs="Times New Roman"/>
          <w:sz w:val="24"/>
        </w:rPr>
        <w:t>used for</w:t>
      </w:r>
      <w:r>
        <w:rPr>
          <w:rFonts w:ascii="Times New Roman" w:eastAsia="MS Mincho" w:hAnsi="Times New Roman" w:cs="Times New Roman"/>
          <w:sz w:val="24"/>
        </w:rPr>
        <w:t xml:space="preserve"> statistical </w:t>
      </w:r>
      <w:r w:rsidR="00495D7D">
        <w:rPr>
          <w:rFonts w:ascii="Times New Roman" w:eastAsia="MS Mincho" w:hAnsi="Times New Roman" w:cs="Times New Roman"/>
          <w:sz w:val="24"/>
        </w:rPr>
        <w:t>purposes.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C156C3" w:rsidRDefault="00783A4B" w:rsidP="00630C7C">
      <w:pPr>
        <w:pStyle w:val="PlainText"/>
        <w:numPr>
          <w:ilvl w:val="0"/>
          <w:numId w:val="15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If seeking approval not to display the expiration date for OMB approval, explain the</w:t>
      </w:r>
      <w:r w:rsidR="00630C7C">
        <w:rPr>
          <w:rFonts w:ascii="Times New Roman" w:eastAsia="MS Mincho" w:hAnsi="Times New Roman" w:cs="Times New Roman"/>
          <w:sz w:val="24"/>
        </w:rPr>
        <w:t xml:space="preserve"> </w:t>
      </w:r>
    </w:p>
    <w:p w:rsidR="00783A4B" w:rsidRPr="00630C7C" w:rsidRDefault="00783A4B" w:rsidP="00C156C3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 w:rsidRPr="00630C7C">
        <w:rPr>
          <w:rFonts w:ascii="Times New Roman" w:eastAsia="MS Mincho" w:hAnsi="Times New Roman" w:cs="Times New Roman"/>
          <w:sz w:val="24"/>
        </w:rPr>
        <w:t>reasons.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 w:rsidP="00060539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There is no reason not to display the OMB approval.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327B2E" w:rsidRDefault="00783A4B" w:rsidP="00327B2E">
      <w:pPr>
        <w:pStyle w:val="PlainText"/>
        <w:numPr>
          <w:ilvl w:val="0"/>
          <w:numId w:val="15"/>
        </w:numPr>
        <w:tabs>
          <w:tab w:val="left" w:pos="117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Explain any exception to the certification statement indentified in Item 19 of OMB </w:t>
      </w:r>
    </w:p>
    <w:p w:rsidR="00783A4B" w:rsidRDefault="00783A4B" w:rsidP="00327B2E">
      <w:pPr>
        <w:pStyle w:val="PlainText"/>
        <w:tabs>
          <w:tab w:val="left" w:pos="1170"/>
        </w:tabs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Form 83-I.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No exceptions are stated.  </w:t>
      </w: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numPr>
          <w:ilvl w:val="0"/>
          <w:numId w:val="5"/>
        </w:numPr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  <w:u w:val="single"/>
        </w:rPr>
        <w:t>Collections of information employing statistical methods</w:t>
      </w:r>
      <w:r>
        <w:rPr>
          <w:rFonts w:ascii="Times New Roman" w:eastAsia="MS Mincho" w:hAnsi="Times New Roman" w:cs="Times New Roman"/>
          <w:sz w:val="24"/>
        </w:rPr>
        <w:t>.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783A4B" w:rsidRDefault="00783A4B">
      <w:pPr>
        <w:pStyle w:val="PlainText"/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Not applicable. </w:t>
      </w:r>
    </w:p>
    <w:p w:rsidR="00783A4B" w:rsidRDefault="00783A4B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A82BE4" w:rsidRDefault="00A82BE4">
      <w:pPr>
        <w:pStyle w:val="PlainText"/>
        <w:rPr>
          <w:rFonts w:ascii="Times New Roman" w:eastAsia="MS Mincho" w:hAnsi="Times New Roman" w:cs="Times New Roman"/>
          <w:sz w:val="24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A82BE4" w:rsidP="00A82BE4">
      <w:pPr>
        <w:rPr>
          <w:rFonts w:eastAsia="MS Mincho"/>
        </w:rPr>
      </w:pPr>
    </w:p>
    <w:p w:rsidR="00A82BE4" w:rsidRPr="00A82BE4" w:rsidRDefault="00195374" w:rsidP="00195374">
      <w:pPr>
        <w:jc w:val="center"/>
        <w:rPr>
          <w:rFonts w:eastAsia="MS Mincho"/>
        </w:rPr>
      </w:pPr>
      <w:r>
        <w:rPr>
          <w:rFonts w:eastAsia="MS Mincho"/>
        </w:rPr>
        <w:t>-4-</w:t>
      </w:r>
    </w:p>
    <w:sectPr w:rsidR="00A82BE4" w:rsidRPr="00A82BE4" w:rsidSect="00E44581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84" w:rsidRDefault="00507A84">
      <w:r>
        <w:separator/>
      </w:r>
    </w:p>
  </w:endnote>
  <w:endnote w:type="continuationSeparator" w:id="0">
    <w:p w:rsidR="00507A84" w:rsidRDefault="00507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84" w:rsidRDefault="00507A84">
      <w:r>
        <w:separator/>
      </w:r>
    </w:p>
  </w:footnote>
  <w:footnote w:type="continuationSeparator" w:id="0">
    <w:p w:rsidR="00507A84" w:rsidRDefault="00507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D56"/>
    <w:multiLevelType w:val="hybridMultilevel"/>
    <w:tmpl w:val="49C2091A"/>
    <w:lvl w:ilvl="0" w:tplc="B61249D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A668C7"/>
    <w:multiLevelType w:val="hybridMultilevel"/>
    <w:tmpl w:val="2368C294"/>
    <w:lvl w:ilvl="0" w:tplc="D17C3C1A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62AEF"/>
    <w:multiLevelType w:val="hybridMultilevel"/>
    <w:tmpl w:val="946C7C50"/>
    <w:lvl w:ilvl="0" w:tplc="E8E2BE1A">
      <w:start w:val="14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96689"/>
    <w:multiLevelType w:val="hybridMultilevel"/>
    <w:tmpl w:val="7350335E"/>
    <w:lvl w:ilvl="0" w:tplc="01CA013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1F4DA7"/>
    <w:multiLevelType w:val="hybridMultilevel"/>
    <w:tmpl w:val="DACAFEDC"/>
    <w:lvl w:ilvl="0" w:tplc="897A84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5400BB"/>
    <w:multiLevelType w:val="hybridMultilevel"/>
    <w:tmpl w:val="2BAAA61C"/>
    <w:lvl w:ilvl="0" w:tplc="9580E8AC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1C5C4A4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884D96"/>
    <w:multiLevelType w:val="hybridMultilevel"/>
    <w:tmpl w:val="42D08018"/>
    <w:lvl w:ilvl="0" w:tplc="4658EE2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DD2ACC"/>
    <w:multiLevelType w:val="hybridMultilevel"/>
    <w:tmpl w:val="27206A1C"/>
    <w:lvl w:ilvl="0" w:tplc="7F6CD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46983"/>
    <w:multiLevelType w:val="hybridMultilevel"/>
    <w:tmpl w:val="00145E8C"/>
    <w:lvl w:ilvl="0" w:tplc="FBE410A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3018D2"/>
    <w:multiLevelType w:val="hybridMultilevel"/>
    <w:tmpl w:val="D0B420E8"/>
    <w:lvl w:ilvl="0" w:tplc="48FC3B6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2F6B04"/>
    <w:multiLevelType w:val="hybridMultilevel"/>
    <w:tmpl w:val="2F9E3FEA"/>
    <w:lvl w:ilvl="0" w:tplc="9E20B8E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2D63D1"/>
    <w:multiLevelType w:val="hybridMultilevel"/>
    <w:tmpl w:val="64B0352C"/>
    <w:lvl w:ilvl="0" w:tplc="857C47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6F73517"/>
    <w:multiLevelType w:val="hybridMultilevel"/>
    <w:tmpl w:val="C6CE8142"/>
    <w:lvl w:ilvl="0" w:tplc="8DEC2D2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164759"/>
    <w:multiLevelType w:val="hybridMultilevel"/>
    <w:tmpl w:val="B568CAE8"/>
    <w:lvl w:ilvl="0" w:tplc="E5604CFC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1CE0D16"/>
    <w:multiLevelType w:val="hybridMultilevel"/>
    <w:tmpl w:val="6A943E4C"/>
    <w:lvl w:ilvl="0" w:tplc="95CE7D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56593F"/>
    <w:multiLevelType w:val="hybridMultilevel"/>
    <w:tmpl w:val="183C0716"/>
    <w:lvl w:ilvl="0" w:tplc="18EEC31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9183B11"/>
    <w:multiLevelType w:val="hybridMultilevel"/>
    <w:tmpl w:val="8FFC216A"/>
    <w:lvl w:ilvl="0" w:tplc="A888F49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D72228B"/>
    <w:multiLevelType w:val="hybridMultilevel"/>
    <w:tmpl w:val="51045876"/>
    <w:lvl w:ilvl="0" w:tplc="A2B22B8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E11438"/>
    <w:multiLevelType w:val="hybridMultilevel"/>
    <w:tmpl w:val="F7F283EE"/>
    <w:lvl w:ilvl="0" w:tplc="0512C1B6">
      <w:start w:val="1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CBC3D1E"/>
    <w:multiLevelType w:val="hybridMultilevel"/>
    <w:tmpl w:val="A614BC40"/>
    <w:lvl w:ilvl="0" w:tplc="A204EE2C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652795"/>
    <w:multiLevelType w:val="hybridMultilevel"/>
    <w:tmpl w:val="35681EA8"/>
    <w:lvl w:ilvl="0" w:tplc="A5C27F5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EF14370"/>
    <w:multiLevelType w:val="hybridMultilevel"/>
    <w:tmpl w:val="83DE6248"/>
    <w:lvl w:ilvl="0" w:tplc="50AE9ED2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0"/>
  </w:num>
  <w:num w:numId="9">
    <w:abstractNumId w:val="14"/>
  </w:num>
  <w:num w:numId="10">
    <w:abstractNumId w:val="3"/>
  </w:num>
  <w:num w:numId="11">
    <w:abstractNumId w:val="20"/>
  </w:num>
  <w:num w:numId="12">
    <w:abstractNumId w:val="12"/>
  </w:num>
  <w:num w:numId="13">
    <w:abstractNumId w:val="4"/>
  </w:num>
  <w:num w:numId="14">
    <w:abstractNumId w:val="21"/>
  </w:num>
  <w:num w:numId="15">
    <w:abstractNumId w:val="19"/>
  </w:num>
  <w:num w:numId="16">
    <w:abstractNumId w:val="1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  <w:num w:numId="21">
    <w:abstractNumId w:val="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4B"/>
    <w:rsid w:val="00060539"/>
    <w:rsid w:val="000D1BC9"/>
    <w:rsid w:val="000E0CC8"/>
    <w:rsid w:val="001445ED"/>
    <w:rsid w:val="00152176"/>
    <w:rsid w:val="00193238"/>
    <w:rsid w:val="00195374"/>
    <w:rsid w:val="001A7797"/>
    <w:rsid w:val="001D1017"/>
    <w:rsid w:val="00235EF7"/>
    <w:rsid w:val="00267C12"/>
    <w:rsid w:val="002D627F"/>
    <w:rsid w:val="00304AC9"/>
    <w:rsid w:val="0030613B"/>
    <w:rsid w:val="00327B2E"/>
    <w:rsid w:val="00340943"/>
    <w:rsid w:val="00344DE9"/>
    <w:rsid w:val="00394F00"/>
    <w:rsid w:val="003B1B45"/>
    <w:rsid w:val="003C716A"/>
    <w:rsid w:val="003E63BE"/>
    <w:rsid w:val="003F68E3"/>
    <w:rsid w:val="0047041E"/>
    <w:rsid w:val="00495D7D"/>
    <w:rsid w:val="004E2501"/>
    <w:rsid w:val="00507A84"/>
    <w:rsid w:val="00514396"/>
    <w:rsid w:val="005616A8"/>
    <w:rsid w:val="0057161A"/>
    <w:rsid w:val="005A4B85"/>
    <w:rsid w:val="005B43F0"/>
    <w:rsid w:val="005B5F3C"/>
    <w:rsid w:val="006020A7"/>
    <w:rsid w:val="00630C7C"/>
    <w:rsid w:val="0063398F"/>
    <w:rsid w:val="00693610"/>
    <w:rsid w:val="006B30B8"/>
    <w:rsid w:val="006D5512"/>
    <w:rsid w:val="007049E8"/>
    <w:rsid w:val="007166F6"/>
    <w:rsid w:val="00745599"/>
    <w:rsid w:val="00783A4B"/>
    <w:rsid w:val="007A5598"/>
    <w:rsid w:val="0081272F"/>
    <w:rsid w:val="00884B44"/>
    <w:rsid w:val="008D01F4"/>
    <w:rsid w:val="00955AFD"/>
    <w:rsid w:val="0098519E"/>
    <w:rsid w:val="00A0503E"/>
    <w:rsid w:val="00A07559"/>
    <w:rsid w:val="00A26F52"/>
    <w:rsid w:val="00A35D72"/>
    <w:rsid w:val="00A435A2"/>
    <w:rsid w:val="00A442AB"/>
    <w:rsid w:val="00A74C90"/>
    <w:rsid w:val="00A82BE4"/>
    <w:rsid w:val="00AB0A6D"/>
    <w:rsid w:val="00AF442B"/>
    <w:rsid w:val="00B000A8"/>
    <w:rsid w:val="00B73FAA"/>
    <w:rsid w:val="00B96C82"/>
    <w:rsid w:val="00C156C3"/>
    <w:rsid w:val="00C433D6"/>
    <w:rsid w:val="00C57DA0"/>
    <w:rsid w:val="00CB6FC7"/>
    <w:rsid w:val="00CE5C3F"/>
    <w:rsid w:val="00D62DDF"/>
    <w:rsid w:val="00D939F5"/>
    <w:rsid w:val="00DB6975"/>
    <w:rsid w:val="00DE1F88"/>
    <w:rsid w:val="00DE2F47"/>
    <w:rsid w:val="00E44581"/>
    <w:rsid w:val="00E647A2"/>
    <w:rsid w:val="00E76933"/>
    <w:rsid w:val="00E90221"/>
    <w:rsid w:val="00EA4822"/>
    <w:rsid w:val="00EE4E0C"/>
    <w:rsid w:val="00F059C8"/>
    <w:rsid w:val="00FF3B2E"/>
    <w:rsid w:val="00F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5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445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E445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581"/>
    <w:pPr>
      <w:tabs>
        <w:tab w:val="center" w:pos="4320"/>
        <w:tab w:val="right" w:pos="8640"/>
      </w:tabs>
    </w:pPr>
  </w:style>
  <w:style w:type="paragraph" w:customStyle="1" w:styleId="Style">
    <w:name w:val="Style"/>
    <w:rsid w:val="001932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237E-EB02-4E1B-8C4D-68C49E3E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Pre-Award and Post-Delivery Review RequirementsFrom: Colivas, Spiro (TPM)</vt:lpstr>
    </vt:vector>
  </TitlesOfParts>
  <Company>FTA@DOT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Pre-Award and Post-Delivery Review RequirementsFrom: Colivas, Spiro (TPM)</dc:title>
  <dc:creator>BarneyS</dc:creator>
  <cp:lastModifiedBy>sylvia.marion</cp:lastModifiedBy>
  <cp:revision>2</cp:revision>
  <cp:lastPrinted>2010-12-21T20:49:00Z</cp:lastPrinted>
  <dcterms:created xsi:type="dcterms:W3CDTF">2011-02-11T20:53:00Z</dcterms:created>
  <dcterms:modified xsi:type="dcterms:W3CDTF">2011-02-11T20:53:00Z</dcterms:modified>
</cp:coreProperties>
</file>