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29CD" w:rsidRPr="00B31F51" w:rsidRDefault="007C42B6" w:rsidP="00B31F51">
      <w:pPr>
        <w:jc w:val="center"/>
        <w:rPr>
          <w:b/>
          <w:sz w:val="28"/>
          <w:szCs w:val="28"/>
        </w:rPr>
      </w:pPr>
      <w:r w:rsidRPr="00B31F51">
        <w:rPr>
          <w:b/>
          <w:sz w:val="28"/>
          <w:szCs w:val="28"/>
        </w:rPr>
        <w:t>Supporting Statement for Paperwork Reduction Act Submissions</w:t>
      </w:r>
    </w:p>
    <w:p w:rsidR="007C42B6" w:rsidRPr="00B31F51" w:rsidRDefault="007C42B6" w:rsidP="00B31F51">
      <w:pPr>
        <w:jc w:val="center"/>
        <w:rPr>
          <w:b/>
          <w:sz w:val="28"/>
          <w:szCs w:val="28"/>
        </w:rPr>
      </w:pPr>
    </w:p>
    <w:p w:rsidR="004A4C8A" w:rsidRPr="00B31F51" w:rsidRDefault="00C81CE3" w:rsidP="00B31F51">
      <w:pPr>
        <w:ind w:left="1440" w:firstLine="720"/>
      </w:pPr>
      <w:r w:rsidRPr="00B31F51">
        <w:t>Revision to</w:t>
      </w:r>
      <w:r w:rsidR="007C42B6" w:rsidRPr="00B31F51">
        <w:t xml:space="preserve"> HUD/FHA Insured Mortgage</w:t>
      </w:r>
      <w:r w:rsidR="004A4C8A" w:rsidRPr="00B31F51">
        <w:t xml:space="preserve"> “HOPE for Homeowners”</w:t>
      </w:r>
      <w:r w:rsidR="00B31477" w:rsidRPr="00B31F51">
        <w:t xml:space="preserve"> to add the new FHA Refinance of Borrowers in Negative Equity Positions</w:t>
      </w:r>
    </w:p>
    <w:p w:rsidR="0004698A" w:rsidRPr="00B31F51" w:rsidRDefault="0004698A" w:rsidP="00B31F51">
      <w:pPr>
        <w:ind w:left="1440" w:firstLine="720"/>
      </w:pPr>
    </w:p>
    <w:p w:rsidR="004A4C8A" w:rsidRPr="00B31F51" w:rsidRDefault="004A4C8A" w:rsidP="00B31F51">
      <w:r w:rsidRPr="00B31F51">
        <w:t>Model HOPE for Homeowners Consumer Disclosure and Certification Form</w:t>
      </w:r>
      <w:r w:rsidR="00C27983">
        <w:t xml:space="preserve"> (</w:t>
      </w:r>
      <w:r w:rsidR="0007406B">
        <w:t>HUD-</w:t>
      </w:r>
      <w:r w:rsidR="00C27983">
        <w:t>92915-H4H)</w:t>
      </w:r>
      <w:r w:rsidRPr="00B31F51">
        <w:t>, Model Understanding Key Provisions of Appreciation Sharing, Model Appreciation Sharing Worksheet and Certification</w:t>
      </w:r>
      <w:r w:rsidR="00C27983">
        <w:t xml:space="preserve"> (</w:t>
      </w:r>
      <w:r w:rsidR="0007406B">
        <w:t>HUD-</w:t>
      </w:r>
      <w:r w:rsidR="00C27983">
        <w:t>92917-H4H)</w:t>
      </w:r>
      <w:r w:rsidRPr="00B31F51">
        <w:t>, Shared Equity Note and Mortgage, Shared Appreciation Note and Mortgage</w:t>
      </w:r>
      <w:r w:rsidR="00C27983">
        <w:t xml:space="preserve"> </w:t>
      </w:r>
      <w:r w:rsidR="00B31477" w:rsidRPr="00B31F51">
        <w:t>, FHA Refinance of Borrowers in Negative Equity Positions Borrower Certification</w:t>
      </w:r>
      <w:r w:rsidR="00C27983">
        <w:t xml:space="preserve"> (</w:t>
      </w:r>
      <w:r w:rsidR="0007406B">
        <w:t>HUD-</w:t>
      </w:r>
      <w:r w:rsidR="00C27983">
        <w:t>92918-)</w:t>
      </w:r>
      <w:r w:rsidR="00B31477" w:rsidRPr="00B31F51">
        <w:t>.</w:t>
      </w:r>
    </w:p>
    <w:p w:rsidR="004A4C8A" w:rsidRPr="00B31F51" w:rsidRDefault="004A4C8A" w:rsidP="00B31F51">
      <w:pPr>
        <w:jc w:val="center"/>
      </w:pPr>
    </w:p>
    <w:p w:rsidR="004A4C8A" w:rsidRPr="00B31F51" w:rsidRDefault="00812446" w:rsidP="00B31F51">
      <w:pPr>
        <w:rPr>
          <w:b/>
        </w:rPr>
      </w:pPr>
      <w:r w:rsidRPr="00B31F51">
        <w:rPr>
          <w:b/>
        </w:rPr>
        <w:t>A.</w:t>
      </w:r>
      <w:r w:rsidRPr="00B31F51">
        <w:rPr>
          <w:b/>
        </w:rPr>
        <w:tab/>
        <w:t>JUSTIFICATION</w:t>
      </w:r>
    </w:p>
    <w:p w:rsidR="005318CC" w:rsidRPr="00B31F51" w:rsidRDefault="005318CC" w:rsidP="00B31F51">
      <w:pPr>
        <w:rPr>
          <w:b/>
        </w:rPr>
      </w:pPr>
    </w:p>
    <w:p w:rsidR="005318CC" w:rsidRPr="00B31F51" w:rsidRDefault="005318CC" w:rsidP="00B31F51">
      <w:r w:rsidRPr="00B31F51">
        <w:t>1.  Why this information is necessary:</w:t>
      </w:r>
    </w:p>
    <w:p w:rsidR="005318CC" w:rsidRPr="00B31F51" w:rsidRDefault="005318CC" w:rsidP="00B31F51">
      <w:pPr>
        <w:ind w:left="360"/>
      </w:pPr>
    </w:p>
    <w:p w:rsidR="00752796" w:rsidRPr="00B31F51" w:rsidRDefault="00E235CD" w:rsidP="00B31F51">
      <w:pPr>
        <w:ind w:firstLine="720"/>
      </w:pPr>
      <w:r w:rsidRPr="00B31F51">
        <w:t>The HOPE for Homeowners Act of 2008, located in Title IV of Division A of the Housing and Economic Recovery Act of 2008 (HE</w:t>
      </w:r>
      <w:r w:rsidR="007A1299" w:rsidRPr="00B31F51">
        <w:t>RA) (Public Law 110-289, 122 Sta</w:t>
      </w:r>
      <w:r w:rsidRPr="00B31F51">
        <w:t xml:space="preserve">t. 2654, approved July 30, 2008), amended Title II of the National Housing Act to add a new section 257.  New section 257 (12 U.S.C. 1701z-22) established within the Federal Housing Administration (FHA), </w:t>
      </w:r>
      <w:r w:rsidR="00397D07" w:rsidRPr="00B31F51">
        <w:t xml:space="preserve">HOPE for Homeowners, </w:t>
      </w:r>
      <w:r w:rsidRPr="00B31F51">
        <w:t>a temporary FHA program that offers homeowners and existing mortgage loan holders (or servicers acting on their behalf) insurance on the refinancing of loans for distressed mortgagors</w:t>
      </w:r>
      <w:r w:rsidR="006829A1" w:rsidRPr="00B31F51">
        <w:t xml:space="preserve">.  </w:t>
      </w:r>
      <w:r w:rsidR="007A1299" w:rsidRPr="00B31F51">
        <w:t>Regulations published in 24 CFR 4001</w:t>
      </w:r>
      <w:r w:rsidR="00752796" w:rsidRPr="00B31F51">
        <w:t>.01 through 24 CFR 4001.408</w:t>
      </w:r>
      <w:r w:rsidR="00397D07" w:rsidRPr="00B31F51">
        <w:t xml:space="preserve"> </w:t>
      </w:r>
      <w:r w:rsidR="00752796" w:rsidRPr="00B31F51">
        <w:t xml:space="preserve">detail the requirements pertinent to HUD’s single family mortgage insurance programs, i.e., the eligibility requirements and underwriting procedures, which are determined by the documents included in this clearance package.  </w:t>
      </w:r>
    </w:p>
    <w:p w:rsidR="006829A1" w:rsidRPr="00B31F51" w:rsidRDefault="006829A1" w:rsidP="00B31F51">
      <w:pPr>
        <w:ind w:firstLine="720"/>
      </w:pPr>
    </w:p>
    <w:p w:rsidR="00180288" w:rsidRPr="00B31F51" w:rsidRDefault="006C4397" w:rsidP="00B31F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B31F51">
        <w:tab/>
      </w:r>
      <w:r w:rsidR="00180288" w:rsidRPr="00B31F51">
        <w:t xml:space="preserve">“Under the Program, new mortgages are offered by FHA-approved mortgagees to mortgagors who are at risk of losing their homes to foreclosure.  The new FHA-insured mortgages refinance the borrower’s existing mortgage at a significant write-down.  Eligible borrowers must be unable to afford their existing mortgage payments, must occupy the residence that is the security for the refinanced mortgage as their primary residence, and may not have any present ownership interest in another residence.  Investors and investor properties are not eligible for the FHA-insured refinanced mortgages.  Under the Program, participating mortgagors share their new equity and future appreciation with FHA.  Additionally, participation in this Program is voluntary.  No mortgagees, servicers, or investors are compelled to participate. </w:t>
      </w:r>
    </w:p>
    <w:p w:rsidR="0004698A" w:rsidRPr="00B31F51" w:rsidRDefault="0004698A" w:rsidP="00B31F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180288" w:rsidRPr="00B31F51" w:rsidRDefault="00180288" w:rsidP="00B31F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B31F51">
        <w:tab/>
        <w:t xml:space="preserve">Section 257 of the NHA prohibits the new mortgage loan </w:t>
      </w:r>
      <w:r w:rsidR="001340AD" w:rsidRPr="00B31F51">
        <w:t>in</w:t>
      </w:r>
      <w:r w:rsidR="00A359E3" w:rsidRPr="00B31F51">
        <w:t xml:space="preserve">sured by FHA from exceeding </w:t>
      </w:r>
      <w:r w:rsidRPr="00B31F51">
        <w:t>132 percent of the dollar amount limitation in effect for 2007 under section 305(a)(2) of the Federal Home Loan Mortgage Corporation Act (12 U.S.C.. 1454(a)(2)) for a property of applicable size.  In addition, section 257 also provides that the term of the FHA-insured refinanced mortgage shall have a maturity of not less than 30 years, and must bear a single rate of interest that is fixed for the entire term of the mortgage.  Section 257 directs that a mortgagor participating in the Program may not grant a new junior lien on the mortgaged property during the first 5 years of the term of the mortgage insured under the Program, except as the Board may determine is necessary to ensure the maintenance of property standards, and subject to the requirements that any new outstanding liens (1) do not reduce the value of FHA’s equity in the mortgagor’s home; and (2) when combined with the mortgagor’s existing mortgage indebtedness, do not exceed 95 percent of the home’s appraised value at the time of the new junior lien.</w:t>
      </w:r>
      <w:r w:rsidR="006C4397" w:rsidRPr="00B31F51">
        <w:t>”</w:t>
      </w:r>
      <w:r w:rsidRPr="00B31F51">
        <w:t xml:space="preserve">   </w:t>
      </w:r>
    </w:p>
    <w:p w:rsidR="002A1E6C" w:rsidRPr="00B31F51" w:rsidRDefault="002A1E6C" w:rsidP="00B31F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2A1E6C" w:rsidRPr="00B31F51" w:rsidRDefault="002A1E6C" w:rsidP="00B31F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B31F51">
        <w:tab/>
        <w:t xml:space="preserve">The passage of the Helping Families Save Their Homes Act of 2009 (Division </w:t>
      </w:r>
      <w:proofErr w:type="gramStart"/>
      <w:r w:rsidRPr="00B31F51">
        <w:t>A</w:t>
      </w:r>
      <w:proofErr w:type="gramEnd"/>
      <w:r w:rsidRPr="00B31F51">
        <w:t xml:space="preserve"> of Public Law 111-22, 123 Stat.1632, approved May 20, 2009) included changes to HOPE for Homeowners resulting in a restructured pro</w:t>
      </w:r>
      <w:r w:rsidR="00C81CE3" w:rsidRPr="00B31F51">
        <w:t>gram.  Therefore FHA amended</w:t>
      </w:r>
      <w:r w:rsidRPr="00B31F51">
        <w:t xml:space="preserve"> its Paperwork Reduction Act Submission to reflect the information collection requirements of the revised program.</w:t>
      </w:r>
    </w:p>
    <w:p w:rsidR="00C81CE3" w:rsidRPr="00B31F51" w:rsidRDefault="00C81CE3" w:rsidP="00B31F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69380E" w:rsidRPr="00B31F51" w:rsidRDefault="0069380E" w:rsidP="00B31F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B31F51">
        <w:tab/>
        <w:t xml:space="preserve"> </w:t>
      </w:r>
    </w:p>
    <w:p w:rsidR="00B72B4C" w:rsidRPr="00B31F51" w:rsidRDefault="00C462C9" w:rsidP="00B31F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B31F51">
        <w:tab/>
      </w:r>
      <w:r w:rsidR="00CA7F82" w:rsidRPr="00B31F51">
        <w:t xml:space="preserve">The </w:t>
      </w:r>
      <w:r w:rsidR="00B72B4C" w:rsidRPr="00B31F51">
        <w:t>HOPE for Homeowners Consumer Disclosu</w:t>
      </w:r>
      <w:r w:rsidR="004350B8" w:rsidRPr="00B31F51">
        <w:t>re and Certification Form</w:t>
      </w:r>
      <w:r w:rsidR="008E4B8F" w:rsidRPr="00B31F51">
        <w:t xml:space="preserve"> (HUD-92915-H4H</w:t>
      </w:r>
      <w:r w:rsidR="00463067" w:rsidRPr="00B31F51">
        <w:t xml:space="preserve"> (10/2009)</w:t>
      </w:r>
      <w:r w:rsidR="008E4B8F" w:rsidRPr="00B31F51">
        <w:t>)</w:t>
      </w:r>
      <w:r w:rsidR="00CA7F82" w:rsidRPr="00B31F51">
        <w:t xml:space="preserve"> and HOPE for Homeown</w:t>
      </w:r>
      <w:r w:rsidR="00463067" w:rsidRPr="00B31F51">
        <w:t>ers Subordinate Lien Upfront Payment Worksheet</w:t>
      </w:r>
      <w:r w:rsidR="008E4B8F" w:rsidRPr="00B31F51">
        <w:t xml:space="preserve"> (HUD-92917-H4H</w:t>
      </w:r>
      <w:r w:rsidR="00463067" w:rsidRPr="00B31F51">
        <w:t xml:space="preserve"> (10/2009)</w:t>
      </w:r>
      <w:r w:rsidR="008E4B8F" w:rsidRPr="00B31F51">
        <w:t>)</w:t>
      </w:r>
      <w:r w:rsidR="00B72B4C" w:rsidRPr="00B31F51">
        <w:t xml:space="preserve">, </w:t>
      </w:r>
      <w:r w:rsidR="00463067" w:rsidRPr="00B31F51">
        <w:t>make</w:t>
      </w:r>
      <w:r w:rsidR="00862B7C" w:rsidRPr="00B31F51">
        <w:t xml:space="preserve"> it possible to determine</w:t>
      </w:r>
      <w:r w:rsidR="00B72B4C" w:rsidRPr="00B31F51">
        <w:t xml:space="preserve"> eligibility and, consequently, the insurance fund for the single-family mortgage insurance programs </w:t>
      </w:r>
      <w:r w:rsidR="00862B7C" w:rsidRPr="00B31F51">
        <w:t>is not</w:t>
      </w:r>
      <w:r w:rsidR="00B72B4C" w:rsidRPr="00B31F51">
        <w:t xml:space="preserve"> placed in jeopardy</w:t>
      </w:r>
      <w:r w:rsidR="006A1451" w:rsidRPr="00B31F51">
        <w:t xml:space="preserve">.  </w:t>
      </w:r>
      <w:r w:rsidR="00700953" w:rsidRPr="00B31F51">
        <w:t xml:space="preserve"> </w:t>
      </w:r>
      <w:r w:rsidR="006C4397" w:rsidRPr="00B31F51">
        <w:t xml:space="preserve">The </w:t>
      </w:r>
      <w:r w:rsidR="00A51B2A" w:rsidRPr="00B31F51">
        <w:t>HOPE for Homeowners Consumer Discl</w:t>
      </w:r>
      <w:r w:rsidR="006C4397" w:rsidRPr="00B31F51">
        <w:t xml:space="preserve">osure and Certification Form </w:t>
      </w:r>
      <w:r w:rsidR="00862B7C" w:rsidRPr="00B31F51">
        <w:t>is</w:t>
      </w:r>
      <w:r w:rsidR="006C4397" w:rsidRPr="00B31F51">
        <w:t xml:space="preserve"> </w:t>
      </w:r>
      <w:r w:rsidR="00A51B2A" w:rsidRPr="00B31F51">
        <w:t>used by prospective mortgagees to disclose special restrictions of the Program and to</w:t>
      </w:r>
      <w:r w:rsidR="004350B8" w:rsidRPr="00B31F51">
        <w:t xml:space="preserve"> obtain the mortgagor’s</w:t>
      </w:r>
      <w:r w:rsidR="00A51B2A" w:rsidRPr="00B31F51">
        <w:t xml:space="preserve"> certif</w:t>
      </w:r>
      <w:r w:rsidR="004350B8" w:rsidRPr="00B31F51">
        <w:t>ication that he/she</w:t>
      </w:r>
      <w:r w:rsidR="00A51B2A" w:rsidRPr="00B31F51">
        <w:t xml:space="preserve"> has not: intentionally defaulted on their existing mortgage or any other </w:t>
      </w:r>
      <w:r w:rsidR="00463067" w:rsidRPr="00B31F51">
        <w:t xml:space="preserve">substantial </w:t>
      </w:r>
      <w:r w:rsidR="00A51B2A" w:rsidRPr="00B31F51">
        <w:t>debt</w:t>
      </w:r>
      <w:r w:rsidR="00463067" w:rsidRPr="00B31F51">
        <w:t xml:space="preserve"> in the last 5 years</w:t>
      </w:r>
      <w:r w:rsidR="00A51B2A" w:rsidRPr="00B31F51">
        <w:t>, been convicte</w:t>
      </w:r>
      <w:r w:rsidR="00463067" w:rsidRPr="00B31F51">
        <w:t>d of fraud in the past 10 years and</w:t>
      </w:r>
      <w:r w:rsidR="00A51B2A" w:rsidRPr="00B31F51">
        <w:t xml:space="preserve"> did not knowingly or willfully furnish material false information for the purpose of obtaining their existing mortgage.   </w:t>
      </w:r>
      <w:r w:rsidR="00463067" w:rsidRPr="00B31F51">
        <w:t>HOPE for Homeowners Subordinate Liens Upfront Payment Worksheet</w:t>
      </w:r>
      <w:r w:rsidR="006C4397" w:rsidRPr="00B31F51">
        <w:t xml:space="preserve"> </w:t>
      </w:r>
      <w:r w:rsidR="00862B7C" w:rsidRPr="00B31F51">
        <w:t>is</w:t>
      </w:r>
      <w:r w:rsidR="004350B8" w:rsidRPr="00B31F51">
        <w:t xml:space="preserve"> used by the mortgagees to calculate the dollar amount that each subordinate lien holder could receive in the form of an upfront payment, if any</w:t>
      </w:r>
      <w:r w:rsidR="00700953" w:rsidRPr="00B31F51">
        <w:t>, and obtain the lien holder’s signature acknowledging it ha</w:t>
      </w:r>
      <w:r w:rsidR="00CA7F82" w:rsidRPr="00B31F51">
        <w:t xml:space="preserve">s read and accepts the terms of </w:t>
      </w:r>
      <w:r w:rsidR="00700953" w:rsidRPr="00B31F51">
        <w:t xml:space="preserve">the </w:t>
      </w:r>
      <w:r w:rsidR="00CA7F82" w:rsidRPr="00B31F51">
        <w:t>w</w:t>
      </w:r>
      <w:r w:rsidR="00700953" w:rsidRPr="00B31F51">
        <w:t xml:space="preserve">orksheet and is prepared to execute a full release of </w:t>
      </w:r>
      <w:r w:rsidR="00CA7F82" w:rsidRPr="00B31F51">
        <w:t xml:space="preserve">its lien in exchange for </w:t>
      </w:r>
      <w:r w:rsidR="00700953" w:rsidRPr="00B31F51">
        <w:t>an upfront payment</w:t>
      </w:r>
      <w:r w:rsidR="00CA7F82" w:rsidRPr="00B31F51">
        <w:t>.</w:t>
      </w:r>
      <w:r w:rsidR="004350B8" w:rsidRPr="00B31F51">
        <w:t xml:space="preserve">  </w:t>
      </w:r>
      <w:r w:rsidR="00CA7F82" w:rsidRPr="00B31F51">
        <w:t>The Exit Premium Note and Mortg</w:t>
      </w:r>
      <w:r w:rsidR="0001356F" w:rsidRPr="00B31F51">
        <w:t>age</w:t>
      </w:r>
      <w:r w:rsidR="006C0B6F" w:rsidRPr="00B31F51">
        <w:t xml:space="preserve"> </w:t>
      </w:r>
      <w:r w:rsidR="00020D5D" w:rsidRPr="00B31F51">
        <w:t>protect</w:t>
      </w:r>
      <w:r w:rsidR="004350B8" w:rsidRPr="00B31F51">
        <w:t xml:space="preserve"> HUD</w:t>
      </w:r>
      <w:r w:rsidR="00020D5D" w:rsidRPr="00B31F51">
        <w:t>’</w:t>
      </w:r>
      <w:r w:rsidR="004350B8" w:rsidRPr="00B31F51">
        <w:t>s interests</w:t>
      </w:r>
      <w:r w:rsidR="00700953" w:rsidRPr="00B31F51">
        <w:t xml:space="preserve"> in the equity and appreciation in the property</w:t>
      </w:r>
      <w:r w:rsidR="0001356F" w:rsidRPr="00B31F51">
        <w:t xml:space="preserve"> and the attached model documents ar</w:t>
      </w:r>
      <w:r w:rsidR="00A359E3" w:rsidRPr="00B31F51">
        <w:t>e provided as a reference for</w:t>
      </w:r>
      <w:r w:rsidR="0001356F" w:rsidRPr="00B31F51">
        <w:t xml:space="preserve"> mortgagees</w:t>
      </w:r>
      <w:r w:rsidR="00700953" w:rsidRPr="00B31F51">
        <w:t xml:space="preserve">.  </w:t>
      </w:r>
      <w:r w:rsidR="0001356F" w:rsidRPr="00B31F51">
        <w:t xml:space="preserve">The FHA HOPE for Homeowners Attachment to FHA Loan Underwriting and Transmittal Summary (HUD-92900-H4H) is not a required form nor does it collect any additional data not already addressed in this submission.  This form </w:t>
      </w:r>
      <w:r w:rsidR="00A359E3" w:rsidRPr="00B31F51">
        <w:t>summarizes</w:t>
      </w:r>
      <w:r w:rsidR="0001356F" w:rsidRPr="00B31F51">
        <w:t xml:space="preserve"> the H4H specific data on one page so it can be easily referenced.</w:t>
      </w:r>
    </w:p>
    <w:p w:rsidR="00420156" w:rsidRPr="00B31F51" w:rsidRDefault="00420156" w:rsidP="00B31F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420156" w:rsidRPr="00B31F51" w:rsidRDefault="00420156" w:rsidP="00B31F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B31F51">
        <w:tab/>
        <w:t>Initially, it was estimated that HOPE for Homeowners would help 400,000 over the life of the program.  This has not proven to be the case, and the actual numbers are significantly lower.  As of October 7, 2010, 1</w:t>
      </w:r>
      <w:r w:rsidR="00782378" w:rsidRPr="00B31F51">
        <w:t>30 H4H cases have been endorsed;</w:t>
      </w:r>
      <w:r w:rsidRPr="00B31F51">
        <w:t xml:space="preserve"> however we could see the rate of </w:t>
      </w:r>
      <w:r w:rsidR="00A65392" w:rsidRPr="00B31F51">
        <w:t>endorsements increase in the program’s final year.  FHA has</w:t>
      </w:r>
      <w:r w:rsidRPr="00B31F51">
        <w:t xml:space="preserve"> revised the burden estimates </w:t>
      </w:r>
      <w:r w:rsidR="00782378" w:rsidRPr="00B31F51">
        <w:t>taking both the</w:t>
      </w:r>
      <w:r w:rsidR="00A65392" w:rsidRPr="00B31F51">
        <w:t xml:space="preserve"> reduced participation</w:t>
      </w:r>
      <w:r w:rsidR="00782378" w:rsidRPr="00B31F51">
        <w:t xml:space="preserve"> and potential final year increase in consideration</w:t>
      </w:r>
      <w:r w:rsidR="00A65392" w:rsidRPr="00B31F51">
        <w:t>.</w:t>
      </w:r>
      <w:r w:rsidRPr="00B31F51">
        <w:t xml:space="preserve"> </w:t>
      </w:r>
    </w:p>
    <w:p w:rsidR="008873D8" w:rsidRPr="00B31F51" w:rsidRDefault="008873D8" w:rsidP="00B31F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9E3255" w:rsidRPr="00B31F51" w:rsidRDefault="008873D8" w:rsidP="00B31F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B31F51">
        <w:tab/>
      </w:r>
      <w:r w:rsidR="008173FF" w:rsidRPr="00B31F51">
        <w:t xml:space="preserve">As a part of the Administration’s commitment to continuously improve housing relief efforts, </w:t>
      </w:r>
      <w:r w:rsidRPr="00B31F51">
        <w:t xml:space="preserve">FHA is making temporary enhancements to its existing refinance program.  Similar to the HOPE for Homeowners program these enhancements will allow consumers in a negative equity position to refinance into an FHA loan.  Existing lien holders will be required to write off at least 10 percent of the unpaid principal balance of their loan and accept the short payoff as payment in full.  </w:t>
      </w:r>
      <w:r w:rsidR="003F1E52" w:rsidRPr="00B31F51">
        <w:t>FHA require lenders to input the write off amount into FHA connection which will make it possible for FHA to determine eligibility for insurance and, consequently, the insurance fund for the single-family mortgage insurance is not plac</w:t>
      </w:r>
      <w:r w:rsidR="008173FF" w:rsidRPr="00B31F51">
        <w:t xml:space="preserve">ed in jeopardy.  </w:t>
      </w:r>
      <w:r w:rsidR="00B31477" w:rsidRPr="00B31F51">
        <w:t>Additionally, the Department of the Treasury will participate in this program by covering a share of claims payments on defaulted loans</w:t>
      </w:r>
      <w:r w:rsidR="0086031F" w:rsidRPr="00B31F51">
        <w:t xml:space="preserve"> through the Making Home Affordable Program and the use of Emergency Economic Stabilization Act funds.</w:t>
      </w:r>
      <w:r w:rsidR="00B31477" w:rsidRPr="00B31F51">
        <w:t xml:space="preserve">  Due to this participation, the requirements of The Dodd-Frank Wall Street Reform and Consumer Protecti</w:t>
      </w:r>
      <w:r w:rsidR="0086031F" w:rsidRPr="00B31F51">
        <w:t>on Act of 2010, Section 1481(d), which provides:</w:t>
      </w:r>
      <w:r w:rsidR="00B31477" w:rsidRPr="00B31F51">
        <w:t xml:space="preserve">  </w:t>
      </w:r>
      <w:r w:rsidR="0086031F" w:rsidRPr="00B31F51">
        <w:t>“</w:t>
      </w:r>
      <w:r w:rsidR="00B31477" w:rsidRPr="00B31F51">
        <w:t xml:space="preserve">No person shall be eligible for assistance </w:t>
      </w:r>
      <w:r w:rsidR="0086031F" w:rsidRPr="00B31F51">
        <w:t xml:space="preserve">from </w:t>
      </w:r>
      <w:proofErr w:type="spellStart"/>
      <w:r w:rsidR="0086031F" w:rsidRPr="00B31F51">
        <w:t>Mthe</w:t>
      </w:r>
      <w:proofErr w:type="spellEnd"/>
      <w:r w:rsidR="0086031F" w:rsidRPr="00B31F51">
        <w:t xml:space="preserve"> Making Home Affordable Program, authorized under the Emergency Economic Stabilization Act of 2008 (12 USC 5201 </w:t>
      </w:r>
      <w:r w:rsidR="0086031F" w:rsidRPr="00B31F51">
        <w:rPr>
          <w:i/>
        </w:rPr>
        <w:t>et seq.</w:t>
      </w:r>
      <w:r w:rsidR="0086031F" w:rsidRPr="00B31F51">
        <w:t xml:space="preserve">) or any other mortgage assistance program authorized or funded by that Act, if such person, in connection with a mortgage or real estate transaction, had been convicted, within the lat (10) years, of any of the following:  (a) felony larceny, theft, fraud or forgery; (b) money laundering; or (c) tax evasion.” apply.  </w:t>
      </w:r>
      <w:r w:rsidR="00AE50E2" w:rsidRPr="00B31F51">
        <w:t>These enhancements are effective with case numbers issued on or aft</w:t>
      </w:r>
      <w:r w:rsidR="00B31477" w:rsidRPr="00B31F51">
        <w:t>er September 7</w:t>
      </w:r>
      <w:r w:rsidR="00AE50E2" w:rsidRPr="00B31F51">
        <w:t xml:space="preserve">, 2010, and which are closed on or before December 31, 2012.  Like H4H, </w:t>
      </w:r>
      <w:r w:rsidR="008173FF" w:rsidRPr="00B31F51">
        <w:t>participation is voluntary; no mortgagees, servicers or investors are required to participate.</w:t>
      </w:r>
    </w:p>
    <w:p w:rsidR="003F1E52" w:rsidRPr="00B31F51" w:rsidRDefault="003F1E52" w:rsidP="00B31F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930A6E" w:rsidRPr="00B31F51" w:rsidRDefault="00930A6E" w:rsidP="00B31F51">
      <w:r w:rsidRPr="00B31F51">
        <w:t>2</w:t>
      </w:r>
      <w:r w:rsidR="00862B7C" w:rsidRPr="00B31F51">
        <w:t xml:space="preserve">.  How this information is </w:t>
      </w:r>
      <w:r w:rsidRPr="00B31F51">
        <w:t>used:</w:t>
      </w:r>
    </w:p>
    <w:p w:rsidR="00930A6E" w:rsidRPr="00B31F51" w:rsidRDefault="00930A6E" w:rsidP="00B31F51"/>
    <w:p w:rsidR="00CA7832" w:rsidRPr="00B31F51" w:rsidRDefault="00700953" w:rsidP="00B31F51">
      <w:r w:rsidRPr="00B31F51">
        <w:t xml:space="preserve">Lenders obtain information from borrowers in the normal course of business.  HUD does not ascribe burden hours to information provided by the borrowers.  Lenders report information to FHA for the purpose of obtaining mortgage insurance.  </w:t>
      </w:r>
      <w:r w:rsidR="006F26EB" w:rsidRPr="00B31F51">
        <w:t xml:space="preserve">Since the last submission there has been a decrease in respondents due to removal of trial modification requirement.  </w:t>
      </w:r>
      <w:r w:rsidRPr="00B31F51">
        <w:t>The specific items of this information collection are as follows:</w:t>
      </w:r>
    </w:p>
    <w:p w:rsidR="00CA7832" w:rsidRPr="00B31F51" w:rsidRDefault="00CA7832" w:rsidP="00B31F51">
      <w:pPr>
        <w:ind w:left="360"/>
      </w:pPr>
    </w:p>
    <w:p w:rsidR="00930A6E" w:rsidRPr="00B31F51" w:rsidRDefault="0067757F" w:rsidP="00B31F51">
      <w:pPr>
        <w:numPr>
          <w:ilvl w:val="0"/>
          <w:numId w:val="34"/>
        </w:numPr>
      </w:pPr>
      <w:r w:rsidRPr="00B31F51">
        <w:t>The underwriter must determine that the borrower’s total monthly mortgage payment on the new</w:t>
      </w:r>
      <w:r w:rsidR="008173FF" w:rsidRPr="00B31F51">
        <w:t xml:space="preserve"> HOPE for Homeowners</w:t>
      </w:r>
      <w:r w:rsidRPr="00B31F51">
        <w:t xml:space="preserve"> </w:t>
      </w:r>
      <w:r w:rsidR="008173FF" w:rsidRPr="00B31F51">
        <w:t>(</w:t>
      </w:r>
      <w:r w:rsidRPr="00B31F51">
        <w:t>H4H</w:t>
      </w:r>
      <w:r w:rsidR="008173FF" w:rsidRPr="00B31F51">
        <w:t>)</w:t>
      </w:r>
      <w:r w:rsidRPr="00B31F51">
        <w:t xml:space="preserve"> loan</w:t>
      </w:r>
      <w:r w:rsidRPr="00B31F51">
        <w:rPr>
          <w:i/>
        </w:rPr>
        <w:t xml:space="preserve"> is less than</w:t>
      </w:r>
      <w:r w:rsidRPr="00B31F51">
        <w:t xml:space="preserve"> the borrower’s aggregate total monthly mortgage payment on his or her existing (non-H4H) mortgage(s), including any subordinate mortgage liens, based on a fully-indexed, fully-am</w:t>
      </w:r>
      <w:r w:rsidR="00930A6E" w:rsidRPr="00B31F51">
        <w:t>ortizing PITI payment. Additionally, the lender must determine the borrower</w:t>
      </w:r>
      <w:r w:rsidR="00B44603" w:rsidRPr="00B31F51">
        <w:t>’</w:t>
      </w:r>
      <w:r w:rsidR="00930A6E" w:rsidRPr="00B31F51">
        <w:t xml:space="preserve">s payment to income ratio on their existing mortgage loan(s) is greater than 31% as of </w:t>
      </w:r>
      <w:r w:rsidR="0001356F" w:rsidRPr="00B31F51">
        <w:t>the date of the H4H loan application</w:t>
      </w:r>
      <w:r w:rsidR="00930A6E" w:rsidRPr="00B31F51">
        <w:t>.  These calculations are specific to the H4H program and HUD ascribes burden hours.</w:t>
      </w:r>
    </w:p>
    <w:p w:rsidR="0067757F" w:rsidRPr="00B31F51" w:rsidRDefault="0067757F" w:rsidP="00B31F51"/>
    <w:p w:rsidR="00930A6E" w:rsidRPr="00B31F51" w:rsidRDefault="0067757F" w:rsidP="00B31F51">
      <w:pPr>
        <w:widowControl w:val="0"/>
        <w:numPr>
          <w:ilvl w:val="0"/>
          <w:numId w:val="34"/>
        </w:numPr>
        <w:overflowPunct w:val="0"/>
        <w:autoSpaceDE w:val="0"/>
        <w:autoSpaceDN w:val="0"/>
        <w:adjustRightInd w:val="0"/>
        <w:textAlignment w:val="baseline"/>
      </w:pPr>
      <w:r w:rsidRPr="00B31F51">
        <w:t>The underwriter must determine that the payment-to-income and debt-to-income ratios are at, or below, 31 percent and 43 percent, respectively</w:t>
      </w:r>
      <w:r w:rsidR="0007118A" w:rsidRPr="00B31F51">
        <w:t xml:space="preserve"> on loans with a loan to value </w:t>
      </w:r>
      <w:r w:rsidR="0001356F" w:rsidRPr="00B31F51">
        <w:t>above</w:t>
      </w:r>
      <w:r w:rsidR="0007118A" w:rsidRPr="00B31F51">
        <w:t xml:space="preserve"> 90.01 percent; and at or below </w:t>
      </w:r>
      <w:r w:rsidRPr="00B31F51">
        <w:t>38 percent and 50 percent, respectively</w:t>
      </w:r>
      <w:r w:rsidR="0007118A" w:rsidRPr="00B31F51">
        <w:t xml:space="preserve"> for loans with a maximum loan to value of 90 percent.</w:t>
      </w:r>
      <w:r w:rsidRPr="00B31F51">
        <w:t xml:space="preserve">   </w:t>
      </w:r>
    </w:p>
    <w:p w:rsidR="00753BF2" w:rsidRPr="00B31F51" w:rsidRDefault="00753BF2" w:rsidP="00B31F51">
      <w:pPr>
        <w:widowControl w:val="0"/>
        <w:overflowPunct w:val="0"/>
        <w:autoSpaceDE w:val="0"/>
        <w:autoSpaceDN w:val="0"/>
        <w:adjustRightInd w:val="0"/>
        <w:textAlignment w:val="baseline"/>
      </w:pPr>
    </w:p>
    <w:p w:rsidR="009C2BC2" w:rsidRPr="00B31F51" w:rsidRDefault="009C2BC2" w:rsidP="00B31F51">
      <w:pPr>
        <w:numPr>
          <w:ilvl w:val="0"/>
          <w:numId w:val="34"/>
        </w:numPr>
      </w:pPr>
      <w:r w:rsidRPr="00B31F51">
        <w:t xml:space="preserve">The file must contain evidence the mortgage being refinanced was originated on/before January 1, 2008.  It is industry practice in refinance transactions to obtain </w:t>
      </w:r>
      <w:r w:rsidR="00E432A2" w:rsidRPr="00B31F51">
        <w:t>information on the existing loan</w:t>
      </w:r>
      <w:r w:rsidRPr="00B31F51">
        <w:t>, thus HUD ascribes no burden hours.</w:t>
      </w:r>
    </w:p>
    <w:p w:rsidR="009C2BC2" w:rsidRPr="00B31F51" w:rsidRDefault="009C2BC2" w:rsidP="00B31F51"/>
    <w:p w:rsidR="009C2BC2" w:rsidRPr="00B31F51" w:rsidRDefault="00753BF2" w:rsidP="00B31F51">
      <w:pPr>
        <w:numPr>
          <w:ilvl w:val="0"/>
          <w:numId w:val="34"/>
        </w:numPr>
      </w:pPr>
      <w:r w:rsidRPr="00B31F51">
        <w:t>The lender must provide the ‘HOPE for Homeowners Consumer Disclosure and Certification</w:t>
      </w:r>
      <w:r w:rsidR="00D42F51" w:rsidRPr="00B31F51">
        <w:t>’</w:t>
      </w:r>
      <w:r w:rsidRPr="00B31F51">
        <w:t xml:space="preserve">, </w:t>
      </w:r>
      <w:r w:rsidR="006B5E9D" w:rsidRPr="00B31F51">
        <w:t>(HUD 92915-H4H</w:t>
      </w:r>
      <w:r w:rsidR="00D92C61" w:rsidRPr="00B31F51">
        <w:t xml:space="preserve"> (10/2009)</w:t>
      </w:r>
      <w:r w:rsidR="006B5E9D" w:rsidRPr="00B31F51">
        <w:t xml:space="preserve">) </w:t>
      </w:r>
      <w:r w:rsidRPr="00B31F51">
        <w:t xml:space="preserve">signed and dated by the borrower at the time of initial application and when final documents are executed.  </w:t>
      </w:r>
    </w:p>
    <w:p w:rsidR="00753BF2" w:rsidRPr="00B31F51" w:rsidRDefault="00753BF2" w:rsidP="00B31F51"/>
    <w:p w:rsidR="00BC4572" w:rsidRPr="00B31F51" w:rsidRDefault="00BC4572" w:rsidP="00B31F51">
      <w:pPr>
        <w:numPr>
          <w:ilvl w:val="0"/>
          <w:numId w:val="34"/>
        </w:numPr>
      </w:pPr>
      <w:r w:rsidRPr="00B31F51">
        <w:t xml:space="preserve">The lender will calculate the dollar amount that each subordinate mortgage lien holder could receive from HUD’s share of future appreciation on </w:t>
      </w:r>
      <w:r w:rsidR="00D92C61" w:rsidRPr="00B31F51">
        <w:t>the Subordinate Lien Upfront Payment</w:t>
      </w:r>
      <w:r w:rsidRPr="00B31F51">
        <w:t xml:space="preserve"> Worksheet.  Also, the originating lender will provide the subordinate lien holders with the</w:t>
      </w:r>
      <w:r w:rsidR="00D92C61" w:rsidRPr="00B31F51">
        <w:t xml:space="preserve"> Subordinate Lien Upfront Payment Worksheet</w:t>
      </w:r>
      <w:r w:rsidRPr="00B31F51">
        <w:t xml:space="preserve">, and obtain acknowledgement that they have read and accept the terms of the </w:t>
      </w:r>
      <w:r w:rsidR="00D92C61" w:rsidRPr="00B31F51">
        <w:t xml:space="preserve">Subordinate Lien Upfront Payment Worksheet </w:t>
      </w:r>
      <w:r w:rsidRPr="00B31F51">
        <w:t>and is prepared to execute a full release of its lien in exc</w:t>
      </w:r>
      <w:r w:rsidR="00D92C61" w:rsidRPr="00B31F51">
        <w:t>hange for the upfront payment</w:t>
      </w:r>
      <w:r w:rsidRPr="00B31F51">
        <w:t>.</w:t>
      </w:r>
      <w:r w:rsidR="00FC08FB" w:rsidRPr="00B31F51">
        <w:t xml:space="preserve">  </w:t>
      </w:r>
    </w:p>
    <w:p w:rsidR="00030390" w:rsidRPr="00B31F51" w:rsidRDefault="00030390" w:rsidP="00B31F51"/>
    <w:p w:rsidR="004606A7" w:rsidRPr="00B31F51" w:rsidRDefault="00882627" w:rsidP="00B31F51">
      <w:pPr>
        <w:numPr>
          <w:ilvl w:val="0"/>
          <w:numId w:val="34"/>
        </w:numPr>
      </w:pPr>
      <w:r w:rsidRPr="00B31F51">
        <w:t xml:space="preserve">Lenders already input several pieces of information into FHA Connection both at the time of case number assignment and endorsement.  There are additional data fields for H4H loans.  </w:t>
      </w:r>
      <w:r w:rsidR="00D92C61" w:rsidRPr="00B31F51">
        <w:t>As an optional tool for the lender, we have summa</w:t>
      </w:r>
      <w:r w:rsidR="006B5E9D" w:rsidRPr="00B31F51">
        <w:t xml:space="preserve">rized </w:t>
      </w:r>
      <w:r w:rsidR="00D92C61" w:rsidRPr="00B31F51">
        <w:t xml:space="preserve">the additional data </w:t>
      </w:r>
      <w:r w:rsidR="006B5E9D" w:rsidRPr="00B31F51">
        <w:t>on the HUD -92900-H4H</w:t>
      </w:r>
      <w:r w:rsidR="00D92C61" w:rsidRPr="00B31F51">
        <w:t>, an attachment to the underwriting transmittal.</w:t>
      </w:r>
      <w:r w:rsidRPr="00B31F51">
        <w:t xml:space="preserve">  </w:t>
      </w:r>
    </w:p>
    <w:p w:rsidR="00C462C9" w:rsidRPr="00B31F51" w:rsidRDefault="00C462C9" w:rsidP="00B31F51">
      <w:pPr>
        <w:ind w:left="720" w:firstLine="720"/>
      </w:pPr>
    </w:p>
    <w:p w:rsidR="00DC2C9E" w:rsidRPr="00B31F51" w:rsidRDefault="00BC4572" w:rsidP="00B31F51">
      <w:pPr>
        <w:numPr>
          <w:ilvl w:val="0"/>
          <w:numId w:val="34"/>
        </w:numPr>
      </w:pPr>
      <w:r w:rsidRPr="00B31F51">
        <w:t xml:space="preserve">The lender will prepare and cause the borrower to execute the </w:t>
      </w:r>
      <w:r w:rsidR="00D92C61" w:rsidRPr="00B31F51">
        <w:t>Exit Premium</w:t>
      </w:r>
      <w:r w:rsidRPr="00B31F51">
        <w:t xml:space="preserve"> </w:t>
      </w:r>
      <w:r w:rsidR="00DC2C9E" w:rsidRPr="00B31F51">
        <w:t xml:space="preserve">Note and </w:t>
      </w:r>
      <w:r w:rsidRPr="00B31F51">
        <w:t>Mortgage (</w:t>
      </w:r>
      <w:r w:rsidR="00D92C61" w:rsidRPr="00B31F51">
        <w:t xml:space="preserve">EPM) </w:t>
      </w:r>
      <w:r w:rsidRPr="00B31F51">
        <w:t xml:space="preserve">for the H4H </w:t>
      </w:r>
      <w:r w:rsidR="00DC2C9E" w:rsidRPr="00B31F51">
        <w:t>transaction</w:t>
      </w:r>
      <w:r w:rsidRPr="00B31F51">
        <w:t>.</w:t>
      </w:r>
      <w:r w:rsidR="00FC08FB" w:rsidRPr="00B31F51">
        <w:t xml:space="preserve"> </w:t>
      </w:r>
    </w:p>
    <w:p w:rsidR="00DC2C9E" w:rsidRPr="00B31F51" w:rsidRDefault="00DC2C9E" w:rsidP="00B31F51">
      <w:pPr>
        <w:ind w:left="360"/>
      </w:pPr>
    </w:p>
    <w:p w:rsidR="00BC4572" w:rsidRPr="00B31F51" w:rsidRDefault="00E432A2" w:rsidP="00B31F51">
      <w:pPr>
        <w:numPr>
          <w:ilvl w:val="0"/>
          <w:numId w:val="34"/>
        </w:numPr>
      </w:pPr>
      <w:r w:rsidRPr="00B31F51">
        <w:t>The lender will r</w:t>
      </w:r>
      <w:r w:rsidR="00BC4572" w:rsidRPr="00B31F51">
        <w:t xml:space="preserve">ecord the </w:t>
      </w:r>
      <w:r w:rsidR="00D92C61" w:rsidRPr="00B31F51">
        <w:t>EPM</w:t>
      </w:r>
      <w:r w:rsidRPr="00B31F51">
        <w:t xml:space="preserve"> with other loan documents, r</w:t>
      </w:r>
      <w:r w:rsidR="00BC4572" w:rsidRPr="00B31F51">
        <w:t>egis</w:t>
      </w:r>
      <w:r w:rsidR="00D92C61" w:rsidRPr="00B31F51">
        <w:t>ter the H4H security instrument</w:t>
      </w:r>
      <w:r w:rsidR="00BC4572" w:rsidRPr="00B31F51">
        <w:t xml:space="preserve"> in the Mortgage Electronic Registration System (MERS) </w:t>
      </w:r>
      <w:r w:rsidR="00FC08FB" w:rsidRPr="00B31F51">
        <w:t xml:space="preserve">as </w:t>
      </w:r>
      <w:r w:rsidR="00D92C61" w:rsidRPr="00B31F51">
        <w:t xml:space="preserve">a </w:t>
      </w:r>
      <w:r w:rsidR="00FC08FB" w:rsidRPr="00B31F51">
        <w:t>MERS Original Mortgage</w:t>
      </w:r>
      <w:r w:rsidRPr="00B31F51">
        <w:t>, and d</w:t>
      </w:r>
      <w:r w:rsidR="00BC4572" w:rsidRPr="00B31F51">
        <w:t xml:space="preserve">eliver the original </w:t>
      </w:r>
      <w:r w:rsidR="00D92C61" w:rsidRPr="00B31F51">
        <w:t>EPM note and recorded mortgage</w:t>
      </w:r>
      <w:r w:rsidR="00BC4572" w:rsidRPr="00B31F51">
        <w:t xml:space="preserve"> to HUD’s servicing contractor</w:t>
      </w:r>
      <w:r w:rsidR="00FC08FB" w:rsidRPr="00B31F51">
        <w:t xml:space="preserve">.  </w:t>
      </w:r>
    </w:p>
    <w:p w:rsidR="00BC4572" w:rsidRPr="00B31F51" w:rsidRDefault="00BC4572" w:rsidP="00B31F51"/>
    <w:p w:rsidR="00E432A2" w:rsidRPr="00B31F51" w:rsidRDefault="00B84C18" w:rsidP="00B31F51">
      <w:pPr>
        <w:numPr>
          <w:ilvl w:val="0"/>
          <w:numId w:val="34"/>
        </w:numPr>
      </w:pPr>
      <w:r w:rsidRPr="00B31F51">
        <w:t xml:space="preserve">Evidence the first payment on the new H4H mortgage was made by the borrower and not by any interested party to the transaction, from the loan proceeds or escrowed at closing.  </w:t>
      </w:r>
    </w:p>
    <w:p w:rsidR="00E432A2" w:rsidRPr="00B31F51" w:rsidRDefault="00E432A2" w:rsidP="00B31F51"/>
    <w:p w:rsidR="003F1E52" w:rsidRPr="00B31F51" w:rsidRDefault="00E432A2" w:rsidP="00B31F51">
      <w:pPr>
        <w:numPr>
          <w:ilvl w:val="0"/>
          <w:numId w:val="34"/>
        </w:numPr>
      </w:pPr>
      <w:r w:rsidRPr="00B31F51">
        <w:t xml:space="preserve">In the event the lender receives a warning </w:t>
      </w:r>
      <w:r w:rsidR="00666285" w:rsidRPr="00B31F51">
        <w:t xml:space="preserve">that the borrower has been convicted of fraud </w:t>
      </w:r>
      <w:r w:rsidRPr="00B31F51">
        <w:t xml:space="preserve">at the time of case number assignment, </w:t>
      </w:r>
      <w:r w:rsidR="00666285" w:rsidRPr="00B31F51">
        <w:t xml:space="preserve">and believes it in error, the lender </w:t>
      </w:r>
      <w:r w:rsidRPr="00B31F51">
        <w:t>must document to the Homeownership Center that the borrower has not been convicted of fraud.</w:t>
      </w:r>
    </w:p>
    <w:p w:rsidR="003F1E52" w:rsidRPr="00B31F51" w:rsidRDefault="003F1E52" w:rsidP="00B31F51">
      <w:pPr>
        <w:ind w:left="720"/>
      </w:pPr>
    </w:p>
    <w:p w:rsidR="003F1E52" w:rsidRPr="00B31F51" w:rsidRDefault="0086031F" w:rsidP="00B31F51">
      <w:pPr>
        <w:numPr>
          <w:ilvl w:val="0"/>
          <w:numId w:val="34"/>
        </w:numPr>
      </w:pPr>
      <w:r w:rsidRPr="00B31F51">
        <w:t>For Refinances of Borrowers in Negative Equity P</w:t>
      </w:r>
      <w:r w:rsidR="003F1E52" w:rsidRPr="00B31F51">
        <w:t>ositions</w:t>
      </w:r>
      <w:r w:rsidR="008173FF" w:rsidRPr="00B31F51">
        <w:t xml:space="preserve"> (</w:t>
      </w:r>
      <w:r w:rsidR="00782378" w:rsidRPr="00B31F51">
        <w:t>FHA Short Refinance</w:t>
      </w:r>
      <w:r w:rsidR="008173FF" w:rsidRPr="00B31F51">
        <w:t>)</w:t>
      </w:r>
      <w:r w:rsidR="003F1E52" w:rsidRPr="00B31F51">
        <w:t>, existing lien holders must write off at least 10% of the unpaid principal balance.  FHA will collect the write off amount in FHA Connection</w:t>
      </w:r>
      <w:r w:rsidR="00FB3C55" w:rsidRPr="00B31F51">
        <w:t xml:space="preserve"> as it does for H4H loans currently</w:t>
      </w:r>
      <w:r w:rsidR="003F1E52" w:rsidRPr="00B31F51">
        <w:t>.</w:t>
      </w:r>
      <w:r w:rsidRPr="00B31F51">
        <w:t xml:space="preserve"> </w:t>
      </w:r>
      <w:r w:rsidR="003F1E52" w:rsidRPr="00B31F51">
        <w:t>Unlike H4H</w:t>
      </w:r>
      <w:r w:rsidRPr="00B31F51">
        <w:t xml:space="preserve"> loans</w:t>
      </w:r>
      <w:r w:rsidR="003F1E52" w:rsidRPr="00B31F51">
        <w:t>, the write off amount on</w:t>
      </w:r>
      <w:r w:rsidR="008173FF" w:rsidRPr="00B31F51">
        <w:t xml:space="preserve"> negative equity refinance loans</w:t>
      </w:r>
      <w:r w:rsidR="003F1E52" w:rsidRPr="00B31F51">
        <w:t xml:space="preserve"> is not is not covered elsewhere in the collection, therefore we have included it</w:t>
      </w:r>
      <w:r w:rsidR="00FB3C55" w:rsidRPr="00B31F51">
        <w:t xml:space="preserve"> on a separate line</w:t>
      </w:r>
      <w:r w:rsidR="003F1E52" w:rsidRPr="00B31F51">
        <w:t xml:space="preserve"> below</w:t>
      </w:r>
      <w:r w:rsidR="00FB3C55" w:rsidRPr="00B31F51">
        <w:t>,</w:t>
      </w:r>
      <w:r w:rsidR="003F1E52" w:rsidRPr="00B31F51">
        <w:t xml:space="preserve"> and adjusted the burden hours and costs accordingly.</w:t>
      </w:r>
    </w:p>
    <w:p w:rsidR="00FB3C55" w:rsidRPr="00B31F51" w:rsidRDefault="00FB3C55" w:rsidP="00B31F51">
      <w:pPr>
        <w:pStyle w:val="ListParagraph"/>
      </w:pPr>
    </w:p>
    <w:p w:rsidR="00420156" w:rsidRPr="00B31F51" w:rsidRDefault="00FB3C55" w:rsidP="00B31F51">
      <w:pPr>
        <w:pStyle w:val="ListParagraph"/>
        <w:numPr>
          <w:ilvl w:val="0"/>
          <w:numId w:val="34"/>
        </w:numPr>
      </w:pPr>
      <w:r w:rsidRPr="00B31F51">
        <w:t xml:space="preserve">Like H4H, borrowers obtaining </w:t>
      </w:r>
      <w:r w:rsidR="00782378" w:rsidRPr="00B31F51">
        <w:t>FHA Short Refinance loans</w:t>
      </w:r>
      <w:r w:rsidRPr="00B31F51">
        <w:t xml:space="preserve"> must certify they have not been convicted of certain crimes in connection with a mortgage or real estate transaction.  </w:t>
      </w:r>
      <w:r w:rsidR="0086031F" w:rsidRPr="00B31F51">
        <w:t>We have added the FHA Refinance of Borrowers in Negative Equity Positions Borrower Certification (HUD-92918) to the HOPE for Homeowners Consumer Disclosure and Certification (HUD-929</w:t>
      </w:r>
      <w:r w:rsidR="00420156" w:rsidRPr="00B31F51">
        <w:t>15-H4H) to calculate the burden.</w:t>
      </w:r>
    </w:p>
    <w:p w:rsidR="00FC67F9" w:rsidRPr="00B31F51" w:rsidRDefault="00FC67F9" w:rsidP="00B31F51"/>
    <w:p w:rsidR="001B6FC9" w:rsidRPr="00B31F51" w:rsidRDefault="009E4293" w:rsidP="00B31F51">
      <w:pPr>
        <w:numPr>
          <w:ilvl w:val="0"/>
          <w:numId w:val="35"/>
        </w:numPr>
      </w:pPr>
      <w:r w:rsidRPr="00B31F51">
        <w:t>The H4H program and documentation burden sunsets on September 30, 2011</w:t>
      </w:r>
      <w:r w:rsidR="008873D8" w:rsidRPr="00B31F51">
        <w:t xml:space="preserve">; and the </w:t>
      </w:r>
      <w:r w:rsidR="00420156" w:rsidRPr="00B31F51">
        <w:t xml:space="preserve">negative equity </w:t>
      </w:r>
      <w:r w:rsidR="008873D8" w:rsidRPr="00B31F51">
        <w:t>refinance enhancements expire December 31, 2012</w:t>
      </w:r>
      <w:r w:rsidRPr="00B31F51">
        <w:t xml:space="preserve">.  </w:t>
      </w:r>
      <w:r w:rsidR="001B6FC9" w:rsidRPr="00B31F51">
        <w:t>Each application request has its own unique characteristics of property, mortgage amount, and borrower; therefore, the use of computers can only be applied to the storage and retrieval of reference information and not to the burden-reduction aspect.  However, data entry on these forms is increasingly generated by proprietary loan origination systems (LOS), if purchased or licensed by the lender, with much of that information provided electronically to HUD.  Mortgage lenders may avail themselves of electronic options for data transmissions.  In 2005, HUD began accepting case binders electronically.  Approximately 7% of all case binders are now submitted in this manner.</w:t>
      </w:r>
    </w:p>
    <w:p w:rsidR="00FC67F9" w:rsidRPr="00B31F51" w:rsidRDefault="00FC67F9" w:rsidP="00B31F51">
      <w:pPr>
        <w:pStyle w:val="BodyTextIndent2"/>
        <w:overflowPunct w:val="0"/>
        <w:autoSpaceDE w:val="0"/>
        <w:autoSpaceDN w:val="0"/>
        <w:adjustRightInd w:val="0"/>
        <w:spacing w:after="0" w:line="240" w:lineRule="auto"/>
        <w:ind w:left="0"/>
        <w:textAlignment w:val="baseline"/>
      </w:pPr>
    </w:p>
    <w:p w:rsidR="001B6FC9" w:rsidRPr="00B31F51" w:rsidRDefault="001B6FC9" w:rsidP="00B31F51">
      <w:pPr>
        <w:pStyle w:val="BodyTextIndent2"/>
        <w:numPr>
          <w:ilvl w:val="0"/>
          <w:numId w:val="35"/>
        </w:numPr>
        <w:overflowPunct w:val="0"/>
        <w:autoSpaceDE w:val="0"/>
        <w:autoSpaceDN w:val="0"/>
        <w:adjustRightInd w:val="0"/>
        <w:spacing w:after="0" w:line="240" w:lineRule="auto"/>
        <w:textAlignment w:val="baseline"/>
      </w:pPr>
      <w:r w:rsidRPr="00B31F51">
        <w:t>No duplication exists due to the fact that each application is unique to the eligibility requirements explained in item 2.  No similar information exists.</w:t>
      </w:r>
    </w:p>
    <w:p w:rsidR="001B6FC9" w:rsidRPr="00B31F51" w:rsidRDefault="001B6FC9" w:rsidP="00B31F51">
      <w:pPr>
        <w:pStyle w:val="BodyTextIndent2"/>
        <w:overflowPunct w:val="0"/>
        <w:autoSpaceDE w:val="0"/>
        <w:autoSpaceDN w:val="0"/>
        <w:adjustRightInd w:val="0"/>
        <w:spacing w:after="0" w:line="240" w:lineRule="auto"/>
        <w:textAlignment w:val="baseline"/>
      </w:pPr>
    </w:p>
    <w:p w:rsidR="001B6FC9" w:rsidRPr="00B31F51" w:rsidRDefault="001B6FC9" w:rsidP="00B31F51">
      <w:pPr>
        <w:pStyle w:val="BodyTextIndent2"/>
        <w:numPr>
          <w:ilvl w:val="0"/>
          <w:numId w:val="35"/>
        </w:numPr>
        <w:overflowPunct w:val="0"/>
        <w:autoSpaceDE w:val="0"/>
        <w:autoSpaceDN w:val="0"/>
        <w:adjustRightInd w:val="0"/>
        <w:spacing w:after="0" w:line="240" w:lineRule="auto"/>
        <w:textAlignment w:val="baseline"/>
      </w:pPr>
      <w:r w:rsidRPr="00B31F51">
        <w:t>The information collected does not have a significant economic impact on a substantial number of small entities.</w:t>
      </w:r>
    </w:p>
    <w:p w:rsidR="00FC67F9" w:rsidRPr="00B31F51" w:rsidRDefault="00FC67F9" w:rsidP="00B31F51">
      <w:pPr>
        <w:pStyle w:val="BodyTextIndent2"/>
        <w:tabs>
          <w:tab w:val="right" w:pos="8386"/>
        </w:tabs>
        <w:overflowPunct w:val="0"/>
        <w:autoSpaceDE w:val="0"/>
        <w:autoSpaceDN w:val="0"/>
        <w:adjustRightInd w:val="0"/>
        <w:spacing w:after="0" w:line="240" w:lineRule="auto"/>
        <w:ind w:left="0"/>
        <w:textAlignment w:val="baseline"/>
      </w:pPr>
    </w:p>
    <w:p w:rsidR="001B6FC9" w:rsidRPr="00B31F51" w:rsidRDefault="001B6FC9" w:rsidP="00B31F51">
      <w:pPr>
        <w:pStyle w:val="BodyTextIndent2"/>
        <w:numPr>
          <w:ilvl w:val="0"/>
          <w:numId w:val="35"/>
        </w:numPr>
        <w:tabs>
          <w:tab w:val="right" w:pos="8386"/>
        </w:tabs>
        <w:overflowPunct w:val="0"/>
        <w:autoSpaceDE w:val="0"/>
        <w:autoSpaceDN w:val="0"/>
        <w:adjustRightInd w:val="0"/>
        <w:spacing w:after="0" w:line="240" w:lineRule="auto"/>
        <w:textAlignment w:val="baseline"/>
      </w:pPr>
      <w:r w:rsidRPr="00B31F51">
        <w:t xml:space="preserve">The reporting burden is loan-specific and, thus, cannot be conducted less frequently than on every single loan submitted to </w:t>
      </w:r>
      <w:r w:rsidR="00FC67F9" w:rsidRPr="00B31F51">
        <w:t xml:space="preserve">FHA for insurance endorsement. </w:t>
      </w:r>
    </w:p>
    <w:p w:rsidR="00FC67F9" w:rsidRPr="00B31F51" w:rsidRDefault="00FC67F9" w:rsidP="00B31F51">
      <w:pPr>
        <w:pStyle w:val="BodyTextIndent2"/>
        <w:tabs>
          <w:tab w:val="right" w:pos="8291"/>
        </w:tabs>
        <w:overflowPunct w:val="0"/>
        <w:autoSpaceDE w:val="0"/>
        <w:autoSpaceDN w:val="0"/>
        <w:adjustRightInd w:val="0"/>
        <w:spacing w:after="0" w:line="240" w:lineRule="auto"/>
        <w:ind w:left="0"/>
        <w:textAlignment w:val="baseline"/>
        <w:rPr>
          <w:i/>
        </w:rPr>
      </w:pPr>
    </w:p>
    <w:p w:rsidR="002B41B4" w:rsidRPr="00B31F51" w:rsidRDefault="00DC2C9E" w:rsidP="00B31F51">
      <w:pPr>
        <w:pStyle w:val="BodyTextIndent2"/>
        <w:numPr>
          <w:ilvl w:val="0"/>
          <w:numId w:val="35"/>
        </w:numPr>
        <w:tabs>
          <w:tab w:val="right" w:pos="8291"/>
        </w:tabs>
        <w:overflowPunct w:val="0"/>
        <w:autoSpaceDE w:val="0"/>
        <w:autoSpaceDN w:val="0"/>
        <w:adjustRightInd w:val="0"/>
        <w:spacing w:after="0" w:line="240" w:lineRule="auto"/>
        <w:textAlignment w:val="baseline"/>
      </w:pPr>
      <w:r w:rsidRPr="00B31F51">
        <w:t>Lenders are required to keep records for the duration of the mortgage loan, which could be as long as 30 years.  However, the average length of an FHA-insured mortgage is approximately 7.5 years.</w:t>
      </w:r>
      <w:r w:rsidR="00D92C61" w:rsidRPr="00B31F51">
        <w:t xml:space="preserve">  </w:t>
      </w:r>
      <w:r w:rsidRPr="00B31F51">
        <w:t xml:space="preserve"> </w:t>
      </w:r>
    </w:p>
    <w:p w:rsidR="00666285" w:rsidRPr="00B31F51" w:rsidRDefault="00666285" w:rsidP="00B31F51">
      <w:pPr>
        <w:pStyle w:val="BodyTextIndent2"/>
        <w:tabs>
          <w:tab w:val="right" w:pos="8291"/>
        </w:tabs>
        <w:overflowPunct w:val="0"/>
        <w:autoSpaceDE w:val="0"/>
        <w:autoSpaceDN w:val="0"/>
        <w:adjustRightInd w:val="0"/>
        <w:spacing w:after="0" w:line="240" w:lineRule="auto"/>
        <w:ind w:left="0"/>
        <w:textAlignment w:val="baseline"/>
      </w:pPr>
    </w:p>
    <w:p w:rsidR="00A20C2A" w:rsidRPr="00B31F51" w:rsidRDefault="002B41B4" w:rsidP="00B31F51">
      <w:pPr>
        <w:numPr>
          <w:ilvl w:val="0"/>
          <w:numId w:val="35"/>
        </w:numPr>
        <w:overflowPunct w:val="0"/>
        <w:textAlignment w:val="baseline"/>
        <w:rPr>
          <w:sz w:val="22"/>
          <w:szCs w:val="22"/>
        </w:rPr>
      </w:pPr>
      <w:r w:rsidRPr="00B31F51">
        <w:rPr>
          <w:sz w:val="22"/>
          <w:szCs w:val="22"/>
        </w:rPr>
        <w:t xml:space="preserve">In accordance with the requirements of 5 CFR 1320.8(d), the Notice soliciting comments on this collection of information was published in the </w:t>
      </w:r>
      <w:r w:rsidRPr="00B31F51">
        <w:rPr>
          <w:iCs/>
          <w:sz w:val="22"/>
          <w:szCs w:val="22"/>
        </w:rPr>
        <w:t>Federal Register</w:t>
      </w:r>
      <w:r w:rsidR="00227671">
        <w:rPr>
          <w:sz w:val="22"/>
          <w:szCs w:val="22"/>
          <w:u w:val="single"/>
        </w:rPr>
        <w:t xml:space="preserve"> </w:t>
      </w:r>
      <w:r w:rsidRPr="00B31F51">
        <w:rPr>
          <w:sz w:val="22"/>
          <w:szCs w:val="22"/>
        </w:rPr>
        <w:t xml:space="preserve">on </w:t>
      </w:r>
      <w:r w:rsidR="00227671">
        <w:rPr>
          <w:sz w:val="22"/>
          <w:szCs w:val="22"/>
        </w:rPr>
        <w:t>December 9, 2010</w:t>
      </w:r>
      <w:r w:rsidR="00742CFF" w:rsidRPr="00B31F51">
        <w:rPr>
          <w:sz w:val="22"/>
          <w:szCs w:val="22"/>
        </w:rPr>
        <w:t xml:space="preserve"> (Volum</w:t>
      </w:r>
      <w:r w:rsidR="00702617">
        <w:rPr>
          <w:sz w:val="22"/>
          <w:szCs w:val="22"/>
        </w:rPr>
        <w:t xml:space="preserve">e </w:t>
      </w:r>
      <w:r w:rsidR="00227671">
        <w:rPr>
          <w:sz w:val="22"/>
          <w:szCs w:val="22"/>
        </w:rPr>
        <w:t>75</w:t>
      </w:r>
      <w:r w:rsidR="004012A6" w:rsidRPr="00B31F51">
        <w:rPr>
          <w:sz w:val="22"/>
          <w:szCs w:val="22"/>
        </w:rPr>
        <w:t xml:space="preserve">, </w:t>
      </w:r>
      <w:r w:rsidR="00702617">
        <w:rPr>
          <w:sz w:val="22"/>
          <w:szCs w:val="22"/>
        </w:rPr>
        <w:t xml:space="preserve">page </w:t>
      </w:r>
      <w:r w:rsidR="00227671">
        <w:rPr>
          <w:sz w:val="22"/>
          <w:szCs w:val="22"/>
        </w:rPr>
        <w:t xml:space="preserve">76749).  No </w:t>
      </w:r>
      <w:r w:rsidRPr="00B31F51">
        <w:rPr>
          <w:sz w:val="22"/>
          <w:szCs w:val="22"/>
        </w:rPr>
        <w:t>comments</w:t>
      </w:r>
      <w:r w:rsidR="0032503C" w:rsidRPr="00B31F51">
        <w:rPr>
          <w:sz w:val="22"/>
          <w:szCs w:val="22"/>
        </w:rPr>
        <w:t xml:space="preserve"> were received</w:t>
      </w:r>
      <w:r w:rsidR="004012A6" w:rsidRPr="00B31F51">
        <w:rPr>
          <w:sz w:val="22"/>
          <w:szCs w:val="22"/>
        </w:rPr>
        <w:t>.</w:t>
      </w:r>
    </w:p>
    <w:p w:rsidR="00A20C2A" w:rsidRPr="00B31F51" w:rsidRDefault="00A20C2A" w:rsidP="00B31F51">
      <w:pPr>
        <w:overflowPunct w:val="0"/>
        <w:ind w:left="360"/>
        <w:textAlignment w:val="baseline"/>
        <w:rPr>
          <w:sz w:val="22"/>
          <w:szCs w:val="22"/>
        </w:rPr>
      </w:pPr>
    </w:p>
    <w:p w:rsidR="002B41B4" w:rsidRPr="00B31F51" w:rsidRDefault="002B41B4" w:rsidP="00B31F51">
      <w:pPr>
        <w:pStyle w:val="BodyTextIndent2"/>
        <w:numPr>
          <w:ilvl w:val="0"/>
          <w:numId w:val="35"/>
        </w:numPr>
        <w:overflowPunct w:val="0"/>
        <w:autoSpaceDE w:val="0"/>
        <w:autoSpaceDN w:val="0"/>
        <w:adjustRightInd w:val="0"/>
        <w:spacing w:after="0" w:line="240" w:lineRule="auto"/>
        <w:textAlignment w:val="baseline"/>
      </w:pPr>
      <w:r w:rsidRPr="00B31F51">
        <w:t>There are no gifts or other type payments made to respondents.</w:t>
      </w:r>
    </w:p>
    <w:p w:rsidR="00FC67F9" w:rsidRPr="00B31F51" w:rsidRDefault="00FC67F9" w:rsidP="00B31F51">
      <w:pPr>
        <w:tabs>
          <w:tab w:val="right" w:pos="8410"/>
        </w:tabs>
        <w:overflowPunct w:val="0"/>
        <w:autoSpaceDE w:val="0"/>
        <w:autoSpaceDN w:val="0"/>
        <w:adjustRightInd w:val="0"/>
        <w:textAlignment w:val="baseline"/>
      </w:pPr>
    </w:p>
    <w:p w:rsidR="000A50D0" w:rsidRPr="00B31F51" w:rsidRDefault="002B41B4" w:rsidP="00B31F51">
      <w:pPr>
        <w:numPr>
          <w:ilvl w:val="0"/>
          <w:numId w:val="35"/>
        </w:numPr>
        <w:tabs>
          <w:tab w:val="right" w:pos="8410"/>
        </w:tabs>
        <w:overflowPunct w:val="0"/>
        <w:autoSpaceDE w:val="0"/>
        <w:autoSpaceDN w:val="0"/>
        <w:adjustRightInd w:val="0"/>
        <w:textAlignment w:val="baseline"/>
      </w:pPr>
      <w:r w:rsidRPr="00B31F51">
        <w:t>The Privacy Act Statement provided in form HUD-</w:t>
      </w:r>
      <w:r w:rsidR="00862B7C" w:rsidRPr="00B31F51">
        <w:t>92900-H4H</w:t>
      </w:r>
      <w:r w:rsidRPr="00B31F51">
        <w:t xml:space="preserve"> Section III, “Notice to Borrowers” furnishes the authority for the collection of the information requested and the assurance of confidentiality as established by law.  Information regarding the borrower's financial status and income data are only used to determine eligibility.  </w:t>
      </w:r>
    </w:p>
    <w:p w:rsidR="000A50D0" w:rsidRPr="00B31F51" w:rsidRDefault="000A50D0" w:rsidP="00B31F51">
      <w:pPr>
        <w:tabs>
          <w:tab w:val="right" w:pos="8410"/>
        </w:tabs>
        <w:overflowPunct w:val="0"/>
        <w:autoSpaceDE w:val="0"/>
        <w:autoSpaceDN w:val="0"/>
        <w:adjustRightInd w:val="0"/>
        <w:ind w:left="360"/>
        <w:textAlignment w:val="baseline"/>
      </w:pPr>
    </w:p>
    <w:p w:rsidR="00A11647" w:rsidRPr="00B31F51" w:rsidRDefault="00A11647" w:rsidP="00B31F51">
      <w:pPr>
        <w:pStyle w:val="BodyTextIndent2"/>
        <w:numPr>
          <w:ilvl w:val="0"/>
          <w:numId w:val="35"/>
        </w:numPr>
        <w:tabs>
          <w:tab w:val="right" w:pos="2525"/>
        </w:tabs>
        <w:overflowPunct w:val="0"/>
        <w:autoSpaceDE w:val="0"/>
        <w:autoSpaceDN w:val="0"/>
        <w:adjustRightInd w:val="0"/>
        <w:spacing w:after="0" w:line="240" w:lineRule="auto"/>
        <w:textAlignment w:val="baseline"/>
      </w:pPr>
      <w:r w:rsidRPr="00B31F51">
        <w:t>This information collection does not contain any questions of a sensitive nature.</w:t>
      </w:r>
    </w:p>
    <w:p w:rsidR="00817263" w:rsidRPr="00B31F51" w:rsidRDefault="00817263" w:rsidP="00B31F51"/>
    <w:p w:rsidR="00CA7832" w:rsidRPr="00B31F51" w:rsidRDefault="00A11647" w:rsidP="00B31F51">
      <w:pPr>
        <w:widowControl w:val="0"/>
        <w:numPr>
          <w:ilvl w:val="0"/>
          <w:numId w:val="35"/>
        </w:numPr>
        <w:overflowPunct w:val="0"/>
        <w:autoSpaceDE w:val="0"/>
        <w:autoSpaceDN w:val="0"/>
        <w:adjustRightInd w:val="0"/>
        <w:textAlignment w:val="baseline"/>
      </w:pPr>
      <w:r w:rsidRPr="00B31F51">
        <w:t>Estimate of public burden.</w:t>
      </w:r>
    </w:p>
    <w:p w:rsidR="00A65392" w:rsidRPr="00B31F51" w:rsidRDefault="00A65392" w:rsidP="00B31F51">
      <w:pPr>
        <w:widowControl w:val="0"/>
        <w:overflowPunct w:val="0"/>
        <w:autoSpaceDE w:val="0"/>
        <w:autoSpaceDN w:val="0"/>
        <w:adjustRightInd w:val="0"/>
        <w:ind w:left="360"/>
        <w:textAlignment w:val="baseline"/>
      </w:pPr>
    </w:p>
    <w:p w:rsidR="00AA0905" w:rsidRPr="00B31F51" w:rsidRDefault="00AA0905" w:rsidP="00B31F51">
      <w:pPr>
        <w:widowControl w:val="0"/>
        <w:overflowPunct w:val="0"/>
        <w:autoSpaceDE w:val="0"/>
        <w:autoSpaceDN w:val="0"/>
        <w:adjustRightInd w:val="0"/>
        <w:ind w:left="360"/>
        <w:textAlignment w:val="baseline"/>
      </w:pPr>
    </w:p>
    <w:p w:rsidR="00AA0905" w:rsidRPr="00B31F51" w:rsidRDefault="00AA0905" w:rsidP="00B31F51">
      <w:pPr>
        <w:widowControl w:val="0"/>
        <w:overflowPunct w:val="0"/>
        <w:autoSpaceDE w:val="0"/>
        <w:autoSpaceDN w:val="0"/>
        <w:adjustRightInd w:val="0"/>
        <w:ind w:left="360"/>
        <w:textAlignment w:val="baseline"/>
      </w:pPr>
      <w:r w:rsidRPr="00B31F51">
        <w:t>(Please see chart on following page)</w:t>
      </w:r>
    </w:p>
    <w:p w:rsidR="00AA0905" w:rsidRPr="00B31F51" w:rsidRDefault="00AA0905" w:rsidP="00B31F51">
      <w:pPr>
        <w:widowControl w:val="0"/>
        <w:overflowPunct w:val="0"/>
        <w:autoSpaceDE w:val="0"/>
        <w:autoSpaceDN w:val="0"/>
        <w:adjustRightInd w:val="0"/>
        <w:ind w:left="360"/>
        <w:textAlignment w:val="baseline"/>
      </w:pPr>
    </w:p>
    <w:p w:rsidR="00AA0905" w:rsidRPr="00B31F51" w:rsidRDefault="00AA0905" w:rsidP="00B31F51">
      <w:pPr>
        <w:widowControl w:val="0"/>
        <w:overflowPunct w:val="0"/>
        <w:autoSpaceDE w:val="0"/>
        <w:autoSpaceDN w:val="0"/>
        <w:adjustRightInd w:val="0"/>
        <w:ind w:left="360"/>
        <w:textAlignment w:val="baseline"/>
      </w:pPr>
    </w:p>
    <w:p w:rsidR="00AA0905" w:rsidRPr="00B31F51" w:rsidRDefault="00AA0905" w:rsidP="00B31F51">
      <w:pPr>
        <w:widowControl w:val="0"/>
        <w:overflowPunct w:val="0"/>
        <w:autoSpaceDE w:val="0"/>
        <w:autoSpaceDN w:val="0"/>
        <w:adjustRightInd w:val="0"/>
        <w:ind w:left="360"/>
        <w:textAlignment w:val="baseline"/>
      </w:pPr>
    </w:p>
    <w:p w:rsidR="00AA0905" w:rsidRPr="00B31F51" w:rsidRDefault="00AA0905" w:rsidP="00B31F51">
      <w:pPr>
        <w:widowControl w:val="0"/>
        <w:overflowPunct w:val="0"/>
        <w:autoSpaceDE w:val="0"/>
        <w:autoSpaceDN w:val="0"/>
        <w:adjustRightInd w:val="0"/>
        <w:ind w:left="360"/>
        <w:textAlignment w:val="baseline"/>
      </w:pPr>
    </w:p>
    <w:p w:rsidR="00AA0905" w:rsidRPr="00B31F51" w:rsidRDefault="00AA0905" w:rsidP="00B31F51">
      <w:pPr>
        <w:widowControl w:val="0"/>
        <w:overflowPunct w:val="0"/>
        <w:autoSpaceDE w:val="0"/>
        <w:autoSpaceDN w:val="0"/>
        <w:adjustRightInd w:val="0"/>
        <w:ind w:left="360"/>
        <w:textAlignment w:val="baseline"/>
      </w:pPr>
    </w:p>
    <w:p w:rsidR="00A11647" w:rsidRPr="00B31F51" w:rsidRDefault="00A11647" w:rsidP="00B31F51">
      <w:pPr>
        <w:widowControl w:val="0"/>
        <w:overflowPunct w:val="0"/>
        <w:autoSpaceDE w:val="0"/>
        <w:autoSpaceDN w:val="0"/>
        <w:adjustRightInd w:val="0"/>
        <w:textAlignment w:val="baseline"/>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73"/>
        <w:gridCol w:w="1371"/>
        <w:gridCol w:w="1364"/>
        <w:gridCol w:w="1364"/>
        <w:gridCol w:w="1361"/>
        <w:gridCol w:w="1356"/>
        <w:gridCol w:w="1361"/>
        <w:gridCol w:w="1466"/>
      </w:tblGrid>
      <w:tr w:rsidR="00D92C61" w:rsidRPr="00B31F51" w:rsidTr="0007118A">
        <w:trPr>
          <w:tblHeader/>
          <w:jc w:val="center"/>
        </w:trPr>
        <w:tc>
          <w:tcPr>
            <w:tcW w:w="1373" w:type="dxa"/>
          </w:tcPr>
          <w:p w:rsidR="00A11647" w:rsidRPr="00B31F51" w:rsidRDefault="00A11647" w:rsidP="00B31F51">
            <w:pPr>
              <w:widowControl w:val="0"/>
              <w:overflowPunct w:val="0"/>
              <w:autoSpaceDE w:val="0"/>
              <w:autoSpaceDN w:val="0"/>
              <w:adjustRightInd w:val="0"/>
              <w:textAlignment w:val="baseline"/>
              <w:rPr>
                <w:sz w:val="20"/>
                <w:szCs w:val="20"/>
              </w:rPr>
            </w:pPr>
            <w:r w:rsidRPr="00B31F51">
              <w:rPr>
                <w:sz w:val="20"/>
                <w:szCs w:val="20"/>
              </w:rPr>
              <w:t>Information Collection</w:t>
            </w:r>
          </w:p>
        </w:tc>
        <w:tc>
          <w:tcPr>
            <w:tcW w:w="1371" w:type="dxa"/>
          </w:tcPr>
          <w:p w:rsidR="00A11647" w:rsidRPr="00B31F51" w:rsidRDefault="00A11647" w:rsidP="00B31F51">
            <w:pPr>
              <w:widowControl w:val="0"/>
              <w:overflowPunct w:val="0"/>
              <w:autoSpaceDE w:val="0"/>
              <w:autoSpaceDN w:val="0"/>
              <w:adjustRightInd w:val="0"/>
              <w:textAlignment w:val="baseline"/>
              <w:rPr>
                <w:sz w:val="20"/>
                <w:szCs w:val="20"/>
              </w:rPr>
            </w:pPr>
            <w:r w:rsidRPr="00B31F51">
              <w:rPr>
                <w:sz w:val="20"/>
                <w:szCs w:val="20"/>
              </w:rPr>
              <w:t>Number of Respondents</w:t>
            </w:r>
          </w:p>
        </w:tc>
        <w:tc>
          <w:tcPr>
            <w:tcW w:w="1364" w:type="dxa"/>
          </w:tcPr>
          <w:p w:rsidR="00A11647" w:rsidRPr="00B31F51" w:rsidRDefault="00A11647" w:rsidP="00B31F51">
            <w:pPr>
              <w:widowControl w:val="0"/>
              <w:overflowPunct w:val="0"/>
              <w:autoSpaceDE w:val="0"/>
              <w:autoSpaceDN w:val="0"/>
              <w:adjustRightInd w:val="0"/>
              <w:textAlignment w:val="baseline"/>
              <w:rPr>
                <w:sz w:val="20"/>
                <w:szCs w:val="20"/>
              </w:rPr>
            </w:pPr>
            <w:r w:rsidRPr="00B31F51">
              <w:rPr>
                <w:sz w:val="20"/>
                <w:szCs w:val="20"/>
              </w:rPr>
              <w:t>Frequency of Response</w:t>
            </w:r>
          </w:p>
        </w:tc>
        <w:tc>
          <w:tcPr>
            <w:tcW w:w="1364" w:type="dxa"/>
          </w:tcPr>
          <w:p w:rsidR="00A11647" w:rsidRPr="00B31F51" w:rsidRDefault="00A11647" w:rsidP="00B31F51">
            <w:pPr>
              <w:widowControl w:val="0"/>
              <w:overflowPunct w:val="0"/>
              <w:autoSpaceDE w:val="0"/>
              <w:autoSpaceDN w:val="0"/>
              <w:adjustRightInd w:val="0"/>
              <w:textAlignment w:val="baseline"/>
              <w:rPr>
                <w:sz w:val="20"/>
                <w:szCs w:val="20"/>
              </w:rPr>
            </w:pPr>
            <w:r w:rsidRPr="00B31F51">
              <w:rPr>
                <w:sz w:val="20"/>
                <w:szCs w:val="20"/>
              </w:rPr>
              <w:t>Responses Per Annum</w:t>
            </w:r>
          </w:p>
        </w:tc>
        <w:tc>
          <w:tcPr>
            <w:tcW w:w="1361" w:type="dxa"/>
          </w:tcPr>
          <w:p w:rsidR="00A11647" w:rsidRPr="00B31F51" w:rsidRDefault="00A11647" w:rsidP="00B31F51">
            <w:pPr>
              <w:widowControl w:val="0"/>
              <w:overflowPunct w:val="0"/>
              <w:autoSpaceDE w:val="0"/>
              <w:autoSpaceDN w:val="0"/>
              <w:adjustRightInd w:val="0"/>
              <w:textAlignment w:val="baseline"/>
              <w:rPr>
                <w:sz w:val="20"/>
                <w:szCs w:val="20"/>
              </w:rPr>
            </w:pPr>
            <w:r w:rsidRPr="00B31F51">
              <w:rPr>
                <w:sz w:val="20"/>
                <w:szCs w:val="20"/>
              </w:rPr>
              <w:t>Burden Hour Per Response</w:t>
            </w:r>
          </w:p>
        </w:tc>
        <w:tc>
          <w:tcPr>
            <w:tcW w:w="1356" w:type="dxa"/>
          </w:tcPr>
          <w:p w:rsidR="00A11647" w:rsidRPr="00B31F51" w:rsidRDefault="00A11647" w:rsidP="00B31F51">
            <w:pPr>
              <w:widowControl w:val="0"/>
              <w:overflowPunct w:val="0"/>
              <w:autoSpaceDE w:val="0"/>
              <w:autoSpaceDN w:val="0"/>
              <w:adjustRightInd w:val="0"/>
              <w:textAlignment w:val="baseline"/>
              <w:rPr>
                <w:sz w:val="20"/>
                <w:szCs w:val="20"/>
              </w:rPr>
            </w:pPr>
            <w:r w:rsidRPr="00B31F51">
              <w:rPr>
                <w:sz w:val="20"/>
                <w:szCs w:val="20"/>
              </w:rPr>
              <w:t>Annual Burden Hours</w:t>
            </w:r>
          </w:p>
        </w:tc>
        <w:tc>
          <w:tcPr>
            <w:tcW w:w="1361" w:type="dxa"/>
          </w:tcPr>
          <w:p w:rsidR="00A11647" w:rsidRPr="00B31F51" w:rsidRDefault="00A11647" w:rsidP="00B31F51">
            <w:pPr>
              <w:widowControl w:val="0"/>
              <w:overflowPunct w:val="0"/>
              <w:autoSpaceDE w:val="0"/>
              <w:autoSpaceDN w:val="0"/>
              <w:adjustRightInd w:val="0"/>
              <w:textAlignment w:val="baseline"/>
              <w:rPr>
                <w:sz w:val="20"/>
                <w:szCs w:val="20"/>
              </w:rPr>
            </w:pPr>
            <w:r w:rsidRPr="00B31F51">
              <w:rPr>
                <w:sz w:val="20"/>
                <w:szCs w:val="20"/>
              </w:rPr>
              <w:t>Hourly Cost Per Response</w:t>
            </w:r>
          </w:p>
        </w:tc>
        <w:tc>
          <w:tcPr>
            <w:tcW w:w="1466" w:type="dxa"/>
          </w:tcPr>
          <w:p w:rsidR="00A11647" w:rsidRPr="00B31F51" w:rsidRDefault="00A11647" w:rsidP="00B31F51">
            <w:pPr>
              <w:widowControl w:val="0"/>
              <w:overflowPunct w:val="0"/>
              <w:autoSpaceDE w:val="0"/>
              <w:autoSpaceDN w:val="0"/>
              <w:adjustRightInd w:val="0"/>
              <w:textAlignment w:val="baseline"/>
              <w:rPr>
                <w:sz w:val="20"/>
                <w:szCs w:val="20"/>
              </w:rPr>
            </w:pPr>
            <w:r w:rsidRPr="00B31F51">
              <w:rPr>
                <w:sz w:val="20"/>
                <w:szCs w:val="20"/>
              </w:rPr>
              <w:t>Annual Cost</w:t>
            </w:r>
          </w:p>
        </w:tc>
      </w:tr>
      <w:tr w:rsidR="00D92C61" w:rsidRPr="00B31F51" w:rsidTr="0007118A">
        <w:trPr>
          <w:jc w:val="center"/>
        </w:trPr>
        <w:tc>
          <w:tcPr>
            <w:tcW w:w="1373" w:type="dxa"/>
            <w:vAlign w:val="bottom"/>
          </w:tcPr>
          <w:p w:rsidR="009B597A" w:rsidRPr="00B31F51" w:rsidRDefault="009B597A" w:rsidP="00B31F51">
            <w:pPr>
              <w:widowControl w:val="0"/>
              <w:overflowPunct w:val="0"/>
              <w:autoSpaceDE w:val="0"/>
              <w:autoSpaceDN w:val="0"/>
              <w:adjustRightInd w:val="0"/>
              <w:textAlignment w:val="baseline"/>
              <w:rPr>
                <w:sz w:val="20"/>
                <w:szCs w:val="20"/>
              </w:rPr>
            </w:pPr>
            <w:r w:rsidRPr="00B31F51">
              <w:rPr>
                <w:sz w:val="20"/>
                <w:szCs w:val="20"/>
              </w:rPr>
              <w:t>HOPE for Homeowners Consumer Disclosure and Certification</w:t>
            </w:r>
          </w:p>
          <w:p w:rsidR="008230E1" w:rsidRPr="00B31F51" w:rsidRDefault="008230E1" w:rsidP="00B31F51">
            <w:pPr>
              <w:widowControl w:val="0"/>
              <w:overflowPunct w:val="0"/>
              <w:autoSpaceDE w:val="0"/>
              <w:autoSpaceDN w:val="0"/>
              <w:adjustRightInd w:val="0"/>
              <w:textAlignment w:val="baseline"/>
              <w:rPr>
                <w:sz w:val="20"/>
                <w:szCs w:val="20"/>
              </w:rPr>
            </w:pPr>
            <w:r w:rsidRPr="00B31F51">
              <w:rPr>
                <w:sz w:val="20"/>
                <w:szCs w:val="20"/>
              </w:rPr>
              <w:t>92915-H4H</w:t>
            </w:r>
          </w:p>
          <w:p w:rsidR="00787920" w:rsidRPr="00B31F51" w:rsidRDefault="00787920" w:rsidP="00B31F51">
            <w:pPr>
              <w:widowControl w:val="0"/>
              <w:overflowPunct w:val="0"/>
              <w:autoSpaceDE w:val="0"/>
              <w:autoSpaceDN w:val="0"/>
              <w:adjustRightInd w:val="0"/>
              <w:textAlignment w:val="baseline"/>
              <w:rPr>
                <w:sz w:val="20"/>
                <w:szCs w:val="20"/>
              </w:rPr>
            </w:pPr>
          </w:p>
        </w:tc>
        <w:tc>
          <w:tcPr>
            <w:tcW w:w="1371" w:type="dxa"/>
            <w:vAlign w:val="bottom"/>
          </w:tcPr>
          <w:p w:rsidR="009B597A" w:rsidRPr="00B31F51" w:rsidRDefault="00FB3C55" w:rsidP="00B31F51">
            <w:pPr>
              <w:widowControl w:val="0"/>
              <w:overflowPunct w:val="0"/>
              <w:autoSpaceDE w:val="0"/>
              <w:autoSpaceDN w:val="0"/>
              <w:adjustRightInd w:val="0"/>
              <w:textAlignment w:val="baseline"/>
              <w:rPr>
                <w:sz w:val="20"/>
                <w:szCs w:val="20"/>
              </w:rPr>
            </w:pPr>
            <w:r w:rsidRPr="00B31F51">
              <w:rPr>
                <w:sz w:val="20"/>
                <w:szCs w:val="20"/>
              </w:rPr>
              <w:t>11</w:t>
            </w:r>
            <w:r w:rsidR="009B597A" w:rsidRPr="00B31F51">
              <w:rPr>
                <w:sz w:val="20"/>
                <w:szCs w:val="20"/>
              </w:rPr>
              <w:t>,000</w:t>
            </w:r>
          </w:p>
        </w:tc>
        <w:tc>
          <w:tcPr>
            <w:tcW w:w="1364" w:type="dxa"/>
            <w:vAlign w:val="bottom"/>
          </w:tcPr>
          <w:p w:rsidR="009B597A" w:rsidRPr="00B31F51" w:rsidRDefault="009B597A" w:rsidP="00B31F51">
            <w:pPr>
              <w:widowControl w:val="0"/>
              <w:overflowPunct w:val="0"/>
              <w:autoSpaceDE w:val="0"/>
              <w:autoSpaceDN w:val="0"/>
              <w:adjustRightInd w:val="0"/>
              <w:textAlignment w:val="baseline"/>
              <w:rPr>
                <w:sz w:val="20"/>
                <w:szCs w:val="20"/>
              </w:rPr>
            </w:pPr>
            <w:r w:rsidRPr="00B31F51">
              <w:rPr>
                <w:sz w:val="20"/>
                <w:szCs w:val="20"/>
              </w:rPr>
              <w:t>1 per loan</w:t>
            </w:r>
          </w:p>
        </w:tc>
        <w:tc>
          <w:tcPr>
            <w:tcW w:w="1364" w:type="dxa"/>
            <w:vAlign w:val="bottom"/>
          </w:tcPr>
          <w:p w:rsidR="009B597A" w:rsidRPr="00B31F51" w:rsidRDefault="00A65392" w:rsidP="00B31F51">
            <w:pPr>
              <w:widowControl w:val="0"/>
              <w:overflowPunct w:val="0"/>
              <w:autoSpaceDE w:val="0"/>
              <w:autoSpaceDN w:val="0"/>
              <w:adjustRightInd w:val="0"/>
              <w:textAlignment w:val="baseline"/>
              <w:rPr>
                <w:sz w:val="20"/>
                <w:szCs w:val="20"/>
              </w:rPr>
            </w:pPr>
            <w:r w:rsidRPr="00B31F51">
              <w:rPr>
                <w:sz w:val="20"/>
                <w:szCs w:val="20"/>
              </w:rPr>
              <w:t>5,000</w:t>
            </w:r>
          </w:p>
        </w:tc>
        <w:tc>
          <w:tcPr>
            <w:tcW w:w="1361" w:type="dxa"/>
            <w:vAlign w:val="bottom"/>
          </w:tcPr>
          <w:p w:rsidR="009B597A" w:rsidRPr="00B31F51" w:rsidRDefault="009B597A" w:rsidP="00B31F51">
            <w:pPr>
              <w:widowControl w:val="0"/>
              <w:overflowPunct w:val="0"/>
              <w:autoSpaceDE w:val="0"/>
              <w:autoSpaceDN w:val="0"/>
              <w:adjustRightInd w:val="0"/>
              <w:textAlignment w:val="baseline"/>
              <w:rPr>
                <w:sz w:val="20"/>
                <w:szCs w:val="20"/>
              </w:rPr>
            </w:pPr>
            <w:r w:rsidRPr="00B31F51">
              <w:rPr>
                <w:sz w:val="20"/>
                <w:szCs w:val="20"/>
              </w:rPr>
              <w:t>.5</w:t>
            </w:r>
          </w:p>
        </w:tc>
        <w:tc>
          <w:tcPr>
            <w:tcW w:w="1356" w:type="dxa"/>
            <w:vAlign w:val="bottom"/>
          </w:tcPr>
          <w:p w:rsidR="009B597A" w:rsidRPr="00B31F51" w:rsidRDefault="00787920" w:rsidP="00B31F51">
            <w:pPr>
              <w:widowControl w:val="0"/>
              <w:overflowPunct w:val="0"/>
              <w:autoSpaceDE w:val="0"/>
              <w:autoSpaceDN w:val="0"/>
              <w:adjustRightInd w:val="0"/>
              <w:textAlignment w:val="baseline"/>
              <w:rPr>
                <w:sz w:val="20"/>
                <w:szCs w:val="20"/>
              </w:rPr>
            </w:pPr>
            <w:r w:rsidRPr="00B31F51">
              <w:rPr>
                <w:sz w:val="20"/>
                <w:szCs w:val="20"/>
              </w:rPr>
              <w:t>2,500</w:t>
            </w:r>
          </w:p>
        </w:tc>
        <w:tc>
          <w:tcPr>
            <w:tcW w:w="1361" w:type="dxa"/>
            <w:vAlign w:val="bottom"/>
          </w:tcPr>
          <w:p w:rsidR="009B597A" w:rsidRPr="00B31F51" w:rsidRDefault="009B597A" w:rsidP="00B31F51">
            <w:r w:rsidRPr="00B31F51">
              <w:rPr>
                <w:sz w:val="20"/>
                <w:szCs w:val="20"/>
              </w:rPr>
              <w:t>$36.26</w:t>
            </w:r>
          </w:p>
        </w:tc>
        <w:tc>
          <w:tcPr>
            <w:tcW w:w="1466" w:type="dxa"/>
            <w:vAlign w:val="bottom"/>
          </w:tcPr>
          <w:p w:rsidR="009B597A" w:rsidRPr="00B31F51" w:rsidRDefault="00956305" w:rsidP="00B31F51">
            <w:pPr>
              <w:widowControl w:val="0"/>
              <w:overflowPunct w:val="0"/>
              <w:autoSpaceDE w:val="0"/>
              <w:autoSpaceDN w:val="0"/>
              <w:adjustRightInd w:val="0"/>
              <w:textAlignment w:val="baseline"/>
              <w:rPr>
                <w:sz w:val="20"/>
                <w:szCs w:val="20"/>
              </w:rPr>
            </w:pPr>
            <w:r w:rsidRPr="00B31F51">
              <w:rPr>
                <w:sz w:val="20"/>
                <w:szCs w:val="20"/>
              </w:rPr>
              <w:t>$</w:t>
            </w:r>
            <w:r w:rsidR="00787920" w:rsidRPr="00B31F51">
              <w:rPr>
                <w:sz w:val="20"/>
                <w:szCs w:val="20"/>
              </w:rPr>
              <w:t>90,650.00</w:t>
            </w:r>
          </w:p>
        </w:tc>
      </w:tr>
      <w:tr w:rsidR="00A65392" w:rsidRPr="00B31F51" w:rsidTr="0007118A">
        <w:trPr>
          <w:jc w:val="center"/>
        </w:trPr>
        <w:tc>
          <w:tcPr>
            <w:tcW w:w="1373" w:type="dxa"/>
            <w:vAlign w:val="bottom"/>
          </w:tcPr>
          <w:p w:rsidR="00A65392" w:rsidRPr="00B31F51" w:rsidRDefault="00A65392" w:rsidP="00B31F51">
            <w:pPr>
              <w:widowControl w:val="0"/>
              <w:overflowPunct w:val="0"/>
              <w:autoSpaceDE w:val="0"/>
              <w:autoSpaceDN w:val="0"/>
              <w:adjustRightInd w:val="0"/>
              <w:textAlignment w:val="baseline"/>
              <w:rPr>
                <w:sz w:val="20"/>
                <w:szCs w:val="20"/>
              </w:rPr>
            </w:pPr>
            <w:r w:rsidRPr="00B31F51">
              <w:rPr>
                <w:sz w:val="20"/>
                <w:szCs w:val="20"/>
              </w:rPr>
              <w:t>FHA Refinance of Borrowers in Negative Equity Positions Borrower Certification</w:t>
            </w:r>
            <w:r w:rsidR="0017066C">
              <w:rPr>
                <w:sz w:val="20"/>
                <w:szCs w:val="20"/>
              </w:rPr>
              <w:t xml:space="preserve"> 92918</w:t>
            </w:r>
            <w:r w:rsidR="00C27983">
              <w:rPr>
                <w:sz w:val="20"/>
                <w:szCs w:val="20"/>
              </w:rPr>
              <w:t>-H4H</w:t>
            </w:r>
          </w:p>
        </w:tc>
        <w:tc>
          <w:tcPr>
            <w:tcW w:w="1371" w:type="dxa"/>
            <w:vAlign w:val="bottom"/>
          </w:tcPr>
          <w:p w:rsidR="00787920" w:rsidRPr="00B31F51" w:rsidRDefault="00787920" w:rsidP="00B31F51">
            <w:pPr>
              <w:widowControl w:val="0"/>
              <w:overflowPunct w:val="0"/>
              <w:autoSpaceDE w:val="0"/>
              <w:autoSpaceDN w:val="0"/>
              <w:adjustRightInd w:val="0"/>
              <w:textAlignment w:val="baseline"/>
              <w:rPr>
                <w:sz w:val="20"/>
                <w:szCs w:val="20"/>
              </w:rPr>
            </w:pPr>
          </w:p>
          <w:p w:rsidR="00A65392" w:rsidRPr="00B31F51" w:rsidRDefault="00A65392" w:rsidP="00B31F51">
            <w:pPr>
              <w:widowControl w:val="0"/>
              <w:overflowPunct w:val="0"/>
              <w:autoSpaceDE w:val="0"/>
              <w:autoSpaceDN w:val="0"/>
              <w:adjustRightInd w:val="0"/>
              <w:textAlignment w:val="baseline"/>
              <w:rPr>
                <w:sz w:val="20"/>
                <w:szCs w:val="20"/>
              </w:rPr>
            </w:pPr>
            <w:r w:rsidRPr="00B31F51">
              <w:rPr>
                <w:sz w:val="20"/>
                <w:szCs w:val="20"/>
              </w:rPr>
              <w:t>11,000</w:t>
            </w:r>
          </w:p>
        </w:tc>
        <w:tc>
          <w:tcPr>
            <w:tcW w:w="1364" w:type="dxa"/>
            <w:vAlign w:val="bottom"/>
          </w:tcPr>
          <w:p w:rsidR="00A65392" w:rsidRPr="00B31F51" w:rsidRDefault="00A65392" w:rsidP="00B31F51">
            <w:pPr>
              <w:widowControl w:val="0"/>
              <w:overflowPunct w:val="0"/>
              <w:autoSpaceDE w:val="0"/>
              <w:autoSpaceDN w:val="0"/>
              <w:adjustRightInd w:val="0"/>
              <w:textAlignment w:val="baseline"/>
              <w:rPr>
                <w:sz w:val="20"/>
                <w:szCs w:val="20"/>
              </w:rPr>
            </w:pPr>
            <w:r w:rsidRPr="00B31F51">
              <w:rPr>
                <w:sz w:val="20"/>
                <w:szCs w:val="20"/>
              </w:rPr>
              <w:t>1 per loan</w:t>
            </w:r>
          </w:p>
        </w:tc>
        <w:tc>
          <w:tcPr>
            <w:tcW w:w="1364" w:type="dxa"/>
            <w:vAlign w:val="bottom"/>
          </w:tcPr>
          <w:p w:rsidR="00A65392" w:rsidRPr="00B31F51" w:rsidRDefault="00A65392" w:rsidP="00B31F51">
            <w:pPr>
              <w:widowControl w:val="0"/>
              <w:overflowPunct w:val="0"/>
              <w:autoSpaceDE w:val="0"/>
              <w:autoSpaceDN w:val="0"/>
              <w:adjustRightInd w:val="0"/>
              <w:textAlignment w:val="baseline"/>
              <w:rPr>
                <w:sz w:val="20"/>
                <w:szCs w:val="20"/>
              </w:rPr>
            </w:pPr>
            <w:r w:rsidRPr="00B31F51">
              <w:rPr>
                <w:sz w:val="20"/>
                <w:szCs w:val="20"/>
              </w:rPr>
              <w:t>428,571</w:t>
            </w:r>
          </w:p>
        </w:tc>
        <w:tc>
          <w:tcPr>
            <w:tcW w:w="1361" w:type="dxa"/>
            <w:vAlign w:val="bottom"/>
          </w:tcPr>
          <w:p w:rsidR="00A65392" w:rsidRPr="00B31F51" w:rsidRDefault="00A65392" w:rsidP="00B31F51">
            <w:pPr>
              <w:widowControl w:val="0"/>
              <w:overflowPunct w:val="0"/>
              <w:autoSpaceDE w:val="0"/>
              <w:autoSpaceDN w:val="0"/>
              <w:adjustRightInd w:val="0"/>
              <w:textAlignment w:val="baseline"/>
              <w:rPr>
                <w:sz w:val="20"/>
                <w:szCs w:val="20"/>
              </w:rPr>
            </w:pPr>
            <w:r w:rsidRPr="00B31F51">
              <w:rPr>
                <w:sz w:val="20"/>
                <w:szCs w:val="20"/>
              </w:rPr>
              <w:t>.</w:t>
            </w:r>
            <w:r w:rsidR="00787920" w:rsidRPr="00B31F51">
              <w:rPr>
                <w:sz w:val="20"/>
                <w:szCs w:val="20"/>
              </w:rPr>
              <w:t>2</w:t>
            </w:r>
          </w:p>
        </w:tc>
        <w:tc>
          <w:tcPr>
            <w:tcW w:w="1356" w:type="dxa"/>
            <w:vAlign w:val="bottom"/>
          </w:tcPr>
          <w:p w:rsidR="00A65392" w:rsidRPr="00B31F51" w:rsidRDefault="00787920" w:rsidP="00B31F51">
            <w:pPr>
              <w:widowControl w:val="0"/>
              <w:overflowPunct w:val="0"/>
              <w:autoSpaceDE w:val="0"/>
              <w:autoSpaceDN w:val="0"/>
              <w:adjustRightInd w:val="0"/>
              <w:textAlignment w:val="baseline"/>
              <w:rPr>
                <w:sz w:val="20"/>
                <w:szCs w:val="20"/>
              </w:rPr>
            </w:pPr>
            <w:r w:rsidRPr="00B31F51">
              <w:rPr>
                <w:sz w:val="20"/>
                <w:szCs w:val="20"/>
              </w:rPr>
              <w:t>85,714</w:t>
            </w:r>
          </w:p>
        </w:tc>
        <w:tc>
          <w:tcPr>
            <w:tcW w:w="1361" w:type="dxa"/>
            <w:vAlign w:val="bottom"/>
          </w:tcPr>
          <w:p w:rsidR="00A65392" w:rsidRPr="00B31F51" w:rsidRDefault="00787920" w:rsidP="00B31F51">
            <w:pPr>
              <w:rPr>
                <w:sz w:val="20"/>
                <w:szCs w:val="20"/>
              </w:rPr>
            </w:pPr>
            <w:r w:rsidRPr="00B31F51">
              <w:rPr>
                <w:sz w:val="20"/>
                <w:szCs w:val="20"/>
              </w:rPr>
              <w:t>$36.26</w:t>
            </w:r>
          </w:p>
        </w:tc>
        <w:tc>
          <w:tcPr>
            <w:tcW w:w="1466" w:type="dxa"/>
            <w:vAlign w:val="bottom"/>
          </w:tcPr>
          <w:p w:rsidR="00A65392" w:rsidRPr="00B31F51" w:rsidRDefault="00787920" w:rsidP="00B31F51">
            <w:pPr>
              <w:widowControl w:val="0"/>
              <w:overflowPunct w:val="0"/>
              <w:autoSpaceDE w:val="0"/>
              <w:autoSpaceDN w:val="0"/>
              <w:adjustRightInd w:val="0"/>
              <w:textAlignment w:val="baseline"/>
              <w:rPr>
                <w:sz w:val="20"/>
                <w:szCs w:val="20"/>
              </w:rPr>
            </w:pPr>
            <w:r w:rsidRPr="00B31F51">
              <w:rPr>
                <w:sz w:val="20"/>
                <w:szCs w:val="20"/>
              </w:rPr>
              <w:t>$3,107,996.90</w:t>
            </w:r>
          </w:p>
        </w:tc>
      </w:tr>
      <w:tr w:rsidR="00D92C61" w:rsidRPr="00B31F51" w:rsidTr="0007118A">
        <w:trPr>
          <w:jc w:val="center"/>
        </w:trPr>
        <w:tc>
          <w:tcPr>
            <w:tcW w:w="1373" w:type="dxa"/>
            <w:vAlign w:val="bottom"/>
          </w:tcPr>
          <w:p w:rsidR="00D92C61" w:rsidRPr="00B31F51" w:rsidRDefault="000B4EF0" w:rsidP="00B31F51">
            <w:pPr>
              <w:widowControl w:val="0"/>
              <w:overflowPunct w:val="0"/>
              <w:autoSpaceDE w:val="0"/>
              <w:autoSpaceDN w:val="0"/>
              <w:adjustRightInd w:val="0"/>
              <w:textAlignment w:val="baseline"/>
              <w:rPr>
                <w:sz w:val="20"/>
                <w:szCs w:val="20"/>
              </w:rPr>
            </w:pPr>
            <w:r w:rsidRPr="00B31F51">
              <w:rPr>
                <w:sz w:val="20"/>
                <w:szCs w:val="20"/>
              </w:rPr>
              <w:t>EP</w:t>
            </w:r>
            <w:r w:rsidR="00D92C61" w:rsidRPr="00B31F51">
              <w:rPr>
                <w:sz w:val="20"/>
                <w:szCs w:val="20"/>
              </w:rPr>
              <w:t>M</w:t>
            </w:r>
          </w:p>
        </w:tc>
        <w:tc>
          <w:tcPr>
            <w:tcW w:w="1371" w:type="dxa"/>
            <w:vAlign w:val="bottom"/>
          </w:tcPr>
          <w:p w:rsidR="00D92C61" w:rsidRPr="00B31F51" w:rsidRDefault="00FB3C55" w:rsidP="00B31F51">
            <w:pPr>
              <w:widowControl w:val="0"/>
              <w:overflowPunct w:val="0"/>
              <w:autoSpaceDE w:val="0"/>
              <w:autoSpaceDN w:val="0"/>
              <w:adjustRightInd w:val="0"/>
              <w:textAlignment w:val="baseline"/>
              <w:rPr>
                <w:sz w:val="20"/>
                <w:szCs w:val="20"/>
              </w:rPr>
            </w:pPr>
            <w:r w:rsidRPr="00B31F51">
              <w:rPr>
                <w:sz w:val="20"/>
                <w:szCs w:val="20"/>
              </w:rPr>
              <w:t>11</w:t>
            </w:r>
            <w:r w:rsidR="00D92C61" w:rsidRPr="00B31F51">
              <w:rPr>
                <w:sz w:val="20"/>
                <w:szCs w:val="20"/>
              </w:rPr>
              <w:t>,000</w:t>
            </w:r>
          </w:p>
        </w:tc>
        <w:tc>
          <w:tcPr>
            <w:tcW w:w="1364" w:type="dxa"/>
            <w:vAlign w:val="bottom"/>
          </w:tcPr>
          <w:p w:rsidR="00D92C61" w:rsidRPr="00B31F51" w:rsidRDefault="00D92C61" w:rsidP="00B31F51">
            <w:pPr>
              <w:widowControl w:val="0"/>
              <w:overflowPunct w:val="0"/>
              <w:autoSpaceDE w:val="0"/>
              <w:autoSpaceDN w:val="0"/>
              <w:adjustRightInd w:val="0"/>
              <w:textAlignment w:val="baseline"/>
              <w:rPr>
                <w:sz w:val="20"/>
                <w:szCs w:val="20"/>
              </w:rPr>
            </w:pPr>
            <w:r w:rsidRPr="00B31F51">
              <w:rPr>
                <w:sz w:val="20"/>
                <w:szCs w:val="20"/>
              </w:rPr>
              <w:t>1 per loan</w:t>
            </w:r>
          </w:p>
        </w:tc>
        <w:tc>
          <w:tcPr>
            <w:tcW w:w="1364" w:type="dxa"/>
            <w:vAlign w:val="bottom"/>
          </w:tcPr>
          <w:p w:rsidR="00D92C61" w:rsidRPr="00B31F51" w:rsidRDefault="00A65392" w:rsidP="00B31F51">
            <w:pPr>
              <w:widowControl w:val="0"/>
              <w:overflowPunct w:val="0"/>
              <w:autoSpaceDE w:val="0"/>
              <w:autoSpaceDN w:val="0"/>
              <w:adjustRightInd w:val="0"/>
              <w:textAlignment w:val="baseline"/>
              <w:rPr>
                <w:sz w:val="20"/>
                <w:szCs w:val="20"/>
              </w:rPr>
            </w:pPr>
            <w:r w:rsidRPr="00B31F51">
              <w:rPr>
                <w:sz w:val="20"/>
                <w:szCs w:val="20"/>
              </w:rPr>
              <w:t>5,000</w:t>
            </w:r>
          </w:p>
        </w:tc>
        <w:tc>
          <w:tcPr>
            <w:tcW w:w="1361" w:type="dxa"/>
            <w:vAlign w:val="bottom"/>
          </w:tcPr>
          <w:p w:rsidR="00D92C61" w:rsidRPr="00B31F51" w:rsidRDefault="00D92C61" w:rsidP="00B31F51">
            <w:pPr>
              <w:widowControl w:val="0"/>
              <w:overflowPunct w:val="0"/>
              <w:autoSpaceDE w:val="0"/>
              <w:autoSpaceDN w:val="0"/>
              <w:adjustRightInd w:val="0"/>
              <w:textAlignment w:val="baseline"/>
              <w:rPr>
                <w:sz w:val="20"/>
                <w:szCs w:val="20"/>
              </w:rPr>
            </w:pPr>
            <w:r w:rsidRPr="00B31F51">
              <w:rPr>
                <w:sz w:val="20"/>
                <w:szCs w:val="20"/>
              </w:rPr>
              <w:t>.25</w:t>
            </w:r>
          </w:p>
        </w:tc>
        <w:tc>
          <w:tcPr>
            <w:tcW w:w="1356" w:type="dxa"/>
            <w:vAlign w:val="bottom"/>
          </w:tcPr>
          <w:p w:rsidR="00D92C61" w:rsidRPr="00B31F51" w:rsidRDefault="00787920" w:rsidP="00B31F51">
            <w:pPr>
              <w:widowControl w:val="0"/>
              <w:overflowPunct w:val="0"/>
              <w:autoSpaceDE w:val="0"/>
              <w:autoSpaceDN w:val="0"/>
              <w:adjustRightInd w:val="0"/>
              <w:textAlignment w:val="baseline"/>
              <w:rPr>
                <w:sz w:val="20"/>
                <w:szCs w:val="20"/>
              </w:rPr>
            </w:pPr>
            <w:r w:rsidRPr="00B31F51">
              <w:rPr>
                <w:sz w:val="20"/>
                <w:szCs w:val="20"/>
              </w:rPr>
              <w:t>1,250</w:t>
            </w:r>
          </w:p>
        </w:tc>
        <w:tc>
          <w:tcPr>
            <w:tcW w:w="1361" w:type="dxa"/>
            <w:vAlign w:val="bottom"/>
          </w:tcPr>
          <w:p w:rsidR="00D92C61" w:rsidRPr="00B31F51" w:rsidRDefault="00D92C61" w:rsidP="00B31F51">
            <w:r w:rsidRPr="00B31F51">
              <w:rPr>
                <w:sz w:val="20"/>
                <w:szCs w:val="20"/>
              </w:rPr>
              <w:t>$36.26</w:t>
            </w:r>
          </w:p>
        </w:tc>
        <w:tc>
          <w:tcPr>
            <w:tcW w:w="1466" w:type="dxa"/>
            <w:vAlign w:val="bottom"/>
          </w:tcPr>
          <w:p w:rsidR="00D92C61" w:rsidRPr="00B31F51" w:rsidRDefault="00787920" w:rsidP="00B31F51">
            <w:pPr>
              <w:widowControl w:val="0"/>
              <w:overflowPunct w:val="0"/>
              <w:autoSpaceDE w:val="0"/>
              <w:autoSpaceDN w:val="0"/>
              <w:adjustRightInd w:val="0"/>
              <w:textAlignment w:val="baseline"/>
              <w:rPr>
                <w:sz w:val="20"/>
                <w:szCs w:val="20"/>
              </w:rPr>
            </w:pPr>
            <w:r w:rsidRPr="00B31F51">
              <w:rPr>
                <w:sz w:val="20"/>
                <w:szCs w:val="20"/>
              </w:rPr>
              <w:t>$45,325.00</w:t>
            </w:r>
          </w:p>
        </w:tc>
      </w:tr>
      <w:tr w:rsidR="00D92C61" w:rsidRPr="00B31F51" w:rsidTr="0007118A">
        <w:trPr>
          <w:jc w:val="center"/>
        </w:trPr>
        <w:tc>
          <w:tcPr>
            <w:tcW w:w="1373" w:type="dxa"/>
            <w:vAlign w:val="bottom"/>
          </w:tcPr>
          <w:p w:rsidR="00D92C61" w:rsidRPr="00B31F51" w:rsidRDefault="00D92C61" w:rsidP="00B31F51">
            <w:pPr>
              <w:widowControl w:val="0"/>
              <w:overflowPunct w:val="0"/>
              <w:autoSpaceDE w:val="0"/>
              <w:autoSpaceDN w:val="0"/>
              <w:adjustRightInd w:val="0"/>
              <w:textAlignment w:val="baseline"/>
              <w:rPr>
                <w:sz w:val="20"/>
                <w:szCs w:val="20"/>
              </w:rPr>
            </w:pPr>
            <w:r w:rsidRPr="00B31F51">
              <w:rPr>
                <w:sz w:val="20"/>
                <w:szCs w:val="20"/>
              </w:rPr>
              <w:t>Subordinate Lien Upfront Payment Worksheet</w:t>
            </w:r>
          </w:p>
          <w:p w:rsidR="00D92C61" w:rsidRPr="00B31F51" w:rsidRDefault="00D92C61" w:rsidP="00B31F51">
            <w:pPr>
              <w:widowControl w:val="0"/>
              <w:overflowPunct w:val="0"/>
              <w:autoSpaceDE w:val="0"/>
              <w:autoSpaceDN w:val="0"/>
              <w:adjustRightInd w:val="0"/>
              <w:textAlignment w:val="baseline"/>
              <w:rPr>
                <w:sz w:val="20"/>
                <w:szCs w:val="20"/>
              </w:rPr>
            </w:pPr>
            <w:r w:rsidRPr="00B31F51">
              <w:rPr>
                <w:sz w:val="20"/>
                <w:szCs w:val="20"/>
              </w:rPr>
              <w:t>92917-H4H</w:t>
            </w:r>
          </w:p>
        </w:tc>
        <w:tc>
          <w:tcPr>
            <w:tcW w:w="1371" w:type="dxa"/>
            <w:vAlign w:val="bottom"/>
          </w:tcPr>
          <w:p w:rsidR="00D92C61" w:rsidRPr="00B31F51" w:rsidRDefault="00FB3C55" w:rsidP="00B31F51">
            <w:pPr>
              <w:widowControl w:val="0"/>
              <w:overflowPunct w:val="0"/>
              <w:autoSpaceDE w:val="0"/>
              <w:autoSpaceDN w:val="0"/>
              <w:adjustRightInd w:val="0"/>
              <w:textAlignment w:val="baseline"/>
              <w:rPr>
                <w:sz w:val="20"/>
                <w:szCs w:val="20"/>
              </w:rPr>
            </w:pPr>
            <w:r w:rsidRPr="00B31F51">
              <w:rPr>
                <w:sz w:val="20"/>
                <w:szCs w:val="20"/>
              </w:rPr>
              <w:t>11</w:t>
            </w:r>
            <w:r w:rsidR="00D92C61" w:rsidRPr="00B31F51">
              <w:rPr>
                <w:sz w:val="20"/>
                <w:szCs w:val="20"/>
              </w:rPr>
              <w:t>,000</w:t>
            </w:r>
          </w:p>
        </w:tc>
        <w:tc>
          <w:tcPr>
            <w:tcW w:w="1364" w:type="dxa"/>
            <w:vAlign w:val="bottom"/>
          </w:tcPr>
          <w:p w:rsidR="00D92C61" w:rsidRPr="00B31F51" w:rsidRDefault="00D92C61" w:rsidP="00B31F51">
            <w:pPr>
              <w:widowControl w:val="0"/>
              <w:overflowPunct w:val="0"/>
              <w:autoSpaceDE w:val="0"/>
              <w:autoSpaceDN w:val="0"/>
              <w:adjustRightInd w:val="0"/>
              <w:textAlignment w:val="baseline"/>
              <w:rPr>
                <w:sz w:val="20"/>
                <w:szCs w:val="20"/>
              </w:rPr>
            </w:pPr>
            <w:r w:rsidRPr="00B31F51">
              <w:rPr>
                <w:sz w:val="20"/>
                <w:szCs w:val="20"/>
              </w:rPr>
              <w:t>1 per loan</w:t>
            </w:r>
          </w:p>
        </w:tc>
        <w:tc>
          <w:tcPr>
            <w:tcW w:w="1364" w:type="dxa"/>
            <w:vAlign w:val="bottom"/>
          </w:tcPr>
          <w:p w:rsidR="00D92C61" w:rsidRPr="00B31F51" w:rsidRDefault="00A65392" w:rsidP="00B31F51">
            <w:pPr>
              <w:widowControl w:val="0"/>
              <w:overflowPunct w:val="0"/>
              <w:autoSpaceDE w:val="0"/>
              <w:autoSpaceDN w:val="0"/>
              <w:adjustRightInd w:val="0"/>
              <w:textAlignment w:val="baseline"/>
              <w:rPr>
                <w:sz w:val="20"/>
                <w:szCs w:val="20"/>
              </w:rPr>
            </w:pPr>
            <w:r w:rsidRPr="00B31F51">
              <w:rPr>
                <w:sz w:val="20"/>
                <w:szCs w:val="20"/>
              </w:rPr>
              <w:t>5,000</w:t>
            </w:r>
          </w:p>
        </w:tc>
        <w:tc>
          <w:tcPr>
            <w:tcW w:w="1361" w:type="dxa"/>
            <w:vAlign w:val="bottom"/>
          </w:tcPr>
          <w:p w:rsidR="00D92C61" w:rsidRPr="00B31F51" w:rsidRDefault="00D92C61" w:rsidP="00B31F51">
            <w:pPr>
              <w:widowControl w:val="0"/>
              <w:overflowPunct w:val="0"/>
              <w:autoSpaceDE w:val="0"/>
              <w:autoSpaceDN w:val="0"/>
              <w:adjustRightInd w:val="0"/>
              <w:textAlignment w:val="baseline"/>
              <w:rPr>
                <w:sz w:val="20"/>
                <w:szCs w:val="20"/>
              </w:rPr>
            </w:pPr>
            <w:r w:rsidRPr="00B31F51">
              <w:rPr>
                <w:sz w:val="20"/>
                <w:szCs w:val="20"/>
              </w:rPr>
              <w:t>2.0</w:t>
            </w:r>
          </w:p>
        </w:tc>
        <w:tc>
          <w:tcPr>
            <w:tcW w:w="1356" w:type="dxa"/>
            <w:vAlign w:val="bottom"/>
          </w:tcPr>
          <w:p w:rsidR="00D92C61" w:rsidRPr="00B31F51" w:rsidRDefault="00787920" w:rsidP="00B31F51">
            <w:pPr>
              <w:widowControl w:val="0"/>
              <w:overflowPunct w:val="0"/>
              <w:autoSpaceDE w:val="0"/>
              <w:autoSpaceDN w:val="0"/>
              <w:adjustRightInd w:val="0"/>
              <w:textAlignment w:val="baseline"/>
              <w:rPr>
                <w:sz w:val="20"/>
                <w:szCs w:val="20"/>
              </w:rPr>
            </w:pPr>
            <w:r w:rsidRPr="00B31F51">
              <w:rPr>
                <w:sz w:val="20"/>
                <w:szCs w:val="20"/>
              </w:rPr>
              <w:t>10,000</w:t>
            </w:r>
          </w:p>
        </w:tc>
        <w:tc>
          <w:tcPr>
            <w:tcW w:w="1361" w:type="dxa"/>
            <w:vAlign w:val="bottom"/>
          </w:tcPr>
          <w:p w:rsidR="00D92C61" w:rsidRPr="00B31F51" w:rsidRDefault="00D92C61" w:rsidP="00B31F51">
            <w:r w:rsidRPr="00B31F51">
              <w:rPr>
                <w:sz w:val="20"/>
                <w:szCs w:val="20"/>
              </w:rPr>
              <w:t>$36.26</w:t>
            </w:r>
          </w:p>
        </w:tc>
        <w:tc>
          <w:tcPr>
            <w:tcW w:w="1466" w:type="dxa"/>
            <w:vAlign w:val="bottom"/>
          </w:tcPr>
          <w:p w:rsidR="00D92C61" w:rsidRPr="00B31F51" w:rsidRDefault="00D92C61" w:rsidP="00B31F51">
            <w:pPr>
              <w:widowControl w:val="0"/>
              <w:overflowPunct w:val="0"/>
              <w:autoSpaceDE w:val="0"/>
              <w:autoSpaceDN w:val="0"/>
              <w:adjustRightInd w:val="0"/>
              <w:textAlignment w:val="baseline"/>
              <w:rPr>
                <w:sz w:val="20"/>
                <w:szCs w:val="20"/>
              </w:rPr>
            </w:pPr>
            <w:r w:rsidRPr="00B31F51">
              <w:rPr>
                <w:sz w:val="20"/>
                <w:szCs w:val="20"/>
              </w:rPr>
              <w:t>$</w:t>
            </w:r>
            <w:r w:rsidR="00787920" w:rsidRPr="00B31F51">
              <w:rPr>
                <w:sz w:val="20"/>
                <w:szCs w:val="20"/>
              </w:rPr>
              <w:t>362,600.00</w:t>
            </w:r>
          </w:p>
        </w:tc>
      </w:tr>
      <w:tr w:rsidR="00D92C61" w:rsidRPr="00B31F51" w:rsidTr="0007118A">
        <w:trPr>
          <w:jc w:val="center"/>
        </w:trPr>
        <w:tc>
          <w:tcPr>
            <w:tcW w:w="1373" w:type="dxa"/>
            <w:vAlign w:val="bottom"/>
          </w:tcPr>
          <w:p w:rsidR="00D92C61" w:rsidRPr="00B31F51" w:rsidRDefault="00D92C61" w:rsidP="00B31F51">
            <w:pPr>
              <w:widowControl w:val="0"/>
              <w:overflowPunct w:val="0"/>
              <w:autoSpaceDE w:val="0"/>
              <w:autoSpaceDN w:val="0"/>
              <w:adjustRightInd w:val="0"/>
              <w:textAlignment w:val="baseline"/>
              <w:rPr>
                <w:sz w:val="20"/>
                <w:szCs w:val="20"/>
              </w:rPr>
            </w:pPr>
            <w:r w:rsidRPr="00B31F51">
              <w:rPr>
                <w:sz w:val="20"/>
                <w:szCs w:val="20"/>
              </w:rPr>
              <w:t>Eligibility Debt to Income ration as of  H4H application date</w:t>
            </w:r>
          </w:p>
        </w:tc>
        <w:tc>
          <w:tcPr>
            <w:tcW w:w="1371" w:type="dxa"/>
            <w:vAlign w:val="bottom"/>
          </w:tcPr>
          <w:p w:rsidR="00D92C61" w:rsidRPr="00B31F51" w:rsidRDefault="00FB3C55" w:rsidP="00B31F51">
            <w:pPr>
              <w:widowControl w:val="0"/>
              <w:overflowPunct w:val="0"/>
              <w:autoSpaceDE w:val="0"/>
              <w:autoSpaceDN w:val="0"/>
              <w:adjustRightInd w:val="0"/>
              <w:textAlignment w:val="baseline"/>
              <w:rPr>
                <w:sz w:val="20"/>
                <w:szCs w:val="20"/>
              </w:rPr>
            </w:pPr>
            <w:r w:rsidRPr="00B31F51">
              <w:rPr>
                <w:sz w:val="20"/>
                <w:szCs w:val="20"/>
              </w:rPr>
              <w:t>11</w:t>
            </w:r>
            <w:r w:rsidR="00D92C61" w:rsidRPr="00B31F51">
              <w:rPr>
                <w:sz w:val="20"/>
                <w:szCs w:val="20"/>
              </w:rPr>
              <w:t>,000</w:t>
            </w:r>
          </w:p>
        </w:tc>
        <w:tc>
          <w:tcPr>
            <w:tcW w:w="1364" w:type="dxa"/>
            <w:vAlign w:val="bottom"/>
          </w:tcPr>
          <w:p w:rsidR="00D92C61" w:rsidRPr="00B31F51" w:rsidRDefault="00D92C61" w:rsidP="00B31F51">
            <w:pPr>
              <w:widowControl w:val="0"/>
              <w:overflowPunct w:val="0"/>
              <w:autoSpaceDE w:val="0"/>
              <w:autoSpaceDN w:val="0"/>
              <w:adjustRightInd w:val="0"/>
              <w:textAlignment w:val="baseline"/>
              <w:rPr>
                <w:sz w:val="20"/>
                <w:szCs w:val="20"/>
              </w:rPr>
            </w:pPr>
            <w:r w:rsidRPr="00B31F51">
              <w:rPr>
                <w:sz w:val="20"/>
                <w:szCs w:val="20"/>
              </w:rPr>
              <w:t>1 per loan</w:t>
            </w:r>
          </w:p>
        </w:tc>
        <w:tc>
          <w:tcPr>
            <w:tcW w:w="1364" w:type="dxa"/>
            <w:vAlign w:val="bottom"/>
          </w:tcPr>
          <w:p w:rsidR="00D92C61" w:rsidRPr="00B31F51" w:rsidRDefault="00A65392" w:rsidP="00B31F51">
            <w:pPr>
              <w:widowControl w:val="0"/>
              <w:overflowPunct w:val="0"/>
              <w:autoSpaceDE w:val="0"/>
              <w:autoSpaceDN w:val="0"/>
              <w:adjustRightInd w:val="0"/>
              <w:textAlignment w:val="baseline"/>
              <w:rPr>
                <w:sz w:val="20"/>
                <w:szCs w:val="20"/>
              </w:rPr>
            </w:pPr>
            <w:r w:rsidRPr="00B31F51">
              <w:rPr>
                <w:sz w:val="20"/>
                <w:szCs w:val="20"/>
              </w:rPr>
              <w:t>5,000</w:t>
            </w:r>
          </w:p>
        </w:tc>
        <w:tc>
          <w:tcPr>
            <w:tcW w:w="1361" w:type="dxa"/>
            <w:vAlign w:val="bottom"/>
          </w:tcPr>
          <w:p w:rsidR="00D92C61" w:rsidRPr="00B31F51" w:rsidRDefault="00D92C61" w:rsidP="00B31F51">
            <w:pPr>
              <w:widowControl w:val="0"/>
              <w:overflowPunct w:val="0"/>
              <w:autoSpaceDE w:val="0"/>
              <w:autoSpaceDN w:val="0"/>
              <w:adjustRightInd w:val="0"/>
              <w:textAlignment w:val="baseline"/>
              <w:rPr>
                <w:sz w:val="20"/>
                <w:szCs w:val="20"/>
              </w:rPr>
            </w:pPr>
            <w:r w:rsidRPr="00B31F51">
              <w:rPr>
                <w:sz w:val="20"/>
                <w:szCs w:val="20"/>
              </w:rPr>
              <w:t>.50</w:t>
            </w:r>
          </w:p>
        </w:tc>
        <w:tc>
          <w:tcPr>
            <w:tcW w:w="1356" w:type="dxa"/>
            <w:vAlign w:val="bottom"/>
          </w:tcPr>
          <w:p w:rsidR="00D92C61" w:rsidRPr="00B31F51" w:rsidRDefault="00787920" w:rsidP="00B31F51">
            <w:pPr>
              <w:widowControl w:val="0"/>
              <w:overflowPunct w:val="0"/>
              <w:autoSpaceDE w:val="0"/>
              <w:autoSpaceDN w:val="0"/>
              <w:adjustRightInd w:val="0"/>
              <w:textAlignment w:val="baseline"/>
              <w:rPr>
                <w:sz w:val="20"/>
                <w:szCs w:val="20"/>
              </w:rPr>
            </w:pPr>
            <w:r w:rsidRPr="00B31F51">
              <w:rPr>
                <w:sz w:val="20"/>
                <w:szCs w:val="20"/>
              </w:rPr>
              <w:t>2,500</w:t>
            </w:r>
          </w:p>
        </w:tc>
        <w:tc>
          <w:tcPr>
            <w:tcW w:w="1361" w:type="dxa"/>
            <w:vAlign w:val="bottom"/>
          </w:tcPr>
          <w:p w:rsidR="00D92C61" w:rsidRPr="00B31F51" w:rsidRDefault="00D92C61" w:rsidP="00B31F51">
            <w:r w:rsidRPr="00B31F51">
              <w:rPr>
                <w:sz w:val="20"/>
                <w:szCs w:val="20"/>
              </w:rPr>
              <w:t>$36.26</w:t>
            </w:r>
          </w:p>
        </w:tc>
        <w:tc>
          <w:tcPr>
            <w:tcW w:w="1466" w:type="dxa"/>
            <w:vAlign w:val="bottom"/>
          </w:tcPr>
          <w:p w:rsidR="00D92C61" w:rsidRPr="00B31F51" w:rsidRDefault="00D92C61" w:rsidP="00B31F51">
            <w:pPr>
              <w:widowControl w:val="0"/>
              <w:overflowPunct w:val="0"/>
              <w:autoSpaceDE w:val="0"/>
              <w:autoSpaceDN w:val="0"/>
              <w:adjustRightInd w:val="0"/>
              <w:textAlignment w:val="baseline"/>
              <w:rPr>
                <w:sz w:val="20"/>
                <w:szCs w:val="20"/>
              </w:rPr>
            </w:pPr>
            <w:r w:rsidRPr="00B31F51">
              <w:rPr>
                <w:sz w:val="20"/>
                <w:szCs w:val="20"/>
              </w:rPr>
              <w:t>$</w:t>
            </w:r>
            <w:r w:rsidR="00787920" w:rsidRPr="00B31F51">
              <w:rPr>
                <w:sz w:val="20"/>
                <w:szCs w:val="20"/>
              </w:rPr>
              <w:t>90,650.00</w:t>
            </w:r>
          </w:p>
        </w:tc>
      </w:tr>
      <w:tr w:rsidR="00D92C61" w:rsidRPr="00B31F51" w:rsidTr="0007118A">
        <w:trPr>
          <w:jc w:val="center"/>
        </w:trPr>
        <w:tc>
          <w:tcPr>
            <w:tcW w:w="1373" w:type="dxa"/>
            <w:vAlign w:val="bottom"/>
          </w:tcPr>
          <w:p w:rsidR="00D92C61" w:rsidRPr="00B31F51" w:rsidRDefault="00D92C61" w:rsidP="00B31F51">
            <w:pPr>
              <w:widowControl w:val="0"/>
              <w:overflowPunct w:val="0"/>
              <w:autoSpaceDE w:val="0"/>
              <w:autoSpaceDN w:val="0"/>
              <w:adjustRightInd w:val="0"/>
              <w:textAlignment w:val="baseline"/>
              <w:rPr>
                <w:sz w:val="20"/>
                <w:szCs w:val="20"/>
              </w:rPr>
            </w:pPr>
            <w:r w:rsidRPr="00B31F51">
              <w:rPr>
                <w:sz w:val="20"/>
                <w:szCs w:val="20"/>
              </w:rPr>
              <w:t>Qualifying Debt to Income Ratio</w:t>
            </w:r>
          </w:p>
        </w:tc>
        <w:tc>
          <w:tcPr>
            <w:tcW w:w="1371" w:type="dxa"/>
            <w:vAlign w:val="bottom"/>
          </w:tcPr>
          <w:p w:rsidR="00D92C61" w:rsidRPr="00B31F51" w:rsidRDefault="00FB3C55" w:rsidP="00B31F51">
            <w:pPr>
              <w:widowControl w:val="0"/>
              <w:overflowPunct w:val="0"/>
              <w:autoSpaceDE w:val="0"/>
              <w:autoSpaceDN w:val="0"/>
              <w:adjustRightInd w:val="0"/>
              <w:textAlignment w:val="baseline"/>
              <w:rPr>
                <w:sz w:val="20"/>
                <w:szCs w:val="20"/>
              </w:rPr>
            </w:pPr>
            <w:r w:rsidRPr="00B31F51">
              <w:rPr>
                <w:sz w:val="20"/>
                <w:szCs w:val="20"/>
              </w:rPr>
              <w:t>11</w:t>
            </w:r>
            <w:r w:rsidR="00D92C61" w:rsidRPr="00B31F51">
              <w:rPr>
                <w:sz w:val="20"/>
                <w:szCs w:val="20"/>
              </w:rPr>
              <w:t>,000</w:t>
            </w:r>
          </w:p>
        </w:tc>
        <w:tc>
          <w:tcPr>
            <w:tcW w:w="1364" w:type="dxa"/>
            <w:vAlign w:val="bottom"/>
          </w:tcPr>
          <w:p w:rsidR="00D92C61" w:rsidRPr="00B31F51" w:rsidRDefault="00D92C61" w:rsidP="00B31F51">
            <w:pPr>
              <w:widowControl w:val="0"/>
              <w:overflowPunct w:val="0"/>
              <w:autoSpaceDE w:val="0"/>
              <w:autoSpaceDN w:val="0"/>
              <w:adjustRightInd w:val="0"/>
              <w:textAlignment w:val="baseline"/>
              <w:rPr>
                <w:sz w:val="20"/>
                <w:szCs w:val="20"/>
              </w:rPr>
            </w:pPr>
            <w:r w:rsidRPr="00B31F51">
              <w:rPr>
                <w:sz w:val="20"/>
                <w:szCs w:val="20"/>
              </w:rPr>
              <w:t>1 per loan</w:t>
            </w:r>
          </w:p>
        </w:tc>
        <w:tc>
          <w:tcPr>
            <w:tcW w:w="1364" w:type="dxa"/>
            <w:vAlign w:val="bottom"/>
          </w:tcPr>
          <w:p w:rsidR="00D92C61" w:rsidRPr="00B31F51" w:rsidRDefault="00A65392" w:rsidP="00B31F51">
            <w:pPr>
              <w:widowControl w:val="0"/>
              <w:overflowPunct w:val="0"/>
              <w:autoSpaceDE w:val="0"/>
              <w:autoSpaceDN w:val="0"/>
              <w:adjustRightInd w:val="0"/>
              <w:textAlignment w:val="baseline"/>
              <w:rPr>
                <w:sz w:val="20"/>
                <w:szCs w:val="20"/>
              </w:rPr>
            </w:pPr>
            <w:r w:rsidRPr="00B31F51">
              <w:rPr>
                <w:sz w:val="20"/>
                <w:szCs w:val="20"/>
              </w:rPr>
              <w:t>5,000</w:t>
            </w:r>
          </w:p>
        </w:tc>
        <w:tc>
          <w:tcPr>
            <w:tcW w:w="1361" w:type="dxa"/>
            <w:vAlign w:val="bottom"/>
          </w:tcPr>
          <w:p w:rsidR="00D92C61" w:rsidRPr="00B31F51" w:rsidRDefault="00D92C61" w:rsidP="00B31F51">
            <w:pPr>
              <w:widowControl w:val="0"/>
              <w:overflowPunct w:val="0"/>
              <w:autoSpaceDE w:val="0"/>
              <w:autoSpaceDN w:val="0"/>
              <w:adjustRightInd w:val="0"/>
              <w:textAlignment w:val="baseline"/>
              <w:rPr>
                <w:sz w:val="20"/>
                <w:szCs w:val="20"/>
              </w:rPr>
            </w:pPr>
            <w:r w:rsidRPr="00B31F51">
              <w:rPr>
                <w:sz w:val="20"/>
                <w:szCs w:val="20"/>
              </w:rPr>
              <w:t>.25</w:t>
            </w:r>
          </w:p>
        </w:tc>
        <w:tc>
          <w:tcPr>
            <w:tcW w:w="1356" w:type="dxa"/>
            <w:vAlign w:val="bottom"/>
          </w:tcPr>
          <w:p w:rsidR="00D92C61" w:rsidRPr="00B31F51" w:rsidRDefault="00787920" w:rsidP="00B31F51">
            <w:pPr>
              <w:widowControl w:val="0"/>
              <w:overflowPunct w:val="0"/>
              <w:autoSpaceDE w:val="0"/>
              <w:autoSpaceDN w:val="0"/>
              <w:adjustRightInd w:val="0"/>
              <w:textAlignment w:val="baseline"/>
              <w:rPr>
                <w:sz w:val="20"/>
                <w:szCs w:val="20"/>
              </w:rPr>
            </w:pPr>
            <w:r w:rsidRPr="00B31F51">
              <w:rPr>
                <w:sz w:val="20"/>
                <w:szCs w:val="20"/>
              </w:rPr>
              <w:t>1,250</w:t>
            </w:r>
          </w:p>
        </w:tc>
        <w:tc>
          <w:tcPr>
            <w:tcW w:w="1361" w:type="dxa"/>
            <w:vAlign w:val="bottom"/>
          </w:tcPr>
          <w:p w:rsidR="00D92C61" w:rsidRPr="00B31F51" w:rsidRDefault="00D92C61" w:rsidP="00B31F51">
            <w:r w:rsidRPr="00B31F51">
              <w:rPr>
                <w:sz w:val="20"/>
                <w:szCs w:val="20"/>
              </w:rPr>
              <w:t>$36.26</w:t>
            </w:r>
          </w:p>
        </w:tc>
        <w:tc>
          <w:tcPr>
            <w:tcW w:w="1466" w:type="dxa"/>
            <w:vAlign w:val="bottom"/>
          </w:tcPr>
          <w:p w:rsidR="00D92C61" w:rsidRPr="00B31F51" w:rsidRDefault="00D92C61" w:rsidP="00B31F51">
            <w:pPr>
              <w:widowControl w:val="0"/>
              <w:overflowPunct w:val="0"/>
              <w:autoSpaceDE w:val="0"/>
              <w:autoSpaceDN w:val="0"/>
              <w:adjustRightInd w:val="0"/>
              <w:textAlignment w:val="baseline"/>
              <w:rPr>
                <w:sz w:val="20"/>
                <w:szCs w:val="20"/>
              </w:rPr>
            </w:pPr>
            <w:r w:rsidRPr="00B31F51">
              <w:rPr>
                <w:sz w:val="20"/>
                <w:szCs w:val="20"/>
              </w:rPr>
              <w:t>$</w:t>
            </w:r>
            <w:r w:rsidR="00787920" w:rsidRPr="00B31F51">
              <w:rPr>
                <w:sz w:val="20"/>
                <w:szCs w:val="20"/>
              </w:rPr>
              <w:t>45,325.00</w:t>
            </w:r>
          </w:p>
        </w:tc>
      </w:tr>
      <w:tr w:rsidR="00D92C61" w:rsidRPr="00B31F51" w:rsidTr="002A1E6C">
        <w:trPr>
          <w:jc w:val="center"/>
        </w:trPr>
        <w:tc>
          <w:tcPr>
            <w:tcW w:w="1373" w:type="dxa"/>
            <w:shd w:val="clear" w:color="auto" w:fill="D9D9D9" w:themeFill="background1" w:themeFillShade="D9"/>
            <w:vAlign w:val="bottom"/>
          </w:tcPr>
          <w:p w:rsidR="00D92C61" w:rsidRPr="00B31F51" w:rsidRDefault="00D92C61" w:rsidP="00B31F51">
            <w:pPr>
              <w:widowControl w:val="0"/>
              <w:overflowPunct w:val="0"/>
              <w:autoSpaceDE w:val="0"/>
              <w:autoSpaceDN w:val="0"/>
              <w:adjustRightInd w:val="0"/>
              <w:textAlignment w:val="baseline"/>
              <w:rPr>
                <w:sz w:val="20"/>
                <w:szCs w:val="20"/>
              </w:rPr>
            </w:pPr>
            <w:r w:rsidRPr="00B31F51">
              <w:rPr>
                <w:sz w:val="20"/>
                <w:szCs w:val="20"/>
              </w:rPr>
              <w:t>92900-H4H*</w:t>
            </w:r>
          </w:p>
        </w:tc>
        <w:tc>
          <w:tcPr>
            <w:tcW w:w="1371" w:type="dxa"/>
            <w:shd w:val="clear" w:color="auto" w:fill="D9D9D9" w:themeFill="background1" w:themeFillShade="D9"/>
            <w:vAlign w:val="bottom"/>
          </w:tcPr>
          <w:p w:rsidR="00D92C61" w:rsidRPr="00B31F51" w:rsidRDefault="00D92C61" w:rsidP="00B31F51">
            <w:pPr>
              <w:widowControl w:val="0"/>
              <w:overflowPunct w:val="0"/>
              <w:autoSpaceDE w:val="0"/>
              <w:autoSpaceDN w:val="0"/>
              <w:adjustRightInd w:val="0"/>
              <w:textAlignment w:val="baseline"/>
              <w:rPr>
                <w:sz w:val="20"/>
                <w:szCs w:val="20"/>
              </w:rPr>
            </w:pPr>
          </w:p>
        </w:tc>
        <w:tc>
          <w:tcPr>
            <w:tcW w:w="1364" w:type="dxa"/>
            <w:shd w:val="clear" w:color="auto" w:fill="D9D9D9" w:themeFill="background1" w:themeFillShade="D9"/>
            <w:vAlign w:val="bottom"/>
          </w:tcPr>
          <w:p w:rsidR="00D92C61" w:rsidRPr="00B31F51" w:rsidRDefault="00D92C61" w:rsidP="00B31F51">
            <w:pPr>
              <w:widowControl w:val="0"/>
              <w:overflowPunct w:val="0"/>
              <w:autoSpaceDE w:val="0"/>
              <w:autoSpaceDN w:val="0"/>
              <w:adjustRightInd w:val="0"/>
              <w:textAlignment w:val="baseline"/>
              <w:rPr>
                <w:sz w:val="20"/>
                <w:szCs w:val="20"/>
              </w:rPr>
            </w:pPr>
          </w:p>
        </w:tc>
        <w:tc>
          <w:tcPr>
            <w:tcW w:w="1364" w:type="dxa"/>
            <w:shd w:val="clear" w:color="auto" w:fill="D9D9D9" w:themeFill="background1" w:themeFillShade="D9"/>
            <w:vAlign w:val="bottom"/>
          </w:tcPr>
          <w:p w:rsidR="00D92C61" w:rsidRPr="00B31F51" w:rsidRDefault="00D92C61" w:rsidP="00B31F51">
            <w:pPr>
              <w:widowControl w:val="0"/>
              <w:overflowPunct w:val="0"/>
              <w:autoSpaceDE w:val="0"/>
              <w:autoSpaceDN w:val="0"/>
              <w:adjustRightInd w:val="0"/>
              <w:textAlignment w:val="baseline"/>
              <w:rPr>
                <w:sz w:val="20"/>
                <w:szCs w:val="20"/>
              </w:rPr>
            </w:pPr>
          </w:p>
        </w:tc>
        <w:tc>
          <w:tcPr>
            <w:tcW w:w="1361" w:type="dxa"/>
            <w:shd w:val="clear" w:color="auto" w:fill="D9D9D9" w:themeFill="background1" w:themeFillShade="D9"/>
            <w:vAlign w:val="bottom"/>
          </w:tcPr>
          <w:p w:rsidR="00D92C61" w:rsidRPr="00B31F51" w:rsidRDefault="00D92C61" w:rsidP="00B31F51">
            <w:pPr>
              <w:widowControl w:val="0"/>
              <w:overflowPunct w:val="0"/>
              <w:autoSpaceDE w:val="0"/>
              <w:autoSpaceDN w:val="0"/>
              <w:adjustRightInd w:val="0"/>
              <w:textAlignment w:val="baseline"/>
              <w:rPr>
                <w:sz w:val="20"/>
                <w:szCs w:val="20"/>
              </w:rPr>
            </w:pPr>
          </w:p>
        </w:tc>
        <w:tc>
          <w:tcPr>
            <w:tcW w:w="1356" w:type="dxa"/>
            <w:shd w:val="clear" w:color="auto" w:fill="D9D9D9" w:themeFill="background1" w:themeFillShade="D9"/>
            <w:vAlign w:val="bottom"/>
          </w:tcPr>
          <w:p w:rsidR="00D92C61" w:rsidRPr="00B31F51" w:rsidRDefault="00D92C61" w:rsidP="00B31F51">
            <w:pPr>
              <w:widowControl w:val="0"/>
              <w:overflowPunct w:val="0"/>
              <w:autoSpaceDE w:val="0"/>
              <w:autoSpaceDN w:val="0"/>
              <w:adjustRightInd w:val="0"/>
              <w:textAlignment w:val="baseline"/>
              <w:rPr>
                <w:sz w:val="20"/>
                <w:szCs w:val="20"/>
              </w:rPr>
            </w:pPr>
          </w:p>
        </w:tc>
        <w:tc>
          <w:tcPr>
            <w:tcW w:w="1361" w:type="dxa"/>
            <w:shd w:val="clear" w:color="auto" w:fill="D9D9D9" w:themeFill="background1" w:themeFillShade="D9"/>
            <w:vAlign w:val="bottom"/>
          </w:tcPr>
          <w:p w:rsidR="00D92C61" w:rsidRPr="00B31F51" w:rsidRDefault="00D92C61" w:rsidP="00B31F51">
            <w:pPr>
              <w:rPr>
                <w:sz w:val="20"/>
                <w:szCs w:val="20"/>
              </w:rPr>
            </w:pPr>
          </w:p>
        </w:tc>
        <w:tc>
          <w:tcPr>
            <w:tcW w:w="1466" w:type="dxa"/>
            <w:shd w:val="clear" w:color="auto" w:fill="D9D9D9" w:themeFill="background1" w:themeFillShade="D9"/>
            <w:vAlign w:val="bottom"/>
          </w:tcPr>
          <w:p w:rsidR="00D92C61" w:rsidRPr="00B31F51" w:rsidRDefault="00D92C61" w:rsidP="00B31F51">
            <w:pPr>
              <w:widowControl w:val="0"/>
              <w:overflowPunct w:val="0"/>
              <w:autoSpaceDE w:val="0"/>
              <w:autoSpaceDN w:val="0"/>
              <w:adjustRightInd w:val="0"/>
              <w:textAlignment w:val="baseline"/>
              <w:rPr>
                <w:sz w:val="20"/>
                <w:szCs w:val="20"/>
              </w:rPr>
            </w:pPr>
          </w:p>
        </w:tc>
      </w:tr>
      <w:tr w:rsidR="008873D8" w:rsidRPr="00B31F51" w:rsidTr="00551C57">
        <w:trPr>
          <w:jc w:val="center"/>
        </w:trPr>
        <w:tc>
          <w:tcPr>
            <w:tcW w:w="1373" w:type="dxa"/>
            <w:shd w:val="clear" w:color="auto" w:fill="auto"/>
            <w:vAlign w:val="bottom"/>
          </w:tcPr>
          <w:p w:rsidR="008873D8" w:rsidRPr="00B31F51" w:rsidRDefault="008873D8" w:rsidP="00B31F51">
            <w:pPr>
              <w:widowControl w:val="0"/>
              <w:overflowPunct w:val="0"/>
              <w:autoSpaceDE w:val="0"/>
              <w:autoSpaceDN w:val="0"/>
              <w:adjustRightInd w:val="0"/>
              <w:textAlignment w:val="baseline"/>
              <w:rPr>
                <w:sz w:val="20"/>
                <w:szCs w:val="20"/>
              </w:rPr>
            </w:pPr>
            <w:r w:rsidRPr="00B31F51">
              <w:rPr>
                <w:sz w:val="20"/>
                <w:szCs w:val="20"/>
              </w:rPr>
              <w:t>Write off Amount</w:t>
            </w:r>
          </w:p>
        </w:tc>
        <w:tc>
          <w:tcPr>
            <w:tcW w:w="1371" w:type="dxa"/>
            <w:shd w:val="clear" w:color="auto" w:fill="auto"/>
            <w:vAlign w:val="bottom"/>
          </w:tcPr>
          <w:p w:rsidR="008873D8" w:rsidRPr="00B31F51" w:rsidRDefault="00FB3C55" w:rsidP="00B31F51">
            <w:pPr>
              <w:widowControl w:val="0"/>
              <w:overflowPunct w:val="0"/>
              <w:autoSpaceDE w:val="0"/>
              <w:autoSpaceDN w:val="0"/>
              <w:adjustRightInd w:val="0"/>
              <w:textAlignment w:val="baseline"/>
              <w:rPr>
                <w:sz w:val="20"/>
                <w:szCs w:val="20"/>
              </w:rPr>
            </w:pPr>
            <w:r w:rsidRPr="00B31F51">
              <w:rPr>
                <w:sz w:val="20"/>
                <w:szCs w:val="20"/>
              </w:rPr>
              <w:t>11</w:t>
            </w:r>
            <w:r w:rsidR="008873D8" w:rsidRPr="00B31F51">
              <w:rPr>
                <w:sz w:val="20"/>
                <w:szCs w:val="20"/>
              </w:rPr>
              <w:t>,000</w:t>
            </w:r>
          </w:p>
        </w:tc>
        <w:tc>
          <w:tcPr>
            <w:tcW w:w="1364" w:type="dxa"/>
            <w:shd w:val="clear" w:color="auto" w:fill="auto"/>
            <w:vAlign w:val="bottom"/>
          </w:tcPr>
          <w:p w:rsidR="008873D8" w:rsidRPr="00B31F51" w:rsidRDefault="008873D8" w:rsidP="00B31F51">
            <w:pPr>
              <w:widowControl w:val="0"/>
              <w:overflowPunct w:val="0"/>
              <w:autoSpaceDE w:val="0"/>
              <w:autoSpaceDN w:val="0"/>
              <w:adjustRightInd w:val="0"/>
              <w:textAlignment w:val="baseline"/>
              <w:rPr>
                <w:sz w:val="20"/>
                <w:szCs w:val="20"/>
              </w:rPr>
            </w:pPr>
            <w:r w:rsidRPr="00B31F51">
              <w:rPr>
                <w:sz w:val="20"/>
                <w:szCs w:val="20"/>
              </w:rPr>
              <w:t>1 per loan</w:t>
            </w:r>
          </w:p>
        </w:tc>
        <w:tc>
          <w:tcPr>
            <w:tcW w:w="1364" w:type="dxa"/>
            <w:shd w:val="clear" w:color="auto" w:fill="auto"/>
            <w:vAlign w:val="bottom"/>
          </w:tcPr>
          <w:p w:rsidR="008873D8" w:rsidRPr="00B31F51" w:rsidRDefault="00A65392" w:rsidP="00B31F51">
            <w:pPr>
              <w:widowControl w:val="0"/>
              <w:overflowPunct w:val="0"/>
              <w:autoSpaceDE w:val="0"/>
              <w:autoSpaceDN w:val="0"/>
              <w:adjustRightInd w:val="0"/>
              <w:textAlignment w:val="baseline"/>
              <w:rPr>
                <w:sz w:val="20"/>
                <w:szCs w:val="20"/>
              </w:rPr>
            </w:pPr>
            <w:r w:rsidRPr="00B31F51">
              <w:rPr>
                <w:sz w:val="20"/>
                <w:szCs w:val="20"/>
              </w:rPr>
              <w:t>428,571</w:t>
            </w:r>
          </w:p>
        </w:tc>
        <w:tc>
          <w:tcPr>
            <w:tcW w:w="1361" w:type="dxa"/>
            <w:shd w:val="clear" w:color="auto" w:fill="auto"/>
            <w:vAlign w:val="bottom"/>
          </w:tcPr>
          <w:p w:rsidR="008873D8" w:rsidRPr="00B31F51" w:rsidRDefault="008873D8" w:rsidP="00B31F51">
            <w:pPr>
              <w:widowControl w:val="0"/>
              <w:overflowPunct w:val="0"/>
              <w:autoSpaceDE w:val="0"/>
              <w:autoSpaceDN w:val="0"/>
              <w:adjustRightInd w:val="0"/>
              <w:textAlignment w:val="baseline"/>
              <w:rPr>
                <w:sz w:val="20"/>
                <w:szCs w:val="20"/>
              </w:rPr>
            </w:pPr>
            <w:r w:rsidRPr="00B31F51">
              <w:rPr>
                <w:sz w:val="20"/>
                <w:szCs w:val="20"/>
              </w:rPr>
              <w:t>.1</w:t>
            </w:r>
          </w:p>
        </w:tc>
        <w:tc>
          <w:tcPr>
            <w:tcW w:w="1356" w:type="dxa"/>
            <w:shd w:val="clear" w:color="auto" w:fill="auto"/>
            <w:vAlign w:val="bottom"/>
          </w:tcPr>
          <w:p w:rsidR="008873D8" w:rsidRPr="00B31F51" w:rsidRDefault="00AE50E2" w:rsidP="00B31F51">
            <w:pPr>
              <w:widowControl w:val="0"/>
              <w:overflowPunct w:val="0"/>
              <w:autoSpaceDE w:val="0"/>
              <w:autoSpaceDN w:val="0"/>
              <w:adjustRightInd w:val="0"/>
              <w:textAlignment w:val="baseline"/>
              <w:rPr>
                <w:sz w:val="20"/>
                <w:szCs w:val="20"/>
              </w:rPr>
            </w:pPr>
            <w:r w:rsidRPr="00B31F51">
              <w:rPr>
                <w:sz w:val="20"/>
                <w:szCs w:val="20"/>
              </w:rPr>
              <w:t>42,</w:t>
            </w:r>
            <w:r w:rsidR="00787920" w:rsidRPr="00B31F51">
              <w:rPr>
                <w:sz w:val="20"/>
                <w:szCs w:val="20"/>
              </w:rPr>
              <w:t>857</w:t>
            </w:r>
          </w:p>
        </w:tc>
        <w:tc>
          <w:tcPr>
            <w:tcW w:w="1361" w:type="dxa"/>
            <w:shd w:val="clear" w:color="auto" w:fill="auto"/>
            <w:vAlign w:val="bottom"/>
          </w:tcPr>
          <w:p w:rsidR="008873D8" w:rsidRPr="00B31F51" w:rsidRDefault="008173FF" w:rsidP="00B31F51">
            <w:pPr>
              <w:rPr>
                <w:sz w:val="20"/>
                <w:szCs w:val="20"/>
              </w:rPr>
            </w:pPr>
            <w:r w:rsidRPr="00B31F51">
              <w:rPr>
                <w:sz w:val="20"/>
                <w:szCs w:val="20"/>
              </w:rPr>
              <w:t>$36.26</w:t>
            </w:r>
          </w:p>
        </w:tc>
        <w:tc>
          <w:tcPr>
            <w:tcW w:w="1466" w:type="dxa"/>
            <w:shd w:val="clear" w:color="auto" w:fill="auto"/>
            <w:vAlign w:val="bottom"/>
          </w:tcPr>
          <w:p w:rsidR="008873D8" w:rsidRPr="00B31F51" w:rsidRDefault="008173FF" w:rsidP="00B31F51">
            <w:pPr>
              <w:widowControl w:val="0"/>
              <w:overflowPunct w:val="0"/>
              <w:autoSpaceDE w:val="0"/>
              <w:autoSpaceDN w:val="0"/>
              <w:adjustRightInd w:val="0"/>
              <w:textAlignment w:val="baseline"/>
              <w:rPr>
                <w:sz w:val="20"/>
                <w:szCs w:val="20"/>
              </w:rPr>
            </w:pPr>
            <w:r w:rsidRPr="00B31F51">
              <w:rPr>
                <w:sz w:val="20"/>
                <w:szCs w:val="20"/>
              </w:rPr>
              <w:t>$</w:t>
            </w:r>
            <w:r w:rsidR="00AE50E2" w:rsidRPr="00B31F51">
              <w:rPr>
                <w:sz w:val="20"/>
                <w:szCs w:val="20"/>
              </w:rPr>
              <w:t>1,5</w:t>
            </w:r>
            <w:r w:rsidR="00787920" w:rsidRPr="00B31F51">
              <w:rPr>
                <w:sz w:val="20"/>
                <w:szCs w:val="20"/>
              </w:rPr>
              <w:t>53,994.82</w:t>
            </w:r>
          </w:p>
        </w:tc>
      </w:tr>
      <w:tr w:rsidR="000B4EF0" w:rsidRPr="00B31F51" w:rsidTr="002A1E6C">
        <w:trPr>
          <w:trHeight w:val="980"/>
          <w:jc w:val="center"/>
        </w:trPr>
        <w:tc>
          <w:tcPr>
            <w:tcW w:w="1373" w:type="dxa"/>
            <w:vAlign w:val="bottom"/>
          </w:tcPr>
          <w:p w:rsidR="000B4EF0" w:rsidRPr="00B31F51" w:rsidRDefault="000B4EF0" w:rsidP="00B31F51">
            <w:pPr>
              <w:widowControl w:val="0"/>
              <w:overflowPunct w:val="0"/>
              <w:autoSpaceDE w:val="0"/>
              <w:autoSpaceDN w:val="0"/>
              <w:adjustRightInd w:val="0"/>
              <w:textAlignment w:val="baseline"/>
              <w:rPr>
                <w:sz w:val="20"/>
                <w:szCs w:val="20"/>
              </w:rPr>
            </w:pPr>
            <w:r w:rsidRPr="00B31F51">
              <w:rPr>
                <w:sz w:val="20"/>
                <w:szCs w:val="20"/>
              </w:rPr>
              <w:t>Evidence Fraud warning is a false positive</w:t>
            </w:r>
          </w:p>
        </w:tc>
        <w:tc>
          <w:tcPr>
            <w:tcW w:w="1371" w:type="dxa"/>
            <w:vAlign w:val="bottom"/>
          </w:tcPr>
          <w:p w:rsidR="000B4EF0" w:rsidRPr="00B31F51" w:rsidRDefault="00FB3C55" w:rsidP="00B31F51">
            <w:pPr>
              <w:widowControl w:val="0"/>
              <w:overflowPunct w:val="0"/>
              <w:autoSpaceDE w:val="0"/>
              <w:autoSpaceDN w:val="0"/>
              <w:adjustRightInd w:val="0"/>
              <w:textAlignment w:val="baseline"/>
              <w:rPr>
                <w:sz w:val="20"/>
                <w:szCs w:val="20"/>
              </w:rPr>
            </w:pPr>
            <w:r w:rsidRPr="00B31F51">
              <w:rPr>
                <w:sz w:val="20"/>
                <w:szCs w:val="20"/>
              </w:rPr>
              <w:t>11</w:t>
            </w:r>
            <w:r w:rsidR="000B4EF0" w:rsidRPr="00B31F51">
              <w:rPr>
                <w:sz w:val="20"/>
                <w:szCs w:val="20"/>
              </w:rPr>
              <w:t>,000</w:t>
            </w:r>
          </w:p>
        </w:tc>
        <w:tc>
          <w:tcPr>
            <w:tcW w:w="1364" w:type="dxa"/>
            <w:vAlign w:val="bottom"/>
          </w:tcPr>
          <w:p w:rsidR="000B4EF0" w:rsidRPr="00B31F51" w:rsidRDefault="000B4EF0" w:rsidP="00B31F51">
            <w:pPr>
              <w:widowControl w:val="0"/>
              <w:overflowPunct w:val="0"/>
              <w:autoSpaceDE w:val="0"/>
              <w:autoSpaceDN w:val="0"/>
              <w:adjustRightInd w:val="0"/>
              <w:textAlignment w:val="baseline"/>
              <w:rPr>
                <w:sz w:val="20"/>
                <w:szCs w:val="20"/>
              </w:rPr>
            </w:pPr>
            <w:r w:rsidRPr="00B31F51">
              <w:rPr>
                <w:sz w:val="20"/>
                <w:szCs w:val="20"/>
              </w:rPr>
              <w:t>1 per qualifying loan</w:t>
            </w:r>
          </w:p>
        </w:tc>
        <w:tc>
          <w:tcPr>
            <w:tcW w:w="1364" w:type="dxa"/>
            <w:vAlign w:val="bottom"/>
          </w:tcPr>
          <w:p w:rsidR="000B4EF0" w:rsidRPr="00B31F51" w:rsidRDefault="00A65392" w:rsidP="00B31F51">
            <w:pPr>
              <w:widowControl w:val="0"/>
              <w:overflowPunct w:val="0"/>
              <w:autoSpaceDE w:val="0"/>
              <w:autoSpaceDN w:val="0"/>
              <w:adjustRightInd w:val="0"/>
              <w:textAlignment w:val="baseline"/>
              <w:rPr>
                <w:sz w:val="20"/>
                <w:szCs w:val="20"/>
              </w:rPr>
            </w:pPr>
            <w:r w:rsidRPr="00B31F51">
              <w:rPr>
                <w:sz w:val="20"/>
                <w:szCs w:val="20"/>
              </w:rPr>
              <w:t>100</w:t>
            </w:r>
          </w:p>
        </w:tc>
        <w:tc>
          <w:tcPr>
            <w:tcW w:w="1361" w:type="dxa"/>
            <w:vAlign w:val="bottom"/>
          </w:tcPr>
          <w:p w:rsidR="000B4EF0" w:rsidRPr="00B31F51" w:rsidRDefault="000B4EF0" w:rsidP="00B31F51">
            <w:pPr>
              <w:widowControl w:val="0"/>
              <w:overflowPunct w:val="0"/>
              <w:autoSpaceDE w:val="0"/>
              <w:autoSpaceDN w:val="0"/>
              <w:adjustRightInd w:val="0"/>
              <w:textAlignment w:val="baseline"/>
              <w:rPr>
                <w:sz w:val="20"/>
                <w:szCs w:val="20"/>
              </w:rPr>
            </w:pPr>
            <w:r w:rsidRPr="00B31F51">
              <w:rPr>
                <w:sz w:val="20"/>
                <w:szCs w:val="20"/>
              </w:rPr>
              <w:t>.25</w:t>
            </w:r>
          </w:p>
        </w:tc>
        <w:tc>
          <w:tcPr>
            <w:tcW w:w="1356" w:type="dxa"/>
            <w:vAlign w:val="bottom"/>
          </w:tcPr>
          <w:p w:rsidR="000B4EF0" w:rsidRPr="00B31F51" w:rsidRDefault="00787920" w:rsidP="00B31F51">
            <w:pPr>
              <w:widowControl w:val="0"/>
              <w:overflowPunct w:val="0"/>
              <w:autoSpaceDE w:val="0"/>
              <w:autoSpaceDN w:val="0"/>
              <w:adjustRightInd w:val="0"/>
              <w:textAlignment w:val="baseline"/>
              <w:rPr>
                <w:sz w:val="20"/>
                <w:szCs w:val="20"/>
              </w:rPr>
            </w:pPr>
            <w:r w:rsidRPr="00B31F51">
              <w:rPr>
                <w:sz w:val="20"/>
                <w:szCs w:val="20"/>
              </w:rPr>
              <w:t>25</w:t>
            </w:r>
          </w:p>
        </w:tc>
        <w:tc>
          <w:tcPr>
            <w:tcW w:w="1361" w:type="dxa"/>
            <w:vAlign w:val="bottom"/>
          </w:tcPr>
          <w:p w:rsidR="000B4EF0" w:rsidRPr="00B31F51" w:rsidRDefault="000B4EF0" w:rsidP="00B31F51">
            <w:r w:rsidRPr="00B31F51">
              <w:rPr>
                <w:sz w:val="20"/>
                <w:szCs w:val="20"/>
              </w:rPr>
              <w:t>$36.26</w:t>
            </w:r>
          </w:p>
        </w:tc>
        <w:tc>
          <w:tcPr>
            <w:tcW w:w="1466" w:type="dxa"/>
            <w:vAlign w:val="bottom"/>
          </w:tcPr>
          <w:p w:rsidR="000B4EF0" w:rsidRPr="00B31F51" w:rsidRDefault="000B4EF0" w:rsidP="00B31F51">
            <w:pPr>
              <w:widowControl w:val="0"/>
              <w:overflowPunct w:val="0"/>
              <w:autoSpaceDE w:val="0"/>
              <w:autoSpaceDN w:val="0"/>
              <w:adjustRightInd w:val="0"/>
              <w:textAlignment w:val="baseline"/>
              <w:rPr>
                <w:sz w:val="20"/>
                <w:szCs w:val="20"/>
              </w:rPr>
            </w:pPr>
            <w:r w:rsidRPr="00B31F51">
              <w:rPr>
                <w:sz w:val="20"/>
                <w:szCs w:val="20"/>
              </w:rPr>
              <w:t>$</w:t>
            </w:r>
            <w:r w:rsidR="00AA0905" w:rsidRPr="00B31F51">
              <w:rPr>
                <w:sz w:val="20"/>
                <w:szCs w:val="20"/>
              </w:rPr>
              <w:t>906.50</w:t>
            </w:r>
          </w:p>
        </w:tc>
      </w:tr>
      <w:tr w:rsidR="000B4EF0" w:rsidRPr="00B31F51" w:rsidTr="0007118A">
        <w:trPr>
          <w:jc w:val="center"/>
        </w:trPr>
        <w:tc>
          <w:tcPr>
            <w:tcW w:w="1373" w:type="dxa"/>
            <w:vAlign w:val="bottom"/>
          </w:tcPr>
          <w:p w:rsidR="000B4EF0" w:rsidRPr="00B31F51" w:rsidRDefault="000B4EF0" w:rsidP="00B31F51">
            <w:pPr>
              <w:widowControl w:val="0"/>
              <w:overflowPunct w:val="0"/>
              <w:autoSpaceDE w:val="0"/>
              <w:autoSpaceDN w:val="0"/>
              <w:adjustRightInd w:val="0"/>
              <w:textAlignment w:val="baseline"/>
              <w:rPr>
                <w:sz w:val="20"/>
                <w:szCs w:val="20"/>
              </w:rPr>
            </w:pPr>
            <w:r w:rsidRPr="00B31F51">
              <w:rPr>
                <w:sz w:val="20"/>
                <w:szCs w:val="20"/>
              </w:rPr>
              <w:t>Totals</w:t>
            </w:r>
          </w:p>
        </w:tc>
        <w:tc>
          <w:tcPr>
            <w:tcW w:w="1371" w:type="dxa"/>
            <w:vAlign w:val="bottom"/>
          </w:tcPr>
          <w:p w:rsidR="000B4EF0" w:rsidRPr="00B31F51" w:rsidRDefault="00FB3C55" w:rsidP="00B31F51">
            <w:pPr>
              <w:widowControl w:val="0"/>
              <w:overflowPunct w:val="0"/>
              <w:autoSpaceDE w:val="0"/>
              <w:autoSpaceDN w:val="0"/>
              <w:adjustRightInd w:val="0"/>
              <w:textAlignment w:val="baseline"/>
              <w:rPr>
                <w:sz w:val="20"/>
                <w:szCs w:val="20"/>
              </w:rPr>
            </w:pPr>
            <w:r w:rsidRPr="00B31F51">
              <w:rPr>
                <w:sz w:val="20"/>
                <w:szCs w:val="20"/>
              </w:rPr>
              <w:t>11</w:t>
            </w:r>
            <w:r w:rsidR="000B4EF0" w:rsidRPr="00B31F51">
              <w:rPr>
                <w:sz w:val="20"/>
                <w:szCs w:val="20"/>
              </w:rPr>
              <w:t>,000</w:t>
            </w:r>
          </w:p>
        </w:tc>
        <w:tc>
          <w:tcPr>
            <w:tcW w:w="1364" w:type="dxa"/>
            <w:vAlign w:val="bottom"/>
          </w:tcPr>
          <w:p w:rsidR="000B4EF0" w:rsidRPr="00B31F51" w:rsidRDefault="000B4EF0" w:rsidP="00B31F51">
            <w:pPr>
              <w:widowControl w:val="0"/>
              <w:overflowPunct w:val="0"/>
              <w:autoSpaceDE w:val="0"/>
              <w:autoSpaceDN w:val="0"/>
              <w:adjustRightInd w:val="0"/>
              <w:textAlignment w:val="baseline"/>
              <w:rPr>
                <w:sz w:val="20"/>
                <w:szCs w:val="20"/>
              </w:rPr>
            </w:pPr>
          </w:p>
        </w:tc>
        <w:tc>
          <w:tcPr>
            <w:tcW w:w="1364" w:type="dxa"/>
            <w:vAlign w:val="bottom"/>
          </w:tcPr>
          <w:p w:rsidR="000B4EF0" w:rsidRPr="00B31F51" w:rsidRDefault="00AA0905" w:rsidP="00B31F51">
            <w:pPr>
              <w:widowControl w:val="0"/>
              <w:overflowPunct w:val="0"/>
              <w:autoSpaceDE w:val="0"/>
              <w:autoSpaceDN w:val="0"/>
              <w:adjustRightInd w:val="0"/>
              <w:textAlignment w:val="baseline"/>
              <w:rPr>
                <w:sz w:val="20"/>
                <w:szCs w:val="20"/>
              </w:rPr>
            </w:pPr>
            <w:r w:rsidRPr="00B31F51">
              <w:rPr>
                <w:sz w:val="20"/>
                <w:szCs w:val="20"/>
              </w:rPr>
              <w:t>882,242</w:t>
            </w:r>
          </w:p>
        </w:tc>
        <w:tc>
          <w:tcPr>
            <w:tcW w:w="1361" w:type="dxa"/>
            <w:vAlign w:val="bottom"/>
          </w:tcPr>
          <w:p w:rsidR="000B4EF0" w:rsidRPr="00B31F51" w:rsidRDefault="00EE7836" w:rsidP="00B31F51">
            <w:pPr>
              <w:widowControl w:val="0"/>
              <w:overflowPunct w:val="0"/>
              <w:autoSpaceDE w:val="0"/>
              <w:autoSpaceDN w:val="0"/>
              <w:adjustRightInd w:val="0"/>
              <w:textAlignment w:val="baseline"/>
              <w:rPr>
                <w:sz w:val="20"/>
                <w:szCs w:val="20"/>
              </w:rPr>
            </w:pPr>
            <w:r w:rsidRPr="00B31F51">
              <w:rPr>
                <w:sz w:val="20"/>
                <w:szCs w:val="20"/>
              </w:rPr>
              <w:t>Varies</w:t>
            </w:r>
          </w:p>
        </w:tc>
        <w:tc>
          <w:tcPr>
            <w:tcW w:w="1356" w:type="dxa"/>
            <w:vAlign w:val="bottom"/>
          </w:tcPr>
          <w:p w:rsidR="000B4EF0" w:rsidRPr="00B31F51" w:rsidRDefault="00AA0905" w:rsidP="00B31F51">
            <w:pPr>
              <w:widowControl w:val="0"/>
              <w:overflowPunct w:val="0"/>
              <w:autoSpaceDE w:val="0"/>
              <w:autoSpaceDN w:val="0"/>
              <w:adjustRightInd w:val="0"/>
              <w:textAlignment w:val="baseline"/>
              <w:rPr>
                <w:sz w:val="20"/>
                <w:szCs w:val="20"/>
              </w:rPr>
            </w:pPr>
            <w:r w:rsidRPr="00B31F51">
              <w:rPr>
                <w:sz w:val="20"/>
                <w:szCs w:val="20"/>
              </w:rPr>
              <w:t>146,096</w:t>
            </w:r>
          </w:p>
        </w:tc>
        <w:tc>
          <w:tcPr>
            <w:tcW w:w="1361" w:type="dxa"/>
            <w:vAlign w:val="bottom"/>
          </w:tcPr>
          <w:p w:rsidR="000B4EF0" w:rsidRPr="00B31F51" w:rsidRDefault="00AA0905" w:rsidP="00B31F51">
            <w:pPr>
              <w:rPr>
                <w:sz w:val="20"/>
                <w:szCs w:val="20"/>
              </w:rPr>
            </w:pPr>
            <w:r w:rsidRPr="00B31F51">
              <w:rPr>
                <w:sz w:val="20"/>
                <w:szCs w:val="20"/>
              </w:rPr>
              <w:t>$36.26</w:t>
            </w:r>
          </w:p>
        </w:tc>
        <w:tc>
          <w:tcPr>
            <w:tcW w:w="1466" w:type="dxa"/>
            <w:vAlign w:val="bottom"/>
          </w:tcPr>
          <w:p w:rsidR="000B4EF0" w:rsidRPr="00B31F51" w:rsidRDefault="000B4EF0" w:rsidP="002577D9">
            <w:pPr>
              <w:widowControl w:val="0"/>
              <w:overflowPunct w:val="0"/>
              <w:autoSpaceDE w:val="0"/>
              <w:autoSpaceDN w:val="0"/>
              <w:adjustRightInd w:val="0"/>
              <w:textAlignment w:val="baseline"/>
              <w:rPr>
                <w:sz w:val="20"/>
                <w:szCs w:val="20"/>
              </w:rPr>
            </w:pPr>
            <w:r w:rsidRPr="00B31F51">
              <w:rPr>
                <w:sz w:val="20"/>
                <w:szCs w:val="20"/>
              </w:rPr>
              <w:t>$</w:t>
            </w:r>
            <w:r w:rsidR="00AA0905" w:rsidRPr="00B31F51">
              <w:rPr>
                <w:sz w:val="20"/>
                <w:szCs w:val="20"/>
              </w:rPr>
              <w:t>5,29</w:t>
            </w:r>
            <w:r w:rsidR="002577D9">
              <w:rPr>
                <w:sz w:val="20"/>
                <w:szCs w:val="20"/>
              </w:rPr>
              <w:t>7,448</w:t>
            </w:r>
          </w:p>
        </w:tc>
      </w:tr>
    </w:tbl>
    <w:p w:rsidR="000B4EF0" w:rsidRPr="00B31F51" w:rsidRDefault="00A359E3" w:rsidP="00B31F51">
      <w:pPr>
        <w:widowControl w:val="0"/>
        <w:overflowPunct w:val="0"/>
        <w:autoSpaceDE w:val="0"/>
        <w:autoSpaceDN w:val="0"/>
        <w:adjustRightInd w:val="0"/>
        <w:textAlignment w:val="baseline"/>
      </w:pPr>
      <w:r w:rsidRPr="00B31F51">
        <w:t>*This form is provided as a reference</w:t>
      </w:r>
      <w:r w:rsidR="002A1E6C" w:rsidRPr="00B31F51">
        <w:t xml:space="preserve"> only</w:t>
      </w:r>
      <w:r w:rsidR="00EE7836" w:rsidRPr="00B31F51">
        <w:t>.</w:t>
      </w:r>
      <w:r w:rsidRPr="00B31F51">
        <w:t xml:space="preserve"> </w:t>
      </w:r>
      <w:r w:rsidR="00EE7836" w:rsidRPr="00B31F51">
        <w:t>T</w:t>
      </w:r>
      <w:r w:rsidRPr="00B31F51">
        <w:t xml:space="preserve">he mortgagee may choose whether or not to complete it. </w:t>
      </w:r>
    </w:p>
    <w:p w:rsidR="00A359E3" w:rsidRPr="00B31F51" w:rsidRDefault="00A359E3" w:rsidP="00B31F51">
      <w:pPr>
        <w:widowControl w:val="0"/>
        <w:overflowPunct w:val="0"/>
        <w:autoSpaceDE w:val="0"/>
        <w:autoSpaceDN w:val="0"/>
        <w:adjustRightInd w:val="0"/>
        <w:textAlignment w:val="baseline"/>
      </w:pPr>
    </w:p>
    <w:p w:rsidR="006B5E9D" w:rsidRPr="00B31F51" w:rsidRDefault="006B5E9D" w:rsidP="00B31F51">
      <w:pPr>
        <w:widowControl w:val="0"/>
        <w:overflowPunct w:val="0"/>
        <w:autoSpaceDE w:val="0"/>
        <w:autoSpaceDN w:val="0"/>
        <w:adjustRightInd w:val="0"/>
        <w:textAlignment w:val="baseline"/>
      </w:pPr>
      <w:r w:rsidRPr="00B31F51">
        <w:t>Respondents are the FHA approved Mortgagees, who</w:t>
      </w:r>
      <w:r w:rsidR="00420156" w:rsidRPr="00B31F51">
        <w:t>se number totals approximately 11</w:t>
      </w:r>
      <w:r w:rsidRPr="00B31F51">
        <w:t xml:space="preserve">,000.  </w:t>
      </w:r>
    </w:p>
    <w:p w:rsidR="00C7468D" w:rsidRPr="00B31F51" w:rsidRDefault="00C7468D" w:rsidP="00B31F51">
      <w:pPr>
        <w:widowControl w:val="0"/>
        <w:overflowPunct w:val="0"/>
        <w:autoSpaceDE w:val="0"/>
        <w:autoSpaceDN w:val="0"/>
        <w:adjustRightInd w:val="0"/>
        <w:textAlignment w:val="baseline"/>
      </w:pPr>
    </w:p>
    <w:p w:rsidR="0004698A" w:rsidRPr="00B31F51" w:rsidRDefault="00C7468D" w:rsidP="00B31F51">
      <w:pPr>
        <w:widowControl w:val="0"/>
        <w:overflowPunct w:val="0"/>
        <w:autoSpaceDE w:val="0"/>
        <w:autoSpaceDN w:val="0"/>
        <w:adjustRightInd w:val="0"/>
        <w:textAlignment w:val="baseline"/>
      </w:pPr>
      <w:r w:rsidRPr="00B31F51">
        <w:t>For the estimates of the cost burden to the public resulting from the collection of information, HUD interviewed lenders from small, medium, and large mortgage companies.  Additionally, for the burden hour estimates, HUD uses the longest estimated time to account for manual process where needed.</w:t>
      </w:r>
    </w:p>
    <w:p w:rsidR="00C7468D" w:rsidRPr="00B31F51" w:rsidRDefault="00C7468D" w:rsidP="00B31F51">
      <w:pPr>
        <w:widowControl w:val="0"/>
        <w:overflowPunct w:val="0"/>
        <w:autoSpaceDE w:val="0"/>
        <w:autoSpaceDN w:val="0"/>
        <w:adjustRightInd w:val="0"/>
        <w:textAlignment w:val="baseline"/>
      </w:pPr>
    </w:p>
    <w:p w:rsidR="008173FF" w:rsidRPr="00B31F51" w:rsidRDefault="008173FF" w:rsidP="00B31F51">
      <w:pPr>
        <w:widowControl w:val="0"/>
        <w:overflowPunct w:val="0"/>
        <w:autoSpaceDE w:val="0"/>
        <w:autoSpaceDN w:val="0"/>
        <w:adjustRightInd w:val="0"/>
        <w:textAlignment w:val="baseline"/>
      </w:pPr>
      <w:r w:rsidRPr="00B31F51">
        <w:rPr>
          <w:u w:val="single"/>
        </w:rPr>
        <w:t>HOPE for Homeowners</w:t>
      </w:r>
      <w:r w:rsidR="00C7468D" w:rsidRPr="00B31F51">
        <w:t>:</w:t>
      </w:r>
    </w:p>
    <w:p w:rsidR="0004698A" w:rsidRPr="00B31F51" w:rsidRDefault="0004698A" w:rsidP="00B31F51">
      <w:pPr>
        <w:ind w:left="360"/>
      </w:pPr>
      <w:r w:rsidRPr="00B31F51">
        <w:t xml:space="preserve">HUD spoke with Judith Smith of Judith O. Smith Mortgage Group, </w:t>
      </w:r>
      <w:proofErr w:type="spellStart"/>
      <w:r w:rsidRPr="00B31F51">
        <w:t>Lauri</w:t>
      </w:r>
      <w:proofErr w:type="spellEnd"/>
      <w:r w:rsidRPr="00B31F51">
        <w:t xml:space="preserve"> </w:t>
      </w:r>
      <w:proofErr w:type="spellStart"/>
      <w:r w:rsidRPr="00B31F51">
        <w:t>Siebenthall</w:t>
      </w:r>
      <w:proofErr w:type="spellEnd"/>
      <w:r w:rsidRPr="00B31F51">
        <w:t xml:space="preserve"> of </w:t>
      </w:r>
      <w:proofErr w:type="spellStart"/>
      <w:r w:rsidRPr="00B31F51">
        <w:t>PrimeLending</w:t>
      </w:r>
      <w:proofErr w:type="spellEnd"/>
      <w:r w:rsidRPr="00B31F51">
        <w:t xml:space="preserve">, Tonia Gustafson of Wells Fargo, Brenda Walker of the Kentucky Housing Corporation, and David </w:t>
      </w:r>
      <w:proofErr w:type="spellStart"/>
      <w:r w:rsidRPr="00B31F51">
        <w:t>Wescott</w:t>
      </w:r>
      <w:proofErr w:type="spellEnd"/>
      <w:r w:rsidRPr="00B31F51">
        <w:t xml:space="preserve"> of the Florida Housing Finance  Corporation.  </w:t>
      </w:r>
    </w:p>
    <w:p w:rsidR="0004698A" w:rsidRPr="00B31F51" w:rsidRDefault="0004698A" w:rsidP="00B31F51"/>
    <w:p w:rsidR="0004698A" w:rsidRPr="00B31F51" w:rsidRDefault="0004698A" w:rsidP="00B31F51">
      <w:pPr>
        <w:ind w:left="360"/>
      </w:pPr>
      <w:r w:rsidRPr="00B31F51">
        <w:t xml:space="preserve">  The one hour estimate for the HOPE for Homeowners certification was derived from information provided by Ms. Gustafson.  She noted that the process will require multiple manual processes, including finding, tracking and identifying the original loan.  </w:t>
      </w:r>
    </w:p>
    <w:p w:rsidR="0004698A" w:rsidRPr="00B31F51" w:rsidRDefault="0004698A" w:rsidP="00B31F51"/>
    <w:p w:rsidR="0004698A" w:rsidRPr="00B31F51" w:rsidRDefault="0004698A" w:rsidP="00B31F51">
      <w:pPr>
        <w:ind w:left="360"/>
      </w:pPr>
      <w:r w:rsidRPr="00B31F51">
        <w:t xml:space="preserve">Ms. Gustafson, Ms. </w:t>
      </w:r>
      <w:proofErr w:type="spellStart"/>
      <w:r w:rsidRPr="00B31F51">
        <w:t>Siebenthall</w:t>
      </w:r>
      <w:proofErr w:type="spellEnd"/>
      <w:r w:rsidRPr="00B31F51">
        <w:t>, and Ms. Smith each indicated that the appreciation sharing worksheet would require lenders to explain the H4H loan to subordinate lien holders, who tend to be smaller lenders.  It also may necessitate extra discussion time to identify the person within the organization with the proper authority to extinguish the lien.</w:t>
      </w:r>
    </w:p>
    <w:p w:rsidR="0004698A" w:rsidRPr="00B31F51" w:rsidRDefault="0004698A" w:rsidP="00B31F51"/>
    <w:p w:rsidR="0004698A" w:rsidRPr="00B31F51" w:rsidRDefault="0004698A" w:rsidP="00B31F51">
      <w:pPr>
        <w:ind w:left="360"/>
      </w:pPr>
      <w:r w:rsidRPr="00B31F51">
        <w:t xml:space="preserve">Ms. </w:t>
      </w:r>
      <w:proofErr w:type="spellStart"/>
      <w:r w:rsidRPr="00B31F51">
        <w:t>Siebenthall</w:t>
      </w:r>
      <w:proofErr w:type="spellEnd"/>
      <w:r w:rsidRPr="00B31F51">
        <w:t xml:space="preserve"> indicated that once the additional form requirements were incorporated into their current automated process, the processing of H4H loans would not create a substantial number of additional burden hours for staff.</w:t>
      </w:r>
    </w:p>
    <w:p w:rsidR="0004698A" w:rsidRPr="00B31F51" w:rsidRDefault="0004698A" w:rsidP="00B31F51">
      <w:pPr>
        <w:ind w:left="360"/>
      </w:pPr>
    </w:p>
    <w:p w:rsidR="0004698A" w:rsidRPr="00B31F51" w:rsidRDefault="0004698A" w:rsidP="00B31F51">
      <w:pPr>
        <w:ind w:left="360"/>
      </w:pPr>
      <w:r w:rsidRPr="00B31F51">
        <w:t>Additionally, HUD used the Congressional Budget Office estimate that the H4H program will serve 400,000 homeowners over the 3 year period.  We used one-third of that total for the annual frequency of response.</w:t>
      </w:r>
    </w:p>
    <w:p w:rsidR="0004698A" w:rsidRPr="00B31F51" w:rsidRDefault="0004698A" w:rsidP="00B31F51">
      <w:pPr>
        <w:widowControl w:val="0"/>
        <w:overflowPunct w:val="0"/>
        <w:autoSpaceDE w:val="0"/>
        <w:autoSpaceDN w:val="0"/>
        <w:adjustRightInd w:val="0"/>
        <w:textAlignment w:val="baseline"/>
      </w:pPr>
    </w:p>
    <w:p w:rsidR="00C7468D" w:rsidRPr="00B31F51" w:rsidRDefault="00C7468D" w:rsidP="00B31F51">
      <w:pPr>
        <w:widowControl w:val="0"/>
        <w:overflowPunct w:val="0"/>
        <w:autoSpaceDE w:val="0"/>
        <w:autoSpaceDN w:val="0"/>
        <w:adjustRightInd w:val="0"/>
        <w:textAlignment w:val="baseline"/>
        <w:rPr>
          <w:u w:val="single"/>
        </w:rPr>
      </w:pPr>
      <w:r w:rsidRPr="00B31F51">
        <w:rPr>
          <w:u w:val="single"/>
        </w:rPr>
        <w:t>Refinance of borrowers in negative equity positions:</w:t>
      </w:r>
    </w:p>
    <w:p w:rsidR="00C7468D" w:rsidRPr="00B31F51" w:rsidRDefault="00C7468D" w:rsidP="00B31F51">
      <w:pPr>
        <w:widowControl w:val="0"/>
        <w:overflowPunct w:val="0"/>
        <w:autoSpaceDE w:val="0"/>
        <w:autoSpaceDN w:val="0"/>
        <w:adjustRightInd w:val="0"/>
        <w:textAlignment w:val="baseline"/>
      </w:pPr>
      <w:r w:rsidRPr="00B31F51">
        <w:t>HUD spoke with Theodore Foster of Wells Fargo, Susanne Garbacz of JP Morgan Chase, Shawn Krause of Quicken Loans and John DiIorio of 1</w:t>
      </w:r>
      <w:r w:rsidRPr="00B31F51">
        <w:rPr>
          <w:vertAlign w:val="superscript"/>
        </w:rPr>
        <w:t>st</w:t>
      </w:r>
      <w:r w:rsidRPr="00B31F51">
        <w:t xml:space="preserve"> Alliance Lending.</w:t>
      </w:r>
    </w:p>
    <w:p w:rsidR="00C7468D" w:rsidRPr="00B31F51" w:rsidRDefault="00C7468D" w:rsidP="00B31F51">
      <w:pPr>
        <w:widowControl w:val="0"/>
        <w:overflowPunct w:val="0"/>
        <w:autoSpaceDE w:val="0"/>
        <w:autoSpaceDN w:val="0"/>
        <w:adjustRightInd w:val="0"/>
        <w:textAlignment w:val="baseline"/>
      </w:pPr>
    </w:p>
    <w:p w:rsidR="00C7468D" w:rsidRPr="00B31F51" w:rsidRDefault="00C7468D" w:rsidP="00B31F51">
      <w:pPr>
        <w:widowControl w:val="0"/>
        <w:overflowPunct w:val="0"/>
        <w:autoSpaceDE w:val="0"/>
        <w:autoSpaceDN w:val="0"/>
        <w:adjustRightInd w:val="0"/>
        <w:textAlignment w:val="baseline"/>
      </w:pPr>
      <w:r w:rsidRPr="00B31F51">
        <w:t>Both Mr. Foster and Ms. Garbacz indicated that their companies were likely to rely on their loan origination systems (LOS) to provide the write off amount electronically to HUD, but estimated it would take approximately five minutes to manually calculate and enter the information.</w:t>
      </w:r>
    </w:p>
    <w:p w:rsidR="00C7468D" w:rsidRPr="00B31F51" w:rsidRDefault="00C7468D" w:rsidP="00B31F51">
      <w:pPr>
        <w:widowControl w:val="0"/>
        <w:overflowPunct w:val="0"/>
        <w:autoSpaceDE w:val="0"/>
        <w:autoSpaceDN w:val="0"/>
        <w:adjustRightInd w:val="0"/>
        <w:textAlignment w:val="baseline"/>
      </w:pPr>
    </w:p>
    <w:p w:rsidR="00C7468D" w:rsidRPr="00B31F51" w:rsidRDefault="00C7468D" w:rsidP="00B31F51">
      <w:pPr>
        <w:widowControl w:val="0"/>
        <w:overflowPunct w:val="0"/>
        <w:autoSpaceDE w:val="0"/>
        <w:autoSpaceDN w:val="0"/>
        <w:adjustRightInd w:val="0"/>
        <w:textAlignment w:val="baseline"/>
      </w:pPr>
      <w:r w:rsidRPr="00B31F51">
        <w:t>Similarly, Ms. Krause indicated her company would provide the information electronically via its LOS system, but estimated the manual process to take two to three minutes.</w:t>
      </w:r>
    </w:p>
    <w:p w:rsidR="00C7468D" w:rsidRPr="00B31F51" w:rsidRDefault="00C7468D" w:rsidP="00B31F51">
      <w:pPr>
        <w:widowControl w:val="0"/>
        <w:overflowPunct w:val="0"/>
        <w:autoSpaceDE w:val="0"/>
        <w:autoSpaceDN w:val="0"/>
        <w:adjustRightInd w:val="0"/>
        <w:textAlignment w:val="baseline"/>
      </w:pPr>
    </w:p>
    <w:p w:rsidR="00C7468D" w:rsidRPr="00B31F51" w:rsidRDefault="00C7468D" w:rsidP="00B31F51">
      <w:pPr>
        <w:widowControl w:val="0"/>
        <w:overflowPunct w:val="0"/>
        <w:autoSpaceDE w:val="0"/>
        <w:autoSpaceDN w:val="0"/>
        <w:adjustRightInd w:val="0"/>
        <w:textAlignment w:val="baseline"/>
      </w:pPr>
      <w:r w:rsidRPr="00B31F51">
        <w:t>Mr. DiIorio indicated his company was likely to provide the information via the manual process of calculating the amount and entering it into FHA Connection.  He estimated the process would take five to six minutes.</w:t>
      </w:r>
    </w:p>
    <w:p w:rsidR="00C7468D" w:rsidRPr="00B31F51" w:rsidRDefault="00C7468D" w:rsidP="00B31F51">
      <w:pPr>
        <w:widowControl w:val="0"/>
        <w:overflowPunct w:val="0"/>
        <w:autoSpaceDE w:val="0"/>
        <w:autoSpaceDN w:val="0"/>
        <w:adjustRightInd w:val="0"/>
        <w:textAlignment w:val="baseline"/>
      </w:pPr>
    </w:p>
    <w:p w:rsidR="00AE50E2" w:rsidRPr="00B31F51" w:rsidRDefault="00C7468D" w:rsidP="00B31F51">
      <w:pPr>
        <w:widowControl w:val="0"/>
        <w:overflowPunct w:val="0"/>
        <w:autoSpaceDE w:val="0"/>
        <w:autoSpaceDN w:val="0"/>
        <w:adjustRightInd w:val="0"/>
        <w:textAlignment w:val="baseline"/>
      </w:pPr>
      <w:r w:rsidRPr="00B31F51">
        <w:t>Additionally, HUD used the</w:t>
      </w:r>
      <w:r w:rsidR="002C56C9" w:rsidRPr="00B31F51">
        <w:t xml:space="preserve"> OMB approved estimate that these </w:t>
      </w:r>
      <w:r w:rsidRPr="00B31F51">
        <w:t>refinances will serve 1,000,000 hom</w:t>
      </w:r>
      <w:r w:rsidR="00A65392" w:rsidRPr="00B31F51">
        <w:t>eowners in the 2 year and 4</w:t>
      </w:r>
      <w:r w:rsidRPr="00B31F51">
        <w:t xml:space="preserve"> month life of the program.  </w:t>
      </w:r>
      <w:r w:rsidR="00AE50E2" w:rsidRPr="00B31F51">
        <w:t>The annualized frequency of response is 42</w:t>
      </w:r>
      <w:r w:rsidR="00A65392" w:rsidRPr="00B31F51">
        <w:t>8</w:t>
      </w:r>
      <w:r w:rsidR="00AE50E2" w:rsidRPr="00B31F51">
        <w:t>,</w:t>
      </w:r>
      <w:r w:rsidR="00A65392" w:rsidRPr="00B31F51">
        <w:t>571</w:t>
      </w:r>
      <w:r w:rsidR="00AE50E2" w:rsidRPr="00B31F51">
        <w:t xml:space="preserve"> (1,000,000/</w:t>
      </w:r>
      <w:r w:rsidR="00A65392" w:rsidRPr="00B31F51">
        <w:t>28 months</w:t>
      </w:r>
      <w:r w:rsidR="00AE50E2" w:rsidRPr="00B31F51">
        <w:t>)</w:t>
      </w:r>
      <w:r w:rsidR="00A65392" w:rsidRPr="00B31F51">
        <w:t>* 12 months</w:t>
      </w:r>
      <w:r w:rsidR="00AE50E2" w:rsidRPr="00B31F51">
        <w:t>.</w:t>
      </w:r>
    </w:p>
    <w:p w:rsidR="00A65392" w:rsidRPr="00B31F51" w:rsidRDefault="00A65392" w:rsidP="00B31F51">
      <w:pPr>
        <w:widowControl w:val="0"/>
        <w:overflowPunct w:val="0"/>
        <w:autoSpaceDE w:val="0"/>
        <w:autoSpaceDN w:val="0"/>
        <w:adjustRightInd w:val="0"/>
        <w:textAlignment w:val="baseline"/>
      </w:pPr>
    </w:p>
    <w:p w:rsidR="00A65392" w:rsidRPr="00B31F51" w:rsidRDefault="00A65392" w:rsidP="00B31F51">
      <w:pPr>
        <w:widowControl w:val="0"/>
        <w:overflowPunct w:val="0"/>
        <w:autoSpaceDE w:val="0"/>
        <w:autoSpaceDN w:val="0"/>
        <w:adjustRightInd w:val="0"/>
        <w:textAlignment w:val="baseline"/>
      </w:pPr>
      <w:r w:rsidRPr="00B31F51">
        <w:t xml:space="preserve">The H4H Consumer Disclosure and Certification has two parts, the disclosure of the unique features of the program and the borrower certification regarding </w:t>
      </w:r>
      <w:r w:rsidR="00787920" w:rsidRPr="00B31F51">
        <w:t>conviction of certain financial</w:t>
      </w:r>
      <w:r w:rsidRPr="00B31F51">
        <w:t xml:space="preserve">.  The FHA Refinance of Borrowers in Negative Equity Positions contains only the </w:t>
      </w:r>
      <w:r w:rsidR="00787920" w:rsidRPr="00B31F51">
        <w:t xml:space="preserve">certification, and therefore is estimated to take about one-third </w:t>
      </w:r>
      <w:r w:rsidR="00AA0905" w:rsidRPr="00B31F51">
        <w:t>as much</w:t>
      </w:r>
      <w:r w:rsidR="00787920" w:rsidRPr="00B31F51">
        <w:t xml:space="preserve"> time to complete</w:t>
      </w:r>
      <w:r w:rsidR="00AA0905" w:rsidRPr="00B31F51">
        <w:t xml:space="preserve"> as the H4H disclosure and certification</w:t>
      </w:r>
      <w:r w:rsidR="00787920" w:rsidRPr="00B31F51">
        <w:t>.</w:t>
      </w:r>
    </w:p>
    <w:p w:rsidR="00A11647" w:rsidRPr="00B31F51" w:rsidRDefault="00A11647" w:rsidP="00B31F51">
      <w:pPr>
        <w:widowControl w:val="0"/>
        <w:overflowPunct w:val="0"/>
        <w:autoSpaceDE w:val="0"/>
        <w:autoSpaceDN w:val="0"/>
        <w:adjustRightInd w:val="0"/>
        <w:ind w:left="1080"/>
        <w:textAlignment w:val="baseline"/>
      </w:pPr>
    </w:p>
    <w:p w:rsidR="007C6069" w:rsidRPr="00B31F51" w:rsidRDefault="007C6069" w:rsidP="00B31F51">
      <w:pPr>
        <w:widowControl w:val="0"/>
        <w:numPr>
          <w:ilvl w:val="0"/>
          <w:numId w:val="35"/>
        </w:numPr>
        <w:overflowPunct w:val="0"/>
        <w:autoSpaceDE w:val="0"/>
        <w:autoSpaceDN w:val="0"/>
        <w:adjustRightInd w:val="0"/>
        <w:textAlignment w:val="baseline"/>
      </w:pPr>
      <w:r w:rsidRPr="00B31F51">
        <w:t>There are no additional costs to respondents.</w:t>
      </w:r>
    </w:p>
    <w:p w:rsidR="000F6E3C" w:rsidRPr="00B31F51" w:rsidRDefault="000F6E3C" w:rsidP="00B31F51">
      <w:pPr>
        <w:widowControl w:val="0"/>
        <w:overflowPunct w:val="0"/>
        <w:autoSpaceDE w:val="0"/>
        <w:autoSpaceDN w:val="0"/>
        <w:adjustRightInd w:val="0"/>
        <w:textAlignment w:val="baseline"/>
      </w:pPr>
    </w:p>
    <w:p w:rsidR="007C6069" w:rsidRPr="00B31F51" w:rsidRDefault="007C6069" w:rsidP="00B31F51">
      <w:pPr>
        <w:widowControl w:val="0"/>
        <w:numPr>
          <w:ilvl w:val="0"/>
          <w:numId w:val="35"/>
        </w:numPr>
        <w:overflowPunct w:val="0"/>
        <w:autoSpaceDE w:val="0"/>
        <w:autoSpaceDN w:val="0"/>
        <w:adjustRightInd w:val="0"/>
        <w:textAlignment w:val="baseline"/>
      </w:pPr>
      <w:r w:rsidRPr="00B31F51">
        <w:t>The annualized cost estimates for the Federal Government are based on a $36.26 per hour costs that i</w:t>
      </w:r>
      <w:r w:rsidR="00666285" w:rsidRPr="00B31F51">
        <w:t>s based on a GS-12 staff review.</w:t>
      </w:r>
    </w:p>
    <w:p w:rsidR="000F6E3C" w:rsidRPr="00B31F51" w:rsidRDefault="000F6E3C" w:rsidP="00B31F51">
      <w:pPr>
        <w:widowControl w:val="0"/>
        <w:overflowPunct w:val="0"/>
        <w:autoSpaceDE w:val="0"/>
        <w:autoSpaceDN w:val="0"/>
        <w:adjustRightInd w:val="0"/>
        <w:ind w:left="360"/>
        <w:textAlignment w:val="baseline"/>
      </w:pPr>
    </w:p>
    <w:p w:rsidR="009E4293" w:rsidRPr="00B31F51" w:rsidRDefault="007C6069" w:rsidP="00B31F51">
      <w:pPr>
        <w:widowControl w:val="0"/>
        <w:overflowPunct w:val="0"/>
        <w:autoSpaceDE w:val="0"/>
        <w:autoSpaceDN w:val="0"/>
        <w:adjustRightInd w:val="0"/>
        <w:ind w:left="360"/>
        <w:textAlignment w:val="baseline"/>
      </w:pPr>
      <w:r w:rsidRPr="00B31F51">
        <w:t xml:space="preserve">The cost to the Federal Government relates the review of direct endorsement and lender insurance cases.  </w:t>
      </w:r>
    </w:p>
    <w:p w:rsidR="000F6E3C" w:rsidRDefault="000F6E3C" w:rsidP="00B31F51">
      <w:pPr>
        <w:widowControl w:val="0"/>
        <w:overflowPunct w:val="0"/>
        <w:autoSpaceDE w:val="0"/>
        <w:autoSpaceDN w:val="0"/>
        <w:adjustRightInd w:val="0"/>
        <w:ind w:left="360"/>
        <w:textAlignment w:val="baseline"/>
      </w:pPr>
    </w:p>
    <w:p w:rsidR="0007406B" w:rsidRDefault="0007406B" w:rsidP="00B31F51">
      <w:pPr>
        <w:widowControl w:val="0"/>
        <w:overflowPunct w:val="0"/>
        <w:autoSpaceDE w:val="0"/>
        <w:autoSpaceDN w:val="0"/>
        <w:adjustRightInd w:val="0"/>
        <w:ind w:left="360"/>
        <w:textAlignment w:val="baseline"/>
      </w:pPr>
    </w:p>
    <w:p w:rsidR="0007406B" w:rsidRDefault="0007406B" w:rsidP="00B31F51">
      <w:pPr>
        <w:widowControl w:val="0"/>
        <w:overflowPunct w:val="0"/>
        <w:autoSpaceDE w:val="0"/>
        <w:autoSpaceDN w:val="0"/>
        <w:adjustRightInd w:val="0"/>
        <w:ind w:left="360"/>
        <w:textAlignment w:val="baseline"/>
      </w:pPr>
      <w:r>
        <w:t>(Please see chart on following page.)</w:t>
      </w:r>
    </w:p>
    <w:p w:rsidR="0007406B" w:rsidRDefault="0007406B" w:rsidP="00B31F51">
      <w:pPr>
        <w:widowControl w:val="0"/>
        <w:overflowPunct w:val="0"/>
        <w:autoSpaceDE w:val="0"/>
        <w:autoSpaceDN w:val="0"/>
        <w:adjustRightInd w:val="0"/>
        <w:ind w:left="360"/>
        <w:textAlignment w:val="baseline"/>
      </w:pPr>
    </w:p>
    <w:p w:rsidR="0007406B" w:rsidRDefault="0007406B" w:rsidP="00B31F51">
      <w:pPr>
        <w:widowControl w:val="0"/>
        <w:overflowPunct w:val="0"/>
        <w:autoSpaceDE w:val="0"/>
        <w:autoSpaceDN w:val="0"/>
        <w:adjustRightInd w:val="0"/>
        <w:ind w:left="360"/>
        <w:textAlignment w:val="baseline"/>
      </w:pPr>
    </w:p>
    <w:p w:rsidR="0007406B" w:rsidRPr="00B31F51" w:rsidRDefault="0007406B" w:rsidP="00B31F51">
      <w:pPr>
        <w:widowControl w:val="0"/>
        <w:overflowPunct w:val="0"/>
        <w:autoSpaceDE w:val="0"/>
        <w:autoSpaceDN w:val="0"/>
        <w:adjustRightInd w:val="0"/>
        <w:ind w:left="360"/>
        <w:textAlignment w:val="baseline"/>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1377"/>
        <w:gridCol w:w="1377"/>
        <w:gridCol w:w="1377"/>
        <w:gridCol w:w="1377"/>
        <w:gridCol w:w="1377"/>
        <w:gridCol w:w="1377"/>
        <w:gridCol w:w="1377"/>
        <w:gridCol w:w="1377"/>
      </w:tblGrid>
      <w:tr w:rsidR="009E4293" w:rsidRPr="00B31F51" w:rsidTr="00AF1B32">
        <w:tc>
          <w:tcPr>
            <w:tcW w:w="1377" w:type="dxa"/>
          </w:tcPr>
          <w:p w:rsidR="009E4293" w:rsidRPr="00B31F51" w:rsidRDefault="009E4293" w:rsidP="00B31F51">
            <w:pPr>
              <w:widowControl w:val="0"/>
              <w:overflowPunct w:val="0"/>
              <w:autoSpaceDE w:val="0"/>
              <w:autoSpaceDN w:val="0"/>
              <w:adjustRightInd w:val="0"/>
              <w:textAlignment w:val="baseline"/>
              <w:rPr>
                <w:sz w:val="20"/>
                <w:szCs w:val="20"/>
              </w:rPr>
            </w:pPr>
            <w:r w:rsidRPr="00B31F51">
              <w:rPr>
                <w:sz w:val="20"/>
                <w:szCs w:val="20"/>
              </w:rPr>
              <w:t>Information Collection</w:t>
            </w:r>
          </w:p>
        </w:tc>
        <w:tc>
          <w:tcPr>
            <w:tcW w:w="1377" w:type="dxa"/>
          </w:tcPr>
          <w:p w:rsidR="009E4293" w:rsidRPr="00B31F51" w:rsidRDefault="009E4293" w:rsidP="00B31F51">
            <w:pPr>
              <w:widowControl w:val="0"/>
              <w:overflowPunct w:val="0"/>
              <w:autoSpaceDE w:val="0"/>
              <w:autoSpaceDN w:val="0"/>
              <w:adjustRightInd w:val="0"/>
              <w:textAlignment w:val="baseline"/>
              <w:rPr>
                <w:sz w:val="20"/>
                <w:szCs w:val="20"/>
              </w:rPr>
            </w:pPr>
            <w:r w:rsidRPr="00B31F51">
              <w:rPr>
                <w:sz w:val="20"/>
                <w:szCs w:val="20"/>
              </w:rPr>
              <w:t>Number of Respondents</w:t>
            </w:r>
          </w:p>
        </w:tc>
        <w:tc>
          <w:tcPr>
            <w:tcW w:w="1377" w:type="dxa"/>
          </w:tcPr>
          <w:p w:rsidR="009E4293" w:rsidRPr="00B31F51" w:rsidRDefault="009E4293" w:rsidP="00B31F51">
            <w:pPr>
              <w:widowControl w:val="0"/>
              <w:overflowPunct w:val="0"/>
              <w:autoSpaceDE w:val="0"/>
              <w:autoSpaceDN w:val="0"/>
              <w:adjustRightInd w:val="0"/>
              <w:textAlignment w:val="baseline"/>
              <w:rPr>
                <w:sz w:val="20"/>
                <w:szCs w:val="20"/>
              </w:rPr>
            </w:pPr>
            <w:r w:rsidRPr="00B31F51">
              <w:rPr>
                <w:sz w:val="20"/>
                <w:szCs w:val="20"/>
              </w:rPr>
              <w:t>Frequency of Response</w:t>
            </w:r>
          </w:p>
        </w:tc>
        <w:tc>
          <w:tcPr>
            <w:tcW w:w="1377" w:type="dxa"/>
          </w:tcPr>
          <w:p w:rsidR="009E4293" w:rsidRPr="00B31F51" w:rsidRDefault="009E4293" w:rsidP="00B31F51">
            <w:pPr>
              <w:widowControl w:val="0"/>
              <w:overflowPunct w:val="0"/>
              <w:autoSpaceDE w:val="0"/>
              <w:autoSpaceDN w:val="0"/>
              <w:adjustRightInd w:val="0"/>
              <w:textAlignment w:val="baseline"/>
              <w:rPr>
                <w:sz w:val="20"/>
                <w:szCs w:val="20"/>
              </w:rPr>
            </w:pPr>
            <w:r w:rsidRPr="00B31F51">
              <w:rPr>
                <w:sz w:val="20"/>
                <w:szCs w:val="20"/>
              </w:rPr>
              <w:t>Responses Per Annum</w:t>
            </w:r>
          </w:p>
        </w:tc>
        <w:tc>
          <w:tcPr>
            <w:tcW w:w="1377" w:type="dxa"/>
          </w:tcPr>
          <w:p w:rsidR="009E4293" w:rsidRPr="00B31F51" w:rsidRDefault="009E4293" w:rsidP="00B31F51">
            <w:pPr>
              <w:widowControl w:val="0"/>
              <w:overflowPunct w:val="0"/>
              <w:autoSpaceDE w:val="0"/>
              <w:autoSpaceDN w:val="0"/>
              <w:adjustRightInd w:val="0"/>
              <w:textAlignment w:val="baseline"/>
              <w:rPr>
                <w:sz w:val="20"/>
                <w:szCs w:val="20"/>
              </w:rPr>
            </w:pPr>
            <w:r w:rsidRPr="00B31F51">
              <w:rPr>
                <w:sz w:val="20"/>
                <w:szCs w:val="20"/>
              </w:rPr>
              <w:t>Burden Hour Per Response</w:t>
            </w:r>
          </w:p>
        </w:tc>
        <w:tc>
          <w:tcPr>
            <w:tcW w:w="1377" w:type="dxa"/>
          </w:tcPr>
          <w:p w:rsidR="009E4293" w:rsidRPr="00B31F51" w:rsidRDefault="009E4293" w:rsidP="00B31F51">
            <w:pPr>
              <w:widowControl w:val="0"/>
              <w:overflowPunct w:val="0"/>
              <w:autoSpaceDE w:val="0"/>
              <w:autoSpaceDN w:val="0"/>
              <w:adjustRightInd w:val="0"/>
              <w:textAlignment w:val="baseline"/>
              <w:rPr>
                <w:sz w:val="20"/>
                <w:szCs w:val="20"/>
              </w:rPr>
            </w:pPr>
            <w:r w:rsidRPr="00B31F51">
              <w:rPr>
                <w:sz w:val="20"/>
                <w:szCs w:val="20"/>
              </w:rPr>
              <w:t>Annual Burden Hours</w:t>
            </w:r>
          </w:p>
        </w:tc>
        <w:tc>
          <w:tcPr>
            <w:tcW w:w="1377" w:type="dxa"/>
          </w:tcPr>
          <w:p w:rsidR="009E4293" w:rsidRPr="00B31F51" w:rsidRDefault="009E4293" w:rsidP="00B31F51">
            <w:pPr>
              <w:widowControl w:val="0"/>
              <w:overflowPunct w:val="0"/>
              <w:autoSpaceDE w:val="0"/>
              <w:autoSpaceDN w:val="0"/>
              <w:adjustRightInd w:val="0"/>
              <w:textAlignment w:val="baseline"/>
              <w:rPr>
                <w:sz w:val="20"/>
                <w:szCs w:val="20"/>
              </w:rPr>
            </w:pPr>
            <w:r w:rsidRPr="00B31F51">
              <w:rPr>
                <w:sz w:val="20"/>
                <w:szCs w:val="20"/>
              </w:rPr>
              <w:t>Hourly Cost Per Response</w:t>
            </w:r>
          </w:p>
        </w:tc>
        <w:tc>
          <w:tcPr>
            <w:tcW w:w="1377" w:type="dxa"/>
          </w:tcPr>
          <w:p w:rsidR="009E4293" w:rsidRPr="00B31F51" w:rsidRDefault="009E4293" w:rsidP="00B31F51">
            <w:pPr>
              <w:widowControl w:val="0"/>
              <w:overflowPunct w:val="0"/>
              <w:autoSpaceDE w:val="0"/>
              <w:autoSpaceDN w:val="0"/>
              <w:adjustRightInd w:val="0"/>
              <w:textAlignment w:val="baseline"/>
              <w:rPr>
                <w:sz w:val="20"/>
                <w:szCs w:val="20"/>
              </w:rPr>
            </w:pPr>
            <w:r w:rsidRPr="00B31F51">
              <w:rPr>
                <w:sz w:val="20"/>
                <w:szCs w:val="20"/>
              </w:rPr>
              <w:t>Annual Cost</w:t>
            </w:r>
          </w:p>
        </w:tc>
      </w:tr>
      <w:tr w:rsidR="009E4293" w:rsidRPr="00B31F51" w:rsidTr="00AF1B32">
        <w:tc>
          <w:tcPr>
            <w:tcW w:w="1377" w:type="dxa"/>
          </w:tcPr>
          <w:p w:rsidR="009E4293" w:rsidRPr="00B31F51" w:rsidRDefault="002C56C9" w:rsidP="00B31F51">
            <w:pPr>
              <w:widowControl w:val="0"/>
              <w:overflowPunct w:val="0"/>
              <w:autoSpaceDE w:val="0"/>
              <w:autoSpaceDN w:val="0"/>
              <w:adjustRightInd w:val="0"/>
              <w:textAlignment w:val="baseline"/>
              <w:rPr>
                <w:sz w:val="20"/>
                <w:szCs w:val="20"/>
              </w:rPr>
            </w:pPr>
            <w:r w:rsidRPr="00B31F51">
              <w:rPr>
                <w:sz w:val="20"/>
                <w:szCs w:val="20"/>
              </w:rPr>
              <w:t xml:space="preserve">H4H </w:t>
            </w:r>
            <w:r w:rsidR="009E4293" w:rsidRPr="00B31F51">
              <w:rPr>
                <w:sz w:val="20"/>
                <w:szCs w:val="20"/>
              </w:rPr>
              <w:t>Case Binder Review</w:t>
            </w:r>
          </w:p>
        </w:tc>
        <w:tc>
          <w:tcPr>
            <w:tcW w:w="1377" w:type="dxa"/>
          </w:tcPr>
          <w:p w:rsidR="009E4293" w:rsidRPr="00B31F51" w:rsidRDefault="000F6E3C" w:rsidP="00B31F51">
            <w:pPr>
              <w:widowControl w:val="0"/>
              <w:overflowPunct w:val="0"/>
              <w:autoSpaceDE w:val="0"/>
              <w:autoSpaceDN w:val="0"/>
              <w:adjustRightInd w:val="0"/>
              <w:textAlignment w:val="baseline"/>
              <w:rPr>
                <w:sz w:val="20"/>
                <w:szCs w:val="20"/>
              </w:rPr>
            </w:pPr>
            <w:r w:rsidRPr="00B31F51">
              <w:rPr>
                <w:sz w:val="20"/>
                <w:szCs w:val="20"/>
              </w:rPr>
              <w:t>1</w:t>
            </w:r>
          </w:p>
        </w:tc>
        <w:tc>
          <w:tcPr>
            <w:tcW w:w="1377" w:type="dxa"/>
          </w:tcPr>
          <w:p w:rsidR="009E4293" w:rsidRPr="00B31F51" w:rsidRDefault="00420156" w:rsidP="00B31F51">
            <w:pPr>
              <w:widowControl w:val="0"/>
              <w:overflowPunct w:val="0"/>
              <w:autoSpaceDE w:val="0"/>
              <w:autoSpaceDN w:val="0"/>
              <w:adjustRightInd w:val="0"/>
              <w:textAlignment w:val="baseline"/>
              <w:rPr>
                <w:sz w:val="20"/>
                <w:szCs w:val="20"/>
              </w:rPr>
            </w:pPr>
            <w:r w:rsidRPr="00B31F51">
              <w:rPr>
                <w:sz w:val="20"/>
                <w:szCs w:val="20"/>
              </w:rPr>
              <w:t>25</w:t>
            </w:r>
            <w:r w:rsidR="000F6E3C" w:rsidRPr="00B31F51">
              <w:rPr>
                <w:sz w:val="20"/>
                <w:szCs w:val="20"/>
              </w:rPr>
              <w:t xml:space="preserve">% of loans submitted for insurance </w:t>
            </w:r>
          </w:p>
        </w:tc>
        <w:tc>
          <w:tcPr>
            <w:tcW w:w="1377" w:type="dxa"/>
          </w:tcPr>
          <w:p w:rsidR="009E4293" w:rsidRPr="00B31F51" w:rsidRDefault="003856BE" w:rsidP="00B31F51">
            <w:pPr>
              <w:widowControl w:val="0"/>
              <w:overflowPunct w:val="0"/>
              <w:autoSpaceDE w:val="0"/>
              <w:autoSpaceDN w:val="0"/>
              <w:adjustRightInd w:val="0"/>
              <w:textAlignment w:val="baseline"/>
              <w:rPr>
                <w:sz w:val="20"/>
                <w:szCs w:val="20"/>
              </w:rPr>
            </w:pPr>
            <w:r w:rsidRPr="00B31F51">
              <w:rPr>
                <w:sz w:val="20"/>
                <w:szCs w:val="20"/>
              </w:rPr>
              <w:t>72,657</w:t>
            </w:r>
          </w:p>
        </w:tc>
        <w:tc>
          <w:tcPr>
            <w:tcW w:w="1377" w:type="dxa"/>
          </w:tcPr>
          <w:p w:rsidR="009E4293" w:rsidRPr="00B31F51" w:rsidRDefault="000F6E3C" w:rsidP="00B31F51">
            <w:pPr>
              <w:widowControl w:val="0"/>
              <w:overflowPunct w:val="0"/>
              <w:autoSpaceDE w:val="0"/>
              <w:autoSpaceDN w:val="0"/>
              <w:adjustRightInd w:val="0"/>
              <w:textAlignment w:val="baseline"/>
              <w:rPr>
                <w:sz w:val="20"/>
                <w:szCs w:val="20"/>
              </w:rPr>
            </w:pPr>
            <w:r w:rsidRPr="00B31F51">
              <w:rPr>
                <w:sz w:val="20"/>
                <w:szCs w:val="20"/>
              </w:rPr>
              <w:t>1.0</w:t>
            </w:r>
          </w:p>
        </w:tc>
        <w:tc>
          <w:tcPr>
            <w:tcW w:w="1377" w:type="dxa"/>
          </w:tcPr>
          <w:p w:rsidR="009E4293" w:rsidRPr="00B31F51" w:rsidRDefault="003856BE" w:rsidP="00B31F51">
            <w:pPr>
              <w:widowControl w:val="0"/>
              <w:overflowPunct w:val="0"/>
              <w:autoSpaceDE w:val="0"/>
              <w:autoSpaceDN w:val="0"/>
              <w:adjustRightInd w:val="0"/>
              <w:textAlignment w:val="baseline"/>
              <w:rPr>
                <w:sz w:val="20"/>
                <w:szCs w:val="20"/>
              </w:rPr>
            </w:pPr>
            <w:r w:rsidRPr="00B31F51">
              <w:rPr>
                <w:sz w:val="20"/>
                <w:szCs w:val="20"/>
              </w:rPr>
              <w:t>72,657</w:t>
            </w:r>
          </w:p>
        </w:tc>
        <w:tc>
          <w:tcPr>
            <w:tcW w:w="1377" w:type="dxa"/>
          </w:tcPr>
          <w:p w:rsidR="009E4293" w:rsidRPr="00B31F51" w:rsidRDefault="000F6E3C" w:rsidP="00B31F51">
            <w:pPr>
              <w:widowControl w:val="0"/>
              <w:overflowPunct w:val="0"/>
              <w:autoSpaceDE w:val="0"/>
              <w:autoSpaceDN w:val="0"/>
              <w:adjustRightInd w:val="0"/>
              <w:textAlignment w:val="baseline"/>
              <w:rPr>
                <w:sz w:val="20"/>
                <w:szCs w:val="20"/>
              </w:rPr>
            </w:pPr>
            <w:r w:rsidRPr="00B31F51">
              <w:rPr>
                <w:sz w:val="20"/>
                <w:szCs w:val="20"/>
              </w:rPr>
              <w:t>36.26</w:t>
            </w:r>
          </w:p>
        </w:tc>
        <w:tc>
          <w:tcPr>
            <w:tcW w:w="1377" w:type="dxa"/>
          </w:tcPr>
          <w:p w:rsidR="009E4293" w:rsidRPr="00B31F51" w:rsidRDefault="000F6E3C" w:rsidP="00B31F51">
            <w:pPr>
              <w:widowControl w:val="0"/>
              <w:overflowPunct w:val="0"/>
              <w:autoSpaceDE w:val="0"/>
              <w:autoSpaceDN w:val="0"/>
              <w:adjustRightInd w:val="0"/>
              <w:textAlignment w:val="baseline"/>
              <w:rPr>
                <w:sz w:val="20"/>
                <w:szCs w:val="20"/>
              </w:rPr>
            </w:pPr>
            <w:r w:rsidRPr="00B31F51">
              <w:rPr>
                <w:sz w:val="20"/>
                <w:szCs w:val="20"/>
              </w:rPr>
              <w:t>$</w:t>
            </w:r>
            <w:r w:rsidR="003856BE" w:rsidRPr="00B31F51">
              <w:rPr>
                <w:sz w:val="20"/>
                <w:szCs w:val="20"/>
              </w:rPr>
              <w:t>2,634,543</w:t>
            </w:r>
            <w:r w:rsidRPr="00B31F51">
              <w:rPr>
                <w:sz w:val="20"/>
                <w:szCs w:val="20"/>
              </w:rPr>
              <w:t>.00</w:t>
            </w:r>
          </w:p>
        </w:tc>
      </w:tr>
      <w:tr w:rsidR="002C56C9" w:rsidRPr="00B31F51" w:rsidTr="00AF1B32">
        <w:tc>
          <w:tcPr>
            <w:tcW w:w="1377" w:type="dxa"/>
          </w:tcPr>
          <w:p w:rsidR="002C56C9" w:rsidRPr="00B31F51" w:rsidRDefault="00617307" w:rsidP="00B31F51">
            <w:pPr>
              <w:widowControl w:val="0"/>
              <w:overflowPunct w:val="0"/>
              <w:autoSpaceDE w:val="0"/>
              <w:autoSpaceDN w:val="0"/>
              <w:adjustRightInd w:val="0"/>
              <w:textAlignment w:val="baseline"/>
              <w:rPr>
                <w:sz w:val="20"/>
                <w:szCs w:val="20"/>
              </w:rPr>
            </w:pPr>
            <w:r w:rsidRPr="00B31F51">
              <w:rPr>
                <w:sz w:val="20"/>
                <w:szCs w:val="20"/>
              </w:rPr>
              <w:t>Neg. Equity Refinance Case Binder R</w:t>
            </w:r>
            <w:r w:rsidR="002C56C9" w:rsidRPr="00B31F51">
              <w:rPr>
                <w:sz w:val="20"/>
                <w:szCs w:val="20"/>
              </w:rPr>
              <w:t>eview</w:t>
            </w:r>
            <w:r w:rsidRPr="00B31F51">
              <w:rPr>
                <w:sz w:val="20"/>
                <w:szCs w:val="20"/>
              </w:rPr>
              <w:t>*</w:t>
            </w:r>
          </w:p>
        </w:tc>
        <w:tc>
          <w:tcPr>
            <w:tcW w:w="1377" w:type="dxa"/>
          </w:tcPr>
          <w:p w:rsidR="002C56C9" w:rsidRPr="00B31F51" w:rsidRDefault="002C56C9" w:rsidP="00B31F51">
            <w:pPr>
              <w:widowControl w:val="0"/>
              <w:overflowPunct w:val="0"/>
              <w:autoSpaceDE w:val="0"/>
              <w:autoSpaceDN w:val="0"/>
              <w:adjustRightInd w:val="0"/>
              <w:textAlignment w:val="baseline"/>
              <w:rPr>
                <w:sz w:val="20"/>
                <w:szCs w:val="20"/>
              </w:rPr>
            </w:pPr>
            <w:r w:rsidRPr="00B31F51">
              <w:rPr>
                <w:sz w:val="20"/>
                <w:szCs w:val="20"/>
              </w:rPr>
              <w:t>1</w:t>
            </w:r>
          </w:p>
        </w:tc>
        <w:tc>
          <w:tcPr>
            <w:tcW w:w="1377" w:type="dxa"/>
          </w:tcPr>
          <w:p w:rsidR="002C56C9" w:rsidRPr="00B31F51" w:rsidRDefault="00617307" w:rsidP="00B31F51">
            <w:pPr>
              <w:widowControl w:val="0"/>
              <w:overflowPunct w:val="0"/>
              <w:autoSpaceDE w:val="0"/>
              <w:autoSpaceDN w:val="0"/>
              <w:adjustRightInd w:val="0"/>
              <w:textAlignment w:val="baseline"/>
              <w:rPr>
                <w:sz w:val="20"/>
                <w:szCs w:val="20"/>
              </w:rPr>
            </w:pPr>
            <w:r w:rsidRPr="00B31F51">
              <w:rPr>
                <w:sz w:val="20"/>
                <w:szCs w:val="20"/>
              </w:rPr>
              <w:t>75</w:t>
            </w:r>
            <w:r w:rsidR="002C56C9" w:rsidRPr="00B31F51">
              <w:rPr>
                <w:sz w:val="20"/>
                <w:szCs w:val="20"/>
              </w:rPr>
              <w:t>% of loans submitted for insurance</w:t>
            </w:r>
          </w:p>
        </w:tc>
        <w:tc>
          <w:tcPr>
            <w:tcW w:w="1377" w:type="dxa"/>
          </w:tcPr>
          <w:p w:rsidR="002C56C9" w:rsidRPr="00B31F51" w:rsidRDefault="00617307" w:rsidP="00B31F51">
            <w:pPr>
              <w:widowControl w:val="0"/>
              <w:overflowPunct w:val="0"/>
              <w:autoSpaceDE w:val="0"/>
              <w:autoSpaceDN w:val="0"/>
              <w:adjustRightInd w:val="0"/>
              <w:textAlignment w:val="baseline"/>
              <w:rPr>
                <w:sz w:val="20"/>
                <w:szCs w:val="20"/>
              </w:rPr>
            </w:pPr>
            <w:r w:rsidRPr="00B31F51">
              <w:rPr>
                <w:sz w:val="20"/>
                <w:szCs w:val="20"/>
              </w:rPr>
              <w:t>3</w:t>
            </w:r>
            <w:r w:rsidR="00AA0905" w:rsidRPr="00B31F51">
              <w:rPr>
                <w:sz w:val="20"/>
                <w:szCs w:val="20"/>
              </w:rPr>
              <w:t>21,428</w:t>
            </w:r>
          </w:p>
        </w:tc>
        <w:tc>
          <w:tcPr>
            <w:tcW w:w="1377" w:type="dxa"/>
          </w:tcPr>
          <w:p w:rsidR="002C56C9" w:rsidRPr="00B31F51" w:rsidRDefault="00617307" w:rsidP="00B31F51">
            <w:pPr>
              <w:widowControl w:val="0"/>
              <w:overflowPunct w:val="0"/>
              <w:autoSpaceDE w:val="0"/>
              <w:autoSpaceDN w:val="0"/>
              <w:adjustRightInd w:val="0"/>
              <w:textAlignment w:val="baseline"/>
              <w:rPr>
                <w:sz w:val="20"/>
                <w:szCs w:val="20"/>
              </w:rPr>
            </w:pPr>
            <w:r w:rsidRPr="00B31F51">
              <w:rPr>
                <w:sz w:val="20"/>
                <w:szCs w:val="20"/>
              </w:rPr>
              <w:t>.75</w:t>
            </w:r>
          </w:p>
        </w:tc>
        <w:tc>
          <w:tcPr>
            <w:tcW w:w="1377" w:type="dxa"/>
          </w:tcPr>
          <w:p w:rsidR="002C56C9" w:rsidRPr="00B31F51" w:rsidRDefault="00AA0905" w:rsidP="00B31F51">
            <w:pPr>
              <w:widowControl w:val="0"/>
              <w:overflowPunct w:val="0"/>
              <w:autoSpaceDE w:val="0"/>
              <w:autoSpaceDN w:val="0"/>
              <w:adjustRightInd w:val="0"/>
              <w:textAlignment w:val="baseline"/>
              <w:rPr>
                <w:sz w:val="20"/>
                <w:szCs w:val="20"/>
              </w:rPr>
            </w:pPr>
            <w:r w:rsidRPr="00B31F51">
              <w:rPr>
                <w:sz w:val="20"/>
                <w:szCs w:val="20"/>
              </w:rPr>
              <w:t>241,071</w:t>
            </w:r>
          </w:p>
        </w:tc>
        <w:tc>
          <w:tcPr>
            <w:tcW w:w="1377" w:type="dxa"/>
          </w:tcPr>
          <w:p w:rsidR="002C56C9" w:rsidRPr="00B31F51" w:rsidRDefault="00617307" w:rsidP="00B31F51">
            <w:pPr>
              <w:widowControl w:val="0"/>
              <w:overflowPunct w:val="0"/>
              <w:autoSpaceDE w:val="0"/>
              <w:autoSpaceDN w:val="0"/>
              <w:adjustRightInd w:val="0"/>
              <w:textAlignment w:val="baseline"/>
              <w:rPr>
                <w:sz w:val="20"/>
                <w:szCs w:val="20"/>
              </w:rPr>
            </w:pPr>
            <w:r w:rsidRPr="00B31F51">
              <w:rPr>
                <w:sz w:val="20"/>
                <w:szCs w:val="20"/>
              </w:rPr>
              <w:t>36.26</w:t>
            </w:r>
          </w:p>
        </w:tc>
        <w:tc>
          <w:tcPr>
            <w:tcW w:w="1377" w:type="dxa"/>
          </w:tcPr>
          <w:p w:rsidR="002C56C9" w:rsidRPr="00B31F51" w:rsidRDefault="00617307" w:rsidP="00B31F51">
            <w:pPr>
              <w:widowControl w:val="0"/>
              <w:overflowPunct w:val="0"/>
              <w:autoSpaceDE w:val="0"/>
              <w:autoSpaceDN w:val="0"/>
              <w:adjustRightInd w:val="0"/>
              <w:textAlignment w:val="baseline"/>
              <w:rPr>
                <w:sz w:val="20"/>
                <w:szCs w:val="20"/>
              </w:rPr>
            </w:pPr>
            <w:r w:rsidRPr="00B31F51">
              <w:rPr>
                <w:sz w:val="20"/>
                <w:szCs w:val="20"/>
              </w:rPr>
              <w:t>$</w:t>
            </w:r>
            <w:r w:rsidR="00AA0905" w:rsidRPr="00B31F51">
              <w:rPr>
                <w:sz w:val="20"/>
                <w:szCs w:val="20"/>
              </w:rPr>
              <w:t>8,741,234</w:t>
            </w:r>
          </w:p>
        </w:tc>
      </w:tr>
    </w:tbl>
    <w:p w:rsidR="009E4293" w:rsidRPr="00B31F51" w:rsidRDefault="00617307" w:rsidP="00B31F51">
      <w:pPr>
        <w:widowControl w:val="0"/>
        <w:overflowPunct w:val="0"/>
        <w:autoSpaceDE w:val="0"/>
        <w:autoSpaceDN w:val="0"/>
        <w:adjustRightInd w:val="0"/>
        <w:textAlignment w:val="baseline"/>
        <w:rPr>
          <w:sz w:val="20"/>
          <w:szCs w:val="20"/>
        </w:rPr>
      </w:pPr>
      <w:r w:rsidRPr="00B31F51">
        <w:t>*</w:t>
      </w:r>
      <w:r w:rsidRPr="00B31F51">
        <w:rPr>
          <w:sz w:val="20"/>
          <w:szCs w:val="20"/>
        </w:rPr>
        <w:t>Negative equity refinance loans are much closer in nature to FHA’s standard program.  Therefore we estimate the time necessary to review case binders to be shorter than that for H4H loans.</w:t>
      </w:r>
    </w:p>
    <w:p w:rsidR="0004698A" w:rsidRPr="00B31F51" w:rsidRDefault="0004698A" w:rsidP="00B31F51">
      <w:pPr>
        <w:widowControl w:val="0"/>
        <w:overflowPunct w:val="0"/>
        <w:autoSpaceDE w:val="0"/>
        <w:autoSpaceDN w:val="0"/>
        <w:adjustRightInd w:val="0"/>
        <w:textAlignment w:val="baseline"/>
      </w:pPr>
    </w:p>
    <w:p w:rsidR="007C767C" w:rsidRPr="007C767C" w:rsidRDefault="00296A42" w:rsidP="007C767C">
      <w:pPr>
        <w:pStyle w:val="ListParagraph"/>
        <w:widowControl w:val="0"/>
        <w:numPr>
          <w:ilvl w:val="0"/>
          <w:numId w:val="35"/>
        </w:numPr>
        <w:overflowPunct w:val="0"/>
        <w:autoSpaceDE w:val="0"/>
        <w:autoSpaceDN w:val="0"/>
        <w:adjustRightInd w:val="0"/>
        <w:textAlignment w:val="baseline"/>
      </w:pPr>
      <w:r w:rsidRPr="00B31F51">
        <w:t>This is a</w:t>
      </w:r>
      <w:r w:rsidR="00617307" w:rsidRPr="00B31F51">
        <w:t xml:space="preserve"> </w:t>
      </w:r>
      <w:r w:rsidR="00702617">
        <w:t>revision</w:t>
      </w:r>
      <w:r w:rsidR="00617307" w:rsidRPr="00B31F51">
        <w:t xml:space="preserve"> to</w:t>
      </w:r>
      <w:r w:rsidRPr="00B31F51">
        <w:t xml:space="preserve"> a currently approved collection.  </w:t>
      </w:r>
      <w:r w:rsidR="007C767C" w:rsidRPr="007C767C">
        <w:t xml:space="preserve">Initially, it was estimated that HOPE for Homeowners would help 400,000 over the life of the program.  This has not proven to be the case, and the actual numbers are significantly lower.  As of October 7, 2010, 130 H4H cases have been endorsed; however we could see the rate of endorsements increase in the program’s final year.  FHA has revised the burden estimates taking both the reduced participation and potential final year increase in consideration. </w:t>
      </w:r>
    </w:p>
    <w:p w:rsidR="000B1F76" w:rsidRPr="00B31F51" w:rsidRDefault="000B1F76" w:rsidP="007C767C">
      <w:pPr>
        <w:pStyle w:val="ListParagraph"/>
        <w:widowControl w:val="0"/>
        <w:overflowPunct w:val="0"/>
        <w:autoSpaceDE w:val="0"/>
        <w:autoSpaceDN w:val="0"/>
        <w:adjustRightInd w:val="0"/>
        <w:ind w:left="360"/>
        <w:textAlignment w:val="baseline"/>
      </w:pPr>
    </w:p>
    <w:p w:rsidR="00863BB7" w:rsidRPr="00B31F51" w:rsidRDefault="000B1F76" w:rsidP="00B31F51">
      <w:pPr>
        <w:widowControl w:val="0"/>
        <w:overflowPunct w:val="0"/>
        <w:autoSpaceDE w:val="0"/>
        <w:autoSpaceDN w:val="0"/>
        <w:adjustRightInd w:val="0"/>
        <w:textAlignment w:val="baseline"/>
      </w:pPr>
      <w:r w:rsidRPr="00B31F51">
        <w:t xml:space="preserve">16.  </w:t>
      </w:r>
      <w:r w:rsidR="00863BB7" w:rsidRPr="00B31F51">
        <w:t>This information collection does not include results that will be published.</w:t>
      </w:r>
    </w:p>
    <w:p w:rsidR="000B1F76" w:rsidRPr="00B31F51" w:rsidRDefault="000B1F76" w:rsidP="00B31F51">
      <w:pPr>
        <w:pStyle w:val="BodyTextIndent2"/>
        <w:tabs>
          <w:tab w:val="right" w:pos="3306"/>
          <w:tab w:val="left" w:pos="1438"/>
        </w:tabs>
        <w:overflowPunct w:val="0"/>
        <w:autoSpaceDE w:val="0"/>
        <w:autoSpaceDN w:val="0"/>
        <w:adjustRightInd w:val="0"/>
        <w:spacing w:after="0" w:line="240" w:lineRule="auto"/>
        <w:ind w:left="0"/>
        <w:textAlignment w:val="baseline"/>
      </w:pPr>
    </w:p>
    <w:p w:rsidR="00863BB7" w:rsidRPr="00B31F51" w:rsidRDefault="000B1F76" w:rsidP="00B31F51">
      <w:pPr>
        <w:pStyle w:val="BodyTextIndent2"/>
        <w:tabs>
          <w:tab w:val="right" w:pos="3306"/>
          <w:tab w:val="left" w:pos="1438"/>
        </w:tabs>
        <w:overflowPunct w:val="0"/>
        <w:autoSpaceDE w:val="0"/>
        <w:autoSpaceDN w:val="0"/>
        <w:adjustRightInd w:val="0"/>
        <w:spacing w:after="0" w:line="240" w:lineRule="auto"/>
        <w:ind w:left="0"/>
        <w:textAlignment w:val="baseline"/>
      </w:pPr>
      <w:r w:rsidRPr="00B31F51">
        <w:t xml:space="preserve">17.  </w:t>
      </w:r>
      <w:r w:rsidR="00863BB7" w:rsidRPr="00B31F51">
        <w:t>We are not seeking approval to avoid displaying the expiration date of the OMB approval.</w:t>
      </w:r>
    </w:p>
    <w:p w:rsidR="000B1F76" w:rsidRPr="00B31F51" w:rsidRDefault="000B1F76" w:rsidP="00B31F51">
      <w:pPr>
        <w:pStyle w:val="BodyTextIndent2"/>
        <w:tabs>
          <w:tab w:val="right" w:pos="3310"/>
          <w:tab w:val="left" w:pos="1442"/>
        </w:tabs>
        <w:overflowPunct w:val="0"/>
        <w:autoSpaceDE w:val="0"/>
        <w:autoSpaceDN w:val="0"/>
        <w:adjustRightInd w:val="0"/>
        <w:spacing w:after="0" w:line="240" w:lineRule="auto"/>
        <w:ind w:left="0"/>
        <w:textAlignment w:val="baseline"/>
      </w:pPr>
    </w:p>
    <w:p w:rsidR="00863BB7" w:rsidRPr="00B31F51" w:rsidRDefault="000B1F76" w:rsidP="00B31F51">
      <w:pPr>
        <w:pStyle w:val="BodyTextIndent2"/>
        <w:tabs>
          <w:tab w:val="right" w:pos="3310"/>
          <w:tab w:val="left" w:pos="1442"/>
        </w:tabs>
        <w:overflowPunct w:val="0"/>
        <w:autoSpaceDE w:val="0"/>
        <w:autoSpaceDN w:val="0"/>
        <w:adjustRightInd w:val="0"/>
        <w:spacing w:after="0" w:line="240" w:lineRule="auto"/>
        <w:ind w:left="0"/>
        <w:textAlignment w:val="baseline"/>
      </w:pPr>
      <w:r w:rsidRPr="00B31F51">
        <w:t>18.</w:t>
      </w:r>
      <w:r w:rsidR="00863BB7" w:rsidRPr="00B31F51">
        <w:t xml:space="preserve"> There are no exceptions to the certification statement identified in item 19 of the OMB 83-I.</w:t>
      </w:r>
    </w:p>
    <w:p w:rsidR="00863BB7" w:rsidRPr="00B31F51" w:rsidRDefault="00863BB7" w:rsidP="00B31F51">
      <w:pPr>
        <w:ind w:left="720"/>
      </w:pPr>
    </w:p>
    <w:p w:rsidR="00863BB7" w:rsidRPr="00B31F51" w:rsidRDefault="000F6E3C" w:rsidP="00B31F51">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pPr>
      <w:r w:rsidRPr="00B31F51">
        <w:rPr>
          <w:b/>
        </w:rPr>
        <w:t xml:space="preserve">B. </w:t>
      </w:r>
      <w:r w:rsidR="00863BB7" w:rsidRPr="00B31F51">
        <w:rPr>
          <w:b/>
        </w:rPr>
        <w:t>Collections of Information Employing Statistical Methods</w:t>
      </w:r>
    </w:p>
    <w:p w:rsidR="00863BB7" w:rsidRPr="00B31F51" w:rsidRDefault="00863BB7" w:rsidP="00B31F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720"/>
      </w:pPr>
    </w:p>
    <w:p w:rsidR="00863BB7" w:rsidRDefault="00863BB7" w:rsidP="00B31F51">
      <w:pPr>
        <w:tabs>
          <w:tab w:val="left" w:pos="720"/>
        </w:tabs>
      </w:pPr>
      <w:r w:rsidRPr="00B31F51">
        <w:t>The collection of information does not</w:t>
      </w:r>
      <w:r w:rsidR="00882627" w:rsidRPr="00B31F51">
        <w:t xml:space="preserve"> employ statistical methods.</w:t>
      </w:r>
    </w:p>
    <w:p w:rsidR="00863BB7" w:rsidRDefault="00863BB7" w:rsidP="00B31F51">
      <w:pPr>
        <w:tabs>
          <w:tab w:val="left" w:pos="720"/>
        </w:tabs>
      </w:pPr>
    </w:p>
    <w:sectPr w:rsidR="00863BB7" w:rsidSect="006C4397">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27671" w:rsidRDefault="00227671">
      <w:r>
        <w:separator/>
      </w:r>
    </w:p>
  </w:endnote>
  <w:endnote w:type="continuationSeparator" w:id="0">
    <w:p w:rsidR="00227671" w:rsidRDefault="0022767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5945" w:rsidRDefault="0000594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4680172"/>
      <w:docPartObj>
        <w:docPartGallery w:val="Page Numbers (Bottom of Page)"/>
        <w:docPartUnique/>
      </w:docPartObj>
    </w:sdtPr>
    <w:sdtContent>
      <w:p w:rsidR="00005945" w:rsidRDefault="00005945">
        <w:pPr>
          <w:pStyle w:val="Footer"/>
          <w:jc w:val="center"/>
        </w:pPr>
        <w:fldSimple w:instr=" PAGE   \* MERGEFORMAT ">
          <w:r>
            <w:rPr>
              <w:noProof/>
            </w:rPr>
            <w:t>1</w:t>
          </w:r>
        </w:fldSimple>
      </w:p>
    </w:sdtContent>
  </w:sdt>
  <w:p w:rsidR="00227671" w:rsidRPr="00005945" w:rsidRDefault="00227671" w:rsidP="0000594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5945" w:rsidRDefault="0000594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27671" w:rsidRDefault="00227671">
      <w:r>
        <w:separator/>
      </w:r>
    </w:p>
  </w:footnote>
  <w:footnote w:type="continuationSeparator" w:id="0">
    <w:p w:rsidR="00227671" w:rsidRDefault="0022767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5945" w:rsidRDefault="0000594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5945" w:rsidRDefault="0000594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5945" w:rsidRDefault="0000594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6D17CE"/>
    <w:multiLevelType w:val="multilevel"/>
    <w:tmpl w:val="E5EAFF48"/>
    <w:lvl w:ilvl="0">
      <w:start w:val="1"/>
      <w:numFmt w:val="decimal"/>
      <w:lvlText w:val="%1."/>
      <w:lvlJc w:val="left"/>
      <w:pPr>
        <w:tabs>
          <w:tab w:val="num" w:pos="360"/>
        </w:tabs>
        <w:ind w:left="360" w:hanging="360"/>
      </w:pPr>
      <w:rPr>
        <w:rFonts w:ascii="Times New Roman" w:hAnsi="Times New Roman" w:hint="default"/>
        <w:b w:val="0"/>
        <w:i w:val="0"/>
        <w:sz w:val="24"/>
        <w:szCs w:val="24"/>
      </w:rPr>
    </w:lvl>
    <w:lvl w:ilvl="1">
      <w:start w:val="1"/>
      <w:numFmt w:val="lowerLetter"/>
      <w:lvlText w:val="%2."/>
      <w:lvlJc w:val="left"/>
      <w:pPr>
        <w:tabs>
          <w:tab w:val="num" w:pos="720"/>
        </w:tabs>
        <w:ind w:left="720" w:hanging="360"/>
      </w:pPr>
      <w:rPr>
        <w:rFonts w:ascii="Times New Roman" w:hAnsi="Times New Roman" w:hint="default"/>
        <w:b w:val="0"/>
        <w:i w:val="0"/>
        <w:sz w:val="24"/>
        <w:szCs w:val="24"/>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nsid w:val="0C6A76D4"/>
    <w:multiLevelType w:val="hybridMultilevel"/>
    <w:tmpl w:val="41BC35A8"/>
    <w:lvl w:ilvl="0" w:tplc="04090005">
      <w:start w:val="1"/>
      <w:numFmt w:val="bullet"/>
      <w:lvlText w:val=""/>
      <w:lvlJc w:val="left"/>
      <w:pPr>
        <w:tabs>
          <w:tab w:val="num" w:pos="1800"/>
        </w:tabs>
        <w:ind w:left="1800" w:hanging="360"/>
      </w:pPr>
      <w:rPr>
        <w:rFonts w:ascii="Wingdings" w:hAnsi="Wingdings" w:hint="default"/>
      </w:rPr>
    </w:lvl>
    <w:lvl w:ilvl="1" w:tplc="0409000F">
      <w:start w:val="1"/>
      <w:numFmt w:val="decimal"/>
      <w:lvlText w:val="%2."/>
      <w:lvlJc w:val="left"/>
      <w:pPr>
        <w:tabs>
          <w:tab w:val="num" w:pos="2520"/>
        </w:tabs>
        <w:ind w:left="2520" w:hanging="360"/>
      </w:pPr>
      <w:rPr>
        <w:rFonts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
    <w:nsid w:val="0CAE29E0"/>
    <w:multiLevelType w:val="singleLevel"/>
    <w:tmpl w:val="7F4C2A44"/>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3">
    <w:nsid w:val="12002BDB"/>
    <w:multiLevelType w:val="singleLevel"/>
    <w:tmpl w:val="41F82AA2"/>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4">
    <w:nsid w:val="12197782"/>
    <w:multiLevelType w:val="hybridMultilevel"/>
    <w:tmpl w:val="F30C9C78"/>
    <w:lvl w:ilvl="0" w:tplc="0409000F">
      <w:start w:val="1"/>
      <w:numFmt w:val="decimal"/>
      <w:lvlText w:val="%1."/>
      <w:lvlJc w:val="left"/>
      <w:pPr>
        <w:tabs>
          <w:tab w:val="num" w:pos="-3600"/>
        </w:tabs>
        <w:ind w:left="-3600" w:hanging="360"/>
      </w:pPr>
    </w:lvl>
    <w:lvl w:ilvl="1" w:tplc="04090001">
      <w:start w:val="1"/>
      <w:numFmt w:val="bullet"/>
      <w:lvlText w:val=""/>
      <w:lvlJc w:val="left"/>
      <w:pPr>
        <w:tabs>
          <w:tab w:val="num" w:pos="-2880"/>
        </w:tabs>
        <w:ind w:left="-2880" w:hanging="360"/>
      </w:pPr>
      <w:rPr>
        <w:rFonts w:ascii="Symbol" w:hAnsi="Symbol"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1440"/>
        </w:tabs>
        <w:ind w:left="-1440" w:hanging="360"/>
      </w:pPr>
    </w:lvl>
    <w:lvl w:ilvl="4" w:tplc="04090019">
      <w:start w:val="1"/>
      <w:numFmt w:val="lowerLetter"/>
      <w:lvlText w:val="%5."/>
      <w:lvlJc w:val="left"/>
      <w:pPr>
        <w:tabs>
          <w:tab w:val="num" w:pos="-720"/>
        </w:tabs>
        <w:ind w:left="-720" w:hanging="360"/>
      </w:pPr>
    </w:lvl>
    <w:lvl w:ilvl="5" w:tplc="0409001B">
      <w:start w:val="1"/>
      <w:numFmt w:val="lowerRoman"/>
      <w:lvlText w:val="%6."/>
      <w:lvlJc w:val="right"/>
      <w:pPr>
        <w:tabs>
          <w:tab w:val="num" w:pos="0"/>
        </w:tabs>
        <w:ind w:left="0" w:hanging="180"/>
      </w:pPr>
    </w:lvl>
    <w:lvl w:ilvl="6" w:tplc="0409000F">
      <w:start w:val="1"/>
      <w:numFmt w:val="decimal"/>
      <w:lvlText w:val="%7."/>
      <w:lvlJc w:val="left"/>
      <w:pPr>
        <w:tabs>
          <w:tab w:val="num" w:pos="720"/>
        </w:tabs>
        <w:ind w:left="720" w:hanging="360"/>
      </w:pPr>
    </w:lvl>
    <w:lvl w:ilvl="7" w:tplc="04090019">
      <w:start w:val="1"/>
      <w:numFmt w:val="lowerLetter"/>
      <w:lvlText w:val="%8."/>
      <w:lvlJc w:val="left"/>
      <w:pPr>
        <w:tabs>
          <w:tab w:val="num" w:pos="1440"/>
        </w:tabs>
        <w:ind w:left="1440" w:hanging="360"/>
      </w:pPr>
    </w:lvl>
    <w:lvl w:ilvl="8" w:tplc="0409001B" w:tentative="1">
      <w:start w:val="1"/>
      <w:numFmt w:val="lowerRoman"/>
      <w:lvlText w:val="%9."/>
      <w:lvlJc w:val="right"/>
      <w:pPr>
        <w:tabs>
          <w:tab w:val="num" w:pos="2160"/>
        </w:tabs>
        <w:ind w:left="2160" w:hanging="180"/>
      </w:pPr>
    </w:lvl>
  </w:abstractNum>
  <w:abstractNum w:abstractNumId="5">
    <w:nsid w:val="12306C3E"/>
    <w:multiLevelType w:val="hybridMultilevel"/>
    <w:tmpl w:val="BC00DC66"/>
    <w:lvl w:ilvl="0" w:tplc="0409000F">
      <w:start w:val="8"/>
      <w:numFmt w:val="decimal"/>
      <w:lvlText w:val="%1."/>
      <w:lvlJc w:val="left"/>
      <w:pPr>
        <w:tabs>
          <w:tab w:val="num" w:pos="1440"/>
        </w:tabs>
        <w:ind w:left="1440" w:hanging="360"/>
      </w:pPr>
    </w:lvl>
    <w:lvl w:ilvl="1" w:tplc="04090019">
      <w:start w:val="1"/>
      <w:numFmt w:val="decimal"/>
      <w:lvlText w:val="%2."/>
      <w:lvlJc w:val="left"/>
      <w:pPr>
        <w:tabs>
          <w:tab w:val="num" w:pos="2160"/>
        </w:tabs>
        <w:ind w:left="2160" w:hanging="360"/>
      </w:pPr>
    </w:lvl>
    <w:lvl w:ilvl="2" w:tplc="0409001B">
      <w:start w:val="1"/>
      <w:numFmt w:val="decimal"/>
      <w:lvlText w:val="%3."/>
      <w:lvlJc w:val="left"/>
      <w:pPr>
        <w:tabs>
          <w:tab w:val="num" w:pos="2880"/>
        </w:tabs>
        <w:ind w:left="2880" w:hanging="360"/>
      </w:pPr>
    </w:lvl>
    <w:lvl w:ilvl="3" w:tplc="0409000F">
      <w:start w:val="1"/>
      <w:numFmt w:val="decimal"/>
      <w:lvlText w:val="%4."/>
      <w:lvlJc w:val="left"/>
      <w:pPr>
        <w:tabs>
          <w:tab w:val="num" w:pos="3600"/>
        </w:tabs>
        <w:ind w:left="3600" w:hanging="360"/>
      </w:pPr>
    </w:lvl>
    <w:lvl w:ilvl="4" w:tplc="04090019">
      <w:start w:val="1"/>
      <w:numFmt w:val="decimal"/>
      <w:lvlText w:val="%5."/>
      <w:lvlJc w:val="left"/>
      <w:pPr>
        <w:tabs>
          <w:tab w:val="num" w:pos="4320"/>
        </w:tabs>
        <w:ind w:left="4320" w:hanging="360"/>
      </w:pPr>
    </w:lvl>
    <w:lvl w:ilvl="5" w:tplc="0409001B">
      <w:start w:val="1"/>
      <w:numFmt w:val="decimal"/>
      <w:lvlText w:val="%6."/>
      <w:lvlJc w:val="left"/>
      <w:pPr>
        <w:tabs>
          <w:tab w:val="num" w:pos="5040"/>
        </w:tabs>
        <w:ind w:left="5040" w:hanging="360"/>
      </w:pPr>
    </w:lvl>
    <w:lvl w:ilvl="6" w:tplc="0409000F">
      <w:start w:val="1"/>
      <w:numFmt w:val="decimal"/>
      <w:lvlText w:val="%7."/>
      <w:lvlJc w:val="left"/>
      <w:pPr>
        <w:tabs>
          <w:tab w:val="num" w:pos="5760"/>
        </w:tabs>
        <w:ind w:left="5760" w:hanging="360"/>
      </w:pPr>
    </w:lvl>
    <w:lvl w:ilvl="7" w:tplc="04090019">
      <w:start w:val="1"/>
      <w:numFmt w:val="decimal"/>
      <w:lvlText w:val="%8."/>
      <w:lvlJc w:val="left"/>
      <w:pPr>
        <w:tabs>
          <w:tab w:val="num" w:pos="6480"/>
        </w:tabs>
        <w:ind w:left="6480" w:hanging="360"/>
      </w:pPr>
    </w:lvl>
    <w:lvl w:ilvl="8" w:tplc="0409001B">
      <w:start w:val="1"/>
      <w:numFmt w:val="decimal"/>
      <w:lvlText w:val="%9."/>
      <w:lvlJc w:val="left"/>
      <w:pPr>
        <w:tabs>
          <w:tab w:val="num" w:pos="7200"/>
        </w:tabs>
        <w:ind w:left="7200" w:hanging="360"/>
      </w:pPr>
    </w:lvl>
  </w:abstractNum>
  <w:abstractNum w:abstractNumId="6">
    <w:nsid w:val="12E1084F"/>
    <w:multiLevelType w:val="hybridMultilevel"/>
    <w:tmpl w:val="EFF4EAD4"/>
    <w:lvl w:ilvl="0" w:tplc="04090001">
      <w:start w:val="36"/>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5DC52FB"/>
    <w:multiLevelType w:val="hybridMultilevel"/>
    <w:tmpl w:val="40C8C94C"/>
    <w:lvl w:ilvl="0" w:tplc="04090015">
      <w:start w:val="1"/>
      <w:numFmt w:val="upp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nsid w:val="18121BCD"/>
    <w:multiLevelType w:val="hybridMultilevel"/>
    <w:tmpl w:val="83C6E944"/>
    <w:lvl w:ilvl="0" w:tplc="1542FF16">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12546C98">
      <w:start w:val="3"/>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F4E27B6"/>
    <w:multiLevelType w:val="multilevel"/>
    <w:tmpl w:val="A478081C"/>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10">
    <w:nsid w:val="1FCE6138"/>
    <w:multiLevelType w:val="hybridMultilevel"/>
    <w:tmpl w:val="A1F82EA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12B18A3"/>
    <w:multiLevelType w:val="hybridMultilevel"/>
    <w:tmpl w:val="9982BA62"/>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2">
    <w:nsid w:val="224C0071"/>
    <w:multiLevelType w:val="hybridMultilevel"/>
    <w:tmpl w:val="31E6D38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nsid w:val="2AD27A25"/>
    <w:multiLevelType w:val="hybridMultilevel"/>
    <w:tmpl w:val="3BEC3A64"/>
    <w:lvl w:ilvl="0" w:tplc="192CF310">
      <w:start w:val="1"/>
      <w:numFmt w:val="bullet"/>
      <w:lvlText w:val=""/>
      <w:lvlJc w:val="left"/>
      <w:pPr>
        <w:tabs>
          <w:tab w:val="num" w:pos="720"/>
        </w:tabs>
        <w:ind w:left="720" w:hanging="360"/>
      </w:pPr>
      <w:rPr>
        <w:rFonts w:ascii="Symbol" w:hAnsi="Symbol" w:hint="default"/>
        <w:color w:val="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C0F680E"/>
    <w:multiLevelType w:val="hybridMultilevel"/>
    <w:tmpl w:val="B50E82D2"/>
    <w:lvl w:ilvl="0" w:tplc="04090015">
      <w:start w:val="1"/>
      <w:numFmt w:val="upperLetter"/>
      <w:lvlText w:val="%1."/>
      <w:lvlJc w:val="left"/>
      <w:pPr>
        <w:tabs>
          <w:tab w:val="num" w:pos="720"/>
        </w:tabs>
        <w:ind w:left="720" w:hanging="360"/>
      </w:pPr>
    </w:lvl>
    <w:lvl w:ilvl="1" w:tplc="25AA608C">
      <w:start w:val="3"/>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2C881EE7"/>
    <w:multiLevelType w:val="hybridMultilevel"/>
    <w:tmpl w:val="8E7E23EA"/>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2134F40"/>
    <w:multiLevelType w:val="hybridMultilevel"/>
    <w:tmpl w:val="2DAEF4A2"/>
    <w:lvl w:ilvl="0" w:tplc="20E2D644">
      <w:start w:val="1"/>
      <w:numFmt w:val="bullet"/>
      <w:lvlText w:val=""/>
      <w:lvlJc w:val="left"/>
      <w:pPr>
        <w:tabs>
          <w:tab w:val="num" w:pos="720"/>
        </w:tabs>
        <w:ind w:left="720" w:hanging="360"/>
      </w:pPr>
      <w:rPr>
        <w:rFonts w:ascii="Symbol" w:hAnsi="Symbol" w:hint="default"/>
        <w:color w:val="auto"/>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nsid w:val="36C676B2"/>
    <w:multiLevelType w:val="hybridMultilevel"/>
    <w:tmpl w:val="2B7A6D22"/>
    <w:lvl w:ilvl="0" w:tplc="04090001">
      <w:start w:val="36"/>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70A2F52"/>
    <w:multiLevelType w:val="hybridMultilevel"/>
    <w:tmpl w:val="0F5E0C6A"/>
    <w:lvl w:ilvl="0" w:tplc="04090015">
      <w:start w:val="1"/>
      <w:numFmt w:val="upperLetter"/>
      <w:lvlText w:val="%1."/>
      <w:lvlJc w:val="left"/>
      <w:pPr>
        <w:tabs>
          <w:tab w:val="num" w:pos="720"/>
        </w:tabs>
        <w:ind w:left="720" w:hanging="360"/>
      </w:pPr>
      <w:rPr>
        <w:rFonts w:hint="default"/>
      </w:rPr>
    </w:lvl>
    <w:lvl w:ilvl="1" w:tplc="0409000F">
      <w:start w:val="1"/>
      <w:numFmt w:val="decimal"/>
      <w:lvlText w:val="%2."/>
      <w:lvlJc w:val="left"/>
      <w:pPr>
        <w:tabs>
          <w:tab w:val="num" w:pos="1440"/>
        </w:tabs>
        <w:ind w:left="1440" w:hanging="360"/>
      </w:pPr>
      <w:rPr>
        <w:rFonts w:hint="default"/>
      </w:rPr>
    </w:lvl>
    <w:lvl w:ilvl="2" w:tplc="04090015">
      <w:start w:val="1"/>
      <w:numFmt w:val="upp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3828079C"/>
    <w:multiLevelType w:val="hybridMultilevel"/>
    <w:tmpl w:val="0D12C55A"/>
    <w:lvl w:ilvl="0" w:tplc="7F2E780E">
      <w:start w:val="4"/>
      <w:numFmt w:val="decimal"/>
      <w:lvlText w:val="%1."/>
      <w:lvlJc w:val="left"/>
      <w:pPr>
        <w:tabs>
          <w:tab w:val="num" w:pos="720"/>
        </w:tabs>
        <w:ind w:left="720" w:hanging="360"/>
      </w:pPr>
      <w:rPr>
        <w:rFonts w:hint="default"/>
        <w:color w:val="FF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3A743597"/>
    <w:multiLevelType w:val="hybridMultilevel"/>
    <w:tmpl w:val="1DA22E14"/>
    <w:lvl w:ilvl="0" w:tplc="4C7CA94A">
      <w:start w:val="1"/>
      <w:numFmt w:val="bullet"/>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1">
    <w:nsid w:val="49865A19"/>
    <w:multiLevelType w:val="hybridMultilevel"/>
    <w:tmpl w:val="FA063BA6"/>
    <w:lvl w:ilvl="0" w:tplc="A0E86DB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nsid w:val="514F0EBC"/>
    <w:multiLevelType w:val="hybridMultilevel"/>
    <w:tmpl w:val="D4D82098"/>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587600A7"/>
    <w:multiLevelType w:val="hybridMultilevel"/>
    <w:tmpl w:val="774C1864"/>
    <w:lvl w:ilvl="0" w:tplc="04090001">
      <w:start w:val="36"/>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1890BCD"/>
    <w:multiLevelType w:val="hybridMultilevel"/>
    <w:tmpl w:val="B05E75EE"/>
    <w:lvl w:ilvl="0" w:tplc="04090015">
      <w:start w:val="1"/>
      <w:numFmt w:val="upperLetter"/>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5">
    <w:nsid w:val="670A4143"/>
    <w:multiLevelType w:val="hybridMultilevel"/>
    <w:tmpl w:val="CDCEF4B2"/>
    <w:lvl w:ilvl="0" w:tplc="04090005">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6">
    <w:nsid w:val="6E0B7874"/>
    <w:multiLevelType w:val="hybridMultilevel"/>
    <w:tmpl w:val="A9849D1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6F350647"/>
    <w:multiLevelType w:val="hybridMultilevel"/>
    <w:tmpl w:val="3314DE22"/>
    <w:lvl w:ilvl="0" w:tplc="17FC7FD2">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6FBD7D1D"/>
    <w:multiLevelType w:val="hybridMultilevel"/>
    <w:tmpl w:val="26E2FB7A"/>
    <w:lvl w:ilvl="0" w:tplc="7C1E2F6E">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9">
    <w:nsid w:val="70041256"/>
    <w:multiLevelType w:val="hybridMultilevel"/>
    <w:tmpl w:val="4A66BDF0"/>
    <w:lvl w:ilvl="0" w:tplc="04090015">
      <w:start w:val="1"/>
      <w:numFmt w:val="upp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nsid w:val="7194017B"/>
    <w:multiLevelType w:val="hybridMultilevel"/>
    <w:tmpl w:val="169CA192"/>
    <w:lvl w:ilvl="0" w:tplc="04090015">
      <w:start w:val="1"/>
      <w:numFmt w:val="upp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1">
    <w:nsid w:val="729A5D3A"/>
    <w:multiLevelType w:val="hybridMultilevel"/>
    <w:tmpl w:val="84A2BD38"/>
    <w:lvl w:ilvl="0" w:tplc="04090015">
      <w:start w:val="1"/>
      <w:numFmt w:val="upp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2">
    <w:nsid w:val="734B6389"/>
    <w:multiLevelType w:val="singleLevel"/>
    <w:tmpl w:val="A69E7D62"/>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33">
    <w:nsid w:val="78495DBD"/>
    <w:multiLevelType w:val="hybridMultilevel"/>
    <w:tmpl w:val="C23E3E50"/>
    <w:lvl w:ilvl="0" w:tplc="04090015">
      <w:start w:val="1"/>
      <w:numFmt w:val="upperLetter"/>
      <w:lvlText w:val="%1."/>
      <w:lvlJc w:val="left"/>
      <w:pPr>
        <w:tabs>
          <w:tab w:val="num" w:pos="720"/>
        </w:tabs>
        <w:ind w:left="720" w:hanging="360"/>
      </w:pPr>
      <w:rPr>
        <w:rFonts w:hint="default"/>
      </w:rPr>
    </w:lvl>
    <w:lvl w:ilvl="1" w:tplc="0409000F">
      <w:start w:val="1"/>
      <w:numFmt w:val="decimal"/>
      <w:lvlText w:val="%2."/>
      <w:lvlJc w:val="left"/>
      <w:pPr>
        <w:tabs>
          <w:tab w:val="num" w:pos="1440"/>
        </w:tabs>
        <w:ind w:left="1440" w:hanging="360"/>
      </w:pPr>
      <w:rPr>
        <w:rFonts w:hint="default"/>
      </w:rPr>
    </w:lvl>
    <w:lvl w:ilvl="2" w:tplc="04090001">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78AD586B"/>
    <w:multiLevelType w:val="singleLevel"/>
    <w:tmpl w:val="6FA6A740"/>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35">
    <w:nsid w:val="7A1B2E99"/>
    <w:multiLevelType w:val="singleLevel"/>
    <w:tmpl w:val="41F82AA2"/>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abstractNum w:abstractNumId="36">
    <w:nsid w:val="7D057AD1"/>
    <w:multiLevelType w:val="hybridMultilevel"/>
    <w:tmpl w:val="6C9ADFA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D6C711C"/>
    <w:multiLevelType w:val="hybridMultilevel"/>
    <w:tmpl w:val="2890993A"/>
    <w:lvl w:ilvl="0" w:tplc="04090015">
      <w:start w:val="1"/>
      <w:numFmt w:val="upp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8">
    <w:nsid w:val="7D9E7D60"/>
    <w:multiLevelType w:val="hybridMultilevel"/>
    <w:tmpl w:val="CFD6E128"/>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7"/>
  </w:num>
  <w:num w:numId="2">
    <w:abstractNumId w:val="26"/>
  </w:num>
  <w:num w:numId="3">
    <w:abstractNumId w:val="36"/>
  </w:num>
  <w:num w:numId="4">
    <w:abstractNumId w:val="15"/>
  </w:num>
  <w:num w:numId="5">
    <w:abstractNumId w:val="21"/>
  </w:num>
  <w:num w:numId="6">
    <w:abstractNumId w:val="4"/>
  </w:num>
  <w:num w:numId="7">
    <w:abstractNumId w:val="33"/>
  </w:num>
  <w:num w:numId="8">
    <w:abstractNumId w:val="9"/>
  </w:num>
  <w:num w:numId="9">
    <w:abstractNumId w:val="20"/>
  </w:num>
  <w:num w:numId="10">
    <w:abstractNumId w:val="13"/>
  </w:num>
  <w:num w:numId="11">
    <w:abstractNumId w:val="18"/>
  </w:num>
  <w:num w:numId="12">
    <w:abstractNumId w:val="16"/>
  </w:num>
  <w:num w:numId="13">
    <w:abstractNumId w:val="3"/>
  </w:num>
  <w:num w:numId="14">
    <w:abstractNumId w:val="35"/>
  </w:num>
  <w:num w:numId="15">
    <w:abstractNumId w:val="2"/>
  </w:num>
  <w:num w:numId="16">
    <w:abstractNumId w:val="34"/>
  </w:num>
  <w:num w:numId="17">
    <w:abstractNumId w:val="32"/>
  </w:num>
  <w:num w:numId="18">
    <w:abstractNumId w:val="0"/>
  </w:num>
  <w:num w:numId="19">
    <w:abstractNumId w:val="25"/>
  </w:num>
  <w:num w:numId="20">
    <w:abstractNumId w:val="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num>
  <w:num w:numId="22">
    <w:abstractNumId w:val="11"/>
  </w:num>
  <w:num w:numId="23">
    <w:abstractNumId w:val="38"/>
  </w:num>
  <w:num w:numId="24">
    <w:abstractNumId w:val="12"/>
  </w:num>
  <w:num w:numId="25">
    <w:abstractNumId w:val="37"/>
  </w:num>
  <w:num w:numId="26">
    <w:abstractNumId w:val="29"/>
  </w:num>
  <w:num w:numId="27">
    <w:abstractNumId w:val="24"/>
  </w:num>
  <w:num w:numId="28">
    <w:abstractNumId w:val="22"/>
  </w:num>
  <w:num w:numId="29">
    <w:abstractNumId w:val="14"/>
  </w:num>
  <w:num w:numId="30">
    <w:abstractNumId w:val="7"/>
  </w:num>
  <w:num w:numId="31">
    <w:abstractNumId w:val="30"/>
  </w:num>
  <w:num w:numId="32">
    <w:abstractNumId w:val="31"/>
  </w:num>
  <w:num w:numId="33">
    <w:abstractNumId w:val="19"/>
  </w:num>
  <w:num w:numId="34">
    <w:abstractNumId w:val="8"/>
  </w:num>
  <w:num w:numId="35">
    <w:abstractNumId w:val="28"/>
  </w:num>
  <w:num w:numId="36">
    <w:abstractNumId w:val="10"/>
  </w:num>
  <w:num w:numId="37">
    <w:abstractNumId w:val="6"/>
  </w:num>
  <w:num w:numId="38">
    <w:abstractNumId w:val="17"/>
  </w:num>
  <w:num w:numId="39">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noPunctuationKerning/>
  <w:characterSpacingControl w:val="doNotCompress"/>
  <w:hdrShapeDefaults>
    <o:shapedefaults v:ext="edit" spidmax="2049"/>
  </w:hdrShapeDefaults>
  <w:footnotePr>
    <w:footnote w:id="-1"/>
    <w:footnote w:id="0"/>
  </w:footnotePr>
  <w:endnotePr>
    <w:endnote w:id="-1"/>
    <w:endnote w:id="0"/>
  </w:endnotePr>
  <w:compat/>
  <w:rsids>
    <w:rsidRoot w:val="00E17C27"/>
    <w:rsid w:val="00005945"/>
    <w:rsid w:val="0001356F"/>
    <w:rsid w:val="00020D5D"/>
    <w:rsid w:val="00030390"/>
    <w:rsid w:val="000318EF"/>
    <w:rsid w:val="00031DFF"/>
    <w:rsid w:val="0004698A"/>
    <w:rsid w:val="0007118A"/>
    <w:rsid w:val="0007406B"/>
    <w:rsid w:val="00074776"/>
    <w:rsid w:val="00077C1C"/>
    <w:rsid w:val="0008026A"/>
    <w:rsid w:val="000A50D0"/>
    <w:rsid w:val="000B1F76"/>
    <w:rsid w:val="000B4EF0"/>
    <w:rsid w:val="000F6E3C"/>
    <w:rsid w:val="0010477B"/>
    <w:rsid w:val="001340AD"/>
    <w:rsid w:val="0016352F"/>
    <w:rsid w:val="0017066C"/>
    <w:rsid w:val="00180288"/>
    <w:rsid w:val="00184AAE"/>
    <w:rsid w:val="001B6FC9"/>
    <w:rsid w:val="001C1864"/>
    <w:rsid w:val="002229A4"/>
    <w:rsid w:val="00227671"/>
    <w:rsid w:val="00254397"/>
    <w:rsid w:val="002577D9"/>
    <w:rsid w:val="00264C79"/>
    <w:rsid w:val="0027202C"/>
    <w:rsid w:val="00296A42"/>
    <w:rsid w:val="002A0547"/>
    <w:rsid w:val="002A1E6C"/>
    <w:rsid w:val="002B41B4"/>
    <w:rsid w:val="002C56C9"/>
    <w:rsid w:val="002E6D19"/>
    <w:rsid w:val="002F26EA"/>
    <w:rsid w:val="00310005"/>
    <w:rsid w:val="0032503C"/>
    <w:rsid w:val="003856BE"/>
    <w:rsid w:val="00397D07"/>
    <w:rsid w:val="003A3141"/>
    <w:rsid w:val="003A7B49"/>
    <w:rsid w:val="003F07B2"/>
    <w:rsid w:val="003F1E52"/>
    <w:rsid w:val="003F3758"/>
    <w:rsid w:val="004012A6"/>
    <w:rsid w:val="00420156"/>
    <w:rsid w:val="00422128"/>
    <w:rsid w:val="00432E25"/>
    <w:rsid w:val="004350B8"/>
    <w:rsid w:val="004606A7"/>
    <w:rsid w:val="00463067"/>
    <w:rsid w:val="00470D2D"/>
    <w:rsid w:val="004A0E9E"/>
    <w:rsid w:val="004A4C8A"/>
    <w:rsid w:val="004E2A2F"/>
    <w:rsid w:val="004E30F3"/>
    <w:rsid w:val="004E6291"/>
    <w:rsid w:val="005257A0"/>
    <w:rsid w:val="005318CC"/>
    <w:rsid w:val="005403B5"/>
    <w:rsid w:val="00551C57"/>
    <w:rsid w:val="0058111C"/>
    <w:rsid w:val="00597BD2"/>
    <w:rsid w:val="005B4712"/>
    <w:rsid w:val="005B53A5"/>
    <w:rsid w:val="005F534C"/>
    <w:rsid w:val="00617307"/>
    <w:rsid w:val="00625E2B"/>
    <w:rsid w:val="0063006E"/>
    <w:rsid w:val="00641952"/>
    <w:rsid w:val="00666285"/>
    <w:rsid w:val="006729CD"/>
    <w:rsid w:val="00676434"/>
    <w:rsid w:val="0067757F"/>
    <w:rsid w:val="006829A1"/>
    <w:rsid w:val="0069380E"/>
    <w:rsid w:val="006A1451"/>
    <w:rsid w:val="006B5E9D"/>
    <w:rsid w:val="006C0B6F"/>
    <w:rsid w:val="006C4397"/>
    <w:rsid w:val="006F26EB"/>
    <w:rsid w:val="006F6461"/>
    <w:rsid w:val="007008C4"/>
    <w:rsid w:val="00700953"/>
    <w:rsid w:val="00702617"/>
    <w:rsid w:val="00704BDA"/>
    <w:rsid w:val="00706622"/>
    <w:rsid w:val="00715145"/>
    <w:rsid w:val="007402E3"/>
    <w:rsid w:val="00742CFF"/>
    <w:rsid w:val="007470B3"/>
    <w:rsid w:val="00752796"/>
    <w:rsid w:val="00753BF2"/>
    <w:rsid w:val="0076752F"/>
    <w:rsid w:val="007732F5"/>
    <w:rsid w:val="00776E32"/>
    <w:rsid w:val="00782378"/>
    <w:rsid w:val="0078298D"/>
    <w:rsid w:val="00784364"/>
    <w:rsid w:val="00787920"/>
    <w:rsid w:val="00796E56"/>
    <w:rsid w:val="007A1299"/>
    <w:rsid w:val="007C42B6"/>
    <w:rsid w:val="007C6069"/>
    <w:rsid w:val="007C767C"/>
    <w:rsid w:val="007D29CE"/>
    <w:rsid w:val="00812446"/>
    <w:rsid w:val="00817263"/>
    <w:rsid w:val="008173FF"/>
    <w:rsid w:val="008201E9"/>
    <w:rsid w:val="008205A4"/>
    <w:rsid w:val="008230E1"/>
    <w:rsid w:val="0086031F"/>
    <w:rsid w:val="00862B7C"/>
    <w:rsid w:val="00863BB7"/>
    <w:rsid w:val="00882627"/>
    <w:rsid w:val="008873D8"/>
    <w:rsid w:val="008E4B8F"/>
    <w:rsid w:val="008F7903"/>
    <w:rsid w:val="00913C16"/>
    <w:rsid w:val="00925583"/>
    <w:rsid w:val="00930A6E"/>
    <w:rsid w:val="00956305"/>
    <w:rsid w:val="00994491"/>
    <w:rsid w:val="009A13F0"/>
    <w:rsid w:val="009A14F5"/>
    <w:rsid w:val="009B597A"/>
    <w:rsid w:val="009C2BC2"/>
    <w:rsid w:val="009E3255"/>
    <w:rsid w:val="009E4293"/>
    <w:rsid w:val="00A029FF"/>
    <w:rsid w:val="00A11647"/>
    <w:rsid w:val="00A2012F"/>
    <w:rsid w:val="00A20C2A"/>
    <w:rsid w:val="00A25C86"/>
    <w:rsid w:val="00A359E3"/>
    <w:rsid w:val="00A51B2A"/>
    <w:rsid w:val="00A65392"/>
    <w:rsid w:val="00AA0905"/>
    <w:rsid w:val="00AE50E2"/>
    <w:rsid w:val="00AF1B32"/>
    <w:rsid w:val="00B05DE8"/>
    <w:rsid w:val="00B1332A"/>
    <w:rsid w:val="00B31477"/>
    <w:rsid w:val="00B31F51"/>
    <w:rsid w:val="00B44603"/>
    <w:rsid w:val="00B610ED"/>
    <w:rsid w:val="00B65362"/>
    <w:rsid w:val="00B72B4C"/>
    <w:rsid w:val="00B84C18"/>
    <w:rsid w:val="00BB2412"/>
    <w:rsid w:val="00BB722F"/>
    <w:rsid w:val="00BC4572"/>
    <w:rsid w:val="00C12FA0"/>
    <w:rsid w:val="00C24E19"/>
    <w:rsid w:val="00C27983"/>
    <w:rsid w:val="00C462C9"/>
    <w:rsid w:val="00C66AE5"/>
    <w:rsid w:val="00C7444C"/>
    <w:rsid w:val="00C7468D"/>
    <w:rsid w:val="00C81CE3"/>
    <w:rsid w:val="00CA7832"/>
    <w:rsid w:val="00CA7F82"/>
    <w:rsid w:val="00CB5B21"/>
    <w:rsid w:val="00CC53EF"/>
    <w:rsid w:val="00CC6D8D"/>
    <w:rsid w:val="00CD1B2F"/>
    <w:rsid w:val="00CE55B0"/>
    <w:rsid w:val="00D07C55"/>
    <w:rsid w:val="00D217F2"/>
    <w:rsid w:val="00D42F51"/>
    <w:rsid w:val="00D73950"/>
    <w:rsid w:val="00D92C61"/>
    <w:rsid w:val="00DA3BB4"/>
    <w:rsid w:val="00DB7281"/>
    <w:rsid w:val="00DC2C9E"/>
    <w:rsid w:val="00DD5485"/>
    <w:rsid w:val="00DD7FA3"/>
    <w:rsid w:val="00E17C27"/>
    <w:rsid w:val="00E235CD"/>
    <w:rsid w:val="00E300A7"/>
    <w:rsid w:val="00E43203"/>
    <w:rsid w:val="00E432A2"/>
    <w:rsid w:val="00E62697"/>
    <w:rsid w:val="00E833D5"/>
    <w:rsid w:val="00EA4DB9"/>
    <w:rsid w:val="00EC1B33"/>
    <w:rsid w:val="00ED55C2"/>
    <w:rsid w:val="00ED5827"/>
    <w:rsid w:val="00EE7836"/>
    <w:rsid w:val="00F13D20"/>
    <w:rsid w:val="00F56A77"/>
    <w:rsid w:val="00F63EC6"/>
    <w:rsid w:val="00F64692"/>
    <w:rsid w:val="00F650D9"/>
    <w:rsid w:val="00FB3C55"/>
    <w:rsid w:val="00FC08FB"/>
    <w:rsid w:val="00FC1676"/>
    <w:rsid w:val="00FC67F9"/>
    <w:rsid w:val="00FE59E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F07B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E55B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9A13F0"/>
    <w:pPr>
      <w:tabs>
        <w:tab w:val="center" w:pos="4320"/>
        <w:tab w:val="right" w:pos="8640"/>
      </w:tabs>
      <w:overflowPunct w:val="0"/>
      <w:autoSpaceDE w:val="0"/>
      <w:autoSpaceDN w:val="0"/>
      <w:adjustRightInd w:val="0"/>
      <w:textAlignment w:val="baseline"/>
    </w:pPr>
    <w:rPr>
      <w:sz w:val="20"/>
      <w:szCs w:val="20"/>
    </w:rPr>
  </w:style>
  <w:style w:type="paragraph" w:styleId="BodyTextIndent3">
    <w:name w:val="Body Text Indent 3"/>
    <w:basedOn w:val="Normal"/>
    <w:rsid w:val="009A13F0"/>
    <w:pPr>
      <w:overflowPunct w:val="0"/>
      <w:autoSpaceDE w:val="0"/>
      <w:autoSpaceDN w:val="0"/>
      <w:adjustRightInd w:val="0"/>
      <w:ind w:left="720" w:hanging="360"/>
      <w:textAlignment w:val="baseline"/>
    </w:pPr>
    <w:rPr>
      <w:sz w:val="18"/>
      <w:szCs w:val="18"/>
    </w:rPr>
  </w:style>
  <w:style w:type="paragraph" w:styleId="BodyTextIndent2">
    <w:name w:val="Body Text Indent 2"/>
    <w:basedOn w:val="Normal"/>
    <w:rsid w:val="00F650D9"/>
    <w:pPr>
      <w:spacing w:after="120" w:line="480" w:lineRule="auto"/>
      <w:ind w:left="360"/>
    </w:pPr>
  </w:style>
  <w:style w:type="paragraph" w:styleId="ListParagraph">
    <w:name w:val="List Paragraph"/>
    <w:basedOn w:val="Normal"/>
    <w:uiPriority w:val="34"/>
    <w:qFormat/>
    <w:rsid w:val="00A20C2A"/>
    <w:pPr>
      <w:ind w:left="720"/>
    </w:pPr>
  </w:style>
  <w:style w:type="paragraph" w:styleId="Header">
    <w:name w:val="header"/>
    <w:basedOn w:val="Normal"/>
    <w:link w:val="HeaderChar"/>
    <w:rsid w:val="00005945"/>
    <w:pPr>
      <w:tabs>
        <w:tab w:val="center" w:pos="4680"/>
        <w:tab w:val="right" w:pos="9360"/>
      </w:tabs>
    </w:pPr>
  </w:style>
  <w:style w:type="character" w:customStyle="1" w:styleId="HeaderChar">
    <w:name w:val="Header Char"/>
    <w:basedOn w:val="DefaultParagraphFont"/>
    <w:link w:val="Header"/>
    <w:rsid w:val="00005945"/>
    <w:rPr>
      <w:sz w:val="24"/>
      <w:szCs w:val="24"/>
    </w:rPr>
  </w:style>
  <w:style w:type="character" w:customStyle="1" w:styleId="FooterChar">
    <w:name w:val="Footer Char"/>
    <w:basedOn w:val="DefaultParagraphFont"/>
    <w:link w:val="Footer"/>
    <w:uiPriority w:val="99"/>
    <w:rsid w:val="00005945"/>
  </w:style>
</w:styles>
</file>

<file path=word/webSettings.xml><?xml version="1.0" encoding="utf-8"?>
<w:webSettings xmlns:r="http://schemas.openxmlformats.org/officeDocument/2006/relationships" xmlns:w="http://schemas.openxmlformats.org/wordprocessingml/2006/main">
  <w:divs>
    <w:div w:id="208541360">
      <w:bodyDiv w:val="1"/>
      <w:marLeft w:val="0"/>
      <w:marRight w:val="0"/>
      <w:marTop w:val="0"/>
      <w:marBottom w:val="0"/>
      <w:divBdr>
        <w:top w:val="none" w:sz="0" w:space="0" w:color="auto"/>
        <w:left w:val="none" w:sz="0" w:space="0" w:color="auto"/>
        <w:bottom w:val="none" w:sz="0" w:space="0" w:color="auto"/>
        <w:right w:val="none" w:sz="0" w:space="0" w:color="auto"/>
      </w:divBdr>
    </w:div>
    <w:div w:id="608046059">
      <w:bodyDiv w:val="1"/>
      <w:marLeft w:val="0"/>
      <w:marRight w:val="0"/>
      <w:marTop w:val="0"/>
      <w:marBottom w:val="0"/>
      <w:divBdr>
        <w:top w:val="none" w:sz="0" w:space="0" w:color="auto"/>
        <w:left w:val="none" w:sz="0" w:space="0" w:color="auto"/>
        <w:bottom w:val="none" w:sz="0" w:space="0" w:color="auto"/>
        <w:right w:val="none" w:sz="0" w:space="0" w:color="auto"/>
      </w:divBdr>
    </w:div>
    <w:div w:id="832648193">
      <w:bodyDiv w:val="1"/>
      <w:marLeft w:val="0"/>
      <w:marRight w:val="0"/>
      <w:marTop w:val="0"/>
      <w:marBottom w:val="0"/>
      <w:divBdr>
        <w:top w:val="none" w:sz="0" w:space="0" w:color="auto"/>
        <w:left w:val="none" w:sz="0" w:space="0" w:color="auto"/>
        <w:bottom w:val="none" w:sz="0" w:space="0" w:color="auto"/>
        <w:right w:val="none" w:sz="0" w:space="0" w:color="auto"/>
      </w:divBdr>
    </w:div>
    <w:div w:id="1416708997">
      <w:bodyDiv w:val="1"/>
      <w:marLeft w:val="0"/>
      <w:marRight w:val="0"/>
      <w:marTop w:val="0"/>
      <w:marBottom w:val="0"/>
      <w:divBdr>
        <w:top w:val="none" w:sz="0" w:space="0" w:color="auto"/>
        <w:left w:val="none" w:sz="0" w:space="0" w:color="auto"/>
        <w:bottom w:val="none" w:sz="0" w:space="0" w:color="auto"/>
        <w:right w:val="none" w:sz="0" w:space="0" w:color="auto"/>
      </w:divBdr>
    </w:div>
    <w:div w:id="1774588977">
      <w:bodyDiv w:val="1"/>
      <w:marLeft w:val="0"/>
      <w:marRight w:val="0"/>
      <w:marTop w:val="0"/>
      <w:marBottom w:val="0"/>
      <w:divBdr>
        <w:top w:val="none" w:sz="0" w:space="0" w:color="auto"/>
        <w:left w:val="none" w:sz="0" w:space="0" w:color="auto"/>
        <w:bottom w:val="none" w:sz="0" w:space="0" w:color="auto"/>
        <w:right w:val="none" w:sz="0" w:space="0" w:color="auto"/>
      </w:divBdr>
    </w:div>
    <w:div w:id="2064936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7397EF-39AB-4F8F-A2E1-EF408C5E02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3183</Words>
  <Characters>17503</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Submissions</vt:lpstr>
    </vt:vector>
  </TitlesOfParts>
  <Company/>
  <LinksUpToDate>false</LinksUpToDate>
  <CharactersWithSpaces>20645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Submissions</dc:title>
  <dc:subject/>
  <dc:creator> </dc:creator>
  <cp:keywords/>
  <dc:description/>
  <cp:lastModifiedBy>h18889</cp:lastModifiedBy>
  <cp:revision>4</cp:revision>
  <cp:lastPrinted>2010-12-17T21:27:00Z</cp:lastPrinted>
  <dcterms:created xsi:type="dcterms:W3CDTF">2010-12-17T21:36:00Z</dcterms:created>
  <dcterms:modified xsi:type="dcterms:W3CDTF">2010-12-30T15:55:00Z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-252968722</vt:i4>
  </property>
  <property fmtid="{D5CDD505-2E9C-101B-9397-08002B2CF9AE}" pid="3" name="_NewReviewCycle">
    <vt:lpwstr/>
  </property>
  <property fmtid="{D5CDD505-2E9C-101B-9397-08002B2CF9AE}" pid="4" name="_EmailSubject">
    <vt:lpwstr>PRA 2502-0579--Adding FHA Short Refinance</vt:lpwstr>
  </property>
  <property fmtid="{D5CDD505-2E9C-101B-9397-08002B2CF9AE}" pid="5" name="_AuthorEmail">
    <vt:lpwstr>Stephanie.A.Schader@hud.gov</vt:lpwstr>
  </property>
  <property fmtid="{D5CDD505-2E9C-101B-9397-08002B2CF9AE}" pid="6" name="_AuthorEmailDisplayName">
    <vt:lpwstr>Schader, Stephanie A</vt:lpwstr>
  </property>
  <property fmtid="{D5CDD505-2E9C-101B-9397-08002B2CF9AE}" pid="7" name="_PreviousAdHocReviewCycleID">
    <vt:i4>-851720410</vt:i4>
  </property>
  <property fmtid="{D5CDD505-2E9C-101B-9397-08002B2CF9AE}" pid="8" name="_ReviewingToolsShownOnce">
    <vt:lpwstr/>
  </property>
</Properties>
</file>