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22" w:rsidRPr="001C0FB6" w:rsidRDefault="004F3B22" w:rsidP="0026009D">
      <w:pPr>
        <w:pStyle w:val="Heading1Black"/>
      </w:pPr>
      <w:bookmarkStart w:id="0" w:name="_Toc262106069"/>
      <w:bookmarkStart w:id="1" w:name="_Toc262106512"/>
      <w:bookmarkStart w:id="2" w:name="_Toc286661038"/>
      <w:r w:rsidRPr="001C0FB6">
        <w:t xml:space="preserve">part b:  </w:t>
      </w:r>
      <w:r w:rsidRPr="0026009D">
        <w:t>collection</w:t>
      </w:r>
      <w:r w:rsidRPr="001C0FB6">
        <w:t xml:space="preserve"> of information involving statistical methods</w:t>
      </w:r>
      <w:bookmarkEnd w:id="0"/>
      <w:bookmarkEnd w:id="1"/>
      <w:bookmarkEnd w:id="2"/>
    </w:p>
    <w:p w:rsidR="004F3B22" w:rsidRPr="001C0FB6" w:rsidRDefault="004F3B22" w:rsidP="00FF7AE7">
      <w:r w:rsidRPr="001C0FB6">
        <w:t>The U.S. Department of Labor (DOL), Employment and Training Administration (ETA) is undertaking the Workforce Investment Act Evaluation of the Adult and Dislocated Worker Programs</w:t>
      </w:r>
      <w:r>
        <w:t xml:space="preserve"> Gold Standard Evaluation</w:t>
      </w:r>
      <w:r w:rsidRPr="001C0FB6">
        <w:t xml:space="preserve"> (WIA Evaluation). The overall aim of the evaluation is to determine whether adult and dislocated worker services funded by Title I of the Workforce Investment Act (WIA)</w:t>
      </w:r>
      <w:r>
        <w:t>—</w:t>
      </w:r>
      <w:r w:rsidRPr="001C0FB6">
        <w:t>currently the largest source of Federal funding of employment and training services</w:t>
      </w:r>
      <w:r>
        <w:t>—</w:t>
      </w:r>
      <w:r w:rsidRPr="001C0FB6">
        <w:t>are effective and whether their benefits exceed their costs. ETA has contracted with Mathematica Policy Research and its subcontractors</w:t>
      </w:r>
      <w:r>
        <w:t>—</w:t>
      </w:r>
      <w:r w:rsidRPr="001C0FB6">
        <w:t>Social Policy Research Associates, MDRC, and the Corporation for a Skilled Workforce</w:t>
      </w:r>
      <w:r>
        <w:t>—</w:t>
      </w:r>
      <w:r w:rsidRPr="001C0FB6">
        <w:t>to conduct this evaluation. This package requests clearance for three data collection efforts conducted as part of the evaluation:</w:t>
      </w:r>
    </w:p>
    <w:p w:rsidR="004F3B22" w:rsidRPr="001C0FB6" w:rsidRDefault="004F3B22" w:rsidP="0026009D">
      <w:pPr>
        <w:pStyle w:val="NumberedBullet"/>
      </w:pPr>
      <w:r w:rsidRPr="001C0FB6">
        <w:t>A request for consent to participate in the study (presented in Appendix A)</w:t>
      </w:r>
    </w:p>
    <w:p w:rsidR="004F3B22" w:rsidRPr="001C0FB6" w:rsidRDefault="004F3B22" w:rsidP="0026009D">
      <w:pPr>
        <w:pStyle w:val="NumberedBullet"/>
      </w:pPr>
      <w:r w:rsidRPr="001C0FB6">
        <w:t>Eligibility checklist, study registration form</w:t>
      </w:r>
      <w:r>
        <w:rPr>
          <w:vertAlign w:val="superscript"/>
        </w:rPr>
        <w:footnoteReference w:id="2"/>
      </w:r>
      <w:r w:rsidRPr="001C0FB6">
        <w:t xml:space="preserve"> (SRF), and contact information form (CIF; all presented in Appendix B)</w:t>
      </w:r>
    </w:p>
    <w:p w:rsidR="004F3B22" w:rsidRPr="001C0FB6" w:rsidRDefault="004F3B22" w:rsidP="00B75286">
      <w:pPr>
        <w:pStyle w:val="NumberedBulletLastDS"/>
      </w:pPr>
      <w:r w:rsidRPr="001C0FB6">
        <w:t>Site visit guides (presented in Appendix C)</w:t>
      </w:r>
    </w:p>
    <w:p w:rsidR="004F3B22" w:rsidRDefault="004F3B22" w:rsidP="00A2334C">
      <w:pPr>
        <w:pStyle w:val="ParagraphLAST"/>
        <w:spacing w:after="0"/>
      </w:pPr>
      <w:r>
        <w:t>A</w:t>
      </w:r>
      <w:r w:rsidRPr="001C0FB6">
        <w:t xml:space="preserve">t a later date, </w:t>
      </w:r>
      <w:r>
        <w:t xml:space="preserve">ETA </w:t>
      </w:r>
      <w:r w:rsidRPr="001C0FB6">
        <w:t xml:space="preserve">will </w:t>
      </w:r>
      <w:r>
        <w:t xml:space="preserve">submit a second part to this information collection clearance request to </w:t>
      </w:r>
      <w:r w:rsidRPr="001C0FB6">
        <w:t>request clearance for the remaining data collection instruments for the evaluation, including two follow-up surveys of study participants and protocols for the collection of the information about costs of WIA services.</w:t>
      </w:r>
      <w:r>
        <w:t xml:space="preserve"> T</w:t>
      </w:r>
      <w:r w:rsidRPr="001C0FB6">
        <w:t>his study is being submitted in two parts because data collected through the evaluation</w:t>
      </w:r>
      <w:r>
        <w:t>’</w:t>
      </w:r>
      <w:r w:rsidRPr="001C0FB6">
        <w:t>s initial stages will inform the cost and follow-up data collection instruments.</w:t>
      </w:r>
      <w:r>
        <w:t xml:space="preserve"> </w:t>
      </w:r>
      <w:r w:rsidRPr="001C0FB6">
        <w:t>As a result, the study schedule requires that the development of procedures to collect the baseline data begin before all data collection instruments are developed and tested.</w:t>
      </w:r>
      <w:r>
        <w:t xml:space="preserve"> We understand that the approval of the current package does not constitute approval for the cost protocols or the follow-up surveys.</w:t>
      </w:r>
    </w:p>
    <w:p w:rsidR="004F3B22" w:rsidRDefault="004F3B22" w:rsidP="00FF7AE7">
      <w:r w:rsidRPr="00C46F93">
        <w:t xml:space="preserve">To date, no data have been collected on </w:t>
      </w:r>
      <w:r w:rsidRPr="00C46F93">
        <w:rPr>
          <w:rFonts w:cs="Arial"/>
        </w:rPr>
        <w:t>any potential study participants (including customers and LWIA staff).</w:t>
      </w:r>
      <w:r w:rsidRPr="00C46F93">
        <w:t xml:space="preserve"> The only information that has been obtained from the selected study sites are data on their typical customer flows, and lists of their core, intensive, and training services to help us start planning for the implementation of the random assignment study.</w:t>
      </w:r>
    </w:p>
    <w:p w:rsidR="004F3B22" w:rsidRPr="001C0FB6" w:rsidRDefault="004F3B22" w:rsidP="0026009D">
      <w:pPr>
        <w:pStyle w:val="Heading3"/>
      </w:pPr>
      <w:bookmarkStart w:id="3" w:name="_Toc256427934"/>
      <w:bookmarkStart w:id="4" w:name="_Toc260919980"/>
      <w:bookmarkStart w:id="5" w:name="_Toc260921563"/>
      <w:bookmarkStart w:id="6" w:name="_Toc261004992"/>
      <w:bookmarkStart w:id="7" w:name="_Toc262106070"/>
      <w:bookmarkStart w:id="8" w:name="_Toc262106513"/>
      <w:bookmarkStart w:id="9" w:name="_Toc262205789"/>
      <w:bookmarkStart w:id="10" w:name="_Toc286661039"/>
      <w:r w:rsidRPr="001C0FB6">
        <w:t>1.</w:t>
      </w:r>
      <w:r>
        <w:tab/>
      </w:r>
      <w:r w:rsidRPr="001C0FB6">
        <w:t>Respondent Universe and Sampling</w:t>
      </w:r>
      <w:bookmarkEnd w:id="3"/>
      <w:bookmarkEnd w:id="4"/>
      <w:bookmarkEnd w:id="5"/>
      <w:bookmarkEnd w:id="6"/>
      <w:bookmarkEnd w:id="7"/>
      <w:bookmarkEnd w:id="8"/>
      <w:bookmarkEnd w:id="9"/>
      <w:bookmarkEnd w:id="10"/>
    </w:p>
    <w:p w:rsidR="004F3B22" w:rsidRPr="001C0FB6" w:rsidRDefault="004F3B22" w:rsidP="00FF7AE7">
      <w:r w:rsidRPr="001C0FB6">
        <w:t>One of the main goals of the evaluation is to be able to broadly generalize the findings to the population of WIA adults and dislocated workers</w:t>
      </w:r>
      <w:r>
        <w:t xml:space="preserve"> who are served by the </w:t>
      </w:r>
      <w:r w:rsidRPr="005F6DC4">
        <w:t>program during the period covered by the evaluation. To accomplish this, a two-stage clustered design will be employed</w:t>
      </w:r>
      <w:r w:rsidRPr="001C0FB6">
        <w:t xml:space="preserve">, first by randomly selecting sites and then by randomly assigning all WIA adults and dislocated workers (with a few exceptions) who reach the point of being offered intensive services. </w:t>
      </w:r>
    </w:p>
    <w:p w:rsidR="004F3B22" w:rsidRPr="001C0FB6" w:rsidRDefault="004F3B22" w:rsidP="0026009D">
      <w:pPr>
        <w:pStyle w:val="Heading4"/>
      </w:pPr>
      <w:r w:rsidRPr="001C0FB6">
        <w:t>a.</w:t>
      </w:r>
      <w:r>
        <w:tab/>
      </w:r>
      <w:r w:rsidRPr="001C0FB6">
        <w:t xml:space="preserve">Site </w:t>
      </w:r>
      <w:r w:rsidRPr="0026009D">
        <w:t>Selection</w:t>
      </w:r>
    </w:p>
    <w:p w:rsidR="004F3B22" w:rsidRPr="001C0FB6" w:rsidRDefault="004F3B22" w:rsidP="0026009D">
      <w:r w:rsidRPr="001C0FB6">
        <w:t xml:space="preserve">The evaluation will estimate the impact of intensive and training services funded by WIA adult and dislocated worker local formula funding. As this funding is administered by local workforce investment areas (LWIAs), the LWIA was the sampling unit for the evaluation. </w:t>
      </w:r>
    </w:p>
    <w:p w:rsidR="004F3B22" w:rsidRPr="001C0FB6" w:rsidRDefault="004F3B22" w:rsidP="0026009D">
      <w:r w:rsidRPr="007E240D">
        <w:rPr>
          <w:b/>
        </w:rPr>
        <w:t xml:space="preserve">The </w:t>
      </w:r>
      <w:r>
        <w:rPr>
          <w:b/>
        </w:rPr>
        <w:t>sa</w:t>
      </w:r>
      <w:r w:rsidRPr="007E240D">
        <w:rPr>
          <w:b/>
        </w:rPr>
        <w:t xml:space="preserve">mple </w:t>
      </w:r>
      <w:r>
        <w:rPr>
          <w:b/>
        </w:rPr>
        <w:t>f</w:t>
      </w:r>
      <w:r w:rsidRPr="007E240D">
        <w:rPr>
          <w:b/>
        </w:rPr>
        <w:t xml:space="preserve">rame. </w:t>
      </w:r>
      <w:r w:rsidRPr="001C0FB6">
        <w:t xml:space="preserve">To construct the sample frame for LWIA selection, we assembled a list of all active LWIAs from the latest two years of the WIA Standardized Record Data (WIASRD) available, which were from April 2006 through March 2008. For each LWIA, these data include the annual number of adults and dislocated customers who received WIA </w:t>
      </w:r>
      <w:r>
        <w:t xml:space="preserve">intensive </w:t>
      </w:r>
      <w:r w:rsidRPr="001C0FB6">
        <w:t xml:space="preserve">services </w:t>
      </w:r>
      <w:r>
        <w:t xml:space="preserve">(some of whom also received training services) </w:t>
      </w:r>
      <w:r w:rsidRPr="001C0FB6">
        <w:t xml:space="preserve">and exited the program (referred to as “WIA exiters”). This average annual number was then </w:t>
      </w:r>
      <w:r>
        <w:t>multiplied by 1.5</w:t>
      </w:r>
      <w:r w:rsidRPr="001C0FB6">
        <w:t xml:space="preserve"> to represent the number of </w:t>
      </w:r>
      <w:r>
        <w:t xml:space="preserve">such </w:t>
      </w:r>
      <w:r w:rsidRPr="001C0FB6">
        <w:t xml:space="preserve">customers who would be served in an 18-month period. </w:t>
      </w:r>
      <w:r>
        <w:t>The study will include only persons who are eligible for and seek intensive services. Thus,</w:t>
      </w:r>
      <w:r w:rsidRPr="001C0FB6">
        <w:t xml:space="preserve"> the</w:t>
      </w:r>
      <w:r>
        <w:t xml:space="preserve"> 2006 to 2008</w:t>
      </w:r>
      <w:r w:rsidRPr="001C0FB6">
        <w:t xml:space="preserve"> </w:t>
      </w:r>
      <w:r>
        <w:t xml:space="preserve">counts of WIA exiters were used to construct a sample frame for assessing </w:t>
      </w:r>
      <w:r w:rsidRPr="001C0FB6">
        <w:t xml:space="preserve">the </w:t>
      </w:r>
      <w:r>
        <w:t xml:space="preserve">likely </w:t>
      </w:r>
      <w:r w:rsidRPr="001C0FB6">
        <w:t xml:space="preserve">flow of customers </w:t>
      </w:r>
      <w:r>
        <w:t xml:space="preserve">in each LWIA </w:t>
      </w:r>
      <w:r w:rsidRPr="001C0FB6">
        <w:t xml:space="preserve">who </w:t>
      </w:r>
      <w:r>
        <w:t>will be subject to random assignment</w:t>
      </w:r>
      <w:r w:rsidRPr="001C0FB6">
        <w:t xml:space="preserve"> during the </w:t>
      </w:r>
      <w:r>
        <w:t xml:space="preserve">18-month </w:t>
      </w:r>
      <w:r w:rsidRPr="001C0FB6">
        <w:t xml:space="preserve">sample intake period. </w:t>
      </w:r>
    </w:p>
    <w:p w:rsidR="004F3B22" w:rsidRPr="001C0FB6" w:rsidRDefault="004F3B22" w:rsidP="0026009D">
      <w:r w:rsidRPr="001C0FB6">
        <w:t xml:space="preserve">In recent years, some LWIAs changed their service receipt definitions so that nearly all </w:t>
      </w:r>
      <w:smartTag w:uri="urn:schemas-microsoft-com:office:smarttags" w:element="PlaceName">
        <w:smartTag w:uri="urn:schemas-microsoft-com:office:smarttags" w:element="place">
          <w:smartTag w:uri="urn:schemas-microsoft-com:office:smarttags" w:element="PlaceName">
            <w:r w:rsidRPr="001C0FB6">
              <w:t>One-Stop</w:t>
            </w:r>
          </w:smartTag>
          <w:r w:rsidRPr="001C0FB6">
            <w:t xml:space="preserve"> </w:t>
          </w:r>
          <w:smartTag w:uri="urn:schemas-microsoft-com:office:smarttags" w:element="PlaceName">
            <w:r w:rsidRPr="001C0FB6">
              <w:t>Career</w:t>
            </w:r>
          </w:smartTag>
          <w:r w:rsidRPr="001C0FB6">
            <w:t xml:space="preserve"> </w:t>
          </w:r>
          <w:smartTag w:uri="urn:schemas-microsoft-com:office:smarttags" w:element="PlaceType">
            <w:r w:rsidRPr="001C0FB6">
              <w:t>Center</w:t>
            </w:r>
          </w:smartTag>
        </w:smartTag>
      </w:smartTag>
      <w:r w:rsidRPr="001C0FB6">
        <w:t xml:space="preserve"> customers are reported as having received intensive services, even though the intensive service received might be defined as staff-assisted core services in other areas. These definition changes resulted in large increases in reported WIA intensive service customers in some areas in recent years. For example, in Program Year (PY) 2007, </w:t>
      </w:r>
      <w:smartTag w:uri="urn:schemas-microsoft-com:office:smarttags" w:element="State">
        <w:smartTag w:uri="urn:schemas-microsoft-com:office:smarttags" w:element="place">
          <w:r w:rsidRPr="001C0FB6">
            <w:t>New York</w:t>
          </w:r>
        </w:smartTag>
      </w:smartTag>
      <w:r w:rsidRPr="001C0FB6">
        <w:t xml:space="preserve"> had seven percent of all WIA funding, but nearly 20 percent of all WIA customers who were designated as having received intensive or training services. On the basis of this information, ETA has decided that random assignment should be conducted at the point when customers start receiving intensive services </w:t>
      </w:r>
      <w:r w:rsidRPr="001C0FB6">
        <w:rPr>
          <w:b/>
          <w:bCs/>
        </w:rPr>
        <w:t>as defined by most sites</w:t>
      </w:r>
      <w:r w:rsidRPr="001C0FB6">
        <w:t>. Consequently, the exact definition of “core” and “intensive” services is currently being determined after gathering detailed information on the nature and timing of WIA service offerings from each of the study sites and may differ slightly from the definitions used by the sites.</w:t>
      </w:r>
    </w:p>
    <w:p w:rsidR="004F3B22" w:rsidRPr="001C0FB6" w:rsidRDefault="004F3B22" w:rsidP="0026009D">
      <w:r w:rsidRPr="001C0FB6">
        <w:t xml:space="preserve">The population counts in some LWIAs were adjusted to reflect the definition of what constitutes “intensive services.” This adjustment moves the point of random assignment </w:t>
      </w:r>
      <w:r w:rsidRPr="001C0FB6">
        <w:rPr>
          <w:i/>
          <w:iCs/>
        </w:rPr>
        <w:t>later</w:t>
      </w:r>
      <w:r w:rsidRPr="001C0FB6">
        <w:t xml:space="preserve"> in the WIA service flow process in sites that define intensive service receipt particularly early in the process. Two approaches were used for identifying these sites: (1) gathering information from the study</w:t>
      </w:r>
      <w:r>
        <w:t>’</w:t>
      </w:r>
      <w:r w:rsidRPr="001C0FB6">
        <w:t xml:space="preserve">s advisory panel and evaluation team on LWIAs that are known to have changed their service designations, and (2) identifying large program year increases in intensive service customer counts using recent WIASRD data. </w:t>
      </w:r>
    </w:p>
    <w:p w:rsidR="004F3B22" w:rsidRPr="001C0FB6" w:rsidRDefault="004F3B22" w:rsidP="0026009D">
      <w:r w:rsidRPr="001C0FB6">
        <w:t xml:space="preserve">This analysis identified four areas for count adjustments:  (1) three LWIAs in </w:t>
      </w:r>
      <w:smartTag w:uri="urn:schemas-microsoft-com:office:smarttags" w:element="State">
        <w:r w:rsidRPr="001C0FB6">
          <w:t>Texas</w:t>
        </w:r>
      </w:smartTag>
      <w:r w:rsidRPr="001C0FB6">
        <w:t xml:space="preserve">, (2) all LWIAs in </w:t>
      </w:r>
      <w:smartTag w:uri="urn:schemas-microsoft-com:office:smarttags" w:element="State">
        <w:r w:rsidRPr="001C0FB6">
          <w:t>Oklahoma</w:t>
        </w:r>
      </w:smartTag>
      <w:r w:rsidRPr="001C0FB6">
        <w:t xml:space="preserve">, (3) the “balance-of-state” LWIA in </w:t>
      </w:r>
      <w:smartTag w:uri="urn:schemas-microsoft-com:office:smarttags" w:element="State">
        <w:r w:rsidRPr="001C0FB6">
          <w:t>Indiana</w:t>
        </w:r>
      </w:smartTag>
      <w:r w:rsidRPr="001C0FB6">
        <w:t xml:space="preserve"> (which excludes the Indianapolis LWIA), and (4) all LWIAs in </w:t>
      </w:r>
      <w:smartTag w:uri="urn:schemas-microsoft-com:office:smarttags" w:element="State">
        <w:smartTag w:uri="urn:schemas-microsoft-com:office:smarttags" w:element="place">
          <w:r w:rsidRPr="001C0FB6">
            <w:t>New York</w:t>
          </w:r>
        </w:smartTag>
      </w:smartTag>
      <w:r w:rsidRPr="001C0FB6">
        <w:t xml:space="preserve">. Intensive service customer counts were adjusted </w:t>
      </w:r>
      <w:r w:rsidRPr="001C0FB6">
        <w:rPr>
          <w:i/>
          <w:iCs/>
        </w:rPr>
        <w:t>downwards</w:t>
      </w:r>
      <w:r w:rsidRPr="001C0FB6">
        <w:t xml:space="preserve"> in these sites using two approaches:  (1) dividing their trainee rates in the years after the definition changes by their typical trainee rates during the years prior to the changes, and (2) using the ratio of WIA funding levels to counts of intensive service customers. The first adjustment was made in all four sets of sites mentioned above. The second adjustment was made on top of the first only for the </w:t>
      </w:r>
      <w:smartTag w:uri="urn:schemas-microsoft-com:office:smarttags" w:element="State">
        <w:smartTag w:uri="urn:schemas-microsoft-com:office:smarttags" w:element="place">
          <w:r w:rsidRPr="001C0FB6">
            <w:t>New York</w:t>
          </w:r>
        </w:smartTag>
      </w:smartTag>
      <w:r w:rsidRPr="001C0FB6">
        <w:t xml:space="preserve"> sites, where definitional changes began before our earliest available data, and hence, the first deflation approach alone was insufficient for estimating the number of intensive customers using a common definition. The main implication of these adjustments is that LWIA counts in </w:t>
      </w:r>
      <w:smartTag w:uri="urn:schemas-microsoft-com:office:smarttags" w:element="State">
        <w:smartTag w:uri="urn:schemas-microsoft-com:office:smarttags" w:element="place">
          <w:r w:rsidRPr="001C0FB6">
            <w:t>New York</w:t>
          </w:r>
        </w:smartTag>
      </w:smartTag>
      <w:r w:rsidRPr="001C0FB6">
        <w:t xml:space="preserve"> were reduced to about 35 percent of the unadjusted counts. Smaller adjustments were made in the aforementioned sites in </w:t>
      </w:r>
      <w:smartTag w:uri="urn:schemas-microsoft-com:office:smarttags" w:element="State">
        <w:r w:rsidRPr="001C0FB6">
          <w:t>Texas</w:t>
        </w:r>
      </w:smartTag>
      <w:r w:rsidRPr="001C0FB6">
        <w:t xml:space="preserve">, </w:t>
      </w:r>
      <w:smartTag w:uri="urn:schemas-microsoft-com:office:smarttags" w:element="State">
        <w:r w:rsidRPr="001C0FB6">
          <w:t>Oklahoma</w:t>
        </w:r>
      </w:smartTag>
      <w:r w:rsidRPr="001C0FB6">
        <w:t xml:space="preserve">, and </w:t>
      </w:r>
      <w:smartTag w:uri="urn:schemas-microsoft-com:office:smarttags" w:element="State">
        <w:smartTag w:uri="urn:schemas-microsoft-com:office:smarttags" w:element="place">
          <w:r w:rsidRPr="001C0FB6">
            <w:t>Indiana</w:t>
          </w:r>
        </w:smartTag>
      </w:smartTag>
      <w:r w:rsidRPr="001C0FB6">
        <w:t>.</w:t>
      </w:r>
    </w:p>
    <w:p w:rsidR="004F3B22" w:rsidRPr="001C0FB6" w:rsidRDefault="004F3B22" w:rsidP="0026009D">
      <w:r w:rsidRPr="001C0FB6">
        <w:t>In 2006-2008, there were slightly fewer than 600 active LWIAs. The smallest sites</w:t>
      </w:r>
      <w:r>
        <w:t>—</w:t>
      </w:r>
      <w:r w:rsidRPr="001C0FB6">
        <w:t>defined as those with fewer than 100 intensive service customers annually</w:t>
      </w:r>
      <w:r>
        <w:t>—</w:t>
      </w:r>
      <w:r w:rsidRPr="001C0FB6">
        <w:t xml:space="preserve">were excluded from the sample frame, as well as sites outside the 48 contiguous states and the </w:t>
      </w:r>
      <w:smartTag w:uri="urn:schemas-microsoft-com:office:smarttags" w:element="State">
        <w:smartTag w:uri="urn:schemas-microsoft-com:office:smarttags" w:element="place">
          <w:r w:rsidRPr="001C0FB6">
            <w:t>District of Columbia</w:t>
          </w:r>
        </w:smartTag>
      </w:smartTag>
      <w:r w:rsidRPr="001C0FB6">
        <w:t xml:space="preserve">. The exclusion of the smallest LWIAs and those outside the </w:t>
      </w:r>
      <w:smartTag w:uri="urn:schemas-microsoft-com:office:smarttags" w:element="country-region">
        <w:smartTag w:uri="urn:schemas-microsoft-com:office:smarttags" w:element="place">
          <w:r w:rsidRPr="001C0FB6">
            <w:t>U.S.</w:t>
          </w:r>
        </w:smartTag>
      </w:smartTag>
      <w:r w:rsidRPr="001C0FB6">
        <w:t xml:space="preserve"> mainland avoids the expenditure of substantial resources on recruiting and supporting the sites with little added to the precision of the impact estimates. Thus, the sample frame included 487 LWIAs representing more than 98 percent of the WIA population of intensive service customers in the mainland </w:t>
      </w:r>
      <w:smartTag w:uri="urn:schemas-microsoft-com:office:smarttags" w:element="country-region">
        <w:smartTag w:uri="urn:schemas-microsoft-com:office:smarttags" w:element="place">
          <w:r w:rsidRPr="001C0FB6">
            <w:t>United States</w:t>
          </w:r>
        </w:smartTag>
      </w:smartTag>
      <w:r w:rsidRPr="001C0FB6">
        <w:t xml:space="preserve">. </w:t>
      </w:r>
    </w:p>
    <w:p w:rsidR="004F3B22" w:rsidRPr="001C0FB6" w:rsidRDefault="004F3B22" w:rsidP="0026009D">
      <w:r w:rsidRPr="007E240D">
        <w:rPr>
          <w:b/>
        </w:rPr>
        <w:t xml:space="preserve">Site </w:t>
      </w:r>
      <w:r>
        <w:rPr>
          <w:b/>
        </w:rPr>
        <w:t>s</w:t>
      </w:r>
      <w:r w:rsidRPr="007E240D">
        <w:rPr>
          <w:b/>
        </w:rPr>
        <w:t xml:space="preserve">election </w:t>
      </w:r>
      <w:r>
        <w:rPr>
          <w:b/>
        </w:rPr>
        <w:t>ap</w:t>
      </w:r>
      <w:r w:rsidRPr="007E240D">
        <w:rPr>
          <w:b/>
        </w:rPr>
        <w:t xml:space="preserve">proach. </w:t>
      </w:r>
      <w:r w:rsidRPr="001C0FB6">
        <w:t xml:space="preserve">WIA services vary by region, so that regional balance was a top priority in site selection. Accordingly, we explicitly stratified by the six DOL administrative regions and selected sites within each region with probabilities proportional to the size of the site (PPS), where the size of the site was measured by the number of customers who received intensive services. </w:t>
      </w:r>
    </w:p>
    <w:p w:rsidR="004F3B22" w:rsidRPr="001C0FB6" w:rsidRDefault="004F3B22" w:rsidP="0026009D">
      <w:r w:rsidRPr="001C0FB6">
        <w:t xml:space="preserve">The number of LWIAs to select within each region was determined based on the regional shares of the total sample universe. This resulted in the following allocation of sites across the six regions: four sites in Region 1, three sites in Region 2, seven sites in Region 3, five sites in Region 4, seven sites in Region 5, and four sites in Region 6. These allocations reflect (1) the allocation of a “residual site” due to rounding to Region 2 which had only two sites based on their population shares, and (2) one site being added to Region 5 from Region 3 to ensure an adequate representation of large Midwest states. </w:t>
      </w:r>
    </w:p>
    <w:p w:rsidR="004F3B22" w:rsidRPr="001C0FB6" w:rsidRDefault="004F3B22" w:rsidP="0026009D">
      <w:r w:rsidRPr="001C0FB6">
        <w:t xml:space="preserve">The New York City </w:t>
      </w:r>
      <w:r>
        <w:t xml:space="preserve">LWIA </w:t>
      </w:r>
      <w:r w:rsidRPr="001C0FB6">
        <w:t xml:space="preserve">and Gulf Coast Workforce Board LWIA were selected with “certainty” because they each contain a </w:t>
      </w:r>
      <w:r>
        <w:t>large</w:t>
      </w:r>
      <w:r w:rsidRPr="001C0FB6">
        <w:t xml:space="preserve"> fraction of the WIA customer popu</w:t>
      </w:r>
      <w:r>
        <w:t>lation in their regions and so they had selection probabilities of greater than one.</w:t>
      </w:r>
    </w:p>
    <w:p w:rsidR="004F3B22" w:rsidRDefault="004F3B22" w:rsidP="0026009D">
      <w:r w:rsidRPr="00826CE0">
        <w:t>The noncertainty sites were selected using PPS sampling within the explicit strata defined by the six DOL administrative regions. Within each region, we implemented the PPS sampling process using systematic sampling, where sites were sorted (implicitly stratified) in order by (1) whether they are big or small (greater or less than 600 exiters annually), (2) their state, and (3) whether their training rate for the adult and dislocated worker populations (the percentage of intensive service customers who participated in a WIA-funded training program) is greater or less than 50 percent. This approach ensured a diverse set of states within each region, protected against getting many small sites by chance, and ensured a representative distribution of site-level training rates</w:t>
      </w:r>
      <w:r>
        <w:t>.</w:t>
      </w:r>
      <w:r w:rsidRPr="00826CE0">
        <w:t xml:space="preserve"> </w:t>
      </w:r>
    </w:p>
    <w:p w:rsidR="004F3B22" w:rsidRPr="00826CE0" w:rsidRDefault="004F3B22" w:rsidP="0026009D">
      <w:r w:rsidRPr="00826CE0">
        <w:t>After sorting the sites within each region on those three characteristics and then randomly after that (using computer-generated random numbers), we implemented PPS sampling by first “duplicating” site observations based on the site’s size measure (for example, a site with 200 customers contributed 200 observations to the ordered dataset). We then selected a random starting number for each ordered list</w:t>
      </w:r>
      <w:r>
        <w:t>.</w:t>
      </w:r>
      <w:r w:rsidRPr="00826CE0">
        <w:t xml:space="preserve"> We first selected for the study the site corresponding to the starting number, and then sequentially selected every N</w:t>
      </w:r>
      <w:r w:rsidRPr="00826CE0">
        <w:rPr>
          <w:vertAlign w:val="superscript"/>
        </w:rPr>
        <w:t>th</w:t>
      </w:r>
      <w:r w:rsidRPr="00826CE0">
        <w:t xml:space="preserve"> site thereafter, where N depended on the desired number of sites to be selected in the region and the total number of observations in the ordered list. For example, if the ordered list for a region had 1,000 site observations, four sites were to be selected, and the 50th observation was the random starting point, then we selected the sites corresponding to observations 50, 300, 550, and 800 (where N=250). </w:t>
      </w:r>
    </w:p>
    <w:p w:rsidR="004F3B22" w:rsidRPr="001C0FB6" w:rsidRDefault="004F3B22" w:rsidP="0026009D">
      <w:r w:rsidRPr="009777A6">
        <w:rPr>
          <w:b/>
        </w:rPr>
        <w:t xml:space="preserve">Using </w:t>
      </w:r>
      <w:r>
        <w:rPr>
          <w:b/>
        </w:rPr>
        <w:t>s</w:t>
      </w:r>
      <w:r w:rsidRPr="009777A6">
        <w:rPr>
          <w:b/>
        </w:rPr>
        <w:t xml:space="preserve">imulations to </w:t>
      </w:r>
      <w:r>
        <w:rPr>
          <w:b/>
        </w:rPr>
        <w:t>t</w:t>
      </w:r>
      <w:r w:rsidRPr="009777A6">
        <w:rPr>
          <w:b/>
        </w:rPr>
        <w:t xml:space="preserve">est the </w:t>
      </w:r>
      <w:r>
        <w:rPr>
          <w:b/>
        </w:rPr>
        <w:t>s</w:t>
      </w:r>
      <w:r w:rsidRPr="009777A6">
        <w:rPr>
          <w:b/>
        </w:rPr>
        <w:t xml:space="preserve">ite </w:t>
      </w:r>
      <w:r>
        <w:rPr>
          <w:b/>
        </w:rPr>
        <w:t>s</w:t>
      </w:r>
      <w:r w:rsidRPr="009777A6">
        <w:rPr>
          <w:b/>
        </w:rPr>
        <w:t xml:space="preserve">election </w:t>
      </w:r>
      <w:r>
        <w:rPr>
          <w:b/>
        </w:rPr>
        <w:t>a</w:t>
      </w:r>
      <w:r w:rsidRPr="009777A6">
        <w:rPr>
          <w:b/>
        </w:rPr>
        <w:t>pproach.</w:t>
      </w:r>
      <w:r>
        <w:rPr>
          <w:b/>
        </w:rPr>
        <w:t xml:space="preserve"> </w:t>
      </w:r>
      <w:r w:rsidRPr="001C0FB6">
        <w:t xml:space="preserve">To determine the likelihood that the site selection strategy might fail to generate an adequately representative sample of sites along the desired characteristics, simulations of the site selection approach were conducted prior to sampling. </w:t>
      </w:r>
      <w:r w:rsidRPr="009777A6">
        <w:t>Each simulation is a test run of the sampling procedure, implemented exactly as it would be for the actual selection of study sites.</w:t>
      </w:r>
      <w:r>
        <w:t xml:space="preserve"> </w:t>
      </w:r>
      <w:r w:rsidRPr="001C0FB6">
        <w:t>These simulations entailed drawing 2,000 different sets of 30 sites and examining the distribution of sites across the regions that resulted. The distribution of the training rate was also calculated each time. Table B.1 shows the results of the simulations. The second column shows the share of the population in each DOL region and the training rate in the population. The third column shows the mean share of the sample in each region and the mean training rate across the 2,000 simulations. The final three columns show the 10th, 50th, and 90th percentiles in the distributions for each region. (Because the percentiles are shown separately for each region, the columns do not reflect results for a single simulation. Thus, the percentages in each of these columns do not always sum to 100.) The final three columns also show the 10th, 50th, and 90th percentiles for the training rate.</w:t>
      </w:r>
    </w:p>
    <w:p w:rsidR="004F3B22" w:rsidRDefault="004F3B22" w:rsidP="0026009D">
      <w:r w:rsidRPr="001C0FB6">
        <w:t>As Table B.1 shows, the distribution of possible site characteristics closely tracks the population distribution, even when relatively low (10th percentile) or high (90th percentile) points in the distribution are considered. Simulations were also conducted for other site selection rules</w:t>
      </w:r>
      <w:r>
        <w:t>—</w:t>
      </w:r>
      <w:r w:rsidRPr="001C0FB6">
        <w:t>including selecting sites at random without stratification, using several other stratification schemes,</w:t>
      </w:r>
      <w:r>
        <w:t xml:space="preserve"> </w:t>
      </w:r>
      <w:r w:rsidRPr="001C0FB6">
        <w:t>or using sets of sites matched prior to sampling</w:t>
      </w:r>
      <w:r>
        <w:t>—</w:t>
      </w:r>
      <w:r w:rsidRPr="001C0FB6">
        <w:t>however, the approach described above generated the closest predicted match to the distribution of site characteristics in the full population while also maintaining a good distribution of sites across states within regions. Most importantly, this approach performed well even if the draw was “unlucky”</w:t>
      </w:r>
      <w:r>
        <w:t>—</w:t>
      </w:r>
      <w:r w:rsidRPr="001C0FB6">
        <w:t>other approaches did well on average but were susceptible to draws that, by chance, did not mirror the population characteristics.</w:t>
      </w:r>
    </w:p>
    <w:p w:rsidR="004F3B22" w:rsidRDefault="004F3B22" w:rsidP="00B75286">
      <w:r w:rsidRPr="0047656E">
        <w:rPr>
          <w:b/>
        </w:rPr>
        <w:t xml:space="preserve">The </w:t>
      </w:r>
      <w:r>
        <w:rPr>
          <w:b/>
        </w:rPr>
        <w:t>s</w:t>
      </w:r>
      <w:r w:rsidRPr="0047656E">
        <w:rPr>
          <w:b/>
        </w:rPr>
        <w:t xml:space="preserve">elected </w:t>
      </w:r>
      <w:r>
        <w:rPr>
          <w:b/>
        </w:rPr>
        <w:t>s</w:t>
      </w:r>
      <w:r w:rsidRPr="0047656E">
        <w:rPr>
          <w:b/>
        </w:rPr>
        <w:t xml:space="preserve">ites. </w:t>
      </w:r>
      <w:r w:rsidRPr="001C0FB6">
        <w:t xml:space="preserve">Table B.2 shows the 30 selected sites, by region. The sample is balanced across regions and has a mix of sites that are large and small and that have high and low training rates. The 30 sites are spread across LWIAs from 21 states, and the sample has 16 sites from the eight states with the largest WIA funding levels (in PY07), including at least one site in each of those eight states. Seventeen of the 30 sites are large (greater than 600 customers annually) and 18 have a high training rate (greater than 50 percent). </w:t>
      </w:r>
    </w:p>
    <w:p w:rsidR="004F3B22" w:rsidRPr="001C0FB6" w:rsidRDefault="004F3B22" w:rsidP="0026009D">
      <w:pPr>
        <w:pStyle w:val="MarkforTableHeading"/>
      </w:pPr>
      <w:bookmarkStart w:id="11" w:name="_Toc256427985"/>
      <w:bookmarkStart w:id="12" w:name="_Toc260921516"/>
      <w:bookmarkStart w:id="13" w:name="_Toc261006275"/>
      <w:bookmarkStart w:id="14" w:name="_Toc262106525"/>
      <w:bookmarkStart w:id="15" w:name="_Toc286783975"/>
      <w:r w:rsidRPr="001C0FB6">
        <w:t>Table B.1. Simulated Distributions of Site Characteristics</w:t>
      </w:r>
      <w:bookmarkEnd w:id="11"/>
      <w:bookmarkEnd w:id="12"/>
      <w:bookmarkEnd w:id="13"/>
      <w:bookmarkEnd w:id="14"/>
      <w:bookmarkEnd w:id="15"/>
    </w:p>
    <w:tbl>
      <w:tblPr>
        <w:tblW w:w="4974" w:type="pct"/>
        <w:tblInd w:w="115" w:type="dxa"/>
        <w:tblBorders>
          <w:top w:val="single" w:sz="12" w:space="0" w:color="auto"/>
          <w:bottom w:val="single" w:sz="4" w:space="0" w:color="auto"/>
        </w:tblBorders>
        <w:tblLayout w:type="fixed"/>
        <w:tblLook w:val="0000"/>
      </w:tblPr>
      <w:tblGrid>
        <w:gridCol w:w="4853"/>
        <w:gridCol w:w="1080"/>
        <w:gridCol w:w="642"/>
        <w:gridCol w:w="985"/>
        <w:gridCol w:w="983"/>
        <w:gridCol w:w="983"/>
      </w:tblGrid>
      <w:tr w:rsidR="004F3B22" w:rsidRPr="00B75286" w:rsidTr="001A0B59">
        <w:tc>
          <w:tcPr>
            <w:tcW w:w="2547" w:type="pct"/>
            <w:vMerge w:val="restart"/>
            <w:tcBorders>
              <w:top w:val="single" w:sz="12" w:space="0" w:color="auto"/>
              <w:bottom w:val="nil"/>
            </w:tcBorders>
            <w:vAlign w:val="bottom"/>
          </w:tcPr>
          <w:p w:rsidR="004F3B22" w:rsidRPr="00B75286" w:rsidRDefault="004F3B22" w:rsidP="00252BAC">
            <w:pPr>
              <w:pStyle w:val="TableHeaderCenter"/>
              <w:jc w:val="left"/>
              <w:rPr>
                <w:sz w:val="16"/>
                <w:szCs w:val="16"/>
              </w:rPr>
            </w:pPr>
            <w:r w:rsidRPr="00B75286">
              <w:rPr>
                <w:sz w:val="16"/>
                <w:szCs w:val="16"/>
              </w:rPr>
              <w:t>Characteristic</w:t>
            </w:r>
          </w:p>
        </w:tc>
        <w:tc>
          <w:tcPr>
            <w:tcW w:w="567" w:type="pct"/>
            <w:vMerge w:val="restart"/>
            <w:tcBorders>
              <w:top w:val="single" w:sz="12" w:space="0" w:color="auto"/>
              <w:bottom w:val="nil"/>
            </w:tcBorders>
            <w:vAlign w:val="bottom"/>
          </w:tcPr>
          <w:p w:rsidR="004F3B22" w:rsidRPr="00B75286" w:rsidRDefault="004F3B22" w:rsidP="0026009D">
            <w:pPr>
              <w:pStyle w:val="TableHeaderCenter"/>
              <w:rPr>
                <w:sz w:val="16"/>
                <w:szCs w:val="16"/>
              </w:rPr>
            </w:pPr>
            <w:r w:rsidRPr="00B75286">
              <w:rPr>
                <w:sz w:val="16"/>
                <w:szCs w:val="16"/>
              </w:rPr>
              <w:t>Population</w:t>
            </w:r>
          </w:p>
        </w:tc>
        <w:tc>
          <w:tcPr>
            <w:tcW w:w="1886" w:type="pct"/>
            <w:gridSpan w:val="4"/>
            <w:tcBorders>
              <w:top w:val="single" w:sz="12" w:space="0" w:color="auto"/>
              <w:bottom w:val="single" w:sz="4" w:space="0" w:color="auto"/>
            </w:tcBorders>
            <w:vAlign w:val="bottom"/>
          </w:tcPr>
          <w:p w:rsidR="004F3B22" w:rsidRPr="00B75286" w:rsidRDefault="004F3B22" w:rsidP="0026009D">
            <w:pPr>
              <w:pStyle w:val="TableHeaderCenter"/>
              <w:rPr>
                <w:sz w:val="16"/>
                <w:szCs w:val="16"/>
              </w:rPr>
            </w:pPr>
            <w:r w:rsidRPr="00B75286">
              <w:rPr>
                <w:sz w:val="16"/>
                <w:szCs w:val="16"/>
              </w:rPr>
              <w:t>Simulated Sample Distribution</w:t>
            </w:r>
          </w:p>
        </w:tc>
      </w:tr>
      <w:tr w:rsidR="004F3B22" w:rsidRPr="00B75286" w:rsidTr="001A0B59">
        <w:tc>
          <w:tcPr>
            <w:tcW w:w="2547" w:type="pct"/>
            <w:vMerge/>
            <w:tcBorders>
              <w:top w:val="nil"/>
              <w:bottom w:val="single" w:sz="4" w:space="0" w:color="auto"/>
            </w:tcBorders>
            <w:vAlign w:val="bottom"/>
          </w:tcPr>
          <w:p w:rsidR="004F3B22" w:rsidRPr="00B75286" w:rsidRDefault="004F3B22" w:rsidP="0026009D">
            <w:pPr>
              <w:pStyle w:val="TableHeaderCenter"/>
              <w:rPr>
                <w:sz w:val="16"/>
                <w:szCs w:val="16"/>
              </w:rPr>
            </w:pPr>
          </w:p>
        </w:tc>
        <w:tc>
          <w:tcPr>
            <w:tcW w:w="567" w:type="pct"/>
            <w:vMerge/>
            <w:tcBorders>
              <w:top w:val="nil"/>
              <w:bottom w:val="single" w:sz="4" w:space="0" w:color="auto"/>
            </w:tcBorders>
            <w:vAlign w:val="bottom"/>
          </w:tcPr>
          <w:p w:rsidR="004F3B22" w:rsidRPr="00B75286" w:rsidRDefault="004F3B22" w:rsidP="0026009D">
            <w:pPr>
              <w:pStyle w:val="TableHeaderCenter"/>
              <w:rPr>
                <w:sz w:val="16"/>
                <w:szCs w:val="16"/>
              </w:rPr>
            </w:pPr>
          </w:p>
        </w:tc>
        <w:tc>
          <w:tcPr>
            <w:tcW w:w="337" w:type="pct"/>
            <w:tcBorders>
              <w:top w:val="single" w:sz="4" w:space="0" w:color="auto"/>
              <w:bottom w:val="single" w:sz="4" w:space="0" w:color="auto"/>
            </w:tcBorders>
            <w:vAlign w:val="bottom"/>
          </w:tcPr>
          <w:p w:rsidR="004F3B22" w:rsidRPr="00B75286" w:rsidRDefault="004F3B22" w:rsidP="0026009D">
            <w:pPr>
              <w:pStyle w:val="TableHeaderCenter"/>
              <w:rPr>
                <w:sz w:val="16"/>
                <w:szCs w:val="16"/>
              </w:rPr>
            </w:pPr>
            <w:r w:rsidRPr="00B75286">
              <w:rPr>
                <w:sz w:val="16"/>
                <w:szCs w:val="16"/>
              </w:rPr>
              <w:t>Mean</w:t>
            </w:r>
          </w:p>
        </w:tc>
        <w:tc>
          <w:tcPr>
            <w:tcW w:w="517" w:type="pct"/>
            <w:tcBorders>
              <w:top w:val="single" w:sz="4" w:space="0" w:color="auto"/>
              <w:bottom w:val="single" w:sz="4" w:space="0" w:color="auto"/>
            </w:tcBorders>
            <w:vAlign w:val="bottom"/>
          </w:tcPr>
          <w:p w:rsidR="004F3B22" w:rsidRPr="00B75286" w:rsidRDefault="004F3B22" w:rsidP="0026009D">
            <w:pPr>
              <w:pStyle w:val="TableHeaderCenter"/>
              <w:rPr>
                <w:sz w:val="16"/>
                <w:szCs w:val="16"/>
              </w:rPr>
            </w:pPr>
            <w:r w:rsidRPr="00B75286">
              <w:rPr>
                <w:sz w:val="16"/>
                <w:szCs w:val="16"/>
              </w:rPr>
              <w:t>10th Percentile</w:t>
            </w:r>
          </w:p>
        </w:tc>
        <w:tc>
          <w:tcPr>
            <w:tcW w:w="516" w:type="pct"/>
            <w:tcBorders>
              <w:top w:val="single" w:sz="4" w:space="0" w:color="auto"/>
              <w:bottom w:val="single" w:sz="4" w:space="0" w:color="auto"/>
            </w:tcBorders>
            <w:vAlign w:val="bottom"/>
          </w:tcPr>
          <w:p w:rsidR="004F3B22" w:rsidRPr="00B75286" w:rsidRDefault="004F3B22" w:rsidP="0026009D">
            <w:pPr>
              <w:pStyle w:val="TableHeaderCenter"/>
              <w:rPr>
                <w:sz w:val="16"/>
                <w:szCs w:val="16"/>
                <w:vertAlign w:val="superscript"/>
              </w:rPr>
            </w:pPr>
            <w:r w:rsidRPr="00B75286">
              <w:rPr>
                <w:sz w:val="16"/>
                <w:szCs w:val="16"/>
              </w:rPr>
              <w:t>50th Percentile</w:t>
            </w:r>
          </w:p>
        </w:tc>
        <w:tc>
          <w:tcPr>
            <w:tcW w:w="516" w:type="pct"/>
            <w:tcBorders>
              <w:top w:val="single" w:sz="4" w:space="0" w:color="auto"/>
              <w:bottom w:val="single" w:sz="4" w:space="0" w:color="auto"/>
            </w:tcBorders>
            <w:vAlign w:val="bottom"/>
          </w:tcPr>
          <w:p w:rsidR="004F3B22" w:rsidRPr="00B75286" w:rsidRDefault="004F3B22" w:rsidP="0026009D">
            <w:pPr>
              <w:pStyle w:val="TableHeaderCenter"/>
              <w:rPr>
                <w:sz w:val="16"/>
                <w:szCs w:val="16"/>
              </w:rPr>
            </w:pPr>
            <w:r w:rsidRPr="00B75286">
              <w:rPr>
                <w:sz w:val="16"/>
                <w:szCs w:val="16"/>
              </w:rPr>
              <w:t>90th Percentile</w:t>
            </w:r>
          </w:p>
        </w:tc>
      </w:tr>
      <w:tr w:rsidR="004F3B22" w:rsidRPr="00B75286" w:rsidTr="001A0B59">
        <w:tc>
          <w:tcPr>
            <w:tcW w:w="2547" w:type="pct"/>
            <w:tcBorders>
              <w:top w:val="single" w:sz="4" w:space="0" w:color="auto"/>
            </w:tcBorders>
          </w:tcPr>
          <w:p w:rsidR="004F3B22" w:rsidRPr="00B75286" w:rsidRDefault="004F3B22" w:rsidP="00B75286">
            <w:pPr>
              <w:pStyle w:val="TableText"/>
              <w:spacing w:before="120"/>
              <w:rPr>
                <w:b/>
                <w:sz w:val="16"/>
                <w:szCs w:val="16"/>
              </w:rPr>
            </w:pPr>
            <w:r w:rsidRPr="00B75286">
              <w:rPr>
                <w:b/>
                <w:sz w:val="16"/>
                <w:szCs w:val="16"/>
              </w:rPr>
              <w:t>Percentage of population in administrative region</w:t>
            </w:r>
          </w:p>
          <w:p w:rsidR="004F3B22" w:rsidRPr="00B75286" w:rsidRDefault="004F3B22" w:rsidP="0026009D">
            <w:pPr>
              <w:pStyle w:val="TableText"/>
              <w:rPr>
                <w:b/>
                <w:sz w:val="16"/>
                <w:szCs w:val="16"/>
              </w:rPr>
            </w:pPr>
            <w:r w:rsidRPr="00B75286">
              <w:rPr>
                <w:b/>
                <w:sz w:val="16"/>
                <w:szCs w:val="16"/>
              </w:rPr>
              <w:t xml:space="preserve"> </w:t>
            </w:r>
          </w:p>
        </w:tc>
        <w:tc>
          <w:tcPr>
            <w:tcW w:w="567" w:type="pct"/>
            <w:tcBorders>
              <w:top w:val="single" w:sz="4" w:space="0" w:color="auto"/>
            </w:tcBorders>
          </w:tcPr>
          <w:p w:rsidR="004F3B22" w:rsidRPr="00B75286" w:rsidRDefault="004F3B22" w:rsidP="0026009D">
            <w:pPr>
              <w:pStyle w:val="TableText"/>
              <w:rPr>
                <w:sz w:val="16"/>
                <w:szCs w:val="16"/>
              </w:rPr>
            </w:pPr>
          </w:p>
        </w:tc>
        <w:tc>
          <w:tcPr>
            <w:tcW w:w="337" w:type="pct"/>
            <w:tcBorders>
              <w:top w:val="single" w:sz="4" w:space="0" w:color="auto"/>
            </w:tcBorders>
          </w:tcPr>
          <w:p w:rsidR="004F3B22" w:rsidRPr="00B75286" w:rsidRDefault="004F3B22" w:rsidP="0026009D">
            <w:pPr>
              <w:pStyle w:val="TableText"/>
              <w:rPr>
                <w:sz w:val="16"/>
                <w:szCs w:val="16"/>
              </w:rPr>
            </w:pPr>
          </w:p>
        </w:tc>
        <w:tc>
          <w:tcPr>
            <w:tcW w:w="517" w:type="pct"/>
            <w:tcBorders>
              <w:top w:val="single" w:sz="4" w:space="0" w:color="auto"/>
            </w:tcBorders>
          </w:tcPr>
          <w:p w:rsidR="004F3B22" w:rsidRPr="00B75286" w:rsidRDefault="004F3B22" w:rsidP="0026009D">
            <w:pPr>
              <w:pStyle w:val="TableText"/>
              <w:rPr>
                <w:sz w:val="16"/>
                <w:szCs w:val="16"/>
              </w:rPr>
            </w:pPr>
          </w:p>
        </w:tc>
        <w:tc>
          <w:tcPr>
            <w:tcW w:w="516" w:type="pct"/>
            <w:tcBorders>
              <w:top w:val="single" w:sz="4" w:space="0" w:color="auto"/>
            </w:tcBorders>
          </w:tcPr>
          <w:p w:rsidR="004F3B22" w:rsidRPr="00B75286" w:rsidRDefault="004F3B22" w:rsidP="0026009D">
            <w:pPr>
              <w:pStyle w:val="TableText"/>
              <w:rPr>
                <w:sz w:val="16"/>
                <w:szCs w:val="16"/>
              </w:rPr>
            </w:pPr>
          </w:p>
        </w:tc>
        <w:tc>
          <w:tcPr>
            <w:tcW w:w="516" w:type="pct"/>
            <w:tcBorders>
              <w:top w:val="single" w:sz="4" w:space="0" w:color="auto"/>
            </w:tcBorders>
          </w:tcPr>
          <w:p w:rsidR="004F3B22" w:rsidRPr="00B75286" w:rsidRDefault="004F3B22" w:rsidP="0026009D">
            <w:pPr>
              <w:pStyle w:val="TableText"/>
              <w:rPr>
                <w:sz w:val="16"/>
                <w:szCs w:val="16"/>
              </w:rPr>
            </w:pPr>
          </w:p>
        </w:tc>
      </w:tr>
      <w:tr w:rsidR="004F3B22" w:rsidRPr="00B75286" w:rsidTr="00B75286">
        <w:tc>
          <w:tcPr>
            <w:tcW w:w="2547" w:type="pct"/>
            <w:vAlign w:val="bottom"/>
          </w:tcPr>
          <w:p w:rsidR="004F3B22" w:rsidRPr="00B75286" w:rsidRDefault="004F3B22" w:rsidP="0026009D">
            <w:pPr>
              <w:pStyle w:val="TableText"/>
              <w:rPr>
                <w:sz w:val="16"/>
                <w:szCs w:val="16"/>
              </w:rPr>
            </w:pPr>
            <w:r w:rsidRPr="00B75286">
              <w:rPr>
                <w:sz w:val="16"/>
                <w:szCs w:val="16"/>
                <w:lang w:val="it-IT"/>
              </w:rPr>
              <w:t xml:space="preserve">Region 1 (Boston):  CT, MA, ME, NH, NJ,  </w:t>
            </w:r>
            <w:r w:rsidRPr="00B75286">
              <w:rPr>
                <w:sz w:val="16"/>
                <w:szCs w:val="16"/>
              </w:rPr>
              <w:t>NY, RI, VT</w:t>
            </w:r>
          </w:p>
        </w:tc>
        <w:tc>
          <w:tcPr>
            <w:tcW w:w="567" w:type="pct"/>
            <w:vAlign w:val="bottom"/>
          </w:tcPr>
          <w:p w:rsidR="004F3B22" w:rsidRPr="00B75286" w:rsidRDefault="004F3B22" w:rsidP="001A0B59">
            <w:pPr>
              <w:pStyle w:val="TableText"/>
              <w:jc w:val="center"/>
              <w:rPr>
                <w:sz w:val="16"/>
                <w:szCs w:val="16"/>
              </w:rPr>
            </w:pPr>
            <w:r w:rsidRPr="00B75286">
              <w:rPr>
                <w:sz w:val="16"/>
                <w:szCs w:val="16"/>
              </w:rPr>
              <w:t>14</w:t>
            </w:r>
          </w:p>
        </w:tc>
        <w:tc>
          <w:tcPr>
            <w:tcW w:w="337" w:type="pct"/>
            <w:vAlign w:val="bottom"/>
          </w:tcPr>
          <w:p w:rsidR="004F3B22" w:rsidRPr="00B75286" w:rsidRDefault="004F3B22" w:rsidP="001A0B59">
            <w:pPr>
              <w:pStyle w:val="TableText"/>
              <w:jc w:val="center"/>
              <w:rPr>
                <w:sz w:val="16"/>
                <w:szCs w:val="16"/>
              </w:rPr>
            </w:pPr>
            <w:r w:rsidRPr="00B75286">
              <w:rPr>
                <w:sz w:val="16"/>
                <w:szCs w:val="16"/>
              </w:rPr>
              <w:t>13</w:t>
            </w:r>
          </w:p>
        </w:tc>
        <w:tc>
          <w:tcPr>
            <w:tcW w:w="517" w:type="pct"/>
            <w:vAlign w:val="bottom"/>
          </w:tcPr>
          <w:p w:rsidR="004F3B22" w:rsidRPr="00B75286" w:rsidRDefault="004F3B22" w:rsidP="001A0B59">
            <w:pPr>
              <w:pStyle w:val="TableText"/>
              <w:jc w:val="center"/>
              <w:rPr>
                <w:sz w:val="16"/>
                <w:szCs w:val="16"/>
              </w:rPr>
            </w:pPr>
            <w:r w:rsidRPr="00B75286">
              <w:rPr>
                <w:sz w:val="16"/>
                <w:szCs w:val="16"/>
              </w:rPr>
              <w:t>11</w:t>
            </w:r>
          </w:p>
        </w:tc>
        <w:tc>
          <w:tcPr>
            <w:tcW w:w="516" w:type="pct"/>
            <w:vAlign w:val="bottom"/>
          </w:tcPr>
          <w:p w:rsidR="004F3B22" w:rsidRPr="00B75286" w:rsidRDefault="004F3B22" w:rsidP="001A0B59">
            <w:pPr>
              <w:pStyle w:val="TableText"/>
              <w:jc w:val="center"/>
              <w:rPr>
                <w:sz w:val="16"/>
                <w:szCs w:val="16"/>
              </w:rPr>
            </w:pPr>
            <w:r w:rsidRPr="00B75286">
              <w:rPr>
                <w:sz w:val="16"/>
                <w:szCs w:val="16"/>
              </w:rPr>
              <w:t>12</w:t>
            </w:r>
          </w:p>
        </w:tc>
        <w:tc>
          <w:tcPr>
            <w:tcW w:w="516" w:type="pct"/>
            <w:vAlign w:val="bottom"/>
          </w:tcPr>
          <w:p w:rsidR="004F3B22" w:rsidRPr="00B75286" w:rsidRDefault="004F3B22" w:rsidP="001A0B59">
            <w:pPr>
              <w:pStyle w:val="TableText"/>
              <w:jc w:val="center"/>
              <w:rPr>
                <w:sz w:val="16"/>
                <w:szCs w:val="16"/>
              </w:rPr>
            </w:pPr>
            <w:r w:rsidRPr="00B75286">
              <w:rPr>
                <w:sz w:val="16"/>
                <w:szCs w:val="16"/>
              </w:rPr>
              <w:t>14</w:t>
            </w:r>
          </w:p>
        </w:tc>
      </w:tr>
      <w:tr w:rsidR="004F3B22" w:rsidRPr="00B75286" w:rsidTr="00B75286">
        <w:tc>
          <w:tcPr>
            <w:tcW w:w="2547" w:type="pct"/>
            <w:vAlign w:val="bottom"/>
          </w:tcPr>
          <w:p w:rsidR="004F3B22" w:rsidRPr="00B75286" w:rsidRDefault="004F3B22" w:rsidP="0026009D">
            <w:pPr>
              <w:pStyle w:val="TableText"/>
              <w:rPr>
                <w:sz w:val="16"/>
                <w:szCs w:val="16"/>
              </w:rPr>
            </w:pPr>
            <w:r w:rsidRPr="00B75286">
              <w:rPr>
                <w:sz w:val="16"/>
                <w:szCs w:val="16"/>
              </w:rPr>
              <w:t>Region 2 (Philadelphia):  DE, DC, MD, PA, VA, WV</w:t>
            </w:r>
          </w:p>
        </w:tc>
        <w:tc>
          <w:tcPr>
            <w:tcW w:w="567" w:type="pct"/>
            <w:vAlign w:val="bottom"/>
          </w:tcPr>
          <w:p w:rsidR="004F3B22" w:rsidRPr="00B75286" w:rsidRDefault="004F3B22" w:rsidP="001A0B59">
            <w:pPr>
              <w:pStyle w:val="TableText"/>
              <w:jc w:val="center"/>
              <w:rPr>
                <w:sz w:val="16"/>
                <w:szCs w:val="16"/>
              </w:rPr>
            </w:pPr>
            <w:r w:rsidRPr="00B75286">
              <w:rPr>
                <w:sz w:val="16"/>
                <w:szCs w:val="16"/>
              </w:rPr>
              <w:t>7</w:t>
            </w:r>
          </w:p>
        </w:tc>
        <w:tc>
          <w:tcPr>
            <w:tcW w:w="337" w:type="pct"/>
            <w:vAlign w:val="bottom"/>
          </w:tcPr>
          <w:p w:rsidR="004F3B22" w:rsidRPr="00B75286" w:rsidRDefault="004F3B22" w:rsidP="001A0B59">
            <w:pPr>
              <w:pStyle w:val="TableText"/>
              <w:jc w:val="center"/>
              <w:rPr>
                <w:sz w:val="16"/>
                <w:szCs w:val="16"/>
              </w:rPr>
            </w:pPr>
            <w:r w:rsidRPr="00B75286">
              <w:rPr>
                <w:sz w:val="16"/>
                <w:szCs w:val="16"/>
              </w:rPr>
              <w:t>8</w:t>
            </w:r>
          </w:p>
        </w:tc>
        <w:tc>
          <w:tcPr>
            <w:tcW w:w="517" w:type="pct"/>
            <w:vAlign w:val="bottom"/>
          </w:tcPr>
          <w:p w:rsidR="004F3B22" w:rsidRPr="00B75286" w:rsidRDefault="004F3B22" w:rsidP="001A0B59">
            <w:pPr>
              <w:pStyle w:val="TableText"/>
              <w:jc w:val="center"/>
              <w:rPr>
                <w:sz w:val="16"/>
                <w:szCs w:val="16"/>
              </w:rPr>
            </w:pPr>
            <w:r w:rsidRPr="00B75286">
              <w:rPr>
                <w:sz w:val="16"/>
                <w:szCs w:val="16"/>
              </w:rPr>
              <w:t>6</w:t>
            </w:r>
          </w:p>
        </w:tc>
        <w:tc>
          <w:tcPr>
            <w:tcW w:w="516" w:type="pct"/>
            <w:vAlign w:val="bottom"/>
          </w:tcPr>
          <w:p w:rsidR="004F3B22" w:rsidRPr="00B75286" w:rsidRDefault="004F3B22" w:rsidP="001A0B59">
            <w:pPr>
              <w:pStyle w:val="TableText"/>
              <w:jc w:val="center"/>
              <w:rPr>
                <w:sz w:val="16"/>
                <w:szCs w:val="16"/>
              </w:rPr>
            </w:pPr>
            <w:r w:rsidRPr="00B75286">
              <w:rPr>
                <w:sz w:val="16"/>
                <w:szCs w:val="16"/>
              </w:rPr>
              <w:t>8</w:t>
            </w:r>
          </w:p>
        </w:tc>
        <w:tc>
          <w:tcPr>
            <w:tcW w:w="516" w:type="pct"/>
            <w:vAlign w:val="bottom"/>
          </w:tcPr>
          <w:p w:rsidR="004F3B22" w:rsidRPr="00B75286" w:rsidRDefault="004F3B22" w:rsidP="001A0B59">
            <w:pPr>
              <w:pStyle w:val="TableText"/>
              <w:jc w:val="center"/>
              <w:rPr>
                <w:sz w:val="16"/>
                <w:szCs w:val="16"/>
              </w:rPr>
            </w:pPr>
            <w:r w:rsidRPr="00B75286">
              <w:rPr>
                <w:sz w:val="16"/>
                <w:szCs w:val="16"/>
              </w:rPr>
              <w:t>10</w:t>
            </w:r>
          </w:p>
        </w:tc>
      </w:tr>
      <w:tr w:rsidR="004F3B22" w:rsidRPr="00B75286" w:rsidTr="00B75286">
        <w:tc>
          <w:tcPr>
            <w:tcW w:w="2547" w:type="pct"/>
            <w:vAlign w:val="bottom"/>
          </w:tcPr>
          <w:p w:rsidR="004F3B22" w:rsidRPr="00B75286" w:rsidRDefault="004F3B22" w:rsidP="0026009D">
            <w:pPr>
              <w:pStyle w:val="TableText"/>
              <w:rPr>
                <w:sz w:val="16"/>
                <w:szCs w:val="16"/>
              </w:rPr>
            </w:pPr>
            <w:r w:rsidRPr="00B75286">
              <w:rPr>
                <w:sz w:val="16"/>
                <w:szCs w:val="16"/>
              </w:rPr>
              <w:t>Region 3 (Atlanta):  AL, FL, GA, KY, MS, NC, SC, TN</w:t>
            </w:r>
          </w:p>
        </w:tc>
        <w:tc>
          <w:tcPr>
            <w:tcW w:w="567" w:type="pct"/>
            <w:vAlign w:val="bottom"/>
          </w:tcPr>
          <w:p w:rsidR="004F3B22" w:rsidRPr="00B75286" w:rsidRDefault="004F3B22" w:rsidP="001A0B59">
            <w:pPr>
              <w:pStyle w:val="TableText"/>
              <w:jc w:val="center"/>
              <w:rPr>
                <w:sz w:val="16"/>
                <w:szCs w:val="16"/>
              </w:rPr>
            </w:pPr>
            <w:r w:rsidRPr="00B75286">
              <w:rPr>
                <w:sz w:val="16"/>
                <w:szCs w:val="16"/>
              </w:rPr>
              <w:t>26</w:t>
            </w:r>
          </w:p>
        </w:tc>
        <w:tc>
          <w:tcPr>
            <w:tcW w:w="337" w:type="pct"/>
            <w:vAlign w:val="bottom"/>
          </w:tcPr>
          <w:p w:rsidR="004F3B22" w:rsidRPr="00B75286" w:rsidRDefault="004F3B22" w:rsidP="001A0B59">
            <w:pPr>
              <w:pStyle w:val="TableText"/>
              <w:jc w:val="center"/>
              <w:rPr>
                <w:sz w:val="16"/>
                <w:szCs w:val="16"/>
              </w:rPr>
            </w:pPr>
            <w:r w:rsidRPr="00B75286">
              <w:rPr>
                <w:sz w:val="16"/>
                <w:szCs w:val="16"/>
              </w:rPr>
              <w:t>25</w:t>
            </w:r>
          </w:p>
        </w:tc>
        <w:tc>
          <w:tcPr>
            <w:tcW w:w="517" w:type="pct"/>
            <w:vAlign w:val="bottom"/>
          </w:tcPr>
          <w:p w:rsidR="004F3B22" w:rsidRPr="00B75286" w:rsidRDefault="004F3B22" w:rsidP="001A0B59">
            <w:pPr>
              <w:pStyle w:val="TableText"/>
              <w:jc w:val="center"/>
              <w:rPr>
                <w:sz w:val="16"/>
                <w:szCs w:val="16"/>
              </w:rPr>
            </w:pPr>
            <w:r w:rsidRPr="00B75286">
              <w:rPr>
                <w:sz w:val="16"/>
                <w:szCs w:val="16"/>
              </w:rPr>
              <w:t>23</w:t>
            </w:r>
          </w:p>
        </w:tc>
        <w:tc>
          <w:tcPr>
            <w:tcW w:w="516" w:type="pct"/>
            <w:vAlign w:val="bottom"/>
          </w:tcPr>
          <w:p w:rsidR="004F3B22" w:rsidRPr="00B75286" w:rsidRDefault="004F3B22" w:rsidP="001A0B59">
            <w:pPr>
              <w:pStyle w:val="TableText"/>
              <w:jc w:val="center"/>
              <w:rPr>
                <w:sz w:val="16"/>
                <w:szCs w:val="16"/>
              </w:rPr>
            </w:pPr>
            <w:r w:rsidRPr="00B75286">
              <w:rPr>
                <w:sz w:val="16"/>
                <w:szCs w:val="16"/>
              </w:rPr>
              <w:t>25</w:t>
            </w:r>
          </w:p>
        </w:tc>
        <w:tc>
          <w:tcPr>
            <w:tcW w:w="516" w:type="pct"/>
            <w:vAlign w:val="bottom"/>
          </w:tcPr>
          <w:p w:rsidR="004F3B22" w:rsidRPr="00B75286" w:rsidRDefault="004F3B22" w:rsidP="001A0B59">
            <w:pPr>
              <w:pStyle w:val="TableText"/>
              <w:jc w:val="center"/>
              <w:rPr>
                <w:sz w:val="16"/>
                <w:szCs w:val="16"/>
              </w:rPr>
            </w:pPr>
            <w:r w:rsidRPr="00B75286">
              <w:rPr>
                <w:sz w:val="16"/>
                <w:szCs w:val="16"/>
              </w:rPr>
              <w:t>28</w:t>
            </w:r>
          </w:p>
        </w:tc>
      </w:tr>
      <w:tr w:rsidR="004F3B22" w:rsidRPr="00B75286" w:rsidTr="00B75286">
        <w:tc>
          <w:tcPr>
            <w:tcW w:w="2547" w:type="pct"/>
            <w:vAlign w:val="bottom"/>
          </w:tcPr>
          <w:p w:rsidR="004F3B22" w:rsidRPr="00B75286" w:rsidRDefault="004F3B22" w:rsidP="0026009D">
            <w:pPr>
              <w:pStyle w:val="TableText"/>
              <w:rPr>
                <w:sz w:val="16"/>
                <w:szCs w:val="16"/>
              </w:rPr>
            </w:pPr>
            <w:r w:rsidRPr="00B75286">
              <w:rPr>
                <w:sz w:val="16"/>
                <w:szCs w:val="16"/>
              </w:rPr>
              <w:t>Region 4 (Dallas):  AR, CO, LA, MT, ND, NM, OK, SD, TX, UT, WY</w:t>
            </w:r>
          </w:p>
        </w:tc>
        <w:tc>
          <w:tcPr>
            <w:tcW w:w="567" w:type="pct"/>
            <w:vAlign w:val="bottom"/>
          </w:tcPr>
          <w:p w:rsidR="004F3B22" w:rsidRPr="00B75286" w:rsidRDefault="004F3B22" w:rsidP="001A0B59">
            <w:pPr>
              <w:pStyle w:val="TableText"/>
              <w:jc w:val="center"/>
              <w:rPr>
                <w:sz w:val="16"/>
                <w:szCs w:val="16"/>
              </w:rPr>
            </w:pPr>
            <w:r w:rsidRPr="00B75286">
              <w:rPr>
                <w:sz w:val="16"/>
                <w:szCs w:val="16"/>
              </w:rPr>
              <w:t>17</w:t>
            </w:r>
          </w:p>
        </w:tc>
        <w:tc>
          <w:tcPr>
            <w:tcW w:w="337" w:type="pct"/>
            <w:vAlign w:val="bottom"/>
          </w:tcPr>
          <w:p w:rsidR="004F3B22" w:rsidRPr="00B75286" w:rsidRDefault="004F3B22" w:rsidP="001A0B59">
            <w:pPr>
              <w:pStyle w:val="TableText"/>
              <w:jc w:val="center"/>
              <w:rPr>
                <w:sz w:val="16"/>
                <w:szCs w:val="16"/>
              </w:rPr>
            </w:pPr>
            <w:r w:rsidRPr="00B75286">
              <w:rPr>
                <w:sz w:val="16"/>
                <w:szCs w:val="16"/>
              </w:rPr>
              <w:t>19</w:t>
            </w:r>
          </w:p>
        </w:tc>
        <w:tc>
          <w:tcPr>
            <w:tcW w:w="517" w:type="pct"/>
            <w:vAlign w:val="bottom"/>
          </w:tcPr>
          <w:p w:rsidR="004F3B22" w:rsidRPr="00B75286" w:rsidRDefault="004F3B22" w:rsidP="001A0B59">
            <w:pPr>
              <w:pStyle w:val="TableText"/>
              <w:jc w:val="center"/>
              <w:rPr>
                <w:sz w:val="16"/>
                <w:szCs w:val="16"/>
              </w:rPr>
            </w:pPr>
            <w:r w:rsidRPr="00B75286">
              <w:rPr>
                <w:sz w:val="16"/>
                <w:szCs w:val="16"/>
              </w:rPr>
              <w:t>17</w:t>
            </w:r>
          </w:p>
        </w:tc>
        <w:tc>
          <w:tcPr>
            <w:tcW w:w="516" w:type="pct"/>
            <w:vAlign w:val="bottom"/>
          </w:tcPr>
          <w:p w:rsidR="004F3B22" w:rsidRPr="00B75286" w:rsidRDefault="004F3B22" w:rsidP="001A0B59">
            <w:pPr>
              <w:pStyle w:val="TableText"/>
              <w:jc w:val="center"/>
              <w:rPr>
                <w:sz w:val="16"/>
                <w:szCs w:val="16"/>
              </w:rPr>
            </w:pPr>
            <w:r w:rsidRPr="00B75286">
              <w:rPr>
                <w:sz w:val="16"/>
                <w:szCs w:val="16"/>
              </w:rPr>
              <w:t>19</w:t>
            </w:r>
          </w:p>
        </w:tc>
        <w:tc>
          <w:tcPr>
            <w:tcW w:w="516" w:type="pct"/>
            <w:vAlign w:val="bottom"/>
          </w:tcPr>
          <w:p w:rsidR="004F3B22" w:rsidRPr="00B75286" w:rsidRDefault="004F3B22" w:rsidP="001A0B59">
            <w:pPr>
              <w:pStyle w:val="TableText"/>
              <w:jc w:val="center"/>
              <w:rPr>
                <w:sz w:val="16"/>
                <w:szCs w:val="16"/>
              </w:rPr>
            </w:pPr>
            <w:r w:rsidRPr="00B75286">
              <w:rPr>
                <w:sz w:val="16"/>
                <w:szCs w:val="16"/>
              </w:rPr>
              <w:t>21</w:t>
            </w:r>
          </w:p>
        </w:tc>
      </w:tr>
      <w:tr w:rsidR="004F3B22" w:rsidRPr="00B75286" w:rsidTr="00B75286">
        <w:tc>
          <w:tcPr>
            <w:tcW w:w="2547" w:type="pct"/>
            <w:vAlign w:val="bottom"/>
          </w:tcPr>
          <w:p w:rsidR="004F3B22" w:rsidRPr="00B75286" w:rsidRDefault="004F3B22" w:rsidP="0026009D">
            <w:pPr>
              <w:pStyle w:val="TableText"/>
              <w:rPr>
                <w:sz w:val="16"/>
                <w:szCs w:val="16"/>
                <w:lang w:val="it-IT"/>
              </w:rPr>
            </w:pPr>
            <w:r w:rsidRPr="00B75286">
              <w:rPr>
                <w:sz w:val="16"/>
                <w:szCs w:val="16"/>
                <w:lang w:val="it-IT"/>
              </w:rPr>
              <w:t>Region 5 (Chicago):  IA, IL, IN, KS, MI, MN, MO, NE, OH, WI</w:t>
            </w:r>
          </w:p>
        </w:tc>
        <w:tc>
          <w:tcPr>
            <w:tcW w:w="567" w:type="pct"/>
            <w:vAlign w:val="bottom"/>
          </w:tcPr>
          <w:p w:rsidR="004F3B22" w:rsidRPr="00B75286" w:rsidRDefault="004F3B22" w:rsidP="001A0B59">
            <w:pPr>
              <w:pStyle w:val="TableText"/>
              <w:jc w:val="center"/>
              <w:rPr>
                <w:sz w:val="16"/>
                <w:szCs w:val="16"/>
              </w:rPr>
            </w:pPr>
            <w:r w:rsidRPr="00B75286">
              <w:rPr>
                <w:sz w:val="16"/>
                <w:szCs w:val="16"/>
              </w:rPr>
              <w:t>21</w:t>
            </w:r>
          </w:p>
        </w:tc>
        <w:tc>
          <w:tcPr>
            <w:tcW w:w="337" w:type="pct"/>
            <w:vAlign w:val="bottom"/>
          </w:tcPr>
          <w:p w:rsidR="004F3B22" w:rsidRPr="00B75286" w:rsidRDefault="004F3B22" w:rsidP="001A0B59">
            <w:pPr>
              <w:pStyle w:val="TableText"/>
              <w:jc w:val="center"/>
              <w:rPr>
                <w:sz w:val="16"/>
                <w:szCs w:val="16"/>
              </w:rPr>
            </w:pPr>
            <w:r w:rsidRPr="00B75286">
              <w:rPr>
                <w:sz w:val="16"/>
                <w:szCs w:val="16"/>
              </w:rPr>
              <w:t>21</w:t>
            </w:r>
          </w:p>
        </w:tc>
        <w:tc>
          <w:tcPr>
            <w:tcW w:w="517" w:type="pct"/>
            <w:vAlign w:val="bottom"/>
          </w:tcPr>
          <w:p w:rsidR="004F3B22" w:rsidRPr="00B75286" w:rsidRDefault="004F3B22" w:rsidP="001A0B59">
            <w:pPr>
              <w:pStyle w:val="TableText"/>
              <w:jc w:val="center"/>
              <w:rPr>
                <w:sz w:val="16"/>
                <w:szCs w:val="16"/>
              </w:rPr>
            </w:pPr>
            <w:r w:rsidRPr="00B75286">
              <w:rPr>
                <w:sz w:val="16"/>
                <w:szCs w:val="16"/>
              </w:rPr>
              <w:t>19</w:t>
            </w:r>
          </w:p>
        </w:tc>
        <w:tc>
          <w:tcPr>
            <w:tcW w:w="516" w:type="pct"/>
            <w:vAlign w:val="bottom"/>
          </w:tcPr>
          <w:p w:rsidR="004F3B22" w:rsidRPr="00B75286" w:rsidRDefault="004F3B22" w:rsidP="001A0B59">
            <w:pPr>
              <w:pStyle w:val="TableText"/>
              <w:jc w:val="center"/>
              <w:rPr>
                <w:sz w:val="16"/>
                <w:szCs w:val="16"/>
              </w:rPr>
            </w:pPr>
            <w:r w:rsidRPr="00B75286">
              <w:rPr>
                <w:sz w:val="16"/>
                <w:szCs w:val="16"/>
              </w:rPr>
              <w:t>21</w:t>
            </w:r>
          </w:p>
        </w:tc>
        <w:tc>
          <w:tcPr>
            <w:tcW w:w="516" w:type="pct"/>
            <w:vAlign w:val="bottom"/>
          </w:tcPr>
          <w:p w:rsidR="004F3B22" w:rsidRPr="00B75286" w:rsidRDefault="004F3B22" w:rsidP="001A0B59">
            <w:pPr>
              <w:pStyle w:val="TableText"/>
              <w:jc w:val="center"/>
              <w:rPr>
                <w:sz w:val="16"/>
                <w:szCs w:val="16"/>
              </w:rPr>
            </w:pPr>
            <w:r w:rsidRPr="00B75286">
              <w:rPr>
                <w:sz w:val="16"/>
                <w:szCs w:val="16"/>
              </w:rPr>
              <w:t>23</w:t>
            </w:r>
          </w:p>
        </w:tc>
      </w:tr>
      <w:tr w:rsidR="004F3B22" w:rsidRPr="00B75286" w:rsidTr="00B75286">
        <w:tc>
          <w:tcPr>
            <w:tcW w:w="2547" w:type="pct"/>
            <w:vAlign w:val="bottom"/>
          </w:tcPr>
          <w:p w:rsidR="004F3B22" w:rsidRPr="00B75286" w:rsidRDefault="004F3B22" w:rsidP="0026009D">
            <w:pPr>
              <w:pStyle w:val="TableText"/>
              <w:rPr>
                <w:sz w:val="16"/>
                <w:szCs w:val="16"/>
              </w:rPr>
            </w:pPr>
            <w:r w:rsidRPr="00B75286">
              <w:rPr>
                <w:sz w:val="16"/>
                <w:szCs w:val="16"/>
                <w:lang w:val="it-IT"/>
              </w:rPr>
              <w:t xml:space="preserve">Region 6 (San Francisco):  AZ, CA, ID, </w:t>
            </w:r>
            <w:r w:rsidRPr="00B75286">
              <w:rPr>
                <w:sz w:val="16"/>
                <w:szCs w:val="16"/>
              </w:rPr>
              <w:t>NV, OR, WA</w:t>
            </w:r>
          </w:p>
        </w:tc>
        <w:tc>
          <w:tcPr>
            <w:tcW w:w="567" w:type="pct"/>
            <w:vAlign w:val="bottom"/>
          </w:tcPr>
          <w:p w:rsidR="004F3B22" w:rsidRPr="00B75286" w:rsidRDefault="004F3B22" w:rsidP="001A0B59">
            <w:pPr>
              <w:pStyle w:val="TableText"/>
              <w:jc w:val="center"/>
              <w:rPr>
                <w:sz w:val="16"/>
                <w:szCs w:val="16"/>
              </w:rPr>
            </w:pPr>
            <w:r w:rsidRPr="00B75286">
              <w:rPr>
                <w:sz w:val="16"/>
                <w:szCs w:val="16"/>
              </w:rPr>
              <w:t>14</w:t>
            </w:r>
          </w:p>
        </w:tc>
        <w:tc>
          <w:tcPr>
            <w:tcW w:w="337" w:type="pct"/>
            <w:vAlign w:val="bottom"/>
          </w:tcPr>
          <w:p w:rsidR="004F3B22" w:rsidRPr="00B75286" w:rsidRDefault="004F3B22" w:rsidP="001A0B59">
            <w:pPr>
              <w:pStyle w:val="TableText"/>
              <w:jc w:val="center"/>
              <w:rPr>
                <w:sz w:val="16"/>
                <w:szCs w:val="16"/>
              </w:rPr>
            </w:pPr>
            <w:r w:rsidRPr="00B75286">
              <w:rPr>
                <w:sz w:val="16"/>
                <w:szCs w:val="16"/>
              </w:rPr>
              <w:t>14</w:t>
            </w:r>
          </w:p>
        </w:tc>
        <w:tc>
          <w:tcPr>
            <w:tcW w:w="517" w:type="pct"/>
            <w:vAlign w:val="bottom"/>
          </w:tcPr>
          <w:p w:rsidR="004F3B22" w:rsidRPr="00B75286" w:rsidRDefault="004F3B22" w:rsidP="001A0B59">
            <w:pPr>
              <w:pStyle w:val="TableText"/>
              <w:jc w:val="center"/>
              <w:rPr>
                <w:sz w:val="16"/>
                <w:szCs w:val="16"/>
              </w:rPr>
            </w:pPr>
            <w:r w:rsidRPr="00B75286">
              <w:rPr>
                <w:sz w:val="16"/>
                <w:szCs w:val="16"/>
              </w:rPr>
              <w:t>12</w:t>
            </w:r>
          </w:p>
        </w:tc>
        <w:tc>
          <w:tcPr>
            <w:tcW w:w="516" w:type="pct"/>
            <w:vAlign w:val="bottom"/>
          </w:tcPr>
          <w:p w:rsidR="004F3B22" w:rsidRPr="00B75286" w:rsidRDefault="004F3B22" w:rsidP="001A0B59">
            <w:pPr>
              <w:pStyle w:val="TableText"/>
              <w:jc w:val="center"/>
              <w:rPr>
                <w:sz w:val="16"/>
                <w:szCs w:val="16"/>
              </w:rPr>
            </w:pPr>
            <w:r w:rsidRPr="00B75286">
              <w:rPr>
                <w:sz w:val="16"/>
                <w:szCs w:val="16"/>
              </w:rPr>
              <w:t>14</w:t>
            </w:r>
          </w:p>
        </w:tc>
        <w:tc>
          <w:tcPr>
            <w:tcW w:w="516" w:type="pct"/>
            <w:vAlign w:val="bottom"/>
          </w:tcPr>
          <w:p w:rsidR="004F3B22" w:rsidRPr="00B75286" w:rsidRDefault="004F3B22" w:rsidP="001A0B59">
            <w:pPr>
              <w:pStyle w:val="TableText"/>
              <w:jc w:val="center"/>
              <w:rPr>
                <w:sz w:val="16"/>
                <w:szCs w:val="16"/>
              </w:rPr>
            </w:pPr>
            <w:r w:rsidRPr="00B75286">
              <w:rPr>
                <w:sz w:val="16"/>
                <w:szCs w:val="16"/>
              </w:rPr>
              <w:t>16</w:t>
            </w:r>
          </w:p>
        </w:tc>
      </w:tr>
      <w:tr w:rsidR="004F3B22" w:rsidRPr="00B75286" w:rsidTr="00B75286">
        <w:tc>
          <w:tcPr>
            <w:tcW w:w="2547" w:type="pct"/>
            <w:tcBorders>
              <w:bottom w:val="single" w:sz="4" w:space="0" w:color="auto"/>
            </w:tcBorders>
            <w:vAlign w:val="bottom"/>
          </w:tcPr>
          <w:p w:rsidR="004F3B22" w:rsidRPr="00B75286" w:rsidRDefault="004F3B22" w:rsidP="00B75286">
            <w:pPr>
              <w:pStyle w:val="TableText"/>
              <w:spacing w:after="60"/>
              <w:rPr>
                <w:b/>
                <w:sz w:val="16"/>
                <w:szCs w:val="16"/>
              </w:rPr>
            </w:pPr>
          </w:p>
          <w:p w:rsidR="004F3B22" w:rsidRPr="00B75286" w:rsidRDefault="004F3B22" w:rsidP="00B75286">
            <w:pPr>
              <w:pStyle w:val="TableText"/>
              <w:spacing w:after="60"/>
              <w:rPr>
                <w:b/>
                <w:sz w:val="16"/>
                <w:szCs w:val="16"/>
              </w:rPr>
            </w:pPr>
            <w:r w:rsidRPr="00B75286">
              <w:rPr>
                <w:b/>
                <w:sz w:val="16"/>
                <w:szCs w:val="16"/>
              </w:rPr>
              <w:t>Percentage of those who request intensive services who receive training</w:t>
            </w:r>
          </w:p>
        </w:tc>
        <w:tc>
          <w:tcPr>
            <w:tcW w:w="567" w:type="pct"/>
            <w:tcBorders>
              <w:bottom w:val="single" w:sz="4" w:space="0" w:color="auto"/>
            </w:tcBorders>
            <w:vAlign w:val="bottom"/>
          </w:tcPr>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r w:rsidRPr="00B75286">
              <w:rPr>
                <w:sz w:val="16"/>
                <w:szCs w:val="16"/>
              </w:rPr>
              <w:t>57</w:t>
            </w:r>
          </w:p>
        </w:tc>
        <w:tc>
          <w:tcPr>
            <w:tcW w:w="337" w:type="pct"/>
            <w:tcBorders>
              <w:bottom w:val="single" w:sz="4" w:space="0" w:color="auto"/>
            </w:tcBorders>
            <w:vAlign w:val="bottom"/>
          </w:tcPr>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r w:rsidRPr="00B75286">
              <w:rPr>
                <w:sz w:val="16"/>
                <w:szCs w:val="16"/>
              </w:rPr>
              <w:t>55</w:t>
            </w:r>
          </w:p>
        </w:tc>
        <w:tc>
          <w:tcPr>
            <w:tcW w:w="517" w:type="pct"/>
            <w:tcBorders>
              <w:bottom w:val="single" w:sz="4" w:space="0" w:color="auto"/>
            </w:tcBorders>
            <w:vAlign w:val="bottom"/>
          </w:tcPr>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r w:rsidRPr="00B75286">
              <w:rPr>
                <w:sz w:val="16"/>
                <w:szCs w:val="16"/>
              </w:rPr>
              <w:t>50</w:t>
            </w:r>
          </w:p>
        </w:tc>
        <w:tc>
          <w:tcPr>
            <w:tcW w:w="516" w:type="pct"/>
            <w:tcBorders>
              <w:bottom w:val="single" w:sz="4" w:space="0" w:color="auto"/>
            </w:tcBorders>
            <w:vAlign w:val="bottom"/>
          </w:tcPr>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r w:rsidRPr="00B75286">
              <w:rPr>
                <w:sz w:val="16"/>
                <w:szCs w:val="16"/>
              </w:rPr>
              <w:t>55</w:t>
            </w:r>
          </w:p>
        </w:tc>
        <w:tc>
          <w:tcPr>
            <w:tcW w:w="516" w:type="pct"/>
            <w:tcBorders>
              <w:bottom w:val="single" w:sz="4" w:space="0" w:color="auto"/>
            </w:tcBorders>
            <w:vAlign w:val="bottom"/>
          </w:tcPr>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p>
          <w:p w:rsidR="004F3B22" w:rsidRPr="00B75286" w:rsidRDefault="004F3B22" w:rsidP="00B75286">
            <w:pPr>
              <w:pStyle w:val="TableText"/>
              <w:spacing w:after="60"/>
              <w:jc w:val="center"/>
              <w:rPr>
                <w:sz w:val="16"/>
                <w:szCs w:val="16"/>
              </w:rPr>
            </w:pPr>
            <w:r w:rsidRPr="00B75286">
              <w:rPr>
                <w:sz w:val="16"/>
                <w:szCs w:val="16"/>
              </w:rPr>
              <w:t>59</w:t>
            </w:r>
          </w:p>
        </w:tc>
      </w:tr>
    </w:tbl>
    <w:p w:rsidR="004F3B22" w:rsidRPr="00B75286" w:rsidRDefault="004F3B22" w:rsidP="00B75286">
      <w:pPr>
        <w:pStyle w:val="TableSourceCaption"/>
        <w:spacing w:before="120"/>
        <w:rPr>
          <w:sz w:val="16"/>
          <w:szCs w:val="16"/>
        </w:rPr>
      </w:pPr>
      <w:r w:rsidRPr="00B75286">
        <w:rPr>
          <w:sz w:val="16"/>
          <w:szCs w:val="16"/>
        </w:rPr>
        <w:t xml:space="preserve">Source: </w:t>
      </w:r>
      <w:r w:rsidRPr="00B75286">
        <w:rPr>
          <w:sz w:val="16"/>
          <w:szCs w:val="16"/>
        </w:rPr>
        <w:tab/>
        <w:t>WIA Standardized Record Data for adult and dislocated worker exiters between April 2006 and March 2008 projected to 18 months.</w:t>
      </w:r>
    </w:p>
    <w:p w:rsidR="004F3B22" w:rsidRPr="00B75286" w:rsidRDefault="004F3B22" w:rsidP="0026009D">
      <w:pPr>
        <w:pStyle w:val="TableSourceCaption"/>
        <w:rPr>
          <w:sz w:val="16"/>
          <w:szCs w:val="16"/>
        </w:rPr>
      </w:pPr>
      <w:r w:rsidRPr="00B75286">
        <w:rPr>
          <w:sz w:val="16"/>
          <w:szCs w:val="16"/>
        </w:rPr>
        <w:t xml:space="preserve">Note: </w:t>
      </w:r>
      <w:r w:rsidRPr="00B75286">
        <w:rPr>
          <w:sz w:val="16"/>
          <w:szCs w:val="16"/>
        </w:rPr>
        <w:tab/>
        <w:t>Characteristics are weighted by sample size at selected sites.</w:t>
      </w:r>
    </w:p>
    <w:p w:rsidR="004F3B22" w:rsidRDefault="004F3B22" w:rsidP="00CF228E">
      <w:pPr>
        <w:spacing w:line="240" w:lineRule="auto"/>
        <w:rPr>
          <w:b/>
        </w:rPr>
      </w:pPr>
    </w:p>
    <w:p w:rsidR="004F3B22" w:rsidRDefault="004F3B22" w:rsidP="00FF7AE7">
      <w:r>
        <w:rPr>
          <w:b/>
        </w:rPr>
        <w:t xml:space="preserve">Recruiting sites. </w:t>
      </w:r>
      <w:r>
        <w:t>Recruitment activities included letters and calls from the Assistant Secretary of ETA and multiple visits from the evaluators to explain the study (see Appendix G). While these visits involved lengthy discussions about the evaluation with senior staff and members of the workforce investment boards, no data were collected during those visits.</w:t>
      </w:r>
    </w:p>
    <w:p w:rsidR="004F3B22" w:rsidRDefault="004F3B22">
      <w:r>
        <w:t xml:space="preserve">Following a review of Section 172 of the WIA and queries to staff in the Department’s Solicitor’s Office, ETA concluded that the Department does not have statutory authority to require local workforce investment areas (LWIAs) to participate in the WIA Evaluation.  Although Section 172 requires the Secretary to “provide for the continuing evaluation of the programs and activities” and directs the Secretary to “conduct as (sic) least 1 multisite control group evaluation,” there are no provisions regarding participation in these evaluations by any organization(s).  This includes those receiving Federal funding for WIA programs or for providing services to WIA participants. </w:t>
      </w:r>
    </w:p>
    <w:p w:rsidR="004F3B22" w:rsidRDefault="004F3B22" w:rsidP="00FF7AE7">
      <w:r>
        <w:t xml:space="preserve">All but 4 of the 30 sites that were originally selected (and listed in Table B.2) have agreed to participate in the evaluation. Thus 26 of the 30 sites—or 87 percent of the sites representing 89 percent of the customers in the 30 sites—agreed to participate. The sites that declined to participate in the study were (1) WIA Area 7 in Ohio, (2) </w:t>
      </w:r>
      <w:r w:rsidRPr="001C0FB6">
        <w:t>Thumb Area Michigan Works!</w:t>
      </w:r>
      <w:r>
        <w:t>, (3) DuPage County, Illinois, and (4) Nevadaworks. These sites are highlighted in Table B.2.</w:t>
      </w:r>
    </w:p>
    <w:p w:rsidR="004F3B22" w:rsidRPr="00496069" w:rsidRDefault="004F3B22" w:rsidP="00496069">
      <w:pPr>
        <w:pStyle w:val="TableHeaderLeft"/>
        <w:rPr>
          <w:b/>
        </w:rPr>
      </w:pPr>
      <w:bookmarkStart w:id="16" w:name="_Toc286783976"/>
      <w:r w:rsidRPr="00496069">
        <w:rPr>
          <w:b/>
        </w:rPr>
        <w:t xml:space="preserve">Table B.2. LWIA Sites Selected for Evaluation </w:t>
      </w:r>
      <w:bookmarkEnd w:id="16"/>
    </w:p>
    <w:tbl>
      <w:tblPr>
        <w:tblW w:w="9483" w:type="dxa"/>
        <w:tblInd w:w="115" w:type="dxa"/>
        <w:tblBorders>
          <w:top w:val="single" w:sz="12" w:space="0" w:color="auto"/>
          <w:bottom w:val="single" w:sz="4" w:space="0" w:color="auto"/>
        </w:tblBorders>
        <w:tblLook w:val="0000"/>
      </w:tblPr>
      <w:tblGrid>
        <w:gridCol w:w="5"/>
        <w:gridCol w:w="846"/>
        <w:gridCol w:w="882"/>
        <w:gridCol w:w="807"/>
        <w:gridCol w:w="1077"/>
        <w:gridCol w:w="953"/>
        <w:gridCol w:w="4918"/>
      </w:tblGrid>
      <w:tr w:rsidR="004F3B22" w:rsidRPr="005271DB" w:rsidTr="00BF77D2">
        <w:trPr>
          <w:trHeight w:val="302"/>
        </w:trPr>
        <w:tc>
          <w:tcPr>
            <w:tcW w:w="846" w:type="dxa"/>
            <w:gridSpan w:val="2"/>
            <w:tcBorders>
              <w:top w:val="single" w:sz="12" w:space="0" w:color="auto"/>
              <w:bottom w:val="single" w:sz="4" w:space="0" w:color="auto"/>
            </w:tcBorders>
            <w:noWrap/>
            <w:vAlign w:val="bottom"/>
          </w:tcPr>
          <w:p w:rsidR="004F3B22" w:rsidRPr="001C0FB6" w:rsidRDefault="004F3B22" w:rsidP="0026009D">
            <w:pPr>
              <w:pStyle w:val="TableHeaderCenter"/>
            </w:pPr>
            <w:r w:rsidRPr="001C0FB6">
              <w:t>Region</w:t>
            </w:r>
          </w:p>
        </w:tc>
        <w:tc>
          <w:tcPr>
            <w:tcW w:w="882" w:type="dxa"/>
            <w:tcBorders>
              <w:top w:val="single" w:sz="12" w:space="0" w:color="auto"/>
              <w:bottom w:val="single" w:sz="4" w:space="0" w:color="auto"/>
            </w:tcBorders>
            <w:noWrap/>
            <w:vAlign w:val="bottom"/>
          </w:tcPr>
          <w:p w:rsidR="004F3B22" w:rsidRPr="001C0FB6" w:rsidRDefault="004F3B22" w:rsidP="0026009D">
            <w:pPr>
              <w:pStyle w:val="TableHeaderCenter"/>
            </w:pPr>
            <w:r w:rsidRPr="001C0FB6">
              <w:t>State</w:t>
            </w:r>
          </w:p>
        </w:tc>
        <w:tc>
          <w:tcPr>
            <w:tcW w:w="807" w:type="dxa"/>
            <w:tcBorders>
              <w:top w:val="single" w:sz="12" w:space="0" w:color="auto"/>
              <w:bottom w:val="single" w:sz="4" w:space="0" w:color="auto"/>
            </w:tcBorders>
            <w:noWrap/>
            <w:vAlign w:val="bottom"/>
          </w:tcPr>
          <w:p w:rsidR="004F3B22" w:rsidRPr="001C0FB6" w:rsidRDefault="004F3B22" w:rsidP="0026009D">
            <w:pPr>
              <w:pStyle w:val="TableHeaderCenter"/>
            </w:pPr>
            <w:r w:rsidRPr="001C0FB6">
              <w:t>Size</w:t>
            </w:r>
          </w:p>
        </w:tc>
        <w:tc>
          <w:tcPr>
            <w:tcW w:w="1077" w:type="dxa"/>
            <w:tcBorders>
              <w:top w:val="single" w:sz="12" w:space="0" w:color="auto"/>
              <w:bottom w:val="single" w:sz="4" w:space="0" w:color="auto"/>
            </w:tcBorders>
            <w:noWrap/>
            <w:vAlign w:val="bottom"/>
          </w:tcPr>
          <w:p w:rsidR="004F3B22" w:rsidRPr="001C0FB6" w:rsidRDefault="004F3B22" w:rsidP="0026009D">
            <w:pPr>
              <w:pStyle w:val="TableHeaderCenter"/>
            </w:pPr>
            <w:r w:rsidRPr="001C0FB6">
              <w:t>Training Rate</w:t>
            </w:r>
          </w:p>
        </w:tc>
        <w:tc>
          <w:tcPr>
            <w:tcW w:w="953" w:type="dxa"/>
            <w:tcBorders>
              <w:top w:val="single" w:sz="12" w:space="0" w:color="auto"/>
              <w:bottom w:val="single" w:sz="4" w:space="0" w:color="auto"/>
            </w:tcBorders>
            <w:noWrap/>
            <w:vAlign w:val="bottom"/>
          </w:tcPr>
          <w:p w:rsidR="004F3B22" w:rsidRPr="001C0FB6" w:rsidRDefault="004F3B22" w:rsidP="0026009D">
            <w:pPr>
              <w:pStyle w:val="TableHeaderCenter"/>
            </w:pPr>
            <w:r w:rsidRPr="001C0FB6">
              <w:t>Code</w:t>
            </w:r>
          </w:p>
        </w:tc>
        <w:tc>
          <w:tcPr>
            <w:tcW w:w="4918" w:type="dxa"/>
            <w:tcBorders>
              <w:top w:val="single" w:sz="12" w:space="0" w:color="auto"/>
              <w:bottom w:val="single" w:sz="4" w:space="0" w:color="auto"/>
            </w:tcBorders>
            <w:noWrap/>
            <w:vAlign w:val="bottom"/>
          </w:tcPr>
          <w:p w:rsidR="004F3B22" w:rsidRPr="001C0FB6" w:rsidRDefault="004F3B22" w:rsidP="0026009D">
            <w:pPr>
              <w:pStyle w:val="TableHeaderCenter"/>
            </w:pPr>
            <w:r w:rsidRPr="001C0FB6">
              <w:t>Site Name</w:t>
            </w:r>
          </w:p>
        </w:tc>
      </w:tr>
      <w:tr w:rsidR="004F3B22" w:rsidRPr="005271DB" w:rsidTr="00BF77D2">
        <w:tc>
          <w:tcPr>
            <w:tcW w:w="846" w:type="dxa"/>
            <w:gridSpan w:val="2"/>
            <w:tcBorders>
              <w:top w:val="single" w:sz="4" w:space="0" w:color="auto"/>
            </w:tcBorders>
            <w:noWrap/>
          </w:tcPr>
          <w:p w:rsidR="004F3B22" w:rsidRPr="001C0FB6" w:rsidRDefault="004F3B22" w:rsidP="0026009D">
            <w:pPr>
              <w:pStyle w:val="TableText"/>
            </w:pPr>
            <w:r w:rsidRPr="001C0FB6">
              <w:t>1</w:t>
            </w:r>
          </w:p>
        </w:tc>
        <w:tc>
          <w:tcPr>
            <w:tcW w:w="882" w:type="dxa"/>
            <w:tcBorders>
              <w:top w:val="single" w:sz="4" w:space="0" w:color="auto"/>
            </w:tcBorders>
            <w:noWrap/>
          </w:tcPr>
          <w:p w:rsidR="004F3B22" w:rsidRPr="001C0FB6" w:rsidRDefault="004F3B22" w:rsidP="0026009D">
            <w:pPr>
              <w:pStyle w:val="TableText"/>
            </w:pPr>
            <w:r w:rsidRPr="001C0FB6">
              <w:t>NJ</w:t>
            </w:r>
          </w:p>
        </w:tc>
        <w:tc>
          <w:tcPr>
            <w:tcW w:w="807" w:type="dxa"/>
            <w:tcBorders>
              <w:top w:val="single" w:sz="4" w:space="0" w:color="auto"/>
            </w:tcBorders>
            <w:noWrap/>
          </w:tcPr>
          <w:p w:rsidR="004F3B22" w:rsidRPr="001C0FB6" w:rsidRDefault="004F3B22" w:rsidP="0026009D">
            <w:pPr>
              <w:pStyle w:val="TableText"/>
            </w:pPr>
            <w:r w:rsidRPr="001C0FB6">
              <w:t>Small</w:t>
            </w:r>
          </w:p>
        </w:tc>
        <w:tc>
          <w:tcPr>
            <w:tcW w:w="1077" w:type="dxa"/>
            <w:tcBorders>
              <w:top w:val="single" w:sz="4" w:space="0" w:color="auto"/>
            </w:tcBorders>
            <w:noWrap/>
          </w:tcPr>
          <w:p w:rsidR="004F3B22" w:rsidRPr="001C0FB6" w:rsidRDefault="004F3B22" w:rsidP="0026009D">
            <w:pPr>
              <w:pStyle w:val="TableText"/>
            </w:pPr>
            <w:r w:rsidRPr="001C0FB6">
              <w:t>Low</w:t>
            </w:r>
          </w:p>
        </w:tc>
        <w:tc>
          <w:tcPr>
            <w:tcW w:w="953" w:type="dxa"/>
            <w:tcBorders>
              <w:top w:val="single" w:sz="4" w:space="0" w:color="auto"/>
            </w:tcBorders>
            <w:noWrap/>
          </w:tcPr>
          <w:p w:rsidR="004F3B22" w:rsidRPr="001C0FB6" w:rsidRDefault="004F3B22" w:rsidP="0026009D">
            <w:pPr>
              <w:pStyle w:val="TableText"/>
            </w:pPr>
            <w:r w:rsidRPr="001C0FB6">
              <w:t>34050</w:t>
            </w:r>
          </w:p>
        </w:tc>
        <w:tc>
          <w:tcPr>
            <w:tcW w:w="4918" w:type="dxa"/>
            <w:tcBorders>
              <w:top w:val="single" w:sz="4" w:space="0" w:color="auto"/>
            </w:tcBorders>
            <w:noWrap/>
          </w:tcPr>
          <w:p w:rsidR="004F3B22" w:rsidRPr="001C0FB6" w:rsidRDefault="004F3B22" w:rsidP="0026009D">
            <w:pPr>
              <w:pStyle w:val="TableText"/>
            </w:pPr>
            <w:r w:rsidRPr="001C0FB6">
              <w:t>Essex County Workforce Investment Board</w:t>
            </w:r>
          </w:p>
        </w:tc>
      </w:tr>
      <w:tr w:rsidR="004F3B22" w:rsidRPr="005271DB" w:rsidTr="00BF77D2">
        <w:tc>
          <w:tcPr>
            <w:tcW w:w="846" w:type="dxa"/>
            <w:gridSpan w:val="2"/>
            <w:noWrap/>
          </w:tcPr>
          <w:p w:rsidR="004F3B22" w:rsidRPr="001C0FB6" w:rsidRDefault="004F3B22" w:rsidP="0026009D">
            <w:pPr>
              <w:pStyle w:val="TableText"/>
            </w:pPr>
            <w:r w:rsidRPr="001C0FB6">
              <w:t>1</w:t>
            </w:r>
          </w:p>
        </w:tc>
        <w:tc>
          <w:tcPr>
            <w:tcW w:w="882" w:type="dxa"/>
            <w:noWrap/>
          </w:tcPr>
          <w:p w:rsidR="004F3B22" w:rsidRPr="001C0FB6" w:rsidRDefault="004F3B22" w:rsidP="0026009D">
            <w:pPr>
              <w:pStyle w:val="TableText"/>
            </w:pPr>
            <w:r w:rsidRPr="001C0FB6">
              <w:t>NY</w:t>
            </w:r>
          </w:p>
        </w:tc>
        <w:tc>
          <w:tcPr>
            <w:tcW w:w="807" w:type="dxa"/>
            <w:noWrap/>
          </w:tcPr>
          <w:p w:rsidR="004F3B22" w:rsidRPr="001C0FB6" w:rsidRDefault="004F3B22" w:rsidP="0026009D">
            <w:pPr>
              <w:pStyle w:val="TableText"/>
            </w:pPr>
            <w:r w:rsidRPr="001C0FB6">
              <w:t>Large</w:t>
            </w:r>
          </w:p>
        </w:tc>
        <w:tc>
          <w:tcPr>
            <w:tcW w:w="1077" w:type="dxa"/>
            <w:noWrap/>
          </w:tcPr>
          <w:p w:rsidR="004F3B22" w:rsidRPr="001C0FB6" w:rsidRDefault="004F3B22" w:rsidP="0026009D">
            <w:pPr>
              <w:pStyle w:val="TableText"/>
            </w:pPr>
            <w:r w:rsidRPr="001C0FB6">
              <w:t>Low</w:t>
            </w:r>
          </w:p>
        </w:tc>
        <w:tc>
          <w:tcPr>
            <w:tcW w:w="953" w:type="dxa"/>
            <w:noWrap/>
          </w:tcPr>
          <w:p w:rsidR="004F3B22" w:rsidRPr="001C0FB6" w:rsidRDefault="004F3B22" w:rsidP="0026009D">
            <w:pPr>
              <w:pStyle w:val="TableText"/>
            </w:pPr>
            <w:r w:rsidRPr="001C0FB6">
              <w:t>36015</w:t>
            </w:r>
          </w:p>
        </w:tc>
        <w:tc>
          <w:tcPr>
            <w:tcW w:w="4918" w:type="dxa"/>
            <w:noWrap/>
          </w:tcPr>
          <w:p w:rsidR="004F3B22" w:rsidRPr="001C0FB6" w:rsidRDefault="004F3B22" w:rsidP="0026009D">
            <w:pPr>
              <w:pStyle w:val="TableText"/>
            </w:pPr>
            <w:r w:rsidRPr="001C0FB6">
              <w:t>New York City</w:t>
            </w:r>
          </w:p>
        </w:tc>
      </w:tr>
      <w:tr w:rsidR="004F3B22" w:rsidRPr="005271DB" w:rsidTr="00BF77D2">
        <w:tc>
          <w:tcPr>
            <w:tcW w:w="846" w:type="dxa"/>
            <w:gridSpan w:val="2"/>
            <w:tcBorders>
              <w:bottom w:val="nil"/>
            </w:tcBorders>
            <w:noWrap/>
          </w:tcPr>
          <w:p w:rsidR="004F3B22" w:rsidRPr="001C0FB6" w:rsidRDefault="004F3B22" w:rsidP="0026009D">
            <w:pPr>
              <w:pStyle w:val="TableText"/>
            </w:pPr>
            <w:r w:rsidRPr="001C0FB6">
              <w:t>1</w:t>
            </w:r>
          </w:p>
        </w:tc>
        <w:tc>
          <w:tcPr>
            <w:tcW w:w="882" w:type="dxa"/>
            <w:tcBorders>
              <w:bottom w:val="nil"/>
            </w:tcBorders>
            <w:noWrap/>
          </w:tcPr>
          <w:p w:rsidR="004F3B22" w:rsidRPr="001C0FB6" w:rsidRDefault="004F3B22" w:rsidP="0026009D">
            <w:pPr>
              <w:pStyle w:val="TableText"/>
            </w:pPr>
            <w:r w:rsidRPr="001C0FB6">
              <w:t>NY</w:t>
            </w:r>
          </w:p>
        </w:tc>
        <w:tc>
          <w:tcPr>
            <w:tcW w:w="807" w:type="dxa"/>
            <w:tcBorders>
              <w:bottom w:val="nil"/>
            </w:tcBorders>
            <w:noWrap/>
          </w:tcPr>
          <w:p w:rsidR="004F3B22" w:rsidRPr="001C0FB6" w:rsidRDefault="004F3B22" w:rsidP="0026009D">
            <w:pPr>
              <w:pStyle w:val="TableText"/>
            </w:pPr>
            <w:r w:rsidRPr="001C0FB6">
              <w:t>Large</w:t>
            </w:r>
          </w:p>
        </w:tc>
        <w:tc>
          <w:tcPr>
            <w:tcW w:w="1077" w:type="dxa"/>
            <w:tcBorders>
              <w:bottom w:val="nil"/>
            </w:tcBorders>
            <w:noWrap/>
          </w:tcPr>
          <w:p w:rsidR="004F3B22" w:rsidRPr="001C0FB6" w:rsidRDefault="004F3B22" w:rsidP="0026009D">
            <w:pPr>
              <w:pStyle w:val="TableText"/>
            </w:pPr>
            <w:r w:rsidRPr="001C0FB6">
              <w:t>Low</w:t>
            </w:r>
          </w:p>
        </w:tc>
        <w:tc>
          <w:tcPr>
            <w:tcW w:w="953" w:type="dxa"/>
            <w:tcBorders>
              <w:bottom w:val="nil"/>
            </w:tcBorders>
            <w:noWrap/>
          </w:tcPr>
          <w:p w:rsidR="004F3B22" w:rsidRPr="001C0FB6" w:rsidRDefault="004F3B22" w:rsidP="0026009D">
            <w:pPr>
              <w:pStyle w:val="TableText"/>
            </w:pPr>
            <w:r w:rsidRPr="001C0FB6">
              <w:t>36005</w:t>
            </w:r>
          </w:p>
        </w:tc>
        <w:tc>
          <w:tcPr>
            <w:tcW w:w="4918" w:type="dxa"/>
            <w:tcBorders>
              <w:bottom w:val="nil"/>
            </w:tcBorders>
            <w:noWrap/>
          </w:tcPr>
          <w:p w:rsidR="004F3B22" w:rsidRPr="001C0FB6" w:rsidRDefault="004F3B22" w:rsidP="0026009D">
            <w:pPr>
              <w:pStyle w:val="TableText"/>
            </w:pPr>
            <w:r w:rsidRPr="001C0FB6">
              <w:t>Albany/Rensselaer/Schenectady Counties</w:t>
            </w:r>
          </w:p>
        </w:tc>
      </w:tr>
      <w:tr w:rsidR="004F3B22" w:rsidRPr="005271DB" w:rsidTr="00BF77D2">
        <w:tc>
          <w:tcPr>
            <w:tcW w:w="846" w:type="dxa"/>
            <w:gridSpan w:val="2"/>
            <w:tcBorders>
              <w:top w:val="nil"/>
              <w:bottom w:val="single" w:sz="4" w:space="0" w:color="auto"/>
            </w:tcBorders>
            <w:noWrap/>
          </w:tcPr>
          <w:p w:rsidR="004F3B22" w:rsidRPr="001C0FB6" w:rsidRDefault="004F3B22" w:rsidP="0026009D">
            <w:pPr>
              <w:pStyle w:val="TableText"/>
            </w:pPr>
            <w:r w:rsidRPr="001C0FB6">
              <w:t>1</w:t>
            </w:r>
          </w:p>
        </w:tc>
        <w:tc>
          <w:tcPr>
            <w:tcW w:w="882" w:type="dxa"/>
            <w:tcBorders>
              <w:top w:val="nil"/>
              <w:bottom w:val="single" w:sz="4" w:space="0" w:color="auto"/>
            </w:tcBorders>
            <w:noWrap/>
          </w:tcPr>
          <w:p w:rsidR="004F3B22" w:rsidRPr="001C0FB6" w:rsidRDefault="004F3B22" w:rsidP="0026009D">
            <w:pPr>
              <w:pStyle w:val="TableText"/>
            </w:pPr>
            <w:r w:rsidRPr="001C0FB6">
              <w:t>NY</w:t>
            </w:r>
          </w:p>
        </w:tc>
        <w:tc>
          <w:tcPr>
            <w:tcW w:w="807" w:type="dxa"/>
            <w:tcBorders>
              <w:top w:val="nil"/>
              <w:bottom w:val="single" w:sz="4" w:space="0" w:color="auto"/>
            </w:tcBorders>
            <w:noWrap/>
          </w:tcPr>
          <w:p w:rsidR="004F3B22" w:rsidRPr="001C0FB6" w:rsidRDefault="004F3B22" w:rsidP="0026009D">
            <w:pPr>
              <w:pStyle w:val="TableText"/>
            </w:pPr>
            <w:r w:rsidRPr="001C0FB6">
              <w:t>Small</w:t>
            </w:r>
          </w:p>
        </w:tc>
        <w:tc>
          <w:tcPr>
            <w:tcW w:w="1077" w:type="dxa"/>
            <w:tcBorders>
              <w:top w:val="nil"/>
              <w:bottom w:val="single" w:sz="4" w:space="0" w:color="auto"/>
            </w:tcBorders>
            <w:noWrap/>
          </w:tcPr>
          <w:p w:rsidR="004F3B22" w:rsidRPr="001C0FB6" w:rsidRDefault="004F3B22" w:rsidP="0026009D">
            <w:pPr>
              <w:pStyle w:val="TableText"/>
            </w:pPr>
            <w:r w:rsidRPr="001C0FB6">
              <w:t>High</w:t>
            </w:r>
          </w:p>
        </w:tc>
        <w:tc>
          <w:tcPr>
            <w:tcW w:w="953" w:type="dxa"/>
            <w:tcBorders>
              <w:top w:val="nil"/>
              <w:bottom w:val="single" w:sz="4" w:space="0" w:color="auto"/>
            </w:tcBorders>
            <w:noWrap/>
          </w:tcPr>
          <w:p w:rsidR="004F3B22" w:rsidRPr="001C0FB6" w:rsidRDefault="004F3B22" w:rsidP="0026009D">
            <w:pPr>
              <w:pStyle w:val="TableText"/>
            </w:pPr>
            <w:r w:rsidRPr="001C0FB6">
              <w:t>36215</w:t>
            </w:r>
          </w:p>
        </w:tc>
        <w:tc>
          <w:tcPr>
            <w:tcW w:w="4918" w:type="dxa"/>
            <w:tcBorders>
              <w:top w:val="nil"/>
              <w:bottom w:val="single" w:sz="4" w:space="0" w:color="auto"/>
            </w:tcBorders>
            <w:noWrap/>
          </w:tcPr>
          <w:p w:rsidR="004F3B22" w:rsidRPr="001C0FB6" w:rsidRDefault="004F3B22" w:rsidP="0026009D">
            <w:pPr>
              <w:pStyle w:val="TableText"/>
            </w:pPr>
            <w:r w:rsidRPr="001C0FB6">
              <w:t>Chautauqua County</w:t>
            </w:r>
          </w:p>
        </w:tc>
      </w:tr>
      <w:tr w:rsidR="004F3B22" w:rsidRPr="005271DB" w:rsidTr="00BF77D2">
        <w:tc>
          <w:tcPr>
            <w:tcW w:w="846" w:type="dxa"/>
            <w:gridSpan w:val="2"/>
            <w:tcBorders>
              <w:top w:val="single" w:sz="4" w:space="0" w:color="auto"/>
            </w:tcBorders>
            <w:noWrap/>
          </w:tcPr>
          <w:p w:rsidR="004F3B22" w:rsidRPr="001C0FB6" w:rsidRDefault="004F3B22" w:rsidP="0026009D">
            <w:pPr>
              <w:pStyle w:val="TableText"/>
            </w:pPr>
            <w:r w:rsidRPr="001C0FB6">
              <w:t>2</w:t>
            </w:r>
          </w:p>
        </w:tc>
        <w:tc>
          <w:tcPr>
            <w:tcW w:w="882" w:type="dxa"/>
            <w:tcBorders>
              <w:top w:val="single" w:sz="4" w:space="0" w:color="auto"/>
            </w:tcBorders>
            <w:noWrap/>
          </w:tcPr>
          <w:p w:rsidR="004F3B22" w:rsidRPr="001C0FB6" w:rsidRDefault="004F3B22" w:rsidP="0026009D">
            <w:pPr>
              <w:pStyle w:val="TableText"/>
            </w:pPr>
            <w:r w:rsidRPr="001C0FB6">
              <w:t>PA</w:t>
            </w:r>
          </w:p>
        </w:tc>
        <w:tc>
          <w:tcPr>
            <w:tcW w:w="807" w:type="dxa"/>
            <w:tcBorders>
              <w:top w:val="single" w:sz="4" w:space="0" w:color="auto"/>
            </w:tcBorders>
            <w:noWrap/>
          </w:tcPr>
          <w:p w:rsidR="004F3B22" w:rsidRPr="001C0FB6" w:rsidRDefault="004F3B22" w:rsidP="0026009D">
            <w:pPr>
              <w:pStyle w:val="TableText"/>
            </w:pPr>
            <w:r w:rsidRPr="001C0FB6">
              <w:t>Large</w:t>
            </w:r>
          </w:p>
        </w:tc>
        <w:tc>
          <w:tcPr>
            <w:tcW w:w="1077" w:type="dxa"/>
            <w:tcBorders>
              <w:top w:val="single" w:sz="4" w:space="0" w:color="auto"/>
            </w:tcBorders>
            <w:noWrap/>
          </w:tcPr>
          <w:p w:rsidR="004F3B22" w:rsidRPr="001C0FB6" w:rsidRDefault="004F3B22" w:rsidP="0026009D">
            <w:pPr>
              <w:pStyle w:val="TableText"/>
            </w:pPr>
            <w:r w:rsidRPr="001C0FB6">
              <w:t>Low</w:t>
            </w:r>
          </w:p>
        </w:tc>
        <w:tc>
          <w:tcPr>
            <w:tcW w:w="953" w:type="dxa"/>
            <w:tcBorders>
              <w:top w:val="single" w:sz="4" w:space="0" w:color="auto"/>
            </w:tcBorders>
            <w:noWrap/>
          </w:tcPr>
          <w:p w:rsidR="004F3B22" w:rsidRPr="001C0FB6" w:rsidRDefault="004F3B22" w:rsidP="0026009D">
            <w:pPr>
              <w:pStyle w:val="TableText"/>
            </w:pPr>
            <w:r w:rsidRPr="001C0FB6">
              <w:t>42175</w:t>
            </w:r>
          </w:p>
        </w:tc>
        <w:tc>
          <w:tcPr>
            <w:tcW w:w="4918" w:type="dxa"/>
            <w:tcBorders>
              <w:top w:val="single" w:sz="4" w:space="0" w:color="auto"/>
            </w:tcBorders>
            <w:noWrap/>
          </w:tcPr>
          <w:p w:rsidR="004F3B22" w:rsidRPr="001C0FB6" w:rsidRDefault="004F3B22" w:rsidP="0026009D">
            <w:pPr>
              <w:pStyle w:val="TableText"/>
            </w:pPr>
            <w:r w:rsidRPr="001C0FB6">
              <w:t>Central Pennsylvania Workforce Development Corp.</w:t>
            </w:r>
          </w:p>
        </w:tc>
      </w:tr>
      <w:tr w:rsidR="004F3B22" w:rsidRPr="005271DB" w:rsidTr="00BF77D2">
        <w:tc>
          <w:tcPr>
            <w:tcW w:w="846" w:type="dxa"/>
            <w:gridSpan w:val="2"/>
            <w:tcBorders>
              <w:bottom w:val="nil"/>
            </w:tcBorders>
            <w:noWrap/>
          </w:tcPr>
          <w:p w:rsidR="004F3B22" w:rsidRPr="001C0FB6" w:rsidRDefault="004F3B22" w:rsidP="0026009D">
            <w:pPr>
              <w:pStyle w:val="TableText"/>
            </w:pPr>
            <w:r w:rsidRPr="001C0FB6">
              <w:t>2</w:t>
            </w:r>
          </w:p>
        </w:tc>
        <w:tc>
          <w:tcPr>
            <w:tcW w:w="882" w:type="dxa"/>
            <w:tcBorders>
              <w:bottom w:val="nil"/>
            </w:tcBorders>
            <w:noWrap/>
          </w:tcPr>
          <w:p w:rsidR="004F3B22" w:rsidRPr="001C0FB6" w:rsidRDefault="004F3B22" w:rsidP="0026009D">
            <w:pPr>
              <w:pStyle w:val="TableText"/>
            </w:pPr>
            <w:r w:rsidRPr="001C0FB6">
              <w:t>PA</w:t>
            </w:r>
          </w:p>
        </w:tc>
        <w:tc>
          <w:tcPr>
            <w:tcW w:w="807" w:type="dxa"/>
            <w:tcBorders>
              <w:bottom w:val="nil"/>
            </w:tcBorders>
            <w:noWrap/>
          </w:tcPr>
          <w:p w:rsidR="004F3B22" w:rsidRPr="001C0FB6" w:rsidRDefault="004F3B22" w:rsidP="0026009D">
            <w:pPr>
              <w:pStyle w:val="TableText"/>
            </w:pPr>
            <w:r w:rsidRPr="001C0FB6">
              <w:t>Small</w:t>
            </w:r>
          </w:p>
        </w:tc>
        <w:tc>
          <w:tcPr>
            <w:tcW w:w="1077" w:type="dxa"/>
            <w:tcBorders>
              <w:bottom w:val="nil"/>
            </w:tcBorders>
            <w:noWrap/>
          </w:tcPr>
          <w:p w:rsidR="004F3B22" w:rsidRPr="001C0FB6" w:rsidRDefault="004F3B22" w:rsidP="0026009D">
            <w:pPr>
              <w:pStyle w:val="TableText"/>
            </w:pPr>
            <w:r w:rsidRPr="001C0FB6">
              <w:t>Low</w:t>
            </w:r>
          </w:p>
        </w:tc>
        <w:tc>
          <w:tcPr>
            <w:tcW w:w="953" w:type="dxa"/>
            <w:tcBorders>
              <w:bottom w:val="nil"/>
            </w:tcBorders>
            <w:noWrap/>
          </w:tcPr>
          <w:p w:rsidR="004F3B22" w:rsidRPr="001C0FB6" w:rsidRDefault="004F3B22" w:rsidP="0026009D">
            <w:pPr>
              <w:pStyle w:val="TableText"/>
            </w:pPr>
            <w:r w:rsidRPr="001C0FB6">
              <w:t>42165</w:t>
            </w:r>
          </w:p>
        </w:tc>
        <w:tc>
          <w:tcPr>
            <w:tcW w:w="4918" w:type="dxa"/>
            <w:tcBorders>
              <w:bottom w:val="nil"/>
            </w:tcBorders>
            <w:noWrap/>
          </w:tcPr>
          <w:p w:rsidR="004F3B22" w:rsidRPr="001C0FB6" w:rsidRDefault="004F3B22" w:rsidP="0026009D">
            <w:pPr>
              <w:pStyle w:val="TableText"/>
            </w:pPr>
            <w:r w:rsidRPr="001C0FB6">
              <w:t>Southwest Corner Workforce Investment Board</w:t>
            </w:r>
          </w:p>
        </w:tc>
      </w:tr>
      <w:tr w:rsidR="004F3B22" w:rsidRPr="005271DB" w:rsidTr="00BF77D2">
        <w:tc>
          <w:tcPr>
            <w:tcW w:w="846" w:type="dxa"/>
            <w:gridSpan w:val="2"/>
            <w:tcBorders>
              <w:top w:val="nil"/>
              <w:bottom w:val="single" w:sz="4" w:space="0" w:color="auto"/>
            </w:tcBorders>
            <w:noWrap/>
          </w:tcPr>
          <w:p w:rsidR="004F3B22" w:rsidRPr="001C0FB6" w:rsidRDefault="004F3B22" w:rsidP="0026009D">
            <w:pPr>
              <w:pStyle w:val="TableText"/>
            </w:pPr>
            <w:r w:rsidRPr="001C0FB6">
              <w:t>2</w:t>
            </w:r>
          </w:p>
        </w:tc>
        <w:tc>
          <w:tcPr>
            <w:tcW w:w="882" w:type="dxa"/>
            <w:tcBorders>
              <w:top w:val="nil"/>
              <w:bottom w:val="single" w:sz="4" w:space="0" w:color="auto"/>
            </w:tcBorders>
            <w:noWrap/>
          </w:tcPr>
          <w:p w:rsidR="004F3B22" w:rsidRPr="001C0FB6" w:rsidRDefault="004F3B22" w:rsidP="0026009D">
            <w:pPr>
              <w:pStyle w:val="TableText"/>
            </w:pPr>
            <w:r w:rsidRPr="001C0FB6">
              <w:t>PA</w:t>
            </w:r>
          </w:p>
        </w:tc>
        <w:tc>
          <w:tcPr>
            <w:tcW w:w="807" w:type="dxa"/>
            <w:tcBorders>
              <w:top w:val="nil"/>
              <w:bottom w:val="single" w:sz="4" w:space="0" w:color="auto"/>
            </w:tcBorders>
            <w:noWrap/>
          </w:tcPr>
          <w:p w:rsidR="004F3B22" w:rsidRPr="001C0FB6" w:rsidRDefault="004F3B22" w:rsidP="0026009D">
            <w:pPr>
              <w:pStyle w:val="TableText"/>
            </w:pPr>
            <w:r w:rsidRPr="001C0FB6">
              <w:t>Small</w:t>
            </w:r>
          </w:p>
        </w:tc>
        <w:tc>
          <w:tcPr>
            <w:tcW w:w="1077" w:type="dxa"/>
            <w:tcBorders>
              <w:top w:val="nil"/>
              <w:bottom w:val="single" w:sz="4" w:space="0" w:color="auto"/>
            </w:tcBorders>
            <w:noWrap/>
          </w:tcPr>
          <w:p w:rsidR="004F3B22" w:rsidRPr="001C0FB6" w:rsidRDefault="004F3B22" w:rsidP="0026009D">
            <w:pPr>
              <w:pStyle w:val="TableText"/>
            </w:pPr>
            <w:r w:rsidRPr="001C0FB6">
              <w:t>Low</w:t>
            </w:r>
          </w:p>
        </w:tc>
        <w:tc>
          <w:tcPr>
            <w:tcW w:w="953" w:type="dxa"/>
            <w:tcBorders>
              <w:top w:val="nil"/>
              <w:bottom w:val="single" w:sz="4" w:space="0" w:color="auto"/>
            </w:tcBorders>
            <w:noWrap/>
          </w:tcPr>
          <w:p w:rsidR="004F3B22" w:rsidRPr="001C0FB6" w:rsidRDefault="004F3B22" w:rsidP="0026009D">
            <w:pPr>
              <w:pStyle w:val="TableText"/>
            </w:pPr>
            <w:r w:rsidRPr="001C0FB6">
              <w:t>42170</w:t>
            </w:r>
          </w:p>
        </w:tc>
        <w:tc>
          <w:tcPr>
            <w:tcW w:w="4918" w:type="dxa"/>
            <w:tcBorders>
              <w:top w:val="nil"/>
              <w:bottom w:val="single" w:sz="4" w:space="0" w:color="auto"/>
            </w:tcBorders>
            <w:noWrap/>
          </w:tcPr>
          <w:p w:rsidR="004F3B22" w:rsidRPr="001C0FB6" w:rsidRDefault="004F3B22" w:rsidP="0026009D">
            <w:pPr>
              <w:pStyle w:val="TableText"/>
            </w:pPr>
            <w:r w:rsidRPr="001C0FB6">
              <w:t>Northwest Workforce Investment Board</w:t>
            </w:r>
          </w:p>
        </w:tc>
      </w:tr>
      <w:tr w:rsidR="004F3B22" w:rsidRPr="005271DB" w:rsidTr="00BF77D2">
        <w:tc>
          <w:tcPr>
            <w:tcW w:w="846" w:type="dxa"/>
            <w:gridSpan w:val="2"/>
            <w:tcBorders>
              <w:top w:val="single" w:sz="4" w:space="0" w:color="auto"/>
            </w:tcBorders>
            <w:noWrap/>
          </w:tcPr>
          <w:p w:rsidR="004F3B22" w:rsidRPr="001C0FB6" w:rsidRDefault="004F3B22" w:rsidP="0026009D">
            <w:pPr>
              <w:pStyle w:val="TableText"/>
            </w:pPr>
            <w:r w:rsidRPr="001C0FB6">
              <w:t>3</w:t>
            </w:r>
          </w:p>
        </w:tc>
        <w:tc>
          <w:tcPr>
            <w:tcW w:w="882" w:type="dxa"/>
            <w:tcBorders>
              <w:top w:val="single" w:sz="4" w:space="0" w:color="auto"/>
            </w:tcBorders>
            <w:noWrap/>
          </w:tcPr>
          <w:p w:rsidR="004F3B22" w:rsidRPr="001C0FB6" w:rsidRDefault="004F3B22" w:rsidP="0026009D">
            <w:pPr>
              <w:pStyle w:val="TableText"/>
            </w:pPr>
            <w:r w:rsidRPr="001C0FB6">
              <w:t>FL</w:t>
            </w:r>
          </w:p>
        </w:tc>
        <w:tc>
          <w:tcPr>
            <w:tcW w:w="807" w:type="dxa"/>
            <w:tcBorders>
              <w:top w:val="single" w:sz="4" w:space="0" w:color="auto"/>
            </w:tcBorders>
            <w:noWrap/>
          </w:tcPr>
          <w:p w:rsidR="004F3B22" w:rsidRPr="001C0FB6" w:rsidRDefault="004F3B22" w:rsidP="0026009D">
            <w:pPr>
              <w:pStyle w:val="TableText"/>
            </w:pPr>
            <w:r w:rsidRPr="001C0FB6">
              <w:t>Large</w:t>
            </w:r>
          </w:p>
        </w:tc>
        <w:tc>
          <w:tcPr>
            <w:tcW w:w="1077" w:type="dxa"/>
            <w:tcBorders>
              <w:top w:val="single" w:sz="4" w:space="0" w:color="auto"/>
            </w:tcBorders>
            <w:noWrap/>
          </w:tcPr>
          <w:p w:rsidR="004F3B22" w:rsidRPr="001C0FB6" w:rsidRDefault="004F3B22" w:rsidP="0026009D">
            <w:pPr>
              <w:pStyle w:val="TableText"/>
            </w:pPr>
            <w:r w:rsidRPr="001C0FB6">
              <w:t>High</w:t>
            </w:r>
          </w:p>
        </w:tc>
        <w:tc>
          <w:tcPr>
            <w:tcW w:w="953" w:type="dxa"/>
            <w:tcBorders>
              <w:top w:val="single" w:sz="4" w:space="0" w:color="auto"/>
            </w:tcBorders>
            <w:noWrap/>
          </w:tcPr>
          <w:p w:rsidR="004F3B22" w:rsidRPr="001C0FB6" w:rsidRDefault="004F3B22" w:rsidP="0026009D">
            <w:pPr>
              <w:pStyle w:val="TableText"/>
            </w:pPr>
            <w:r w:rsidRPr="001C0FB6">
              <w:t>12170</w:t>
            </w:r>
          </w:p>
        </w:tc>
        <w:tc>
          <w:tcPr>
            <w:tcW w:w="4918" w:type="dxa"/>
            <w:tcBorders>
              <w:top w:val="single" w:sz="4" w:space="0" w:color="auto"/>
            </w:tcBorders>
            <w:noWrap/>
          </w:tcPr>
          <w:p w:rsidR="004F3B22" w:rsidRPr="001C0FB6" w:rsidRDefault="004F3B22" w:rsidP="0026009D">
            <w:pPr>
              <w:pStyle w:val="TableText"/>
            </w:pPr>
            <w:r w:rsidRPr="001C0FB6">
              <w:t>Region 8, First Coast Workforce Investment Board</w:t>
            </w:r>
          </w:p>
        </w:tc>
      </w:tr>
      <w:tr w:rsidR="004F3B22" w:rsidRPr="005271DB" w:rsidTr="00BF77D2">
        <w:tc>
          <w:tcPr>
            <w:tcW w:w="846" w:type="dxa"/>
            <w:gridSpan w:val="2"/>
            <w:noWrap/>
          </w:tcPr>
          <w:p w:rsidR="004F3B22" w:rsidRPr="001C0FB6" w:rsidRDefault="004F3B22" w:rsidP="0026009D">
            <w:pPr>
              <w:pStyle w:val="TableText"/>
            </w:pPr>
            <w:r w:rsidRPr="001C0FB6">
              <w:t>3</w:t>
            </w:r>
          </w:p>
        </w:tc>
        <w:tc>
          <w:tcPr>
            <w:tcW w:w="882" w:type="dxa"/>
            <w:noWrap/>
          </w:tcPr>
          <w:p w:rsidR="004F3B22" w:rsidRPr="001C0FB6" w:rsidRDefault="004F3B22" w:rsidP="0026009D">
            <w:pPr>
              <w:pStyle w:val="TableText"/>
            </w:pPr>
            <w:r w:rsidRPr="001C0FB6">
              <w:t>GA</w:t>
            </w:r>
          </w:p>
        </w:tc>
        <w:tc>
          <w:tcPr>
            <w:tcW w:w="807" w:type="dxa"/>
            <w:noWrap/>
          </w:tcPr>
          <w:p w:rsidR="004F3B22" w:rsidRPr="001C0FB6" w:rsidRDefault="004F3B22" w:rsidP="0026009D">
            <w:pPr>
              <w:pStyle w:val="TableText"/>
            </w:pPr>
            <w:r w:rsidRPr="001C0FB6">
              <w:t>Small</w:t>
            </w:r>
          </w:p>
        </w:tc>
        <w:tc>
          <w:tcPr>
            <w:tcW w:w="1077" w:type="dxa"/>
            <w:noWrap/>
          </w:tcPr>
          <w:p w:rsidR="004F3B22" w:rsidRPr="001C0FB6" w:rsidRDefault="004F3B22" w:rsidP="0026009D">
            <w:pPr>
              <w:pStyle w:val="TableText"/>
            </w:pPr>
            <w:r w:rsidRPr="001C0FB6">
              <w:t>High</w:t>
            </w:r>
          </w:p>
        </w:tc>
        <w:tc>
          <w:tcPr>
            <w:tcW w:w="953" w:type="dxa"/>
            <w:noWrap/>
          </w:tcPr>
          <w:p w:rsidR="004F3B22" w:rsidRPr="001C0FB6" w:rsidRDefault="004F3B22" w:rsidP="0026009D">
            <w:pPr>
              <w:pStyle w:val="TableText"/>
            </w:pPr>
            <w:r w:rsidRPr="001C0FB6">
              <w:t>13255</w:t>
            </w:r>
          </w:p>
        </w:tc>
        <w:tc>
          <w:tcPr>
            <w:tcW w:w="4918" w:type="dxa"/>
            <w:noWrap/>
          </w:tcPr>
          <w:p w:rsidR="004F3B22" w:rsidRPr="001C0FB6" w:rsidRDefault="004F3B22" w:rsidP="0026009D">
            <w:pPr>
              <w:pStyle w:val="TableText"/>
            </w:pPr>
            <w:r w:rsidRPr="001C0FB6">
              <w:t>Atlanta Regional (Area 7)</w:t>
            </w:r>
          </w:p>
        </w:tc>
      </w:tr>
      <w:tr w:rsidR="004F3B22" w:rsidRPr="005271DB" w:rsidTr="00BF77D2">
        <w:tc>
          <w:tcPr>
            <w:tcW w:w="846" w:type="dxa"/>
            <w:gridSpan w:val="2"/>
            <w:noWrap/>
          </w:tcPr>
          <w:p w:rsidR="004F3B22" w:rsidRPr="001C0FB6" w:rsidRDefault="004F3B22" w:rsidP="0026009D">
            <w:pPr>
              <w:pStyle w:val="TableText"/>
            </w:pPr>
            <w:r w:rsidRPr="001C0FB6">
              <w:t>3</w:t>
            </w:r>
          </w:p>
        </w:tc>
        <w:tc>
          <w:tcPr>
            <w:tcW w:w="882" w:type="dxa"/>
            <w:noWrap/>
          </w:tcPr>
          <w:p w:rsidR="004F3B22" w:rsidRPr="001C0FB6" w:rsidRDefault="004F3B22" w:rsidP="0026009D">
            <w:pPr>
              <w:pStyle w:val="TableText"/>
            </w:pPr>
            <w:r w:rsidRPr="001C0FB6">
              <w:t>KY</w:t>
            </w:r>
          </w:p>
        </w:tc>
        <w:tc>
          <w:tcPr>
            <w:tcW w:w="807" w:type="dxa"/>
            <w:noWrap/>
          </w:tcPr>
          <w:p w:rsidR="004F3B22" w:rsidRPr="001C0FB6" w:rsidRDefault="004F3B22" w:rsidP="0026009D">
            <w:pPr>
              <w:pStyle w:val="TableText"/>
            </w:pPr>
            <w:r w:rsidRPr="001C0FB6">
              <w:t>Large</w:t>
            </w:r>
          </w:p>
        </w:tc>
        <w:tc>
          <w:tcPr>
            <w:tcW w:w="1077" w:type="dxa"/>
            <w:noWrap/>
          </w:tcPr>
          <w:p w:rsidR="004F3B22" w:rsidRPr="001C0FB6" w:rsidRDefault="004F3B22" w:rsidP="0026009D">
            <w:pPr>
              <w:pStyle w:val="TableText"/>
            </w:pPr>
            <w:r w:rsidRPr="001C0FB6">
              <w:t>Low</w:t>
            </w:r>
          </w:p>
        </w:tc>
        <w:tc>
          <w:tcPr>
            <w:tcW w:w="953" w:type="dxa"/>
            <w:noWrap/>
          </w:tcPr>
          <w:p w:rsidR="004F3B22" w:rsidRPr="001C0FB6" w:rsidRDefault="004F3B22" w:rsidP="0026009D">
            <w:pPr>
              <w:pStyle w:val="TableText"/>
            </w:pPr>
            <w:r w:rsidRPr="001C0FB6">
              <w:t>21065</w:t>
            </w:r>
          </w:p>
        </w:tc>
        <w:tc>
          <w:tcPr>
            <w:tcW w:w="4918" w:type="dxa"/>
            <w:noWrap/>
          </w:tcPr>
          <w:p w:rsidR="004F3B22" w:rsidRPr="001C0FB6" w:rsidRDefault="004F3B22" w:rsidP="0026009D">
            <w:pPr>
              <w:pStyle w:val="TableText"/>
            </w:pPr>
            <w:r w:rsidRPr="001C0FB6">
              <w:t>Kentuckiana Works</w:t>
            </w:r>
          </w:p>
        </w:tc>
      </w:tr>
      <w:tr w:rsidR="004F3B22" w:rsidRPr="005271DB" w:rsidTr="00BF77D2">
        <w:tc>
          <w:tcPr>
            <w:tcW w:w="846" w:type="dxa"/>
            <w:gridSpan w:val="2"/>
            <w:noWrap/>
          </w:tcPr>
          <w:p w:rsidR="004F3B22" w:rsidRPr="001C0FB6" w:rsidRDefault="004F3B22" w:rsidP="0026009D">
            <w:pPr>
              <w:pStyle w:val="TableText"/>
            </w:pPr>
            <w:r w:rsidRPr="001C0FB6">
              <w:t>3</w:t>
            </w:r>
          </w:p>
        </w:tc>
        <w:tc>
          <w:tcPr>
            <w:tcW w:w="882" w:type="dxa"/>
            <w:noWrap/>
          </w:tcPr>
          <w:p w:rsidR="004F3B22" w:rsidRPr="001C0FB6" w:rsidRDefault="004F3B22" w:rsidP="0026009D">
            <w:pPr>
              <w:pStyle w:val="TableText"/>
            </w:pPr>
            <w:r w:rsidRPr="001C0FB6">
              <w:t>MS</w:t>
            </w:r>
          </w:p>
        </w:tc>
        <w:tc>
          <w:tcPr>
            <w:tcW w:w="807" w:type="dxa"/>
            <w:noWrap/>
          </w:tcPr>
          <w:p w:rsidR="004F3B22" w:rsidRPr="001C0FB6" w:rsidRDefault="004F3B22" w:rsidP="0026009D">
            <w:pPr>
              <w:pStyle w:val="TableText"/>
            </w:pPr>
            <w:r w:rsidRPr="001C0FB6">
              <w:t>Large</w:t>
            </w:r>
          </w:p>
        </w:tc>
        <w:tc>
          <w:tcPr>
            <w:tcW w:w="1077" w:type="dxa"/>
            <w:noWrap/>
          </w:tcPr>
          <w:p w:rsidR="004F3B22" w:rsidRPr="001C0FB6" w:rsidRDefault="004F3B22" w:rsidP="0026009D">
            <w:pPr>
              <w:pStyle w:val="TableText"/>
            </w:pPr>
            <w:r w:rsidRPr="001C0FB6">
              <w:t>High</w:t>
            </w:r>
          </w:p>
        </w:tc>
        <w:tc>
          <w:tcPr>
            <w:tcW w:w="953" w:type="dxa"/>
            <w:noWrap/>
          </w:tcPr>
          <w:p w:rsidR="004F3B22" w:rsidRPr="001C0FB6" w:rsidRDefault="004F3B22" w:rsidP="0026009D">
            <w:pPr>
              <w:pStyle w:val="TableText"/>
            </w:pPr>
            <w:r w:rsidRPr="001C0FB6">
              <w:t>28090</w:t>
            </w:r>
          </w:p>
        </w:tc>
        <w:tc>
          <w:tcPr>
            <w:tcW w:w="4918" w:type="dxa"/>
            <w:noWrap/>
          </w:tcPr>
          <w:p w:rsidR="004F3B22" w:rsidRPr="001C0FB6" w:rsidRDefault="004F3B22" w:rsidP="0026009D">
            <w:pPr>
              <w:pStyle w:val="TableText"/>
            </w:pPr>
            <w:r w:rsidRPr="001C0FB6">
              <w:t>Twin Districts Workforce Investment Area</w:t>
            </w:r>
          </w:p>
        </w:tc>
      </w:tr>
      <w:tr w:rsidR="004F3B22" w:rsidRPr="005271DB" w:rsidTr="00BF77D2">
        <w:trPr>
          <w:gridBefore w:val="1"/>
        </w:trPr>
        <w:tc>
          <w:tcPr>
            <w:tcW w:w="846" w:type="dxa"/>
            <w:noWrap/>
          </w:tcPr>
          <w:p w:rsidR="004F3B22" w:rsidRPr="001C0FB6" w:rsidRDefault="004F3B22" w:rsidP="0026009D">
            <w:pPr>
              <w:pStyle w:val="TableText"/>
            </w:pPr>
            <w:r w:rsidRPr="001C0FB6">
              <w:t>3</w:t>
            </w:r>
          </w:p>
        </w:tc>
        <w:tc>
          <w:tcPr>
            <w:tcW w:w="882" w:type="dxa"/>
            <w:noWrap/>
          </w:tcPr>
          <w:p w:rsidR="004F3B22" w:rsidRPr="001C0FB6" w:rsidRDefault="004F3B22" w:rsidP="0026009D">
            <w:pPr>
              <w:pStyle w:val="TableText"/>
            </w:pPr>
            <w:r w:rsidRPr="001C0FB6">
              <w:t>SC</w:t>
            </w:r>
          </w:p>
        </w:tc>
        <w:tc>
          <w:tcPr>
            <w:tcW w:w="807" w:type="dxa"/>
            <w:noWrap/>
          </w:tcPr>
          <w:p w:rsidR="004F3B22" w:rsidRPr="001C0FB6" w:rsidRDefault="004F3B22" w:rsidP="0026009D">
            <w:pPr>
              <w:pStyle w:val="TableText"/>
            </w:pPr>
            <w:r w:rsidRPr="001C0FB6">
              <w:t>Large</w:t>
            </w:r>
          </w:p>
        </w:tc>
        <w:tc>
          <w:tcPr>
            <w:tcW w:w="1077" w:type="dxa"/>
            <w:noWrap/>
          </w:tcPr>
          <w:p w:rsidR="004F3B22" w:rsidRPr="001C0FB6" w:rsidRDefault="004F3B22" w:rsidP="0026009D">
            <w:pPr>
              <w:pStyle w:val="TableText"/>
            </w:pPr>
            <w:r w:rsidRPr="001C0FB6">
              <w:t>Low</w:t>
            </w:r>
          </w:p>
        </w:tc>
        <w:tc>
          <w:tcPr>
            <w:tcW w:w="953" w:type="dxa"/>
            <w:noWrap/>
          </w:tcPr>
          <w:p w:rsidR="004F3B22" w:rsidRPr="001C0FB6" w:rsidRDefault="004F3B22" w:rsidP="0026009D">
            <w:pPr>
              <w:pStyle w:val="TableText"/>
            </w:pPr>
            <w:r w:rsidRPr="001C0FB6">
              <w:t>45050</w:t>
            </w:r>
          </w:p>
        </w:tc>
        <w:tc>
          <w:tcPr>
            <w:tcW w:w="4918" w:type="dxa"/>
            <w:noWrap/>
          </w:tcPr>
          <w:p w:rsidR="004F3B22" w:rsidRPr="001C0FB6" w:rsidRDefault="004F3B22" w:rsidP="0026009D">
            <w:pPr>
              <w:pStyle w:val="TableText"/>
            </w:pPr>
            <w:r w:rsidRPr="001C0FB6">
              <w:t>Lower Savannah Council of Governments</w:t>
            </w:r>
          </w:p>
        </w:tc>
      </w:tr>
      <w:tr w:rsidR="004F3B22" w:rsidRPr="005271DB" w:rsidTr="00BF77D2">
        <w:trPr>
          <w:gridBefore w:val="1"/>
        </w:trPr>
        <w:tc>
          <w:tcPr>
            <w:tcW w:w="846" w:type="dxa"/>
            <w:tcBorders>
              <w:bottom w:val="nil"/>
            </w:tcBorders>
            <w:noWrap/>
          </w:tcPr>
          <w:p w:rsidR="004F3B22" w:rsidRPr="001C0FB6" w:rsidRDefault="004F3B22" w:rsidP="0026009D">
            <w:pPr>
              <w:pStyle w:val="TableText"/>
            </w:pPr>
            <w:r w:rsidRPr="001C0FB6">
              <w:t>3</w:t>
            </w:r>
          </w:p>
        </w:tc>
        <w:tc>
          <w:tcPr>
            <w:tcW w:w="882" w:type="dxa"/>
            <w:tcBorders>
              <w:bottom w:val="nil"/>
            </w:tcBorders>
            <w:noWrap/>
          </w:tcPr>
          <w:p w:rsidR="004F3B22" w:rsidRPr="001C0FB6" w:rsidRDefault="004F3B22" w:rsidP="0026009D">
            <w:pPr>
              <w:pStyle w:val="TableText"/>
            </w:pPr>
            <w:r w:rsidRPr="001C0FB6">
              <w:t>SC</w:t>
            </w:r>
          </w:p>
        </w:tc>
        <w:tc>
          <w:tcPr>
            <w:tcW w:w="807" w:type="dxa"/>
            <w:tcBorders>
              <w:bottom w:val="nil"/>
            </w:tcBorders>
            <w:noWrap/>
          </w:tcPr>
          <w:p w:rsidR="004F3B22" w:rsidRPr="001C0FB6" w:rsidRDefault="004F3B22" w:rsidP="0026009D">
            <w:pPr>
              <w:pStyle w:val="TableText"/>
            </w:pPr>
            <w:r w:rsidRPr="001C0FB6">
              <w:t>Small</w:t>
            </w:r>
          </w:p>
        </w:tc>
        <w:tc>
          <w:tcPr>
            <w:tcW w:w="1077" w:type="dxa"/>
            <w:tcBorders>
              <w:bottom w:val="nil"/>
            </w:tcBorders>
            <w:noWrap/>
          </w:tcPr>
          <w:p w:rsidR="004F3B22" w:rsidRPr="001C0FB6" w:rsidRDefault="004F3B22" w:rsidP="0026009D">
            <w:pPr>
              <w:pStyle w:val="TableText"/>
            </w:pPr>
            <w:r w:rsidRPr="001C0FB6">
              <w:t>High</w:t>
            </w:r>
          </w:p>
        </w:tc>
        <w:tc>
          <w:tcPr>
            <w:tcW w:w="953" w:type="dxa"/>
            <w:tcBorders>
              <w:bottom w:val="nil"/>
            </w:tcBorders>
            <w:noWrap/>
          </w:tcPr>
          <w:p w:rsidR="004F3B22" w:rsidRPr="001C0FB6" w:rsidRDefault="004F3B22" w:rsidP="0026009D">
            <w:pPr>
              <w:pStyle w:val="TableText"/>
            </w:pPr>
            <w:r w:rsidRPr="001C0FB6">
              <w:t>45065</w:t>
            </w:r>
          </w:p>
        </w:tc>
        <w:tc>
          <w:tcPr>
            <w:tcW w:w="4918" w:type="dxa"/>
            <w:tcBorders>
              <w:bottom w:val="nil"/>
            </w:tcBorders>
            <w:noWrap/>
          </w:tcPr>
          <w:p w:rsidR="004F3B22" w:rsidRPr="001C0FB6" w:rsidRDefault="004F3B22" w:rsidP="0026009D">
            <w:pPr>
              <w:pStyle w:val="TableText"/>
            </w:pPr>
            <w:r w:rsidRPr="001C0FB6">
              <w:t>Santee Lynches Regional Council of Governments</w:t>
            </w:r>
          </w:p>
        </w:tc>
      </w:tr>
      <w:tr w:rsidR="004F3B22" w:rsidRPr="005271DB" w:rsidTr="00BF77D2">
        <w:trPr>
          <w:gridBefore w:val="1"/>
        </w:trPr>
        <w:tc>
          <w:tcPr>
            <w:tcW w:w="846" w:type="dxa"/>
            <w:tcBorders>
              <w:top w:val="nil"/>
              <w:bottom w:val="single" w:sz="4" w:space="0" w:color="auto"/>
            </w:tcBorders>
            <w:noWrap/>
          </w:tcPr>
          <w:p w:rsidR="004F3B22" w:rsidRPr="001C0FB6" w:rsidRDefault="004F3B22" w:rsidP="0026009D">
            <w:pPr>
              <w:pStyle w:val="TableText"/>
            </w:pPr>
            <w:r w:rsidRPr="001C0FB6">
              <w:t>3</w:t>
            </w:r>
          </w:p>
        </w:tc>
        <w:tc>
          <w:tcPr>
            <w:tcW w:w="882" w:type="dxa"/>
            <w:tcBorders>
              <w:top w:val="nil"/>
              <w:bottom w:val="single" w:sz="4" w:space="0" w:color="auto"/>
            </w:tcBorders>
            <w:noWrap/>
          </w:tcPr>
          <w:p w:rsidR="004F3B22" w:rsidRPr="001C0FB6" w:rsidRDefault="004F3B22" w:rsidP="0026009D">
            <w:pPr>
              <w:pStyle w:val="TableText"/>
            </w:pPr>
            <w:r w:rsidRPr="001C0FB6">
              <w:t>TN</w:t>
            </w:r>
          </w:p>
        </w:tc>
        <w:tc>
          <w:tcPr>
            <w:tcW w:w="807" w:type="dxa"/>
            <w:tcBorders>
              <w:top w:val="nil"/>
              <w:bottom w:val="single" w:sz="4" w:space="0" w:color="auto"/>
            </w:tcBorders>
            <w:noWrap/>
          </w:tcPr>
          <w:p w:rsidR="004F3B22" w:rsidRPr="001C0FB6" w:rsidRDefault="004F3B22" w:rsidP="0026009D">
            <w:pPr>
              <w:pStyle w:val="TableText"/>
            </w:pPr>
            <w:r w:rsidRPr="001C0FB6">
              <w:t>Large</w:t>
            </w:r>
          </w:p>
        </w:tc>
        <w:tc>
          <w:tcPr>
            <w:tcW w:w="1077" w:type="dxa"/>
            <w:tcBorders>
              <w:top w:val="nil"/>
              <w:bottom w:val="single" w:sz="4" w:space="0" w:color="auto"/>
            </w:tcBorders>
            <w:noWrap/>
          </w:tcPr>
          <w:p w:rsidR="004F3B22" w:rsidRPr="001C0FB6" w:rsidRDefault="004F3B22" w:rsidP="0026009D">
            <w:pPr>
              <w:pStyle w:val="TableText"/>
            </w:pPr>
            <w:r w:rsidRPr="001C0FB6">
              <w:t>High</w:t>
            </w:r>
          </w:p>
        </w:tc>
        <w:tc>
          <w:tcPr>
            <w:tcW w:w="953" w:type="dxa"/>
            <w:tcBorders>
              <w:top w:val="nil"/>
              <w:bottom w:val="single" w:sz="4" w:space="0" w:color="auto"/>
            </w:tcBorders>
            <w:noWrap/>
          </w:tcPr>
          <w:p w:rsidR="004F3B22" w:rsidRPr="001C0FB6" w:rsidRDefault="004F3B22" w:rsidP="0026009D">
            <w:pPr>
              <w:pStyle w:val="TableText"/>
            </w:pPr>
            <w:r w:rsidRPr="001C0FB6">
              <w:t>47085</w:t>
            </w:r>
          </w:p>
        </w:tc>
        <w:tc>
          <w:tcPr>
            <w:tcW w:w="4918" w:type="dxa"/>
            <w:tcBorders>
              <w:top w:val="nil"/>
              <w:bottom w:val="single" w:sz="4" w:space="0" w:color="auto"/>
            </w:tcBorders>
            <w:noWrap/>
          </w:tcPr>
          <w:p w:rsidR="004F3B22" w:rsidRPr="001C0FB6" w:rsidRDefault="004F3B22" w:rsidP="0026009D">
            <w:pPr>
              <w:pStyle w:val="TableText"/>
            </w:pPr>
            <w:r w:rsidRPr="001C0FB6">
              <w:t>East Tennessee Human Resource Agency</w:t>
            </w:r>
          </w:p>
        </w:tc>
      </w:tr>
      <w:tr w:rsidR="004F3B22" w:rsidRPr="005271DB" w:rsidTr="00BF77D2">
        <w:trPr>
          <w:gridBefore w:val="1"/>
        </w:trPr>
        <w:tc>
          <w:tcPr>
            <w:tcW w:w="846" w:type="dxa"/>
            <w:tcBorders>
              <w:top w:val="single" w:sz="4" w:space="0" w:color="auto"/>
            </w:tcBorders>
            <w:noWrap/>
          </w:tcPr>
          <w:p w:rsidR="004F3B22" w:rsidRPr="001C0FB6" w:rsidRDefault="004F3B22" w:rsidP="0026009D">
            <w:pPr>
              <w:pStyle w:val="TableText"/>
            </w:pPr>
            <w:r w:rsidRPr="001C0FB6">
              <w:t>4</w:t>
            </w:r>
          </w:p>
        </w:tc>
        <w:tc>
          <w:tcPr>
            <w:tcW w:w="882" w:type="dxa"/>
            <w:tcBorders>
              <w:top w:val="single" w:sz="4" w:space="0" w:color="auto"/>
            </w:tcBorders>
            <w:noWrap/>
          </w:tcPr>
          <w:p w:rsidR="004F3B22" w:rsidRPr="001C0FB6" w:rsidRDefault="004F3B22" w:rsidP="0026009D">
            <w:pPr>
              <w:pStyle w:val="TableText"/>
            </w:pPr>
            <w:r w:rsidRPr="001C0FB6">
              <w:t>LA</w:t>
            </w:r>
          </w:p>
        </w:tc>
        <w:tc>
          <w:tcPr>
            <w:tcW w:w="807" w:type="dxa"/>
            <w:tcBorders>
              <w:top w:val="single" w:sz="4" w:space="0" w:color="auto"/>
            </w:tcBorders>
            <w:noWrap/>
          </w:tcPr>
          <w:p w:rsidR="004F3B22" w:rsidRPr="001C0FB6" w:rsidRDefault="004F3B22" w:rsidP="0026009D">
            <w:pPr>
              <w:pStyle w:val="TableText"/>
            </w:pPr>
            <w:r w:rsidRPr="001C0FB6">
              <w:t>Small</w:t>
            </w:r>
          </w:p>
        </w:tc>
        <w:tc>
          <w:tcPr>
            <w:tcW w:w="1077" w:type="dxa"/>
            <w:tcBorders>
              <w:top w:val="single" w:sz="4" w:space="0" w:color="auto"/>
            </w:tcBorders>
            <w:noWrap/>
          </w:tcPr>
          <w:p w:rsidR="004F3B22" w:rsidRPr="001C0FB6" w:rsidRDefault="004F3B22" w:rsidP="0026009D">
            <w:pPr>
              <w:pStyle w:val="TableText"/>
            </w:pPr>
            <w:r w:rsidRPr="001C0FB6">
              <w:t>High</w:t>
            </w:r>
          </w:p>
        </w:tc>
        <w:tc>
          <w:tcPr>
            <w:tcW w:w="953" w:type="dxa"/>
            <w:tcBorders>
              <w:top w:val="single" w:sz="4" w:space="0" w:color="auto"/>
            </w:tcBorders>
            <w:noWrap/>
          </w:tcPr>
          <w:p w:rsidR="004F3B22" w:rsidRPr="001C0FB6" w:rsidRDefault="004F3B22" w:rsidP="0026009D">
            <w:pPr>
              <w:pStyle w:val="TableText"/>
            </w:pPr>
            <w:r w:rsidRPr="001C0FB6">
              <w:t>22025</w:t>
            </w:r>
          </w:p>
        </w:tc>
        <w:tc>
          <w:tcPr>
            <w:tcW w:w="4918" w:type="dxa"/>
            <w:tcBorders>
              <w:top w:val="single" w:sz="4" w:space="0" w:color="auto"/>
            </w:tcBorders>
            <w:noWrap/>
          </w:tcPr>
          <w:p w:rsidR="004F3B22" w:rsidRPr="001C0FB6" w:rsidRDefault="004F3B22" w:rsidP="0026009D">
            <w:pPr>
              <w:pStyle w:val="TableText"/>
            </w:pPr>
            <w:r w:rsidRPr="001C0FB6">
              <w:t>Orleans Parish</w:t>
            </w:r>
          </w:p>
        </w:tc>
      </w:tr>
      <w:tr w:rsidR="004F3B22" w:rsidRPr="005271DB" w:rsidTr="00BF77D2">
        <w:trPr>
          <w:gridBefore w:val="1"/>
        </w:trPr>
        <w:tc>
          <w:tcPr>
            <w:tcW w:w="846" w:type="dxa"/>
            <w:noWrap/>
          </w:tcPr>
          <w:p w:rsidR="004F3B22" w:rsidRPr="001C0FB6" w:rsidRDefault="004F3B22" w:rsidP="0026009D">
            <w:pPr>
              <w:pStyle w:val="TableText"/>
            </w:pPr>
            <w:r w:rsidRPr="001C0FB6">
              <w:t>4</w:t>
            </w:r>
          </w:p>
        </w:tc>
        <w:tc>
          <w:tcPr>
            <w:tcW w:w="882" w:type="dxa"/>
            <w:noWrap/>
          </w:tcPr>
          <w:p w:rsidR="004F3B22" w:rsidRPr="001C0FB6" w:rsidRDefault="004F3B22" w:rsidP="0026009D">
            <w:pPr>
              <w:pStyle w:val="TableText"/>
            </w:pPr>
            <w:r w:rsidRPr="001C0FB6">
              <w:t>SD</w:t>
            </w:r>
          </w:p>
        </w:tc>
        <w:tc>
          <w:tcPr>
            <w:tcW w:w="807" w:type="dxa"/>
            <w:noWrap/>
          </w:tcPr>
          <w:p w:rsidR="004F3B22" w:rsidRPr="001C0FB6" w:rsidRDefault="004F3B22" w:rsidP="0026009D">
            <w:pPr>
              <w:pStyle w:val="TableText"/>
            </w:pPr>
            <w:r w:rsidRPr="001C0FB6">
              <w:t>Large</w:t>
            </w:r>
          </w:p>
        </w:tc>
        <w:tc>
          <w:tcPr>
            <w:tcW w:w="1077" w:type="dxa"/>
            <w:noWrap/>
          </w:tcPr>
          <w:p w:rsidR="004F3B22" w:rsidRPr="001C0FB6" w:rsidRDefault="004F3B22" w:rsidP="0026009D">
            <w:pPr>
              <w:pStyle w:val="TableText"/>
            </w:pPr>
            <w:r w:rsidRPr="001C0FB6">
              <w:t>Low</w:t>
            </w:r>
          </w:p>
        </w:tc>
        <w:tc>
          <w:tcPr>
            <w:tcW w:w="953" w:type="dxa"/>
            <w:noWrap/>
          </w:tcPr>
          <w:p w:rsidR="004F3B22" w:rsidRPr="001C0FB6" w:rsidRDefault="004F3B22" w:rsidP="0026009D">
            <w:pPr>
              <w:pStyle w:val="TableText"/>
            </w:pPr>
            <w:r w:rsidRPr="001C0FB6">
              <w:t>46005</w:t>
            </w:r>
          </w:p>
        </w:tc>
        <w:tc>
          <w:tcPr>
            <w:tcW w:w="4918" w:type="dxa"/>
            <w:noWrap/>
          </w:tcPr>
          <w:p w:rsidR="004F3B22" w:rsidRPr="001C0FB6" w:rsidRDefault="004F3B22" w:rsidP="0026009D">
            <w:pPr>
              <w:pStyle w:val="TableText"/>
            </w:pPr>
            <w:r w:rsidRPr="001C0FB6">
              <w:t>South Dakota Consortium</w:t>
            </w:r>
          </w:p>
        </w:tc>
      </w:tr>
      <w:tr w:rsidR="004F3B22" w:rsidRPr="005271DB" w:rsidTr="00BF77D2">
        <w:trPr>
          <w:gridBefore w:val="1"/>
        </w:trPr>
        <w:tc>
          <w:tcPr>
            <w:tcW w:w="846" w:type="dxa"/>
            <w:noWrap/>
          </w:tcPr>
          <w:p w:rsidR="004F3B22" w:rsidRPr="001C0FB6" w:rsidRDefault="004F3B22" w:rsidP="0026009D">
            <w:pPr>
              <w:pStyle w:val="TableText"/>
            </w:pPr>
            <w:r w:rsidRPr="001C0FB6">
              <w:t>4</w:t>
            </w:r>
          </w:p>
        </w:tc>
        <w:tc>
          <w:tcPr>
            <w:tcW w:w="882" w:type="dxa"/>
            <w:noWrap/>
          </w:tcPr>
          <w:p w:rsidR="004F3B22" w:rsidRPr="001C0FB6" w:rsidRDefault="004F3B22" w:rsidP="0026009D">
            <w:pPr>
              <w:pStyle w:val="TableText"/>
            </w:pPr>
            <w:r w:rsidRPr="001C0FB6">
              <w:t>TX</w:t>
            </w:r>
          </w:p>
        </w:tc>
        <w:tc>
          <w:tcPr>
            <w:tcW w:w="807" w:type="dxa"/>
            <w:noWrap/>
          </w:tcPr>
          <w:p w:rsidR="004F3B22" w:rsidRPr="001C0FB6" w:rsidRDefault="004F3B22" w:rsidP="0026009D">
            <w:pPr>
              <w:pStyle w:val="TableText"/>
            </w:pPr>
            <w:r w:rsidRPr="001C0FB6">
              <w:t>Large</w:t>
            </w:r>
          </w:p>
        </w:tc>
        <w:tc>
          <w:tcPr>
            <w:tcW w:w="1077" w:type="dxa"/>
            <w:noWrap/>
          </w:tcPr>
          <w:p w:rsidR="004F3B22" w:rsidRPr="001C0FB6" w:rsidRDefault="004F3B22" w:rsidP="0026009D">
            <w:pPr>
              <w:pStyle w:val="TableText"/>
            </w:pPr>
            <w:r w:rsidRPr="001C0FB6">
              <w:t>Low</w:t>
            </w:r>
          </w:p>
        </w:tc>
        <w:tc>
          <w:tcPr>
            <w:tcW w:w="953" w:type="dxa"/>
            <w:noWrap/>
          </w:tcPr>
          <w:p w:rsidR="004F3B22" w:rsidRPr="001C0FB6" w:rsidRDefault="004F3B22" w:rsidP="0026009D">
            <w:pPr>
              <w:pStyle w:val="TableText"/>
            </w:pPr>
            <w:r w:rsidRPr="001C0FB6">
              <w:t>48260</w:t>
            </w:r>
          </w:p>
        </w:tc>
        <w:tc>
          <w:tcPr>
            <w:tcW w:w="4918" w:type="dxa"/>
            <w:noWrap/>
          </w:tcPr>
          <w:p w:rsidR="004F3B22" w:rsidRPr="001C0FB6" w:rsidRDefault="004F3B22" w:rsidP="0026009D">
            <w:pPr>
              <w:pStyle w:val="TableText"/>
            </w:pPr>
            <w:r w:rsidRPr="001C0FB6">
              <w:t>Gulf Coast Workforce Board-The WorkSource</w:t>
            </w:r>
          </w:p>
        </w:tc>
      </w:tr>
      <w:tr w:rsidR="004F3B22" w:rsidRPr="005271DB" w:rsidTr="00BF77D2">
        <w:trPr>
          <w:gridBefore w:val="1"/>
        </w:trPr>
        <w:tc>
          <w:tcPr>
            <w:tcW w:w="846" w:type="dxa"/>
            <w:tcBorders>
              <w:bottom w:val="nil"/>
            </w:tcBorders>
            <w:noWrap/>
          </w:tcPr>
          <w:p w:rsidR="004F3B22" w:rsidRPr="001C0FB6" w:rsidRDefault="004F3B22" w:rsidP="0026009D">
            <w:pPr>
              <w:pStyle w:val="TableText"/>
            </w:pPr>
            <w:r w:rsidRPr="001C0FB6">
              <w:t>4</w:t>
            </w:r>
          </w:p>
        </w:tc>
        <w:tc>
          <w:tcPr>
            <w:tcW w:w="882" w:type="dxa"/>
            <w:tcBorders>
              <w:bottom w:val="nil"/>
            </w:tcBorders>
            <w:noWrap/>
          </w:tcPr>
          <w:p w:rsidR="004F3B22" w:rsidRPr="001C0FB6" w:rsidRDefault="004F3B22" w:rsidP="0026009D">
            <w:pPr>
              <w:pStyle w:val="TableText"/>
            </w:pPr>
            <w:r w:rsidRPr="001C0FB6">
              <w:t>TX</w:t>
            </w:r>
          </w:p>
        </w:tc>
        <w:tc>
          <w:tcPr>
            <w:tcW w:w="807" w:type="dxa"/>
            <w:tcBorders>
              <w:bottom w:val="nil"/>
            </w:tcBorders>
            <w:noWrap/>
          </w:tcPr>
          <w:p w:rsidR="004F3B22" w:rsidRPr="001C0FB6" w:rsidRDefault="004F3B22" w:rsidP="0026009D">
            <w:pPr>
              <w:pStyle w:val="TableText"/>
            </w:pPr>
            <w:r w:rsidRPr="001C0FB6">
              <w:t>Large</w:t>
            </w:r>
          </w:p>
        </w:tc>
        <w:tc>
          <w:tcPr>
            <w:tcW w:w="1077" w:type="dxa"/>
            <w:tcBorders>
              <w:bottom w:val="nil"/>
            </w:tcBorders>
            <w:noWrap/>
          </w:tcPr>
          <w:p w:rsidR="004F3B22" w:rsidRPr="001C0FB6" w:rsidRDefault="004F3B22" w:rsidP="0026009D">
            <w:pPr>
              <w:pStyle w:val="TableText"/>
            </w:pPr>
            <w:r w:rsidRPr="001C0FB6">
              <w:t>High</w:t>
            </w:r>
          </w:p>
        </w:tc>
        <w:tc>
          <w:tcPr>
            <w:tcW w:w="953" w:type="dxa"/>
            <w:tcBorders>
              <w:bottom w:val="nil"/>
            </w:tcBorders>
            <w:noWrap/>
          </w:tcPr>
          <w:p w:rsidR="004F3B22" w:rsidRPr="001C0FB6" w:rsidRDefault="004F3B22" w:rsidP="0026009D">
            <w:pPr>
              <w:pStyle w:val="TableText"/>
            </w:pPr>
            <w:r w:rsidRPr="001C0FB6">
              <w:t>48235</w:t>
            </w:r>
          </w:p>
        </w:tc>
        <w:tc>
          <w:tcPr>
            <w:tcW w:w="4918" w:type="dxa"/>
            <w:tcBorders>
              <w:bottom w:val="nil"/>
            </w:tcBorders>
            <w:noWrap/>
          </w:tcPr>
          <w:p w:rsidR="004F3B22" w:rsidRPr="001C0FB6" w:rsidRDefault="004F3B22" w:rsidP="0026009D">
            <w:pPr>
              <w:pStyle w:val="TableText"/>
            </w:pPr>
            <w:r w:rsidRPr="001C0FB6">
              <w:t>North Central Texas Workforce Development Board</w:t>
            </w:r>
          </w:p>
        </w:tc>
      </w:tr>
      <w:tr w:rsidR="004F3B22" w:rsidRPr="005271DB" w:rsidTr="005F6DC4">
        <w:trPr>
          <w:gridBefore w:val="1"/>
        </w:trPr>
        <w:tc>
          <w:tcPr>
            <w:tcW w:w="846" w:type="dxa"/>
            <w:tcBorders>
              <w:top w:val="nil"/>
              <w:bottom w:val="single" w:sz="4" w:space="0" w:color="auto"/>
            </w:tcBorders>
            <w:noWrap/>
          </w:tcPr>
          <w:p w:rsidR="004F3B22" w:rsidRPr="001C0FB6" w:rsidRDefault="004F3B22" w:rsidP="0026009D">
            <w:pPr>
              <w:pStyle w:val="TableText"/>
            </w:pPr>
            <w:r w:rsidRPr="001C0FB6">
              <w:t>4</w:t>
            </w:r>
          </w:p>
        </w:tc>
        <w:tc>
          <w:tcPr>
            <w:tcW w:w="882" w:type="dxa"/>
            <w:tcBorders>
              <w:top w:val="nil"/>
              <w:bottom w:val="single" w:sz="4" w:space="0" w:color="auto"/>
            </w:tcBorders>
            <w:noWrap/>
          </w:tcPr>
          <w:p w:rsidR="004F3B22" w:rsidRPr="001C0FB6" w:rsidRDefault="004F3B22" w:rsidP="0026009D">
            <w:pPr>
              <w:pStyle w:val="TableText"/>
            </w:pPr>
            <w:r w:rsidRPr="001C0FB6">
              <w:t>TX</w:t>
            </w:r>
          </w:p>
        </w:tc>
        <w:tc>
          <w:tcPr>
            <w:tcW w:w="807" w:type="dxa"/>
            <w:tcBorders>
              <w:top w:val="nil"/>
              <w:bottom w:val="single" w:sz="4" w:space="0" w:color="auto"/>
            </w:tcBorders>
            <w:noWrap/>
          </w:tcPr>
          <w:p w:rsidR="004F3B22" w:rsidRPr="001C0FB6" w:rsidRDefault="004F3B22" w:rsidP="0026009D">
            <w:pPr>
              <w:pStyle w:val="TableText"/>
            </w:pPr>
            <w:r w:rsidRPr="001C0FB6">
              <w:t>Small</w:t>
            </w:r>
          </w:p>
        </w:tc>
        <w:tc>
          <w:tcPr>
            <w:tcW w:w="1077" w:type="dxa"/>
            <w:tcBorders>
              <w:top w:val="nil"/>
              <w:bottom w:val="single" w:sz="4" w:space="0" w:color="auto"/>
            </w:tcBorders>
            <w:noWrap/>
          </w:tcPr>
          <w:p w:rsidR="004F3B22" w:rsidRPr="001C0FB6" w:rsidRDefault="004F3B22" w:rsidP="0026009D">
            <w:pPr>
              <w:pStyle w:val="TableText"/>
            </w:pPr>
            <w:r w:rsidRPr="001C0FB6">
              <w:t>High</w:t>
            </w:r>
          </w:p>
        </w:tc>
        <w:tc>
          <w:tcPr>
            <w:tcW w:w="953" w:type="dxa"/>
            <w:tcBorders>
              <w:top w:val="nil"/>
              <w:bottom w:val="single" w:sz="4" w:space="0" w:color="auto"/>
            </w:tcBorders>
            <w:noWrap/>
          </w:tcPr>
          <w:p w:rsidR="004F3B22" w:rsidRPr="001C0FB6" w:rsidRDefault="004F3B22" w:rsidP="0026009D">
            <w:pPr>
              <w:pStyle w:val="TableText"/>
            </w:pPr>
            <w:r w:rsidRPr="001C0FB6">
              <w:t>48245</w:t>
            </w:r>
          </w:p>
        </w:tc>
        <w:tc>
          <w:tcPr>
            <w:tcW w:w="4918" w:type="dxa"/>
            <w:tcBorders>
              <w:top w:val="nil"/>
              <w:bottom w:val="single" w:sz="4" w:space="0" w:color="auto"/>
            </w:tcBorders>
            <w:noWrap/>
          </w:tcPr>
          <w:p w:rsidR="004F3B22" w:rsidRPr="001C0FB6" w:rsidRDefault="004F3B22" w:rsidP="0026009D">
            <w:pPr>
              <w:pStyle w:val="TableText"/>
            </w:pPr>
            <w:r w:rsidRPr="001C0FB6">
              <w:t>South Plains Workforce Development Board</w:t>
            </w:r>
          </w:p>
        </w:tc>
      </w:tr>
      <w:tr w:rsidR="004F3B22" w:rsidRPr="005271DB" w:rsidTr="005F6DC4">
        <w:trPr>
          <w:gridBefore w:val="1"/>
        </w:trPr>
        <w:tc>
          <w:tcPr>
            <w:tcW w:w="846" w:type="dxa"/>
            <w:tcBorders>
              <w:top w:val="single" w:sz="4" w:space="0" w:color="auto"/>
              <w:bottom w:val="nil"/>
            </w:tcBorders>
            <w:shd w:val="clear" w:color="auto" w:fill="EEECE1"/>
            <w:noWrap/>
          </w:tcPr>
          <w:p w:rsidR="004F3B22" w:rsidRPr="001C0FB6" w:rsidRDefault="004F3B22" w:rsidP="0026009D">
            <w:pPr>
              <w:pStyle w:val="TableText"/>
            </w:pPr>
            <w:r w:rsidRPr="001C0FB6">
              <w:t>5</w:t>
            </w:r>
          </w:p>
        </w:tc>
        <w:tc>
          <w:tcPr>
            <w:tcW w:w="882" w:type="dxa"/>
            <w:tcBorders>
              <w:top w:val="single" w:sz="4" w:space="0" w:color="auto"/>
              <w:bottom w:val="nil"/>
            </w:tcBorders>
            <w:shd w:val="clear" w:color="auto" w:fill="EEECE1"/>
            <w:noWrap/>
          </w:tcPr>
          <w:p w:rsidR="004F3B22" w:rsidRPr="005F6DC4" w:rsidRDefault="004F3B22" w:rsidP="0026009D">
            <w:pPr>
              <w:pStyle w:val="TableText"/>
            </w:pPr>
            <w:r w:rsidRPr="005F6DC4">
              <w:t>IL</w:t>
            </w:r>
          </w:p>
        </w:tc>
        <w:tc>
          <w:tcPr>
            <w:tcW w:w="807" w:type="dxa"/>
            <w:tcBorders>
              <w:top w:val="single" w:sz="4" w:space="0" w:color="auto"/>
              <w:bottom w:val="nil"/>
            </w:tcBorders>
            <w:shd w:val="clear" w:color="auto" w:fill="EEECE1"/>
            <w:noWrap/>
          </w:tcPr>
          <w:p w:rsidR="004F3B22" w:rsidRPr="001C0FB6" w:rsidRDefault="004F3B22" w:rsidP="0026009D">
            <w:pPr>
              <w:pStyle w:val="TableText"/>
            </w:pPr>
            <w:r w:rsidRPr="001C0FB6">
              <w:t>Small</w:t>
            </w:r>
          </w:p>
        </w:tc>
        <w:tc>
          <w:tcPr>
            <w:tcW w:w="1077" w:type="dxa"/>
            <w:tcBorders>
              <w:top w:val="single" w:sz="4" w:space="0" w:color="auto"/>
              <w:bottom w:val="nil"/>
            </w:tcBorders>
            <w:shd w:val="clear" w:color="auto" w:fill="EEECE1"/>
            <w:noWrap/>
          </w:tcPr>
          <w:p w:rsidR="004F3B22" w:rsidRPr="001C0FB6" w:rsidRDefault="004F3B22" w:rsidP="0026009D">
            <w:pPr>
              <w:pStyle w:val="TableText"/>
            </w:pPr>
            <w:r w:rsidRPr="001C0FB6">
              <w:t>High</w:t>
            </w:r>
          </w:p>
        </w:tc>
        <w:tc>
          <w:tcPr>
            <w:tcW w:w="953" w:type="dxa"/>
            <w:tcBorders>
              <w:top w:val="single" w:sz="4" w:space="0" w:color="auto"/>
              <w:bottom w:val="nil"/>
            </w:tcBorders>
            <w:shd w:val="clear" w:color="auto" w:fill="EEECE1"/>
            <w:noWrap/>
          </w:tcPr>
          <w:p w:rsidR="004F3B22" w:rsidRPr="001C0FB6" w:rsidRDefault="004F3B22" w:rsidP="0026009D">
            <w:pPr>
              <w:pStyle w:val="TableText"/>
            </w:pPr>
            <w:r w:rsidRPr="001C0FB6">
              <w:t>17030</w:t>
            </w:r>
          </w:p>
        </w:tc>
        <w:tc>
          <w:tcPr>
            <w:tcW w:w="4918" w:type="dxa"/>
            <w:tcBorders>
              <w:top w:val="single" w:sz="4" w:space="0" w:color="auto"/>
              <w:bottom w:val="nil"/>
            </w:tcBorders>
            <w:shd w:val="clear" w:color="auto" w:fill="EEECE1"/>
            <w:noWrap/>
          </w:tcPr>
          <w:p w:rsidR="004F3B22" w:rsidRPr="001C0FB6" w:rsidRDefault="004F3B22" w:rsidP="0026009D">
            <w:pPr>
              <w:pStyle w:val="TableText"/>
            </w:pPr>
            <w:r w:rsidRPr="001C0FB6">
              <w:t>Du Page County Workforce Investment Board</w:t>
            </w:r>
          </w:p>
        </w:tc>
      </w:tr>
      <w:tr w:rsidR="004F3B22" w:rsidRPr="005271DB" w:rsidTr="00254531">
        <w:trPr>
          <w:gridBefore w:val="1"/>
        </w:trPr>
        <w:tc>
          <w:tcPr>
            <w:tcW w:w="846" w:type="dxa"/>
            <w:tcBorders>
              <w:top w:val="nil"/>
              <w:bottom w:val="nil"/>
            </w:tcBorders>
            <w:noWrap/>
          </w:tcPr>
          <w:p w:rsidR="004F3B22" w:rsidRPr="001C0FB6" w:rsidRDefault="004F3B22" w:rsidP="0026009D">
            <w:pPr>
              <w:pStyle w:val="TableText"/>
            </w:pPr>
            <w:r w:rsidRPr="001C0FB6">
              <w:t>5</w:t>
            </w:r>
          </w:p>
        </w:tc>
        <w:tc>
          <w:tcPr>
            <w:tcW w:w="882" w:type="dxa"/>
            <w:tcBorders>
              <w:top w:val="nil"/>
              <w:bottom w:val="nil"/>
            </w:tcBorders>
            <w:noWrap/>
          </w:tcPr>
          <w:p w:rsidR="004F3B22" w:rsidRPr="001C0FB6" w:rsidRDefault="004F3B22" w:rsidP="0026009D">
            <w:pPr>
              <w:pStyle w:val="TableText"/>
            </w:pPr>
            <w:r w:rsidRPr="001C0FB6">
              <w:t>IN</w:t>
            </w:r>
          </w:p>
        </w:tc>
        <w:tc>
          <w:tcPr>
            <w:tcW w:w="807" w:type="dxa"/>
            <w:tcBorders>
              <w:top w:val="nil"/>
              <w:bottom w:val="nil"/>
            </w:tcBorders>
            <w:noWrap/>
          </w:tcPr>
          <w:p w:rsidR="004F3B22" w:rsidRPr="001C0FB6" w:rsidRDefault="004F3B22" w:rsidP="0026009D">
            <w:pPr>
              <w:pStyle w:val="TableText"/>
            </w:pPr>
            <w:r w:rsidRPr="001C0FB6">
              <w:t>Large</w:t>
            </w:r>
          </w:p>
        </w:tc>
        <w:tc>
          <w:tcPr>
            <w:tcW w:w="1077" w:type="dxa"/>
            <w:tcBorders>
              <w:top w:val="nil"/>
              <w:bottom w:val="nil"/>
            </w:tcBorders>
            <w:noWrap/>
          </w:tcPr>
          <w:p w:rsidR="004F3B22" w:rsidRPr="001C0FB6" w:rsidRDefault="004F3B22" w:rsidP="0026009D">
            <w:pPr>
              <w:pStyle w:val="TableText"/>
            </w:pPr>
            <w:r w:rsidRPr="001C0FB6">
              <w:t>Low</w:t>
            </w:r>
          </w:p>
        </w:tc>
        <w:tc>
          <w:tcPr>
            <w:tcW w:w="953" w:type="dxa"/>
            <w:tcBorders>
              <w:top w:val="nil"/>
              <w:bottom w:val="nil"/>
            </w:tcBorders>
            <w:noWrap/>
          </w:tcPr>
          <w:p w:rsidR="004F3B22" w:rsidRPr="001C0FB6" w:rsidRDefault="004F3B22" w:rsidP="0026009D">
            <w:pPr>
              <w:pStyle w:val="TableText"/>
            </w:pPr>
            <w:r w:rsidRPr="001C0FB6">
              <w:t>18055</w:t>
            </w:r>
          </w:p>
        </w:tc>
        <w:tc>
          <w:tcPr>
            <w:tcW w:w="4918" w:type="dxa"/>
            <w:tcBorders>
              <w:top w:val="nil"/>
              <w:bottom w:val="nil"/>
            </w:tcBorders>
            <w:noWrap/>
          </w:tcPr>
          <w:p w:rsidR="004F3B22" w:rsidRPr="001C0FB6" w:rsidRDefault="004F3B22" w:rsidP="0026009D">
            <w:pPr>
              <w:pStyle w:val="TableText"/>
            </w:pPr>
            <w:r w:rsidRPr="001C0FB6">
              <w:t>Indianapolis Private Industry Council</w:t>
            </w:r>
          </w:p>
        </w:tc>
      </w:tr>
      <w:tr w:rsidR="004F3B22" w:rsidRPr="005271DB" w:rsidTr="00254531">
        <w:trPr>
          <w:gridBefore w:val="1"/>
        </w:trPr>
        <w:tc>
          <w:tcPr>
            <w:tcW w:w="846" w:type="dxa"/>
            <w:tcBorders>
              <w:top w:val="nil"/>
              <w:bottom w:val="nil"/>
            </w:tcBorders>
            <w:shd w:val="clear" w:color="auto" w:fill="EEECE1"/>
            <w:noWrap/>
          </w:tcPr>
          <w:p w:rsidR="004F3B22" w:rsidRPr="001C0FB6" w:rsidRDefault="004F3B22" w:rsidP="0026009D">
            <w:pPr>
              <w:pStyle w:val="TableText"/>
            </w:pPr>
            <w:r w:rsidRPr="001C0FB6">
              <w:t>5</w:t>
            </w:r>
          </w:p>
        </w:tc>
        <w:tc>
          <w:tcPr>
            <w:tcW w:w="882" w:type="dxa"/>
            <w:tcBorders>
              <w:top w:val="nil"/>
              <w:bottom w:val="nil"/>
            </w:tcBorders>
            <w:shd w:val="clear" w:color="auto" w:fill="EEECE1"/>
            <w:noWrap/>
          </w:tcPr>
          <w:p w:rsidR="004F3B22" w:rsidRPr="001C0FB6" w:rsidRDefault="004F3B22" w:rsidP="0026009D">
            <w:pPr>
              <w:pStyle w:val="TableText"/>
            </w:pPr>
            <w:r w:rsidRPr="005F6DC4">
              <w:t>MI</w:t>
            </w:r>
          </w:p>
        </w:tc>
        <w:tc>
          <w:tcPr>
            <w:tcW w:w="807" w:type="dxa"/>
            <w:tcBorders>
              <w:top w:val="nil"/>
              <w:bottom w:val="nil"/>
            </w:tcBorders>
            <w:shd w:val="clear" w:color="auto" w:fill="EEECE1"/>
            <w:noWrap/>
          </w:tcPr>
          <w:p w:rsidR="004F3B22" w:rsidRPr="001C0FB6" w:rsidRDefault="004F3B22" w:rsidP="0026009D">
            <w:pPr>
              <w:pStyle w:val="TableText"/>
            </w:pPr>
            <w:r w:rsidRPr="001C0FB6">
              <w:t>Large</w:t>
            </w:r>
          </w:p>
        </w:tc>
        <w:tc>
          <w:tcPr>
            <w:tcW w:w="1077" w:type="dxa"/>
            <w:tcBorders>
              <w:top w:val="nil"/>
              <w:bottom w:val="nil"/>
            </w:tcBorders>
            <w:shd w:val="clear" w:color="auto" w:fill="EEECE1"/>
            <w:noWrap/>
          </w:tcPr>
          <w:p w:rsidR="004F3B22" w:rsidRPr="001C0FB6" w:rsidRDefault="004F3B22" w:rsidP="0026009D">
            <w:pPr>
              <w:pStyle w:val="TableText"/>
            </w:pPr>
            <w:r w:rsidRPr="001C0FB6">
              <w:t>High</w:t>
            </w:r>
          </w:p>
        </w:tc>
        <w:tc>
          <w:tcPr>
            <w:tcW w:w="953" w:type="dxa"/>
            <w:tcBorders>
              <w:top w:val="nil"/>
              <w:bottom w:val="nil"/>
            </w:tcBorders>
            <w:shd w:val="clear" w:color="auto" w:fill="EEECE1"/>
            <w:noWrap/>
          </w:tcPr>
          <w:p w:rsidR="004F3B22" w:rsidRPr="001C0FB6" w:rsidRDefault="004F3B22" w:rsidP="0026009D">
            <w:pPr>
              <w:pStyle w:val="TableText"/>
            </w:pPr>
            <w:r w:rsidRPr="001C0FB6">
              <w:t>26120</w:t>
            </w:r>
          </w:p>
        </w:tc>
        <w:tc>
          <w:tcPr>
            <w:tcW w:w="4918" w:type="dxa"/>
            <w:tcBorders>
              <w:top w:val="nil"/>
              <w:bottom w:val="nil"/>
            </w:tcBorders>
            <w:shd w:val="clear" w:color="auto" w:fill="EEECE1"/>
            <w:noWrap/>
          </w:tcPr>
          <w:p w:rsidR="004F3B22" w:rsidRPr="001C0FB6" w:rsidRDefault="004F3B22" w:rsidP="0026009D">
            <w:pPr>
              <w:pStyle w:val="TableText"/>
            </w:pPr>
            <w:r w:rsidRPr="001C0FB6">
              <w:t>Thumb Area Michigan Works!</w:t>
            </w:r>
          </w:p>
        </w:tc>
      </w:tr>
      <w:tr w:rsidR="004F3B22" w:rsidRPr="005271DB" w:rsidTr="005F6DC4">
        <w:trPr>
          <w:gridBefore w:val="1"/>
        </w:trPr>
        <w:tc>
          <w:tcPr>
            <w:tcW w:w="846" w:type="dxa"/>
            <w:tcBorders>
              <w:top w:val="nil"/>
              <w:bottom w:val="nil"/>
            </w:tcBorders>
            <w:noWrap/>
          </w:tcPr>
          <w:p w:rsidR="004F3B22" w:rsidRPr="001C0FB6" w:rsidRDefault="004F3B22" w:rsidP="0026009D">
            <w:pPr>
              <w:pStyle w:val="TableText"/>
            </w:pPr>
            <w:r w:rsidRPr="001C0FB6">
              <w:t>5</w:t>
            </w:r>
          </w:p>
        </w:tc>
        <w:tc>
          <w:tcPr>
            <w:tcW w:w="882" w:type="dxa"/>
            <w:tcBorders>
              <w:top w:val="nil"/>
              <w:bottom w:val="nil"/>
            </w:tcBorders>
            <w:noWrap/>
          </w:tcPr>
          <w:p w:rsidR="004F3B22" w:rsidRPr="001C0FB6" w:rsidRDefault="004F3B22" w:rsidP="0026009D">
            <w:pPr>
              <w:pStyle w:val="TableText"/>
            </w:pPr>
            <w:r w:rsidRPr="001C0FB6">
              <w:t>MI</w:t>
            </w:r>
          </w:p>
        </w:tc>
        <w:tc>
          <w:tcPr>
            <w:tcW w:w="807" w:type="dxa"/>
            <w:tcBorders>
              <w:top w:val="nil"/>
              <w:bottom w:val="nil"/>
            </w:tcBorders>
            <w:noWrap/>
          </w:tcPr>
          <w:p w:rsidR="004F3B22" w:rsidRPr="001C0FB6" w:rsidRDefault="004F3B22" w:rsidP="0026009D">
            <w:pPr>
              <w:pStyle w:val="TableText"/>
            </w:pPr>
            <w:r w:rsidRPr="001C0FB6">
              <w:t>Small</w:t>
            </w:r>
          </w:p>
        </w:tc>
        <w:tc>
          <w:tcPr>
            <w:tcW w:w="1077" w:type="dxa"/>
            <w:tcBorders>
              <w:top w:val="nil"/>
              <w:bottom w:val="nil"/>
            </w:tcBorders>
            <w:noWrap/>
          </w:tcPr>
          <w:p w:rsidR="004F3B22" w:rsidRPr="001C0FB6" w:rsidRDefault="004F3B22" w:rsidP="0026009D">
            <w:pPr>
              <w:pStyle w:val="TableText"/>
            </w:pPr>
            <w:r w:rsidRPr="001C0FB6">
              <w:t>High</w:t>
            </w:r>
          </w:p>
        </w:tc>
        <w:tc>
          <w:tcPr>
            <w:tcW w:w="953" w:type="dxa"/>
            <w:tcBorders>
              <w:top w:val="nil"/>
              <w:bottom w:val="nil"/>
            </w:tcBorders>
            <w:noWrap/>
          </w:tcPr>
          <w:p w:rsidR="004F3B22" w:rsidRPr="001C0FB6" w:rsidRDefault="004F3B22" w:rsidP="0026009D">
            <w:pPr>
              <w:pStyle w:val="TableText"/>
            </w:pPr>
            <w:r w:rsidRPr="001C0FB6">
              <w:t>26055</w:t>
            </w:r>
          </w:p>
        </w:tc>
        <w:tc>
          <w:tcPr>
            <w:tcW w:w="4918" w:type="dxa"/>
            <w:tcBorders>
              <w:top w:val="nil"/>
              <w:bottom w:val="nil"/>
            </w:tcBorders>
            <w:noWrap/>
          </w:tcPr>
          <w:p w:rsidR="004F3B22" w:rsidRPr="001C0FB6" w:rsidRDefault="004F3B22" w:rsidP="0026009D">
            <w:pPr>
              <w:pStyle w:val="TableText"/>
            </w:pPr>
            <w:r w:rsidRPr="001C0FB6">
              <w:t>Muskegon County Department of Employment and Training</w:t>
            </w:r>
          </w:p>
        </w:tc>
      </w:tr>
      <w:tr w:rsidR="004F3B22" w:rsidRPr="005271DB" w:rsidTr="00254531">
        <w:trPr>
          <w:gridBefore w:val="1"/>
        </w:trPr>
        <w:tc>
          <w:tcPr>
            <w:tcW w:w="846" w:type="dxa"/>
            <w:tcBorders>
              <w:top w:val="nil"/>
              <w:bottom w:val="nil"/>
            </w:tcBorders>
            <w:noWrap/>
          </w:tcPr>
          <w:p w:rsidR="004F3B22" w:rsidRPr="001C0FB6" w:rsidRDefault="004F3B22" w:rsidP="0026009D">
            <w:pPr>
              <w:pStyle w:val="TableText"/>
            </w:pPr>
            <w:r w:rsidRPr="001C0FB6">
              <w:t>5</w:t>
            </w:r>
          </w:p>
        </w:tc>
        <w:tc>
          <w:tcPr>
            <w:tcW w:w="882" w:type="dxa"/>
            <w:tcBorders>
              <w:top w:val="nil"/>
              <w:bottom w:val="nil"/>
            </w:tcBorders>
            <w:noWrap/>
          </w:tcPr>
          <w:p w:rsidR="004F3B22" w:rsidRPr="001C0FB6" w:rsidRDefault="004F3B22" w:rsidP="0026009D">
            <w:pPr>
              <w:pStyle w:val="TableText"/>
            </w:pPr>
            <w:r w:rsidRPr="001C0FB6">
              <w:t>MO</w:t>
            </w:r>
          </w:p>
        </w:tc>
        <w:tc>
          <w:tcPr>
            <w:tcW w:w="807" w:type="dxa"/>
            <w:tcBorders>
              <w:top w:val="nil"/>
              <w:bottom w:val="nil"/>
            </w:tcBorders>
            <w:noWrap/>
          </w:tcPr>
          <w:p w:rsidR="004F3B22" w:rsidRPr="001C0FB6" w:rsidRDefault="004F3B22" w:rsidP="0026009D">
            <w:pPr>
              <w:pStyle w:val="TableText"/>
            </w:pPr>
            <w:r w:rsidRPr="001C0FB6">
              <w:t>Small</w:t>
            </w:r>
          </w:p>
        </w:tc>
        <w:tc>
          <w:tcPr>
            <w:tcW w:w="1077" w:type="dxa"/>
            <w:tcBorders>
              <w:top w:val="nil"/>
              <w:bottom w:val="nil"/>
            </w:tcBorders>
            <w:noWrap/>
          </w:tcPr>
          <w:p w:rsidR="004F3B22" w:rsidRPr="001C0FB6" w:rsidRDefault="004F3B22" w:rsidP="0026009D">
            <w:pPr>
              <w:pStyle w:val="TableText"/>
            </w:pPr>
            <w:r w:rsidRPr="001C0FB6">
              <w:t>High</w:t>
            </w:r>
          </w:p>
        </w:tc>
        <w:tc>
          <w:tcPr>
            <w:tcW w:w="953" w:type="dxa"/>
            <w:tcBorders>
              <w:top w:val="nil"/>
              <w:bottom w:val="nil"/>
            </w:tcBorders>
            <w:noWrap/>
          </w:tcPr>
          <w:p w:rsidR="004F3B22" w:rsidRPr="001C0FB6" w:rsidRDefault="004F3B22" w:rsidP="0026009D">
            <w:pPr>
              <w:pStyle w:val="TableText"/>
            </w:pPr>
            <w:r w:rsidRPr="001C0FB6">
              <w:t>29040</w:t>
            </w:r>
          </w:p>
        </w:tc>
        <w:tc>
          <w:tcPr>
            <w:tcW w:w="4918" w:type="dxa"/>
            <w:tcBorders>
              <w:top w:val="nil"/>
              <w:bottom w:val="nil"/>
            </w:tcBorders>
            <w:noWrap/>
          </w:tcPr>
          <w:p w:rsidR="004F3B22" w:rsidRPr="001C0FB6" w:rsidRDefault="004F3B22" w:rsidP="0026009D">
            <w:pPr>
              <w:pStyle w:val="TableText"/>
            </w:pPr>
            <w:r w:rsidRPr="001C0FB6">
              <w:t>Central Region</w:t>
            </w:r>
          </w:p>
        </w:tc>
      </w:tr>
      <w:tr w:rsidR="004F3B22" w:rsidRPr="005271DB" w:rsidTr="00254531">
        <w:trPr>
          <w:gridBefore w:val="1"/>
        </w:trPr>
        <w:tc>
          <w:tcPr>
            <w:tcW w:w="846" w:type="dxa"/>
            <w:tcBorders>
              <w:top w:val="nil"/>
              <w:bottom w:val="nil"/>
            </w:tcBorders>
            <w:shd w:val="clear" w:color="auto" w:fill="EEECE1"/>
            <w:noWrap/>
          </w:tcPr>
          <w:p w:rsidR="004F3B22" w:rsidRPr="001C0FB6" w:rsidRDefault="004F3B22" w:rsidP="0026009D">
            <w:pPr>
              <w:pStyle w:val="TableText"/>
            </w:pPr>
            <w:r w:rsidRPr="001C0FB6">
              <w:t>5</w:t>
            </w:r>
          </w:p>
        </w:tc>
        <w:tc>
          <w:tcPr>
            <w:tcW w:w="882" w:type="dxa"/>
            <w:tcBorders>
              <w:top w:val="nil"/>
              <w:bottom w:val="nil"/>
            </w:tcBorders>
            <w:shd w:val="clear" w:color="auto" w:fill="EEECE1"/>
            <w:noWrap/>
          </w:tcPr>
          <w:p w:rsidR="004F3B22" w:rsidRPr="001C0FB6" w:rsidRDefault="004F3B22" w:rsidP="0026009D">
            <w:pPr>
              <w:pStyle w:val="TableText"/>
            </w:pPr>
            <w:r w:rsidRPr="005F6DC4">
              <w:t>OH</w:t>
            </w:r>
          </w:p>
        </w:tc>
        <w:tc>
          <w:tcPr>
            <w:tcW w:w="807" w:type="dxa"/>
            <w:tcBorders>
              <w:top w:val="nil"/>
              <w:bottom w:val="nil"/>
            </w:tcBorders>
            <w:shd w:val="clear" w:color="auto" w:fill="EEECE1"/>
            <w:noWrap/>
          </w:tcPr>
          <w:p w:rsidR="004F3B22" w:rsidRPr="001C0FB6" w:rsidRDefault="004F3B22" w:rsidP="0026009D">
            <w:pPr>
              <w:pStyle w:val="TableText"/>
            </w:pPr>
            <w:r w:rsidRPr="001C0FB6">
              <w:t>Large</w:t>
            </w:r>
          </w:p>
        </w:tc>
        <w:tc>
          <w:tcPr>
            <w:tcW w:w="1077" w:type="dxa"/>
            <w:tcBorders>
              <w:top w:val="nil"/>
              <w:bottom w:val="nil"/>
            </w:tcBorders>
            <w:shd w:val="clear" w:color="auto" w:fill="EEECE1"/>
            <w:noWrap/>
          </w:tcPr>
          <w:p w:rsidR="004F3B22" w:rsidRPr="001C0FB6" w:rsidRDefault="004F3B22" w:rsidP="0026009D">
            <w:pPr>
              <w:pStyle w:val="TableText"/>
            </w:pPr>
            <w:r w:rsidRPr="001C0FB6">
              <w:t>High</w:t>
            </w:r>
          </w:p>
        </w:tc>
        <w:tc>
          <w:tcPr>
            <w:tcW w:w="953" w:type="dxa"/>
            <w:tcBorders>
              <w:top w:val="nil"/>
              <w:bottom w:val="nil"/>
            </w:tcBorders>
            <w:shd w:val="clear" w:color="auto" w:fill="EEECE1"/>
            <w:noWrap/>
          </w:tcPr>
          <w:p w:rsidR="004F3B22" w:rsidRPr="001C0FB6" w:rsidRDefault="004F3B22" w:rsidP="0026009D">
            <w:pPr>
              <w:pStyle w:val="TableText"/>
            </w:pPr>
            <w:r w:rsidRPr="001C0FB6">
              <w:t>39195</w:t>
            </w:r>
          </w:p>
        </w:tc>
        <w:tc>
          <w:tcPr>
            <w:tcW w:w="4918" w:type="dxa"/>
            <w:tcBorders>
              <w:top w:val="nil"/>
              <w:bottom w:val="nil"/>
            </w:tcBorders>
            <w:shd w:val="clear" w:color="auto" w:fill="EEECE1"/>
            <w:noWrap/>
          </w:tcPr>
          <w:p w:rsidR="004F3B22" w:rsidRPr="001C0FB6" w:rsidRDefault="004F3B22" w:rsidP="0026009D">
            <w:pPr>
              <w:pStyle w:val="TableText"/>
            </w:pPr>
            <w:r w:rsidRPr="001C0FB6">
              <w:t>WIA Area 7</w:t>
            </w:r>
          </w:p>
        </w:tc>
      </w:tr>
      <w:tr w:rsidR="004F3B22" w:rsidRPr="005271DB" w:rsidTr="00BF77D2">
        <w:trPr>
          <w:gridBefore w:val="1"/>
        </w:trPr>
        <w:tc>
          <w:tcPr>
            <w:tcW w:w="846" w:type="dxa"/>
            <w:tcBorders>
              <w:top w:val="nil"/>
              <w:bottom w:val="single" w:sz="4" w:space="0" w:color="auto"/>
            </w:tcBorders>
            <w:noWrap/>
          </w:tcPr>
          <w:p w:rsidR="004F3B22" w:rsidRPr="001C0FB6" w:rsidRDefault="004F3B22" w:rsidP="0026009D">
            <w:pPr>
              <w:pStyle w:val="TableText"/>
            </w:pPr>
            <w:r w:rsidRPr="001C0FB6">
              <w:t>5</w:t>
            </w:r>
          </w:p>
        </w:tc>
        <w:tc>
          <w:tcPr>
            <w:tcW w:w="882" w:type="dxa"/>
            <w:tcBorders>
              <w:top w:val="nil"/>
              <w:bottom w:val="single" w:sz="4" w:space="0" w:color="auto"/>
            </w:tcBorders>
            <w:noWrap/>
          </w:tcPr>
          <w:p w:rsidR="004F3B22" w:rsidRPr="001C0FB6" w:rsidRDefault="004F3B22" w:rsidP="0026009D">
            <w:pPr>
              <w:pStyle w:val="TableText"/>
            </w:pPr>
            <w:r w:rsidRPr="001C0FB6">
              <w:t>WI</w:t>
            </w:r>
          </w:p>
        </w:tc>
        <w:tc>
          <w:tcPr>
            <w:tcW w:w="807" w:type="dxa"/>
            <w:tcBorders>
              <w:top w:val="nil"/>
              <w:bottom w:val="single" w:sz="4" w:space="0" w:color="auto"/>
            </w:tcBorders>
            <w:noWrap/>
          </w:tcPr>
          <w:p w:rsidR="004F3B22" w:rsidRPr="001C0FB6" w:rsidRDefault="004F3B22" w:rsidP="0026009D">
            <w:pPr>
              <w:pStyle w:val="TableText"/>
            </w:pPr>
            <w:r w:rsidRPr="001C0FB6">
              <w:t>Small</w:t>
            </w:r>
          </w:p>
        </w:tc>
        <w:tc>
          <w:tcPr>
            <w:tcW w:w="1077" w:type="dxa"/>
            <w:tcBorders>
              <w:top w:val="nil"/>
              <w:bottom w:val="single" w:sz="4" w:space="0" w:color="auto"/>
            </w:tcBorders>
            <w:noWrap/>
          </w:tcPr>
          <w:p w:rsidR="004F3B22" w:rsidRPr="001C0FB6" w:rsidRDefault="004F3B22" w:rsidP="0026009D">
            <w:pPr>
              <w:pStyle w:val="TableText"/>
            </w:pPr>
            <w:r w:rsidRPr="001C0FB6">
              <w:t>High</w:t>
            </w:r>
          </w:p>
        </w:tc>
        <w:tc>
          <w:tcPr>
            <w:tcW w:w="953" w:type="dxa"/>
            <w:tcBorders>
              <w:top w:val="nil"/>
              <w:bottom w:val="single" w:sz="4" w:space="0" w:color="auto"/>
            </w:tcBorders>
            <w:noWrap/>
          </w:tcPr>
          <w:p w:rsidR="004F3B22" w:rsidRPr="001C0FB6" w:rsidRDefault="004F3B22" w:rsidP="0026009D">
            <w:pPr>
              <w:pStyle w:val="TableText"/>
            </w:pPr>
            <w:r w:rsidRPr="001C0FB6">
              <w:t>55045</w:t>
            </w:r>
          </w:p>
        </w:tc>
        <w:tc>
          <w:tcPr>
            <w:tcW w:w="4918" w:type="dxa"/>
            <w:tcBorders>
              <w:top w:val="nil"/>
              <w:bottom w:val="single" w:sz="4" w:space="0" w:color="auto"/>
            </w:tcBorders>
            <w:noWrap/>
          </w:tcPr>
          <w:p w:rsidR="004F3B22" w:rsidRPr="001C0FB6" w:rsidRDefault="004F3B22" w:rsidP="0026009D">
            <w:pPr>
              <w:pStyle w:val="TableText"/>
            </w:pPr>
            <w:r w:rsidRPr="001C0FB6">
              <w:t>WOW Workforce Development Inc.</w:t>
            </w:r>
          </w:p>
        </w:tc>
      </w:tr>
      <w:tr w:rsidR="004F3B22" w:rsidRPr="005271DB" w:rsidTr="00BF77D2">
        <w:trPr>
          <w:gridBefore w:val="1"/>
        </w:trPr>
        <w:tc>
          <w:tcPr>
            <w:tcW w:w="846" w:type="dxa"/>
            <w:tcBorders>
              <w:top w:val="single" w:sz="4" w:space="0" w:color="auto"/>
            </w:tcBorders>
            <w:noWrap/>
          </w:tcPr>
          <w:p w:rsidR="004F3B22" w:rsidRPr="001C0FB6" w:rsidRDefault="004F3B22" w:rsidP="0026009D">
            <w:pPr>
              <w:pStyle w:val="TableText"/>
            </w:pPr>
            <w:r w:rsidRPr="001C0FB6">
              <w:t>6</w:t>
            </w:r>
          </w:p>
        </w:tc>
        <w:tc>
          <w:tcPr>
            <w:tcW w:w="882" w:type="dxa"/>
            <w:tcBorders>
              <w:top w:val="single" w:sz="4" w:space="0" w:color="auto"/>
            </w:tcBorders>
            <w:noWrap/>
          </w:tcPr>
          <w:p w:rsidR="004F3B22" w:rsidRPr="001C0FB6" w:rsidRDefault="004F3B22" w:rsidP="0026009D">
            <w:pPr>
              <w:pStyle w:val="TableText"/>
            </w:pPr>
            <w:r w:rsidRPr="001C0FB6">
              <w:t>CA</w:t>
            </w:r>
          </w:p>
        </w:tc>
        <w:tc>
          <w:tcPr>
            <w:tcW w:w="807" w:type="dxa"/>
            <w:tcBorders>
              <w:top w:val="single" w:sz="4" w:space="0" w:color="auto"/>
            </w:tcBorders>
            <w:noWrap/>
          </w:tcPr>
          <w:p w:rsidR="004F3B22" w:rsidRPr="001C0FB6" w:rsidRDefault="004F3B22" w:rsidP="0026009D">
            <w:pPr>
              <w:pStyle w:val="TableText"/>
            </w:pPr>
            <w:r w:rsidRPr="001C0FB6">
              <w:t>Large</w:t>
            </w:r>
          </w:p>
        </w:tc>
        <w:tc>
          <w:tcPr>
            <w:tcW w:w="1077" w:type="dxa"/>
            <w:tcBorders>
              <w:top w:val="single" w:sz="4" w:space="0" w:color="auto"/>
            </w:tcBorders>
            <w:noWrap/>
          </w:tcPr>
          <w:p w:rsidR="004F3B22" w:rsidRPr="001C0FB6" w:rsidRDefault="004F3B22" w:rsidP="0026009D">
            <w:pPr>
              <w:pStyle w:val="TableText"/>
            </w:pPr>
            <w:r w:rsidRPr="001C0FB6">
              <w:t>Low</w:t>
            </w:r>
          </w:p>
        </w:tc>
        <w:tc>
          <w:tcPr>
            <w:tcW w:w="953" w:type="dxa"/>
            <w:tcBorders>
              <w:top w:val="single" w:sz="4" w:space="0" w:color="auto"/>
            </w:tcBorders>
            <w:noWrap/>
          </w:tcPr>
          <w:p w:rsidR="004F3B22" w:rsidRPr="001C0FB6" w:rsidRDefault="004F3B22" w:rsidP="0026009D">
            <w:pPr>
              <w:pStyle w:val="TableText"/>
            </w:pPr>
            <w:r w:rsidRPr="001C0FB6">
              <w:t>6160</w:t>
            </w:r>
          </w:p>
        </w:tc>
        <w:tc>
          <w:tcPr>
            <w:tcW w:w="4918" w:type="dxa"/>
            <w:tcBorders>
              <w:top w:val="single" w:sz="4" w:space="0" w:color="auto"/>
            </w:tcBorders>
            <w:noWrap/>
          </w:tcPr>
          <w:p w:rsidR="004F3B22" w:rsidRPr="001C0FB6" w:rsidRDefault="004F3B22" w:rsidP="0026009D">
            <w:pPr>
              <w:pStyle w:val="TableText"/>
            </w:pPr>
            <w:r w:rsidRPr="001C0FB6">
              <w:t>Fresno County Workforce Investment Board</w:t>
            </w:r>
          </w:p>
        </w:tc>
      </w:tr>
      <w:tr w:rsidR="004F3B22" w:rsidRPr="005271DB" w:rsidTr="00254531">
        <w:trPr>
          <w:gridBefore w:val="1"/>
        </w:trPr>
        <w:tc>
          <w:tcPr>
            <w:tcW w:w="846" w:type="dxa"/>
            <w:tcBorders>
              <w:bottom w:val="nil"/>
            </w:tcBorders>
            <w:noWrap/>
          </w:tcPr>
          <w:p w:rsidR="004F3B22" w:rsidRPr="001C0FB6" w:rsidRDefault="004F3B22" w:rsidP="0026009D">
            <w:pPr>
              <w:pStyle w:val="TableText"/>
            </w:pPr>
            <w:r w:rsidRPr="001C0FB6">
              <w:t>6</w:t>
            </w:r>
          </w:p>
        </w:tc>
        <w:tc>
          <w:tcPr>
            <w:tcW w:w="882" w:type="dxa"/>
            <w:tcBorders>
              <w:bottom w:val="nil"/>
            </w:tcBorders>
            <w:noWrap/>
          </w:tcPr>
          <w:p w:rsidR="004F3B22" w:rsidRPr="001C0FB6" w:rsidRDefault="004F3B22" w:rsidP="0026009D">
            <w:pPr>
              <w:pStyle w:val="TableText"/>
            </w:pPr>
            <w:r w:rsidRPr="001C0FB6">
              <w:t>CA</w:t>
            </w:r>
          </w:p>
        </w:tc>
        <w:tc>
          <w:tcPr>
            <w:tcW w:w="807" w:type="dxa"/>
            <w:tcBorders>
              <w:bottom w:val="nil"/>
            </w:tcBorders>
            <w:noWrap/>
          </w:tcPr>
          <w:p w:rsidR="004F3B22" w:rsidRPr="001C0FB6" w:rsidRDefault="004F3B22" w:rsidP="0026009D">
            <w:pPr>
              <w:pStyle w:val="TableText"/>
            </w:pPr>
            <w:r w:rsidRPr="001C0FB6">
              <w:t>Large</w:t>
            </w:r>
          </w:p>
        </w:tc>
        <w:tc>
          <w:tcPr>
            <w:tcW w:w="1077" w:type="dxa"/>
            <w:tcBorders>
              <w:bottom w:val="nil"/>
            </w:tcBorders>
            <w:noWrap/>
          </w:tcPr>
          <w:p w:rsidR="004F3B22" w:rsidRPr="001C0FB6" w:rsidRDefault="004F3B22" w:rsidP="0026009D">
            <w:pPr>
              <w:pStyle w:val="TableText"/>
            </w:pPr>
            <w:r w:rsidRPr="001C0FB6">
              <w:t>High</w:t>
            </w:r>
          </w:p>
        </w:tc>
        <w:tc>
          <w:tcPr>
            <w:tcW w:w="953" w:type="dxa"/>
            <w:tcBorders>
              <w:bottom w:val="nil"/>
            </w:tcBorders>
            <w:noWrap/>
          </w:tcPr>
          <w:p w:rsidR="004F3B22" w:rsidRPr="001C0FB6" w:rsidRDefault="004F3B22" w:rsidP="0026009D">
            <w:pPr>
              <w:pStyle w:val="TableText"/>
            </w:pPr>
            <w:r w:rsidRPr="001C0FB6">
              <w:t>6170</w:t>
            </w:r>
          </w:p>
        </w:tc>
        <w:tc>
          <w:tcPr>
            <w:tcW w:w="4918" w:type="dxa"/>
            <w:tcBorders>
              <w:bottom w:val="nil"/>
            </w:tcBorders>
            <w:noWrap/>
          </w:tcPr>
          <w:p w:rsidR="004F3B22" w:rsidRPr="001C0FB6" w:rsidRDefault="004F3B22" w:rsidP="0026009D">
            <w:pPr>
              <w:pStyle w:val="TableText"/>
            </w:pPr>
            <w:r w:rsidRPr="001C0FB6">
              <w:t>Sacramento Employment &amp; Training Agency</w:t>
            </w:r>
          </w:p>
        </w:tc>
      </w:tr>
      <w:tr w:rsidR="004F3B22" w:rsidRPr="005271DB" w:rsidTr="00254531">
        <w:trPr>
          <w:gridBefore w:val="1"/>
        </w:trPr>
        <w:tc>
          <w:tcPr>
            <w:tcW w:w="846" w:type="dxa"/>
            <w:tcBorders>
              <w:top w:val="nil"/>
              <w:bottom w:val="nil"/>
            </w:tcBorders>
            <w:shd w:val="clear" w:color="auto" w:fill="EEECE1"/>
            <w:noWrap/>
          </w:tcPr>
          <w:p w:rsidR="004F3B22" w:rsidRPr="001C0FB6" w:rsidRDefault="004F3B22" w:rsidP="0026009D">
            <w:pPr>
              <w:pStyle w:val="TableText"/>
            </w:pPr>
            <w:r w:rsidRPr="001C0FB6">
              <w:t>6</w:t>
            </w:r>
          </w:p>
        </w:tc>
        <w:tc>
          <w:tcPr>
            <w:tcW w:w="882" w:type="dxa"/>
            <w:tcBorders>
              <w:top w:val="nil"/>
              <w:bottom w:val="nil"/>
            </w:tcBorders>
            <w:shd w:val="clear" w:color="auto" w:fill="EEECE1"/>
            <w:noWrap/>
          </w:tcPr>
          <w:p w:rsidR="004F3B22" w:rsidRPr="001C0FB6" w:rsidRDefault="004F3B22" w:rsidP="0026009D">
            <w:pPr>
              <w:pStyle w:val="TableText"/>
            </w:pPr>
            <w:r w:rsidRPr="005F6DC4">
              <w:t>NV</w:t>
            </w:r>
          </w:p>
        </w:tc>
        <w:tc>
          <w:tcPr>
            <w:tcW w:w="807" w:type="dxa"/>
            <w:tcBorders>
              <w:top w:val="nil"/>
              <w:bottom w:val="nil"/>
            </w:tcBorders>
            <w:shd w:val="clear" w:color="auto" w:fill="EEECE1"/>
            <w:noWrap/>
          </w:tcPr>
          <w:p w:rsidR="004F3B22" w:rsidRPr="001C0FB6" w:rsidRDefault="004F3B22" w:rsidP="0026009D">
            <w:pPr>
              <w:pStyle w:val="TableText"/>
            </w:pPr>
            <w:r w:rsidRPr="001C0FB6">
              <w:t>Small</w:t>
            </w:r>
          </w:p>
        </w:tc>
        <w:tc>
          <w:tcPr>
            <w:tcW w:w="1077" w:type="dxa"/>
            <w:tcBorders>
              <w:top w:val="nil"/>
              <w:bottom w:val="nil"/>
            </w:tcBorders>
            <w:shd w:val="clear" w:color="auto" w:fill="EEECE1"/>
            <w:noWrap/>
          </w:tcPr>
          <w:p w:rsidR="004F3B22" w:rsidRPr="001C0FB6" w:rsidRDefault="004F3B22" w:rsidP="0026009D">
            <w:pPr>
              <w:pStyle w:val="TableText"/>
            </w:pPr>
            <w:r w:rsidRPr="001C0FB6">
              <w:t>High</w:t>
            </w:r>
          </w:p>
        </w:tc>
        <w:tc>
          <w:tcPr>
            <w:tcW w:w="953" w:type="dxa"/>
            <w:tcBorders>
              <w:top w:val="nil"/>
              <w:bottom w:val="nil"/>
            </w:tcBorders>
            <w:shd w:val="clear" w:color="auto" w:fill="EEECE1"/>
            <w:noWrap/>
          </w:tcPr>
          <w:p w:rsidR="004F3B22" w:rsidRPr="001C0FB6" w:rsidRDefault="004F3B22" w:rsidP="0026009D">
            <w:pPr>
              <w:pStyle w:val="TableText"/>
            </w:pPr>
            <w:r w:rsidRPr="001C0FB6">
              <w:t>32010</w:t>
            </w:r>
          </w:p>
        </w:tc>
        <w:tc>
          <w:tcPr>
            <w:tcW w:w="4918" w:type="dxa"/>
            <w:tcBorders>
              <w:top w:val="nil"/>
              <w:bottom w:val="nil"/>
            </w:tcBorders>
            <w:shd w:val="clear" w:color="auto" w:fill="EEECE1"/>
            <w:noWrap/>
          </w:tcPr>
          <w:p w:rsidR="004F3B22" w:rsidRPr="001C0FB6" w:rsidRDefault="004F3B22" w:rsidP="0026009D">
            <w:pPr>
              <w:pStyle w:val="TableText"/>
            </w:pPr>
            <w:r w:rsidRPr="001C0FB6">
              <w:t>Nevadaworks</w:t>
            </w:r>
          </w:p>
        </w:tc>
      </w:tr>
      <w:tr w:rsidR="004F3B22" w:rsidRPr="005271DB" w:rsidTr="00254531">
        <w:trPr>
          <w:gridBefore w:val="1"/>
        </w:trPr>
        <w:tc>
          <w:tcPr>
            <w:tcW w:w="846" w:type="dxa"/>
            <w:tcBorders>
              <w:top w:val="nil"/>
              <w:bottom w:val="single" w:sz="4" w:space="0" w:color="auto"/>
            </w:tcBorders>
            <w:noWrap/>
          </w:tcPr>
          <w:p w:rsidR="004F3B22" w:rsidRPr="001C0FB6" w:rsidRDefault="004F3B22" w:rsidP="0026009D">
            <w:pPr>
              <w:pStyle w:val="TableText"/>
            </w:pPr>
            <w:r w:rsidRPr="001C0FB6">
              <w:t>6</w:t>
            </w:r>
          </w:p>
        </w:tc>
        <w:tc>
          <w:tcPr>
            <w:tcW w:w="882" w:type="dxa"/>
            <w:tcBorders>
              <w:top w:val="nil"/>
              <w:bottom w:val="single" w:sz="4" w:space="0" w:color="auto"/>
            </w:tcBorders>
            <w:noWrap/>
          </w:tcPr>
          <w:p w:rsidR="004F3B22" w:rsidRPr="001C0FB6" w:rsidRDefault="004F3B22" w:rsidP="0026009D">
            <w:pPr>
              <w:pStyle w:val="TableText"/>
            </w:pPr>
            <w:r w:rsidRPr="001C0FB6">
              <w:t>WA</w:t>
            </w:r>
          </w:p>
        </w:tc>
        <w:tc>
          <w:tcPr>
            <w:tcW w:w="807" w:type="dxa"/>
            <w:tcBorders>
              <w:top w:val="nil"/>
              <w:bottom w:val="single" w:sz="4" w:space="0" w:color="auto"/>
            </w:tcBorders>
            <w:noWrap/>
          </w:tcPr>
          <w:p w:rsidR="004F3B22" w:rsidRPr="001C0FB6" w:rsidRDefault="004F3B22" w:rsidP="0026009D">
            <w:pPr>
              <w:pStyle w:val="TableText"/>
            </w:pPr>
            <w:r w:rsidRPr="001C0FB6">
              <w:t>Large</w:t>
            </w:r>
          </w:p>
        </w:tc>
        <w:tc>
          <w:tcPr>
            <w:tcW w:w="1077" w:type="dxa"/>
            <w:tcBorders>
              <w:top w:val="nil"/>
              <w:bottom w:val="single" w:sz="4" w:space="0" w:color="auto"/>
            </w:tcBorders>
            <w:noWrap/>
          </w:tcPr>
          <w:p w:rsidR="004F3B22" w:rsidRPr="001C0FB6" w:rsidRDefault="004F3B22" w:rsidP="0026009D">
            <w:pPr>
              <w:pStyle w:val="TableText"/>
            </w:pPr>
            <w:r w:rsidRPr="001C0FB6">
              <w:t>High</w:t>
            </w:r>
          </w:p>
        </w:tc>
        <w:tc>
          <w:tcPr>
            <w:tcW w:w="953" w:type="dxa"/>
            <w:tcBorders>
              <w:top w:val="nil"/>
              <w:bottom w:val="single" w:sz="4" w:space="0" w:color="auto"/>
            </w:tcBorders>
            <w:noWrap/>
          </w:tcPr>
          <w:p w:rsidR="004F3B22" w:rsidRPr="001C0FB6" w:rsidRDefault="004F3B22" w:rsidP="0026009D">
            <w:pPr>
              <w:pStyle w:val="TableText"/>
            </w:pPr>
            <w:r w:rsidRPr="001C0FB6">
              <w:t>53025</w:t>
            </w:r>
          </w:p>
        </w:tc>
        <w:tc>
          <w:tcPr>
            <w:tcW w:w="4918" w:type="dxa"/>
            <w:tcBorders>
              <w:top w:val="nil"/>
              <w:bottom w:val="single" w:sz="4" w:space="0" w:color="auto"/>
            </w:tcBorders>
            <w:noWrap/>
          </w:tcPr>
          <w:p w:rsidR="004F3B22" w:rsidRPr="001C0FB6" w:rsidRDefault="004F3B22" w:rsidP="0026009D">
            <w:pPr>
              <w:pStyle w:val="TableText"/>
            </w:pPr>
            <w:r w:rsidRPr="001C0FB6">
              <w:t>Workforce Development Council of Seattle-King County</w:t>
            </w:r>
          </w:p>
        </w:tc>
      </w:tr>
    </w:tbl>
    <w:p w:rsidR="004F3B22" w:rsidRDefault="004F3B22" w:rsidP="00A6161D">
      <w:pPr>
        <w:pStyle w:val="TableSourceCaption"/>
        <w:spacing w:before="120"/>
      </w:pPr>
      <w:r w:rsidRPr="001C0FB6">
        <w:t xml:space="preserve">Note: </w:t>
      </w:r>
      <w:r>
        <w:tab/>
      </w:r>
      <w:r w:rsidRPr="001C0FB6">
        <w:t>“Small” sites are those with fewer than 600 customers annually, and “large” sites are those with 600 or more annually. “High” and “Low” training rate categorization is based on whether the site</w:t>
      </w:r>
      <w:r>
        <w:t>’</w:t>
      </w:r>
      <w:r w:rsidRPr="001C0FB6">
        <w:t>s training rate is greater or less than 50 percent.</w:t>
      </w:r>
    </w:p>
    <w:p w:rsidR="004F3B22" w:rsidRPr="001C0FB6" w:rsidRDefault="004F3B22" w:rsidP="00A6161D">
      <w:pPr>
        <w:pStyle w:val="TableSourceCaption"/>
        <w:spacing w:before="120"/>
      </w:pPr>
    </w:p>
    <w:p w:rsidR="004F3B22" w:rsidRDefault="004F3B22" w:rsidP="00FF7AE7">
      <w:r w:rsidRPr="00A4678D">
        <w:rPr>
          <w:b/>
        </w:rPr>
        <w:t xml:space="preserve">Accounting for </w:t>
      </w:r>
      <w:r>
        <w:rPr>
          <w:b/>
        </w:rPr>
        <w:t>s</w:t>
      </w:r>
      <w:r w:rsidRPr="00A4678D">
        <w:rPr>
          <w:b/>
        </w:rPr>
        <w:t xml:space="preserve">ites that </w:t>
      </w:r>
      <w:r>
        <w:rPr>
          <w:b/>
        </w:rPr>
        <w:t>c</w:t>
      </w:r>
      <w:r w:rsidRPr="00A4678D">
        <w:rPr>
          <w:b/>
        </w:rPr>
        <w:t>h</w:t>
      </w:r>
      <w:r>
        <w:rPr>
          <w:b/>
        </w:rPr>
        <w:t>o</w:t>
      </w:r>
      <w:r w:rsidRPr="00A4678D">
        <w:rPr>
          <w:b/>
        </w:rPr>
        <w:t xml:space="preserve">ose </w:t>
      </w:r>
      <w:r>
        <w:rPr>
          <w:b/>
        </w:rPr>
        <w:t>n</w:t>
      </w:r>
      <w:r w:rsidRPr="00A4678D">
        <w:rPr>
          <w:b/>
        </w:rPr>
        <w:t xml:space="preserve">ot to </w:t>
      </w:r>
      <w:r>
        <w:rPr>
          <w:b/>
        </w:rPr>
        <w:t>p</w:t>
      </w:r>
      <w:r w:rsidRPr="00A4678D">
        <w:rPr>
          <w:b/>
        </w:rPr>
        <w:t>articipate.</w:t>
      </w:r>
      <w:r>
        <w:t xml:space="preserve"> Because the 28 sites that agreed to participate may differ from the 4 sites that refused to participate in ways that affect the magnitude of the impacts, a potential exists for a bias in the impact estimates. Hence, we will </w:t>
      </w:r>
      <w:r w:rsidRPr="005F6DC4">
        <w:t xml:space="preserve">conduct a comprehensive sensitivity analysis to address potential nonresponse biases on the impact estimates due to the noncooperation </w:t>
      </w:r>
      <w:r>
        <w:t>some</w:t>
      </w:r>
      <w:r w:rsidRPr="005F6DC4">
        <w:t xml:space="preserve"> sites</w:t>
      </w:r>
      <w:r>
        <w:t>.</w:t>
      </w:r>
    </w:p>
    <w:p w:rsidR="004F3B22" w:rsidRPr="005F6DC4" w:rsidRDefault="004F3B22" w:rsidP="000800FE">
      <w:r w:rsidRPr="005F6DC4">
        <w:t xml:space="preserve">We </w:t>
      </w:r>
      <w:r>
        <w:t xml:space="preserve">propose two approaches for dealing with nonresponse. </w:t>
      </w:r>
    </w:p>
    <w:p w:rsidR="004F3B22" w:rsidRDefault="004F3B22" w:rsidP="000B7028">
      <w:r w:rsidRPr="00BA4A0E">
        <w:t xml:space="preserve">Our </w:t>
      </w:r>
      <w:r>
        <w:t>primary</w:t>
      </w:r>
      <w:r w:rsidRPr="00BA4A0E">
        <w:t xml:space="preserve"> approach for assessing the sensitivity of our impact findings to site nonparticipation, calls for the selection of “matched replacement” sites for each of the four sites that refused to participate (referred to as “refuser” sites). As discussed further below, for each refuser site, we selected the most closely matched replacement sites based on the stratification variables discusse</w:t>
      </w:r>
      <w:r>
        <w:t xml:space="preserve">d above. </w:t>
      </w:r>
      <w:r w:rsidRPr="00BA4A0E">
        <w:t>Impacts in the replacement sites could differ from those in the initially-selected refuser sites. However, the replacement sites matched well to the refuser sites based on the observable matching data</w:t>
      </w:r>
      <w:r>
        <w:t xml:space="preserve"> (see below)</w:t>
      </w:r>
      <w:r w:rsidRPr="00BA4A0E">
        <w:t>, and thus, form a reasonable alternative approach for “imputing” missing impact data for customers in the refuser sites. This approach also has the potential for increasing the precision of the impact estimates by increasing the number of study sites.</w:t>
      </w:r>
      <w:r>
        <w:t xml:space="preserve"> Finally, </w:t>
      </w:r>
      <w:r w:rsidRPr="00BA4A0E">
        <w:t xml:space="preserve">the inclusion of additional “matched” sites will allow the evaluation to obtain more precise estimates of specific program features, which is an important evaluation objective.  </w:t>
      </w:r>
    </w:p>
    <w:p w:rsidR="004F3B22" w:rsidRPr="00BA4A0E" w:rsidRDefault="004F3B22" w:rsidP="000B7028">
      <w:r>
        <w:t>The secondary approach will be</w:t>
      </w:r>
      <w:r w:rsidRPr="005F6DC4">
        <w:t xml:space="preserve"> to statistically adjust for site nonparticipation</w:t>
      </w:r>
      <w:r>
        <w:t xml:space="preserve"> using information on the characteristics of the 26 sites that agreed to participate and the 4 sites that refused. A</w:t>
      </w:r>
      <w:r w:rsidRPr="005F6DC4">
        <w:t xml:space="preserve">s discussed </w:t>
      </w:r>
      <w:r>
        <w:t xml:space="preserve">in more detail </w:t>
      </w:r>
      <w:r w:rsidRPr="005F6DC4">
        <w:t xml:space="preserve">below in Subsection 2c, </w:t>
      </w:r>
      <w:r>
        <w:t xml:space="preserve">this approach will involve </w:t>
      </w:r>
      <w:r w:rsidRPr="005F6DC4">
        <w:t>adjusting the sample weights for nonresponse using propensity score methods and using multiple imputation methods.</w:t>
      </w:r>
    </w:p>
    <w:p w:rsidR="004F3B22" w:rsidRDefault="004F3B22" w:rsidP="00B75286">
      <w:r w:rsidRPr="00BA4A0E">
        <w:t xml:space="preserve"> </w:t>
      </w:r>
      <w:r w:rsidRPr="00F92306">
        <w:rPr>
          <w:b/>
        </w:rPr>
        <w:t>Selection of Replacement Sites.</w:t>
      </w:r>
      <w:r>
        <w:t xml:space="preserve"> </w:t>
      </w:r>
      <w:r w:rsidRPr="00BA4A0E">
        <w:t xml:space="preserve">Replacement sites were selected to be as similar as possible to the refusing sites using the stratification variables discussed above. To do this, when the sites were selected, ordered lists of five replacement sites were also developed for each site. Replacements were chosen by searching for sites that were of similar size, in the same region, in the same state, and had similar training rates as the originally-selected site. The criteria were prioritized in the order listed. The size of the site was considered the most important feature to match on to ensure sample size targets could be met without drastically changing the rates at which customers were assigned to the restricted services groups. </w:t>
      </w:r>
    </w:p>
    <w:p w:rsidR="004F3B22" w:rsidRDefault="004F3B22" w:rsidP="00665038">
      <w:pPr>
        <w:pStyle w:val="NormalSS"/>
        <w:spacing w:after="0" w:line="480" w:lineRule="auto"/>
      </w:pPr>
      <w:r>
        <w:t xml:space="preserve">Importantly, this selection procedure for the replacement sites is similar in spirit to a simple stratification approach that would have called for the allocation and random selection of replacement sites within strata. Our approach is an extreme form of stratification where replacement sites were matched to original sites using the stratification variables. Under either stratification approach, the inclusion of replacement sites in the analysis sample could yield unbiased estimates to the extent that site nonresponse is independent of impacts within the strata. In this case, it is effectively random whether the original or replacement sites were selected “first.” </w:t>
      </w:r>
    </w:p>
    <w:p w:rsidR="004F3B22" w:rsidRDefault="004F3B22" w:rsidP="00665038">
      <w:pPr>
        <w:pStyle w:val="NormalSS"/>
        <w:spacing w:after="0" w:line="480" w:lineRule="auto"/>
      </w:pPr>
      <w:r>
        <w:t xml:space="preserve">The main advantage of our stratification approach is that it is more likely to yield replacement and original sites that are better balanced on the stratification variables, especially due to small sample sizes. The analogy of our approach in RCT sampling is the use of propensity scoring to first pairwise match sampling units prior to random assignment and then to select one of each pair to the treatment or control group (see, for example, Murray 1998 and Schochet 2008) or to use minimization to achieve balance for treatment assignments within strata (see, for example, Pocock 1983). </w:t>
      </w:r>
    </w:p>
    <w:p w:rsidR="004F3B22" w:rsidRDefault="004F3B22" w:rsidP="00665038">
      <w:pPr>
        <w:pStyle w:val="NormalSS"/>
        <w:spacing w:after="0" w:line="480" w:lineRule="auto"/>
      </w:pPr>
      <w:r>
        <w:t>In essence, our replacement site selection strategy used a “model” that minimized differences between the original and replacement sites using the stratification variables that were available at the time of sampling. The replacement sites were selected at the same time as the original sites due to the considerable amount of uncertainty as to when the original sites would make their participation decisions. Thus, in order to obtain a timely sample, we often contacted replacement sites before the original sites made their final decisions.</w:t>
      </w:r>
    </w:p>
    <w:p w:rsidR="004F3B22" w:rsidRDefault="004F3B22" w:rsidP="00F812FA">
      <w:pPr>
        <w:pStyle w:val="NormalSS"/>
        <w:spacing w:after="0" w:line="480" w:lineRule="auto"/>
      </w:pPr>
      <w:r w:rsidRPr="00F812FA">
        <w:rPr>
          <w:b/>
        </w:rPr>
        <w:t>Recruitment of Replacement Sites.</w:t>
      </w:r>
      <w:r>
        <w:t xml:space="preserve"> </w:t>
      </w:r>
      <w:r w:rsidRPr="00BA4A0E">
        <w:t xml:space="preserve">We </w:t>
      </w:r>
      <w:r>
        <w:t>recruited</w:t>
      </w:r>
      <w:r w:rsidRPr="00BA4A0E">
        <w:t xml:space="preserve"> two replacement sites. The first replacement site for Thumb Area Mic</w:t>
      </w:r>
      <w:r>
        <w:t>higan Works! –</w:t>
      </w:r>
      <w:r w:rsidRPr="00BA4A0E">
        <w:t xml:space="preserve">Southeast Michigan—agreed to participate. We were required to go to the second replacement site for WIA Area 7 in Ohio—–Chicago Workforce Investment Council. The two other sites that declined—DuPage County  and Nevadaworks—declined to participate later in the study and have not yet been replaced. Because of the lateness of their decisions, they </w:t>
      </w:r>
      <w:r>
        <w:t>will</w:t>
      </w:r>
      <w:r w:rsidRPr="00BA4A0E">
        <w:t xml:space="preserve"> not be replaced. </w:t>
      </w:r>
      <w:r>
        <w:t>Table B.3 summarizes our recruitment success.</w:t>
      </w:r>
    </w:p>
    <w:p w:rsidR="004F3B22" w:rsidRDefault="004F3B22" w:rsidP="00CF228E">
      <w:pPr>
        <w:pStyle w:val="NormalSS"/>
        <w:spacing w:after="0"/>
      </w:pPr>
    </w:p>
    <w:p w:rsidR="004F3B22" w:rsidRDefault="004F3B22" w:rsidP="00CF228E">
      <w:pPr>
        <w:pStyle w:val="MarkforTableHeading"/>
        <w:spacing w:after="0"/>
      </w:pPr>
    </w:p>
    <w:p w:rsidR="004F3B22" w:rsidRDefault="004F3B22" w:rsidP="00CF228E">
      <w:pPr>
        <w:pStyle w:val="MarkforTableHeading"/>
        <w:spacing w:after="0"/>
      </w:pPr>
    </w:p>
    <w:p w:rsidR="004F3B22" w:rsidRDefault="004F3B22" w:rsidP="00CF228E">
      <w:pPr>
        <w:pStyle w:val="MarkforTableHeading"/>
        <w:spacing w:after="0"/>
      </w:pPr>
    </w:p>
    <w:p w:rsidR="004F3B22" w:rsidRDefault="004F3B22" w:rsidP="00CF228E">
      <w:pPr>
        <w:pStyle w:val="MarkforTableHeading"/>
        <w:spacing w:after="0"/>
      </w:pPr>
    </w:p>
    <w:p w:rsidR="004F3B22" w:rsidRPr="00CF228E" w:rsidRDefault="004F3B22" w:rsidP="00CF228E"/>
    <w:p w:rsidR="004F3B22" w:rsidRPr="00826CE0" w:rsidRDefault="004F3B22" w:rsidP="00B025BA">
      <w:pPr>
        <w:pStyle w:val="MarkforTableHeading"/>
      </w:pPr>
      <w:r w:rsidRPr="00826CE0">
        <w:t xml:space="preserve">Table B.3. Success at Site Recruitment as of </w:t>
      </w:r>
      <w:r>
        <w:t>June</w:t>
      </w:r>
      <w:r w:rsidRPr="00826CE0">
        <w:t xml:space="preserve"> 2011</w:t>
      </w:r>
    </w:p>
    <w:tbl>
      <w:tblPr>
        <w:tblW w:w="0" w:type="auto"/>
        <w:tblInd w:w="115" w:type="dxa"/>
        <w:tblBorders>
          <w:top w:val="single" w:sz="12" w:space="0" w:color="auto"/>
          <w:bottom w:val="single" w:sz="4" w:space="0" w:color="auto"/>
        </w:tblBorders>
        <w:tblLook w:val="00A0"/>
      </w:tblPr>
      <w:tblGrid>
        <w:gridCol w:w="5157"/>
        <w:gridCol w:w="1141"/>
        <w:gridCol w:w="3163"/>
      </w:tblGrid>
      <w:tr w:rsidR="004F3B22" w:rsidTr="00342479">
        <w:tc>
          <w:tcPr>
            <w:tcW w:w="5157" w:type="dxa"/>
            <w:tcBorders>
              <w:top w:val="single" w:sz="12" w:space="0" w:color="auto"/>
              <w:left w:val="nil"/>
              <w:bottom w:val="single" w:sz="2" w:space="0" w:color="auto"/>
              <w:right w:val="nil"/>
            </w:tcBorders>
            <w:vAlign w:val="bottom"/>
          </w:tcPr>
          <w:p w:rsidR="004F3B22" w:rsidRPr="003A7D66" w:rsidRDefault="004F3B22" w:rsidP="00411CD8">
            <w:pPr>
              <w:pStyle w:val="TableHeaderLeft"/>
            </w:pPr>
            <w:r w:rsidRPr="003A7D66">
              <w:t>Selected to Participate/Agreed to Participate</w:t>
            </w:r>
          </w:p>
        </w:tc>
        <w:tc>
          <w:tcPr>
            <w:tcW w:w="1141" w:type="dxa"/>
            <w:tcBorders>
              <w:top w:val="single" w:sz="12" w:space="0" w:color="auto"/>
              <w:left w:val="nil"/>
              <w:bottom w:val="single" w:sz="2" w:space="0" w:color="auto"/>
              <w:right w:val="nil"/>
            </w:tcBorders>
            <w:vAlign w:val="bottom"/>
          </w:tcPr>
          <w:p w:rsidR="004F3B22" w:rsidRPr="003A7D66" w:rsidRDefault="004F3B22" w:rsidP="00411CD8">
            <w:pPr>
              <w:pStyle w:val="TableHeaderCenter"/>
            </w:pPr>
            <w:r w:rsidRPr="003A7D66">
              <w:t>Number of Sites</w:t>
            </w:r>
          </w:p>
        </w:tc>
        <w:tc>
          <w:tcPr>
            <w:tcW w:w="3163" w:type="dxa"/>
            <w:tcBorders>
              <w:top w:val="single" w:sz="12" w:space="0" w:color="auto"/>
              <w:left w:val="nil"/>
              <w:bottom w:val="single" w:sz="2" w:space="0" w:color="auto"/>
              <w:right w:val="nil"/>
            </w:tcBorders>
            <w:vAlign w:val="bottom"/>
          </w:tcPr>
          <w:p w:rsidR="004F3B22" w:rsidRPr="003A7D66" w:rsidRDefault="004F3B22" w:rsidP="00411CD8">
            <w:pPr>
              <w:pStyle w:val="TableHeaderCenter"/>
            </w:pPr>
            <w:r w:rsidRPr="003A7D66">
              <w:t>Number of Customers Who Receive Intensive Services in 18 Months in Sites</w:t>
            </w:r>
          </w:p>
        </w:tc>
      </w:tr>
      <w:tr w:rsidR="004F3B22" w:rsidTr="00342479">
        <w:tc>
          <w:tcPr>
            <w:tcW w:w="5157" w:type="dxa"/>
            <w:tcBorders>
              <w:bottom w:val="nil"/>
            </w:tcBorders>
          </w:tcPr>
          <w:p w:rsidR="004F3B22" w:rsidRPr="003A7D66" w:rsidRDefault="004F3B22" w:rsidP="00342479">
            <w:pPr>
              <w:pStyle w:val="TableText"/>
              <w:spacing w:before="60" w:after="60"/>
            </w:pPr>
            <w:r w:rsidRPr="003A7D66">
              <w:t>Sites selected originally to participate in the study</w:t>
            </w:r>
          </w:p>
        </w:tc>
        <w:tc>
          <w:tcPr>
            <w:tcW w:w="1141" w:type="dxa"/>
            <w:tcBorders>
              <w:bottom w:val="nil"/>
            </w:tcBorders>
          </w:tcPr>
          <w:p w:rsidR="004F3B22" w:rsidRPr="003A7D66" w:rsidRDefault="004F3B22" w:rsidP="00342479">
            <w:pPr>
              <w:pStyle w:val="TableText"/>
              <w:tabs>
                <w:tab w:val="decimal" w:pos="566"/>
              </w:tabs>
              <w:spacing w:before="60" w:after="60"/>
            </w:pPr>
            <w:r w:rsidRPr="003A7D66">
              <w:t>30</w:t>
            </w:r>
          </w:p>
        </w:tc>
        <w:tc>
          <w:tcPr>
            <w:tcW w:w="3163" w:type="dxa"/>
            <w:tcBorders>
              <w:bottom w:val="nil"/>
            </w:tcBorders>
          </w:tcPr>
          <w:p w:rsidR="004F3B22" w:rsidRPr="003A7D66" w:rsidRDefault="004F3B22" w:rsidP="00342479">
            <w:pPr>
              <w:pStyle w:val="TableText"/>
              <w:tabs>
                <w:tab w:val="decimal" w:pos="1777"/>
              </w:tabs>
              <w:spacing w:before="60" w:after="60"/>
            </w:pPr>
            <w:r w:rsidRPr="003A7D66">
              <w:t>68,130</w:t>
            </w:r>
          </w:p>
        </w:tc>
      </w:tr>
      <w:tr w:rsidR="004F3B22" w:rsidTr="00342479">
        <w:tc>
          <w:tcPr>
            <w:tcW w:w="5157" w:type="dxa"/>
            <w:tcBorders>
              <w:top w:val="nil"/>
              <w:bottom w:val="nil"/>
            </w:tcBorders>
            <w:shd w:val="clear" w:color="auto" w:fill="EEECE1"/>
          </w:tcPr>
          <w:p w:rsidR="004F3B22" w:rsidRPr="003A7D66" w:rsidRDefault="004F3B22" w:rsidP="00342479">
            <w:pPr>
              <w:pStyle w:val="TableText"/>
              <w:spacing w:before="60" w:after="60"/>
            </w:pPr>
            <w:r>
              <w:t xml:space="preserve">    </w:t>
            </w:r>
            <w:r w:rsidRPr="003A7D66">
              <w:t>Agreed to participate</w:t>
            </w:r>
            <w:r w:rsidRPr="00342479">
              <w:rPr>
                <w:vertAlign w:val="superscript"/>
              </w:rPr>
              <w:t>a</w:t>
            </w:r>
          </w:p>
        </w:tc>
        <w:tc>
          <w:tcPr>
            <w:tcW w:w="1141" w:type="dxa"/>
            <w:tcBorders>
              <w:top w:val="nil"/>
              <w:bottom w:val="nil"/>
            </w:tcBorders>
            <w:shd w:val="clear" w:color="auto" w:fill="EEECE1"/>
          </w:tcPr>
          <w:p w:rsidR="004F3B22" w:rsidRPr="003A7D66" w:rsidRDefault="004F3B22" w:rsidP="00342479">
            <w:pPr>
              <w:pStyle w:val="TableText"/>
              <w:tabs>
                <w:tab w:val="decimal" w:pos="566"/>
              </w:tabs>
              <w:spacing w:before="60" w:after="60"/>
            </w:pPr>
            <w:r w:rsidRPr="003A7D66">
              <w:t>26</w:t>
            </w:r>
          </w:p>
        </w:tc>
        <w:tc>
          <w:tcPr>
            <w:tcW w:w="3163" w:type="dxa"/>
            <w:tcBorders>
              <w:top w:val="nil"/>
              <w:bottom w:val="nil"/>
            </w:tcBorders>
            <w:shd w:val="clear" w:color="auto" w:fill="EEECE1"/>
          </w:tcPr>
          <w:p w:rsidR="004F3B22" w:rsidRPr="003A7D66" w:rsidRDefault="004F3B22" w:rsidP="00342479">
            <w:pPr>
              <w:pStyle w:val="TableText"/>
              <w:tabs>
                <w:tab w:val="decimal" w:pos="1777"/>
              </w:tabs>
              <w:spacing w:before="60" w:after="60"/>
            </w:pPr>
            <w:r w:rsidRPr="003A7D66">
              <w:t>60,811</w:t>
            </w:r>
          </w:p>
        </w:tc>
      </w:tr>
      <w:tr w:rsidR="004F3B22" w:rsidTr="00342479">
        <w:tc>
          <w:tcPr>
            <w:tcW w:w="5157" w:type="dxa"/>
            <w:tcBorders>
              <w:top w:val="nil"/>
            </w:tcBorders>
          </w:tcPr>
          <w:p w:rsidR="004F3B22" w:rsidRPr="003A7D66" w:rsidRDefault="004F3B22" w:rsidP="00342479">
            <w:pPr>
              <w:pStyle w:val="TableText"/>
              <w:spacing w:before="60" w:after="60"/>
            </w:pPr>
            <w:r>
              <w:t xml:space="preserve">    </w:t>
            </w:r>
            <w:r w:rsidRPr="003A7D66">
              <w:t>Did not agree to participate</w:t>
            </w:r>
          </w:p>
        </w:tc>
        <w:tc>
          <w:tcPr>
            <w:tcW w:w="1141" w:type="dxa"/>
            <w:tcBorders>
              <w:top w:val="nil"/>
            </w:tcBorders>
          </w:tcPr>
          <w:p w:rsidR="004F3B22" w:rsidRPr="003A7D66" w:rsidRDefault="004F3B22" w:rsidP="00342479">
            <w:pPr>
              <w:pStyle w:val="TableText"/>
              <w:tabs>
                <w:tab w:val="decimal" w:pos="566"/>
              </w:tabs>
              <w:spacing w:before="60" w:after="60"/>
            </w:pPr>
            <w:r w:rsidRPr="003A7D66">
              <w:t>4</w:t>
            </w:r>
          </w:p>
        </w:tc>
        <w:tc>
          <w:tcPr>
            <w:tcW w:w="3163" w:type="dxa"/>
            <w:tcBorders>
              <w:top w:val="nil"/>
            </w:tcBorders>
          </w:tcPr>
          <w:p w:rsidR="004F3B22" w:rsidRPr="003A7D66" w:rsidRDefault="004F3B22" w:rsidP="00342479">
            <w:pPr>
              <w:pStyle w:val="TableText"/>
              <w:tabs>
                <w:tab w:val="decimal" w:pos="1777"/>
              </w:tabs>
              <w:spacing w:before="60" w:after="60"/>
            </w:pPr>
            <w:r w:rsidRPr="003A7D66">
              <w:t>7,319</w:t>
            </w:r>
          </w:p>
        </w:tc>
      </w:tr>
      <w:tr w:rsidR="004F3B22" w:rsidTr="00342479">
        <w:tc>
          <w:tcPr>
            <w:tcW w:w="5157" w:type="dxa"/>
          </w:tcPr>
          <w:p w:rsidR="004F3B22" w:rsidRPr="003A7D66" w:rsidRDefault="004F3B22" w:rsidP="00342479">
            <w:pPr>
              <w:pStyle w:val="TableText"/>
              <w:spacing w:before="60" w:after="60"/>
            </w:pPr>
            <w:r w:rsidRPr="003A7D66">
              <w:t>Replacement sites agreed to participate</w:t>
            </w:r>
            <w:r w:rsidRPr="00342479">
              <w:rPr>
                <w:vertAlign w:val="superscript"/>
              </w:rPr>
              <w:t>b</w:t>
            </w:r>
          </w:p>
        </w:tc>
        <w:tc>
          <w:tcPr>
            <w:tcW w:w="1141" w:type="dxa"/>
          </w:tcPr>
          <w:p w:rsidR="004F3B22" w:rsidRPr="003A7D66" w:rsidRDefault="004F3B22" w:rsidP="00342479">
            <w:pPr>
              <w:pStyle w:val="TableText"/>
              <w:tabs>
                <w:tab w:val="decimal" w:pos="566"/>
              </w:tabs>
              <w:spacing w:before="60" w:after="60"/>
            </w:pPr>
            <w:r w:rsidRPr="003A7D66">
              <w:t>2</w:t>
            </w:r>
          </w:p>
        </w:tc>
        <w:tc>
          <w:tcPr>
            <w:tcW w:w="3163" w:type="dxa"/>
          </w:tcPr>
          <w:p w:rsidR="004F3B22" w:rsidRPr="003A7D66" w:rsidRDefault="004F3B22" w:rsidP="00342479">
            <w:pPr>
              <w:pStyle w:val="TableText"/>
              <w:tabs>
                <w:tab w:val="decimal" w:pos="1777"/>
              </w:tabs>
              <w:spacing w:before="60" w:after="60"/>
            </w:pPr>
            <w:r w:rsidRPr="003A7D66">
              <w:t>4,424</w:t>
            </w:r>
          </w:p>
        </w:tc>
      </w:tr>
      <w:tr w:rsidR="004F3B22" w:rsidTr="00342479">
        <w:tc>
          <w:tcPr>
            <w:tcW w:w="5157" w:type="dxa"/>
          </w:tcPr>
          <w:p w:rsidR="004F3B22" w:rsidRPr="003A7D66" w:rsidRDefault="004F3B22" w:rsidP="00342479">
            <w:pPr>
              <w:pStyle w:val="TableText"/>
              <w:spacing w:before="60" w:after="60"/>
            </w:pPr>
            <w:r w:rsidRPr="003A7D66">
              <w:t>Replacement site did not agree to participate</w:t>
            </w:r>
            <w:r w:rsidRPr="00342479">
              <w:rPr>
                <w:vertAlign w:val="superscript"/>
              </w:rPr>
              <w:t>b</w:t>
            </w:r>
          </w:p>
        </w:tc>
        <w:tc>
          <w:tcPr>
            <w:tcW w:w="1141" w:type="dxa"/>
          </w:tcPr>
          <w:p w:rsidR="004F3B22" w:rsidRPr="003A7D66" w:rsidRDefault="004F3B22" w:rsidP="00342479">
            <w:pPr>
              <w:pStyle w:val="TableText"/>
              <w:tabs>
                <w:tab w:val="decimal" w:pos="566"/>
              </w:tabs>
              <w:spacing w:before="60" w:after="60"/>
            </w:pPr>
            <w:r w:rsidRPr="003A7D66">
              <w:t>1</w:t>
            </w:r>
          </w:p>
        </w:tc>
        <w:tc>
          <w:tcPr>
            <w:tcW w:w="3163" w:type="dxa"/>
          </w:tcPr>
          <w:p w:rsidR="004F3B22" w:rsidRPr="003A7D66" w:rsidRDefault="004F3B22" w:rsidP="00342479">
            <w:pPr>
              <w:pStyle w:val="TableText"/>
              <w:tabs>
                <w:tab w:val="decimal" w:pos="1777"/>
              </w:tabs>
              <w:spacing w:before="60" w:after="60"/>
            </w:pPr>
            <w:r w:rsidRPr="003A7D66">
              <w:t>8,937</w:t>
            </w:r>
          </w:p>
        </w:tc>
      </w:tr>
      <w:tr w:rsidR="004F3B22" w:rsidTr="00342479">
        <w:tc>
          <w:tcPr>
            <w:tcW w:w="5157" w:type="dxa"/>
            <w:tcBorders>
              <w:bottom w:val="single" w:sz="4" w:space="0" w:color="auto"/>
            </w:tcBorders>
          </w:tcPr>
          <w:p w:rsidR="004F3B22" w:rsidRPr="003A7D66" w:rsidRDefault="004F3B22" w:rsidP="00342479">
            <w:pPr>
              <w:pStyle w:val="TableText"/>
              <w:spacing w:before="60" w:after="60"/>
            </w:pPr>
            <w:r w:rsidRPr="003A7D66">
              <w:t>All sites that agreed to participate in the study</w:t>
            </w:r>
          </w:p>
        </w:tc>
        <w:tc>
          <w:tcPr>
            <w:tcW w:w="1141" w:type="dxa"/>
            <w:tcBorders>
              <w:bottom w:val="single" w:sz="4" w:space="0" w:color="auto"/>
            </w:tcBorders>
          </w:tcPr>
          <w:p w:rsidR="004F3B22" w:rsidRPr="003A7D66" w:rsidRDefault="004F3B22" w:rsidP="00342479">
            <w:pPr>
              <w:pStyle w:val="TableText"/>
              <w:tabs>
                <w:tab w:val="decimal" w:pos="566"/>
              </w:tabs>
              <w:spacing w:before="60" w:after="60"/>
            </w:pPr>
            <w:r w:rsidRPr="003A7D66">
              <w:t>28</w:t>
            </w:r>
          </w:p>
        </w:tc>
        <w:tc>
          <w:tcPr>
            <w:tcW w:w="3163" w:type="dxa"/>
            <w:tcBorders>
              <w:bottom w:val="single" w:sz="4" w:space="0" w:color="auto"/>
            </w:tcBorders>
          </w:tcPr>
          <w:p w:rsidR="004F3B22" w:rsidRPr="003A7D66" w:rsidRDefault="004F3B22" w:rsidP="00342479">
            <w:pPr>
              <w:pStyle w:val="TableText"/>
              <w:tabs>
                <w:tab w:val="decimal" w:pos="1777"/>
              </w:tabs>
              <w:spacing w:before="60" w:after="60"/>
            </w:pPr>
            <w:r w:rsidRPr="003A7D66">
              <w:t>65,235</w:t>
            </w:r>
          </w:p>
        </w:tc>
      </w:tr>
    </w:tbl>
    <w:p w:rsidR="004F3B22" w:rsidRDefault="004F3B22" w:rsidP="00B025BA">
      <w:pPr>
        <w:pStyle w:val="TableFootnoteCaption"/>
        <w:spacing w:before="120"/>
        <w:rPr>
          <w:vertAlign w:val="superscript"/>
        </w:rPr>
      </w:pPr>
      <w:r w:rsidRPr="004E01E1">
        <w:rPr>
          <w:vertAlign w:val="superscript"/>
        </w:rPr>
        <w:t>a</w:t>
      </w:r>
      <w:r>
        <w:rPr>
          <w:vertAlign w:val="superscript"/>
        </w:rPr>
        <w:t xml:space="preserve">  </w:t>
      </w:r>
      <w:r w:rsidRPr="00787A77">
        <w:rPr>
          <w:szCs w:val="18"/>
        </w:rPr>
        <w:t>The primary analysis sample</w:t>
      </w:r>
    </w:p>
    <w:p w:rsidR="004F3B22" w:rsidRDefault="004F3B22" w:rsidP="00B025BA">
      <w:pPr>
        <w:pStyle w:val="TableFootnoteCaption"/>
        <w:spacing w:before="120"/>
      </w:pPr>
      <w:r w:rsidRPr="00787A77">
        <w:rPr>
          <w:vertAlign w:val="superscript"/>
        </w:rPr>
        <w:t>b</w:t>
      </w:r>
      <w:r>
        <w:t>The second replacement site was used to replace one site that refused.</w:t>
      </w:r>
    </w:p>
    <w:p w:rsidR="004F3B22" w:rsidRDefault="004F3B22" w:rsidP="00CF228E">
      <w:pPr>
        <w:pStyle w:val="NormalSS"/>
        <w:spacing w:after="0"/>
      </w:pPr>
    </w:p>
    <w:p w:rsidR="004F3B22" w:rsidRDefault="004F3B22" w:rsidP="00F5463A">
      <w:pPr>
        <w:pStyle w:val="NormalSS"/>
        <w:spacing w:after="0" w:line="480" w:lineRule="auto"/>
      </w:pPr>
      <w:r>
        <w:t xml:space="preserve">Our primary analysis will include 28 sites—the 26 sites that were originally selected and have agreed to participate in the evaluation and the 2 replacement sites. An important reason for including the two replacement sites in the study is that </w:t>
      </w:r>
      <w:r w:rsidRPr="00D5543D">
        <w:rPr>
          <w:i/>
        </w:rPr>
        <w:t>3 of the 4 refuser sites were from the Midwest Region</w:t>
      </w:r>
      <w:r>
        <w:t xml:space="preserve">; only 4 of the 7 original sites in this region remain in the 26-site sample. Standard nonresponse adjustments could be applied to adjust for this serious underrepresentation of the WIA population in the large Midwest Region (for example, by giving larger weights to the 4 sites in this region that are in the 26-site sample). However, another approach to adjust for this potential site-level nonresponse is to include in the sensitivity analysis the two replacement sites that are both in the Midwest Region.  </w:t>
      </w:r>
    </w:p>
    <w:p w:rsidR="004F3B22" w:rsidRDefault="004F3B22" w:rsidP="00665038">
      <w:pPr>
        <w:pStyle w:val="NormalSS"/>
        <w:spacing w:after="0" w:line="480" w:lineRule="auto"/>
      </w:pPr>
      <w:r w:rsidRPr="00284366">
        <w:t>Table</w:t>
      </w:r>
      <w:r>
        <w:t xml:space="preserve"> B.4 compares the characteristics of the original 26-site samples with the 30- and 28-site samples using the stratification variables used for sampling. The two replacement sites are from the same Midwest region as the two noncooperating sites and one is in the same state as the site it is replacing. The replacement sites are of similar size to the attrited sites (about 3,000 customers). The training rate is somewhat lower in the replacement sites than their two matched original sites, however, because a lower priority was placed on the training rate in the matching than on the region and size variables. It is interesting, however, that the training rate in the two replacement sites are similar to the overall training rate in the 30- and 26-state samples.    </w:t>
      </w:r>
    </w:p>
    <w:p w:rsidR="004F3B22" w:rsidRPr="00AE1D05" w:rsidRDefault="004F3B22" w:rsidP="00F02B3B">
      <w:pPr>
        <w:pStyle w:val="TableHeaderLeft"/>
        <w:rPr>
          <w:b/>
          <w:sz w:val="20"/>
          <w:szCs w:val="20"/>
        </w:rPr>
      </w:pPr>
      <w:r w:rsidRPr="00AE1D05">
        <w:rPr>
          <w:b/>
          <w:sz w:val="20"/>
          <w:szCs w:val="20"/>
        </w:rPr>
        <w:t xml:space="preserve">Table </w:t>
      </w:r>
      <w:r>
        <w:rPr>
          <w:b/>
          <w:sz w:val="20"/>
          <w:szCs w:val="20"/>
        </w:rPr>
        <w:t>B.4</w:t>
      </w:r>
      <w:r w:rsidRPr="00AE1D05">
        <w:rPr>
          <w:b/>
          <w:sz w:val="20"/>
          <w:szCs w:val="20"/>
        </w:rPr>
        <w:t xml:space="preserve">. </w:t>
      </w:r>
      <w:r>
        <w:rPr>
          <w:b/>
          <w:sz w:val="20"/>
          <w:szCs w:val="20"/>
        </w:rPr>
        <w:t xml:space="preserve">Stratum </w:t>
      </w:r>
      <w:r w:rsidRPr="00AE1D05">
        <w:rPr>
          <w:b/>
          <w:sz w:val="20"/>
          <w:szCs w:val="20"/>
        </w:rPr>
        <w:t>Characteristics of Sites in Different Samples</w:t>
      </w:r>
      <w:r>
        <w:rPr>
          <w:b/>
          <w:sz w:val="20"/>
          <w:szCs w:val="20"/>
        </w:rPr>
        <w:t xml:space="preserve"> </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077"/>
        <w:gridCol w:w="1164"/>
        <w:gridCol w:w="1296"/>
        <w:gridCol w:w="1033"/>
        <w:gridCol w:w="1088"/>
        <w:gridCol w:w="1459"/>
        <w:gridCol w:w="1459"/>
      </w:tblGrid>
      <w:tr w:rsidR="004F3B22" w:rsidTr="00342479">
        <w:tc>
          <w:tcPr>
            <w:tcW w:w="2219" w:type="dxa"/>
            <w:tcBorders>
              <w:right w:val="nil"/>
            </w:tcBorders>
          </w:tcPr>
          <w:p w:rsidR="004F3B22" w:rsidRPr="00342479" w:rsidRDefault="004F3B22" w:rsidP="00F97053">
            <w:pPr>
              <w:pStyle w:val="TableText"/>
              <w:rPr>
                <w:sz w:val="20"/>
                <w:szCs w:val="20"/>
              </w:rPr>
            </w:pPr>
          </w:p>
          <w:p w:rsidR="004F3B22" w:rsidRPr="00342479" w:rsidRDefault="004F3B22" w:rsidP="00F97053">
            <w:pPr>
              <w:pStyle w:val="TableText"/>
              <w:rPr>
                <w:sz w:val="20"/>
                <w:szCs w:val="20"/>
              </w:rPr>
            </w:pPr>
          </w:p>
          <w:p w:rsidR="004F3B22" w:rsidRPr="00342479" w:rsidRDefault="004F3B22" w:rsidP="00F97053">
            <w:pPr>
              <w:pStyle w:val="TableText"/>
              <w:rPr>
                <w:sz w:val="20"/>
                <w:szCs w:val="20"/>
              </w:rPr>
            </w:pPr>
            <w:r w:rsidRPr="00342479">
              <w:rPr>
                <w:sz w:val="20"/>
                <w:szCs w:val="20"/>
              </w:rPr>
              <w:t>Characteristic</w:t>
            </w:r>
          </w:p>
        </w:tc>
        <w:tc>
          <w:tcPr>
            <w:tcW w:w="1211" w:type="dxa"/>
            <w:tcBorders>
              <w:left w:val="nil"/>
              <w:right w:val="nil"/>
            </w:tcBorders>
          </w:tcPr>
          <w:p w:rsidR="004F3B22" w:rsidRPr="00342479" w:rsidRDefault="004F3B22" w:rsidP="00342479">
            <w:pPr>
              <w:pStyle w:val="TableText"/>
              <w:jc w:val="center"/>
              <w:rPr>
                <w:sz w:val="20"/>
                <w:szCs w:val="20"/>
              </w:rPr>
            </w:pPr>
          </w:p>
          <w:p w:rsidR="004F3B22" w:rsidRPr="00342479" w:rsidRDefault="004F3B22" w:rsidP="00342479">
            <w:pPr>
              <w:pStyle w:val="TableText"/>
              <w:jc w:val="center"/>
              <w:rPr>
                <w:sz w:val="20"/>
                <w:szCs w:val="20"/>
              </w:rPr>
            </w:pPr>
          </w:p>
          <w:p w:rsidR="004F3B22" w:rsidRPr="00342479" w:rsidRDefault="004F3B22" w:rsidP="00342479">
            <w:pPr>
              <w:pStyle w:val="TableText"/>
              <w:jc w:val="center"/>
              <w:rPr>
                <w:sz w:val="20"/>
                <w:szCs w:val="20"/>
              </w:rPr>
            </w:pPr>
            <w:r w:rsidRPr="00342479">
              <w:rPr>
                <w:sz w:val="20"/>
                <w:szCs w:val="20"/>
              </w:rPr>
              <w:t>Original</w:t>
            </w:r>
          </w:p>
        </w:tc>
        <w:tc>
          <w:tcPr>
            <w:tcW w:w="1369" w:type="dxa"/>
            <w:tcBorders>
              <w:left w:val="nil"/>
              <w:right w:val="nil"/>
            </w:tcBorders>
          </w:tcPr>
          <w:p w:rsidR="004F3B22" w:rsidRPr="00342479" w:rsidRDefault="004F3B22" w:rsidP="00342479">
            <w:pPr>
              <w:pStyle w:val="TableText"/>
              <w:jc w:val="center"/>
              <w:rPr>
                <w:sz w:val="20"/>
                <w:szCs w:val="20"/>
              </w:rPr>
            </w:pPr>
          </w:p>
          <w:p w:rsidR="004F3B22" w:rsidRPr="00342479" w:rsidRDefault="004F3B22" w:rsidP="00342479">
            <w:pPr>
              <w:pStyle w:val="TableText"/>
              <w:jc w:val="center"/>
              <w:rPr>
                <w:sz w:val="20"/>
                <w:szCs w:val="20"/>
              </w:rPr>
            </w:pPr>
            <w:r w:rsidRPr="00342479">
              <w:rPr>
                <w:sz w:val="20"/>
                <w:szCs w:val="20"/>
              </w:rPr>
              <w:t>Post-Attrition</w:t>
            </w:r>
          </w:p>
        </w:tc>
        <w:tc>
          <w:tcPr>
            <w:tcW w:w="1054" w:type="dxa"/>
            <w:tcBorders>
              <w:left w:val="nil"/>
              <w:right w:val="nil"/>
            </w:tcBorders>
          </w:tcPr>
          <w:p w:rsidR="004F3B22" w:rsidRPr="00342479" w:rsidRDefault="004F3B22" w:rsidP="00342479">
            <w:pPr>
              <w:pStyle w:val="TableText"/>
              <w:jc w:val="center"/>
              <w:rPr>
                <w:sz w:val="20"/>
                <w:szCs w:val="20"/>
              </w:rPr>
            </w:pPr>
          </w:p>
          <w:p w:rsidR="004F3B22" w:rsidRPr="00342479" w:rsidRDefault="004F3B22" w:rsidP="00342479">
            <w:pPr>
              <w:pStyle w:val="TableText"/>
              <w:jc w:val="center"/>
              <w:rPr>
                <w:sz w:val="20"/>
                <w:szCs w:val="20"/>
              </w:rPr>
            </w:pPr>
            <w:r w:rsidRPr="00342479">
              <w:rPr>
                <w:sz w:val="20"/>
                <w:szCs w:val="20"/>
              </w:rPr>
              <w:t>Attrited Sites</w:t>
            </w:r>
          </w:p>
        </w:tc>
        <w:tc>
          <w:tcPr>
            <w:tcW w:w="1069" w:type="dxa"/>
            <w:tcBorders>
              <w:left w:val="nil"/>
              <w:right w:val="nil"/>
            </w:tcBorders>
          </w:tcPr>
          <w:p w:rsidR="004F3B22" w:rsidRPr="00342479" w:rsidRDefault="004F3B22" w:rsidP="00342479">
            <w:pPr>
              <w:pStyle w:val="TableText"/>
              <w:jc w:val="center"/>
              <w:rPr>
                <w:sz w:val="20"/>
                <w:szCs w:val="20"/>
              </w:rPr>
            </w:pPr>
          </w:p>
          <w:p w:rsidR="004F3B22" w:rsidRPr="00342479" w:rsidRDefault="004F3B22" w:rsidP="00342479">
            <w:pPr>
              <w:pStyle w:val="TableText"/>
              <w:jc w:val="center"/>
              <w:rPr>
                <w:sz w:val="20"/>
                <w:szCs w:val="20"/>
              </w:rPr>
            </w:pPr>
            <w:r w:rsidRPr="00342479">
              <w:rPr>
                <w:sz w:val="20"/>
                <w:szCs w:val="20"/>
              </w:rPr>
              <w:t>Replaced Sites</w:t>
            </w:r>
          </w:p>
        </w:tc>
        <w:tc>
          <w:tcPr>
            <w:tcW w:w="1327" w:type="dxa"/>
            <w:tcBorders>
              <w:left w:val="nil"/>
              <w:right w:val="nil"/>
            </w:tcBorders>
          </w:tcPr>
          <w:p w:rsidR="004F3B22" w:rsidRPr="00342479" w:rsidRDefault="004F3B22" w:rsidP="00342479">
            <w:pPr>
              <w:pStyle w:val="TableText"/>
              <w:jc w:val="center"/>
              <w:rPr>
                <w:sz w:val="20"/>
                <w:szCs w:val="20"/>
              </w:rPr>
            </w:pPr>
          </w:p>
          <w:p w:rsidR="004F3B22" w:rsidRPr="00342479" w:rsidRDefault="004F3B22" w:rsidP="00342479">
            <w:pPr>
              <w:pStyle w:val="TableText"/>
              <w:jc w:val="center"/>
              <w:rPr>
                <w:sz w:val="20"/>
                <w:szCs w:val="20"/>
              </w:rPr>
            </w:pPr>
            <w:r w:rsidRPr="00342479">
              <w:rPr>
                <w:sz w:val="20"/>
                <w:szCs w:val="20"/>
              </w:rPr>
              <w:t>Replacement Sites</w:t>
            </w:r>
          </w:p>
        </w:tc>
        <w:tc>
          <w:tcPr>
            <w:tcW w:w="1327" w:type="dxa"/>
            <w:tcBorders>
              <w:left w:val="nil"/>
            </w:tcBorders>
          </w:tcPr>
          <w:p w:rsidR="004F3B22" w:rsidRPr="00342479" w:rsidRDefault="004F3B22" w:rsidP="00342479">
            <w:pPr>
              <w:pStyle w:val="TableText"/>
              <w:jc w:val="center"/>
              <w:rPr>
                <w:sz w:val="20"/>
                <w:szCs w:val="20"/>
              </w:rPr>
            </w:pPr>
            <w:r w:rsidRPr="00342479">
              <w:rPr>
                <w:sz w:val="20"/>
                <w:szCs w:val="20"/>
              </w:rPr>
              <w:t>Post-Replacement  Sites</w:t>
            </w:r>
          </w:p>
        </w:tc>
      </w:tr>
      <w:tr w:rsidR="004F3B22" w:rsidTr="00342479">
        <w:tc>
          <w:tcPr>
            <w:tcW w:w="2219" w:type="dxa"/>
            <w:tcBorders>
              <w:bottom w:val="nil"/>
              <w:right w:val="nil"/>
            </w:tcBorders>
          </w:tcPr>
          <w:p w:rsidR="004F3B22" w:rsidRPr="00342479" w:rsidRDefault="004F3B22" w:rsidP="00F97053">
            <w:pPr>
              <w:pStyle w:val="TableText"/>
              <w:rPr>
                <w:sz w:val="20"/>
                <w:szCs w:val="20"/>
              </w:rPr>
            </w:pPr>
            <w:r w:rsidRPr="00342479">
              <w:rPr>
                <w:sz w:val="20"/>
                <w:szCs w:val="20"/>
              </w:rPr>
              <w:t>Number of sites</w:t>
            </w:r>
          </w:p>
        </w:tc>
        <w:tc>
          <w:tcPr>
            <w:tcW w:w="1211" w:type="dxa"/>
            <w:tcBorders>
              <w:left w:val="nil"/>
              <w:bottom w:val="nil"/>
              <w:right w:val="nil"/>
            </w:tcBorders>
          </w:tcPr>
          <w:p w:rsidR="004F3B22" w:rsidRPr="00342479" w:rsidRDefault="004F3B22" w:rsidP="00342479">
            <w:pPr>
              <w:pStyle w:val="TableText"/>
              <w:jc w:val="center"/>
              <w:rPr>
                <w:sz w:val="20"/>
                <w:szCs w:val="20"/>
              </w:rPr>
            </w:pPr>
            <w:r w:rsidRPr="00342479">
              <w:rPr>
                <w:sz w:val="20"/>
                <w:szCs w:val="20"/>
              </w:rPr>
              <w:t>30</w:t>
            </w:r>
          </w:p>
        </w:tc>
        <w:tc>
          <w:tcPr>
            <w:tcW w:w="1369" w:type="dxa"/>
            <w:tcBorders>
              <w:left w:val="nil"/>
              <w:bottom w:val="nil"/>
              <w:right w:val="nil"/>
            </w:tcBorders>
          </w:tcPr>
          <w:p w:rsidR="004F3B22" w:rsidRPr="00342479" w:rsidRDefault="004F3B22" w:rsidP="00342479">
            <w:pPr>
              <w:pStyle w:val="TableText"/>
              <w:jc w:val="center"/>
              <w:rPr>
                <w:sz w:val="20"/>
                <w:szCs w:val="20"/>
              </w:rPr>
            </w:pPr>
            <w:r w:rsidRPr="00342479">
              <w:rPr>
                <w:sz w:val="20"/>
                <w:szCs w:val="20"/>
              </w:rPr>
              <w:t>26</w:t>
            </w:r>
          </w:p>
        </w:tc>
        <w:tc>
          <w:tcPr>
            <w:tcW w:w="1054" w:type="dxa"/>
            <w:tcBorders>
              <w:left w:val="nil"/>
              <w:bottom w:val="nil"/>
              <w:right w:val="nil"/>
            </w:tcBorders>
          </w:tcPr>
          <w:p w:rsidR="004F3B22" w:rsidRPr="00342479" w:rsidRDefault="004F3B22" w:rsidP="00342479">
            <w:pPr>
              <w:pStyle w:val="TableText"/>
              <w:jc w:val="center"/>
              <w:rPr>
                <w:sz w:val="20"/>
                <w:szCs w:val="20"/>
              </w:rPr>
            </w:pPr>
            <w:r w:rsidRPr="00342479">
              <w:rPr>
                <w:sz w:val="20"/>
                <w:szCs w:val="20"/>
              </w:rPr>
              <w:t>4</w:t>
            </w:r>
          </w:p>
        </w:tc>
        <w:tc>
          <w:tcPr>
            <w:tcW w:w="1069" w:type="dxa"/>
            <w:tcBorders>
              <w:left w:val="nil"/>
              <w:bottom w:val="nil"/>
              <w:right w:val="nil"/>
            </w:tcBorders>
          </w:tcPr>
          <w:p w:rsidR="004F3B22" w:rsidRPr="00342479" w:rsidRDefault="004F3B22" w:rsidP="00342479">
            <w:pPr>
              <w:pStyle w:val="TableText"/>
              <w:jc w:val="center"/>
              <w:rPr>
                <w:sz w:val="20"/>
                <w:szCs w:val="20"/>
              </w:rPr>
            </w:pPr>
            <w:r w:rsidRPr="00342479">
              <w:rPr>
                <w:sz w:val="20"/>
                <w:szCs w:val="20"/>
              </w:rPr>
              <w:t>2</w:t>
            </w:r>
          </w:p>
        </w:tc>
        <w:tc>
          <w:tcPr>
            <w:tcW w:w="1327" w:type="dxa"/>
            <w:tcBorders>
              <w:left w:val="nil"/>
              <w:bottom w:val="nil"/>
              <w:right w:val="nil"/>
            </w:tcBorders>
          </w:tcPr>
          <w:p w:rsidR="004F3B22" w:rsidRPr="00342479" w:rsidRDefault="004F3B22" w:rsidP="00342479">
            <w:pPr>
              <w:pStyle w:val="TableText"/>
              <w:jc w:val="center"/>
              <w:rPr>
                <w:sz w:val="20"/>
                <w:szCs w:val="20"/>
              </w:rPr>
            </w:pPr>
            <w:r w:rsidRPr="00342479">
              <w:rPr>
                <w:sz w:val="20"/>
                <w:szCs w:val="20"/>
              </w:rPr>
              <w:t>2</w:t>
            </w:r>
          </w:p>
        </w:tc>
        <w:tc>
          <w:tcPr>
            <w:tcW w:w="1327" w:type="dxa"/>
            <w:tcBorders>
              <w:left w:val="nil"/>
              <w:bottom w:val="nil"/>
            </w:tcBorders>
          </w:tcPr>
          <w:p w:rsidR="004F3B22" w:rsidRPr="00342479" w:rsidRDefault="004F3B22" w:rsidP="00342479">
            <w:pPr>
              <w:pStyle w:val="TableText"/>
              <w:jc w:val="center"/>
              <w:rPr>
                <w:sz w:val="20"/>
                <w:szCs w:val="20"/>
              </w:rPr>
            </w:pPr>
            <w:r w:rsidRPr="00342479">
              <w:rPr>
                <w:sz w:val="20"/>
                <w:szCs w:val="20"/>
              </w:rPr>
              <w:t>28</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Region</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tcBorders>
          </w:tcPr>
          <w:p w:rsidR="004F3B22" w:rsidRPr="00342479" w:rsidRDefault="004F3B22" w:rsidP="00342479">
            <w:pPr>
              <w:pStyle w:val="TableText"/>
              <w:jc w:val="center"/>
              <w:rPr>
                <w:sz w:val="20"/>
                <w:szCs w:val="20"/>
              </w:rPr>
            </w:pP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1</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13.3%</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15.4%</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14.3%</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2</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10.0</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11.5</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10.7</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3</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23.3</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26.9</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25.0</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4</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16.7</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19.2</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17.9</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5 (Midwest)</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23.3</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15.4</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75</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100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100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21.4</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6</w:t>
            </w:r>
          </w:p>
          <w:p w:rsidR="004F3B22" w:rsidRPr="00342479" w:rsidRDefault="004F3B22" w:rsidP="00F97053">
            <w:pPr>
              <w:pStyle w:val="TableText"/>
              <w:rPr>
                <w:sz w:val="20"/>
                <w:szCs w:val="20"/>
              </w:rPr>
            </w:pP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13.3</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11.5</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25</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10.7</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Size Stratum</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tcBorders>
          </w:tcPr>
          <w:p w:rsidR="004F3B22" w:rsidRPr="00342479" w:rsidRDefault="004F3B22" w:rsidP="00342479">
            <w:pPr>
              <w:pStyle w:val="TableText"/>
              <w:jc w:val="center"/>
              <w:rPr>
                <w:sz w:val="20"/>
                <w:szCs w:val="20"/>
              </w:rPr>
            </w:pP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1</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10.0%</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11.5%</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10.7%</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2</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33.3</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30.8</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50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28.6</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3</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26.7</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26.9</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25</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50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50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28.6</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4</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10.0</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11.5</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10.7</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5</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6.7</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7.7</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7.1</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6</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10.0</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7.7</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25</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50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50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10.7</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7</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3.3</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3.8</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0</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3.6</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tcBorders>
          </w:tcPr>
          <w:p w:rsidR="004F3B22" w:rsidRPr="00342479" w:rsidRDefault="004F3B22" w:rsidP="00342479">
            <w:pPr>
              <w:pStyle w:val="TableText"/>
              <w:jc w:val="center"/>
              <w:rPr>
                <w:sz w:val="20"/>
                <w:szCs w:val="20"/>
              </w:rPr>
            </w:pP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r w:rsidRPr="00342479">
              <w:rPr>
                <w:sz w:val="20"/>
                <w:szCs w:val="20"/>
              </w:rPr>
              <w:t>Average number of customers</w:t>
            </w: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2,271</w:t>
            </w: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2,339</w:t>
            </w: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1,830</w:t>
            </w: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2,878</w:t>
            </w: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r w:rsidRPr="00342479">
              <w:rPr>
                <w:sz w:val="20"/>
                <w:szCs w:val="20"/>
              </w:rPr>
              <w:t>3,066</w:t>
            </w:r>
          </w:p>
        </w:tc>
        <w:tc>
          <w:tcPr>
            <w:tcW w:w="1327" w:type="dxa"/>
            <w:tcBorders>
              <w:top w:val="nil"/>
              <w:left w:val="nil"/>
              <w:bottom w:val="nil"/>
            </w:tcBorders>
          </w:tcPr>
          <w:p w:rsidR="004F3B22" w:rsidRPr="00342479" w:rsidRDefault="004F3B22" w:rsidP="00342479">
            <w:pPr>
              <w:pStyle w:val="TableText"/>
              <w:jc w:val="center"/>
              <w:rPr>
                <w:sz w:val="20"/>
                <w:szCs w:val="20"/>
              </w:rPr>
            </w:pPr>
            <w:r w:rsidRPr="00342479">
              <w:rPr>
                <w:sz w:val="20"/>
                <w:szCs w:val="20"/>
              </w:rPr>
              <w:t>2,391</w:t>
            </w:r>
          </w:p>
        </w:tc>
      </w:tr>
      <w:tr w:rsidR="004F3B22" w:rsidTr="00342479">
        <w:tc>
          <w:tcPr>
            <w:tcW w:w="2219" w:type="dxa"/>
            <w:tcBorders>
              <w:top w:val="nil"/>
              <w:bottom w:val="nil"/>
              <w:right w:val="nil"/>
            </w:tcBorders>
          </w:tcPr>
          <w:p w:rsidR="004F3B22" w:rsidRPr="00342479" w:rsidRDefault="004F3B22" w:rsidP="00F97053">
            <w:pPr>
              <w:pStyle w:val="TableText"/>
              <w:rPr>
                <w:sz w:val="20"/>
                <w:szCs w:val="20"/>
              </w:rPr>
            </w:pPr>
          </w:p>
        </w:tc>
        <w:tc>
          <w:tcPr>
            <w:tcW w:w="1211" w:type="dxa"/>
            <w:tcBorders>
              <w:top w:val="nil"/>
              <w:left w:val="nil"/>
              <w:bottom w:val="nil"/>
              <w:right w:val="nil"/>
            </w:tcBorders>
          </w:tcPr>
          <w:p w:rsidR="004F3B22" w:rsidRPr="00342479" w:rsidRDefault="004F3B22" w:rsidP="00342479">
            <w:pPr>
              <w:pStyle w:val="TableText"/>
              <w:jc w:val="center"/>
              <w:rPr>
                <w:sz w:val="20"/>
                <w:szCs w:val="20"/>
              </w:rPr>
            </w:pPr>
          </w:p>
        </w:tc>
        <w:tc>
          <w:tcPr>
            <w:tcW w:w="1369" w:type="dxa"/>
            <w:tcBorders>
              <w:top w:val="nil"/>
              <w:left w:val="nil"/>
              <w:bottom w:val="nil"/>
              <w:right w:val="nil"/>
            </w:tcBorders>
          </w:tcPr>
          <w:p w:rsidR="004F3B22" w:rsidRPr="00342479" w:rsidRDefault="004F3B22" w:rsidP="00342479">
            <w:pPr>
              <w:pStyle w:val="TableText"/>
              <w:jc w:val="center"/>
              <w:rPr>
                <w:sz w:val="20"/>
                <w:szCs w:val="20"/>
              </w:rPr>
            </w:pPr>
          </w:p>
        </w:tc>
        <w:tc>
          <w:tcPr>
            <w:tcW w:w="1054" w:type="dxa"/>
            <w:tcBorders>
              <w:top w:val="nil"/>
              <w:left w:val="nil"/>
              <w:bottom w:val="nil"/>
              <w:right w:val="nil"/>
            </w:tcBorders>
          </w:tcPr>
          <w:p w:rsidR="004F3B22" w:rsidRPr="00342479" w:rsidRDefault="004F3B22" w:rsidP="00342479">
            <w:pPr>
              <w:pStyle w:val="TableText"/>
              <w:jc w:val="center"/>
              <w:rPr>
                <w:sz w:val="20"/>
                <w:szCs w:val="20"/>
              </w:rPr>
            </w:pPr>
          </w:p>
        </w:tc>
        <w:tc>
          <w:tcPr>
            <w:tcW w:w="1069"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right w:val="nil"/>
            </w:tcBorders>
          </w:tcPr>
          <w:p w:rsidR="004F3B22" w:rsidRPr="00342479" w:rsidRDefault="004F3B22" w:rsidP="00342479">
            <w:pPr>
              <w:pStyle w:val="TableText"/>
              <w:jc w:val="center"/>
              <w:rPr>
                <w:sz w:val="20"/>
                <w:szCs w:val="20"/>
              </w:rPr>
            </w:pPr>
          </w:p>
        </w:tc>
        <w:tc>
          <w:tcPr>
            <w:tcW w:w="1327" w:type="dxa"/>
            <w:tcBorders>
              <w:top w:val="nil"/>
              <w:left w:val="nil"/>
              <w:bottom w:val="nil"/>
            </w:tcBorders>
          </w:tcPr>
          <w:p w:rsidR="004F3B22" w:rsidRPr="00342479" w:rsidRDefault="004F3B22" w:rsidP="00342479">
            <w:pPr>
              <w:pStyle w:val="TableText"/>
              <w:jc w:val="center"/>
              <w:rPr>
                <w:sz w:val="20"/>
                <w:szCs w:val="20"/>
              </w:rPr>
            </w:pPr>
          </w:p>
        </w:tc>
      </w:tr>
      <w:tr w:rsidR="004F3B22" w:rsidTr="00342479">
        <w:tc>
          <w:tcPr>
            <w:tcW w:w="2219" w:type="dxa"/>
            <w:tcBorders>
              <w:top w:val="nil"/>
              <w:right w:val="nil"/>
            </w:tcBorders>
          </w:tcPr>
          <w:p w:rsidR="004F3B22" w:rsidRPr="00342479" w:rsidRDefault="004F3B22" w:rsidP="00F97053">
            <w:pPr>
              <w:pStyle w:val="TableText"/>
              <w:rPr>
                <w:sz w:val="20"/>
                <w:szCs w:val="20"/>
              </w:rPr>
            </w:pPr>
            <w:r w:rsidRPr="00342479">
              <w:rPr>
                <w:sz w:val="20"/>
                <w:szCs w:val="20"/>
              </w:rPr>
              <w:t>Percent in training</w:t>
            </w:r>
          </w:p>
        </w:tc>
        <w:tc>
          <w:tcPr>
            <w:tcW w:w="1211" w:type="dxa"/>
            <w:tcBorders>
              <w:top w:val="nil"/>
              <w:left w:val="nil"/>
              <w:right w:val="nil"/>
            </w:tcBorders>
          </w:tcPr>
          <w:p w:rsidR="004F3B22" w:rsidRPr="00342479" w:rsidRDefault="004F3B22" w:rsidP="00342479">
            <w:pPr>
              <w:pStyle w:val="TableText"/>
              <w:jc w:val="center"/>
              <w:rPr>
                <w:sz w:val="20"/>
                <w:szCs w:val="20"/>
              </w:rPr>
            </w:pPr>
            <w:r w:rsidRPr="00342479">
              <w:rPr>
                <w:sz w:val="20"/>
                <w:szCs w:val="20"/>
              </w:rPr>
              <w:t>55.9</w:t>
            </w:r>
          </w:p>
        </w:tc>
        <w:tc>
          <w:tcPr>
            <w:tcW w:w="1369" w:type="dxa"/>
            <w:tcBorders>
              <w:top w:val="nil"/>
              <w:left w:val="nil"/>
              <w:right w:val="nil"/>
            </w:tcBorders>
          </w:tcPr>
          <w:p w:rsidR="004F3B22" w:rsidRPr="00342479" w:rsidRDefault="004F3B22" w:rsidP="00342479">
            <w:pPr>
              <w:pStyle w:val="TableText"/>
              <w:jc w:val="center"/>
              <w:rPr>
                <w:sz w:val="20"/>
                <w:szCs w:val="20"/>
              </w:rPr>
            </w:pPr>
            <w:r w:rsidRPr="00342479">
              <w:rPr>
                <w:sz w:val="20"/>
                <w:szCs w:val="20"/>
              </w:rPr>
              <w:t>52.7</w:t>
            </w:r>
          </w:p>
        </w:tc>
        <w:tc>
          <w:tcPr>
            <w:tcW w:w="1054" w:type="dxa"/>
            <w:tcBorders>
              <w:top w:val="nil"/>
              <w:left w:val="nil"/>
              <w:right w:val="nil"/>
            </w:tcBorders>
          </w:tcPr>
          <w:p w:rsidR="004F3B22" w:rsidRPr="00342479" w:rsidRDefault="004F3B22" w:rsidP="00342479">
            <w:pPr>
              <w:pStyle w:val="TableText"/>
              <w:jc w:val="center"/>
              <w:rPr>
                <w:sz w:val="20"/>
                <w:szCs w:val="20"/>
              </w:rPr>
            </w:pPr>
            <w:r w:rsidRPr="00342479">
              <w:rPr>
                <w:sz w:val="20"/>
                <w:szCs w:val="20"/>
              </w:rPr>
              <w:t>76.5</w:t>
            </w:r>
          </w:p>
        </w:tc>
        <w:tc>
          <w:tcPr>
            <w:tcW w:w="1069" w:type="dxa"/>
            <w:tcBorders>
              <w:top w:val="nil"/>
              <w:left w:val="nil"/>
              <w:right w:val="nil"/>
            </w:tcBorders>
          </w:tcPr>
          <w:p w:rsidR="004F3B22" w:rsidRPr="00342479" w:rsidRDefault="004F3B22" w:rsidP="00342479">
            <w:pPr>
              <w:pStyle w:val="TableText"/>
              <w:jc w:val="center"/>
              <w:rPr>
                <w:sz w:val="20"/>
                <w:szCs w:val="20"/>
              </w:rPr>
            </w:pPr>
            <w:r w:rsidRPr="00342479">
              <w:rPr>
                <w:sz w:val="20"/>
                <w:szCs w:val="20"/>
              </w:rPr>
              <w:t>74.5</w:t>
            </w:r>
          </w:p>
        </w:tc>
        <w:tc>
          <w:tcPr>
            <w:tcW w:w="1327" w:type="dxa"/>
            <w:tcBorders>
              <w:top w:val="nil"/>
              <w:left w:val="nil"/>
              <w:right w:val="nil"/>
            </w:tcBorders>
          </w:tcPr>
          <w:p w:rsidR="004F3B22" w:rsidRPr="00342479" w:rsidRDefault="004F3B22" w:rsidP="00342479">
            <w:pPr>
              <w:pStyle w:val="TableText"/>
              <w:jc w:val="center"/>
              <w:rPr>
                <w:sz w:val="20"/>
                <w:szCs w:val="20"/>
              </w:rPr>
            </w:pPr>
            <w:r w:rsidRPr="00342479">
              <w:rPr>
                <w:sz w:val="20"/>
                <w:szCs w:val="20"/>
              </w:rPr>
              <w:t>55.5</w:t>
            </w:r>
          </w:p>
        </w:tc>
        <w:tc>
          <w:tcPr>
            <w:tcW w:w="1327" w:type="dxa"/>
            <w:tcBorders>
              <w:top w:val="nil"/>
              <w:left w:val="nil"/>
            </w:tcBorders>
          </w:tcPr>
          <w:p w:rsidR="004F3B22" w:rsidRPr="00342479" w:rsidRDefault="004F3B22" w:rsidP="00342479">
            <w:pPr>
              <w:pStyle w:val="TableText"/>
              <w:jc w:val="center"/>
              <w:rPr>
                <w:sz w:val="20"/>
                <w:szCs w:val="20"/>
              </w:rPr>
            </w:pPr>
            <w:r w:rsidRPr="00342479">
              <w:rPr>
                <w:sz w:val="20"/>
                <w:szCs w:val="20"/>
              </w:rPr>
              <w:t>52.9</w:t>
            </w:r>
          </w:p>
        </w:tc>
      </w:tr>
    </w:tbl>
    <w:p w:rsidR="004F3B22" w:rsidRDefault="004F3B22" w:rsidP="00F02B3B">
      <w:pPr>
        <w:ind w:firstLine="450"/>
      </w:pPr>
    </w:p>
    <w:p w:rsidR="004F3B22" w:rsidRDefault="004F3B22" w:rsidP="00B75286">
      <w:r>
        <w:t>W</w:t>
      </w:r>
      <w:r w:rsidRPr="00BA4A0E">
        <w:t xml:space="preserve">e will conduct a sensitivity analysis for the inclusion of the replacement sites. </w:t>
      </w:r>
      <w:r w:rsidRPr="00D71699">
        <w:t>Before using these two replacement sites in the analysis, we will compare the</w:t>
      </w:r>
      <w:r>
        <w:t xml:space="preserve"> impacts in the</w:t>
      </w:r>
      <w:r w:rsidRPr="00D71699">
        <w:t xml:space="preserve"> 2 replacement sites with the impacts in the 4 original Midwest sites to examine whether the impacts in the replacement sites are atypical</w:t>
      </w:r>
      <w:r>
        <w:t>, and conduct F-tests to gauge whether the differences in the impacts are statistically significant</w:t>
      </w:r>
      <w:r w:rsidRPr="00D71699">
        <w:t xml:space="preserve">. </w:t>
      </w:r>
      <w:r>
        <w:t>W</w:t>
      </w:r>
      <w:r w:rsidRPr="00D71699">
        <w:t xml:space="preserve">e will </w:t>
      </w:r>
      <w:r>
        <w:t xml:space="preserve">also use F-tests to </w:t>
      </w:r>
      <w:r w:rsidRPr="00D71699">
        <w:t xml:space="preserve">compare the 26- and 28-site impact findings. To the extent that they provide different results, the two sets of results could suggest some selection bias due to the inclusion of the 2 replacement sites. </w:t>
      </w:r>
      <w:r>
        <w:t xml:space="preserve">For both the 26- and 28-state samples, we will employ </w:t>
      </w:r>
      <w:r w:rsidRPr="00BA4A0E">
        <w:t>statistical adjustments for site nonparticipation</w:t>
      </w:r>
      <w:r>
        <w:t xml:space="preserve"> (see Subsection 2c)</w:t>
      </w:r>
      <w:r w:rsidRPr="00BA4A0E">
        <w:t xml:space="preserve">. </w:t>
      </w:r>
    </w:p>
    <w:p w:rsidR="004F3B22" w:rsidRDefault="004F3B22" w:rsidP="00B75286">
      <w:r w:rsidRPr="00BA4A0E">
        <w:t>We also will use WIASRD and Area Resource File (ARF) to compare the final set of study LWIAs to the 3</w:t>
      </w:r>
      <w:r>
        <w:t xml:space="preserve">0 randomly selected and to all </w:t>
      </w:r>
      <w:r w:rsidRPr="00BA4A0E">
        <w:t>LWIAs nationwide. (ARF data are collected by the Health Resources and Services Administration and contain detailed information on local area characteristics by county.) This comparison can be used as a check the extent to which the sites resemble the LWIAs nationwide on observable characteristics. The WIASRD and ARF data will also be used to adjust the weights for site nonresponse and to perform multiple imputations.</w:t>
      </w:r>
    </w:p>
    <w:p w:rsidR="004F3B22" w:rsidRDefault="004F3B22" w:rsidP="00FF7AE7">
      <w:r>
        <w:t>To the extent that these adjustment methods do not fully capture unobservable differences between site responders and nonresponders that are correlated with study impacts, the impacts estimated in this study are biased estimates of the impact of the program nationwide. However, the estimates are still unbiased estimates of the impacts of the program in the sites that participated in the study.</w:t>
      </w:r>
    </w:p>
    <w:p w:rsidR="004F3B22" w:rsidRPr="001C0FB6" w:rsidRDefault="004F3B22" w:rsidP="0026009D">
      <w:pPr>
        <w:pStyle w:val="Heading4"/>
      </w:pPr>
      <w:r w:rsidRPr="001C0FB6">
        <w:t>b.</w:t>
      </w:r>
      <w:r>
        <w:tab/>
      </w:r>
      <w:r w:rsidRPr="001C0FB6">
        <w:t>Selection of Adults and Dislocated Workers Within Sites</w:t>
      </w:r>
    </w:p>
    <w:p w:rsidR="004F3B22" w:rsidRDefault="004F3B22" w:rsidP="0026009D">
      <w:r w:rsidRPr="001C0FB6">
        <w:t xml:space="preserve">At each site, nearly all consenting WIA adult and dislocated worker customers who would, in the absence of the study, be offered intensive services will be randomly assigned into one of three research groups just before they would have been offered intensive services. The three research groups are </w:t>
      </w:r>
      <w:r>
        <w:t xml:space="preserve">the </w:t>
      </w:r>
      <w:r w:rsidRPr="001C0FB6">
        <w:t>(1) full-WIA group</w:t>
      </w:r>
      <w:r>
        <w:t>—</w:t>
      </w:r>
      <w:r w:rsidRPr="001C0FB6">
        <w:t>customers in this group can receive any WIA services, including training, for which they are eligible; (2) core-and-intensive group</w:t>
      </w:r>
      <w:r>
        <w:t>—</w:t>
      </w:r>
      <w:r w:rsidRPr="001C0FB6">
        <w:t>customers in this group can receive any WIA services for which they are eligible other than training; and (3) core-only group</w:t>
      </w:r>
      <w:r>
        <w:t>—</w:t>
      </w:r>
      <w:r w:rsidRPr="001C0FB6">
        <w:t>customers in this group can receive only WIA core services and no WIA intensive or training services.</w:t>
      </w:r>
    </w:p>
    <w:p w:rsidR="004F3B22" w:rsidRDefault="004F3B22">
      <w:r>
        <w:t xml:space="preserve">In selecting a point of random assignment, we considered the following criteria: (1) the point must allow customers to receive core services; (2) the point must allow us to address a meaningful research question and the intervention studied must be sufficiently large for us to expect to be able to detect its impacts; (3) the point must be at a similar point in the service flow in each site so we are addressing the same research question in each site; and (4) random assignment at this point must be operationally feasible. </w:t>
      </w:r>
    </w:p>
    <w:p w:rsidR="004F3B22" w:rsidRDefault="004F3B22">
      <w:r>
        <w:t xml:space="preserve">Selecting the point of random assignment was challenging in this study because the sites differed in their service provision and in their definitions of intensive services.  For example, some sites include nearly all staff-customer interactions as intensive services while others include only substantial interviews with employment counselors.  Our approach is to define intensive services as services that require “substantial” staff input irrespective of how it is defined by the site. </w:t>
      </w:r>
    </w:p>
    <w:p w:rsidR="004F3B22" w:rsidRDefault="004F3B22">
      <w:r>
        <w:t xml:space="preserve">While many people who use the One-Stop Career Center receive only core services, we are not evaluating core services because (1) they are deemed by the law to be universal; (2) few sites would agree to turn a customer away from the One-Stop Career Center without the offer of some service; (3) the services are typically co-funded by the Employment Service; (4) some services are accessed on-line making it difficult to deny the services; and (5) the impact of these light-touch services is likely to be too small to detect with the sample size feasible for such study.  Hence, we are only evaluating the impact of “intensive” services as defined above and training services. </w:t>
      </w:r>
    </w:p>
    <w:p w:rsidR="004F3B22" w:rsidRDefault="004F3B22">
      <w:r w:rsidRPr="00454EBC">
        <w:t xml:space="preserve">We worked with each site to define substantial intensive services. </w:t>
      </w:r>
      <w:r>
        <w:t xml:space="preserve"> S</w:t>
      </w:r>
      <w:r w:rsidRPr="00454EBC">
        <w:t xml:space="preserve">ite staff </w:t>
      </w:r>
      <w:r>
        <w:t>helped</w:t>
      </w:r>
      <w:r w:rsidRPr="00454EBC">
        <w:t xml:space="preserve"> to define the</w:t>
      </w:r>
      <w:r>
        <w:t xml:space="preserve"> point of random assignment</w:t>
      </w:r>
      <w:r w:rsidRPr="00454EBC">
        <w:t xml:space="preserve"> based on their understanding that the study is attempting to apply a uniform definition of intensive and training services across sites (to the extent possible).  </w:t>
      </w:r>
    </w:p>
    <w:p w:rsidR="004F3B22" w:rsidRPr="001C0FB6" w:rsidRDefault="004F3B22" w:rsidP="0026009D">
      <w:r>
        <w:t xml:space="preserve">While the terms core, intensive, and training are clear in the legislation and discussed by policy makers, frontline staff are often unaware of the terms and rarely use the term “intensive” services. In our training of staff, we will be careful to describe the point of random assignment in terms of the names staff use for services rather than “intensive” services.  This will prevent any confusion with the different definitions of the terms “intensive” service.  We are not asking sites to make any changes to how they record the receipt of services in their management information systems. To conduct random assignment, WIA intake counselors will input key identifying information on each customer in the study universe into a web-based computer system that will be developed by the evaluation team. The web-based system will return random assignment results within seconds. These results will be obtained using pre-programmed randomly-generated strings of random assignment statuses. The string length will depend on the sampling rates to the core-and-intensive (CI) and the core-only groups (C), and one CI and one C code will be randomly ordered (using computer-generated random numbers) within each string. This process will ensure that the selection of the restricted services groups will be evenly spread out over the sample intake period.  </w:t>
      </w:r>
    </w:p>
    <w:p w:rsidR="004F3B22" w:rsidRPr="001C0FB6" w:rsidRDefault="004F3B22" w:rsidP="0026009D">
      <w:r w:rsidRPr="001C0FB6">
        <w:t>Administrative records data</w:t>
      </w:r>
      <w:r>
        <w:t>—</w:t>
      </w:r>
      <w:r w:rsidRPr="001C0FB6">
        <w:t>including unemployment insurance (UI) records and state or local WIA management information systems data</w:t>
      </w:r>
      <w:r>
        <w:t xml:space="preserve"> (MIS)—</w:t>
      </w:r>
      <w:r w:rsidRPr="001C0FB6">
        <w:t>will be collected for the full research sample. However, as discussed later, follow-up surveys will be conducted only for random subsets of the full research sample</w:t>
      </w:r>
      <w:r>
        <w:t xml:space="preserve"> using computer-generated random numbers within explicit strata to ensure a balanced survey sample in terms of key population characteristics.</w:t>
      </w:r>
      <w:r w:rsidRPr="001C0FB6">
        <w:t xml:space="preserve"> To attain a sufficient sample size, the sample intake period will span 18 months. Based on recent data, it is estimated that during an 18-month period, the </w:t>
      </w:r>
      <w:r>
        <w:t>participating</w:t>
      </w:r>
      <w:r w:rsidRPr="001C0FB6">
        <w:t xml:space="preserve"> evaluation sites would offer intensive services to about </w:t>
      </w:r>
      <w:r w:rsidRPr="000203CE">
        <w:t>65,000</w:t>
      </w:r>
      <w:r w:rsidRPr="001C0FB6">
        <w:t xml:space="preserve"> adult and dislocated workers. Thus, we expect that about 6</w:t>
      </w:r>
      <w:r>
        <w:t>5</w:t>
      </w:r>
      <w:r w:rsidRPr="001C0FB6">
        <w:t>,000 people will go through the random assignment process.</w:t>
      </w:r>
    </w:p>
    <w:p w:rsidR="004F3B22" w:rsidRPr="001C0FB6" w:rsidRDefault="004F3B22" w:rsidP="0026009D">
      <w:r w:rsidRPr="001C0FB6">
        <w:rPr>
          <w:b/>
          <w:bCs/>
          <w:iCs/>
        </w:rPr>
        <w:t xml:space="preserve">Research </w:t>
      </w:r>
      <w:r>
        <w:rPr>
          <w:b/>
          <w:bCs/>
          <w:iCs/>
        </w:rPr>
        <w:t>g</w:t>
      </w:r>
      <w:r w:rsidRPr="001C0FB6">
        <w:rPr>
          <w:b/>
          <w:bCs/>
          <w:iCs/>
        </w:rPr>
        <w:t xml:space="preserve">roup </w:t>
      </w:r>
      <w:r>
        <w:rPr>
          <w:b/>
          <w:bCs/>
          <w:iCs/>
        </w:rPr>
        <w:t>as</w:t>
      </w:r>
      <w:r w:rsidRPr="001C0FB6">
        <w:rPr>
          <w:b/>
          <w:bCs/>
          <w:iCs/>
        </w:rPr>
        <w:t xml:space="preserve">signment </w:t>
      </w:r>
      <w:r>
        <w:rPr>
          <w:b/>
          <w:bCs/>
          <w:iCs/>
        </w:rPr>
        <w:t>r</w:t>
      </w:r>
      <w:r w:rsidRPr="001C0FB6">
        <w:rPr>
          <w:b/>
          <w:bCs/>
          <w:iCs/>
        </w:rPr>
        <w:t xml:space="preserve">ates. </w:t>
      </w:r>
      <w:r w:rsidRPr="001C0FB6">
        <w:t>Only a small proportion of customers</w:t>
      </w:r>
      <w:r>
        <w:t>—</w:t>
      </w:r>
      <w:r w:rsidRPr="001C0FB6">
        <w:t>2,000 total</w:t>
      </w:r>
      <w:r>
        <w:t>—</w:t>
      </w:r>
      <w:r w:rsidRPr="001C0FB6">
        <w:t>will be assigned to the core-only group. Similarly, only 2,000 customers will be assigned to the core-and-intensive group. This leaves approximately 6</w:t>
      </w:r>
      <w:r>
        <w:t>1</w:t>
      </w:r>
      <w:r w:rsidRPr="001C0FB6">
        <w:t>,000 customers in the full-WIA group. Although an alternative approach that uses research groups of equal size would yield more statistical efficiency, this approach would also lead to large numbers of customers in the research groups who do not have full access to WIA services. Keeping the rates of assignment to these groups low is important so as not to change program operations and to be more acceptable to the sites. The planned approach, which involves restricting access to the full set of WIA services to a small portion of the customers in the study, will provide sufficient statistical power for the impact analysis (as shown by the minimum detectable impacts shown in response to question 2 below), and is likely to foster sites</w:t>
      </w:r>
      <w:r>
        <w:t>’</w:t>
      </w:r>
      <w:r w:rsidRPr="001C0FB6">
        <w:t xml:space="preserve"> cooperation in the study. </w:t>
      </w:r>
    </w:p>
    <w:p w:rsidR="004F3B22" w:rsidRPr="001C0FB6" w:rsidRDefault="004F3B22" w:rsidP="0026009D">
      <w:r w:rsidRPr="001C0FB6">
        <w:t xml:space="preserve">Assignment rates to the </w:t>
      </w:r>
      <w:r>
        <w:t>restricted-service</w:t>
      </w:r>
      <w:r w:rsidRPr="001C0FB6">
        <w:t xml:space="preserve"> groups that will not have access to full-WIA services will differ by the size of the site; the rates will be lower in larger sites than in smaller sites. This is necessary to ensure that the customer sample will not consist mainly of individuals from the largest sites. The sampling rate for each of the restricted-services groups</w:t>
      </w:r>
      <w:r>
        <w:t>—</w:t>
      </w:r>
      <w:r w:rsidRPr="001C0FB6">
        <w:t>the core-only group and the core-and-intensive group</w:t>
      </w:r>
      <w:r>
        <w:t>—</w:t>
      </w:r>
      <w:r w:rsidRPr="001C0FB6">
        <w:t xml:space="preserve">will be </w:t>
      </w:r>
      <w:r>
        <w:t>eight</w:t>
      </w:r>
      <w:r w:rsidRPr="001C0FB6">
        <w:t xml:space="preserve"> percent in the smaller sites and 0.7 to </w:t>
      </w:r>
      <w:r>
        <w:t>five</w:t>
      </w:r>
      <w:r w:rsidRPr="001C0FB6">
        <w:t xml:space="preserve"> percent in the larger sites (Table</w:t>
      </w:r>
      <w:r>
        <w:t> </w:t>
      </w:r>
      <w:r w:rsidRPr="001C0FB6">
        <w:t>B.</w:t>
      </w:r>
      <w:r>
        <w:t>5</w:t>
      </w:r>
      <w:r w:rsidRPr="001C0FB6">
        <w:t xml:space="preserve">). By design, the sample will be close to “self-weighting.” Smaller sites are less likely to be selected under PPS sampling, but conditional on the site being selected, a higher proportion of customers will be included in the research sample, such that any given customer in the WIA population is close to equally likely to be selected into the research study. </w:t>
      </w:r>
      <w:r w:rsidRPr="009777A6">
        <w:t>The sample will be largely self-weighting both within and across regions.</w:t>
      </w:r>
      <w:r>
        <w:t xml:space="preserve"> </w:t>
      </w:r>
      <w:r w:rsidRPr="001C0FB6">
        <w:t xml:space="preserve">However, the analysis will use sampling weights to correct for any imbalances arising if selected sites represent a smaller or larger proportion of the expected sample than they would of the population. </w:t>
      </w:r>
    </w:p>
    <w:p w:rsidR="004F3B22" w:rsidRDefault="004F3B22" w:rsidP="0026009D">
      <w:pPr>
        <w:pStyle w:val="MarkforTableHeading"/>
      </w:pPr>
      <w:bookmarkStart w:id="17" w:name="_Toc256427986"/>
      <w:bookmarkStart w:id="18" w:name="_Toc260921517"/>
      <w:bookmarkStart w:id="19" w:name="_Toc261006276"/>
      <w:bookmarkStart w:id="20" w:name="_Toc262106526"/>
      <w:bookmarkStart w:id="21" w:name="_Toc286783977"/>
    </w:p>
    <w:p w:rsidR="004F3B22" w:rsidRPr="001C0FB6" w:rsidRDefault="004F3B22" w:rsidP="0026009D">
      <w:pPr>
        <w:pStyle w:val="MarkforTableHeading"/>
      </w:pPr>
      <w:r w:rsidRPr="001C0FB6">
        <w:t>Table B.</w:t>
      </w:r>
      <w:r>
        <w:t>5</w:t>
      </w:r>
      <w:r w:rsidRPr="001C0FB6">
        <w:t xml:space="preserve">. Research Assignment Rates in the </w:t>
      </w:r>
      <w:r>
        <w:t>26</w:t>
      </w:r>
      <w:r w:rsidRPr="001C0FB6">
        <w:t xml:space="preserve"> Study Sites</w:t>
      </w:r>
      <w:bookmarkEnd w:id="17"/>
      <w:r w:rsidRPr="001C0FB6">
        <w:t>, by Annual Site Size</w:t>
      </w:r>
      <w:bookmarkEnd w:id="18"/>
      <w:bookmarkEnd w:id="19"/>
      <w:bookmarkEnd w:id="20"/>
      <w:bookmarkEnd w:id="21"/>
      <w:r w:rsidRPr="001C0FB6">
        <w:t xml:space="preserve">   </w:t>
      </w:r>
    </w:p>
    <w:tbl>
      <w:tblPr>
        <w:tblW w:w="0" w:type="auto"/>
        <w:tblInd w:w="115" w:type="dxa"/>
        <w:tblBorders>
          <w:top w:val="single" w:sz="12" w:space="0" w:color="auto"/>
          <w:bottom w:val="single" w:sz="4" w:space="0" w:color="auto"/>
        </w:tblBorders>
        <w:tblLook w:val="0000"/>
      </w:tblPr>
      <w:tblGrid>
        <w:gridCol w:w="2099"/>
        <w:gridCol w:w="1559"/>
        <w:gridCol w:w="1642"/>
        <w:gridCol w:w="1387"/>
        <w:gridCol w:w="1387"/>
        <w:gridCol w:w="1387"/>
      </w:tblGrid>
      <w:tr w:rsidR="004F3B22" w:rsidRPr="005271DB" w:rsidTr="00BF77D2">
        <w:tc>
          <w:tcPr>
            <w:tcW w:w="1109" w:type="pct"/>
            <w:tcBorders>
              <w:top w:val="single" w:sz="12" w:space="0" w:color="auto"/>
              <w:bottom w:val="nil"/>
            </w:tcBorders>
            <w:vAlign w:val="bottom"/>
          </w:tcPr>
          <w:p w:rsidR="004F3B22" w:rsidRPr="001C0FB6" w:rsidRDefault="004F3B22" w:rsidP="0026009D">
            <w:pPr>
              <w:pStyle w:val="TableHeaderCenter"/>
            </w:pPr>
          </w:p>
        </w:tc>
        <w:tc>
          <w:tcPr>
            <w:tcW w:w="3891" w:type="pct"/>
            <w:gridSpan w:val="5"/>
            <w:tcBorders>
              <w:top w:val="single" w:sz="12" w:space="0" w:color="auto"/>
              <w:bottom w:val="single" w:sz="4" w:space="0" w:color="auto"/>
            </w:tcBorders>
            <w:vAlign w:val="bottom"/>
          </w:tcPr>
          <w:p w:rsidR="004F3B22" w:rsidRPr="001C0FB6" w:rsidRDefault="004F3B22" w:rsidP="0026009D">
            <w:pPr>
              <w:pStyle w:val="TableHeaderCenter"/>
            </w:pPr>
            <w:r w:rsidRPr="001C0FB6">
              <w:t>Sampling Rates (Percentages)</w:t>
            </w:r>
          </w:p>
        </w:tc>
      </w:tr>
      <w:tr w:rsidR="004F3B22" w:rsidRPr="005271DB" w:rsidTr="00BF77D2">
        <w:tc>
          <w:tcPr>
            <w:tcW w:w="1109" w:type="pct"/>
            <w:tcBorders>
              <w:top w:val="nil"/>
              <w:bottom w:val="single" w:sz="4" w:space="0" w:color="auto"/>
            </w:tcBorders>
            <w:vAlign w:val="bottom"/>
          </w:tcPr>
          <w:p w:rsidR="004F3B22" w:rsidRPr="001C0FB6" w:rsidRDefault="004F3B22" w:rsidP="00FB38FA">
            <w:pPr>
              <w:pStyle w:val="TableHeaderLeft"/>
            </w:pPr>
            <w:r w:rsidRPr="001C0FB6">
              <w:t>Research Group</w:t>
            </w:r>
          </w:p>
        </w:tc>
        <w:tc>
          <w:tcPr>
            <w:tcW w:w="824" w:type="pct"/>
            <w:tcBorders>
              <w:top w:val="single" w:sz="4" w:space="0" w:color="auto"/>
              <w:bottom w:val="single" w:sz="4" w:space="0" w:color="auto"/>
            </w:tcBorders>
            <w:vAlign w:val="bottom"/>
          </w:tcPr>
          <w:p w:rsidR="004F3B22" w:rsidRPr="001C0FB6" w:rsidRDefault="004F3B22" w:rsidP="0026009D">
            <w:pPr>
              <w:pStyle w:val="TableHeaderCenter"/>
              <w:rPr>
                <w:vertAlign w:val="superscript"/>
              </w:rPr>
            </w:pPr>
            <w:r w:rsidRPr="001C0FB6">
              <w:t>7,000 or More Customers</w:t>
            </w:r>
          </w:p>
        </w:tc>
        <w:tc>
          <w:tcPr>
            <w:tcW w:w="868" w:type="pct"/>
            <w:tcBorders>
              <w:top w:val="single" w:sz="4" w:space="0" w:color="auto"/>
              <w:bottom w:val="single" w:sz="4" w:space="0" w:color="auto"/>
            </w:tcBorders>
            <w:vAlign w:val="bottom"/>
          </w:tcPr>
          <w:p w:rsidR="004F3B22" w:rsidRPr="001C0FB6" w:rsidRDefault="004F3B22" w:rsidP="0026009D">
            <w:pPr>
              <w:pStyle w:val="TableHeaderCenter"/>
              <w:rPr>
                <w:vertAlign w:val="superscript"/>
              </w:rPr>
            </w:pPr>
            <w:r w:rsidRPr="001C0FB6">
              <w:t>3,000 to 6,999 Customers</w:t>
            </w:r>
          </w:p>
        </w:tc>
        <w:tc>
          <w:tcPr>
            <w:tcW w:w="733" w:type="pct"/>
            <w:tcBorders>
              <w:top w:val="single" w:sz="4" w:space="0" w:color="auto"/>
              <w:bottom w:val="single" w:sz="4" w:space="0" w:color="auto"/>
            </w:tcBorders>
            <w:vAlign w:val="bottom"/>
          </w:tcPr>
          <w:p w:rsidR="004F3B22" w:rsidRPr="001C0FB6" w:rsidRDefault="004F3B22" w:rsidP="0026009D">
            <w:pPr>
              <w:pStyle w:val="TableHeaderCenter"/>
            </w:pPr>
            <w:r w:rsidRPr="001C0FB6">
              <w:t>1,800 to 2,999 Customers</w:t>
            </w:r>
          </w:p>
        </w:tc>
        <w:tc>
          <w:tcPr>
            <w:tcW w:w="733" w:type="pct"/>
            <w:tcBorders>
              <w:top w:val="single" w:sz="4" w:space="0" w:color="auto"/>
              <w:bottom w:val="single" w:sz="4" w:space="0" w:color="auto"/>
            </w:tcBorders>
            <w:vAlign w:val="bottom"/>
          </w:tcPr>
          <w:p w:rsidR="004F3B22" w:rsidRPr="001C0FB6" w:rsidRDefault="004F3B22" w:rsidP="0026009D">
            <w:pPr>
              <w:pStyle w:val="TableHeaderCenter"/>
            </w:pPr>
            <w:r w:rsidRPr="001C0FB6">
              <w:t>900 to 1,799 Customers</w:t>
            </w:r>
          </w:p>
        </w:tc>
        <w:tc>
          <w:tcPr>
            <w:tcW w:w="733" w:type="pct"/>
            <w:tcBorders>
              <w:top w:val="single" w:sz="4" w:space="0" w:color="auto"/>
              <w:bottom w:val="single" w:sz="4" w:space="0" w:color="auto"/>
            </w:tcBorders>
            <w:vAlign w:val="bottom"/>
          </w:tcPr>
          <w:p w:rsidR="004F3B22" w:rsidRPr="001C0FB6" w:rsidRDefault="004F3B22" w:rsidP="0026009D">
            <w:pPr>
              <w:pStyle w:val="TableHeaderCenter"/>
            </w:pPr>
            <w:r w:rsidRPr="001C0FB6">
              <w:t>100 to 899 Customers</w:t>
            </w:r>
          </w:p>
        </w:tc>
      </w:tr>
      <w:tr w:rsidR="004F3B22" w:rsidRPr="005271DB" w:rsidTr="00BF77D2">
        <w:tc>
          <w:tcPr>
            <w:tcW w:w="1109" w:type="pct"/>
            <w:tcBorders>
              <w:top w:val="single" w:sz="4" w:space="0" w:color="auto"/>
            </w:tcBorders>
          </w:tcPr>
          <w:p w:rsidR="004F3B22" w:rsidRPr="001C0FB6" w:rsidRDefault="004F3B22" w:rsidP="00556E68">
            <w:pPr>
              <w:pStyle w:val="TableText"/>
              <w:spacing w:before="60"/>
            </w:pPr>
            <w:r w:rsidRPr="001C0FB6">
              <w:t>Core-only group</w:t>
            </w:r>
          </w:p>
        </w:tc>
        <w:tc>
          <w:tcPr>
            <w:tcW w:w="824" w:type="pct"/>
            <w:tcBorders>
              <w:top w:val="single" w:sz="4" w:space="0" w:color="auto"/>
            </w:tcBorders>
          </w:tcPr>
          <w:p w:rsidR="004F3B22" w:rsidRPr="001C0FB6" w:rsidRDefault="004F3B22" w:rsidP="00FB38FA">
            <w:pPr>
              <w:pStyle w:val="TableText"/>
              <w:tabs>
                <w:tab w:val="decimal" w:pos="621"/>
              </w:tabs>
              <w:spacing w:before="60"/>
            </w:pPr>
            <w:r w:rsidRPr="001C0FB6">
              <w:t>0.7</w:t>
            </w:r>
          </w:p>
        </w:tc>
        <w:tc>
          <w:tcPr>
            <w:tcW w:w="868" w:type="pct"/>
            <w:tcBorders>
              <w:top w:val="single" w:sz="4" w:space="0" w:color="auto"/>
            </w:tcBorders>
          </w:tcPr>
          <w:p w:rsidR="004F3B22" w:rsidRPr="001C0FB6" w:rsidRDefault="004F3B22" w:rsidP="00FB38FA">
            <w:pPr>
              <w:pStyle w:val="TableText"/>
              <w:tabs>
                <w:tab w:val="decimal" w:pos="772"/>
              </w:tabs>
              <w:spacing w:before="60"/>
            </w:pPr>
            <w:r w:rsidRPr="001C0FB6">
              <w:t>1.5</w:t>
            </w:r>
          </w:p>
        </w:tc>
        <w:tc>
          <w:tcPr>
            <w:tcW w:w="733" w:type="pct"/>
            <w:tcBorders>
              <w:top w:val="single" w:sz="4" w:space="0" w:color="auto"/>
            </w:tcBorders>
          </w:tcPr>
          <w:p w:rsidR="004F3B22" w:rsidRPr="001C0FB6" w:rsidRDefault="004F3B22" w:rsidP="00FB38FA">
            <w:pPr>
              <w:pStyle w:val="TableText"/>
              <w:tabs>
                <w:tab w:val="decimal" w:pos="615"/>
              </w:tabs>
              <w:spacing w:before="60"/>
            </w:pPr>
            <w:r w:rsidRPr="001C0FB6">
              <w:t>3.0</w:t>
            </w:r>
          </w:p>
        </w:tc>
        <w:tc>
          <w:tcPr>
            <w:tcW w:w="733" w:type="pct"/>
            <w:tcBorders>
              <w:top w:val="single" w:sz="4" w:space="0" w:color="auto"/>
            </w:tcBorders>
          </w:tcPr>
          <w:p w:rsidR="004F3B22" w:rsidRPr="001C0FB6" w:rsidRDefault="004F3B22" w:rsidP="00FB38FA">
            <w:pPr>
              <w:pStyle w:val="TableText"/>
              <w:tabs>
                <w:tab w:val="decimal" w:pos="578"/>
              </w:tabs>
              <w:spacing w:before="60"/>
            </w:pPr>
            <w:r w:rsidRPr="001C0FB6">
              <w:t>5.0</w:t>
            </w:r>
          </w:p>
        </w:tc>
        <w:tc>
          <w:tcPr>
            <w:tcW w:w="733" w:type="pct"/>
            <w:tcBorders>
              <w:top w:val="single" w:sz="4" w:space="0" w:color="auto"/>
            </w:tcBorders>
          </w:tcPr>
          <w:p w:rsidR="004F3B22" w:rsidRPr="001C0FB6" w:rsidRDefault="004F3B22" w:rsidP="00FB38FA">
            <w:pPr>
              <w:pStyle w:val="TableText"/>
              <w:tabs>
                <w:tab w:val="decimal" w:pos="556"/>
              </w:tabs>
              <w:spacing w:before="60"/>
            </w:pPr>
            <w:r w:rsidRPr="001C0FB6">
              <w:t>8.0</w:t>
            </w:r>
          </w:p>
        </w:tc>
      </w:tr>
      <w:tr w:rsidR="004F3B22" w:rsidRPr="005271DB" w:rsidTr="00BF77D2">
        <w:tc>
          <w:tcPr>
            <w:tcW w:w="1109" w:type="pct"/>
          </w:tcPr>
          <w:p w:rsidR="004F3B22" w:rsidRPr="001C0FB6" w:rsidRDefault="004F3B22" w:rsidP="0026009D">
            <w:pPr>
              <w:pStyle w:val="TableText"/>
            </w:pPr>
            <w:r w:rsidRPr="001C0FB6">
              <w:t>Core-and-intensive group</w:t>
            </w:r>
          </w:p>
        </w:tc>
        <w:tc>
          <w:tcPr>
            <w:tcW w:w="824" w:type="pct"/>
          </w:tcPr>
          <w:p w:rsidR="004F3B22" w:rsidRPr="001C0FB6" w:rsidRDefault="004F3B22" w:rsidP="00FB38FA">
            <w:pPr>
              <w:pStyle w:val="TableText"/>
              <w:tabs>
                <w:tab w:val="decimal" w:pos="621"/>
              </w:tabs>
            </w:pPr>
            <w:r w:rsidRPr="001C0FB6">
              <w:t>0.7</w:t>
            </w:r>
          </w:p>
        </w:tc>
        <w:tc>
          <w:tcPr>
            <w:tcW w:w="868" w:type="pct"/>
          </w:tcPr>
          <w:p w:rsidR="004F3B22" w:rsidRPr="001C0FB6" w:rsidRDefault="004F3B22" w:rsidP="00FB38FA">
            <w:pPr>
              <w:pStyle w:val="TableText"/>
              <w:tabs>
                <w:tab w:val="decimal" w:pos="772"/>
              </w:tabs>
            </w:pPr>
            <w:r w:rsidRPr="001C0FB6">
              <w:t>1.5</w:t>
            </w:r>
          </w:p>
        </w:tc>
        <w:tc>
          <w:tcPr>
            <w:tcW w:w="733" w:type="pct"/>
          </w:tcPr>
          <w:p w:rsidR="004F3B22" w:rsidRPr="001C0FB6" w:rsidRDefault="004F3B22" w:rsidP="00FB38FA">
            <w:pPr>
              <w:pStyle w:val="TableText"/>
              <w:tabs>
                <w:tab w:val="decimal" w:pos="615"/>
              </w:tabs>
            </w:pPr>
            <w:r w:rsidRPr="001C0FB6">
              <w:t>3.0</w:t>
            </w:r>
          </w:p>
        </w:tc>
        <w:tc>
          <w:tcPr>
            <w:tcW w:w="733" w:type="pct"/>
          </w:tcPr>
          <w:p w:rsidR="004F3B22" w:rsidRPr="001C0FB6" w:rsidRDefault="004F3B22" w:rsidP="00FB38FA">
            <w:pPr>
              <w:pStyle w:val="TableText"/>
              <w:tabs>
                <w:tab w:val="decimal" w:pos="578"/>
              </w:tabs>
            </w:pPr>
            <w:r w:rsidRPr="001C0FB6">
              <w:t>5.0</w:t>
            </w:r>
          </w:p>
        </w:tc>
        <w:tc>
          <w:tcPr>
            <w:tcW w:w="733" w:type="pct"/>
          </w:tcPr>
          <w:p w:rsidR="004F3B22" w:rsidRPr="001C0FB6" w:rsidRDefault="004F3B22" w:rsidP="00FB38FA">
            <w:pPr>
              <w:pStyle w:val="TableText"/>
              <w:tabs>
                <w:tab w:val="decimal" w:pos="556"/>
              </w:tabs>
            </w:pPr>
            <w:r w:rsidRPr="001C0FB6">
              <w:t>8.0</w:t>
            </w:r>
          </w:p>
        </w:tc>
      </w:tr>
      <w:tr w:rsidR="004F3B22" w:rsidRPr="005271DB" w:rsidTr="00BF77D2">
        <w:tc>
          <w:tcPr>
            <w:tcW w:w="1109" w:type="pct"/>
            <w:tcBorders>
              <w:bottom w:val="single" w:sz="4" w:space="0" w:color="auto"/>
            </w:tcBorders>
          </w:tcPr>
          <w:p w:rsidR="004F3B22" w:rsidRPr="001C0FB6" w:rsidRDefault="004F3B22" w:rsidP="00556E68">
            <w:pPr>
              <w:pStyle w:val="TableText"/>
              <w:spacing w:after="60"/>
            </w:pPr>
            <w:r w:rsidRPr="001C0FB6">
              <w:t>Full-WIA group</w:t>
            </w:r>
          </w:p>
        </w:tc>
        <w:tc>
          <w:tcPr>
            <w:tcW w:w="824" w:type="pct"/>
            <w:tcBorders>
              <w:bottom w:val="single" w:sz="4" w:space="0" w:color="auto"/>
            </w:tcBorders>
          </w:tcPr>
          <w:p w:rsidR="004F3B22" w:rsidRPr="001C0FB6" w:rsidRDefault="004F3B22" w:rsidP="00FB38FA">
            <w:pPr>
              <w:pStyle w:val="TableText"/>
              <w:tabs>
                <w:tab w:val="decimal" w:pos="621"/>
              </w:tabs>
              <w:spacing w:after="60"/>
            </w:pPr>
            <w:r w:rsidRPr="001C0FB6">
              <w:t>98.6</w:t>
            </w:r>
          </w:p>
        </w:tc>
        <w:tc>
          <w:tcPr>
            <w:tcW w:w="868" w:type="pct"/>
            <w:tcBorders>
              <w:bottom w:val="single" w:sz="4" w:space="0" w:color="auto"/>
            </w:tcBorders>
          </w:tcPr>
          <w:p w:rsidR="004F3B22" w:rsidRPr="001C0FB6" w:rsidRDefault="004F3B22" w:rsidP="00FB38FA">
            <w:pPr>
              <w:pStyle w:val="TableText"/>
              <w:tabs>
                <w:tab w:val="decimal" w:pos="772"/>
              </w:tabs>
              <w:spacing w:after="60"/>
            </w:pPr>
            <w:r w:rsidRPr="001C0FB6">
              <w:t xml:space="preserve">97.0 </w:t>
            </w:r>
          </w:p>
        </w:tc>
        <w:tc>
          <w:tcPr>
            <w:tcW w:w="733" w:type="pct"/>
            <w:tcBorders>
              <w:bottom w:val="single" w:sz="4" w:space="0" w:color="auto"/>
            </w:tcBorders>
          </w:tcPr>
          <w:p w:rsidR="004F3B22" w:rsidRPr="001C0FB6" w:rsidRDefault="004F3B22" w:rsidP="00FB38FA">
            <w:pPr>
              <w:pStyle w:val="TableText"/>
              <w:tabs>
                <w:tab w:val="decimal" w:pos="615"/>
              </w:tabs>
              <w:spacing w:after="60"/>
            </w:pPr>
            <w:r w:rsidRPr="001C0FB6">
              <w:t>94.0</w:t>
            </w:r>
          </w:p>
        </w:tc>
        <w:tc>
          <w:tcPr>
            <w:tcW w:w="733" w:type="pct"/>
            <w:tcBorders>
              <w:bottom w:val="single" w:sz="4" w:space="0" w:color="auto"/>
            </w:tcBorders>
          </w:tcPr>
          <w:p w:rsidR="004F3B22" w:rsidRPr="001C0FB6" w:rsidRDefault="004F3B22" w:rsidP="00FB38FA">
            <w:pPr>
              <w:pStyle w:val="TableText"/>
              <w:tabs>
                <w:tab w:val="decimal" w:pos="578"/>
              </w:tabs>
              <w:spacing w:after="60"/>
            </w:pPr>
            <w:r w:rsidRPr="001C0FB6">
              <w:t>90.0</w:t>
            </w:r>
          </w:p>
        </w:tc>
        <w:tc>
          <w:tcPr>
            <w:tcW w:w="733" w:type="pct"/>
            <w:tcBorders>
              <w:bottom w:val="single" w:sz="4" w:space="0" w:color="auto"/>
            </w:tcBorders>
          </w:tcPr>
          <w:p w:rsidR="004F3B22" w:rsidRPr="001C0FB6" w:rsidRDefault="004F3B22" w:rsidP="00FB38FA">
            <w:pPr>
              <w:pStyle w:val="TableText"/>
              <w:tabs>
                <w:tab w:val="decimal" w:pos="556"/>
              </w:tabs>
              <w:spacing w:after="60"/>
            </w:pPr>
            <w:r w:rsidRPr="001C0FB6">
              <w:t>84.0</w:t>
            </w:r>
          </w:p>
        </w:tc>
      </w:tr>
    </w:tbl>
    <w:p w:rsidR="004F3B22" w:rsidRDefault="004F3B22" w:rsidP="00556E68">
      <w:pPr>
        <w:pStyle w:val="TableSourceCaption"/>
        <w:spacing w:before="120"/>
      </w:pPr>
      <w:r w:rsidRPr="001C0FB6">
        <w:t>Source:</w:t>
      </w:r>
      <w:r w:rsidRPr="0026099F">
        <w:tab/>
        <w:t xml:space="preserve">WIA </w:t>
      </w:r>
      <w:r w:rsidRPr="001C0FB6">
        <w:t>Standardized Record Data for average annual adult and dislocated worker who received intensive services and exited the program</w:t>
      </w:r>
      <w:r w:rsidRPr="0026099F">
        <w:t xml:space="preserve"> between April 2006 and March 2008, extrapolated to 18 months.</w:t>
      </w:r>
    </w:p>
    <w:p w:rsidR="004F3B22" w:rsidRPr="001C0FB6" w:rsidRDefault="004F3B22" w:rsidP="0026009D"/>
    <w:p w:rsidR="004F3B22" w:rsidRPr="001C0FB6" w:rsidRDefault="004F3B22" w:rsidP="0026009D">
      <w:r w:rsidRPr="001C0FB6">
        <w:rPr>
          <w:b/>
          <w:bCs/>
          <w:iCs/>
        </w:rPr>
        <w:t xml:space="preserve">Sampling for the </w:t>
      </w:r>
      <w:r>
        <w:rPr>
          <w:b/>
          <w:bCs/>
          <w:iCs/>
        </w:rPr>
        <w:t>s</w:t>
      </w:r>
      <w:r w:rsidRPr="001C0FB6">
        <w:rPr>
          <w:b/>
          <w:bCs/>
          <w:iCs/>
        </w:rPr>
        <w:t xml:space="preserve">urveys. </w:t>
      </w:r>
      <w:r w:rsidRPr="001C0FB6">
        <w:t>Because some important outcomes are not available from administrative sources, two follow-up surveys will be conducted with 6,000 customers. The surveys will collect a rich amount of information on sample members</w:t>
      </w:r>
      <w:r>
        <w:t>’</w:t>
      </w:r>
      <w:r w:rsidRPr="001C0FB6">
        <w:t xml:space="preserve"> training, training program characteristics, receipt of social services, and employment outcomes. Approval of the survey data collection effort will be requested in a </w:t>
      </w:r>
      <w:r>
        <w:t>second part of this</w:t>
      </w:r>
      <w:r w:rsidRPr="001C0FB6">
        <w:t xml:space="preserve"> </w:t>
      </w:r>
      <w:r>
        <w:t>information collection clearance request, which we will submit later</w:t>
      </w:r>
      <w:r w:rsidRPr="001C0FB6">
        <w:t>.</w:t>
      </w:r>
    </w:p>
    <w:p w:rsidR="004F3B22" w:rsidRDefault="004F3B22" w:rsidP="0026009D">
      <w:r w:rsidRPr="001C0FB6">
        <w:t xml:space="preserve">All adult and dislocated workers randomly assigned to the core-and-intensive or core-only groups will be included in the survey sample. However, only a random subset of 2,000 full-WIA group members will be included. Thus, the survey sample will be balanced across the three research groups, with 2,000 people in each of the three groups, yielding more precise impact estimates than would other allocations of the 6,000 customers. The random selection of full-WIA members for the survey sample will be stratified by site; within each site, the survey sample size of full-WIA members will be the same as the sample sizes for the core-and-intensive and core-only groups. Stratification on other characteristics will be performed to ensure that the sample is balanced in terms of adult/dislocated worker status, sex, and race/ethnicity and is well matched to the core-only and core-and-intensive services groups on these dimensions. </w:t>
      </w:r>
    </w:p>
    <w:p w:rsidR="004F3B22" w:rsidRDefault="004F3B22">
      <w:pPr>
        <w:rPr>
          <w:rFonts w:ascii="Calibri" w:hAnsi="Calibri"/>
          <w:sz w:val="22"/>
          <w:szCs w:val="22"/>
        </w:rPr>
      </w:pPr>
      <w:r>
        <w:t>The matching approach was also considered. Such an approach would yield better balance between the survey samples. However, there are two main drawbacks.  First, because there are three research groups, it will be operationally difficult to match the full-WIA (FW) group to both the core-and-intensive (CI) and core-only (CO) groups. This can be done by, for example, by (1) estimating a multinomial logit model that regresses the dependent variable (1 = FW, 2 = CI, 3 = CO) on the matching variables, (2) calculating propensity scores, and (3) obtaining the matched FW group by minimizing the average distance between the FW propensity scores and those of the CI and CO groups (or using another loss function). However, it is not clear that the complexity of this procedure is worth the benefits, especially since the CI and CO survey samples will not be matched to each other. The second, and perhaps more important drawback, is that standard error calculations using the matching approach are less developed and transparent than under the stratified random sampling approach. This is especially true given the clustered design.</w:t>
      </w:r>
    </w:p>
    <w:p w:rsidR="004F3B22" w:rsidRDefault="004F3B22" w:rsidP="0026009D">
      <w:r>
        <w:t>We will use the stratification approach for two reasons. First, although the stratification approach may not achieve the same level of balance as the matching approach, it will likely yield sufficiently balanced samples due to relatively large study samples and random sampling. And, we will regression-adjust the impact estimates in the analysis to account for any residual imbalances between the survey samples due to randomization. Second, the standard error calculations using this approach have been well established.         </w:t>
      </w:r>
    </w:p>
    <w:p w:rsidR="004F3B22" w:rsidRPr="00BA4A0E" w:rsidRDefault="004F3B22" w:rsidP="0026009D">
      <w:r>
        <w:t> </w:t>
      </w:r>
      <w:r>
        <w:rPr>
          <w:b/>
        </w:rPr>
        <w:t>Sample attrition and r</w:t>
      </w:r>
      <w:r w:rsidRPr="00547A47">
        <w:rPr>
          <w:b/>
        </w:rPr>
        <w:t xml:space="preserve">esponse </w:t>
      </w:r>
      <w:r>
        <w:rPr>
          <w:b/>
        </w:rPr>
        <w:t>r</w:t>
      </w:r>
      <w:r w:rsidRPr="00547A47">
        <w:rPr>
          <w:b/>
        </w:rPr>
        <w:t>ates</w:t>
      </w:r>
      <w:r w:rsidRPr="004D7E67">
        <w:t xml:space="preserve">. </w:t>
      </w:r>
      <w:r w:rsidRPr="00BA4A0E">
        <w:t>The first potential source of attrition is the refusal of sites to participate</w:t>
      </w:r>
      <w:r>
        <w:t xml:space="preserve"> (Table B.6</w:t>
      </w:r>
      <w:r w:rsidRPr="00BA4A0E">
        <w:t>). As discussed above, 26 out of the 30 initially-selected sites agreed to participate. The participation rate in terms of individuals is 89 percent</w:t>
      </w:r>
      <w:r>
        <w:t xml:space="preserve"> (first row of Table B.6)</w:t>
      </w:r>
      <w:r w:rsidRPr="00BA4A0E">
        <w:t xml:space="preserve">.  </w:t>
      </w:r>
    </w:p>
    <w:p w:rsidR="004F3B22" w:rsidRDefault="004F3B22" w:rsidP="00E743F2">
      <w:r w:rsidRPr="00BA4A0E">
        <w:t>The second potential source of attrition from the sample of customers in the participating sites occurs in obtaining consent to par</w:t>
      </w:r>
      <w:r>
        <w:t>ticipate in the study (Table B.6</w:t>
      </w:r>
      <w:r w:rsidRPr="00BA4A0E">
        <w:t xml:space="preserve">). We expect that a high percentage of customers will agree to participate in the study. While exact numbers from other </w:t>
      </w:r>
      <w:r>
        <w:t xml:space="preserve">random assignment </w:t>
      </w:r>
      <w:r w:rsidRPr="00BA4A0E">
        <w:t>studies are unavailable, we have been told by evaluation site staff in studies of Job Corps</w:t>
      </w:r>
      <w:r>
        <w:t xml:space="preserve"> (Schochet et al. 2008)</w:t>
      </w:r>
      <w:r w:rsidRPr="00BA4A0E">
        <w:t>, individual training accounts</w:t>
      </w:r>
      <w:r>
        <w:t xml:space="preserve"> (McConnell et al. 2006)</w:t>
      </w:r>
      <w:r w:rsidRPr="00BA4A0E">
        <w:t xml:space="preserve">, </w:t>
      </w:r>
      <w:r>
        <w:t xml:space="preserve">National Supported Work (MDRC 1980), </w:t>
      </w:r>
      <w:r w:rsidRPr="00BA4A0E">
        <w:t xml:space="preserve">and a relationship skills training program </w:t>
      </w:r>
      <w:r>
        <w:t xml:space="preserve">(Dion et al. 2006) </w:t>
      </w:r>
      <w:r w:rsidRPr="00BA4A0E">
        <w:t>that refusing consent is rare. (In this study, the number of customers who refuse to participate in the study is being tracked by the Eligibility Checklist). We assume that 98 percent of all customers will agree to participate in the study</w:t>
      </w:r>
      <w:r>
        <w:t xml:space="preserve"> (second row of Table B.6)</w:t>
      </w:r>
      <w:r w:rsidRPr="00BA4A0E">
        <w:t>.</w:t>
      </w:r>
    </w:p>
    <w:p w:rsidR="004F3B22" w:rsidRDefault="004F3B22" w:rsidP="0026009D">
      <w:r w:rsidRPr="00BA4A0E">
        <w:t xml:space="preserve">The third source of attrition is nonresponse to </w:t>
      </w:r>
      <w:r>
        <w:t>the follow-up surveys (Table B.6</w:t>
      </w:r>
      <w:r w:rsidRPr="00BA4A0E">
        <w:t xml:space="preserve">). We expect to receive an 82 percent response rate to </w:t>
      </w:r>
      <w:r w:rsidRPr="00BA4A0E">
        <w:rPr>
          <w:u w:val="single"/>
        </w:rPr>
        <w:t>each</w:t>
      </w:r>
      <w:r w:rsidRPr="00BA4A0E">
        <w:t xml:space="preserve"> follow-up survey</w:t>
      </w:r>
      <w:r>
        <w:t xml:space="preserve"> (third row of Table B.6)</w:t>
      </w:r>
      <w:r w:rsidRPr="00BA4A0E">
        <w:t>. With similar adults in the 15-month follow-up for the ITA Experiment, Mathematica achieved an 82 percent response rate in a telephone survey (McConnell et al. 2006).</w:t>
      </w:r>
      <w:r w:rsidRPr="00BA4A0E">
        <w:rPr>
          <w:rStyle w:val="FootnoteReference"/>
          <w:rFonts w:ascii="Times New Roman" w:hAnsi="Times New Roman"/>
        </w:rPr>
        <w:footnoteReference w:id="3"/>
      </w:r>
      <w:r w:rsidRPr="00BA4A0E">
        <w:t xml:space="preserve"> Mathematica has also recently obtained an 82 percent response rate in a survey for the impact evaluation of the Trade Adjustment Assistance program</w:t>
      </w:r>
      <w:r>
        <w:t xml:space="preserve"> (Schochet et al., 2011)</w:t>
      </w:r>
      <w:r w:rsidRPr="00BA4A0E">
        <w:t xml:space="preserve">. </w:t>
      </w:r>
      <w:r>
        <w:t xml:space="preserve">We expect that 74 percent of consenting customers will respond to both surveys (seventh row of Table B.6). </w:t>
      </w:r>
      <w:r w:rsidRPr="00BA4A0E">
        <w:t xml:space="preserve">We will discuss our approach to obtaining a </w:t>
      </w:r>
      <w:r>
        <w:br w:type="textWrapping" w:clear="all"/>
      </w:r>
    </w:p>
    <w:p w:rsidR="004F3B22" w:rsidRPr="00CA0B10" w:rsidRDefault="004F3B22" w:rsidP="00FF7AE7">
      <w:pPr>
        <w:pStyle w:val="MarkforTableHeading"/>
      </w:pPr>
      <w:r>
        <w:t>Table B.6. Assumptions About Sample Attrition in the WIA Evaluation</w:t>
      </w:r>
    </w:p>
    <w:tbl>
      <w:tblPr>
        <w:tblW w:w="0" w:type="auto"/>
        <w:tblBorders>
          <w:top w:val="single" w:sz="4" w:space="0" w:color="000000"/>
          <w:bottom w:val="single" w:sz="4" w:space="0" w:color="000000"/>
        </w:tblBorders>
        <w:tblLook w:val="00A0"/>
      </w:tblPr>
      <w:tblGrid>
        <w:gridCol w:w="7938"/>
        <w:gridCol w:w="1638"/>
      </w:tblGrid>
      <w:tr w:rsidR="004F3B22" w:rsidRPr="00BA4A0E" w:rsidTr="00FF7AE7">
        <w:tc>
          <w:tcPr>
            <w:tcW w:w="7938" w:type="dxa"/>
            <w:tcBorders>
              <w:top w:val="single" w:sz="12" w:space="0" w:color="auto"/>
            </w:tcBorders>
          </w:tcPr>
          <w:p w:rsidR="004F3B22" w:rsidRPr="00A2618B" w:rsidRDefault="004F3B22" w:rsidP="00A2618B">
            <w:pPr>
              <w:pStyle w:val="TableText"/>
              <w:tabs>
                <w:tab w:val="left" w:pos="270"/>
              </w:tabs>
              <w:spacing w:before="60" w:after="60"/>
              <w:ind w:left="270" w:hanging="270"/>
              <w:rPr>
                <w:szCs w:val="18"/>
              </w:rPr>
            </w:pPr>
            <w:r w:rsidRPr="00A2618B">
              <w:rPr>
                <w:szCs w:val="18"/>
              </w:rPr>
              <w:t>1.</w:t>
            </w:r>
            <w:r w:rsidRPr="00A2618B">
              <w:rPr>
                <w:szCs w:val="18"/>
              </w:rPr>
              <w:tab/>
              <w:t xml:space="preserve">Proportion of all customers in the 30 initially-selected sites that are in the 26 sites that agreed to participate </w:t>
            </w:r>
          </w:p>
        </w:tc>
        <w:tc>
          <w:tcPr>
            <w:tcW w:w="1638" w:type="dxa"/>
            <w:tcBorders>
              <w:top w:val="single" w:sz="12" w:space="0" w:color="auto"/>
            </w:tcBorders>
          </w:tcPr>
          <w:p w:rsidR="004F3B22" w:rsidRPr="00A2618B" w:rsidRDefault="004F3B22" w:rsidP="00FF7AE7">
            <w:pPr>
              <w:pStyle w:val="TableText"/>
              <w:tabs>
                <w:tab w:val="decimal" w:pos="702"/>
              </w:tabs>
              <w:spacing w:before="60" w:after="60"/>
              <w:rPr>
                <w:szCs w:val="18"/>
              </w:rPr>
            </w:pPr>
            <w:r w:rsidRPr="00A2618B">
              <w:rPr>
                <w:szCs w:val="18"/>
              </w:rPr>
              <w:t>89%</w:t>
            </w:r>
          </w:p>
        </w:tc>
      </w:tr>
      <w:tr w:rsidR="004F3B22" w:rsidRPr="00BA4A0E" w:rsidTr="00FF7AE7">
        <w:tc>
          <w:tcPr>
            <w:tcW w:w="7938" w:type="dxa"/>
          </w:tcPr>
          <w:p w:rsidR="004F3B22" w:rsidRPr="00A2618B" w:rsidRDefault="004F3B22" w:rsidP="00A2618B">
            <w:pPr>
              <w:pStyle w:val="TableText"/>
              <w:tabs>
                <w:tab w:val="left" w:pos="270"/>
              </w:tabs>
              <w:spacing w:before="60" w:after="60"/>
              <w:ind w:left="270" w:hanging="270"/>
              <w:rPr>
                <w:szCs w:val="18"/>
              </w:rPr>
            </w:pPr>
            <w:r w:rsidRPr="00A2618B">
              <w:rPr>
                <w:szCs w:val="18"/>
              </w:rPr>
              <w:t>2.</w:t>
            </w:r>
            <w:r w:rsidRPr="00A2618B">
              <w:rPr>
                <w:szCs w:val="18"/>
              </w:rPr>
              <w:tab/>
              <w:t>Proportion of all customers in the 26 participating sites who consent to participate in the study</w:t>
            </w:r>
          </w:p>
        </w:tc>
        <w:tc>
          <w:tcPr>
            <w:tcW w:w="1638" w:type="dxa"/>
          </w:tcPr>
          <w:p w:rsidR="004F3B22" w:rsidRPr="00A2618B" w:rsidRDefault="004F3B22" w:rsidP="00FF7AE7">
            <w:pPr>
              <w:pStyle w:val="TableText"/>
              <w:tabs>
                <w:tab w:val="decimal" w:pos="702"/>
              </w:tabs>
              <w:spacing w:before="60" w:after="60"/>
              <w:rPr>
                <w:szCs w:val="18"/>
              </w:rPr>
            </w:pPr>
            <w:r w:rsidRPr="00A2618B">
              <w:rPr>
                <w:szCs w:val="18"/>
              </w:rPr>
              <w:t>98%</w:t>
            </w:r>
          </w:p>
        </w:tc>
      </w:tr>
      <w:tr w:rsidR="004F3B22" w:rsidRPr="00BA4A0E" w:rsidTr="00FF7AE7">
        <w:tc>
          <w:tcPr>
            <w:tcW w:w="7938" w:type="dxa"/>
          </w:tcPr>
          <w:p w:rsidR="004F3B22" w:rsidRPr="00A2618B" w:rsidRDefault="004F3B22" w:rsidP="00A2618B">
            <w:pPr>
              <w:pStyle w:val="TableText"/>
              <w:tabs>
                <w:tab w:val="left" w:pos="270"/>
              </w:tabs>
              <w:spacing w:before="60" w:after="60"/>
              <w:ind w:left="270" w:hanging="270"/>
              <w:rPr>
                <w:szCs w:val="18"/>
              </w:rPr>
            </w:pPr>
            <w:r w:rsidRPr="00A2618B">
              <w:rPr>
                <w:szCs w:val="18"/>
              </w:rPr>
              <w:t>3.</w:t>
            </w:r>
            <w:r w:rsidRPr="00A2618B">
              <w:rPr>
                <w:szCs w:val="18"/>
              </w:rPr>
              <w:tab/>
              <w:t>Proportion of consenting customers who respond to each follow-up survey</w:t>
            </w:r>
          </w:p>
        </w:tc>
        <w:tc>
          <w:tcPr>
            <w:tcW w:w="1638" w:type="dxa"/>
          </w:tcPr>
          <w:p w:rsidR="004F3B22" w:rsidRPr="00A2618B" w:rsidRDefault="004F3B22" w:rsidP="00FF7AE7">
            <w:pPr>
              <w:pStyle w:val="TableText"/>
              <w:tabs>
                <w:tab w:val="decimal" w:pos="702"/>
              </w:tabs>
              <w:spacing w:before="60" w:after="60"/>
              <w:rPr>
                <w:szCs w:val="18"/>
              </w:rPr>
            </w:pPr>
            <w:r w:rsidRPr="00A2618B">
              <w:rPr>
                <w:szCs w:val="18"/>
              </w:rPr>
              <w:t>82%</w:t>
            </w:r>
          </w:p>
        </w:tc>
      </w:tr>
      <w:tr w:rsidR="004F3B22" w:rsidRPr="00BA4A0E" w:rsidTr="00FF7AE7">
        <w:tc>
          <w:tcPr>
            <w:tcW w:w="7938" w:type="dxa"/>
          </w:tcPr>
          <w:p w:rsidR="004F3B22" w:rsidRPr="00A2618B" w:rsidRDefault="004F3B22" w:rsidP="00A2618B">
            <w:pPr>
              <w:pStyle w:val="TableText"/>
              <w:tabs>
                <w:tab w:val="left" w:pos="270"/>
              </w:tabs>
              <w:spacing w:before="60" w:after="60"/>
              <w:ind w:left="270" w:hanging="270"/>
              <w:rPr>
                <w:szCs w:val="18"/>
              </w:rPr>
            </w:pPr>
            <w:r w:rsidRPr="00A2618B">
              <w:rPr>
                <w:szCs w:val="18"/>
              </w:rPr>
              <w:t>4.</w:t>
            </w:r>
            <w:r w:rsidRPr="00A2618B">
              <w:rPr>
                <w:szCs w:val="18"/>
              </w:rPr>
              <w:tab/>
              <w:t>Proportion of all customers (both consenting and nonconsenting) in the 30 sites who respond to each follow-up survey</w:t>
            </w:r>
          </w:p>
        </w:tc>
        <w:tc>
          <w:tcPr>
            <w:tcW w:w="1638" w:type="dxa"/>
          </w:tcPr>
          <w:p w:rsidR="004F3B22" w:rsidRPr="00A2618B" w:rsidRDefault="004F3B22" w:rsidP="00FF7AE7">
            <w:pPr>
              <w:pStyle w:val="TableText"/>
              <w:tabs>
                <w:tab w:val="decimal" w:pos="702"/>
              </w:tabs>
              <w:spacing w:before="60" w:after="60"/>
              <w:rPr>
                <w:szCs w:val="18"/>
              </w:rPr>
            </w:pPr>
            <w:r w:rsidRPr="00A2618B">
              <w:rPr>
                <w:szCs w:val="18"/>
              </w:rPr>
              <w:t>72%</w:t>
            </w:r>
          </w:p>
        </w:tc>
      </w:tr>
      <w:tr w:rsidR="004F3B22" w:rsidRPr="00BA4A0E" w:rsidTr="00FF7AE7">
        <w:tc>
          <w:tcPr>
            <w:tcW w:w="7938" w:type="dxa"/>
          </w:tcPr>
          <w:p w:rsidR="004F3B22" w:rsidRPr="00A2618B" w:rsidRDefault="004F3B22" w:rsidP="00A2618B">
            <w:pPr>
              <w:pStyle w:val="TableText"/>
              <w:tabs>
                <w:tab w:val="left" w:pos="270"/>
              </w:tabs>
              <w:spacing w:before="60" w:after="60"/>
              <w:ind w:left="270" w:hanging="270"/>
              <w:rPr>
                <w:szCs w:val="18"/>
              </w:rPr>
            </w:pPr>
            <w:r w:rsidRPr="00A2618B">
              <w:rPr>
                <w:szCs w:val="18"/>
              </w:rPr>
              <w:t>5.</w:t>
            </w:r>
            <w:r w:rsidRPr="00A2618B">
              <w:rPr>
                <w:szCs w:val="18"/>
              </w:rPr>
              <w:tab/>
              <w:t>Proportion of all consenting customers for whom we receive administrative data</w:t>
            </w:r>
          </w:p>
        </w:tc>
        <w:tc>
          <w:tcPr>
            <w:tcW w:w="1638" w:type="dxa"/>
          </w:tcPr>
          <w:p w:rsidR="004F3B22" w:rsidRPr="00A2618B" w:rsidRDefault="004F3B22" w:rsidP="00FF7AE7">
            <w:pPr>
              <w:pStyle w:val="TableText"/>
              <w:tabs>
                <w:tab w:val="decimal" w:pos="702"/>
              </w:tabs>
              <w:spacing w:before="60" w:after="60"/>
              <w:rPr>
                <w:szCs w:val="18"/>
              </w:rPr>
            </w:pPr>
            <w:r w:rsidRPr="00A2618B">
              <w:rPr>
                <w:szCs w:val="18"/>
              </w:rPr>
              <w:t>100%</w:t>
            </w:r>
          </w:p>
        </w:tc>
      </w:tr>
      <w:tr w:rsidR="004F3B22" w:rsidRPr="00BA4A0E" w:rsidTr="00FF7AE7">
        <w:tc>
          <w:tcPr>
            <w:tcW w:w="7938" w:type="dxa"/>
            <w:tcBorders>
              <w:bottom w:val="single" w:sz="4" w:space="0" w:color="000000"/>
            </w:tcBorders>
          </w:tcPr>
          <w:p w:rsidR="004F3B22" w:rsidRPr="00A2618B" w:rsidRDefault="004F3B22" w:rsidP="00A2618B">
            <w:pPr>
              <w:pStyle w:val="TableText"/>
              <w:tabs>
                <w:tab w:val="left" w:pos="270"/>
              </w:tabs>
              <w:spacing w:before="60" w:after="60"/>
              <w:ind w:left="270" w:hanging="270"/>
              <w:rPr>
                <w:szCs w:val="18"/>
              </w:rPr>
            </w:pPr>
            <w:r w:rsidRPr="00A2618B">
              <w:rPr>
                <w:szCs w:val="18"/>
              </w:rPr>
              <w:t>6.</w:t>
            </w:r>
            <w:r w:rsidRPr="00A2618B">
              <w:rPr>
                <w:szCs w:val="18"/>
              </w:rPr>
              <w:tab/>
              <w:t>Proportion of all customers (both consenting and nonconsenting) in the 30 sites for whom we receive administrative data</w:t>
            </w:r>
          </w:p>
          <w:p w:rsidR="004F3B22" w:rsidRPr="00A2618B" w:rsidRDefault="004F3B22" w:rsidP="00A2618B">
            <w:pPr>
              <w:pStyle w:val="TableText"/>
              <w:tabs>
                <w:tab w:val="left" w:pos="270"/>
              </w:tabs>
              <w:spacing w:before="60" w:after="60"/>
              <w:ind w:left="270" w:hanging="270"/>
              <w:rPr>
                <w:szCs w:val="18"/>
              </w:rPr>
            </w:pPr>
            <w:r w:rsidRPr="00A2618B">
              <w:rPr>
                <w:szCs w:val="18"/>
              </w:rPr>
              <w:t>7.</w:t>
            </w:r>
            <w:r w:rsidRPr="00A2618B">
              <w:rPr>
                <w:szCs w:val="18"/>
              </w:rPr>
              <w:tab/>
              <w:t xml:space="preserve">Proportion of consenting customers who respond to </w:t>
            </w:r>
            <w:r w:rsidRPr="00A2618B">
              <w:rPr>
                <w:szCs w:val="18"/>
                <w:u w:val="single"/>
              </w:rPr>
              <w:t>both</w:t>
            </w:r>
            <w:r w:rsidRPr="00A2618B">
              <w:rPr>
                <w:szCs w:val="18"/>
              </w:rPr>
              <w:t xml:space="preserve"> follow-up surveys</w:t>
            </w:r>
          </w:p>
        </w:tc>
        <w:tc>
          <w:tcPr>
            <w:tcW w:w="1638" w:type="dxa"/>
            <w:tcBorders>
              <w:bottom w:val="single" w:sz="4" w:space="0" w:color="000000"/>
            </w:tcBorders>
          </w:tcPr>
          <w:p w:rsidR="004F3B22" w:rsidRPr="00A2618B" w:rsidRDefault="004F3B22" w:rsidP="00FF7AE7">
            <w:pPr>
              <w:pStyle w:val="TableText"/>
              <w:tabs>
                <w:tab w:val="decimal" w:pos="702"/>
              </w:tabs>
              <w:spacing w:before="60" w:after="60"/>
              <w:rPr>
                <w:szCs w:val="18"/>
              </w:rPr>
            </w:pPr>
            <w:r w:rsidRPr="00A2618B">
              <w:rPr>
                <w:szCs w:val="18"/>
              </w:rPr>
              <w:t>87%</w:t>
            </w:r>
          </w:p>
          <w:p w:rsidR="004F3B22" w:rsidRPr="00A2618B" w:rsidRDefault="004F3B22" w:rsidP="00FF7AE7">
            <w:pPr>
              <w:pStyle w:val="TableText"/>
              <w:tabs>
                <w:tab w:val="decimal" w:pos="702"/>
              </w:tabs>
              <w:spacing w:before="60" w:after="60"/>
              <w:rPr>
                <w:szCs w:val="18"/>
              </w:rPr>
            </w:pPr>
          </w:p>
          <w:p w:rsidR="004F3B22" w:rsidRPr="00A2618B" w:rsidRDefault="004F3B22" w:rsidP="00FF7AE7">
            <w:pPr>
              <w:pStyle w:val="TableText"/>
              <w:tabs>
                <w:tab w:val="decimal" w:pos="702"/>
              </w:tabs>
              <w:spacing w:before="60" w:after="60"/>
              <w:rPr>
                <w:szCs w:val="18"/>
              </w:rPr>
            </w:pPr>
            <w:r w:rsidRPr="00A2618B">
              <w:rPr>
                <w:szCs w:val="18"/>
              </w:rPr>
              <w:t>74%</w:t>
            </w:r>
          </w:p>
        </w:tc>
      </w:tr>
    </w:tbl>
    <w:p w:rsidR="004F3B22" w:rsidRDefault="004F3B22" w:rsidP="00A2618B">
      <w:pPr>
        <w:pStyle w:val="Normalcontinued"/>
        <w:spacing w:line="240" w:lineRule="auto"/>
      </w:pPr>
    </w:p>
    <w:p w:rsidR="004F3B22" w:rsidRDefault="004F3B22" w:rsidP="00FF7AE7">
      <w:pPr>
        <w:pStyle w:val="Normalcontinued"/>
      </w:pPr>
      <w:r w:rsidRPr="00BA4A0E">
        <w:t>high response rate when we request clearance for the surveys in the second part of this OMB package that we will submit later.</w:t>
      </w:r>
    </w:p>
    <w:p w:rsidR="004F3B22" w:rsidRPr="009777A6" w:rsidRDefault="004F3B22" w:rsidP="0026009D">
      <w:r>
        <w:t xml:space="preserve">The fourth row in Table B.6 shows the percentage of all customers (both consenters and nonconsenters) in the 30 initially randomly selected sites who we expect to respond to each follow-up survey. It is calculated as the response rate (82 percent) times the percentage of customers who consent to the study in each site (98 percent) times the percentage of customers in the 30 sites who are located in the 26 participating sites (89 percent). </w:t>
      </w:r>
      <w:r w:rsidRPr="009777A6">
        <w:t xml:space="preserve">Sample attrition in the traditional sense </w:t>
      </w:r>
      <w:r>
        <w:t xml:space="preserve">will </w:t>
      </w:r>
      <w:r w:rsidRPr="009777A6">
        <w:t xml:space="preserve">not occur </w:t>
      </w:r>
      <w:r>
        <w:t>in the collection of the</w:t>
      </w:r>
      <w:r w:rsidRPr="009777A6">
        <w:t xml:space="preserve"> </w:t>
      </w:r>
      <w:r>
        <w:t>UI wage records (Table B.6</w:t>
      </w:r>
      <w:r w:rsidRPr="009777A6">
        <w:t>)</w:t>
      </w:r>
      <w:r>
        <w:t xml:space="preserve"> because of the interpretation of nonmatching records</w:t>
      </w:r>
      <w:r w:rsidRPr="009777A6">
        <w:t>. We will send the social security numbers of all participants in our study to the partici</w:t>
      </w:r>
      <w:r>
        <w:t xml:space="preserve">pating state UI agencies. </w:t>
      </w:r>
      <w:r w:rsidRPr="009777A6">
        <w:t>The agency will match the social security numbers with their records. If they find a match, they will return the information about earnings for the quarter on that study participant. If they do not find a match, we will assume that the study participant was not employed and had no earnings in that quarter. Hence, we will have information for every study participant</w:t>
      </w:r>
      <w:r>
        <w:t xml:space="preserve"> (fifth row of Table B.6)</w:t>
      </w:r>
      <w:r w:rsidRPr="009777A6">
        <w:t>.</w:t>
      </w:r>
      <w:r>
        <w:t xml:space="preserve"> The sixth row in Table B.6 shows the percentage of all customers (both consenters and nonconsenters) in the 30 initially randomly selected sites for whom we expect to receive administrative data.  </w:t>
      </w:r>
    </w:p>
    <w:p w:rsidR="004F3B22" w:rsidRPr="004D7E67" w:rsidRDefault="004F3B22" w:rsidP="00A2618B">
      <w:r>
        <w:t>We recognize, however, that t</w:t>
      </w:r>
      <w:r w:rsidRPr="009777A6">
        <w:t xml:space="preserve">he information obtained from </w:t>
      </w:r>
      <w:r>
        <w:t>UI</w:t>
      </w:r>
      <w:r w:rsidRPr="009777A6">
        <w:t xml:space="preserve"> records could be incorrect. They could be incorrect </w:t>
      </w:r>
      <w:r>
        <w:t xml:space="preserve">for several reasons including: (1) the study participant’s earnings are not covered by the system (because for example, the participant is self-employed, an independent contractor, or a federal government worker); (2) because the study participant works in a state not included in the study; (3) </w:t>
      </w:r>
      <w:r w:rsidRPr="009777A6">
        <w:t>the employer incorrectly reports the participant’s earnings (employers have an incentive to under-report the amount of reported earnings becau</w:t>
      </w:r>
      <w:r>
        <w:t xml:space="preserve">se they affect the payroll tax); or (4) </w:t>
      </w:r>
      <w:r w:rsidRPr="009777A6">
        <w:t>because the study participant has given the i</w:t>
      </w:r>
      <w:r>
        <w:t>ncorrect social security number</w:t>
      </w:r>
      <w:r w:rsidRPr="009777A6">
        <w:t>.</w:t>
      </w:r>
      <w:r>
        <w:t xml:space="preserve"> Despite the potential concerns with these data, we propose to collect them because when reported, the amount of earnings may be more accurate and there is the potential to collect data for a longer follow-up period without additional burden to the study participants.  </w:t>
      </w:r>
    </w:p>
    <w:p w:rsidR="004F3B22" w:rsidRPr="001C0FB6" w:rsidRDefault="004F3B22" w:rsidP="0026009D">
      <w:pPr>
        <w:pStyle w:val="Heading4"/>
      </w:pPr>
      <w:r w:rsidRPr="001C0FB6">
        <w:t>c.</w:t>
      </w:r>
      <w:r>
        <w:tab/>
      </w:r>
      <w:r w:rsidRPr="001C0FB6">
        <w:t>Unusual Problems Requiring Specialized Sampling Procedures</w:t>
      </w:r>
    </w:p>
    <w:p w:rsidR="004F3B22" w:rsidRPr="001C0FB6" w:rsidRDefault="004F3B22" w:rsidP="00A2618B">
      <w:r w:rsidRPr="001C0FB6">
        <w:t>There are no unusual problems requiring specialized sampling procedures.</w:t>
      </w:r>
    </w:p>
    <w:p w:rsidR="004F3B22" w:rsidRPr="001C0FB6" w:rsidRDefault="004F3B22" w:rsidP="0026009D">
      <w:pPr>
        <w:pStyle w:val="Heading4"/>
      </w:pPr>
      <w:r w:rsidRPr="001C0FB6">
        <w:t>d.</w:t>
      </w:r>
      <w:r>
        <w:tab/>
      </w:r>
      <w:r w:rsidRPr="001C0FB6">
        <w:t>Periodic Cycles to Reduce Burden</w:t>
      </w:r>
    </w:p>
    <w:p w:rsidR="004F3B22" w:rsidRPr="001C0FB6" w:rsidRDefault="004F3B22" w:rsidP="0026009D">
      <w:r w:rsidRPr="001C0FB6">
        <w:t xml:space="preserve">The baseline and contact information will be requested only once from each sample member. </w:t>
      </w:r>
    </w:p>
    <w:p w:rsidR="004F3B22" w:rsidRPr="001C0FB6" w:rsidRDefault="004F3B22" w:rsidP="00A2618B">
      <w:r w:rsidRPr="001C0FB6">
        <w:t xml:space="preserve">Site visits will be conducted twice, once early in the intake period and once toward the end of the intake period. The use of two rounds of site visits will be important to ensure that the implementation study can provide information on how implementation of both the WIA program and the evaluation has evolved over time. Although some questions will be similar across the two rounds of data collection, the first round will focus more on site-specific features of WIA implementation, and the second round will focus more on changes since the first round. Furthermore, the second round of visits will include the collection of data on program costs, which will support the benefit-cost analysis. Approval of the cost data collection form to be used during the second round of site visits will be requested in </w:t>
      </w:r>
      <w:r>
        <w:t>a future revision to this information collection request</w:t>
      </w:r>
      <w:r w:rsidRPr="001C0FB6">
        <w:t>.</w:t>
      </w:r>
    </w:p>
    <w:p w:rsidR="004F3B22" w:rsidRPr="001C0FB6" w:rsidRDefault="004F3B22" w:rsidP="00CD670F">
      <w:pPr>
        <w:pStyle w:val="Heading3"/>
        <w:jc w:val="left"/>
      </w:pPr>
      <w:r w:rsidRPr="001C0FB6">
        <w:t xml:space="preserve">2. </w:t>
      </w:r>
      <w:r>
        <w:tab/>
      </w:r>
      <w:r w:rsidRPr="001C0FB6">
        <w:t>Analysis Methods and Degree of Accuracy</w:t>
      </w:r>
    </w:p>
    <w:p w:rsidR="004F3B22" w:rsidRPr="00BA4A0E" w:rsidRDefault="004F3B22" w:rsidP="00E743F2">
      <w:r w:rsidRPr="00BA4A0E">
        <w:t>The primary objective of the WIA evaluation is to provide nationally representative statistically reliable estimates of the effects of WIA-funded intensive and training services that are offered to adults and dislocated workers at the time of the study. Thus, a central component of the evaluation is an impact analysis.</w:t>
      </w:r>
    </w:p>
    <w:p w:rsidR="004F3B22" w:rsidRPr="00BA4A0E" w:rsidRDefault="004F3B22" w:rsidP="00A2618B">
      <w:r w:rsidRPr="00BA4A0E">
        <w:t>The study will estimate impacts using a finite-population, design-based approach. Accordingly, study inferences will be generalized to the WIA customer universe from which the research groups will be selected (not to a “superpopulation” of WIA programs and customers). We adopt this approach, because WIA services, customer populations, and the local area context (such as unemployment rates) change somewhat over time; thus, policymakers can assess whether the evaluation findings for the full sample and key subgroups pertain more broadly to program superpopulations. The estimated variances of the impacts under this approach will be adjusted for design effects due to clustering and weighting. </w:t>
      </w:r>
    </w:p>
    <w:p w:rsidR="004F3B22" w:rsidRPr="00BA4A0E" w:rsidRDefault="004F3B22" w:rsidP="00CD670F">
      <w:pPr>
        <w:pStyle w:val="Heading4"/>
        <w:jc w:val="left"/>
      </w:pPr>
      <w:r w:rsidRPr="00BA4A0E">
        <w:t xml:space="preserve">a. </w:t>
      </w:r>
      <w:r w:rsidRPr="00BA4A0E">
        <w:tab/>
        <w:t xml:space="preserve">Analysis Methods for Impact Estimation </w:t>
      </w:r>
    </w:p>
    <w:p w:rsidR="004F3B22" w:rsidRPr="00BA4A0E" w:rsidRDefault="004F3B22" w:rsidP="00A2618B">
      <w:r w:rsidRPr="00BA4A0E">
        <w:t xml:space="preserve">The central feature of the evaluation is the random assignment of WIA customers who are eligible to receive intensive services to one of three research groups within each study site. Experimental statistical methods will yield unbiased estimates of the net impacts of WIA as it operates during the study period. For adults and dislocated workers, the net impacts of each WIA service tier can be estimated by comparing outcomes of the (1) full-WIA treatment group and the core-and-intensive group, (2) the full-WIA group and the core-only group, and (3) the core-and-intensive group and the core-only group. Impacts will be estimated not only for the full sample, but also for important subgroups defined by customer, program, and site characteristics. </w:t>
      </w:r>
    </w:p>
    <w:p w:rsidR="004F3B22" w:rsidRPr="00BA4A0E" w:rsidRDefault="004F3B22" w:rsidP="00A50958">
      <w:pPr>
        <w:pStyle w:val="Heading5"/>
      </w:pPr>
      <w:r w:rsidRPr="00BA4A0E">
        <w:t>i.</w:t>
      </w:r>
      <w:r w:rsidRPr="00BA4A0E">
        <w:tab/>
        <w:t xml:space="preserve">Estimating Impacts for the Full Sample </w:t>
      </w:r>
    </w:p>
    <w:p w:rsidR="004F3B22" w:rsidRPr="00BA4A0E" w:rsidRDefault="004F3B22" w:rsidP="00A50958">
      <w:r w:rsidRPr="00BA4A0E">
        <w:t xml:space="preserve">With a random assignment design, there should be no systematic observable or unobservable differences between research groups except for the services offered after random assignment. Thus, for each customer population (adults, dislocated workers, or both combined), simple differences in the mean values of outcomes between customers assigned to any two research groups will yield unbiased impact estimates of program impacts, and the associated </w:t>
      </w:r>
      <w:r w:rsidRPr="00BA4A0E">
        <w:rPr>
          <w:i/>
          <w:iCs/>
        </w:rPr>
        <w:t>t</w:t>
      </w:r>
      <w:r w:rsidRPr="00BA4A0E">
        <w:t xml:space="preserve">-tests (adjusted appropriately for design effects due to weighting and clustering) can be used to assess statistical significance. </w:t>
      </w:r>
    </w:p>
    <w:p w:rsidR="004F3B22" w:rsidRPr="00BA4A0E" w:rsidRDefault="004F3B22" w:rsidP="00A50958">
      <w:r w:rsidRPr="00BA4A0E">
        <w:t xml:space="preserve">The study will also use regression estimators to control for residual differences between the treatment and comparison groups and to construct more efficient estimators than the simple difference-in-means estimators. The next sections discuss the variance formulas for these impact estimators under a design-based approach that will be employed for the study.  </w:t>
      </w:r>
    </w:p>
    <w:p w:rsidR="004F3B22" w:rsidRPr="00BA4A0E" w:rsidRDefault="004F3B22" w:rsidP="00A50958">
      <w:r w:rsidRPr="00BA4A0E">
        <w:rPr>
          <w:b/>
          <w:bCs/>
        </w:rPr>
        <w:t xml:space="preserve">Differences-in-means estimators. </w:t>
      </w:r>
      <w:r w:rsidRPr="00BA4A0E">
        <w:t xml:space="preserve">The design for the WIA evaluation design is a two-stage stratified design, where </w:t>
      </w:r>
      <w:r w:rsidRPr="00BA4A0E">
        <w:rPr>
          <w:i/>
          <w:iCs/>
        </w:rPr>
        <w:t>n</w:t>
      </w:r>
      <w:r w:rsidRPr="00BA4A0E">
        <w:rPr>
          <w:i/>
          <w:iCs/>
          <w:vertAlign w:val="subscript"/>
        </w:rPr>
        <w:t>h</w:t>
      </w:r>
      <w:r w:rsidRPr="00BA4A0E">
        <w:t xml:space="preserve"> sites (PSUs) were selected within region </w:t>
      </w:r>
      <w:r w:rsidRPr="00BA4A0E">
        <w:rPr>
          <w:i/>
          <w:iCs/>
        </w:rPr>
        <w:t>h</w:t>
      </w:r>
      <w:r w:rsidRPr="00BA4A0E">
        <w:t xml:space="preserve"> with probabilities proportional to size, and </w:t>
      </w:r>
      <w:r w:rsidRPr="00BA4A0E">
        <w:rPr>
          <w:i/>
          <w:iCs/>
        </w:rPr>
        <w:t>m</w:t>
      </w:r>
      <w:r w:rsidRPr="00BA4A0E">
        <w:rPr>
          <w:i/>
          <w:iCs/>
          <w:vertAlign w:val="subscript"/>
        </w:rPr>
        <w:t>hig</w:t>
      </w:r>
      <w:r w:rsidRPr="00BA4A0E">
        <w:t xml:space="preserve"> customers from region-</w:t>
      </w:r>
      <w:r w:rsidRPr="00BA4A0E">
        <w:rPr>
          <w:i/>
          <w:iCs/>
        </w:rPr>
        <w:t>h</w:t>
      </w:r>
      <w:r w:rsidRPr="00BA4A0E">
        <w:t xml:space="preserve"> site-</w:t>
      </w:r>
      <w:r w:rsidRPr="00BA4A0E">
        <w:rPr>
          <w:i/>
          <w:iCs/>
        </w:rPr>
        <w:t>i</w:t>
      </w:r>
      <w:r w:rsidRPr="00BA4A0E">
        <w:t xml:space="preserve"> will then be randomly assigned to research group </w:t>
      </w:r>
      <w:r w:rsidRPr="00BA4A0E">
        <w:rPr>
          <w:i/>
        </w:rPr>
        <w:t>g</w:t>
      </w:r>
      <w:r w:rsidRPr="00BA4A0E">
        <w:t xml:space="preserve"> with the site-specific assignment probabilities discussed above. As discussed, site sample sizes will be selected to yield a sample that is largely self-weighting (but not completely), and there will be no poststratification. Thus, weights for customer </w:t>
      </w:r>
      <w:r w:rsidRPr="00BA4A0E">
        <w:rPr>
          <w:i/>
        </w:rPr>
        <w:t>j</w:t>
      </w:r>
      <w:r w:rsidRPr="00BA4A0E">
        <w:t xml:space="preserve">, denoted, by </w:t>
      </w:r>
      <w:r w:rsidRPr="00BA4A0E">
        <w:rPr>
          <w:i/>
          <w:iCs/>
        </w:rPr>
        <w:t>w</w:t>
      </w:r>
      <w:r w:rsidRPr="00BA4A0E">
        <w:rPr>
          <w:i/>
          <w:iCs/>
          <w:vertAlign w:val="subscript"/>
        </w:rPr>
        <w:t>hij</w:t>
      </w:r>
      <w:r w:rsidRPr="00BA4A0E">
        <w:t xml:space="preserve"> will be used to correct for the sample design and for site and survey nonresponse as discussed below. </w:t>
      </w:r>
    </w:p>
    <w:p w:rsidR="004F3B22" w:rsidRPr="00BA4A0E" w:rsidRDefault="004F3B22" w:rsidP="00EB4688">
      <w:r w:rsidRPr="00BA4A0E">
        <w:t>Under this design, the simple differences-in-means impact estimate for comparing two research groups (</w:t>
      </w:r>
      <w:r w:rsidRPr="00BA4A0E">
        <w:rPr>
          <w:position w:val="-10"/>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7" o:title=""/>
          </v:shape>
          <o:OLEObject Type="Embed" ProgID="Equation.DSMT4" ShapeID="_x0000_i1025" DrawAspect="Content" ObjectID="_1378036387" r:id="rId8"/>
        </w:object>
      </w:r>
      <w:r w:rsidRPr="00BA4A0E">
        <w:t xml:space="preserve">and </w:t>
      </w:r>
      <w:r w:rsidRPr="00BA4A0E">
        <w:rPr>
          <w:position w:val="-10"/>
        </w:rPr>
        <w:object w:dxaOrig="279" w:dyaOrig="320">
          <v:shape id="_x0000_i1026" type="#_x0000_t75" style="width:14.25pt;height:15.75pt" o:ole="">
            <v:imagedata r:id="rId9" o:title=""/>
          </v:shape>
          <o:OLEObject Type="Embed" ProgID="Equation.DSMT4" ShapeID="_x0000_i1026" DrawAspect="Content" ObjectID="_1378036388" r:id="rId10"/>
        </w:object>
      </w:r>
      <w:r w:rsidRPr="00BA4A0E">
        <w:t xml:space="preserve">) to each other for a continuous or binary outcome, </w:t>
      </w:r>
      <w:r w:rsidRPr="00BA4A0E">
        <w:rPr>
          <w:i/>
          <w:iCs/>
        </w:rPr>
        <w:t>y</w:t>
      </w:r>
      <w:r w:rsidRPr="00BA4A0E">
        <w:t>, will be calculated as follows:</w:t>
      </w:r>
    </w:p>
    <w:p w:rsidR="004F3B22" w:rsidRPr="00BA4A0E" w:rsidRDefault="004F3B22" w:rsidP="00EB4688">
      <w:pPr>
        <w:pStyle w:val="NormalSS"/>
        <w:spacing w:after="0"/>
        <w:jc w:val="left"/>
      </w:pPr>
      <w:r w:rsidRPr="00BA4A0E">
        <w:rPr>
          <w:position w:val="-14"/>
        </w:rPr>
        <w:object w:dxaOrig="1500" w:dyaOrig="520">
          <v:shape id="_x0000_i1027" type="#_x0000_t75" style="width:75pt;height:26.25pt" o:ole="">
            <v:imagedata r:id="rId11" o:title=""/>
          </v:shape>
          <o:OLEObject Type="Embed" ProgID="Equation.DSMT4" ShapeID="_x0000_i1027" DrawAspect="Content" ObjectID="_1378036389" r:id="rId12"/>
        </w:object>
      </w:r>
    </w:p>
    <w:p w:rsidR="004F3B22" w:rsidRDefault="004F3B22" w:rsidP="00EB4688">
      <w:pPr>
        <w:pStyle w:val="NormalSS"/>
        <w:spacing w:after="0"/>
        <w:ind w:firstLine="0"/>
        <w:jc w:val="left"/>
      </w:pPr>
    </w:p>
    <w:p w:rsidR="004F3B22" w:rsidRPr="00BA4A0E" w:rsidRDefault="004F3B22" w:rsidP="00EB4688">
      <w:pPr>
        <w:pStyle w:val="NormalSS"/>
        <w:spacing w:after="0"/>
        <w:ind w:firstLine="0"/>
        <w:jc w:val="left"/>
      </w:pPr>
      <w:r w:rsidRPr="00BA4A0E">
        <w:t>where:</w:t>
      </w:r>
    </w:p>
    <w:p w:rsidR="004F3B22" w:rsidRPr="00BA4A0E" w:rsidRDefault="004F3B22" w:rsidP="00EB4688">
      <w:pPr>
        <w:pStyle w:val="NormalSS"/>
        <w:spacing w:after="0"/>
        <w:ind w:firstLine="0"/>
        <w:jc w:val="left"/>
      </w:pPr>
    </w:p>
    <w:p w:rsidR="004F3B22" w:rsidRPr="00BA4A0E" w:rsidRDefault="004F3B22" w:rsidP="00CD670F">
      <w:pPr>
        <w:pStyle w:val="NormalSS"/>
        <w:ind w:firstLine="0"/>
        <w:jc w:val="left"/>
      </w:pPr>
      <w:r w:rsidRPr="00BA4A0E">
        <w:tab/>
      </w:r>
      <w:r w:rsidRPr="00BA4A0E">
        <w:rPr>
          <w:position w:val="-140"/>
        </w:rPr>
        <w:object w:dxaOrig="3340" w:dyaOrig="2920">
          <v:shape id="_x0000_i1028" type="#_x0000_t75" style="width:167.25pt;height:144.75pt" o:ole="">
            <v:imagedata r:id="rId13" o:title=""/>
          </v:shape>
          <o:OLEObject Type="Embed" ProgID="Equation.DSMT4" ShapeID="_x0000_i1028" DrawAspect="Content" ObjectID="_1378036390" r:id="rId14"/>
        </w:object>
      </w:r>
    </w:p>
    <w:p w:rsidR="004F3B22" w:rsidRPr="00BA4A0E" w:rsidRDefault="004F3B22" w:rsidP="00CD670F">
      <w:pPr>
        <w:ind w:firstLine="0"/>
      </w:pPr>
      <w:r w:rsidRPr="00BA4A0E">
        <w:t xml:space="preserve">where </w:t>
      </w:r>
      <w:r w:rsidRPr="00BA4A0E">
        <w:rPr>
          <w:i/>
          <w:iCs/>
        </w:rPr>
        <w:t>T</w:t>
      </w:r>
      <w:r w:rsidRPr="00BA4A0E">
        <w:rPr>
          <w:i/>
          <w:iCs/>
          <w:vertAlign w:val="subscript"/>
        </w:rPr>
        <w:t>hij</w:t>
      </w:r>
      <w:r w:rsidRPr="00BA4A0E">
        <w:t xml:space="preserve"> is a binary variable equal to 1 for customers in group </w:t>
      </w:r>
      <w:r w:rsidRPr="00BA4A0E">
        <w:rPr>
          <w:position w:val="-10"/>
        </w:rPr>
        <w:object w:dxaOrig="220" w:dyaOrig="260">
          <v:shape id="_x0000_i1029" type="#_x0000_t75" style="width:11.25pt;height:12.75pt" o:ole="">
            <v:imagedata r:id="rId7" o:title=""/>
          </v:shape>
          <o:OLEObject Type="Embed" ProgID="Equation.DSMT4" ShapeID="_x0000_i1029" DrawAspect="Content" ObjectID="_1378036391" r:id="rId15"/>
        </w:object>
      </w:r>
      <w:r w:rsidRPr="00BA4A0E">
        <w:t xml:space="preserve"> and 0 for customers in group </w:t>
      </w:r>
      <w:r w:rsidRPr="00BA4A0E">
        <w:rPr>
          <w:position w:val="-10"/>
        </w:rPr>
        <w:object w:dxaOrig="279" w:dyaOrig="320">
          <v:shape id="_x0000_i1030" type="#_x0000_t75" style="width:14.25pt;height:16.5pt" o:ole="">
            <v:imagedata r:id="rId16" o:title=""/>
          </v:shape>
          <o:OLEObject Type="Embed" ProgID="Equation.DSMT4" ShapeID="_x0000_i1030" DrawAspect="Content" ObjectID="_1378036392" r:id="rId17"/>
        </w:object>
      </w:r>
      <w:r w:rsidRPr="00BA4A0E">
        <w:t>.</w:t>
      </w:r>
    </w:p>
    <w:p w:rsidR="004F3B22" w:rsidRPr="00BA4A0E" w:rsidRDefault="004F3B22" w:rsidP="00CD670F">
      <w:r w:rsidRPr="00BA4A0E">
        <w:t xml:space="preserve">The study will use the Taylor linearization method to calculate the variance of </w:t>
      </w:r>
      <w:r w:rsidRPr="00BA4A0E">
        <w:rPr>
          <w:i/>
          <w:iCs/>
        </w:rPr>
        <w:t>I</w:t>
      </w:r>
      <w:r w:rsidRPr="00BA4A0E">
        <w:rPr>
          <w:i/>
          <w:iCs/>
          <w:vertAlign w:val="subscript"/>
        </w:rPr>
        <w:t>1</w:t>
      </w:r>
      <w:r w:rsidRPr="00BA4A0E">
        <w:t xml:space="preserve">. To highlight the features of this method, suppose that we are interested in estimating the variance of a population parameter </w:t>
      </w:r>
      <w:r w:rsidRPr="00BA4A0E">
        <w:rPr>
          <w:i/>
          <w:iCs/>
        </w:rPr>
        <w:sym w:font="Symbol" w:char="F062"/>
      </w:r>
      <w:r w:rsidRPr="00BA4A0E">
        <w:rPr>
          <w:i/>
          <w:iCs/>
        </w:rPr>
        <w:t>=F(x</w:t>
      </w:r>
      <w:r w:rsidRPr="00BA4A0E">
        <w:rPr>
          <w:i/>
          <w:iCs/>
          <w:vertAlign w:val="subscript"/>
        </w:rPr>
        <w:t>1</w:t>
      </w:r>
      <w:r w:rsidRPr="00BA4A0E">
        <w:rPr>
          <w:i/>
          <w:iCs/>
        </w:rPr>
        <w:t>,x</w:t>
      </w:r>
      <w:r w:rsidRPr="00BA4A0E">
        <w:rPr>
          <w:i/>
          <w:iCs/>
          <w:vertAlign w:val="subscript"/>
        </w:rPr>
        <w:t>2</w:t>
      </w:r>
      <w:r w:rsidRPr="00BA4A0E">
        <w:rPr>
          <w:i/>
          <w:iCs/>
        </w:rPr>
        <w:t>,…,x</w:t>
      </w:r>
      <w:r w:rsidRPr="00BA4A0E">
        <w:rPr>
          <w:i/>
          <w:iCs/>
          <w:vertAlign w:val="subscript"/>
        </w:rPr>
        <w:t>n</w:t>
      </w:r>
      <w:r w:rsidRPr="00BA4A0E">
        <w:rPr>
          <w:i/>
          <w:iCs/>
        </w:rPr>
        <w:t xml:space="preserve">), </w:t>
      </w:r>
      <w:r w:rsidRPr="00BA4A0E">
        <w:t xml:space="preserve">where </w:t>
      </w:r>
      <w:r w:rsidRPr="00BA4A0E">
        <w:rPr>
          <w:i/>
          <w:iCs/>
        </w:rPr>
        <w:t>F</w:t>
      </w:r>
      <w:r w:rsidRPr="00BA4A0E">
        <w:t xml:space="preserve">(.) is a nonlinear function of the observed data vector </w:t>
      </w:r>
      <w:r w:rsidRPr="00BA4A0E">
        <w:rPr>
          <w:i/>
          <w:iCs/>
        </w:rPr>
        <w:t>x.</w:t>
      </w:r>
      <w:r w:rsidRPr="00BA4A0E">
        <w:t xml:space="preserve"> Suppose next that we perform a Taylor expansion of </w:t>
      </w:r>
      <w:r w:rsidRPr="00BA4A0E">
        <w:rPr>
          <w:i/>
          <w:iCs/>
        </w:rPr>
        <w:sym w:font="Symbol" w:char="F062"/>
      </w:r>
      <w:r w:rsidRPr="00BA4A0E">
        <w:rPr>
          <w:i/>
          <w:iCs/>
        </w:rPr>
        <w:t xml:space="preserve"> </w:t>
      </w:r>
      <w:r w:rsidRPr="00BA4A0E">
        <w:t xml:space="preserve">around </w:t>
      </w:r>
      <w:r w:rsidRPr="00BA4A0E">
        <w:rPr>
          <w:i/>
          <w:iCs/>
        </w:rPr>
        <w:t>(</w:t>
      </w:r>
      <w:r w:rsidRPr="00BA4A0E">
        <w:rPr>
          <w:i/>
          <w:iCs/>
        </w:rPr>
        <w:sym w:font="Symbol" w:char="F06D"/>
      </w:r>
      <w:r w:rsidRPr="00BA4A0E">
        <w:rPr>
          <w:i/>
          <w:iCs/>
          <w:vertAlign w:val="subscript"/>
        </w:rPr>
        <w:t>1</w:t>
      </w:r>
      <w:r w:rsidRPr="00BA4A0E">
        <w:rPr>
          <w:i/>
          <w:iCs/>
        </w:rPr>
        <w:t>,</w:t>
      </w:r>
      <w:r w:rsidRPr="00BA4A0E">
        <w:rPr>
          <w:i/>
          <w:iCs/>
        </w:rPr>
        <w:sym w:font="Symbol" w:char="F06D"/>
      </w:r>
      <w:r w:rsidRPr="00BA4A0E">
        <w:rPr>
          <w:i/>
          <w:iCs/>
          <w:vertAlign w:val="subscript"/>
        </w:rPr>
        <w:t>2  ,…,</w:t>
      </w:r>
      <w:r w:rsidRPr="00BA4A0E">
        <w:rPr>
          <w:i/>
          <w:iCs/>
        </w:rPr>
        <w:t xml:space="preserve"> </w:t>
      </w:r>
      <w:r w:rsidRPr="00BA4A0E">
        <w:rPr>
          <w:i/>
          <w:iCs/>
        </w:rPr>
        <w:sym w:font="Symbol" w:char="F06D"/>
      </w:r>
      <w:r w:rsidRPr="00BA4A0E">
        <w:rPr>
          <w:i/>
          <w:iCs/>
          <w:vertAlign w:val="subscript"/>
        </w:rPr>
        <w:t>n</w:t>
      </w:r>
      <w:r w:rsidRPr="00BA4A0E">
        <w:rPr>
          <w:i/>
          <w:iCs/>
        </w:rPr>
        <w:t>)</w:t>
      </w:r>
      <w:r w:rsidRPr="00BA4A0E">
        <w:t xml:space="preserve"> where </w:t>
      </w:r>
      <w:r w:rsidRPr="00BA4A0E">
        <w:rPr>
          <w:i/>
          <w:iCs/>
        </w:rPr>
        <w:sym w:font="Symbol" w:char="F06D"/>
      </w:r>
      <w:r w:rsidRPr="00BA4A0E">
        <w:rPr>
          <w:i/>
          <w:iCs/>
          <w:vertAlign w:val="subscript"/>
        </w:rPr>
        <w:t>p</w:t>
      </w:r>
      <w:r w:rsidRPr="00BA4A0E">
        <w:rPr>
          <w:i/>
          <w:iCs/>
        </w:rPr>
        <w:t>= E(x</w:t>
      </w:r>
      <w:r w:rsidRPr="00BA4A0E">
        <w:rPr>
          <w:i/>
          <w:iCs/>
          <w:vertAlign w:val="subscript"/>
        </w:rPr>
        <w:t>p</w:t>
      </w:r>
      <w:r w:rsidRPr="00BA4A0E">
        <w:rPr>
          <w:i/>
          <w:iCs/>
        </w:rPr>
        <w:t>)</w:t>
      </w:r>
      <w:r w:rsidRPr="00BA4A0E">
        <w:t xml:space="preserve">, where the </w:t>
      </w:r>
      <w:r w:rsidRPr="00BA4A0E">
        <w:rPr>
          <w:i/>
          <w:iCs/>
        </w:rPr>
        <w:t>E</w:t>
      </w:r>
      <w:r w:rsidRPr="00BA4A0E">
        <w:t xml:space="preserve">(.) operator is the expected value of </w:t>
      </w:r>
      <w:r w:rsidRPr="00BA4A0E">
        <w:rPr>
          <w:i/>
          <w:iCs/>
        </w:rPr>
        <w:t>x</w:t>
      </w:r>
      <w:r w:rsidRPr="00BA4A0E">
        <w:rPr>
          <w:i/>
          <w:iCs/>
          <w:vertAlign w:val="subscript"/>
        </w:rPr>
        <w:t>p</w:t>
      </w:r>
      <w:r w:rsidRPr="00BA4A0E">
        <w:t xml:space="preserve"> averaging over repeated sampling from the sample universe. This Taylor expansion yields the following expression for the variance of </w:t>
      </w:r>
      <w:r w:rsidRPr="00BA4A0E">
        <w:rPr>
          <w:i/>
          <w:iCs/>
        </w:rPr>
        <w:sym w:font="Symbol" w:char="F062"/>
      </w:r>
      <w:r w:rsidRPr="00BA4A0E">
        <w:t>:</w:t>
      </w:r>
    </w:p>
    <w:p w:rsidR="004F3B22" w:rsidRPr="00BA4A0E" w:rsidRDefault="004F3B22" w:rsidP="00CD670F">
      <w:pPr>
        <w:pStyle w:val="NormalSS"/>
        <w:jc w:val="left"/>
      </w:pPr>
      <w:r w:rsidRPr="00BA4A0E">
        <w:rPr>
          <w:position w:val="-56"/>
        </w:rPr>
        <w:object w:dxaOrig="3140" w:dyaOrig="1240">
          <v:shape id="_x0000_i1031" type="#_x0000_t75" style="width:152.25pt;height:62.25pt" o:ole="">
            <v:imagedata r:id="rId18" o:title=""/>
          </v:shape>
          <o:OLEObject Type="Embed" ProgID="Equation.DSMT4" ShapeID="_x0000_i1031" DrawAspect="Content" ObjectID="_1378036393" r:id="rId19"/>
        </w:object>
      </w:r>
    </w:p>
    <w:p w:rsidR="004F3B22" w:rsidRPr="00BA4A0E" w:rsidRDefault="004F3B22" w:rsidP="00CD670F">
      <w:pPr>
        <w:ind w:firstLine="0"/>
      </w:pPr>
      <w:r w:rsidRPr="00BA4A0E">
        <w:t xml:space="preserve">Consequently, to estimate the variance of </w:t>
      </w:r>
      <w:r w:rsidRPr="00BA4A0E">
        <w:rPr>
          <w:i/>
          <w:iCs/>
        </w:rPr>
        <w:sym w:font="Symbol" w:char="F062"/>
      </w:r>
      <w:r w:rsidRPr="00BA4A0E">
        <w:t xml:space="preserve">, the linearized covariates, </w:t>
      </w:r>
      <w:r w:rsidRPr="00BA4A0E">
        <w:rPr>
          <w:i/>
          <w:iCs/>
        </w:rPr>
        <w:t>Z</w:t>
      </w:r>
      <w:r w:rsidRPr="00BA4A0E">
        <w:rPr>
          <w:i/>
          <w:iCs/>
          <w:vertAlign w:val="subscript"/>
        </w:rPr>
        <w:t>i</w:t>
      </w:r>
      <w:r w:rsidRPr="00BA4A0E">
        <w:t xml:space="preserve">, can be used in formulas for calculating variances for population </w:t>
      </w:r>
      <w:r w:rsidRPr="00BA4A0E">
        <w:rPr>
          <w:i/>
          <w:iCs/>
        </w:rPr>
        <w:t>totals</w:t>
      </w:r>
      <w:r w:rsidRPr="00BA4A0E">
        <w:t xml:space="preserve"> under clustered designs.</w:t>
      </w:r>
    </w:p>
    <w:p w:rsidR="004F3B22" w:rsidRPr="00BA4A0E" w:rsidRDefault="004F3B22" w:rsidP="00CD670F">
      <w:r w:rsidRPr="00BA4A0E">
        <w:t xml:space="preserve">To apply this method for the impact estimator in equation (1), we note that the mean outcomes for the two research groups in equation (1) are </w:t>
      </w:r>
      <w:r w:rsidRPr="00BA4A0E">
        <w:rPr>
          <w:i/>
          <w:iCs/>
        </w:rPr>
        <w:t>ratios</w:t>
      </w:r>
      <w:r w:rsidRPr="00BA4A0E">
        <w:t xml:space="preserve"> of two sums (denoted by </w:t>
      </w:r>
      <w:r w:rsidRPr="00BA4A0E">
        <w:rPr>
          <w:position w:val="-14"/>
        </w:rPr>
        <w:object w:dxaOrig="320" w:dyaOrig="380">
          <v:shape id="_x0000_i1032" type="#_x0000_t75" style="width:15.75pt;height:19.5pt" o:ole="">
            <v:imagedata r:id="rId20" o:title=""/>
          </v:shape>
          <o:OLEObject Type="Embed" ProgID="Equation.DSMT4" ShapeID="_x0000_i1032" DrawAspect="Content" ObjectID="_1378036394" r:id="rId21"/>
        </w:object>
      </w:r>
      <w:r w:rsidRPr="00BA4A0E">
        <w:t xml:space="preserve"> and </w:t>
      </w:r>
      <w:r w:rsidRPr="00BA4A0E">
        <w:rPr>
          <w:position w:val="-14"/>
        </w:rPr>
        <w:object w:dxaOrig="340" w:dyaOrig="380">
          <v:shape id="_x0000_i1033" type="#_x0000_t75" style="width:17.25pt;height:19.5pt" o:ole="">
            <v:imagedata r:id="rId22" o:title=""/>
          </v:shape>
          <o:OLEObject Type="Embed" ProgID="Equation.DSMT4" ShapeID="_x0000_i1033" DrawAspect="Content" ObjectID="_1378036395" r:id="rId23"/>
        </w:object>
      </w:r>
      <w:r w:rsidRPr="00BA4A0E">
        <w:t xml:space="preserve">, respectively). Thus, using equation (2), the corresponding linearized variables for these ratio estimators can be expressed as follows: </w:t>
      </w:r>
    </w:p>
    <w:p w:rsidR="004F3B22" w:rsidRPr="00BA4A0E" w:rsidRDefault="004F3B22" w:rsidP="00EB4688">
      <w:pPr>
        <w:pStyle w:val="NormalSS"/>
        <w:spacing w:after="0" w:line="480" w:lineRule="auto"/>
        <w:jc w:val="left"/>
      </w:pPr>
      <w:r w:rsidRPr="00BA4A0E">
        <w:rPr>
          <w:position w:val="-122"/>
        </w:rPr>
        <w:object w:dxaOrig="4620" w:dyaOrig="2560">
          <v:shape id="_x0000_i1034" type="#_x0000_t75" style="width:231pt;height:128.25pt" o:ole="">
            <v:imagedata r:id="rId24" o:title=""/>
          </v:shape>
          <o:OLEObject Type="Embed" ProgID="Equation.DSMT4" ShapeID="_x0000_i1034" DrawAspect="Content" ObjectID="_1378036396" r:id="rId25"/>
        </w:object>
      </w:r>
    </w:p>
    <w:p w:rsidR="004F3B22" w:rsidRPr="00BA4A0E" w:rsidRDefault="004F3B22" w:rsidP="00CD670F">
      <w:r w:rsidRPr="00BA4A0E">
        <w:t xml:space="preserve">As discussed next, the way in which the study will use these linearized </w:t>
      </w:r>
      <w:r w:rsidRPr="00BA4A0E">
        <w:rPr>
          <w:i/>
          <w:iCs/>
        </w:rPr>
        <w:t>Z</w:t>
      </w:r>
      <w:r w:rsidRPr="00BA4A0E">
        <w:t xml:space="preserve"> variables in the variance calculations will differ for those in the certainty and noncertainty sites.  </w:t>
      </w:r>
    </w:p>
    <w:p w:rsidR="004F3B22" w:rsidRPr="00BA4A0E" w:rsidRDefault="004F3B22" w:rsidP="00CD670F">
      <w:r w:rsidRPr="00BA4A0E">
        <w:rPr>
          <w:b/>
          <w:bCs/>
        </w:rPr>
        <w:t>Certainty sites.</w:t>
      </w:r>
      <w:r w:rsidRPr="00BA4A0E">
        <w:t xml:space="preserve"> As discussed in Section 1a of Part B of the OMB package, two sites were selected with certainty (because these sites had selection probabilities greater than one). The worker samples in each of these sites can be treated as a simple random sample from each site. This is because the certainty sites were not “sampled,” and hence, each certainty site is effectively its own stratum. Consequently, the variance of the impact estimates in the certainty sites do not need to account for between-site variability but only within-site variability.  </w:t>
      </w:r>
    </w:p>
    <w:p w:rsidR="004F3B22" w:rsidRPr="00BA4A0E" w:rsidRDefault="004F3B22" w:rsidP="00A50958">
      <w:pPr>
        <w:pStyle w:val="ParagraphLAST"/>
      </w:pPr>
      <w:r w:rsidRPr="00BA4A0E">
        <w:t xml:space="preserve">The study will estimate the variance of the impact estimates in the certainty sites as follows:     </w:t>
      </w:r>
    </w:p>
    <w:p w:rsidR="004F3B22" w:rsidRPr="00BA4A0E" w:rsidRDefault="004F3B22" w:rsidP="00CD670F">
      <w:pPr>
        <w:pStyle w:val="NormalSS"/>
        <w:ind w:firstLine="0"/>
        <w:jc w:val="left"/>
      </w:pPr>
      <w:r w:rsidRPr="00BA4A0E">
        <w:tab/>
      </w:r>
      <w:r w:rsidRPr="00BA4A0E">
        <w:rPr>
          <w:position w:val="-206"/>
        </w:rPr>
        <w:object w:dxaOrig="3760" w:dyaOrig="4239">
          <v:shape id="_x0000_i1035" type="#_x0000_t75" style="width:188.25pt;height:210pt" o:ole="">
            <v:imagedata r:id="rId26" o:title=""/>
          </v:shape>
          <o:OLEObject Type="Embed" ProgID="Equation.DSMT4" ShapeID="_x0000_i1035" DrawAspect="Content" ObjectID="_1378036397" r:id="rId27"/>
        </w:object>
      </w:r>
    </w:p>
    <w:p w:rsidR="004F3B22" w:rsidRPr="00BA4A0E" w:rsidRDefault="004F3B22" w:rsidP="00CD670F">
      <w:pPr>
        <w:ind w:firstLine="0"/>
      </w:pPr>
      <w:r w:rsidRPr="00BA4A0E">
        <w:t xml:space="preserve">and where </w:t>
      </w:r>
      <w:r w:rsidRPr="00BA4A0E">
        <w:rPr>
          <w:i/>
          <w:iCs/>
        </w:rPr>
        <w:t>f</w:t>
      </w:r>
      <w:r w:rsidRPr="00BA4A0E">
        <w:rPr>
          <w:i/>
          <w:iCs/>
          <w:vertAlign w:val="subscript"/>
        </w:rPr>
        <w:t>i</w:t>
      </w:r>
      <w:r w:rsidRPr="00BA4A0E">
        <w:t xml:space="preserve"> is the sampling fraction in site </w:t>
      </w:r>
      <w:r w:rsidRPr="00BA4A0E">
        <w:rPr>
          <w:i/>
          <w:iCs/>
        </w:rPr>
        <w:t>i</w:t>
      </w:r>
      <w:r w:rsidRPr="00BA4A0E">
        <w:t>. It is important to note that, for simplicity, the formulas are not indexed by “</w:t>
      </w:r>
      <w:r w:rsidRPr="00BA4A0E">
        <w:rPr>
          <w:i/>
          <w:iCs/>
        </w:rPr>
        <w:t>certainty,</w:t>
      </w:r>
      <w:r w:rsidRPr="00BA4A0E">
        <w:t xml:space="preserve">” although this index is implied, because these calculations will be performed using data on only those workers in the certainty sites. This convention is followed for the remainder of this section. </w:t>
      </w:r>
    </w:p>
    <w:p w:rsidR="004F3B22" w:rsidRPr="00BA4A0E" w:rsidRDefault="004F3B22" w:rsidP="00CD670F">
      <w:r w:rsidRPr="00BA4A0E">
        <w:rPr>
          <w:b/>
          <w:bCs/>
        </w:rPr>
        <w:t>Noncertainty sites.</w:t>
      </w:r>
      <w:r w:rsidRPr="00BA4A0E">
        <w:t xml:space="preserve"> The variance of the impact estimates in the noncertainty sites must account for clustering due to the sampling of sites. A key feature of these variance calculations is that the research groups are selected from the </w:t>
      </w:r>
      <w:r w:rsidRPr="00BA4A0E">
        <w:rPr>
          <w:i/>
          <w:iCs/>
        </w:rPr>
        <w:t>same</w:t>
      </w:r>
      <w:r w:rsidRPr="00BA4A0E">
        <w:t xml:space="preserve"> sites, thereby creating a potential correlation between the mean outcomes of customers across the research groups. </w:t>
      </w:r>
    </w:p>
    <w:p w:rsidR="004F3B22" w:rsidRPr="00BA4A0E" w:rsidRDefault="004F3B22" w:rsidP="00A50958">
      <w:pPr>
        <w:pStyle w:val="ParagraphLAST"/>
      </w:pPr>
      <w:r w:rsidRPr="00BA4A0E">
        <w:t>The formulas that the study will use to calculate the variance of the impact estimates in the noncertainty sites will differ depending on whether it is assumed that the sampling of sites was performed with replacement (WR) or without replacement (WOR).  Under the WR assumption, the variance formula is very simple:</w:t>
      </w:r>
    </w:p>
    <w:p w:rsidR="004F3B22" w:rsidRPr="00BA4A0E" w:rsidRDefault="004F3B22" w:rsidP="00CD670F">
      <w:pPr>
        <w:pStyle w:val="NormalSS"/>
        <w:ind w:firstLine="0"/>
        <w:jc w:val="left"/>
      </w:pPr>
      <w:r w:rsidRPr="00BA4A0E">
        <w:tab/>
      </w:r>
      <w:r w:rsidRPr="00BA4A0E">
        <w:rPr>
          <w:position w:val="-200"/>
        </w:rPr>
        <w:object w:dxaOrig="4000" w:dyaOrig="4120">
          <v:shape id="_x0000_i1036" type="#_x0000_t75" style="width:200.25pt;height:206.25pt" o:ole="">
            <v:imagedata r:id="rId28" o:title=""/>
          </v:shape>
          <o:OLEObject Type="Embed" ProgID="Equation.DSMT4" ShapeID="_x0000_i1036" DrawAspect="Content" ObjectID="_1378036398" r:id="rId29"/>
        </w:object>
      </w:r>
    </w:p>
    <w:p w:rsidR="004F3B22" w:rsidRPr="00BA4A0E" w:rsidRDefault="004F3B22" w:rsidP="00CD670F">
      <w:pPr>
        <w:ind w:firstLine="0"/>
      </w:pPr>
      <w:r w:rsidRPr="00BA4A0E">
        <w:t xml:space="preserve">This variance expression represents the extent to which estimated </w:t>
      </w:r>
      <w:r w:rsidRPr="00BA4A0E">
        <w:rPr>
          <w:b/>
          <w:bCs/>
          <w:i/>
          <w:iCs/>
        </w:rPr>
        <w:t>impacts</w:t>
      </w:r>
      <w:r w:rsidRPr="00BA4A0E">
        <w:t xml:space="preserve"> vary across sites (and thus, accounts for the covariance between the mean outcomes of the research groups within the same site).  </w:t>
      </w:r>
    </w:p>
    <w:p w:rsidR="004F3B22" w:rsidRPr="00BA4A0E" w:rsidRDefault="004F3B22" w:rsidP="00EB4688">
      <w:pPr>
        <w:pStyle w:val="ParagraphLAST"/>
        <w:spacing w:after="0"/>
      </w:pPr>
      <w:r w:rsidRPr="00BA4A0E">
        <w:t>One problem with the WR assumption is that it is likely to produce conservative variance estimates because it does not incorporate the finite sample correction at the site level. One way to adjust for this problem is to include the finite population correction in the variance expression in equation (5) as follows:</w:t>
      </w:r>
    </w:p>
    <w:p w:rsidR="004F3B22" w:rsidRPr="00BA4A0E" w:rsidRDefault="004F3B22" w:rsidP="00CD670F">
      <w:pPr>
        <w:pStyle w:val="NormalSS"/>
        <w:ind w:firstLine="0"/>
        <w:jc w:val="left"/>
      </w:pPr>
      <w:r w:rsidRPr="00BA4A0E">
        <w:tab/>
      </w:r>
      <w:r w:rsidRPr="00BA4A0E">
        <w:rPr>
          <w:position w:val="-28"/>
        </w:rPr>
        <w:object w:dxaOrig="4200" w:dyaOrig="680">
          <v:shape id="_x0000_i1037" type="#_x0000_t75" style="width:210pt;height:33.75pt" o:ole="">
            <v:imagedata r:id="rId30" o:title=""/>
          </v:shape>
          <o:OLEObject Type="Embed" ProgID="Equation.DSMT4" ShapeID="_x0000_i1037" DrawAspect="Content" ObjectID="_1378036399" r:id="rId31"/>
        </w:object>
      </w:r>
    </w:p>
    <w:p w:rsidR="004F3B22" w:rsidRPr="00BA4A0E" w:rsidRDefault="004F3B22" w:rsidP="00CD670F">
      <w:pPr>
        <w:ind w:firstLine="0"/>
      </w:pPr>
      <w:r w:rsidRPr="00BA4A0E">
        <w:t xml:space="preserve">where </w:t>
      </w:r>
      <w:r w:rsidRPr="00BA4A0E">
        <w:rPr>
          <w:i/>
          <w:iCs/>
        </w:rPr>
        <w:t>f</w:t>
      </w:r>
      <w:r w:rsidRPr="00BA4A0E">
        <w:rPr>
          <w:i/>
          <w:iCs/>
          <w:vertAlign w:val="subscript"/>
        </w:rPr>
        <w:t>h</w:t>
      </w:r>
      <w:r w:rsidRPr="00BA4A0E">
        <w:t xml:space="preserve"> represents the sampling rate in stratum </w:t>
      </w:r>
      <w:r w:rsidRPr="00BA4A0E">
        <w:rPr>
          <w:i/>
          <w:iCs/>
        </w:rPr>
        <w:t>h</w:t>
      </w:r>
      <w:r w:rsidRPr="00BA4A0E">
        <w:t xml:space="preserve">. This approach is the formula for a WOR design where PSUs (sites) are sampled with </w:t>
      </w:r>
      <w:r w:rsidRPr="00BA4A0E">
        <w:rPr>
          <w:i/>
          <w:iCs/>
        </w:rPr>
        <w:t>equal</w:t>
      </w:r>
      <w:r w:rsidRPr="00BA4A0E">
        <w:t xml:space="preserve"> probabilities within each stratum (region), and where second-stage sampling rates are small (which will be the case for the WIA evaluation). </w:t>
      </w:r>
    </w:p>
    <w:p w:rsidR="004F3B22" w:rsidRPr="00BA4A0E" w:rsidRDefault="004F3B22" w:rsidP="00EB4688">
      <w:pPr>
        <w:pStyle w:val="ParagraphLAST"/>
        <w:spacing w:after="0"/>
      </w:pPr>
      <w:r w:rsidRPr="00BA4A0E">
        <w:t>Another approach is to assume WOR sampling with unequal first-stage state selection probabilities and to use the Yates-Grundy-Sen variance estimator:</w:t>
      </w:r>
    </w:p>
    <w:p w:rsidR="004F3B22" w:rsidRPr="00BA4A0E" w:rsidRDefault="004F3B22" w:rsidP="00CD670F">
      <w:pPr>
        <w:pStyle w:val="NormalSS"/>
        <w:jc w:val="left"/>
      </w:pPr>
      <w:r w:rsidRPr="00BA4A0E">
        <w:rPr>
          <w:position w:val="-48"/>
        </w:rPr>
        <w:object w:dxaOrig="6940" w:dyaOrig="1420">
          <v:shape id="_x0000_i1038" type="#_x0000_t75" style="width:347.25pt;height:71.25pt" o:ole="">
            <v:imagedata r:id="rId32" o:title=""/>
          </v:shape>
          <o:OLEObject Type="Embed" ProgID="Equation.DSMT4" ShapeID="_x0000_i1038" DrawAspect="Content" ObjectID="_1378036400" r:id="rId33"/>
        </w:object>
      </w:r>
    </w:p>
    <w:p w:rsidR="004F3B22" w:rsidRPr="00BA4A0E" w:rsidRDefault="004F3B22" w:rsidP="00CD670F">
      <w:pPr>
        <w:ind w:firstLine="0"/>
      </w:pPr>
      <w:r w:rsidRPr="00BA4A0E">
        <w:rPr>
          <w:i/>
          <w:iCs/>
        </w:rPr>
        <w:sym w:font="Symbol" w:char="F070"/>
      </w:r>
      <w:r w:rsidRPr="00BA4A0E">
        <w:rPr>
          <w:i/>
          <w:iCs/>
          <w:vertAlign w:val="subscript"/>
        </w:rPr>
        <w:t>hi</w:t>
      </w:r>
      <w:r w:rsidRPr="00BA4A0E">
        <w:t xml:space="preserve"> are state selection probabilities, and </w:t>
      </w:r>
      <w:r w:rsidRPr="00BA4A0E">
        <w:rPr>
          <w:i/>
          <w:iCs/>
        </w:rPr>
        <w:sym w:font="Symbol" w:char="F070"/>
      </w:r>
      <w:r w:rsidRPr="00BA4A0E">
        <w:rPr>
          <w:i/>
          <w:iCs/>
          <w:vertAlign w:val="subscript"/>
        </w:rPr>
        <w:t>hii’</w:t>
      </w:r>
      <w:r w:rsidRPr="00BA4A0E">
        <w:rPr>
          <w:vertAlign w:val="subscript"/>
        </w:rPr>
        <w:t xml:space="preserve"> </w:t>
      </w:r>
      <w:r w:rsidRPr="00BA4A0E">
        <w:t xml:space="preserve">are joint inclusion probabilities for each </w:t>
      </w:r>
      <w:r w:rsidRPr="00BA4A0E">
        <w:rPr>
          <w:i/>
          <w:iCs/>
        </w:rPr>
        <w:t>pair</w:t>
      </w:r>
      <w:r w:rsidRPr="00BA4A0E">
        <w:t xml:space="preserve"> of sites in the stratum. This method is somewhat cumbersome, because of the large number of joint inclusion probabilities that need to be calculated. Thus, the study will explore using this approach, but will rely more on the methods shown in equations (5) and (6). </w:t>
      </w:r>
    </w:p>
    <w:p w:rsidR="004F3B22" w:rsidRPr="00BA4A0E" w:rsidRDefault="004F3B22" w:rsidP="00EB4688">
      <w:pPr>
        <w:pStyle w:val="ParagraphLAST"/>
        <w:spacing w:after="0"/>
      </w:pPr>
      <w:r w:rsidRPr="00BA4A0E">
        <w:rPr>
          <w:b/>
          <w:bCs/>
        </w:rPr>
        <w:t>Combined variance estimates.</w:t>
      </w:r>
      <w:r w:rsidRPr="00BA4A0E">
        <w:t xml:space="preserve"> The study will calculate overall variance estimates by combining the variance estimates from the certainty and noncertainty sites as follows:</w:t>
      </w:r>
    </w:p>
    <w:p w:rsidR="004F3B22" w:rsidRPr="00BA4A0E" w:rsidRDefault="004F3B22" w:rsidP="00CD670F">
      <w:pPr>
        <w:pStyle w:val="NormalSS"/>
        <w:ind w:firstLine="0"/>
        <w:jc w:val="left"/>
      </w:pPr>
      <w:r w:rsidRPr="00BA4A0E">
        <w:tab/>
      </w:r>
      <w:r w:rsidRPr="00BA4A0E">
        <w:rPr>
          <w:position w:val="-14"/>
        </w:rPr>
        <w:object w:dxaOrig="6660" w:dyaOrig="400">
          <v:shape id="_x0000_i1039" type="#_x0000_t75" style="width:333pt;height:20.25pt" o:ole="">
            <v:imagedata r:id="rId34" o:title=""/>
          </v:shape>
          <o:OLEObject Type="Embed" ProgID="Equation.DSMT4" ShapeID="_x0000_i1039" DrawAspect="Content" ObjectID="_1378036401" r:id="rId35"/>
        </w:object>
      </w:r>
      <w:r w:rsidRPr="00BA4A0E">
        <w:t xml:space="preserve"> </w:t>
      </w:r>
    </w:p>
    <w:p w:rsidR="004F3B22" w:rsidRPr="00BA4A0E" w:rsidRDefault="004F3B22" w:rsidP="00CD670F">
      <w:pPr>
        <w:pStyle w:val="NormalSS"/>
        <w:ind w:firstLine="0"/>
        <w:jc w:val="left"/>
      </w:pPr>
      <w:r w:rsidRPr="00BA4A0E">
        <w:t xml:space="preserve">where </w:t>
      </w:r>
      <w:r w:rsidRPr="00BA4A0E">
        <w:rPr>
          <w:i/>
          <w:iCs/>
        </w:rPr>
        <w:t>p</w:t>
      </w:r>
      <w:r w:rsidRPr="00BA4A0E">
        <w:rPr>
          <w:i/>
          <w:iCs/>
          <w:vertAlign w:val="subscript"/>
        </w:rPr>
        <w:t>c</w:t>
      </w:r>
      <w:r w:rsidRPr="00BA4A0E">
        <w:t xml:space="preserve"> is the population share in the certainty sites. </w:t>
      </w:r>
    </w:p>
    <w:p w:rsidR="004F3B22" w:rsidRPr="00BA4A0E" w:rsidRDefault="004F3B22" w:rsidP="00A50958">
      <w:pPr>
        <w:pStyle w:val="ParagraphLAST"/>
      </w:pPr>
      <w:r w:rsidRPr="00BA4A0E">
        <w:rPr>
          <w:b/>
          <w:bCs/>
        </w:rPr>
        <w:t>Test statistics.</w:t>
      </w:r>
      <w:r w:rsidRPr="00BA4A0E">
        <w:t xml:space="preserve"> To assess the statistical significance of the impact estimates, the study will compute t-tests by dividing the estimated impacts in equation (1) by the square root of estimated variances from equation (8). The number of degrees of freedom for these tests will be approximated as the number of sites in the sample minus the number of strata minus 1.</w:t>
      </w:r>
    </w:p>
    <w:p w:rsidR="004F3B22" w:rsidRPr="00BA4A0E" w:rsidRDefault="004F3B22" w:rsidP="00A50958">
      <w:pPr>
        <w:pStyle w:val="Heading5"/>
      </w:pPr>
      <w:r w:rsidRPr="00BA4A0E">
        <w:tab/>
        <w:t>ii.</w:t>
      </w:r>
      <w:r w:rsidRPr="00BA4A0E">
        <w:tab/>
        <w:t>Regression Estimators</w:t>
      </w:r>
    </w:p>
    <w:p w:rsidR="004F3B22" w:rsidRPr="00BA4A0E" w:rsidRDefault="004F3B22" w:rsidP="00CD670F">
      <w:r w:rsidRPr="00BA4A0E">
        <w:t>To obtain regression-adjusted impact estimates, the study will estimate variants of the following regression (ANCOVA) model:</w:t>
      </w:r>
    </w:p>
    <w:p w:rsidR="004F3B22" w:rsidRPr="00BA4A0E" w:rsidRDefault="004F3B22" w:rsidP="00CD670F">
      <w:pPr>
        <w:widowControl w:val="0"/>
        <w:ind w:firstLine="720"/>
        <w:jc w:val="left"/>
        <w:rPr>
          <w:sz w:val="23"/>
          <w:szCs w:val="23"/>
        </w:rPr>
      </w:pPr>
      <w:r w:rsidRPr="00BA4A0E">
        <w:rPr>
          <w:position w:val="-10"/>
          <w:sz w:val="23"/>
          <w:szCs w:val="23"/>
        </w:rPr>
        <w:object w:dxaOrig="3100" w:dyaOrig="320">
          <v:shape id="_x0000_i1040" type="#_x0000_t75" style="width:155.25pt;height:15.75pt" o:ole="" fillcolor="window">
            <v:imagedata r:id="rId36" o:title=""/>
          </v:shape>
          <o:OLEObject Type="Embed" ProgID="Equation.DSMT4" ShapeID="_x0000_i1040" DrawAspect="Content" ObjectID="_1378036402" r:id="rId37"/>
        </w:object>
      </w:r>
    </w:p>
    <w:p w:rsidR="004F3B22" w:rsidRPr="00BA4A0E" w:rsidRDefault="004F3B22" w:rsidP="00CD670F">
      <w:pPr>
        <w:ind w:firstLine="0"/>
      </w:pPr>
      <w:r w:rsidRPr="00BA4A0E">
        <w:t xml:space="preserve">where </w:t>
      </w:r>
      <w:r w:rsidRPr="00BA4A0E">
        <w:rPr>
          <w:i/>
        </w:rPr>
        <w:t>y</w:t>
      </w:r>
      <w:r w:rsidRPr="00BA4A0E">
        <w:t xml:space="preserve"> is an outcome variable at a specific time point, </w:t>
      </w:r>
      <w:r w:rsidRPr="00BA4A0E">
        <w:rPr>
          <w:i/>
        </w:rPr>
        <w:t>T</w:t>
      </w:r>
      <w:r w:rsidRPr="00BA4A0E">
        <w:t xml:space="preserve"> is an indicator variable equal to 1 for customers in group </w:t>
      </w:r>
      <w:r w:rsidRPr="00BA4A0E">
        <w:rPr>
          <w:i/>
        </w:rPr>
        <w:t>g</w:t>
      </w:r>
      <w:r w:rsidRPr="00BA4A0E">
        <w:t xml:space="preserve"> and 0 for customers in group </w:t>
      </w:r>
      <w:r w:rsidRPr="00BA4A0E">
        <w:rPr>
          <w:position w:val="-10"/>
        </w:rPr>
        <w:object w:dxaOrig="279" w:dyaOrig="320">
          <v:shape id="_x0000_i1041" type="#_x0000_t75" style="width:14.25pt;height:15.75pt" o:ole="">
            <v:imagedata r:id="rId38" o:title=""/>
          </v:shape>
          <o:OLEObject Type="Embed" ProgID="Equation.DSMT4" ShapeID="_x0000_i1041" DrawAspect="Content" ObjectID="_1378036403" r:id="rId39"/>
        </w:object>
      </w:r>
      <w:r w:rsidRPr="00BA4A0E">
        <w:t xml:space="preserve">, </w:t>
      </w:r>
      <w:r w:rsidRPr="00BA4A0E">
        <w:rPr>
          <w:i/>
          <w:iCs/>
        </w:rPr>
        <w:t>Q</w:t>
      </w:r>
      <w:r w:rsidRPr="00BA4A0E">
        <w:t xml:space="preserve"> are baseline explanatory variables that are associated with key outcome measures, </w:t>
      </w:r>
      <w:r w:rsidRPr="00BA4A0E">
        <w:rPr>
          <w:i/>
        </w:rPr>
        <w:sym w:font="Symbol" w:char="F065"/>
      </w:r>
      <w:r w:rsidRPr="00BA4A0E">
        <w:t xml:space="preserve"> is a mean zero disturbance term, and </w:t>
      </w:r>
      <w:r w:rsidRPr="00BA4A0E">
        <w:rPr>
          <w:i/>
        </w:rPr>
        <w:sym w:font="Symbol" w:char="F061"/>
      </w:r>
      <w:r w:rsidRPr="00BA4A0E">
        <w:t xml:space="preserve">, </w:t>
      </w:r>
      <w:r w:rsidRPr="00BA4A0E">
        <w:rPr>
          <w:i/>
          <w:iCs/>
        </w:rPr>
        <w:sym w:font="Symbol" w:char="F067"/>
      </w:r>
      <w:r w:rsidRPr="00BA4A0E">
        <w:t xml:space="preserve">, and </w:t>
      </w:r>
      <w:r w:rsidRPr="00BA4A0E">
        <w:rPr>
          <w:i/>
        </w:rPr>
        <w:sym w:font="Symbol" w:char="F062"/>
      </w:r>
      <w:r w:rsidRPr="00BA4A0E">
        <w:t xml:space="preserve"> are parameters to be estimated. The estimate of </w:t>
      </w:r>
      <w:r w:rsidRPr="00BA4A0E">
        <w:rPr>
          <w:i/>
          <w:iCs/>
        </w:rPr>
        <w:sym w:font="Symbol" w:char="F067"/>
      </w:r>
      <w:r w:rsidRPr="00BA4A0E">
        <w:t xml:space="preserve"> represents the regression-adjusted impact estimate of WIA on the outcome variable, and the associated t-statistic can be used to gauge the statistical significance of the impact estimate.  </w:t>
      </w:r>
    </w:p>
    <w:p w:rsidR="004F3B22" w:rsidRPr="00BA4A0E" w:rsidRDefault="004F3B22" w:rsidP="00CD670F">
      <w:r w:rsidRPr="00BA4A0E">
        <w:t xml:space="preserve">The study will use generalized linear model methods to estimate regression-adjusted impacts and their variances to account for the sample design. These methods generalize the Taylor series linearization method discussed above for parameters that are defined as </w:t>
      </w:r>
      <w:r w:rsidRPr="00BA4A0E">
        <w:rPr>
          <w:i/>
          <w:iCs/>
        </w:rPr>
        <w:t>implicit</w:t>
      </w:r>
      <w:r w:rsidRPr="00BA4A0E">
        <w:t xml:space="preserve"> functions of linear statistics or estimating equations. These methods can be used to estimate linear models for continuous outcome measures as well as nonlinear logistic models for binary outcomes (the two main types of outcomes for which impacts will be estimated in the WIA evaluation).</w:t>
      </w:r>
    </w:p>
    <w:p w:rsidR="004F3B22" w:rsidRPr="00BA4A0E" w:rsidRDefault="004F3B22" w:rsidP="00EB4688">
      <w:pPr>
        <w:pStyle w:val="ParagraphLAST"/>
        <w:spacing w:after="0"/>
      </w:pPr>
      <w:r w:rsidRPr="00BA4A0E">
        <w:t>The theoretical assumptions for generalized linear models are as follows:</w:t>
      </w:r>
    </w:p>
    <w:p w:rsidR="004F3B22" w:rsidRPr="00BA4A0E" w:rsidRDefault="004F3B22" w:rsidP="00CD670F">
      <w:pPr>
        <w:pStyle w:val="NormalSS"/>
        <w:ind w:firstLine="0"/>
        <w:jc w:val="left"/>
      </w:pPr>
      <w:r w:rsidRPr="00BA4A0E">
        <w:tab/>
      </w:r>
      <w:r w:rsidRPr="00BA4A0E">
        <w:rPr>
          <w:position w:val="-14"/>
        </w:rPr>
        <w:object w:dxaOrig="1980" w:dyaOrig="380">
          <v:shape id="_x0000_i1042" type="#_x0000_t75" style="width:99pt;height:18.75pt" o:ole="">
            <v:imagedata r:id="rId40" o:title=""/>
          </v:shape>
          <o:OLEObject Type="Embed" ProgID="Equation.DSMT4" ShapeID="_x0000_i1042" DrawAspect="Content" ObjectID="_1378036404" r:id="rId41"/>
        </w:object>
      </w:r>
    </w:p>
    <w:p w:rsidR="004F3B22" w:rsidRPr="00BA4A0E" w:rsidRDefault="004F3B22" w:rsidP="00CD670F">
      <w:pPr>
        <w:pStyle w:val="NormalSS"/>
        <w:ind w:firstLine="0"/>
        <w:jc w:val="left"/>
        <w:rPr>
          <w:position w:val="-14"/>
        </w:rPr>
      </w:pPr>
      <w:r w:rsidRPr="00BA4A0E">
        <w:tab/>
      </w:r>
      <w:r w:rsidRPr="00BA4A0E">
        <w:rPr>
          <w:position w:val="-14"/>
        </w:rPr>
        <w:object w:dxaOrig="2680" w:dyaOrig="380">
          <v:shape id="_x0000_i1043" type="#_x0000_t75" style="width:134.25pt;height:18.75pt" o:ole="">
            <v:imagedata r:id="rId42" o:title=""/>
          </v:shape>
          <o:OLEObject Type="Embed" ProgID="Equation.DSMT4" ShapeID="_x0000_i1043" DrawAspect="Content" ObjectID="_1378036405" r:id="rId43"/>
        </w:object>
      </w:r>
    </w:p>
    <w:p w:rsidR="004F3B22" w:rsidRPr="00BA4A0E" w:rsidRDefault="004F3B22" w:rsidP="00CD670F">
      <w:pPr>
        <w:pStyle w:val="NormalSS"/>
        <w:ind w:firstLine="0"/>
        <w:jc w:val="left"/>
      </w:pPr>
      <w:r w:rsidRPr="00BA4A0E">
        <w:t xml:space="preserve">and </w:t>
      </w:r>
      <w:r w:rsidRPr="00BA4A0E">
        <w:rPr>
          <w:i/>
          <w:iCs/>
        </w:rPr>
        <w:t>g</w:t>
      </w:r>
      <w:r w:rsidRPr="00BA4A0E">
        <w:t xml:space="preserve"> is a link function such that:</w:t>
      </w:r>
    </w:p>
    <w:p w:rsidR="004F3B22" w:rsidRPr="00BA4A0E" w:rsidRDefault="004F3B22" w:rsidP="00CD670F">
      <w:pPr>
        <w:pStyle w:val="NormalSS"/>
        <w:ind w:firstLine="0"/>
        <w:jc w:val="left"/>
      </w:pPr>
      <w:r w:rsidRPr="00BA4A0E">
        <w:tab/>
      </w:r>
      <w:r w:rsidRPr="00BA4A0E">
        <w:rPr>
          <w:position w:val="-14"/>
        </w:rPr>
        <w:object w:dxaOrig="4040" w:dyaOrig="400">
          <v:shape id="_x0000_i1044" type="#_x0000_t75" style="width:200.25pt;height:20.25pt" o:ole="">
            <v:imagedata r:id="rId44" o:title=""/>
          </v:shape>
          <o:OLEObject Type="Embed" ProgID="Equation.DSMT4" ShapeID="_x0000_i1044" DrawAspect="Content" ObjectID="_1378036406" r:id="rId45"/>
        </w:object>
      </w:r>
    </w:p>
    <w:p w:rsidR="004F3B22" w:rsidRPr="00BA4A0E" w:rsidRDefault="004F3B22" w:rsidP="00CD670F">
      <w:pPr>
        <w:ind w:firstLine="0"/>
      </w:pPr>
      <w:r w:rsidRPr="00BA4A0E">
        <w:t xml:space="preserve">Note that the </w:t>
      </w:r>
      <w:r w:rsidRPr="00BA4A0E">
        <w:rPr>
          <w:i/>
          <w:iCs/>
        </w:rPr>
        <w:t>X</w:t>
      </w:r>
      <w:r w:rsidRPr="00BA4A0E">
        <w:t xml:space="preserve"> variables in equation (12) contain both the </w:t>
      </w:r>
      <w:r w:rsidRPr="00BA4A0E">
        <w:rPr>
          <w:i/>
          <w:iCs/>
        </w:rPr>
        <w:t xml:space="preserve">T </w:t>
      </w:r>
      <w:r w:rsidRPr="00BA4A0E">
        <w:t xml:space="preserve">and </w:t>
      </w:r>
      <w:r w:rsidRPr="00BA4A0E">
        <w:rPr>
          <w:i/>
          <w:iCs/>
        </w:rPr>
        <w:t>Q</w:t>
      </w:r>
      <w:r w:rsidRPr="00BA4A0E">
        <w:t xml:space="preserve"> variables in equation (9), and that the </w:t>
      </w:r>
      <w:r w:rsidRPr="00BA4A0E">
        <w:rPr>
          <w:i/>
          <w:iCs/>
        </w:rPr>
        <w:t>kx</w:t>
      </w:r>
      <w:r w:rsidRPr="00BA4A0E">
        <w:t>1</w:t>
      </w:r>
      <w:r w:rsidRPr="00BA4A0E">
        <w:rPr>
          <w:i/>
          <w:iCs/>
        </w:rPr>
        <w:t xml:space="preserve"> </w:t>
      </w:r>
      <w:r w:rsidRPr="00BA4A0E">
        <w:t xml:space="preserve">parameter vector </w:t>
      </w:r>
      <w:r w:rsidRPr="00BA4A0E">
        <w:rPr>
          <w:i/>
          <w:iCs/>
        </w:rPr>
        <w:sym w:font="Symbol" w:char="F062"/>
      </w:r>
      <w:r w:rsidRPr="00BA4A0E">
        <w:rPr>
          <w:i/>
          <w:iCs/>
        </w:rPr>
        <w:t xml:space="preserve"> </w:t>
      </w:r>
      <w:r w:rsidRPr="00BA4A0E">
        <w:t xml:space="preserve">contains both the </w:t>
      </w:r>
      <w:r w:rsidRPr="00BA4A0E">
        <w:rPr>
          <w:i/>
          <w:iCs/>
        </w:rPr>
        <w:sym w:font="Symbol" w:char="F067"/>
      </w:r>
      <w:r w:rsidRPr="00BA4A0E">
        <w:rPr>
          <w:i/>
          <w:iCs/>
        </w:rPr>
        <w:t xml:space="preserve"> </w:t>
      </w:r>
      <w:r w:rsidRPr="00BA4A0E">
        <w:t>and</w:t>
      </w:r>
      <w:r w:rsidRPr="00BA4A0E">
        <w:rPr>
          <w:i/>
          <w:iCs/>
        </w:rPr>
        <w:t xml:space="preserve"> </w:t>
      </w:r>
      <w:r w:rsidRPr="00BA4A0E">
        <w:rPr>
          <w:i/>
          <w:iCs/>
        </w:rPr>
        <w:sym w:font="Symbol" w:char="F064"/>
      </w:r>
      <w:r w:rsidRPr="00BA4A0E">
        <w:rPr>
          <w:i/>
          <w:iCs/>
        </w:rPr>
        <w:t xml:space="preserve"> </w:t>
      </w:r>
      <w:r w:rsidRPr="00BA4A0E">
        <w:t>parameters.</w:t>
      </w:r>
      <w:r w:rsidRPr="00BA4A0E">
        <w:rPr>
          <w:i/>
          <w:iCs/>
        </w:rPr>
        <w:t xml:space="preserve"> </w:t>
      </w:r>
    </w:p>
    <w:p w:rsidR="004F3B22" w:rsidRPr="00BA4A0E" w:rsidRDefault="004F3B22" w:rsidP="00EB4688">
      <w:pPr>
        <w:pStyle w:val="ParagraphLAST"/>
        <w:spacing w:after="0"/>
      </w:pPr>
      <w:r w:rsidRPr="00BA4A0E">
        <w:t xml:space="preserve">The estimating equations for the exponential family of distributions (of which linear and logistic regressions are special cases) can be derived by setting to zero the derivatives of the log likelihood function with respect to </w:t>
      </w:r>
      <w:r w:rsidRPr="00BA4A0E">
        <w:rPr>
          <w:i/>
          <w:iCs/>
        </w:rPr>
        <w:sym w:font="Symbol" w:char="F062"/>
      </w:r>
      <w:r w:rsidRPr="00BA4A0E">
        <w:t>. These estimating equations can be expressed as follows:</w:t>
      </w:r>
    </w:p>
    <w:p w:rsidR="004F3B22" w:rsidRPr="00BA4A0E" w:rsidRDefault="004F3B22" w:rsidP="00CD670F">
      <w:pPr>
        <w:pStyle w:val="NormalSS"/>
        <w:ind w:firstLine="0"/>
        <w:jc w:val="left"/>
      </w:pPr>
      <w:r w:rsidRPr="00BA4A0E">
        <w:tab/>
      </w:r>
      <w:r w:rsidRPr="00BA4A0E">
        <w:rPr>
          <w:position w:val="-30"/>
        </w:rPr>
        <w:object w:dxaOrig="6220" w:dyaOrig="720">
          <v:shape id="_x0000_i1045" type="#_x0000_t75" style="width:311.25pt;height:36pt" o:ole="">
            <v:imagedata r:id="rId46" o:title=""/>
          </v:shape>
          <o:OLEObject Type="Embed" ProgID="Equation.DSMT4" ShapeID="_x0000_i1045" DrawAspect="Content" ObjectID="_1378036407" r:id="rId47"/>
        </w:object>
      </w:r>
    </w:p>
    <w:p w:rsidR="004F3B22" w:rsidRPr="00BA4A0E" w:rsidRDefault="004F3B22" w:rsidP="00CD670F">
      <w:pPr>
        <w:pStyle w:val="NormalSS"/>
        <w:ind w:firstLine="0"/>
        <w:jc w:val="left"/>
      </w:pPr>
      <w:r w:rsidRPr="00BA4A0E">
        <w:t xml:space="preserve">where </w:t>
      </w:r>
      <w:r w:rsidRPr="00BA4A0E">
        <w:rPr>
          <w:i/>
          <w:iCs/>
        </w:rPr>
        <w:t>S(</w:t>
      </w:r>
      <w:r w:rsidRPr="00BA4A0E">
        <w:rPr>
          <w:i/>
          <w:iCs/>
        </w:rPr>
        <w:sym w:font="Symbol" w:char="F062"/>
      </w:r>
      <w:r w:rsidRPr="00BA4A0E">
        <w:rPr>
          <w:i/>
          <w:iCs/>
        </w:rPr>
        <w:t xml:space="preserve">) </w:t>
      </w:r>
      <w:r w:rsidRPr="00BA4A0E">
        <w:t xml:space="preserve">is the score function. </w:t>
      </w:r>
    </w:p>
    <w:p w:rsidR="004F3B22" w:rsidRPr="00BA4A0E" w:rsidRDefault="004F3B22" w:rsidP="00EB4688">
      <w:pPr>
        <w:pStyle w:val="ParagraphLAST"/>
        <w:spacing w:after="0"/>
      </w:pPr>
      <w:r w:rsidRPr="00BA4A0E">
        <w:t xml:space="preserve">Estimates of </w:t>
      </w:r>
      <w:r w:rsidRPr="00BA4A0E">
        <w:rPr>
          <w:i/>
          <w:iCs/>
        </w:rPr>
        <w:sym w:font="Symbol" w:char="F062"/>
      </w:r>
      <w:r w:rsidRPr="00BA4A0E">
        <w:t xml:space="preserve"> in equation (13) can be obtained using Newton-Raphson (Taylor Series) methods. The variance of these estimates can be calculated as follows:</w:t>
      </w:r>
    </w:p>
    <w:p w:rsidR="004F3B22" w:rsidRPr="00BA4A0E" w:rsidRDefault="004F3B22" w:rsidP="00CD670F">
      <w:pPr>
        <w:pStyle w:val="NormalSS"/>
        <w:ind w:firstLine="0"/>
        <w:jc w:val="left"/>
      </w:pPr>
      <w:r w:rsidRPr="00BA4A0E">
        <w:tab/>
      </w:r>
      <w:r w:rsidRPr="00BA4A0E">
        <w:rPr>
          <w:position w:val="-12"/>
        </w:rPr>
        <w:object w:dxaOrig="3739" w:dyaOrig="499">
          <v:shape id="_x0000_i1046" type="#_x0000_t75" style="width:185.25pt;height:24.75pt" o:ole="">
            <v:imagedata r:id="rId48" o:title=""/>
          </v:shape>
          <o:OLEObject Type="Embed" ProgID="Equation.DSMT4" ShapeID="_x0000_i1046" DrawAspect="Content" ObjectID="_1378036408" r:id="rId49"/>
        </w:object>
      </w:r>
    </w:p>
    <w:p w:rsidR="004F3B22" w:rsidRPr="00BA4A0E" w:rsidRDefault="004F3B22" w:rsidP="00CD670F">
      <w:pPr>
        <w:ind w:firstLine="0"/>
      </w:pPr>
      <w:r w:rsidRPr="00BA4A0E">
        <w:t xml:space="preserve">where </w:t>
      </w:r>
      <w:r w:rsidRPr="00BA4A0E">
        <w:rPr>
          <w:i/>
          <w:iCs/>
        </w:rPr>
        <w:t>J</w:t>
      </w:r>
      <w:r w:rsidRPr="00BA4A0E">
        <w:rPr>
          <w:i/>
          <w:iCs/>
          <w:vertAlign w:val="subscript"/>
        </w:rPr>
        <w:t>0</w:t>
      </w:r>
      <w:r w:rsidRPr="00BA4A0E">
        <w:t xml:space="preserve"> is a </w:t>
      </w:r>
      <w:r w:rsidRPr="00BA4A0E">
        <w:rPr>
          <w:i/>
          <w:iCs/>
        </w:rPr>
        <w:t>k</w:t>
      </w:r>
      <w:r w:rsidRPr="00BA4A0E">
        <w:t>-by-</w:t>
      </w:r>
      <w:r w:rsidRPr="00BA4A0E">
        <w:rPr>
          <w:i/>
          <w:iCs/>
        </w:rPr>
        <w:t>k</w:t>
      </w:r>
      <w:r w:rsidRPr="00BA4A0E">
        <w:t xml:space="preserve"> matrix of derivatives of the score function with respect to </w:t>
      </w:r>
      <w:r w:rsidRPr="00BA4A0E">
        <w:rPr>
          <w:i/>
          <w:iCs/>
        </w:rPr>
        <w:sym w:font="Symbol" w:char="F062"/>
      </w:r>
      <w:r w:rsidRPr="00BA4A0E">
        <w:t xml:space="preserve"> , and </w:t>
      </w:r>
      <w:r w:rsidRPr="00BA4A0E">
        <w:rPr>
          <w:i/>
          <w:iCs/>
        </w:rPr>
        <w:t>Var[S(</w:t>
      </w:r>
      <w:r w:rsidRPr="00BA4A0E">
        <w:rPr>
          <w:i/>
          <w:iCs/>
        </w:rPr>
        <w:sym w:font="Symbol" w:char="F062"/>
      </w:r>
      <w:r w:rsidRPr="00BA4A0E">
        <w:rPr>
          <w:i/>
          <w:iCs/>
        </w:rPr>
        <w:t>)]</w:t>
      </w:r>
      <w:r w:rsidRPr="00BA4A0E">
        <w:t xml:space="preserve"> is the </w:t>
      </w:r>
      <w:r w:rsidRPr="00BA4A0E">
        <w:rPr>
          <w:i/>
          <w:iCs/>
        </w:rPr>
        <w:t>design-based</w:t>
      </w:r>
      <w:r w:rsidRPr="00BA4A0E">
        <w:t xml:space="preserve"> variance of the score function. </w:t>
      </w:r>
    </w:p>
    <w:p w:rsidR="004F3B22" w:rsidRPr="00BA4A0E" w:rsidRDefault="004F3B22" w:rsidP="00EB4688">
      <w:pPr>
        <w:pStyle w:val="ParagraphLAST"/>
        <w:spacing w:after="0"/>
      </w:pPr>
      <w:r w:rsidRPr="00BA4A0E">
        <w:t xml:space="preserve">An estimate of </w:t>
      </w:r>
      <w:r w:rsidRPr="00BA4A0E">
        <w:rPr>
          <w:i/>
          <w:iCs/>
        </w:rPr>
        <w:t>Var[S(</w:t>
      </w:r>
      <w:r w:rsidRPr="00BA4A0E">
        <w:rPr>
          <w:i/>
          <w:iCs/>
        </w:rPr>
        <w:sym w:font="Symbol" w:char="F062"/>
      </w:r>
      <w:r w:rsidRPr="00BA4A0E">
        <w:rPr>
          <w:i/>
          <w:iCs/>
        </w:rPr>
        <w:t>)]</w:t>
      </w:r>
      <w:r w:rsidRPr="00BA4A0E">
        <w:t xml:space="preserve"> can be obtained using the Taylor linearization method discussed in the previous section. This is because the score function is a </w:t>
      </w:r>
      <w:r w:rsidRPr="00BA4A0E">
        <w:rPr>
          <w:i/>
          <w:iCs/>
        </w:rPr>
        <w:t>sum</w:t>
      </w:r>
      <w:r w:rsidRPr="00BA4A0E">
        <w:t xml:space="preserve"> of linearized </w:t>
      </w:r>
      <w:r w:rsidRPr="00BA4A0E">
        <w:rPr>
          <w:i/>
          <w:iCs/>
        </w:rPr>
        <w:t>kx</w:t>
      </w:r>
      <w:r w:rsidRPr="00BA4A0E">
        <w:t xml:space="preserve">1 </w:t>
      </w:r>
      <w:r w:rsidRPr="00BA4A0E">
        <w:rPr>
          <w:i/>
          <w:iCs/>
        </w:rPr>
        <w:t xml:space="preserve">Z </w:t>
      </w:r>
      <w:r w:rsidRPr="00BA4A0E">
        <w:t>vectors, where the Z vector for each individual is of the form:</w:t>
      </w:r>
    </w:p>
    <w:p w:rsidR="004F3B22" w:rsidRPr="00BA4A0E" w:rsidRDefault="004F3B22" w:rsidP="00CD670F">
      <w:pPr>
        <w:pStyle w:val="NormalSS"/>
        <w:ind w:firstLine="0"/>
        <w:jc w:val="left"/>
      </w:pPr>
      <w:r w:rsidRPr="00BA4A0E">
        <w:t xml:space="preserve"> </w:t>
      </w:r>
      <w:r w:rsidRPr="00BA4A0E">
        <w:tab/>
      </w:r>
      <w:r w:rsidRPr="00BA4A0E">
        <w:rPr>
          <w:position w:val="-28"/>
        </w:rPr>
        <w:object w:dxaOrig="3980" w:dyaOrig="700">
          <v:shape id="_x0000_i1047" type="#_x0000_t75" style="width:197.25pt;height:35.25pt" o:ole="">
            <v:imagedata r:id="rId50" o:title=""/>
          </v:shape>
          <o:OLEObject Type="Embed" ProgID="Equation.DSMT4" ShapeID="_x0000_i1047" DrawAspect="Content" ObjectID="_1378036409" r:id="rId51"/>
        </w:object>
      </w:r>
    </w:p>
    <w:p w:rsidR="004F3B22" w:rsidRPr="00BA4A0E" w:rsidRDefault="004F3B22" w:rsidP="00EB4688">
      <w:pPr>
        <w:pStyle w:val="ParagraphLAST"/>
        <w:spacing w:after="0"/>
      </w:pPr>
      <w:r w:rsidRPr="00BA4A0E">
        <w:t xml:space="preserve">Consequently, similar procedures to those described in the previous section for the differences-in-means estimators can be used to compute </w:t>
      </w:r>
      <w:r w:rsidRPr="00BA4A0E">
        <w:rPr>
          <w:i/>
          <w:iCs/>
        </w:rPr>
        <w:t>Var[S(</w:t>
      </w:r>
      <w:r w:rsidRPr="00BA4A0E">
        <w:rPr>
          <w:i/>
          <w:iCs/>
        </w:rPr>
        <w:sym w:font="Symbol" w:char="F062"/>
      </w:r>
      <w:r w:rsidRPr="00BA4A0E">
        <w:rPr>
          <w:i/>
          <w:iCs/>
        </w:rPr>
        <w:t>)]</w:t>
      </w:r>
      <w:r w:rsidRPr="00BA4A0E">
        <w:t xml:space="preserve"> using the linearized Z vectors. For instance, under the WR assumption, the variance estimate in the noncertainty sites can be computed as follows:</w:t>
      </w:r>
    </w:p>
    <w:p w:rsidR="004F3B22" w:rsidRPr="00BA4A0E" w:rsidRDefault="004F3B22" w:rsidP="00CD670F">
      <w:pPr>
        <w:pStyle w:val="NormalSS"/>
        <w:ind w:firstLine="0"/>
      </w:pPr>
      <w:r w:rsidRPr="00BA4A0E">
        <w:tab/>
      </w:r>
      <w:r w:rsidRPr="00BA4A0E">
        <w:rPr>
          <w:position w:val="-102"/>
        </w:rPr>
        <w:object w:dxaOrig="4800" w:dyaOrig="2000">
          <v:shape id="_x0000_i1048" type="#_x0000_t75" style="width:240pt;height:99pt" o:ole="">
            <v:imagedata r:id="rId52" o:title=""/>
          </v:shape>
          <o:OLEObject Type="Embed" ProgID="Equation.DSMT4" ShapeID="_x0000_i1048" DrawAspect="Content" ObjectID="_1378036410" r:id="rId53"/>
        </w:object>
      </w:r>
    </w:p>
    <w:p w:rsidR="004F3B22" w:rsidRPr="00BA4A0E" w:rsidRDefault="004F3B22" w:rsidP="00CD670F">
      <w:pPr>
        <w:ind w:firstLine="0"/>
      </w:pPr>
      <w:r w:rsidRPr="00BA4A0E">
        <w:t>and under the WOR assumption with equal state sampling probabilities, the variance estimate can be obtained by multiplying equation (16) by (</w:t>
      </w:r>
      <w:r w:rsidRPr="00BA4A0E">
        <w:rPr>
          <w:iCs/>
        </w:rPr>
        <w:t>1-f</w:t>
      </w:r>
      <w:r w:rsidRPr="00BA4A0E">
        <w:rPr>
          <w:iCs/>
          <w:vertAlign w:val="subscript"/>
        </w:rPr>
        <w:t>h</w:t>
      </w:r>
      <w:r w:rsidRPr="00BA4A0E">
        <w:t>).</w:t>
      </w:r>
    </w:p>
    <w:p w:rsidR="004F3B22" w:rsidRPr="00BA4A0E" w:rsidRDefault="004F3B22" w:rsidP="00EB4688">
      <w:pPr>
        <w:pStyle w:val="ParagraphLAST"/>
        <w:spacing w:after="0"/>
      </w:pPr>
      <w:r w:rsidRPr="00BA4A0E">
        <w:t xml:space="preserve">Linear and logistic regression procedures are special cases of the above generalized linear model formulation. For linear regression, the </w:t>
      </w:r>
      <w:r w:rsidRPr="00BA4A0E">
        <w:rPr>
          <w:iCs/>
        </w:rPr>
        <w:sym w:font="Symbol" w:char="F062"/>
      </w:r>
      <w:r w:rsidRPr="00BA4A0E">
        <w:t xml:space="preserve"> parameters can be estimated using the following weighted least squares formula:</w:t>
      </w:r>
    </w:p>
    <w:p w:rsidR="004F3B22" w:rsidRPr="00BA4A0E" w:rsidRDefault="004F3B22" w:rsidP="00CD670F">
      <w:pPr>
        <w:pStyle w:val="NormalSS"/>
        <w:ind w:firstLine="0"/>
        <w:jc w:val="left"/>
        <w:rPr>
          <w:rFonts w:ascii="Times" w:hAnsi="Times"/>
        </w:rPr>
      </w:pPr>
      <w:r w:rsidRPr="00BA4A0E">
        <w:rPr>
          <w:rFonts w:ascii="Times" w:hAnsi="Times"/>
        </w:rPr>
        <w:tab/>
      </w:r>
      <w:r w:rsidRPr="00BA4A0E">
        <w:rPr>
          <w:rFonts w:ascii="Times" w:hAnsi="Times"/>
          <w:position w:val="-10"/>
        </w:rPr>
        <w:object w:dxaOrig="2560" w:dyaOrig="480">
          <v:shape id="_x0000_i1049" type="#_x0000_t75" style="width:128.25pt;height:24pt" o:ole="">
            <v:imagedata r:id="rId54" o:title=""/>
          </v:shape>
          <o:OLEObject Type="Embed" ProgID="Equation.DSMT4" ShapeID="_x0000_i1049" DrawAspect="Content" ObjectID="_1378036411" r:id="rId55"/>
        </w:object>
      </w:r>
    </w:p>
    <w:p w:rsidR="004F3B22" w:rsidRPr="00BA4A0E" w:rsidRDefault="004F3B22" w:rsidP="00CD670F">
      <w:pPr>
        <w:ind w:firstLine="0"/>
      </w:pPr>
      <w:r w:rsidRPr="00BA4A0E">
        <w:t xml:space="preserve">where </w:t>
      </w:r>
      <w:r w:rsidRPr="00BA4A0E">
        <w:rPr>
          <w:iCs/>
        </w:rPr>
        <w:t>W</w:t>
      </w:r>
      <w:r w:rsidRPr="00BA4A0E">
        <w:t xml:space="preserve"> is a matrix of weights. Design-based variances for these regression coefficients can be estimated using the formulas in equations (13) to (15) where:</w:t>
      </w:r>
    </w:p>
    <w:p w:rsidR="004F3B22" w:rsidRPr="00BA4A0E" w:rsidRDefault="004F3B22" w:rsidP="00CD670F">
      <w:pPr>
        <w:pStyle w:val="NormalSS"/>
        <w:ind w:firstLine="0"/>
        <w:jc w:val="left"/>
        <w:rPr>
          <w:rFonts w:ascii="Times" w:hAnsi="Times"/>
        </w:rPr>
      </w:pPr>
      <w:r w:rsidRPr="00BA4A0E">
        <w:rPr>
          <w:rFonts w:ascii="Times" w:hAnsi="Times"/>
        </w:rPr>
        <w:tab/>
      </w:r>
      <w:r w:rsidRPr="00BA4A0E">
        <w:rPr>
          <w:rFonts w:ascii="Times" w:hAnsi="Times"/>
          <w:position w:val="-14"/>
        </w:rPr>
        <w:object w:dxaOrig="3379" w:dyaOrig="400">
          <v:shape id="_x0000_i1050" type="#_x0000_t75" style="width:167.25pt;height:20.25pt" o:ole="">
            <v:imagedata r:id="rId56" o:title=""/>
          </v:shape>
          <o:OLEObject Type="Embed" ProgID="Equation.DSMT4" ShapeID="_x0000_i1050" DrawAspect="Content" ObjectID="_1378036412" r:id="rId57"/>
        </w:object>
      </w:r>
    </w:p>
    <w:p w:rsidR="004F3B22" w:rsidRPr="00BA4A0E" w:rsidRDefault="004F3B22" w:rsidP="00CA3B4D">
      <w:pPr>
        <w:pStyle w:val="ParagraphLAST"/>
      </w:pPr>
      <w:r w:rsidRPr="00BA4A0E">
        <w:t xml:space="preserve">For logistic regression models, the assumptions are: </w:t>
      </w:r>
    </w:p>
    <w:p w:rsidR="004F3B22" w:rsidRPr="00BA4A0E" w:rsidRDefault="004F3B22" w:rsidP="00CD670F">
      <w:pPr>
        <w:pStyle w:val="NormalSS"/>
        <w:ind w:firstLine="0"/>
        <w:jc w:val="left"/>
        <w:rPr>
          <w:rFonts w:ascii="Times" w:hAnsi="Times"/>
        </w:rPr>
      </w:pPr>
      <w:r w:rsidRPr="00BA4A0E">
        <w:rPr>
          <w:rFonts w:ascii="Times" w:hAnsi="Times"/>
        </w:rPr>
        <w:t xml:space="preserve"> </w:t>
      </w:r>
      <w:r w:rsidRPr="00BA4A0E">
        <w:rPr>
          <w:rFonts w:ascii="Times" w:hAnsi="Times"/>
        </w:rPr>
        <w:tab/>
      </w:r>
      <w:r w:rsidRPr="00BA4A0E">
        <w:rPr>
          <w:rFonts w:ascii="Times" w:hAnsi="Times"/>
          <w:position w:val="-32"/>
        </w:rPr>
        <w:object w:dxaOrig="4580" w:dyaOrig="760">
          <v:shape id="_x0000_i1051" type="#_x0000_t75" style="width:219.75pt;height:38.25pt" o:ole="">
            <v:imagedata r:id="rId58" o:title=""/>
          </v:shape>
          <o:OLEObject Type="Embed" ProgID="Equation.DSMT4" ShapeID="_x0000_i1051" DrawAspect="Content" ObjectID="_1378036413" r:id="rId59"/>
        </w:object>
      </w:r>
    </w:p>
    <w:p w:rsidR="004F3B22" w:rsidRPr="00BA4A0E" w:rsidRDefault="004F3B22" w:rsidP="00A2618B">
      <w:r w:rsidRPr="00BA4A0E">
        <w:t>The estimated impacts using the regression approach should be similar to the differences-in-means impact estimates, because the covariates should be uncorrelated with treatment status due to random assignment. However, the standard errors of the impact estimates should be smaller using the regression models because the covariates are likely to be correlated with the outcome measures, and hence, are likely to reduce intraclass correlations.</w:t>
      </w:r>
    </w:p>
    <w:p w:rsidR="004F3B22" w:rsidRPr="008541B1" w:rsidRDefault="004F3B22" w:rsidP="00CA3B4D">
      <w:pPr>
        <w:pStyle w:val="Heading5"/>
      </w:pPr>
      <w:r w:rsidRPr="00BA4A0E">
        <w:tab/>
      </w:r>
      <w:r w:rsidRPr="008541B1">
        <w:t>iii.</w:t>
      </w:r>
      <w:r w:rsidRPr="008541B1">
        <w:tab/>
        <w:t xml:space="preserve">Estimating Impacts for Participants and Adjusting for Crossovers </w:t>
      </w:r>
    </w:p>
    <w:p w:rsidR="004F3B22" w:rsidRPr="008541B1" w:rsidRDefault="004F3B22" w:rsidP="00CA3B4D">
      <w:r w:rsidRPr="008541B1">
        <w:t xml:space="preserve">The experimental framework will provide unbiased estimates of the impact of the </w:t>
      </w:r>
      <w:r w:rsidRPr="008541B1">
        <w:rPr>
          <w:i/>
          <w:iCs/>
        </w:rPr>
        <w:t>opportunity</w:t>
      </w:r>
      <w:r w:rsidRPr="008541B1">
        <w:t xml:space="preserve"> to receive specific WIA services (intent-to-treat [ITT] effects). However, since some sample members may decide not to use the offered WIA services, the net impacts on just those who participate in the program (treatment-on-the-treated [TOT] effects) are also of interest. </w:t>
      </w:r>
    </w:p>
    <w:p w:rsidR="004F3B22" w:rsidRPr="008541B1" w:rsidRDefault="004F3B22" w:rsidP="00CA3B4D">
      <w:r w:rsidRPr="008541B1">
        <w:t xml:space="preserve">Crossovers occur if customers assigned to one research group receive WIA services for which they are ineligible given their study assignment to the core-only or core-and-intensive group. Our main approach to crossovers is to prevent them. Site staff will be carefully trained on the importance of not undermining the experiment. We will monitor the extent of crossovers by collecting administrative data on service receipt from the sites. In the National Job Corps Study, only 1.2 percent of control group members enrolled in Job Corps before their restriction period ended (Schochet et al. 2001). If we find that more than 5 percent of customers crossover, we will adjust using techniques similar to the one we describe below for addressing whether study participants do not receive services.  </w:t>
      </w:r>
    </w:p>
    <w:p w:rsidR="004F3B22" w:rsidRPr="008541B1" w:rsidRDefault="004F3B22" w:rsidP="00CA3B4D">
      <w:r w:rsidRPr="008541B1">
        <w:t>Methods to adjust for nonparticipation and research group crossovers are complex because research groups will be offered different combinations of services. Thus, both the full-WIA and the core-and-intensive services research groups under investigation could have nonparticipants and crossovers. This problem becomes more tractable under certain assumptions, in which case policy-relevant TOT estimates can be generated, although they must be interpreted carefully. Assuming that crossovers are few enough that they will not require an adjustment, TOT impacts will be estimated using two potential approaches.</w:t>
      </w:r>
    </w:p>
    <w:p w:rsidR="004F3B22" w:rsidRPr="008541B1" w:rsidRDefault="004F3B22" w:rsidP="00A2618B">
      <w:r w:rsidRPr="008541B1">
        <w:t xml:space="preserve">First, assuming the treatment has no impact on those who did not receive the service, the Bloom adjustment will be used to calculate the impact of the treatment on those who did receive the service. The TOT impact is calculated by dividing the estimated ITT impact from the full sample by the proportion of the relevant group that received services (Angrist et al. 1996; Bloom 1984). In our case, a participant will be defined as a customer who receives any intensive or training services. Bloom adjustment procedures will be applied to the various contrasts:   </w:t>
      </w:r>
    </w:p>
    <w:p w:rsidR="004F3B22" w:rsidRPr="008541B1" w:rsidRDefault="004F3B22" w:rsidP="00CA3B4D">
      <w:pPr>
        <w:pStyle w:val="BulletBlack"/>
      </w:pPr>
      <w:r w:rsidRPr="008541B1">
        <w:rPr>
          <w:b/>
          <w:bCs/>
          <w:iCs/>
        </w:rPr>
        <w:t xml:space="preserve">Impacts of the receipt of intensive services. </w:t>
      </w:r>
      <w:r w:rsidRPr="008541B1">
        <w:t>These impacts can be obtained by dividing the difference between the mean outcomes of those in the core-and-intensive services and core-only groups by the percentage of core-and-intensive services group members who received intensive services.</w:t>
      </w:r>
    </w:p>
    <w:p w:rsidR="004F3B22" w:rsidRPr="008541B1" w:rsidRDefault="004F3B22" w:rsidP="00CA3B4D">
      <w:pPr>
        <w:pStyle w:val="BulletBlackLastDS"/>
      </w:pPr>
      <w:r w:rsidRPr="008541B1">
        <w:rPr>
          <w:b/>
          <w:bCs/>
          <w:iCs/>
        </w:rPr>
        <w:t xml:space="preserve">Impacts of the receipt of training beyond core and intensive services. </w:t>
      </w:r>
      <w:r w:rsidRPr="008541B1">
        <w:t xml:space="preserve">These impacts can be obtained by dividing the difference between the mean outcomes of the full-WIA and core-and-intensive services groups by the difference between the participation rates for the two groups. These TOT estimates must be interpreted carefully because they will reflect both the receipt of training services as well as differences in the amount of intensive services received by the two groups. </w:t>
      </w:r>
    </w:p>
    <w:p w:rsidR="004F3B22" w:rsidRDefault="004F3B22">
      <w:pPr>
        <w:rPr>
          <w:rFonts w:ascii="Calibri" w:hAnsi="Calibri"/>
          <w:sz w:val="22"/>
          <w:szCs w:val="22"/>
        </w:rPr>
      </w:pPr>
      <w:r w:rsidRPr="008541B1">
        <w:t xml:space="preserve">The second approach for obtaining TOT estimates uses counselors’ predictions on how likely each customer would be to receive intensive and training services, if offered. </w:t>
      </w:r>
      <w:r>
        <w:t>The SRF requests that the WIA counselor, using check boxes, indicate the likelihood that each customer eligible for random assignment will receive WIA training services.  This information will be obtained prior to random assignment, and thus, will be available for all members of the Full-WIA (FW), Core-and-Intensive (CI), and Core-Only (CO) research groups.  The accuracy of these predictions will be assessed by comparing predicted and actual training receipt designations for members of the FW group.</w:t>
      </w:r>
    </w:p>
    <w:p w:rsidR="004F3B22" w:rsidRDefault="004F3B22">
      <w:pPr>
        <w:rPr>
          <w:rFonts w:ascii="Calibri" w:hAnsi="Calibri"/>
          <w:sz w:val="22"/>
          <w:szCs w:val="22"/>
        </w:rPr>
      </w:pPr>
      <w:r>
        <w:t>If these predictions are highly accurate, we will estimate treatment-on-the-treated (TOT) impacts on the actual receipt of WIA intensive and training services by comparing the mean outcomes of predicted trainees in the FW and CO groups.   To assess TOT impacts of the actual receipt of training services beyond intensive services, we will compare the mean outcomes of predicted trainees in the FW and CI groups and divide this impact by the proportion of the CI group that receives intensive services (to account for some customers in the CI group who do not receive intensive services).</w:t>
      </w:r>
    </w:p>
    <w:p w:rsidR="004F3B22" w:rsidRDefault="004F3B22">
      <w:pPr>
        <w:rPr>
          <w:rFonts w:ascii="Calibri" w:hAnsi="Calibri"/>
          <w:sz w:val="22"/>
          <w:szCs w:val="22"/>
        </w:rPr>
      </w:pPr>
      <w:r>
        <w:t>We will also use additional baseline data from the study registration forms along with propensity scoring methods to obtain more precise training predictions and impacts (Schochet and Burghardt 2007). This will be done in three stages, which we discuss using the full FW and CO groups. In the first stage, we will use the FW only to estimate a logit model that regresses an indicator variable that equals 1 for those who actually received training and 0 for those who did not on indicators of the counselor training predictions and other baseline covariates. In the second stage, we will compute predicted probabilities (propensity scores) for both FW and CO members using the parameter estimates from the model. Because of random assignment, the parameter estimates pertain not only to the FW group but also to the CO group</w:t>
      </w:r>
      <w:r w:rsidRPr="00720E25">
        <w:t>.</w:t>
      </w:r>
      <w:r>
        <w:t xml:space="preserve">  </w:t>
      </w:r>
    </w:p>
    <w:p w:rsidR="004F3B22" w:rsidRDefault="004F3B22">
      <w:pPr>
        <w:rPr>
          <w:rFonts w:ascii="Calibri" w:hAnsi="Calibri"/>
          <w:sz w:val="22"/>
          <w:szCs w:val="22"/>
        </w:rPr>
      </w:pPr>
      <w:r>
        <w:t>There are two options for the third stage. One option—the traditional method—is to use the estimated propensity scores to match a CO member to each FW member (with replacement) using nearest neighbor, caliper, or kernel matching. Trainee impacts would then be obtained by comparing the outcomes of actual trainees in the FW group to their matched CO members. The second option—the cutoff method—obtains a “predicted” trainee group by selecting FW and CO members with propensity scores larger than a cutoff value. Trainee impacts would then be estimated by comparing FW and CO members in the predicted trainee group. Under this approach, it is natural to select the cutoff value so that the proportion of all FW members in the predicted trainee group is the same as the proportion of all FW members who actually received training (see Schochet and Burghardt, 2007 for more details).     </w:t>
      </w:r>
    </w:p>
    <w:p w:rsidR="004F3B22" w:rsidRPr="008541B1" w:rsidRDefault="004F3B22" w:rsidP="00CA3B4D">
      <w:pPr>
        <w:pStyle w:val="Heading4"/>
      </w:pPr>
      <w:r w:rsidRPr="008541B1">
        <w:t>b.</w:t>
      </w:r>
      <w:r w:rsidRPr="008541B1">
        <w:tab/>
        <w:t xml:space="preserve">Estimating Impacts for Subgroups </w:t>
      </w:r>
    </w:p>
    <w:p w:rsidR="004F3B22" w:rsidRPr="008541B1" w:rsidRDefault="004F3B22" w:rsidP="00CA3B4D">
      <w:r w:rsidRPr="008541B1">
        <w:t>Subgroup analyses will address the question of whether access to a certain tier of WIA services is more effective for some subgroups than others. Analyses will be conducted for subgroups defined by customer characteristics and for subgroups defined by program and community characteristics. The first set of subgroup analyses will determine the extent to which specific WIA services benefit customers with different baseline characteristics, such as age, sex, race/ethnicity, education level, and employment history. The second set of subgroup analyses will determine the extent to which key LWIA characteristics, such as performance on DOL’s common measures, quality of implementation, site size, and local area characteristics, are related to observed impacts.</w:t>
      </w:r>
    </w:p>
    <w:p w:rsidR="004F3B22" w:rsidRPr="008541B1" w:rsidRDefault="004F3B22" w:rsidP="00CA3B4D">
      <w:r w:rsidRPr="008541B1">
        <w:t xml:space="preserve">Impacts for each subgroup will be estimated in turn using a straightforward modification to equation (9), where for simplicity of exposition, an analysis contrasting two research groups is assumed and the subgroup indicator </w:t>
      </w:r>
      <w:r w:rsidRPr="008541B1">
        <w:rPr>
          <w:position w:val="-12"/>
        </w:rPr>
        <w:object w:dxaOrig="300" w:dyaOrig="360">
          <v:shape id="_x0000_i1052" type="#_x0000_t75" style="width:15pt;height:18.75pt" o:ole="">
            <v:imagedata r:id="rId60" o:title=""/>
          </v:shape>
          <o:OLEObject Type="Embed" ProgID="Equation.DSMT4" ShapeID="_x0000_i1052" DrawAspect="Content" ObjectID="_1378036414" r:id="rId61"/>
        </w:object>
      </w:r>
      <w:r w:rsidRPr="008541B1">
        <w:t xml:space="preserve"> is defined at the individual level and has two levels (for example, </w:t>
      </w:r>
      <w:r w:rsidRPr="008541B1">
        <w:rPr>
          <w:position w:val="-12"/>
        </w:rPr>
        <w:object w:dxaOrig="639" w:dyaOrig="360">
          <v:shape id="_x0000_i1053" type="#_x0000_t75" style="width:31.5pt;height:18.75pt" o:ole="">
            <v:imagedata r:id="rId62" o:title=""/>
          </v:shape>
          <o:OLEObject Type="Embed" ProgID="Equation.DSMT4" ShapeID="_x0000_i1053" DrawAspect="Content" ObjectID="_1378036415" r:id="rId63"/>
        </w:object>
      </w:r>
      <w:r w:rsidRPr="008541B1">
        <w:t xml:space="preserve"> for females and </w:t>
      </w:r>
      <w:r w:rsidRPr="008541B1">
        <w:rPr>
          <w:position w:val="-12"/>
        </w:rPr>
        <w:object w:dxaOrig="680" w:dyaOrig="360">
          <v:shape id="_x0000_i1054" type="#_x0000_t75" style="width:34.5pt;height:18.75pt" o:ole="">
            <v:imagedata r:id="rId64" o:title=""/>
          </v:shape>
          <o:OLEObject Type="Embed" ProgID="Equation.DSMT4" ShapeID="_x0000_i1054" DrawAspect="Content" ObjectID="_1378036416" r:id="rId65"/>
        </w:object>
      </w:r>
      <w:r w:rsidRPr="008541B1">
        <w:t xml:space="preserve"> for males):</w:t>
      </w:r>
    </w:p>
    <w:p w:rsidR="004F3B22" w:rsidRPr="008541B1" w:rsidRDefault="004F3B22" w:rsidP="00CD670F">
      <w:pPr>
        <w:jc w:val="left"/>
      </w:pPr>
      <w:r w:rsidRPr="008541B1">
        <w:rPr>
          <w:position w:val="-12"/>
          <w:sz w:val="23"/>
          <w:szCs w:val="23"/>
        </w:rPr>
        <w:object w:dxaOrig="5179" w:dyaOrig="360">
          <v:shape id="_x0000_i1055" type="#_x0000_t75" style="width:256.5pt;height:17.25pt" o:ole="" fillcolor="window">
            <v:imagedata r:id="rId66" o:title=""/>
          </v:shape>
          <o:OLEObject Type="Embed" ProgID="Equation.DSMT4" ShapeID="_x0000_i1055" DrawAspect="Content" ObjectID="_1378036417" r:id="rId67"/>
        </w:object>
      </w:r>
    </w:p>
    <w:p w:rsidR="004F3B22" w:rsidRDefault="004F3B22" w:rsidP="00A2618B">
      <w:r w:rsidRPr="008541B1">
        <w:t>Equation (20) differs from equation (9) because of the inclusion of the interaction term,</w:t>
      </w:r>
      <w:r w:rsidRPr="008541B1">
        <w:rPr>
          <w:position w:val="-12"/>
        </w:rPr>
        <w:object w:dxaOrig="639" w:dyaOrig="360">
          <v:shape id="_x0000_i1056" type="#_x0000_t75" style="width:31.5pt;height:18.75pt" o:ole="">
            <v:imagedata r:id="rId68" o:title=""/>
          </v:shape>
          <o:OLEObject Type="Embed" ProgID="Equation.DSMT4" ShapeID="_x0000_i1056" DrawAspect="Content" ObjectID="_1378036418" r:id="rId69"/>
        </w:object>
      </w:r>
      <w:r w:rsidRPr="008541B1">
        <w:t xml:space="preserve">, and where </w:t>
      </w:r>
      <w:r w:rsidRPr="008541B1">
        <w:rPr>
          <w:position w:val="-12"/>
        </w:rPr>
        <w:object w:dxaOrig="380" w:dyaOrig="360">
          <v:shape id="_x0000_i1057" type="#_x0000_t75" style="width:19.5pt;height:18.75pt" o:ole="">
            <v:imagedata r:id="rId70" o:title=""/>
          </v:shape>
          <o:OLEObject Type="Embed" ProgID="Equation.DSMT4" ShapeID="_x0000_i1057" DrawAspect="Content" ObjectID="_1378036419" r:id="rId71"/>
        </w:object>
      </w:r>
      <w:r w:rsidRPr="008541B1">
        <w:t xml:space="preserve"> represents the vector of baseline covariates that excludes </w:t>
      </w:r>
      <w:r w:rsidRPr="008541B1">
        <w:rPr>
          <w:position w:val="-12"/>
        </w:rPr>
        <w:object w:dxaOrig="300" w:dyaOrig="360">
          <v:shape id="_x0000_i1058" type="#_x0000_t75" style="width:15pt;height:18.75pt" o:ole="">
            <v:imagedata r:id="rId72" o:title=""/>
          </v:shape>
          <o:OLEObject Type="Embed" ProgID="Equation.DSMT4" ShapeID="_x0000_i1058" DrawAspect="Content" ObjectID="_1378036420" r:id="rId73"/>
        </w:object>
      </w:r>
      <w:r w:rsidRPr="008541B1">
        <w:t xml:space="preserve">. The regression-adjusted impact for those with </w:t>
      </w:r>
      <w:r w:rsidRPr="008541B1">
        <w:rPr>
          <w:position w:val="-12"/>
        </w:rPr>
        <w:object w:dxaOrig="639" w:dyaOrig="360">
          <v:shape id="_x0000_i1059" type="#_x0000_t75" style="width:31.5pt;height:18.75pt" o:ole="">
            <v:imagedata r:id="rId62" o:title=""/>
          </v:shape>
          <o:OLEObject Type="Embed" ProgID="Equation.DSMT4" ShapeID="_x0000_i1059" DrawAspect="Content" ObjectID="_1378036421" r:id="rId74"/>
        </w:object>
      </w:r>
      <w:r w:rsidRPr="008541B1">
        <w:t xml:space="preserve"> (for example, females) is </w:t>
      </w:r>
      <w:r w:rsidRPr="008541B1">
        <w:rPr>
          <w:position w:val="-10"/>
        </w:rPr>
        <w:object w:dxaOrig="720" w:dyaOrig="320">
          <v:shape id="_x0000_i1060" type="#_x0000_t75" style="width:36pt;height:15.75pt" o:ole="">
            <v:imagedata r:id="rId75" o:title=""/>
          </v:shape>
          <o:OLEObject Type="Embed" ProgID="Equation.DSMT4" ShapeID="_x0000_i1060" DrawAspect="Content" ObjectID="_1378036422" r:id="rId76"/>
        </w:object>
      </w:r>
      <w:r w:rsidRPr="008541B1">
        <w:t xml:space="preserve">, and for those with </w:t>
      </w:r>
      <w:r w:rsidRPr="008541B1">
        <w:rPr>
          <w:position w:val="-12"/>
        </w:rPr>
        <w:object w:dxaOrig="680" w:dyaOrig="360">
          <v:shape id="_x0000_i1061" type="#_x0000_t75" style="width:34.5pt;height:18.75pt" o:ole="">
            <v:imagedata r:id="rId77" o:title=""/>
          </v:shape>
          <o:OLEObject Type="Embed" ProgID="Equation.DSMT4" ShapeID="_x0000_i1061" DrawAspect="Content" ObjectID="_1378036423" r:id="rId78"/>
        </w:object>
      </w:r>
      <w:r w:rsidRPr="008541B1">
        <w:t xml:space="preserve"> (for example, males), it is </w:t>
      </w:r>
      <w:r w:rsidRPr="008541B1">
        <w:rPr>
          <w:position w:val="-10"/>
        </w:rPr>
        <w:object w:dxaOrig="200" w:dyaOrig="260">
          <v:shape id="_x0000_i1062" type="#_x0000_t75" style="width:9.75pt;height:13.5pt" o:ole="">
            <v:imagedata r:id="rId79" o:title=""/>
          </v:shape>
          <o:OLEObject Type="Embed" ProgID="Equation.DSMT4" ShapeID="_x0000_i1062" DrawAspect="Content" ObjectID="_1378036424" r:id="rId80"/>
        </w:object>
      </w:r>
      <w:r w:rsidRPr="008541B1">
        <w:t xml:space="preserve">. The parameter </w:t>
      </w:r>
      <w:r w:rsidRPr="008541B1">
        <w:rPr>
          <w:position w:val="-6"/>
        </w:rPr>
        <w:object w:dxaOrig="200" w:dyaOrig="279">
          <v:shape id="_x0000_i1063" type="#_x0000_t75" style="width:9.75pt;height:14.25pt" o:ole="">
            <v:imagedata r:id="rId81" o:title=""/>
          </v:shape>
          <o:OLEObject Type="Embed" ProgID="Equation.DSMT4" ShapeID="_x0000_i1063" DrawAspect="Content" ObjectID="_1378036425" r:id="rId82"/>
        </w:object>
      </w:r>
      <w:r w:rsidRPr="008541B1">
        <w:t xml:space="preserve"> represents the </w:t>
      </w:r>
      <w:r w:rsidRPr="008541B1">
        <w:rPr>
          <w:i/>
          <w:iCs/>
        </w:rPr>
        <w:t>difference</w:t>
      </w:r>
      <w:r w:rsidRPr="008541B1">
        <w:t xml:space="preserve"> in the impacts across the two subgroup levels. Equation (20) can be generalized to subgroups with more than two levels (such as race/ethnicity) by including additional treatment-by-subgroup indicator variables and using </w:t>
      </w:r>
      <w:r w:rsidRPr="008541B1">
        <w:rPr>
          <w:i/>
          <w:iCs/>
        </w:rPr>
        <w:t>F</w:t>
      </w:r>
      <w:r w:rsidRPr="008541B1">
        <w:t xml:space="preserve">-tests to assess whether differences in impacts across subgroup levels are statistically significant. </w:t>
      </w:r>
    </w:p>
    <w:p w:rsidR="004F3B22" w:rsidRPr="008541B1" w:rsidRDefault="004F3B22" w:rsidP="00A2618B"/>
    <w:p w:rsidR="004F3B22" w:rsidRPr="00BA4A0E" w:rsidRDefault="004F3B22" w:rsidP="00CA3B4D">
      <w:pPr>
        <w:pStyle w:val="Heading5"/>
      </w:pPr>
      <w:r w:rsidRPr="002C7787">
        <w:tab/>
        <w:t>v</w:t>
      </w:r>
      <w:r w:rsidRPr="00BA4A0E">
        <w:t>.</w:t>
      </w:r>
      <w:r w:rsidRPr="00BA4A0E">
        <w:tab/>
        <w:t xml:space="preserve">Construction of Weights and Nonresponse Adjustments </w:t>
      </w:r>
    </w:p>
    <w:p w:rsidR="004F3B22" w:rsidRDefault="004F3B22" w:rsidP="00CA3B4D">
      <w:r w:rsidRPr="00BA4A0E">
        <w:rPr>
          <w:rFonts w:cs="Arial"/>
          <w:bCs/>
          <w:szCs w:val="22"/>
        </w:rPr>
        <w:t>All impact analyses will be conducted using sample weights</w:t>
      </w:r>
      <w:r w:rsidRPr="00BA4A0E">
        <w:t xml:space="preserve"> that adjust for the sample design and for site and customer nonresponse, so that the design-based impact estimates can be generalized to the customer universe for the evaluation. </w:t>
      </w:r>
      <w:r>
        <w:t xml:space="preserve">The </w:t>
      </w:r>
      <w:r w:rsidRPr="007F6853">
        <w:rPr>
          <w:i/>
        </w:rPr>
        <w:t>primary</w:t>
      </w:r>
      <w:r>
        <w:t xml:space="preserve"> analysis sample will include the 26 originally-selected sites that agreed to participate in the study. A secondary analysis sample for the sensitivity analysis will also include the 2 replacement Midwest sites. For this secondary analysis using the 28-site sample, we will construct weights assuming that the 2 replacement sites were “original” sites. </w:t>
      </w:r>
    </w:p>
    <w:p w:rsidR="004F3B22" w:rsidRPr="00BA4A0E" w:rsidRDefault="004F3B22" w:rsidP="00CA3B4D">
      <w:r>
        <w:t>For both the primary 26-site sample and the secondary 28-site sample, t</w:t>
      </w:r>
      <w:r w:rsidRPr="00BA4A0E">
        <w:t>he survey weights will be obtained by first calculating the following selection probability for each survey respondent:</w:t>
      </w:r>
    </w:p>
    <w:p w:rsidR="004F3B22" w:rsidRPr="00BA4A0E" w:rsidRDefault="004F3B22" w:rsidP="00CD670F">
      <w:r w:rsidRPr="00BA4A0E">
        <w:rPr>
          <w:position w:val="-14"/>
        </w:rPr>
        <w:object w:dxaOrig="2540" w:dyaOrig="380">
          <v:shape id="_x0000_i1064" type="#_x0000_t75" style="width:126pt;height:19.5pt" o:ole="">
            <v:imagedata r:id="rId83" o:title=""/>
          </v:shape>
          <o:OLEObject Type="Embed" ProgID="Equation.DSMT4" ShapeID="_x0000_i1064" DrawAspect="Content" ObjectID="_1378036426" r:id="rId84"/>
        </w:object>
      </w:r>
    </w:p>
    <w:p w:rsidR="004F3B22" w:rsidRPr="00BA4A0E" w:rsidRDefault="004F3B22" w:rsidP="00CD670F">
      <w:pPr>
        <w:ind w:firstLine="0"/>
      </w:pPr>
      <w:r w:rsidRPr="00BA4A0E">
        <w:t xml:space="preserve">where </w:t>
      </w:r>
      <w:r w:rsidRPr="00BA4A0E">
        <w:rPr>
          <w:position w:val="-14"/>
        </w:rPr>
        <w:object w:dxaOrig="460" w:dyaOrig="380">
          <v:shape id="_x0000_i1065" type="#_x0000_t75" style="width:22.5pt;height:19.5pt" o:ole="">
            <v:imagedata r:id="rId85" o:title=""/>
          </v:shape>
          <o:OLEObject Type="Embed" ProgID="Equation.DSMT4" ShapeID="_x0000_i1065" DrawAspect="Content" ObjectID="_1378036427" r:id="rId86"/>
        </w:object>
      </w:r>
      <w:r w:rsidRPr="00BA4A0E">
        <w:t xml:space="preserve"> is the probability that worker </w:t>
      </w:r>
      <w:r w:rsidRPr="00BA4A0E">
        <w:rPr>
          <w:i/>
        </w:rPr>
        <w:t>j</w:t>
      </w:r>
      <w:r w:rsidRPr="00BA4A0E">
        <w:t xml:space="preserve"> in region </w:t>
      </w:r>
      <w:r w:rsidRPr="00BA4A0E">
        <w:rPr>
          <w:i/>
        </w:rPr>
        <w:t>h</w:t>
      </w:r>
      <w:r w:rsidRPr="00BA4A0E">
        <w:t xml:space="preserve">, site </w:t>
      </w:r>
      <w:r w:rsidRPr="00BA4A0E">
        <w:rPr>
          <w:i/>
        </w:rPr>
        <w:t>i</w:t>
      </w:r>
      <w:r w:rsidRPr="00BA4A0E">
        <w:t xml:space="preserve">, and research group </w:t>
      </w:r>
      <w:r w:rsidRPr="00BA4A0E">
        <w:rPr>
          <w:i/>
        </w:rPr>
        <w:t>g</w:t>
      </w:r>
      <w:r w:rsidRPr="00BA4A0E">
        <w:t xml:space="preserve"> completes a follow-up interview; </w:t>
      </w:r>
      <w:r w:rsidRPr="00BA4A0E">
        <w:rPr>
          <w:position w:val="-12"/>
        </w:rPr>
        <w:object w:dxaOrig="320" w:dyaOrig="360">
          <v:shape id="_x0000_i1066" type="#_x0000_t75" style="width:15.75pt;height:18.75pt" o:ole="">
            <v:imagedata r:id="rId87" o:title=""/>
          </v:shape>
          <o:OLEObject Type="Embed" ProgID="Equation.DSMT4" ShapeID="_x0000_i1066" DrawAspect="Content" ObjectID="_1378036428" r:id="rId88"/>
        </w:object>
      </w:r>
      <w:r w:rsidRPr="00BA4A0E">
        <w:t xml:space="preserve"> is the probability that site </w:t>
      </w:r>
      <w:r w:rsidRPr="00BA4A0E">
        <w:rPr>
          <w:i/>
        </w:rPr>
        <w:t>i</w:t>
      </w:r>
      <w:r w:rsidRPr="00BA4A0E">
        <w:t xml:space="preserve"> in region </w:t>
      </w:r>
      <w:r w:rsidRPr="00BA4A0E">
        <w:rPr>
          <w:i/>
        </w:rPr>
        <w:t>h</w:t>
      </w:r>
      <w:r w:rsidRPr="00BA4A0E">
        <w:t xml:space="preserve"> is selected for the study; </w:t>
      </w:r>
      <w:r w:rsidRPr="00BA4A0E">
        <w:rPr>
          <w:position w:val="-12"/>
        </w:rPr>
        <w:object w:dxaOrig="320" w:dyaOrig="360">
          <v:shape id="_x0000_i1067" type="#_x0000_t75" style="width:15.75pt;height:18.75pt" o:ole="">
            <v:imagedata r:id="rId89" o:title=""/>
          </v:shape>
          <o:OLEObject Type="Embed" ProgID="Equation.DSMT4" ShapeID="_x0000_i1067" DrawAspect="Content" ObjectID="_1378036429" r:id="rId90"/>
        </w:object>
      </w:r>
      <w:r w:rsidRPr="00BA4A0E">
        <w:t xml:space="preserve"> is the probability that a selected site agrees to participate in the evaluation; </w:t>
      </w:r>
      <w:r w:rsidRPr="00BA4A0E">
        <w:rPr>
          <w:position w:val="-14"/>
        </w:rPr>
        <w:object w:dxaOrig="400" w:dyaOrig="380">
          <v:shape id="_x0000_i1068" type="#_x0000_t75" style="width:20.25pt;height:19.5pt" o:ole="">
            <v:imagedata r:id="rId91" o:title=""/>
          </v:shape>
          <o:OLEObject Type="Embed" ProgID="Equation.DSMT4" ShapeID="_x0000_i1068" DrawAspect="Content" ObjectID="_1378036430" r:id="rId92"/>
        </w:object>
      </w:r>
      <w:r w:rsidRPr="00BA4A0E">
        <w:t xml:space="preserve"> is the probability that a worker within a participating site is released for follow-up interviews; and </w:t>
      </w:r>
      <w:r w:rsidRPr="00BA4A0E">
        <w:rPr>
          <w:position w:val="-14"/>
        </w:rPr>
        <w:object w:dxaOrig="380" w:dyaOrig="380">
          <v:shape id="_x0000_i1069" type="#_x0000_t75" style="width:19.5pt;height:19.5pt" o:ole="">
            <v:imagedata r:id="rId93" o:title=""/>
          </v:shape>
          <o:OLEObject Type="Embed" ProgID="Equation.DSMT4" ShapeID="_x0000_i1069" DrawAspect="Content" ObjectID="_1378036431" r:id="rId94"/>
        </w:object>
      </w:r>
      <w:r w:rsidRPr="00BA4A0E">
        <w:t xml:space="preserve"> is the probability that the worker is a survey respondent. The weight for a worker, </w:t>
      </w:r>
      <w:r w:rsidRPr="00BA4A0E">
        <w:rPr>
          <w:position w:val="-14"/>
        </w:rPr>
        <w:object w:dxaOrig="380" w:dyaOrig="380">
          <v:shape id="_x0000_i1070" type="#_x0000_t75" style="width:19.5pt;height:19.5pt" o:ole="">
            <v:imagedata r:id="rId95" o:title=""/>
          </v:shape>
          <o:OLEObject Type="Embed" ProgID="Equation.DSMT4" ShapeID="_x0000_i1070" DrawAspect="Content" ObjectID="_1378036432" r:id="rId96"/>
        </w:object>
      </w:r>
      <w:r w:rsidRPr="00BA4A0E">
        <w:t xml:space="preserve">, will then be computed to be inversely proportional to </w:t>
      </w:r>
      <w:r w:rsidRPr="00BA4A0E">
        <w:rPr>
          <w:position w:val="-14"/>
        </w:rPr>
        <w:object w:dxaOrig="460" w:dyaOrig="380">
          <v:shape id="_x0000_i1071" type="#_x0000_t75" style="width:22.5pt;height:19.5pt" o:ole="">
            <v:imagedata r:id="rId85" o:title=""/>
          </v:shape>
          <o:OLEObject Type="Embed" ProgID="Equation.DSMT4" ShapeID="_x0000_i1071" DrawAspect="Content" ObjectID="_1378036433" r:id="rId97"/>
        </w:object>
      </w:r>
      <w:r w:rsidRPr="00BA4A0E">
        <w:t xml:space="preserve">.  </w:t>
      </w:r>
    </w:p>
    <w:p w:rsidR="004F3B22" w:rsidRPr="00BA4A0E" w:rsidRDefault="004F3B22" w:rsidP="00CA3B4D">
      <w:r w:rsidRPr="00BA4A0E">
        <w:rPr>
          <w:b/>
        </w:rPr>
        <w:t xml:space="preserve">Calculating </w:t>
      </w:r>
      <w:r w:rsidRPr="00BA4A0E">
        <w:rPr>
          <w:b/>
          <w:position w:val="-12"/>
        </w:rPr>
        <w:object w:dxaOrig="320" w:dyaOrig="360">
          <v:shape id="_x0000_i1072" type="#_x0000_t75" style="width:15.75pt;height:18.75pt" o:ole="">
            <v:imagedata r:id="rId87" o:title=""/>
          </v:shape>
          <o:OLEObject Type="Embed" ProgID="Equation.DSMT4" ShapeID="_x0000_i1072" DrawAspect="Content" ObjectID="_1378036434" r:id="rId98"/>
        </w:object>
      </w:r>
      <w:r w:rsidRPr="00BA4A0E">
        <w:rPr>
          <w:b/>
        </w:rPr>
        <w:t xml:space="preserve"> and </w:t>
      </w:r>
      <w:r w:rsidRPr="00BA4A0E">
        <w:rPr>
          <w:b/>
          <w:position w:val="-14"/>
        </w:rPr>
        <w:object w:dxaOrig="400" w:dyaOrig="380">
          <v:shape id="_x0000_i1073" type="#_x0000_t75" style="width:20.25pt;height:19.5pt" o:ole="">
            <v:imagedata r:id="rId91" o:title=""/>
          </v:shape>
          <o:OLEObject Type="Embed" ProgID="Equation.DSMT4" ShapeID="_x0000_i1073" DrawAspect="Content" ObjectID="_1378036435" r:id="rId99"/>
        </w:object>
      </w:r>
      <w:r w:rsidRPr="00BA4A0E">
        <w:rPr>
          <w:b/>
        </w:rPr>
        <w:t>.</w:t>
      </w:r>
      <w:r w:rsidRPr="00BA4A0E">
        <w:t xml:space="preserve">  The probability that a site is selected for the study (</w:t>
      </w:r>
      <w:r w:rsidRPr="00BA4A0E">
        <w:rPr>
          <w:position w:val="-12"/>
        </w:rPr>
        <w:object w:dxaOrig="320" w:dyaOrig="360">
          <v:shape id="_x0000_i1074" type="#_x0000_t75" style="width:15.75pt;height:18.75pt" o:ole="">
            <v:imagedata r:id="rId87" o:title=""/>
          </v:shape>
          <o:OLEObject Type="Embed" ProgID="Equation.DSMT4" ShapeID="_x0000_i1074" DrawAspect="Content" ObjectID="_1378036436" r:id="rId100"/>
        </w:object>
      </w:r>
      <w:r w:rsidRPr="00BA4A0E">
        <w:t xml:space="preserve">) will be computed using the sampling probabilities discussed above that are based on recent WIASRD data on the number of LWIA customers who received intensive services. Similarly, values for </w:t>
      </w:r>
      <w:r w:rsidRPr="00BA4A0E">
        <w:rPr>
          <w:position w:val="-14"/>
        </w:rPr>
        <w:object w:dxaOrig="400" w:dyaOrig="380">
          <v:shape id="_x0000_i1075" type="#_x0000_t75" style="width:20.25pt;height:19.5pt" o:ole="">
            <v:imagedata r:id="rId91" o:title=""/>
          </v:shape>
          <o:OLEObject Type="Embed" ProgID="Equation.DSMT4" ShapeID="_x0000_i1075" DrawAspect="Content" ObjectID="_1378036437" r:id="rId101"/>
        </w:object>
      </w:r>
      <w:r w:rsidRPr="00BA4A0E">
        <w:t xml:space="preserve"> will be obtained using the customer sampling probabilities to the various research groups from above. </w:t>
      </w:r>
    </w:p>
    <w:p w:rsidR="004F3B22" w:rsidRPr="00BA4A0E" w:rsidRDefault="004F3B22" w:rsidP="00CD670F">
      <w:r w:rsidRPr="00BA4A0E">
        <w:rPr>
          <w:b/>
        </w:rPr>
        <w:t xml:space="preserve">Calculating </w:t>
      </w:r>
      <w:r w:rsidRPr="00BA4A0E">
        <w:rPr>
          <w:b/>
          <w:position w:val="-12"/>
        </w:rPr>
        <w:object w:dxaOrig="320" w:dyaOrig="360">
          <v:shape id="_x0000_i1076" type="#_x0000_t75" style="width:15.75pt;height:18.75pt" o:ole="">
            <v:imagedata r:id="rId102" o:title=""/>
          </v:shape>
          <o:OLEObject Type="Embed" ProgID="Equation.DSMT4" ShapeID="_x0000_i1076" DrawAspect="Content" ObjectID="_1378036438" r:id="rId103"/>
        </w:object>
      </w:r>
      <w:r w:rsidRPr="00BA4A0E">
        <w:rPr>
          <w:b/>
        </w:rPr>
        <w:t xml:space="preserve">. </w:t>
      </w:r>
      <w:r w:rsidRPr="00BA4A0E">
        <w:t>As discussed, 30 sites were randomly selected for the study</w:t>
      </w:r>
      <w:r>
        <w:t>,</w:t>
      </w:r>
      <w:r w:rsidRPr="00BA4A0E">
        <w:t xml:space="preserve"> 26 agreed to participate</w:t>
      </w:r>
      <w:r>
        <w:t>, and 2 Midwest sites were selected as replacements for two refuser Midwest sites</w:t>
      </w:r>
      <w:r w:rsidRPr="00BA4A0E">
        <w:t xml:space="preserve">. Sites who refused to participate may differ from more cooperative sites in ways that are potentially related to worker outcomes and impacts. If not corrected, the effects of site nonresponse could lead to biased impact estimates. </w:t>
      </w:r>
    </w:p>
    <w:p w:rsidR="004F3B22" w:rsidRPr="00BA4A0E" w:rsidRDefault="004F3B22" w:rsidP="00CD670F">
      <w:r w:rsidRPr="00BA4A0E">
        <w:t>To examine the effects of site nonresponse, the contractor will first conduct statistical tests (chi-squared and t-tests) to gauge whether the characteristics of responding sites are fully representative of the 30 sites. These analyses will be conducted using the following data: strata indicators used for site selection (region, size, and training rate), WIA funding levels, additional customer characteristics in the WIASRD data, and local area data (such as the unemployment rate) in the ARF data.</w:t>
      </w:r>
    </w:p>
    <w:p w:rsidR="004F3B22" w:rsidRPr="00BA4A0E" w:rsidRDefault="004F3B22" w:rsidP="00A2618B">
      <w:r>
        <w:t xml:space="preserve">Our primary approach for adjusting for site nonresponse </w:t>
      </w:r>
      <w:r w:rsidRPr="00BA4A0E">
        <w:t xml:space="preserve">will be to calculate </w:t>
      </w:r>
      <w:r w:rsidRPr="00BA4A0E">
        <w:rPr>
          <w:position w:val="-12"/>
        </w:rPr>
        <w:object w:dxaOrig="320" w:dyaOrig="360">
          <v:shape id="_x0000_i1077" type="#_x0000_t75" style="width:15.75pt;height:18.75pt" o:ole="">
            <v:imagedata r:id="rId89" o:title=""/>
          </v:shape>
          <o:OLEObject Type="Embed" ProgID="Equation.DSMT4" ShapeID="_x0000_i1077" DrawAspect="Content" ObjectID="_1378036439" r:id="rId104"/>
        </w:object>
      </w:r>
      <w:r w:rsidRPr="00BA4A0E">
        <w:t xml:space="preserve"> using the following propensity score matching procedure: </w:t>
      </w:r>
    </w:p>
    <w:p w:rsidR="004F3B22" w:rsidRPr="00BA4A0E" w:rsidRDefault="004F3B22" w:rsidP="00205452">
      <w:pPr>
        <w:pStyle w:val="BulletBlack"/>
      </w:pPr>
      <w:r w:rsidRPr="00BA4A0E">
        <w:rPr>
          <w:b/>
        </w:rPr>
        <w:t>Estimate a logit model predicting site nonresponse</w:t>
      </w:r>
      <w:r w:rsidRPr="00BA4A0E">
        <w:t>. A binary variable—equal to 1 for a participating site and zero for a nonparticipating site—will be regressed on the variables listed above</w:t>
      </w:r>
    </w:p>
    <w:p w:rsidR="004F3B22" w:rsidRPr="00BA4A0E" w:rsidRDefault="004F3B22" w:rsidP="00205452">
      <w:pPr>
        <w:pStyle w:val="BulletBlack"/>
      </w:pPr>
      <w:r w:rsidRPr="00BA4A0E">
        <w:rPr>
          <w:b/>
        </w:rPr>
        <w:t>Calculate a propensity score for each site.</w:t>
      </w:r>
      <w:r w:rsidRPr="00BA4A0E">
        <w:t xml:space="preserve"> This score is the predicted probability that a site is a respondent, and will be constructed using the parameter estimates from the logit regression model and the site’s covariate values. Sites with large propensity scores are more likely to be respondents, whereas sites with small propensity scores are more likely to be nonrespondents.</w:t>
      </w:r>
    </w:p>
    <w:p w:rsidR="004F3B22" w:rsidRPr="00BA4A0E" w:rsidRDefault="004F3B22" w:rsidP="00205452">
      <w:pPr>
        <w:pStyle w:val="BulletBlackLastDS"/>
      </w:pPr>
      <w:r w:rsidRPr="00BA4A0E">
        <w:rPr>
          <w:b/>
        </w:rPr>
        <w:t xml:space="preserve">Construct response probabilities (the </w:t>
      </w:r>
      <w:r w:rsidRPr="00BA4A0E">
        <w:rPr>
          <w:position w:val="-12"/>
        </w:rPr>
        <w:object w:dxaOrig="320" w:dyaOrig="360">
          <v:shape id="_x0000_i1078" type="#_x0000_t75" style="width:15.75pt;height:18.75pt" o:ole="">
            <v:imagedata r:id="rId105" o:title=""/>
          </v:shape>
          <o:OLEObject Type="Embed" ProgID="Equation.DSMT4" ShapeID="_x0000_i1078" DrawAspect="Content" ObjectID="_1378036440" r:id="rId106"/>
        </w:object>
      </w:r>
      <w:r w:rsidRPr="00BA4A0E">
        <w:t xml:space="preserve"> </w:t>
      </w:r>
      <w:r w:rsidRPr="00BA4A0E">
        <w:rPr>
          <w:b/>
        </w:rPr>
        <w:t>probabilities) using the estimated propensity scores.</w:t>
      </w:r>
      <w:r w:rsidRPr="00BA4A0E">
        <w:t xml:space="preserve"> The response probability for a site will be calculated as the site’s estimated propensity score. It is important to note that the propensity score procedure adjusts only for </w:t>
      </w:r>
      <w:r w:rsidRPr="00BA4A0E">
        <w:rPr>
          <w:i/>
        </w:rPr>
        <w:t>observable</w:t>
      </w:r>
      <w:r w:rsidRPr="00BA4A0E">
        <w:t xml:space="preserve"> differences between site respondents and nonrespondents. The procedure does not adjust for potential unobservable differences between the two groups. Thus, this procedure only partially adjusts for potential nonresponse bias.</w:t>
      </w:r>
    </w:p>
    <w:p w:rsidR="004F3B22" w:rsidRPr="00BA4A0E" w:rsidRDefault="004F3B22" w:rsidP="00A2618B">
      <w:r w:rsidRPr="00BA4A0E">
        <w:rPr>
          <w:b/>
        </w:rPr>
        <w:t xml:space="preserve">Calculating </w:t>
      </w:r>
      <w:r w:rsidRPr="00BA4A0E">
        <w:rPr>
          <w:b/>
          <w:position w:val="-14"/>
        </w:rPr>
        <w:object w:dxaOrig="380" w:dyaOrig="380">
          <v:shape id="_x0000_i1079" type="#_x0000_t75" style="width:19.5pt;height:19.5pt" o:ole="">
            <v:imagedata r:id="rId107" o:title=""/>
          </v:shape>
          <o:OLEObject Type="Embed" ProgID="Equation.DSMT4" ShapeID="_x0000_i1079" DrawAspect="Content" ObjectID="_1378036441" r:id="rId108"/>
        </w:object>
      </w:r>
      <w:r w:rsidRPr="00BA4A0E">
        <w:rPr>
          <w:b/>
        </w:rPr>
        <w:t xml:space="preserve">.  </w:t>
      </w:r>
      <w:r w:rsidRPr="00BA4A0E">
        <w:t>Survey nonresponse can also bias impact estimates if outcomes of survey respondents and nonrespondents differ. To assess whether survey nonreponse may be a problem for each follow-up survey, three general methods will be used:</w:t>
      </w:r>
    </w:p>
    <w:p w:rsidR="004F3B22" w:rsidRPr="00BA4A0E" w:rsidRDefault="004F3B22" w:rsidP="00205452">
      <w:pPr>
        <w:pStyle w:val="BulletBlack"/>
      </w:pPr>
      <w:r w:rsidRPr="00BA4A0E">
        <w:rPr>
          <w:b/>
        </w:rPr>
        <w:t xml:space="preserve">Comparing the baseline characteristics of survey respondents and nonrespondents within research groups. </w:t>
      </w:r>
      <w:r w:rsidRPr="00BA4A0E">
        <w:t xml:space="preserve">We will conduct statistical tests to gauge whether those in a particular research group who respond to the interviews are fully representative of all those in that research group. The statistical tests will use baseline data from the Study Registration Form (which will be available for the full research sample). For each baseline characteristic, we will test whether there are significant differences between customers who responded to the follow-up survey and those who did not respond to the follow-up survey, using </w:t>
      </w:r>
      <w:r w:rsidRPr="00BA4A0E">
        <w:rPr>
          <w:i/>
        </w:rPr>
        <w:t>t</w:t>
      </w:r>
      <w:r w:rsidRPr="00BA4A0E">
        <w:t xml:space="preserve">-tests to test for significant differences in univariate characteristics (such as age) and chi-square tests to test for significant differences in categorical variables (such as educational attainment). These tests will be conducted separately for each research group. Noticeable differences between respondents and nonrespondents could indicate potential nonresponse bias and limit the generalizability of the study results if not taken into account. </w:t>
      </w:r>
    </w:p>
    <w:p w:rsidR="004F3B22" w:rsidRPr="00BA4A0E" w:rsidRDefault="004F3B22" w:rsidP="00205452">
      <w:pPr>
        <w:pStyle w:val="BulletBlack"/>
      </w:pPr>
      <w:r w:rsidRPr="00BA4A0E">
        <w:rPr>
          <w:b/>
          <w:bCs/>
          <w:iCs/>
        </w:rPr>
        <w:t xml:space="preserve">Comparing the baseline characteristics of respondents across research groups. </w:t>
      </w:r>
      <w:r w:rsidRPr="00BA4A0E">
        <w:t>Tests for whether the baseline characteristics of respondents</w:t>
      </w:r>
      <w:r w:rsidRPr="00BA4A0E">
        <w:rPr>
          <w:i/>
          <w:iCs/>
        </w:rPr>
        <w:t xml:space="preserve"> </w:t>
      </w:r>
      <w:r w:rsidRPr="00BA4A0E">
        <w:t xml:space="preserve">across research groups differ from each other will be conducted. Similar to the comparisons between respondents and nonrespondents, for each baseline characteristic on the SRF, we will test whether there are significant differences in baseline characteristics for respondents in each of the three research groups, again using </w:t>
      </w:r>
      <w:r w:rsidRPr="00BA4A0E">
        <w:rPr>
          <w:i/>
        </w:rPr>
        <w:t>t</w:t>
      </w:r>
      <w:r w:rsidRPr="00BA4A0E">
        <w:t>-tests for univariate characteristics and chi-square tests for categorical variables. Statistically significant differences between respondents in different research groups could indicate potential nonresponse bias and limit the internal validity of the study if not taken into account.</w:t>
      </w:r>
    </w:p>
    <w:p w:rsidR="004F3B22" w:rsidRPr="00BA4A0E" w:rsidRDefault="004F3B22" w:rsidP="00205452">
      <w:pPr>
        <w:pStyle w:val="BulletBlackLastDS"/>
      </w:pPr>
      <w:r w:rsidRPr="00BA4A0E">
        <w:rPr>
          <w:b/>
          <w:bCs/>
          <w:iCs/>
        </w:rPr>
        <w:t xml:space="preserve">Comparing impacts for respondents and nonrespondents using administrative data. </w:t>
      </w:r>
      <w:r w:rsidRPr="00BA4A0E">
        <w:t xml:space="preserve">Administrative outcome data will be available for both survey respondents and nonrespondents. To gauge the extent to which survey nonresponse may be a problem, statistical tests will be conducted to assess whether estimated impacts based on administrative outcome data differ for survey respondents and those in the survey sample who did not respond to the survey. This will be done in the same framework as the subgroup analysis described in Equation (3) and the accompanying text, where the subgroup is follow-up survey response status. The parameter estimate for </w:t>
      </w:r>
      <w:r w:rsidRPr="00BA4A0E">
        <w:rPr>
          <w:i/>
          <w:iCs/>
        </w:rPr>
        <w:t>λ</w:t>
      </w:r>
      <w:r w:rsidRPr="00BA4A0E">
        <w:t xml:space="preserve"> represents the </w:t>
      </w:r>
      <w:r w:rsidRPr="00BA4A0E">
        <w:rPr>
          <w:iCs/>
        </w:rPr>
        <w:t>estimated difference</w:t>
      </w:r>
      <w:r w:rsidRPr="00BA4A0E">
        <w:t xml:space="preserve"> in the impacts for survey respondents and nonrespondents.</w:t>
      </w:r>
    </w:p>
    <w:p w:rsidR="004F3B22" w:rsidRPr="00BA4A0E" w:rsidRDefault="004F3B22" w:rsidP="00205452">
      <w:r w:rsidRPr="00BA4A0E">
        <w:t xml:space="preserve">Two approaches for correcting for potential survey nonresponse bias will be used in the estimation of program impacts based on survey data. First, adjustments for any observed differences between respondents across the various research groups will be performed by including baseline characteristics of the respondents in all the regression models. Second, because this regression procedure will not correct for differences between respondents and nonrespondents, we will construct values for </w:t>
      </w:r>
      <w:r w:rsidRPr="00BA4A0E">
        <w:rPr>
          <w:position w:val="-14"/>
        </w:rPr>
        <w:object w:dxaOrig="380" w:dyaOrig="380">
          <v:shape id="_x0000_i1080" type="#_x0000_t75" style="width:19.5pt;height:19.5pt" o:ole="">
            <v:imagedata r:id="rId109" o:title=""/>
          </v:shape>
          <o:OLEObject Type="Embed" ProgID="Equation.DSMT4" ShapeID="_x0000_i1080" DrawAspect="Content" ObjectID="_1378036442" r:id="rId110"/>
        </w:object>
      </w:r>
      <w:r w:rsidRPr="00BA4A0E">
        <w:t xml:space="preserve"> so that the weighted observable baseline characteristics are similar for respondents and the full sample that includes both respondents and nonrespondents. For each survey instrument and research group, the study will construct </w:t>
      </w:r>
      <w:r w:rsidRPr="00BA4A0E">
        <w:rPr>
          <w:position w:val="-14"/>
        </w:rPr>
        <w:object w:dxaOrig="380" w:dyaOrig="380">
          <v:shape id="_x0000_i1081" type="#_x0000_t75" style="width:19.5pt;height:19.5pt" o:ole="">
            <v:imagedata r:id="rId109" o:title=""/>
          </v:shape>
          <o:OLEObject Type="Embed" ProgID="Equation.DSMT4" ShapeID="_x0000_i1081" DrawAspect="Content" ObjectID="_1378036443" r:id="rId111"/>
        </w:object>
      </w:r>
      <w:r w:rsidRPr="00BA4A0E">
        <w:t xml:space="preserve"> using the propensity score methods discussed above, where (1) </w:t>
      </w:r>
      <w:r w:rsidRPr="00BA4A0E">
        <w:rPr>
          <w:bCs/>
          <w:iCs/>
        </w:rPr>
        <w:t xml:space="preserve">a logit model will be estimated that predicts interview response using baseline data, and (2) </w:t>
      </w:r>
      <w:r w:rsidRPr="00BA4A0E">
        <w:rPr>
          <w:position w:val="-14"/>
        </w:rPr>
        <w:object w:dxaOrig="380" w:dyaOrig="380">
          <v:shape id="_x0000_i1082" type="#_x0000_t75" style="width:19.5pt;height:19.5pt" o:ole="">
            <v:imagedata r:id="rId109" o:title=""/>
          </v:shape>
          <o:OLEObject Type="Embed" ProgID="Equation.DSMT4" ShapeID="_x0000_i1082" DrawAspect="Content" ObjectID="_1378036444" r:id="rId112"/>
        </w:object>
      </w:r>
      <w:r w:rsidRPr="00BA4A0E">
        <w:t xml:space="preserve"> will be </w:t>
      </w:r>
      <w:r w:rsidRPr="00BA4A0E">
        <w:rPr>
          <w:bCs/>
          <w:iCs/>
        </w:rPr>
        <w:t>calculated as the predicted propensity score.</w:t>
      </w:r>
    </w:p>
    <w:p w:rsidR="004F3B22" w:rsidRPr="00BA4A0E" w:rsidRDefault="004F3B22" w:rsidP="00205452">
      <w:r w:rsidRPr="00BA4A0E">
        <w:t>This propensity score procedure will yield large weights for those survey respondents with characteristics associated with low response rates (that is, for those with small propensity scores). Similarly, the procedure will yield small weights for those respondents with characteristics that are associated with high response rates. Thus, the weighted characteristics of respondents should be similar, on average, to the characteristics of the entire research sample.</w:t>
      </w:r>
    </w:p>
    <w:p w:rsidR="004F3B22" w:rsidRDefault="004F3B22" w:rsidP="00AE4379">
      <w:r w:rsidRPr="00BA4A0E">
        <w:rPr>
          <w:rFonts w:ascii="Times" w:hAnsi="Times" w:cs="Arial"/>
          <w:b/>
          <w:szCs w:val="22"/>
        </w:rPr>
        <w:t xml:space="preserve">Poststratification. </w:t>
      </w:r>
      <w:r w:rsidRPr="00BA4A0E">
        <w:t xml:space="preserve">The study will not poststratify the sample for several reasons. First, the study initially selected the sample using stratified random sampling methods, and thus, will obtain proportionate representation within key subgroups of the WIA worker population. Second, because of large sample sizes, stratified random selection will tend to generate proportionate sample sizes even across worker subgroups that are not used to define the initial strata. Finally, the study will not obtain additional key data items on individual sample members and the full sample universe </w:t>
      </w:r>
      <w:r w:rsidRPr="00BA4A0E">
        <w:rPr>
          <w:iCs/>
        </w:rPr>
        <w:t>after</w:t>
      </w:r>
      <w:r w:rsidRPr="00BA4A0E">
        <w:t xml:space="preserve"> sampling that will be useful for adjusting the means of the treatment and comparison groups using poststratification methods. Thus, the sample weights for the study will not be adjusted for poststratification.</w:t>
      </w:r>
    </w:p>
    <w:p w:rsidR="004F3B22" w:rsidRDefault="004F3B22" w:rsidP="00A2334C">
      <w:pPr>
        <w:pStyle w:val="ParagraphLAST"/>
        <w:spacing w:after="0"/>
      </w:pPr>
      <w:r w:rsidRPr="005658C3">
        <w:rPr>
          <w:b/>
        </w:rPr>
        <w:t>Multiple Imputations.</w:t>
      </w:r>
      <w:r>
        <w:t xml:space="preserve"> </w:t>
      </w:r>
      <w:r w:rsidRPr="00140F67">
        <w:t xml:space="preserve">To test the sensitivity of our results to this propensity score procedure, we will also use multiple imputation procedures (Rubin 1976) </w:t>
      </w:r>
      <w:r>
        <w:t xml:space="preserve">that </w:t>
      </w:r>
      <w:r w:rsidRPr="00140F67">
        <w:t xml:space="preserve">replace missing </w:t>
      </w:r>
      <w:r>
        <w:t>customer outcomes</w:t>
      </w:r>
      <w:r w:rsidRPr="00140F67">
        <w:t xml:space="preserve"> with a set of plausible values that represent the uncertainty about the </w:t>
      </w:r>
      <w:r>
        <w:t xml:space="preserve">correct </w:t>
      </w:r>
      <w:r w:rsidRPr="00140F67">
        <w:t>impute</w:t>
      </w:r>
      <w:r>
        <w:t>d value</w:t>
      </w:r>
      <w:r w:rsidRPr="00140F67">
        <w:t xml:space="preserve">. </w:t>
      </w:r>
      <w:r>
        <w:t>We will generate 5</w:t>
      </w:r>
      <w:r w:rsidRPr="00140F67">
        <w:t xml:space="preserve"> multiply imputed data sets</w:t>
      </w:r>
      <w:r>
        <w:t>,</w:t>
      </w:r>
      <w:r w:rsidRPr="00140F67">
        <w:t xml:space="preserve"> analyze</w:t>
      </w:r>
      <w:r>
        <w:t xml:space="preserve"> them</w:t>
      </w:r>
      <w:r w:rsidRPr="00140F67">
        <w:t xml:space="preserve"> using standard procedures for complete data</w:t>
      </w:r>
      <w:r>
        <w:t>,</w:t>
      </w:r>
      <w:r w:rsidRPr="00140F67">
        <w:t xml:space="preserve"> and combin</w:t>
      </w:r>
      <w:r>
        <w:t>e</w:t>
      </w:r>
      <w:r w:rsidRPr="00140F67">
        <w:t xml:space="preserve"> the results from these analyses.</w:t>
      </w:r>
      <w:r>
        <w:t xml:space="preserve"> This multiple imputation technique has become quite commonly used in experimental evaluations of social policy interventions (Puma et al. 2009; Rubin 1987). </w:t>
      </w:r>
    </w:p>
    <w:p w:rsidR="004F3B22" w:rsidRDefault="004F3B22" w:rsidP="00177846">
      <w:pPr>
        <w:tabs>
          <w:tab w:val="clear" w:pos="432"/>
        </w:tabs>
        <w:autoSpaceDE w:val="0"/>
        <w:autoSpaceDN w:val="0"/>
        <w:adjustRightInd w:val="0"/>
        <w:ind w:firstLine="0"/>
      </w:pPr>
      <w:r>
        <w:tab/>
        <w:t xml:space="preserve">Specifically, we will use the regression method where </w:t>
      </w:r>
      <w:r w:rsidRPr="00925F91">
        <w:t>a regression model is fitted for each variable with missing</w:t>
      </w:r>
      <w:r>
        <w:t xml:space="preserve"> </w:t>
      </w:r>
      <w:r w:rsidRPr="00925F91">
        <w:t xml:space="preserve">values, with the previous variables as covariates. </w:t>
      </w:r>
      <w:r>
        <w:t xml:space="preserve">The models will include both site-level and customer-level baseline variables. </w:t>
      </w:r>
      <w:r w:rsidRPr="00925F91">
        <w:t>Based on the fitted regression coefficients,</w:t>
      </w:r>
      <w:r>
        <w:t xml:space="preserve"> </w:t>
      </w:r>
      <w:r w:rsidRPr="00925F91">
        <w:t xml:space="preserve">a new regression model </w:t>
      </w:r>
      <w:r>
        <w:t>will be</w:t>
      </w:r>
      <w:r w:rsidRPr="00925F91">
        <w:t xml:space="preserve"> simulated from the posterior predictive distribution</w:t>
      </w:r>
      <w:r>
        <w:t xml:space="preserve"> </w:t>
      </w:r>
      <w:r w:rsidRPr="00925F91">
        <w:t xml:space="preserve">of the parameters and </w:t>
      </w:r>
      <w:r>
        <w:t>will be</w:t>
      </w:r>
      <w:r w:rsidRPr="00925F91">
        <w:t xml:space="preserve"> used to impute the missing values for each variable</w:t>
      </w:r>
      <w:r>
        <w:t>.</w:t>
      </w:r>
      <w:r w:rsidRPr="00925F91">
        <w:t xml:space="preserve"> Th</w:t>
      </w:r>
      <w:r>
        <w:t>is</w:t>
      </w:r>
      <w:r w:rsidRPr="00925F91">
        <w:t xml:space="preserve"> process </w:t>
      </w:r>
      <w:r>
        <w:t>will be</w:t>
      </w:r>
      <w:r w:rsidRPr="00925F91">
        <w:t xml:space="preserve"> repeated sequentially</w:t>
      </w:r>
      <w:r>
        <w:t>.</w:t>
      </w:r>
    </w:p>
    <w:p w:rsidR="004F3B22" w:rsidRPr="002C7096" w:rsidRDefault="004F3B22" w:rsidP="00177846">
      <w:pPr>
        <w:tabs>
          <w:tab w:val="clear" w:pos="432"/>
        </w:tabs>
        <w:autoSpaceDE w:val="0"/>
        <w:autoSpaceDN w:val="0"/>
        <w:adjustRightInd w:val="0"/>
        <w:ind w:firstLine="0"/>
      </w:pPr>
      <w:r>
        <w:tab/>
        <w:t>We will estimate impacts using each of the</w:t>
      </w:r>
      <w:r w:rsidRPr="002C7096">
        <w:t xml:space="preserve"> </w:t>
      </w:r>
      <w:r>
        <w:t>five</w:t>
      </w:r>
      <w:r w:rsidRPr="002C7096">
        <w:t xml:space="preserve"> data sets</w:t>
      </w:r>
      <w:r>
        <w:t xml:space="preserve"> and using the sampling weights.  Let </w:t>
      </w:r>
      <w:r w:rsidRPr="002C7096">
        <w:rPr>
          <w:position w:val="-12"/>
        </w:rPr>
        <w:object w:dxaOrig="260" w:dyaOrig="360">
          <v:shape id="_x0000_i1083" type="#_x0000_t75" style="width:12.75pt;height:18pt" o:ole="">
            <v:imagedata r:id="rId113" o:title=""/>
          </v:shape>
          <o:OLEObject Type="Embed" ProgID="Equation.DSMT4" ShapeID="_x0000_i1083" DrawAspect="Content" ObjectID="_1378036445" r:id="rId114"/>
        </w:object>
      </w:r>
      <w:r>
        <w:t xml:space="preserve"> be the estimated impact for data set </w:t>
      </w:r>
      <w:r w:rsidRPr="00AD52A9">
        <w:rPr>
          <w:i/>
        </w:rPr>
        <w:t>i</w:t>
      </w:r>
      <w:r>
        <w:t xml:space="preserve">. </w:t>
      </w:r>
      <w:r w:rsidRPr="002C7096">
        <w:t xml:space="preserve">The final estimate for the treatment effect </w:t>
      </w:r>
      <w:r>
        <w:t>will be</w:t>
      </w:r>
      <w:r w:rsidRPr="002C7096">
        <w:t xml:space="preserve"> the mean </w:t>
      </w:r>
      <w:r>
        <w:t xml:space="preserve">of the </w:t>
      </w:r>
      <w:r w:rsidRPr="002C7096">
        <w:rPr>
          <w:position w:val="-12"/>
        </w:rPr>
        <w:object w:dxaOrig="260" w:dyaOrig="360">
          <v:shape id="_x0000_i1084" type="#_x0000_t75" style="width:12.75pt;height:18pt" o:ole="">
            <v:imagedata r:id="rId113" o:title=""/>
          </v:shape>
          <o:OLEObject Type="Embed" ProgID="Equation.DSMT4" ShapeID="_x0000_i1084" DrawAspect="Content" ObjectID="_1378036446" r:id="rId115"/>
        </w:object>
      </w:r>
      <w:r>
        <w:t xml:space="preserve">(that is, </w:t>
      </w:r>
      <w:r w:rsidRPr="00AD52A9">
        <w:rPr>
          <w:position w:val="-16"/>
        </w:rPr>
        <w:object w:dxaOrig="1440" w:dyaOrig="460">
          <v:shape id="_x0000_i1085" type="#_x0000_t75" style="width:1in;height:23.25pt" o:ole="">
            <v:imagedata r:id="rId116" o:title=""/>
          </v:shape>
          <o:OLEObject Type="Embed" ProgID="Equation.DSMT4" ShapeID="_x0000_i1085" DrawAspect="Content" ObjectID="_1378036447" r:id="rId117"/>
        </w:object>
      </w:r>
      <w:r>
        <w:t xml:space="preserve">). </w:t>
      </w:r>
    </w:p>
    <w:p w:rsidR="004F3B22" w:rsidRDefault="004F3B22" w:rsidP="00AE4379">
      <w:r w:rsidRPr="002C7096">
        <w:t xml:space="preserve">The standard error of the combined estimate </w:t>
      </w:r>
      <w:r>
        <w:t>will be</w:t>
      </w:r>
      <w:r w:rsidRPr="002C7096">
        <w:t xml:space="preserve"> calculated from (1) a within-imputation variance component, (2) a between-imputation variance component, and (3) an adjustment factor for the number of repetitions (D</w:t>
      </w:r>
      <w:r>
        <w:t>=5 in our case</w:t>
      </w:r>
      <w:r w:rsidRPr="002C7096">
        <w:t>)</w:t>
      </w:r>
      <w:r>
        <w:t xml:space="preserve">. </w:t>
      </w:r>
      <w:r w:rsidRPr="002C7096">
        <w:rPr>
          <w:position w:val="11"/>
          <w:vertAlign w:val="superscript"/>
        </w:rPr>
        <w:t xml:space="preserve"> </w:t>
      </w:r>
      <w:r>
        <w:rPr>
          <w:position w:val="11"/>
          <w:vertAlign w:val="superscript"/>
        </w:rPr>
        <w:t xml:space="preserve"> </w:t>
      </w:r>
      <w:r w:rsidRPr="002C7096">
        <w:t xml:space="preserve">Let </w:t>
      </w:r>
      <w:r w:rsidRPr="002C7096">
        <w:rPr>
          <w:i/>
          <w:iCs/>
        </w:rPr>
        <w:t>W</w:t>
      </w:r>
      <w:r>
        <w:rPr>
          <w:i/>
          <w:iCs/>
          <w:position w:val="-6"/>
          <w:vertAlign w:val="subscript"/>
        </w:rPr>
        <w:t>i</w:t>
      </w:r>
      <w:r w:rsidRPr="002C7096">
        <w:rPr>
          <w:i/>
          <w:iCs/>
          <w:position w:val="-6"/>
          <w:vertAlign w:val="subscript"/>
        </w:rPr>
        <w:t xml:space="preserve"> </w:t>
      </w:r>
      <w:r w:rsidRPr="002C7096">
        <w:t>be the estimated</w:t>
      </w:r>
      <w:r>
        <w:t xml:space="preserve"> </w:t>
      </w:r>
      <w:r w:rsidRPr="002C7096">
        <w:t>variance of the parameter from repetition</w:t>
      </w:r>
      <w:r>
        <w:t xml:space="preserve"> i</w:t>
      </w:r>
      <w:r w:rsidRPr="002C7096">
        <w:t>. Then the</w:t>
      </w:r>
      <w:r>
        <w:t xml:space="preserve"> </w:t>
      </w:r>
      <w:r w:rsidRPr="00E54C69">
        <w:rPr>
          <w:bCs/>
        </w:rPr>
        <w:t>within-imputation variance</w:t>
      </w:r>
      <w:r w:rsidRPr="002C7096">
        <w:rPr>
          <w:b/>
          <w:bCs/>
        </w:rPr>
        <w:t xml:space="preserve"> </w:t>
      </w:r>
      <w:r w:rsidRPr="002C7096">
        <w:t xml:space="preserve">is </w:t>
      </w:r>
      <w:r w:rsidRPr="00AD52A9">
        <w:rPr>
          <w:position w:val="-16"/>
        </w:rPr>
        <w:object w:dxaOrig="1500" w:dyaOrig="460">
          <v:shape id="_x0000_i1086" type="#_x0000_t75" style="width:75pt;height:23.25pt" o:ole="">
            <v:imagedata r:id="rId118" o:title=""/>
          </v:shape>
          <o:OLEObject Type="Embed" ProgID="Equation.DSMT4" ShapeID="_x0000_i1086" DrawAspect="Content" ObjectID="_1378036448" r:id="rId119"/>
        </w:object>
      </w:r>
      <w:r>
        <w:t>, t</w:t>
      </w:r>
      <w:r w:rsidRPr="002C7096">
        <w:t xml:space="preserve">he </w:t>
      </w:r>
      <w:r w:rsidRPr="00E54C69">
        <w:rPr>
          <w:bCs/>
        </w:rPr>
        <w:t>between-imputation variance</w:t>
      </w:r>
      <w:r w:rsidRPr="002C7096">
        <w:rPr>
          <w:b/>
          <w:bCs/>
        </w:rPr>
        <w:t xml:space="preserve"> </w:t>
      </w:r>
      <w:r w:rsidRPr="002C7096">
        <w:t xml:space="preserve">component is </w:t>
      </w:r>
      <w:r w:rsidRPr="00AD52A9">
        <w:rPr>
          <w:position w:val="-16"/>
        </w:rPr>
        <w:object w:dxaOrig="2079" w:dyaOrig="460">
          <v:shape id="_x0000_i1087" type="#_x0000_t75" style="width:104.25pt;height:23.25pt" o:ole="">
            <v:imagedata r:id="rId120" o:title=""/>
          </v:shape>
          <o:OLEObject Type="Embed" ProgID="Equation.DSMT4" ShapeID="_x0000_i1087" DrawAspect="Content" ObjectID="_1378036449" r:id="rId121"/>
        </w:object>
      </w:r>
      <w:r>
        <w:t xml:space="preserve"> , and the total variance is </w:t>
      </w:r>
      <w:r w:rsidRPr="00E54C69">
        <w:rPr>
          <w:position w:val="-10"/>
        </w:rPr>
        <w:object w:dxaOrig="1579" w:dyaOrig="360">
          <v:shape id="_x0000_i1088" type="#_x0000_t75" style="width:75.75pt;height:18pt" o:ole="">
            <v:imagedata r:id="rId122" o:title=""/>
          </v:shape>
          <o:OLEObject Type="Embed" ProgID="Equation.DSMT4" ShapeID="_x0000_i1088" DrawAspect="Content" ObjectID="_1378036450" r:id="rId123"/>
        </w:object>
      </w:r>
      <w:r>
        <w:t>, which will be used for significance testing.</w:t>
      </w:r>
    </w:p>
    <w:p w:rsidR="004F3B22" w:rsidRPr="001C0FB6" w:rsidRDefault="004F3B22" w:rsidP="0026009D">
      <w:pPr>
        <w:pStyle w:val="Heading4"/>
      </w:pPr>
      <w:r w:rsidRPr="00BA4A0E">
        <w:t>b.</w:t>
      </w:r>
      <w:r>
        <w:tab/>
      </w:r>
      <w:r w:rsidRPr="001C0FB6">
        <w:t>Degree of Accuracy for the Impact Estimation</w:t>
      </w:r>
    </w:p>
    <w:p w:rsidR="004F3B22" w:rsidRPr="001C0FB6" w:rsidRDefault="004F3B22" w:rsidP="0026009D">
      <w:r w:rsidRPr="001C0FB6">
        <w:t>A sample size that is adequate to detect any net impacts that are large enough to be policy relevant is key to the success of the evaluation. This section presents minimum detectable impacts (MDIs) on quarterly earnings</w:t>
      </w:r>
      <w:r>
        <w:t>—</w:t>
      </w:r>
      <w:r w:rsidRPr="001C0FB6">
        <w:t>one of the key outcomes of the evaluation</w:t>
      </w:r>
      <w:r>
        <w:t>—</w:t>
      </w:r>
      <w:r w:rsidRPr="001C0FB6">
        <w:t>for both the survey and administrative record samples</w:t>
      </w:r>
      <w:r>
        <w:t xml:space="preserve"> for the sample of 26 sites (Table B.6)</w:t>
      </w:r>
      <w:r w:rsidRPr="001C0FB6">
        <w:t xml:space="preserve">. In calculating the MDIs, a </w:t>
      </w:r>
      <w:r>
        <w:t>five</w:t>
      </w:r>
      <w:r w:rsidRPr="001C0FB6">
        <w:t xml:space="preserve"> percent significance level and two-tailed test are assumed. The power calculations incorporate design effects stemming from the clustering of individuals within sites and the use of sampling weights, as well as multiple comparison adjustments.</w:t>
      </w:r>
    </w:p>
    <w:p w:rsidR="004F3B22" w:rsidRPr="001C0FB6" w:rsidRDefault="004F3B22" w:rsidP="0026009D">
      <w:r w:rsidRPr="001C0FB6">
        <w:rPr>
          <w:b/>
          <w:bCs/>
          <w:iCs/>
        </w:rPr>
        <w:t xml:space="preserve">Variances </w:t>
      </w:r>
      <w:r>
        <w:rPr>
          <w:b/>
          <w:bCs/>
          <w:iCs/>
        </w:rPr>
        <w:t>u</w:t>
      </w:r>
      <w:r w:rsidRPr="001C0FB6">
        <w:rPr>
          <w:b/>
          <w:bCs/>
          <w:iCs/>
        </w:rPr>
        <w:t xml:space="preserve">nder a </w:t>
      </w:r>
      <w:r>
        <w:rPr>
          <w:b/>
          <w:bCs/>
          <w:iCs/>
        </w:rPr>
        <w:t>c</w:t>
      </w:r>
      <w:r w:rsidRPr="001C0FB6">
        <w:rPr>
          <w:b/>
          <w:bCs/>
          <w:iCs/>
        </w:rPr>
        <w:t xml:space="preserve">lustered </w:t>
      </w:r>
      <w:r>
        <w:rPr>
          <w:b/>
          <w:bCs/>
          <w:iCs/>
        </w:rPr>
        <w:t>d</w:t>
      </w:r>
      <w:r w:rsidRPr="001C0FB6">
        <w:rPr>
          <w:b/>
          <w:bCs/>
          <w:iCs/>
        </w:rPr>
        <w:t xml:space="preserve">esign. </w:t>
      </w:r>
      <w:r w:rsidRPr="001C0FB6">
        <w:t>To consider sources of variance under a clustered design, a hypothetical unclustered simple random assignment design in which customers would be randomly assigned to each research condition across all LWIAs is considered first. Under this design, the variance of the estimated impact on an outcome measure (that is, the difference between the mean outcomes of those assigned to two research groups being compared) must account for between-customer variance only and can be expressed as follows:</w:t>
      </w:r>
    </w:p>
    <w:p w:rsidR="004F3B22" w:rsidRPr="001C0FB6" w:rsidRDefault="004F3B22" w:rsidP="0026009D">
      <w:r w:rsidRPr="004414A2">
        <w:rPr>
          <w:noProof/>
        </w:rPr>
        <w:pict>
          <v:shape id="Picture 128" o:spid="_x0000_i1089" type="#_x0000_t75" style="width:149.25pt;height:27.75pt;visibility:visible">
            <v:imagedata r:id="rId124" o:title=""/>
          </v:shape>
        </w:pict>
      </w:r>
    </w:p>
    <w:p w:rsidR="004F3B22" w:rsidRPr="001C0FB6" w:rsidRDefault="004F3B22" w:rsidP="0026009D">
      <w:pPr>
        <w:pStyle w:val="Normalcontinued"/>
      </w:pPr>
      <w:r w:rsidRPr="001C0FB6">
        <w:t xml:space="preserve">where </w:t>
      </w:r>
      <w:r w:rsidRPr="001C0FB6">
        <w:rPr>
          <w:i/>
          <w:iCs/>
        </w:rPr>
        <w:t>k</w:t>
      </w:r>
      <w:r w:rsidRPr="001C0FB6">
        <w:rPr>
          <w:i/>
          <w:iCs/>
          <w:vertAlign w:val="subscript"/>
        </w:rPr>
        <w:t>1</w:t>
      </w:r>
      <w:r w:rsidRPr="001C0FB6">
        <w:t xml:space="preserve"> is the number of customers in the first research group, </w:t>
      </w:r>
      <w:r w:rsidRPr="001C0FB6">
        <w:rPr>
          <w:i/>
          <w:iCs/>
        </w:rPr>
        <w:t>k</w:t>
      </w:r>
      <w:r w:rsidRPr="001C0FB6">
        <w:rPr>
          <w:i/>
          <w:iCs/>
          <w:vertAlign w:val="subscript"/>
        </w:rPr>
        <w:t>2</w:t>
      </w:r>
      <w:r w:rsidRPr="001C0FB6">
        <w:t xml:space="preserve"> is the number of customers in the second research group, and </w:t>
      </w:r>
      <w:r w:rsidRPr="00F83B70">
        <w:rPr>
          <w:noProof/>
          <w:vertAlign w:val="subscript"/>
        </w:rPr>
        <w:pict>
          <v:shape id="Picture 129" o:spid="_x0000_i1090" type="#_x0000_t75" style="width:17.25pt;height:17.25pt;visibility:visible">
            <v:imagedata r:id="rId125" o:title=""/>
          </v:shape>
        </w:pict>
      </w:r>
      <w:r w:rsidRPr="001C0FB6">
        <w:rPr>
          <w:vertAlign w:val="superscript"/>
        </w:rPr>
        <w:t xml:space="preserve"> </w:t>
      </w:r>
      <w:r w:rsidRPr="001C0FB6">
        <w:t>is the variance of the outcome measure.</w:t>
      </w:r>
    </w:p>
    <w:p w:rsidR="004F3B22" w:rsidRPr="001C0FB6" w:rsidRDefault="004F3B22" w:rsidP="0026009D">
      <w:r w:rsidRPr="001C0FB6">
        <w:t>Under the two-stage design proposed for the evaluation, study sites will first be randomly selected from the universe of LWIAs, and then study-eligible WIA customers within the study sites will be randomly assigned to the research groups. Under this design, there is clustering at the site level. Intuitively, if sampling were repeated, a different set of sites would be selected, which introduces additional variance to the impact estimates relative to the simple random sample design discussed above. Mathematically, the variance expression becomes</w:t>
      </w:r>
    </w:p>
    <w:p w:rsidR="004F3B22" w:rsidRPr="001C0FB6" w:rsidRDefault="004F3B22" w:rsidP="0026009D">
      <w:r w:rsidRPr="004414A2">
        <w:rPr>
          <w:noProof/>
        </w:rPr>
        <w:pict>
          <v:shape id="Picture 130" o:spid="_x0000_i1091" type="#_x0000_t75" style="width:288.75pt;height:34.5pt;visibility:visible">
            <v:imagedata r:id="rId126" o:title=""/>
          </v:shape>
        </w:pict>
      </w:r>
    </w:p>
    <w:p w:rsidR="004F3B22" w:rsidRPr="001C0FB6" w:rsidRDefault="004F3B22" w:rsidP="0026009D">
      <w:r w:rsidRPr="001C0FB6">
        <w:t xml:space="preserve">where </w:t>
      </w:r>
      <w:r w:rsidRPr="001C0FB6">
        <w:rPr>
          <w:i/>
          <w:iCs/>
        </w:rPr>
        <w:t>s</w:t>
      </w:r>
      <w:r w:rsidRPr="001C0FB6">
        <w:t xml:space="preserve"> is the number of study sites (</w:t>
      </w:r>
      <w:r w:rsidRPr="001C0FB6">
        <w:rPr>
          <w:i/>
          <w:iCs/>
        </w:rPr>
        <w:t xml:space="preserve">s </w:t>
      </w:r>
      <w:r w:rsidRPr="001C0FB6">
        <w:t xml:space="preserve">= 30), </w:t>
      </w:r>
      <w:r>
        <w:rPr>
          <w:i/>
          <w:iCs/>
        </w:rPr>
        <w:sym w:font="Symbol" w:char="F072"/>
      </w:r>
      <w:r w:rsidRPr="001C0FB6">
        <w:t xml:space="preserve"> is the between-site variance as a proportion of the total variance of the outcome measure</w:t>
      </w:r>
      <w:r>
        <w:t>—</w:t>
      </w:r>
      <w:r w:rsidRPr="001C0FB6">
        <w:t>the intraclass correlation</w:t>
      </w:r>
      <w:r>
        <w:t>—</w:t>
      </w:r>
      <w:r w:rsidRPr="001C0FB6">
        <w:t xml:space="preserve">and </w:t>
      </w:r>
      <w:r w:rsidRPr="001C0FB6">
        <w:rPr>
          <w:i/>
          <w:iCs/>
        </w:rPr>
        <w:t>f</w:t>
      </w:r>
      <w:r w:rsidRPr="001C0FB6">
        <w:t xml:space="preserve"> is the finite population correction at the site level. If there is no between-site variance (that is, if mean customer outcomes are the same in every LWIA), then </w:t>
      </w:r>
      <w:r>
        <w:rPr>
          <w:i/>
          <w:iCs/>
        </w:rPr>
        <w:sym w:font="Symbol" w:char="F072"/>
      </w:r>
      <w:r w:rsidRPr="001C0FB6">
        <w:rPr>
          <w:i/>
          <w:iCs/>
          <w:vertAlign w:val="subscript"/>
        </w:rPr>
        <w:t xml:space="preserve"> </w:t>
      </w:r>
      <w:r w:rsidRPr="001C0FB6">
        <w:t xml:space="preserve">= 0 and equation (5) reduces to equation (4). Even if </w:t>
      </w:r>
      <w:r>
        <w:rPr>
          <w:i/>
          <w:iCs/>
        </w:rPr>
        <w:sym w:font="Symbol" w:char="F072"/>
      </w:r>
      <w:r w:rsidRPr="001C0FB6">
        <w:t xml:space="preserve"> is small, design effects from clustering can be large because the site-level term in the variance expression is deflated by the number of sites, not the much larger number of customers. However, if the sites in the selected sample represent a large proportion of the total WIA customer population, then the finite population correction reduces the site-level term in proportion to the share of the population represented by the sample. For example, if half of the customers are represented by the sampled sites</w:t>
      </w:r>
      <w:r>
        <w:t>—</w:t>
      </w:r>
      <w:r w:rsidRPr="001C0FB6">
        <w:t xml:space="preserve">that is, </w:t>
      </w:r>
      <w:r w:rsidRPr="001C0FB6">
        <w:rPr>
          <w:i/>
          <w:iCs/>
        </w:rPr>
        <w:t>f</w:t>
      </w:r>
      <w:r w:rsidRPr="001C0FB6">
        <w:t xml:space="preserve"> = 0.50</w:t>
      </w:r>
      <w:r>
        <w:t>—</w:t>
      </w:r>
      <w:r w:rsidRPr="001C0FB6">
        <w:t>then the site-level variance term is half of what it would have been otherwise.</w:t>
      </w:r>
      <w:r>
        <w:rPr>
          <w:rStyle w:val="FootnoteReference"/>
          <w:rFonts w:ascii="Times New Roman" w:hAnsi="Times New Roman"/>
        </w:rPr>
        <w:footnoteReference w:id="4"/>
      </w:r>
      <w:r w:rsidRPr="001C0FB6">
        <w:t xml:space="preserve"> If all of the sites were selected</w:t>
      </w:r>
      <w:r>
        <w:t>—</w:t>
      </w:r>
      <w:r w:rsidRPr="001C0FB6">
        <w:t>that is,</w:t>
      </w:r>
      <w:r>
        <w:t xml:space="preserve"> </w:t>
      </w:r>
      <w:r w:rsidRPr="001C0FB6">
        <w:t xml:space="preserve"> </w:t>
      </w:r>
      <w:r w:rsidRPr="001C0FB6">
        <w:rPr>
          <w:i/>
          <w:iCs/>
        </w:rPr>
        <w:t xml:space="preserve">f </w:t>
      </w:r>
      <w:r w:rsidRPr="001C0FB6">
        <w:t>= 1</w:t>
      </w:r>
      <w:r>
        <w:t>—</w:t>
      </w:r>
      <w:r w:rsidRPr="001C0FB6">
        <w:t xml:space="preserve">then the site-level term would disappear. The within-site correlation between the outcomes of those assigned to the two research groups is captured by the parameter </w:t>
      </w:r>
      <w:r w:rsidRPr="001C0FB6">
        <w:rPr>
          <w:i/>
          <w:iCs/>
        </w:rPr>
        <w:t>c</w:t>
      </w:r>
      <w:r w:rsidRPr="001C0FB6">
        <w:t xml:space="preserve"> and is likely to be positive. Thus, this correlation will likely reduce the variance and, hence, the design effects, due to clustering. </w:t>
      </w:r>
    </w:p>
    <w:p w:rsidR="004F3B22" w:rsidRPr="001C0FB6" w:rsidRDefault="004F3B22" w:rsidP="0026009D">
      <w:r w:rsidRPr="001C0FB6">
        <w:t>An equivalent way of expressing equation (5) is as follows:</w:t>
      </w:r>
    </w:p>
    <w:p w:rsidR="004F3B22" w:rsidRPr="001C0FB6" w:rsidRDefault="004F3B22" w:rsidP="0026009D">
      <w:r w:rsidRPr="004414A2">
        <w:rPr>
          <w:noProof/>
        </w:rPr>
        <w:pict>
          <v:shape id="Picture 131" o:spid="_x0000_i1092" type="#_x0000_t75" style="width:208.5pt;height:34.5pt;visibility:visible">
            <v:imagedata r:id="rId127" o:title=""/>
          </v:shape>
        </w:pict>
      </w:r>
    </w:p>
    <w:p w:rsidR="004F3B22" w:rsidRPr="001C0FB6" w:rsidRDefault="004F3B22" w:rsidP="0026009D">
      <w:r w:rsidRPr="001C0FB6">
        <w:t xml:space="preserve">where </w:t>
      </w:r>
      <w:r w:rsidRPr="004414A2">
        <w:rPr>
          <w:noProof/>
        </w:rPr>
        <w:pict>
          <v:shape id="Picture 132" o:spid="_x0000_i1093" type="#_x0000_t75" style="width:8.25pt;height:11.25pt;visibility:visible">
            <v:imagedata r:id="rId128" o:title=""/>
          </v:shape>
        </w:pict>
      </w:r>
      <w:r w:rsidRPr="001C0FB6">
        <w:t xml:space="preserve">is the variance of the </w:t>
      </w:r>
      <w:r w:rsidRPr="001C0FB6">
        <w:rPr>
          <w:i/>
          <w:iCs/>
        </w:rPr>
        <w:t>net</w:t>
      </w:r>
      <w:r w:rsidRPr="001C0FB6">
        <w:t xml:space="preserve"> </w:t>
      </w:r>
      <w:r w:rsidRPr="001C0FB6">
        <w:rPr>
          <w:i/>
          <w:iCs/>
        </w:rPr>
        <w:t>impacts</w:t>
      </w:r>
      <w:r w:rsidRPr="001C0FB6">
        <w:t xml:space="preserve"> across sites. Thus, design effects will be small if impacts are similar across LWIAs, which would occur if </w:t>
      </w:r>
      <w:r w:rsidRPr="001C0FB6">
        <w:rPr>
          <w:i/>
          <w:iCs/>
        </w:rPr>
        <w:t>c</w:t>
      </w:r>
      <w:r w:rsidRPr="001C0FB6">
        <w:t xml:space="preserve"> is close to 1 or </w:t>
      </w:r>
      <w:r>
        <w:rPr>
          <w:i/>
          <w:iCs/>
        </w:rPr>
        <w:sym w:font="Symbol" w:char="F072"/>
      </w:r>
      <w:r w:rsidRPr="001C0FB6">
        <w:t xml:space="preserve"> is close to 0 in equation (5). </w:t>
      </w:r>
      <w:r>
        <w:t>Data from</w:t>
      </w:r>
      <w:r w:rsidRPr="001C0FB6">
        <w:t xml:space="preserve"> recent employment-related impact evaluations on populations similar to the WIA population, the value of </w:t>
      </w:r>
      <w:r w:rsidRPr="001C0FB6">
        <w:rPr>
          <w:i/>
          <w:iCs/>
        </w:rPr>
        <w:t>c</w:t>
      </w:r>
      <w:r w:rsidRPr="001C0FB6">
        <w:t xml:space="preserve"> is set to 0.7 and </w:t>
      </w:r>
      <w:r>
        <w:rPr>
          <w:i/>
          <w:iCs/>
        </w:rPr>
        <w:sym w:font="Symbol" w:char="F072"/>
      </w:r>
      <w:r w:rsidRPr="001C0FB6">
        <w:t xml:space="preserve"> is equal to 0.04 in the MDI calculations. </w:t>
      </w:r>
      <w:r>
        <w:t xml:space="preserve">Estimates of rho and c come from three sources: (1) DOL’s National Evaluation of the Trade Adjustment Assistance Program that included a national sample of workers filing for UI benefits across 26 randomly selected states and hundreds of local workforce areas, (2) DOL’s Evaluation of the Individual Training Account Demonstration; and (3) DOL’s National Job Corps Evaluation which contained national samples across 100 Job Corps centers nationwide.In the simulations used to test the sampling procedure, as discussed in Subsection 1a above, design effects from clustering and weighting were calculated in each of the simulated random draws. On average, </w:t>
      </w:r>
      <w:r w:rsidRPr="001C0FB6">
        <w:t>design effects that incorporate both clustering and weighting effects are expected to be about 1.51 for impacts based on the follow-up interview sample</w:t>
      </w:r>
      <w:r>
        <w:t>—</w:t>
      </w:r>
      <w:r w:rsidRPr="001C0FB6">
        <w:t>that is, the variance is about 51 percent larger compared to an unclustered, self-weighting design</w:t>
      </w:r>
      <w:r>
        <w:t>—and this estimated design effect did not vary much across the simulations</w:t>
      </w:r>
      <w:r w:rsidRPr="001C0FB6">
        <w:t>. For the administrative records sample, the site-level term is a larger proportion of the total variance, and as such, the design effect for the administrative records sample is larger, 2.25, mostly due to a greater relative effect of clustering on the variance.</w:t>
      </w:r>
    </w:p>
    <w:p w:rsidR="004F3B22" w:rsidRPr="001C0FB6" w:rsidRDefault="004F3B22" w:rsidP="00AE4379">
      <w:r w:rsidRPr="001C0FB6">
        <w:rPr>
          <w:b/>
          <w:bCs/>
          <w:iCs/>
        </w:rPr>
        <w:t xml:space="preserve">Multiple </w:t>
      </w:r>
      <w:r>
        <w:rPr>
          <w:b/>
          <w:bCs/>
          <w:iCs/>
        </w:rPr>
        <w:t>co</w:t>
      </w:r>
      <w:r w:rsidRPr="001C0FB6">
        <w:rPr>
          <w:b/>
          <w:bCs/>
          <w:iCs/>
        </w:rPr>
        <w:t xml:space="preserve">mparisons </w:t>
      </w:r>
      <w:r>
        <w:rPr>
          <w:b/>
          <w:bCs/>
          <w:iCs/>
        </w:rPr>
        <w:t>p</w:t>
      </w:r>
      <w:r w:rsidRPr="001C0FB6">
        <w:rPr>
          <w:b/>
          <w:bCs/>
          <w:iCs/>
        </w:rPr>
        <w:t xml:space="preserve">roblems and </w:t>
      </w:r>
      <w:r>
        <w:rPr>
          <w:b/>
          <w:bCs/>
          <w:iCs/>
        </w:rPr>
        <w:t>s</w:t>
      </w:r>
      <w:r w:rsidRPr="001C0FB6">
        <w:rPr>
          <w:b/>
          <w:bCs/>
          <w:iCs/>
        </w:rPr>
        <w:t xml:space="preserve">olutions. </w:t>
      </w:r>
      <w:r w:rsidRPr="001C0FB6">
        <w:t>The evaluation will randomly assign adult and dislocated workers to three research groups. Thus, there are three possible contrasts for analysis:</w:t>
      </w:r>
    </w:p>
    <w:p w:rsidR="004F3B22" w:rsidRPr="001C0FB6" w:rsidRDefault="004F3B22" w:rsidP="007E26E0">
      <w:pPr>
        <w:pStyle w:val="NumberedBullet"/>
        <w:numPr>
          <w:ilvl w:val="0"/>
          <w:numId w:val="0"/>
        </w:numPr>
        <w:ind w:left="792" w:hanging="360"/>
      </w:pPr>
      <w:r>
        <w:t>1.</w:t>
      </w:r>
      <w:r>
        <w:tab/>
      </w:r>
      <w:r w:rsidRPr="001C0FB6">
        <w:t>Comparisons of the full-WIA group to the core-and-intensive group</w:t>
      </w:r>
    </w:p>
    <w:p w:rsidR="004F3B22" w:rsidRPr="001C0FB6" w:rsidRDefault="004F3B22" w:rsidP="007E26E0">
      <w:pPr>
        <w:pStyle w:val="NumberedBullet"/>
        <w:numPr>
          <w:ilvl w:val="0"/>
          <w:numId w:val="0"/>
        </w:numPr>
        <w:ind w:left="792" w:hanging="360"/>
      </w:pPr>
      <w:r>
        <w:t>2.</w:t>
      </w:r>
      <w:r>
        <w:tab/>
      </w:r>
      <w:r w:rsidRPr="001C0FB6">
        <w:t>Comparisons of the full-WIA group to the core-only group</w:t>
      </w:r>
    </w:p>
    <w:p w:rsidR="004F3B22" w:rsidRPr="001C0FB6" w:rsidRDefault="004F3B22" w:rsidP="007E26E0">
      <w:pPr>
        <w:pStyle w:val="NumberedBulletLastDS"/>
        <w:numPr>
          <w:ilvl w:val="0"/>
          <w:numId w:val="0"/>
        </w:numPr>
        <w:ind w:left="792" w:hanging="360"/>
      </w:pPr>
      <w:r>
        <w:t>3.</w:t>
      </w:r>
      <w:r>
        <w:tab/>
      </w:r>
      <w:r w:rsidRPr="001C0FB6">
        <w:t>Comparisons of the core-and-intensive group to the core-only group</w:t>
      </w:r>
    </w:p>
    <w:p w:rsidR="004F3B22" w:rsidRPr="001C0FB6" w:rsidRDefault="004F3B22" w:rsidP="0026009D">
      <w:r w:rsidRPr="001C0FB6">
        <w:t xml:space="preserve">Suppose separate </w:t>
      </w:r>
      <w:r w:rsidRPr="001C0FB6">
        <w:rPr>
          <w:i/>
          <w:iCs/>
        </w:rPr>
        <w:t>t</w:t>
      </w:r>
      <w:r w:rsidRPr="001C0FB6">
        <w:t xml:space="preserve">-tests were conducted for each contrast to test the null hypothesis of no impacts, where the type I error rate (statistical significance level) is set at </w:t>
      </w:r>
      <w:r>
        <w:rPr>
          <w:i/>
          <w:iCs/>
        </w:rPr>
        <w:sym w:font="Symbol" w:char="F061"/>
      </w:r>
      <w:r w:rsidRPr="001C0FB6">
        <w:t xml:space="preserve"> = </w:t>
      </w:r>
      <w:r>
        <w:t>five</w:t>
      </w:r>
      <w:r w:rsidRPr="001C0FB6">
        <w:t xml:space="preserve"> percent for each test. This means that the chance of erroneously finding a statistically significant impact is </w:t>
      </w:r>
      <w:r>
        <w:t>five</w:t>
      </w:r>
      <w:r w:rsidRPr="001C0FB6">
        <w:t xml:space="preserve"> percent. However, when the hypothesis tests are considered together, the “combined” type I error rate could be considerably larger than </w:t>
      </w:r>
      <w:r>
        <w:t xml:space="preserve">five </w:t>
      </w:r>
      <w:r w:rsidRPr="001C0FB6">
        <w:t>percent. For example, if all null hypotheses are true, the chance of finding at least one spurious impact across the three tests would be 14 percent (assuming that the tests are independent). Thus, without accounting for the multiple comparisons being conducted, there is a greater chance that the study will erroneously conclude that some particular treatment is preferred over others. A similar issue arises when considering estimating program impacts on many outcome measures or for many different subgroups of customers</w:t>
      </w:r>
      <w:r>
        <w:t>—</w:t>
      </w:r>
      <w:r w:rsidRPr="001C0FB6">
        <w:t xml:space="preserve">the probability of finding spurious impacts increases greatly. </w:t>
      </w:r>
    </w:p>
    <w:p w:rsidR="004F3B22" w:rsidRPr="001C0FB6" w:rsidRDefault="004F3B22" w:rsidP="0026009D">
      <w:r w:rsidRPr="001C0FB6">
        <w:t>At the same time, statistical procedures that correct for multiple testing typically result in hypothesis tests with</w:t>
      </w:r>
      <w:bookmarkStart w:id="22" w:name="_GoBack"/>
      <w:bookmarkEnd w:id="22"/>
      <w:r w:rsidRPr="001C0FB6">
        <w:t xml:space="preserve"> reduced statistical power</w:t>
      </w:r>
      <w:r>
        <w:t>—</w:t>
      </w:r>
      <w:r w:rsidRPr="001C0FB6">
        <w:t xml:space="preserve">the probability of rejecting the null hypothesis given that it is false. Stated differently, these adjustment methods reduce the likelihood of identifying real differences between the contrasted groups because controlling for multiple testing involves lowering the type I error rate for individual tests, with a resulting decrease in the power to detect statistically significant impacts when the program is indeed effective (Schochet 2008). </w:t>
      </w:r>
    </w:p>
    <w:p w:rsidR="004F3B22" w:rsidRPr="001C0FB6" w:rsidRDefault="004F3B22" w:rsidP="0026009D">
      <w:r w:rsidRPr="001C0FB6">
        <w:t>The MDI calculations for the full sample adjust for multiple comparison testing. One MDI adjustment approach, based on the Bonferroni method, is to calculate MDIs in which the usual significance level (</w:t>
      </w:r>
      <w:r>
        <w:rPr>
          <w:i/>
          <w:iCs/>
        </w:rPr>
        <w:sym w:font="Symbol" w:char="F061"/>
      </w:r>
      <w:r w:rsidRPr="001C0FB6">
        <w:rPr>
          <w:i/>
          <w:iCs/>
        </w:rPr>
        <w:t xml:space="preserve"> </w:t>
      </w:r>
      <w:r w:rsidRPr="001C0FB6">
        <w:t xml:space="preserve">= </w:t>
      </w:r>
      <w:r>
        <w:t>five</w:t>
      </w:r>
      <w:r w:rsidRPr="001C0FB6">
        <w:t xml:space="preserve"> percent) is divided by the number of tests (three in the case of the main contrasts). This approach is conservative because it assumes independent tests, even though the tests are correlated because of the repetition of each research group sample across tests. Instead, the less conservative Tukey-Kramer method that accounts for the repetition of research groups in each comparison will be used (Kramer 1956; Tukey 1953). </w:t>
      </w:r>
    </w:p>
    <w:p w:rsidR="004F3B22" w:rsidRPr="001C0FB6" w:rsidRDefault="004F3B22" w:rsidP="0026009D">
      <w:r w:rsidRPr="001C0FB6">
        <w:t xml:space="preserve">The multiple comparisons problem also occurs when tests of intervention effects are conducted across multiple outcomes. To address this issue, outcomes for which the analysis is </w:t>
      </w:r>
      <w:r w:rsidRPr="001C0FB6">
        <w:rPr>
          <w:i/>
          <w:iCs/>
        </w:rPr>
        <w:t xml:space="preserve">confirmatory </w:t>
      </w:r>
      <w:r w:rsidRPr="001C0FB6">
        <w:t xml:space="preserve">versus outcomes for which the analysis is </w:t>
      </w:r>
      <w:r w:rsidRPr="001C0FB6">
        <w:rPr>
          <w:i/>
          <w:iCs/>
        </w:rPr>
        <w:t>exploratory</w:t>
      </w:r>
      <w:r w:rsidRPr="001C0FB6">
        <w:t xml:space="preserve"> will be distinguished. The confirmatory analysis will focus on priority outcomes</w:t>
      </w:r>
      <w:r>
        <w:t>—</w:t>
      </w:r>
      <w:r w:rsidRPr="001C0FB6">
        <w:t>average quarterly earnings and employment</w:t>
      </w:r>
      <w:r>
        <w:t>—</w:t>
      </w:r>
      <w:r w:rsidRPr="001C0FB6">
        <w:t>and provide estimates whose statistical properties can be stated precisely. The goal of this analysis will be to present rigorous tests of the study</w:t>
      </w:r>
      <w:r>
        <w:t>’</w:t>
      </w:r>
      <w:r w:rsidRPr="001C0FB6">
        <w:t>s central hypotheses; for these analyses, significance levels will be adjusted for multiple testing. Confirmatory analyses will be limited to estimates based on the full sample of customers.</w:t>
      </w:r>
    </w:p>
    <w:p w:rsidR="004F3B22" w:rsidRPr="001C0FB6" w:rsidRDefault="004F3B22" w:rsidP="0026009D">
      <w:r w:rsidRPr="001C0FB6">
        <w:t xml:space="preserve">The purpose of exploratory analysis, on the other hand, will be to examine other outcomes of interest, such as participation in training and receipt of public assistance, for which impacts might exist. The aim of this analysis will be to identify hypotheses that could be subject to more rigorous future examination. For the exploratory analysis, multiple comparison adjustments will not be made. </w:t>
      </w:r>
    </w:p>
    <w:p w:rsidR="004F3B22" w:rsidRDefault="004F3B22">
      <w:r w:rsidRPr="001C0FB6">
        <w:t xml:space="preserve">Finally, the multiple comparisons problem also arises when considering many subgroups for which separate impacts are estimated. Therefore, all subgroup analyses will be treated as exploratory. </w:t>
      </w:r>
      <w:r>
        <w:t xml:space="preserve">We will conduct F-tests of the differences in impacts within categories of subgroups. For example, we will conduct an F-test of whether the impact on older customers is different than the impact on younger customers.  We will note in our report that with an alpha threshold high enough to account for the multiple comparisons among </w:t>
      </w:r>
      <w:r>
        <w:rPr>
          <w:u w:val="single"/>
        </w:rPr>
        <w:t>all</w:t>
      </w:r>
      <w:r>
        <w:t xml:space="preserve"> the subgroups (not just those in a category), </w:t>
      </w:r>
      <w:r w:rsidRPr="003505D0">
        <w:t>it is likely</w:t>
      </w:r>
      <w:r>
        <w:t xml:space="preserve"> that no impact on a subgroup would be found significant.  </w:t>
      </w:r>
    </w:p>
    <w:p w:rsidR="004F3B22" w:rsidRDefault="004F3B22" w:rsidP="0026009D">
      <w:r w:rsidRPr="000561F0">
        <w:rPr>
          <w:b/>
        </w:rPr>
        <w:t xml:space="preserve">Minimum </w:t>
      </w:r>
      <w:r>
        <w:rPr>
          <w:b/>
        </w:rPr>
        <w:t>d</w:t>
      </w:r>
      <w:r w:rsidRPr="000561F0">
        <w:rPr>
          <w:b/>
        </w:rPr>
        <w:t xml:space="preserve">etectable </w:t>
      </w:r>
      <w:r>
        <w:rPr>
          <w:b/>
        </w:rPr>
        <w:t>i</w:t>
      </w:r>
      <w:r w:rsidRPr="000561F0">
        <w:rPr>
          <w:b/>
        </w:rPr>
        <w:t>mpacts.</w:t>
      </w:r>
      <w:r>
        <w:rPr>
          <w:b/>
        </w:rPr>
        <w:t xml:space="preserve"> </w:t>
      </w:r>
      <w:r>
        <w:t xml:space="preserve">For the overall participant sample, we can expect to detect a significant quarterly earnings impact for each comparison if the true program impact were </w:t>
      </w:r>
      <w:r w:rsidRPr="00C11207">
        <w:t>$1</w:t>
      </w:r>
      <w:r>
        <w:t xml:space="preserve">63 or more using the survey sample and $131 or more using the administrative records sample (Table B.7). The MDIs are lower for the administrative records sample as we will collect administrative data on everyone in the full-WIA group and not just the 2,000 selected for the sample. </w:t>
      </w:r>
    </w:p>
    <w:p w:rsidR="004F3B22" w:rsidRDefault="004F3B22" w:rsidP="0026009D">
      <w:r w:rsidRPr="001C0FB6">
        <w:t>MDIs can also be calculated for customers who participate in training, which is an important, and often expensive, component of WIA services. About 51 percent of WIA customers who receive intensive services also participate in training. Using the Bloom adjustment, it is estimated that the MDI for full-WIA group members who participate in training</w:t>
      </w:r>
      <w:r>
        <w:t>—</w:t>
      </w:r>
      <w:r w:rsidRPr="001C0FB6">
        <w:t>the estimate of TOT</w:t>
      </w:r>
      <w:r>
        <w:t>—is $320</w:t>
      </w:r>
      <w:r w:rsidRPr="001C0FB6">
        <w:t xml:space="preserve"> for the survey sample and $</w:t>
      </w:r>
      <w:r>
        <w:t>131</w:t>
      </w:r>
      <w:r w:rsidRPr="001C0FB6">
        <w:t xml:space="preserve"> using administrative records data when compared to the core-and-intensive services group. (Since only the full-WIA group is eligible for WIA-funded training, the estimated MDIs for training participants for the core-and-intensive versus core-only comparison are not calculated.)  </w:t>
      </w:r>
    </w:p>
    <w:p w:rsidR="004F3B22" w:rsidRDefault="004F3B22" w:rsidP="00205452">
      <w:r w:rsidRPr="001C0FB6">
        <w:t>MDIs as measured by the survey data are about $18</w:t>
      </w:r>
      <w:r>
        <w:t>2</w:t>
      </w:r>
      <w:r w:rsidRPr="001C0FB6">
        <w:t xml:space="preserve"> for a subgroup including 50 percent of customers. The design will also be slightly less effective at detecting impacts for subgroups</w:t>
      </w:r>
      <w:r>
        <w:t xml:space="preserve"> </w:t>
      </w:r>
      <w:r w:rsidRPr="001C0FB6">
        <w:t xml:space="preserve"> </w:t>
      </w:r>
      <w:r>
        <w:t>of sites</w:t>
      </w:r>
      <w:r w:rsidRPr="001C0FB6">
        <w:t xml:space="preserve"> than for subgroups defined by customer characteristics, because of larger clustering effects, but it ca</w:t>
      </w:r>
      <w:r w:rsidRPr="00BA4A0E">
        <w:t>n still reliably detect impacts on quarterly earnings that are $202 or larger for the survey sample and $162 for the administrative sample.</w:t>
      </w:r>
      <w:r w:rsidRPr="001C0FB6">
        <w:t xml:space="preserve"> </w:t>
      </w:r>
    </w:p>
    <w:p w:rsidR="004F3B22" w:rsidRPr="001C0FB6" w:rsidRDefault="004F3B22" w:rsidP="00205452">
      <w:pPr>
        <w:pStyle w:val="ParagraphLAST"/>
      </w:pPr>
      <w:r>
        <w:t xml:space="preserve">The MDIs are comparable to the inflation-adjusted quarterly earnings impacts found for adults in the National JTPA Study (Bloom et al. 1993). The MDIs also suggest that the study will have sufficient precision to assess whether the impact of the WIA services are sufficient to justify the </w:t>
      </w:r>
      <w:r>
        <w:br w:type="textWrapping" w:clear="all"/>
      </w:r>
    </w:p>
    <w:p w:rsidR="004F3B22" w:rsidRPr="001C0FB6" w:rsidRDefault="004F3B22" w:rsidP="0026009D">
      <w:pPr>
        <w:pStyle w:val="MarkforTableHeading"/>
      </w:pPr>
      <w:bookmarkStart w:id="23" w:name="_Toc286783978"/>
      <w:r w:rsidRPr="001C0FB6">
        <w:t>Table B.</w:t>
      </w:r>
      <w:r>
        <w:t>7</w:t>
      </w:r>
      <w:r w:rsidRPr="001C0FB6">
        <w:t>. Minimum Detectable Impacts on Quarterly Earnings, for Adults and Dislocated Workers</w:t>
      </w:r>
      <w:bookmarkEnd w:id="23"/>
      <w:r>
        <w:t xml:space="preserve"> in 28 Sites that Agreed to Participate</w:t>
      </w:r>
    </w:p>
    <w:tbl>
      <w:tblPr>
        <w:tblW w:w="5000" w:type="pct"/>
        <w:tblInd w:w="115" w:type="dxa"/>
        <w:tblBorders>
          <w:top w:val="single" w:sz="12" w:space="0" w:color="auto"/>
          <w:bottom w:val="single" w:sz="4" w:space="0" w:color="auto"/>
        </w:tblBorders>
        <w:tblLook w:val="0000"/>
      </w:tblPr>
      <w:tblGrid>
        <w:gridCol w:w="3073"/>
        <w:gridCol w:w="1971"/>
        <w:gridCol w:w="295"/>
        <w:gridCol w:w="1971"/>
        <w:gridCol w:w="295"/>
        <w:gridCol w:w="1971"/>
      </w:tblGrid>
      <w:tr w:rsidR="004F3B22" w:rsidRPr="005271DB" w:rsidTr="00BF77D2">
        <w:trPr>
          <w:trHeight w:val="348"/>
        </w:trPr>
        <w:tc>
          <w:tcPr>
            <w:tcW w:w="1605" w:type="pct"/>
            <w:tcBorders>
              <w:top w:val="single" w:sz="12" w:space="0" w:color="auto"/>
              <w:bottom w:val="nil"/>
            </w:tcBorders>
            <w:vAlign w:val="bottom"/>
          </w:tcPr>
          <w:p w:rsidR="004F3B22" w:rsidRPr="001C0FB6" w:rsidRDefault="004F3B22" w:rsidP="0026009D">
            <w:pPr>
              <w:pStyle w:val="TableHeaderCenter"/>
            </w:pPr>
          </w:p>
        </w:tc>
        <w:tc>
          <w:tcPr>
            <w:tcW w:w="1029" w:type="pct"/>
            <w:tcBorders>
              <w:top w:val="single" w:sz="12" w:space="0" w:color="auto"/>
              <w:bottom w:val="single" w:sz="4" w:space="0" w:color="auto"/>
            </w:tcBorders>
            <w:vAlign w:val="bottom"/>
          </w:tcPr>
          <w:p w:rsidR="004F3B22" w:rsidRPr="001C0FB6" w:rsidRDefault="004F3B22" w:rsidP="0026009D">
            <w:pPr>
              <w:pStyle w:val="TableHeaderCenter"/>
            </w:pPr>
            <w:r w:rsidRPr="001C0FB6">
              <w:t>Full-WIA vs. Core</w:t>
            </w:r>
          </w:p>
        </w:tc>
        <w:tc>
          <w:tcPr>
            <w:tcW w:w="154" w:type="pct"/>
            <w:tcBorders>
              <w:top w:val="single" w:sz="12" w:space="0" w:color="auto"/>
              <w:bottom w:val="nil"/>
            </w:tcBorders>
            <w:vAlign w:val="bottom"/>
          </w:tcPr>
          <w:p w:rsidR="004F3B22" w:rsidRPr="001C0FB6" w:rsidRDefault="004F3B22" w:rsidP="0026009D">
            <w:pPr>
              <w:pStyle w:val="TableHeaderCenter"/>
            </w:pPr>
          </w:p>
        </w:tc>
        <w:tc>
          <w:tcPr>
            <w:tcW w:w="1029" w:type="pct"/>
            <w:tcBorders>
              <w:top w:val="single" w:sz="12" w:space="0" w:color="auto"/>
              <w:bottom w:val="single" w:sz="4" w:space="0" w:color="auto"/>
            </w:tcBorders>
            <w:vAlign w:val="bottom"/>
          </w:tcPr>
          <w:p w:rsidR="004F3B22" w:rsidRPr="001C0FB6" w:rsidRDefault="004F3B22" w:rsidP="0026009D">
            <w:pPr>
              <w:pStyle w:val="TableHeaderCenter"/>
            </w:pPr>
            <w:r w:rsidRPr="001C0FB6">
              <w:t>Full-WIA vs. Core-and-Intensive</w:t>
            </w:r>
          </w:p>
        </w:tc>
        <w:tc>
          <w:tcPr>
            <w:tcW w:w="154" w:type="pct"/>
            <w:tcBorders>
              <w:top w:val="single" w:sz="12" w:space="0" w:color="auto"/>
              <w:bottom w:val="nil"/>
            </w:tcBorders>
            <w:vAlign w:val="bottom"/>
          </w:tcPr>
          <w:p w:rsidR="004F3B22" w:rsidRPr="001C0FB6" w:rsidRDefault="004F3B22" w:rsidP="0026009D">
            <w:pPr>
              <w:pStyle w:val="TableHeaderCenter"/>
            </w:pPr>
          </w:p>
        </w:tc>
        <w:tc>
          <w:tcPr>
            <w:tcW w:w="1029" w:type="pct"/>
            <w:tcBorders>
              <w:top w:val="single" w:sz="12" w:space="0" w:color="auto"/>
              <w:bottom w:val="single" w:sz="4" w:space="0" w:color="auto"/>
            </w:tcBorders>
            <w:vAlign w:val="bottom"/>
          </w:tcPr>
          <w:p w:rsidR="004F3B22" w:rsidRPr="001C0FB6" w:rsidRDefault="004F3B22" w:rsidP="0026009D">
            <w:pPr>
              <w:pStyle w:val="TableHeaderCenter"/>
            </w:pPr>
            <w:r w:rsidRPr="001C0FB6">
              <w:t>Core-and-Intensive vs. Core</w:t>
            </w:r>
          </w:p>
        </w:tc>
      </w:tr>
      <w:tr w:rsidR="004F3B22" w:rsidRPr="005271DB" w:rsidTr="00BF77D2">
        <w:tc>
          <w:tcPr>
            <w:tcW w:w="1605" w:type="pct"/>
            <w:tcBorders>
              <w:top w:val="nil"/>
              <w:bottom w:val="single" w:sz="4" w:space="0" w:color="auto"/>
            </w:tcBorders>
            <w:vAlign w:val="bottom"/>
          </w:tcPr>
          <w:p w:rsidR="004F3B22" w:rsidRPr="001C0FB6" w:rsidRDefault="004F3B22" w:rsidP="0026009D">
            <w:pPr>
              <w:pStyle w:val="TableHeaderCenter"/>
            </w:pPr>
          </w:p>
        </w:tc>
        <w:tc>
          <w:tcPr>
            <w:tcW w:w="1029" w:type="pct"/>
            <w:tcBorders>
              <w:top w:val="single" w:sz="4" w:space="0" w:color="auto"/>
              <w:bottom w:val="single" w:sz="4" w:space="0" w:color="auto"/>
            </w:tcBorders>
            <w:vAlign w:val="bottom"/>
          </w:tcPr>
          <w:p w:rsidR="004F3B22" w:rsidRPr="001C0FB6" w:rsidRDefault="004F3B22" w:rsidP="0026009D">
            <w:pPr>
              <w:pStyle w:val="TableHeaderCenter"/>
            </w:pPr>
            <w:r w:rsidRPr="001C0FB6">
              <w:t>Quarterly Earnings</w:t>
            </w:r>
            <w:r w:rsidRPr="00D44A33">
              <w:br/>
            </w:r>
            <w:r w:rsidRPr="001C0FB6">
              <w:t>(dollars)</w:t>
            </w:r>
          </w:p>
        </w:tc>
        <w:tc>
          <w:tcPr>
            <w:tcW w:w="154" w:type="pct"/>
            <w:tcBorders>
              <w:top w:val="nil"/>
              <w:bottom w:val="single" w:sz="4" w:space="0" w:color="auto"/>
            </w:tcBorders>
            <w:vAlign w:val="bottom"/>
          </w:tcPr>
          <w:p w:rsidR="004F3B22" w:rsidRPr="001C0FB6" w:rsidRDefault="004F3B22" w:rsidP="0026009D">
            <w:pPr>
              <w:pStyle w:val="TableHeaderCenter"/>
            </w:pPr>
          </w:p>
        </w:tc>
        <w:tc>
          <w:tcPr>
            <w:tcW w:w="1029" w:type="pct"/>
            <w:tcBorders>
              <w:top w:val="single" w:sz="4" w:space="0" w:color="auto"/>
              <w:bottom w:val="single" w:sz="4" w:space="0" w:color="auto"/>
            </w:tcBorders>
            <w:vAlign w:val="bottom"/>
          </w:tcPr>
          <w:p w:rsidR="004F3B22" w:rsidRPr="001C0FB6" w:rsidRDefault="004F3B22" w:rsidP="0026009D">
            <w:pPr>
              <w:pStyle w:val="TableHeaderCenter"/>
            </w:pPr>
            <w:r w:rsidRPr="001C0FB6">
              <w:t>Quarterly Earnings</w:t>
            </w:r>
            <w:r w:rsidRPr="00D44A33">
              <w:br/>
            </w:r>
            <w:r w:rsidRPr="001C0FB6">
              <w:t>(dollars)</w:t>
            </w:r>
          </w:p>
        </w:tc>
        <w:tc>
          <w:tcPr>
            <w:tcW w:w="154" w:type="pct"/>
            <w:tcBorders>
              <w:top w:val="nil"/>
              <w:bottom w:val="single" w:sz="4" w:space="0" w:color="auto"/>
            </w:tcBorders>
            <w:vAlign w:val="bottom"/>
          </w:tcPr>
          <w:p w:rsidR="004F3B22" w:rsidRPr="001C0FB6" w:rsidRDefault="004F3B22" w:rsidP="0026009D">
            <w:pPr>
              <w:pStyle w:val="TableHeaderCenter"/>
            </w:pPr>
          </w:p>
        </w:tc>
        <w:tc>
          <w:tcPr>
            <w:tcW w:w="1029" w:type="pct"/>
            <w:tcBorders>
              <w:top w:val="single" w:sz="4" w:space="0" w:color="auto"/>
              <w:bottom w:val="single" w:sz="4" w:space="0" w:color="auto"/>
            </w:tcBorders>
            <w:vAlign w:val="bottom"/>
          </w:tcPr>
          <w:p w:rsidR="004F3B22" w:rsidRPr="001C0FB6" w:rsidRDefault="004F3B22" w:rsidP="0026009D">
            <w:pPr>
              <w:pStyle w:val="TableHeaderCenter"/>
            </w:pPr>
            <w:r w:rsidRPr="001C0FB6">
              <w:t>Quarterly Earnings</w:t>
            </w:r>
            <w:r w:rsidRPr="00D44A33">
              <w:br/>
            </w:r>
            <w:r w:rsidRPr="001C0FB6">
              <w:t>(dollars)</w:t>
            </w:r>
          </w:p>
        </w:tc>
      </w:tr>
      <w:tr w:rsidR="004F3B22" w:rsidRPr="005271DB" w:rsidTr="00BF77D2">
        <w:trPr>
          <w:trHeight w:val="188"/>
        </w:trPr>
        <w:tc>
          <w:tcPr>
            <w:tcW w:w="1605" w:type="pct"/>
            <w:tcBorders>
              <w:top w:val="single" w:sz="4" w:space="0" w:color="auto"/>
            </w:tcBorders>
          </w:tcPr>
          <w:p w:rsidR="004F3B22" w:rsidRPr="001B458D" w:rsidRDefault="004F3B22" w:rsidP="007E26E0">
            <w:pPr>
              <w:pStyle w:val="TableText"/>
              <w:spacing w:before="120"/>
              <w:rPr>
                <w:b/>
              </w:rPr>
            </w:pPr>
            <w:r w:rsidRPr="006951C2">
              <w:rPr>
                <w:b/>
              </w:rPr>
              <w:t>Survey Data</w:t>
            </w:r>
          </w:p>
        </w:tc>
        <w:tc>
          <w:tcPr>
            <w:tcW w:w="1029" w:type="pct"/>
            <w:tcBorders>
              <w:top w:val="single" w:sz="4" w:space="0" w:color="auto"/>
            </w:tcBorders>
          </w:tcPr>
          <w:p w:rsidR="004F3B22" w:rsidRPr="001C0FB6" w:rsidRDefault="004F3B22" w:rsidP="0026009D">
            <w:pPr>
              <w:pStyle w:val="TableText"/>
            </w:pPr>
          </w:p>
        </w:tc>
        <w:tc>
          <w:tcPr>
            <w:tcW w:w="154" w:type="pct"/>
            <w:tcBorders>
              <w:top w:val="single" w:sz="4" w:space="0" w:color="auto"/>
            </w:tcBorders>
          </w:tcPr>
          <w:p w:rsidR="004F3B22" w:rsidRPr="001C0FB6" w:rsidRDefault="004F3B22" w:rsidP="0026009D">
            <w:pPr>
              <w:pStyle w:val="TableText"/>
            </w:pPr>
          </w:p>
        </w:tc>
        <w:tc>
          <w:tcPr>
            <w:tcW w:w="1029" w:type="pct"/>
            <w:tcBorders>
              <w:top w:val="single" w:sz="4" w:space="0" w:color="auto"/>
            </w:tcBorders>
          </w:tcPr>
          <w:p w:rsidR="004F3B22" w:rsidRPr="001C0FB6" w:rsidRDefault="004F3B22" w:rsidP="0026009D">
            <w:pPr>
              <w:pStyle w:val="TableText"/>
            </w:pPr>
          </w:p>
        </w:tc>
        <w:tc>
          <w:tcPr>
            <w:tcW w:w="154" w:type="pct"/>
            <w:tcBorders>
              <w:top w:val="single" w:sz="4" w:space="0" w:color="auto"/>
            </w:tcBorders>
          </w:tcPr>
          <w:p w:rsidR="004F3B22" w:rsidRPr="001C0FB6" w:rsidRDefault="004F3B22" w:rsidP="0026009D">
            <w:pPr>
              <w:pStyle w:val="TableText"/>
            </w:pPr>
          </w:p>
        </w:tc>
        <w:tc>
          <w:tcPr>
            <w:tcW w:w="1029" w:type="pct"/>
            <w:tcBorders>
              <w:top w:val="single" w:sz="4" w:space="0" w:color="auto"/>
            </w:tcBorders>
          </w:tcPr>
          <w:p w:rsidR="004F3B22" w:rsidRPr="001C0FB6" w:rsidRDefault="004F3B22" w:rsidP="0026009D">
            <w:pPr>
              <w:pStyle w:val="TableText"/>
            </w:pPr>
          </w:p>
        </w:tc>
      </w:tr>
      <w:tr w:rsidR="004F3B22" w:rsidRPr="005271DB" w:rsidTr="00BF77D2">
        <w:tc>
          <w:tcPr>
            <w:tcW w:w="1605" w:type="pct"/>
          </w:tcPr>
          <w:p w:rsidR="004F3B22" w:rsidRPr="00BA4A0E" w:rsidRDefault="004F3B22" w:rsidP="0026009D">
            <w:pPr>
              <w:pStyle w:val="TableText"/>
            </w:pPr>
            <w:r w:rsidRPr="00BA4A0E">
              <w:t>Adult and dislocated workers</w:t>
            </w:r>
          </w:p>
        </w:tc>
        <w:tc>
          <w:tcPr>
            <w:tcW w:w="1029" w:type="pct"/>
          </w:tcPr>
          <w:p w:rsidR="004F3B22" w:rsidRPr="00BA4A0E" w:rsidRDefault="004F3B22" w:rsidP="007E26E0">
            <w:pPr>
              <w:pStyle w:val="TableText"/>
              <w:jc w:val="center"/>
            </w:pPr>
            <w:r w:rsidRPr="00BA4A0E">
              <w:t>16</w:t>
            </w:r>
            <w:r>
              <w:t>1</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16</w:t>
            </w:r>
            <w:r>
              <w:t>1</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16</w:t>
            </w:r>
            <w:r>
              <w:t>1</w:t>
            </w:r>
          </w:p>
        </w:tc>
      </w:tr>
      <w:tr w:rsidR="004F3B22" w:rsidRPr="005271DB" w:rsidTr="00BF77D2">
        <w:tc>
          <w:tcPr>
            <w:tcW w:w="1605" w:type="pct"/>
          </w:tcPr>
          <w:p w:rsidR="004F3B22" w:rsidRPr="00BA4A0E" w:rsidRDefault="004F3B22" w:rsidP="0026009D">
            <w:pPr>
              <w:pStyle w:val="TableText"/>
            </w:pPr>
            <w:r w:rsidRPr="00BA4A0E">
              <w:t>WIA training participants</w:t>
            </w:r>
          </w:p>
        </w:tc>
        <w:tc>
          <w:tcPr>
            <w:tcW w:w="1029" w:type="pct"/>
          </w:tcPr>
          <w:p w:rsidR="004F3B22" w:rsidRPr="00BA4A0E" w:rsidRDefault="004F3B22" w:rsidP="007E26E0">
            <w:pPr>
              <w:pStyle w:val="TableText"/>
              <w:jc w:val="center"/>
            </w:pPr>
            <w:r w:rsidRPr="00BA4A0E">
              <w:t>3</w:t>
            </w:r>
            <w:r>
              <w:t>16</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3</w:t>
            </w:r>
            <w:r>
              <w:t>16</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NA</w:t>
            </w:r>
          </w:p>
        </w:tc>
      </w:tr>
      <w:tr w:rsidR="004F3B22" w:rsidRPr="005271DB" w:rsidTr="00BF77D2">
        <w:tc>
          <w:tcPr>
            <w:tcW w:w="1605" w:type="pct"/>
          </w:tcPr>
          <w:p w:rsidR="004F3B22" w:rsidRPr="00BA4A0E" w:rsidRDefault="004F3B22" w:rsidP="0026009D">
            <w:pPr>
              <w:pStyle w:val="TableText"/>
            </w:pPr>
            <w:r w:rsidRPr="00BA4A0E">
              <w:t>Adults only</w:t>
            </w:r>
          </w:p>
        </w:tc>
        <w:tc>
          <w:tcPr>
            <w:tcW w:w="1029" w:type="pct"/>
          </w:tcPr>
          <w:p w:rsidR="004F3B22" w:rsidRPr="00BA4A0E" w:rsidRDefault="004F3B22" w:rsidP="007E26E0">
            <w:pPr>
              <w:pStyle w:val="TableText"/>
              <w:jc w:val="center"/>
            </w:pPr>
            <w:r w:rsidRPr="00BA4A0E">
              <w:t>1</w:t>
            </w:r>
            <w:r>
              <w:t>69</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w:t>
            </w:r>
            <w:r>
              <w:t>69</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w:t>
            </w:r>
            <w:r>
              <w:t>69</w:t>
            </w:r>
          </w:p>
        </w:tc>
      </w:tr>
      <w:tr w:rsidR="004F3B22" w:rsidRPr="005271DB" w:rsidTr="00BF77D2">
        <w:tc>
          <w:tcPr>
            <w:tcW w:w="1605" w:type="pct"/>
          </w:tcPr>
          <w:p w:rsidR="004F3B22" w:rsidRPr="00BA4A0E" w:rsidRDefault="004F3B22" w:rsidP="0026009D">
            <w:pPr>
              <w:pStyle w:val="TableText"/>
            </w:pPr>
            <w:r w:rsidRPr="00BA4A0E">
              <w:t>Dislocated workers only</w:t>
            </w:r>
          </w:p>
        </w:tc>
        <w:tc>
          <w:tcPr>
            <w:tcW w:w="1029" w:type="pct"/>
          </w:tcPr>
          <w:p w:rsidR="004F3B22" w:rsidRPr="00BA4A0E" w:rsidRDefault="004F3B22" w:rsidP="007E26E0">
            <w:pPr>
              <w:pStyle w:val="TableText"/>
              <w:jc w:val="center"/>
            </w:pPr>
            <w:r w:rsidRPr="00BA4A0E">
              <w:t>19</w:t>
            </w:r>
            <w:r>
              <w:t>8</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19</w:t>
            </w:r>
            <w:r>
              <w:t>8</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19</w:t>
            </w:r>
            <w:r>
              <w:t>8</w:t>
            </w:r>
          </w:p>
        </w:tc>
      </w:tr>
      <w:tr w:rsidR="004F3B22" w:rsidRPr="005271DB" w:rsidTr="00BF77D2">
        <w:tc>
          <w:tcPr>
            <w:tcW w:w="1605" w:type="pct"/>
            <w:tcBorders>
              <w:bottom w:val="nil"/>
            </w:tcBorders>
          </w:tcPr>
          <w:p w:rsidR="004F3B22" w:rsidRPr="00BA4A0E" w:rsidRDefault="004F3B22" w:rsidP="0026009D">
            <w:pPr>
              <w:pStyle w:val="TableText"/>
            </w:pPr>
            <w:r w:rsidRPr="00BA4A0E">
              <w:t>50% subgroup of customers</w:t>
            </w:r>
          </w:p>
        </w:tc>
        <w:tc>
          <w:tcPr>
            <w:tcW w:w="1029" w:type="pct"/>
            <w:tcBorders>
              <w:bottom w:val="nil"/>
            </w:tcBorders>
          </w:tcPr>
          <w:p w:rsidR="004F3B22" w:rsidRPr="00BA4A0E" w:rsidRDefault="004F3B22" w:rsidP="007E26E0">
            <w:pPr>
              <w:pStyle w:val="TableText"/>
              <w:jc w:val="center"/>
            </w:pPr>
            <w:r w:rsidRPr="00BA4A0E">
              <w:t>18</w:t>
            </w:r>
            <w:r>
              <w:t>1</w:t>
            </w:r>
          </w:p>
        </w:tc>
        <w:tc>
          <w:tcPr>
            <w:tcW w:w="154" w:type="pct"/>
            <w:tcBorders>
              <w:bottom w:val="nil"/>
            </w:tcBorders>
          </w:tcPr>
          <w:p w:rsidR="004F3B22" w:rsidRPr="00BA4A0E" w:rsidRDefault="004F3B22" w:rsidP="007E26E0">
            <w:pPr>
              <w:pStyle w:val="TableText"/>
              <w:jc w:val="center"/>
            </w:pPr>
          </w:p>
        </w:tc>
        <w:tc>
          <w:tcPr>
            <w:tcW w:w="1029" w:type="pct"/>
            <w:tcBorders>
              <w:bottom w:val="nil"/>
            </w:tcBorders>
          </w:tcPr>
          <w:p w:rsidR="004F3B22" w:rsidRPr="00BA4A0E" w:rsidRDefault="004F3B22" w:rsidP="001B458D">
            <w:pPr>
              <w:pStyle w:val="TableText"/>
              <w:jc w:val="center"/>
            </w:pPr>
            <w:r w:rsidRPr="00BA4A0E">
              <w:t>18</w:t>
            </w:r>
            <w:r>
              <w:t>1</w:t>
            </w:r>
          </w:p>
        </w:tc>
        <w:tc>
          <w:tcPr>
            <w:tcW w:w="154" w:type="pct"/>
            <w:tcBorders>
              <w:bottom w:val="nil"/>
            </w:tcBorders>
          </w:tcPr>
          <w:p w:rsidR="004F3B22" w:rsidRPr="00BA4A0E" w:rsidRDefault="004F3B22" w:rsidP="007E26E0">
            <w:pPr>
              <w:pStyle w:val="TableText"/>
              <w:jc w:val="center"/>
            </w:pPr>
          </w:p>
        </w:tc>
        <w:tc>
          <w:tcPr>
            <w:tcW w:w="1029" w:type="pct"/>
            <w:tcBorders>
              <w:bottom w:val="nil"/>
            </w:tcBorders>
          </w:tcPr>
          <w:p w:rsidR="004F3B22" w:rsidRPr="00BA4A0E" w:rsidRDefault="004F3B22" w:rsidP="001B458D">
            <w:pPr>
              <w:pStyle w:val="TableText"/>
              <w:jc w:val="center"/>
            </w:pPr>
            <w:r w:rsidRPr="00BA4A0E">
              <w:t>18</w:t>
            </w:r>
            <w:r>
              <w:t>1</w:t>
            </w:r>
          </w:p>
        </w:tc>
      </w:tr>
      <w:tr w:rsidR="004F3B22" w:rsidRPr="005271DB" w:rsidTr="00BF77D2">
        <w:tc>
          <w:tcPr>
            <w:tcW w:w="1605" w:type="pct"/>
            <w:tcBorders>
              <w:top w:val="nil"/>
              <w:bottom w:val="single" w:sz="4" w:space="0" w:color="auto"/>
            </w:tcBorders>
          </w:tcPr>
          <w:p w:rsidR="004F3B22" w:rsidRPr="00BA4A0E" w:rsidRDefault="004F3B22" w:rsidP="007E26E0">
            <w:pPr>
              <w:pStyle w:val="TableText"/>
              <w:spacing w:after="60"/>
            </w:pPr>
            <w:r w:rsidRPr="00BA4A0E">
              <w:t>50% subgroup of sites</w:t>
            </w:r>
          </w:p>
        </w:tc>
        <w:tc>
          <w:tcPr>
            <w:tcW w:w="1029" w:type="pct"/>
            <w:tcBorders>
              <w:top w:val="nil"/>
              <w:bottom w:val="single" w:sz="4" w:space="0" w:color="auto"/>
            </w:tcBorders>
          </w:tcPr>
          <w:p w:rsidR="004F3B22" w:rsidRPr="00BA4A0E" w:rsidRDefault="004F3B22" w:rsidP="007E26E0">
            <w:pPr>
              <w:pStyle w:val="TableText"/>
              <w:jc w:val="center"/>
            </w:pPr>
            <w:r w:rsidRPr="00BA4A0E">
              <w:t>20</w:t>
            </w:r>
            <w:r>
              <w:t>0</w:t>
            </w:r>
          </w:p>
        </w:tc>
        <w:tc>
          <w:tcPr>
            <w:tcW w:w="154" w:type="pct"/>
            <w:tcBorders>
              <w:top w:val="nil"/>
              <w:bottom w:val="single" w:sz="4" w:space="0" w:color="auto"/>
            </w:tcBorders>
          </w:tcPr>
          <w:p w:rsidR="004F3B22" w:rsidRPr="00BA4A0E" w:rsidRDefault="004F3B22" w:rsidP="007E26E0">
            <w:pPr>
              <w:pStyle w:val="TableText"/>
              <w:jc w:val="center"/>
            </w:pPr>
          </w:p>
        </w:tc>
        <w:tc>
          <w:tcPr>
            <w:tcW w:w="1029" w:type="pct"/>
            <w:tcBorders>
              <w:top w:val="nil"/>
              <w:bottom w:val="single" w:sz="4" w:space="0" w:color="auto"/>
            </w:tcBorders>
          </w:tcPr>
          <w:p w:rsidR="004F3B22" w:rsidRPr="00BA4A0E" w:rsidRDefault="004F3B22" w:rsidP="001B458D">
            <w:pPr>
              <w:pStyle w:val="TableText"/>
              <w:jc w:val="center"/>
            </w:pPr>
            <w:r w:rsidRPr="00BA4A0E">
              <w:t>20</w:t>
            </w:r>
            <w:r>
              <w:t>0</w:t>
            </w:r>
          </w:p>
        </w:tc>
        <w:tc>
          <w:tcPr>
            <w:tcW w:w="154" w:type="pct"/>
            <w:tcBorders>
              <w:top w:val="nil"/>
              <w:bottom w:val="single" w:sz="4" w:space="0" w:color="auto"/>
            </w:tcBorders>
          </w:tcPr>
          <w:p w:rsidR="004F3B22" w:rsidRPr="00BA4A0E" w:rsidRDefault="004F3B22" w:rsidP="007E26E0">
            <w:pPr>
              <w:pStyle w:val="TableText"/>
              <w:jc w:val="center"/>
            </w:pPr>
          </w:p>
        </w:tc>
        <w:tc>
          <w:tcPr>
            <w:tcW w:w="1029" w:type="pct"/>
            <w:tcBorders>
              <w:top w:val="nil"/>
              <w:bottom w:val="single" w:sz="4" w:space="0" w:color="auto"/>
            </w:tcBorders>
          </w:tcPr>
          <w:p w:rsidR="004F3B22" w:rsidRPr="00BA4A0E" w:rsidRDefault="004F3B22" w:rsidP="001B458D">
            <w:pPr>
              <w:pStyle w:val="TableText"/>
              <w:jc w:val="center"/>
            </w:pPr>
            <w:r w:rsidRPr="00BA4A0E">
              <w:t>20</w:t>
            </w:r>
            <w:r>
              <w:t>0</w:t>
            </w:r>
          </w:p>
        </w:tc>
      </w:tr>
      <w:tr w:rsidR="004F3B22" w:rsidRPr="005271DB" w:rsidTr="00BF77D2">
        <w:tc>
          <w:tcPr>
            <w:tcW w:w="1605" w:type="pct"/>
            <w:tcBorders>
              <w:top w:val="single" w:sz="4" w:space="0" w:color="auto"/>
            </w:tcBorders>
          </w:tcPr>
          <w:p w:rsidR="004F3B22" w:rsidRPr="00BA4A0E" w:rsidRDefault="004F3B22" w:rsidP="007E26E0">
            <w:pPr>
              <w:pStyle w:val="TableText"/>
              <w:spacing w:before="120"/>
              <w:rPr>
                <w:b/>
              </w:rPr>
            </w:pPr>
            <w:r w:rsidRPr="00BA4A0E">
              <w:rPr>
                <w:b/>
              </w:rPr>
              <w:t>Administrative Data</w:t>
            </w:r>
          </w:p>
        </w:tc>
        <w:tc>
          <w:tcPr>
            <w:tcW w:w="1029" w:type="pct"/>
            <w:tcBorders>
              <w:top w:val="single" w:sz="4" w:space="0" w:color="auto"/>
            </w:tcBorders>
          </w:tcPr>
          <w:p w:rsidR="004F3B22" w:rsidRPr="00BA4A0E" w:rsidRDefault="004F3B22" w:rsidP="007E26E0">
            <w:pPr>
              <w:pStyle w:val="TableText"/>
              <w:jc w:val="center"/>
            </w:pPr>
          </w:p>
        </w:tc>
        <w:tc>
          <w:tcPr>
            <w:tcW w:w="154" w:type="pct"/>
            <w:tcBorders>
              <w:top w:val="single" w:sz="4" w:space="0" w:color="auto"/>
            </w:tcBorders>
          </w:tcPr>
          <w:p w:rsidR="004F3B22" w:rsidRPr="00BA4A0E" w:rsidRDefault="004F3B22" w:rsidP="007E26E0">
            <w:pPr>
              <w:pStyle w:val="TableText"/>
              <w:jc w:val="center"/>
            </w:pPr>
          </w:p>
        </w:tc>
        <w:tc>
          <w:tcPr>
            <w:tcW w:w="1029" w:type="pct"/>
            <w:tcBorders>
              <w:top w:val="single" w:sz="4" w:space="0" w:color="auto"/>
            </w:tcBorders>
          </w:tcPr>
          <w:p w:rsidR="004F3B22" w:rsidRPr="00BA4A0E" w:rsidRDefault="004F3B22" w:rsidP="007E26E0">
            <w:pPr>
              <w:pStyle w:val="TableText"/>
              <w:jc w:val="center"/>
            </w:pPr>
          </w:p>
        </w:tc>
        <w:tc>
          <w:tcPr>
            <w:tcW w:w="154" w:type="pct"/>
            <w:tcBorders>
              <w:top w:val="single" w:sz="4" w:space="0" w:color="auto"/>
            </w:tcBorders>
          </w:tcPr>
          <w:p w:rsidR="004F3B22" w:rsidRPr="00BA4A0E" w:rsidRDefault="004F3B22" w:rsidP="007E26E0">
            <w:pPr>
              <w:pStyle w:val="TableText"/>
              <w:jc w:val="center"/>
            </w:pPr>
          </w:p>
        </w:tc>
        <w:tc>
          <w:tcPr>
            <w:tcW w:w="1029" w:type="pct"/>
            <w:tcBorders>
              <w:top w:val="single" w:sz="4" w:space="0" w:color="auto"/>
            </w:tcBorders>
          </w:tcPr>
          <w:p w:rsidR="004F3B22" w:rsidRPr="00BA4A0E" w:rsidRDefault="004F3B22" w:rsidP="007E26E0">
            <w:pPr>
              <w:pStyle w:val="TableText"/>
              <w:jc w:val="center"/>
            </w:pPr>
          </w:p>
        </w:tc>
      </w:tr>
      <w:tr w:rsidR="004F3B22" w:rsidRPr="005271DB" w:rsidTr="00BF77D2">
        <w:tc>
          <w:tcPr>
            <w:tcW w:w="1605" w:type="pct"/>
          </w:tcPr>
          <w:p w:rsidR="004F3B22" w:rsidRPr="00BA4A0E" w:rsidRDefault="004F3B22" w:rsidP="0026009D">
            <w:pPr>
              <w:pStyle w:val="TableText"/>
            </w:pPr>
            <w:r w:rsidRPr="00BA4A0E">
              <w:t>Adult and dislocated workers</w:t>
            </w:r>
          </w:p>
        </w:tc>
        <w:tc>
          <w:tcPr>
            <w:tcW w:w="1029" w:type="pct"/>
          </w:tcPr>
          <w:p w:rsidR="004F3B22" w:rsidRPr="00BA4A0E" w:rsidRDefault="004F3B22" w:rsidP="001B458D">
            <w:pPr>
              <w:pStyle w:val="TableText"/>
              <w:jc w:val="center"/>
            </w:pPr>
            <w:r w:rsidRPr="00BA4A0E">
              <w:t>1</w:t>
            </w:r>
            <w:r>
              <w:t>27</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w:t>
            </w:r>
            <w:r>
              <w:t>27</w:t>
            </w:r>
          </w:p>
        </w:tc>
        <w:tc>
          <w:tcPr>
            <w:tcW w:w="154" w:type="pct"/>
          </w:tcPr>
          <w:p w:rsidR="004F3B22" w:rsidRPr="00BA4A0E" w:rsidRDefault="004F3B22" w:rsidP="007E26E0">
            <w:pPr>
              <w:pStyle w:val="TableText"/>
              <w:jc w:val="center"/>
            </w:pPr>
          </w:p>
        </w:tc>
        <w:tc>
          <w:tcPr>
            <w:tcW w:w="1029" w:type="pct"/>
          </w:tcPr>
          <w:p w:rsidR="004F3B22" w:rsidRPr="00BA4A0E" w:rsidRDefault="004F3B22" w:rsidP="007E26E0">
            <w:pPr>
              <w:pStyle w:val="TableText"/>
              <w:jc w:val="center"/>
            </w:pPr>
            <w:r w:rsidRPr="00BA4A0E">
              <w:t>15</w:t>
            </w:r>
            <w:r>
              <w:t>1</w:t>
            </w:r>
          </w:p>
        </w:tc>
      </w:tr>
      <w:tr w:rsidR="004F3B22" w:rsidRPr="005271DB" w:rsidTr="00BF77D2">
        <w:tc>
          <w:tcPr>
            <w:tcW w:w="1605" w:type="pct"/>
          </w:tcPr>
          <w:p w:rsidR="004F3B22" w:rsidRPr="00BA4A0E" w:rsidRDefault="004F3B22" w:rsidP="0026009D">
            <w:pPr>
              <w:pStyle w:val="TableText"/>
            </w:pPr>
            <w:r w:rsidRPr="00BA4A0E">
              <w:t>WIA training participants</w:t>
            </w:r>
          </w:p>
        </w:tc>
        <w:tc>
          <w:tcPr>
            <w:tcW w:w="1029" w:type="pct"/>
          </w:tcPr>
          <w:p w:rsidR="004F3B22" w:rsidRPr="00BA4A0E" w:rsidRDefault="004F3B22" w:rsidP="001B458D">
            <w:pPr>
              <w:pStyle w:val="TableText"/>
              <w:jc w:val="center"/>
            </w:pPr>
            <w:r w:rsidRPr="00BA4A0E">
              <w:t>2</w:t>
            </w:r>
            <w:r>
              <w:t>49</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2</w:t>
            </w:r>
            <w:r>
              <w:t>49</w:t>
            </w:r>
          </w:p>
        </w:tc>
        <w:tc>
          <w:tcPr>
            <w:tcW w:w="154" w:type="pct"/>
          </w:tcPr>
          <w:p w:rsidR="004F3B22" w:rsidRPr="00BA4A0E" w:rsidRDefault="004F3B22" w:rsidP="007E26E0">
            <w:pPr>
              <w:pStyle w:val="TableText"/>
              <w:jc w:val="center"/>
            </w:pPr>
          </w:p>
        </w:tc>
        <w:tc>
          <w:tcPr>
            <w:tcW w:w="1029" w:type="pct"/>
          </w:tcPr>
          <w:p w:rsidR="004F3B22" w:rsidRPr="00BA4A0E" w:rsidRDefault="004F3B22" w:rsidP="007E26E0">
            <w:pPr>
              <w:pStyle w:val="TableText"/>
              <w:jc w:val="center"/>
            </w:pPr>
            <w:r w:rsidRPr="00BA4A0E">
              <w:t>NA</w:t>
            </w:r>
          </w:p>
        </w:tc>
      </w:tr>
      <w:tr w:rsidR="004F3B22" w:rsidRPr="005271DB" w:rsidTr="00BF77D2">
        <w:tc>
          <w:tcPr>
            <w:tcW w:w="1605" w:type="pct"/>
          </w:tcPr>
          <w:p w:rsidR="004F3B22" w:rsidRPr="00BA4A0E" w:rsidRDefault="004F3B22" w:rsidP="0026009D">
            <w:pPr>
              <w:pStyle w:val="TableText"/>
            </w:pPr>
            <w:r w:rsidRPr="00BA4A0E">
              <w:t>Adults only</w:t>
            </w:r>
          </w:p>
        </w:tc>
        <w:tc>
          <w:tcPr>
            <w:tcW w:w="1029" w:type="pct"/>
          </w:tcPr>
          <w:p w:rsidR="004F3B22" w:rsidRPr="00BA4A0E" w:rsidRDefault="004F3B22" w:rsidP="001B458D">
            <w:pPr>
              <w:pStyle w:val="TableText"/>
              <w:jc w:val="center"/>
            </w:pPr>
            <w:r w:rsidRPr="00BA4A0E">
              <w:t>1</w:t>
            </w:r>
            <w:r>
              <w:t>27</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w:t>
            </w:r>
            <w:r>
              <w:t>27</w:t>
            </w:r>
          </w:p>
        </w:tc>
        <w:tc>
          <w:tcPr>
            <w:tcW w:w="154" w:type="pct"/>
          </w:tcPr>
          <w:p w:rsidR="004F3B22" w:rsidRPr="00BA4A0E" w:rsidRDefault="004F3B22" w:rsidP="007E26E0">
            <w:pPr>
              <w:pStyle w:val="TableText"/>
              <w:jc w:val="center"/>
            </w:pPr>
          </w:p>
        </w:tc>
        <w:tc>
          <w:tcPr>
            <w:tcW w:w="1029" w:type="pct"/>
          </w:tcPr>
          <w:p w:rsidR="004F3B22" w:rsidRPr="00BA4A0E" w:rsidRDefault="004F3B22" w:rsidP="007E26E0">
            <w:pPr>
              <w:pStyle w:val="TableText"/>
              <w:jc w:val="center"/>
            </w:pPr>
            <w:r w:rsidRPr="00BA4A0E">
              <w:t>1</w:t>
            </w:r>
            <w:r>
              <w:t>27</w:t>
            </w:r>
          </w:p>
        </w:tc>
      </w:tr>
      <w:tr w:rsidR="004F3B22" w:rsidRPr="005271DB" w:rsidTr="00BF77D2">
        <w:tc>
          <w:tcPr>
            <w:tcW w:w="1605" w:type="pct"/>
          </w:tcPr>
          <w:p w:rsidR="004F3B22" w:rsidRPr="00BA4A0E" w:rsidRDefault="004F3B22" w:rsidP="0026009D">
            <w:pPr>
              <w:pStyle w:val="TableText"/>
            </w:pPr>
            <w:r w:rsidRPr="00BA4A0E">
              <w:t>Dislocated workers only</w:t>
            </w:r>
          </w:p>
        </w:tc>
        <w:tc>
          <w:tcPr>
            <w:tcW w:w="1029" w:type="pct"/>
          </w:tcPr>
          <w:p w:rsidR="004F3B22" w:rsidRPr="00BA4A0E" w:rsidRDefault="004F3B22" w:rsidP="001B458D">
            <w:pPr>
              <w:pStyle w:val="TableText"/>
              <w:jc w:val="center"/>
            </w:pPr>
            <w:r w:rsidRPr="00BA4A0E">
              <w:t>14</w:t>
            </w:r>
            <w:r>
              <w:t>4</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14</w:t>
            </w:r>
            <w:r>
              <w:t>4</w:t>
            </w:r>
          </w:p>
        </w:tc>
        <w:tc>
          <w:tcPr>
            <w:tcW w:w="154" w:type="pct"/>
          </w:tcPr>
          <w:p w:rsidR="004F3B22" w:rsidRPr="00BA4A0E" w:rsidRDefault="004F3B22" w:rsidP="007E26E0">
            <w:pPr>
              <w:pStyle w:val="TableText"/>
              <w:jc w:val="center"/>
            </w:pPr>
          </w:p>
        </w:tc>
        <w:tc>
          <w:tcPr>
            <w:tcW w:w="1029" w:type="pct"/>
          </w:tcPr>
          <w:p w:rsidR="004F3B22" w:rsidRPr="00BA4A0E" w:rsidRDefault="004F3B22" w:rsidP="007E26E0">
            <w:pPr>
              <w:pStyle w:val="TableText"/>
              <w:jc w:val="center"/>
            </w:pPr>
            <w:r w:rsidRPr="00BA4A0E">
              <w:t>1</w:t>
            </w:r>
            <w:r>
              <w:t>57</w:t>
            </w:r>
          </w:p>
        </w:tc>
      </w:tr>
      <w:tr w:rsidR="004F3B22" w:rsidRPr="005271DB" w:rsidTr="00BF77D2">
        <w:tc>
          <w:tcPr>
            <w:tcW w:w="1605" w:type="pct"/>
          </w:tcPr>
          <w:p w:rsidR="004F3B22" w:rsidRPr="00BA4A0E" w:rsidRDefault="004F3B22" w:rsidP="0026009D">
            <w:pPr>
              <w:pStyle w:val="TableText"/>
            </w:pPr>
            <w:r w:rsidRPr="00BA4A0E">
              <w:t>50% subgroup of customers</w:t>
            </w:r>
          </w:p>
        </w:tc>
        <w:tc>
          <w:tcPr>
            <w:tcW w:w="1029" w:type="pct"/>
          </w:tcPr>
          <w:p w:rsidR="004F3B22" w:rsidRPr="00BA4A0E" w:rsidRDefault="004F3B22" w:rsidP="001B458D">
            <w:pPr>
              <w:pStyle w:val="TableText"/>
              <w:jc w:val="center"/>
            </w:pPr>
            <w:r w:rsidRPr="00BA4A0E">
              <w:t>13</w:t>
            </w:r>
            <w:r>
              <w:t>4</w:t>
            </w:r>
          </w:p>
        </w:tc>
        <w:tc>
          <w:tcPr>
            <w:tcW w:w="154" w:type="pct"/>
          </w:tcPr>
          <w:p w:rsidR="004F3B22" w:rsidRPr="00BA4A0E" w:rsidRDefault="004F3B22" w:rsidP="007E26E0">
            <w:pPr>
              <w:pStyle w:val="TableText"/>
              <w:jc w:val="center"/>
            </w:pPr>
          </w:p>
        </w:tc>
        <w:tc>
          <w:tcPr>
            <w:tcW w:w="1029" w:type="pct"/>
          </w:tcPr>
          <w:p w:rsidR="004F3B22" w:rsidRPr="00BA4A0E" w:rsidRDefault="004F3B22" w:rsidP="001B458D">
            <w:pPr>
              <w:pStyle w:val="TableText"/>
              <w:jc w:val="center"/>
            </w:pPr>
            <w:r w:rsidRPr="00BA4A0E">
              <w:t>13</w:t>
            </w:r>
            <w:r>
              <w:t>4</w:t>
            </w:r>
          </w:p>
        </w:tc>
        <w:tc>
          <w:tcPr>
            <w:tcW w:w="154" w:type="pct"/>
          </w:tcPr>
          <w:p w:rsidR="004F3B22" w:rsidRPr="00BA4A0E" w:rsidRDefault="004F3B22" w:rsidP="007E26E0">
            <w:pPr>
              <w:pStyle w:val="TableText"/>
              <w:jc w:val="center"/>
            </w:pPr>
          </w:p>
        </w:tc>
        <w:tc>
          <w:tcPr>
            <w:tcW w:w="1029" w:type="pct"/>
          </w:tcPr>
          <w:p w:rsidR="004F3B22" w:rsidRPr="00BA4A0E" w:rsidRDefault="004F3B22" w:rsidP="000958FA">
            <w:pPr>
              <w:pStyle w:val="TableText"/>
              <w:jc w:val="center"/>
            </w:pPr>
            <w:r w:rsidRPr="00BA4A0E">
              <w:t>16</w:t>
            </w:r>
            <w:r>
              <w:t>8</w:t>
            </w:r>
          </w:p>
        </w:tc>
      </w:tr>
      <w:tr w:rsidR="004F3B22" w:rsidRPr="005271DB" w:rsidTr="00BF77D2">
        <w:tc>
          <w:tcPr>
            <w:tcW w:w="1605" w:type="pct"/>
            <w:tcBorders>
              <w:bottom w:val="single" w:sz="4" w:space="0" w:color="auto"/>
            </w:tcBorders>
          </w:tcPr>
          <w:p w:rsidR="004F3B22" w:rsidRPr="00BA4A0E" w:rsidRDefault="004F3B22" w:rsidP="007E26E0">
            <w:pPr>
              <w:pStyle w:val="TableText"/>
              <w:spacing w:after="60"/>
            </w:pPr>
            <w:r w:rsidRPr="00BA4A0E">
              <w:t>50% subgroup of sites</w:t>
            </w:r>
          </w:p>
        </w:tc>
        <w:tc>
          <w:tcPr>
            <w:tcW w:w="1029" w:type="pct"/>
            <w:tcBorders>
              <w:bottom w:val="single" w:sz="4" w:space="0" w:color="auto"/>
            </w:tcBorders>
          </w:tcPr>
          <w:p w:rsidR="004F3B22" w:rsidRPr="00BA4A0E" w:rsidRDefault="004F3B22" w:rsidP="001B458D">
            <w:pPr>
              <w:pStyle w:val="TableText"/>
              <w:jc w:val="center"/>
            </w:pPr>
            <w:r w:rsidRPr="00BA4A0E">
              <w:t>1</w:t>
            </w:r>
            <w:r>
              <w:t>59</w:t>
            </w:r>
          </w:p>
        </w:tc>
        <w:tc>
          <w:tcPr>
            <w:tcW w:w="154" w:type="pct"/>
            <w:tcBorders>
              <w:bottom w:val="single" w:sz="4" w:space="0" w:color="auto"/>
            </w:tcBorders>
          </w:tcPr>
          <w:p w:rsidR="004F3B22" w:rsidRPr="00BA4A0E" w:rsidRDefault="004F3B22" w:rsidP="007E26E0">
            <w:pPr>
              <w:pStyle w:val="TableText"/>
              <w:jc w:val="center"/>
            </w:pPr>
          </w:p>
        </w:tc>
        <w:tc>
          <w:tcPr>
            <w:tcW w:w="1029" w:type="pct"/>
            <w:tcBorders>
              <w:bottom w:val="single" w:sz="4" w:space="0" w:color="auto"/>
            </w:tcBorders>
          </w:tcPr>
          <w:p w:rsidR="004F3B22" w:rsidRPr="00BA4A0E" w:rsidRDefault="004F3B22" w:rsidP="001B458D">
            <w:pPr>
              <w:pStyle w:val="TableText"/>
              <w:jc w:val="center"/>
            </w:pPr>
            <w:r w:rsidRPr="00BA4A0E">
              <w:t>1</w:t>
            </w:r>
            <w:r>
              <w:t>59</w:t>
            </w:r>
          </w:p>
        </w:tc>
        <w:tc>
          <w:tcPr>
            <w:tcW w:w="154" w:type="pct"/>
            <w:tcBorders>
              <w:bottom w:val="single" w:sz="4" w:space="0" w:color="auto"/>
            </w:tcBorders>
          </w:tcPr>
          <w:p w:rsidR="004F3B22" w:rsidRPr="00BA4A0E" w:rsidRDefault="004F3B22" w:rsidP="007E26E0">
            <w:pPr>
              <w:pStyle w:val="TableText"/>
              <w:jc w:val="center"/>
            </w:pPr>
          </w:p>
        </w:tc>
        <w:tc>
          <w:tcPr>
            <w:tcW w:w="1029" w:type="pct"/>
            <w:tcBorders>
              <w:bottom w:val="single" w:sz="4" w:space="0" w:color="auto"/>
            </w:tcBorders>
          </w:tcPr>
          <w:p w:rsidR="004F3B22" w:rsidRPr="00BA4A0E" w:rsidRDefault="004F3B22" w:rsidP="000958FA">
            <w:pPr>
              <w:pStyle w:val="TableText"/>
              <w:jc w:val="center"/>
            </w:pPr>
            <w:r w:rsidRPr="00BA4A0E">
              <w:t>1</w:t>
            </w:r>
            <w:r>
              <w:t>88</w:t>
            </w:r>
          </w:p>
        </w:tc>
      </w:tr>
    </w:tbl>
    <w:p w:rsidR="004F3B22" w:rsidRPr="001C0FB6" w:rsidRDefault="004F3B22" w:rsidP="007E26E0">
      <w:pPr>
        <w:pStyle w:val="TableSourceCaption"/>
        <w:spacing w:before="120"/>
      </w:pPr>
      <w:r w:rsidRPr="001C0FB6">
        <w:t>Notes:</w:t>
      </w:r>
      <w:r>
        <w:tab/>
      </w:r>
      <w:r w:rsidRPr="001C0FB6">
        <w:t>The MDI formula used for the calculations is as follows:</w:t>
      </w:r>
    </w:p>
    <w:p w:rsidR="004F3B22" w:rsidRPr="001C0FB6" w:rsidRDefault="004F3B22" w:rsidP="0026009D">
      <w:pPr>
        <w:pStyle w:val="TableSourceCaption"/>
      </w:pPr>
      <w:r>
        <w:tab/>
      </w:r>
      <w:r w:rsidRPr="004414A2">
        <w:rPr>
          <w:noProof/>
        </w:rPr>
        <w:pict>
          <v:shape id="Picture 156" o:spid="_x0000_i1094" type="#_x0000_t75" style="width:276.75pt;height:27.75pt;visibility:visible">
            <v:imagedata r:id="rId129" o:title=""/>
          </v:shape>
        </w:pict>
      </w:r>
    </w:p>
    <w:p w:rsidR="004F3B22" w:rsidRPr="001C0FB6" w:rsidRDefault="004F3B22" w:rsidP="0026009D">
      <w:pPr>
        <w:pStyle w:val="TableSourceCaption"/>
      </w:pPr>
      <w:r>
        <w:tab/>
      </w:r>
      <w:r w:rsidRPr="001C0FB6">
        <w:t xml:space="preserve">where </w:t>
      </w:r>
      <w:r>
        <w:rPr>
          <w:szCs w:val="18"/>
        </w:rPr>
        <w:sym w:font="Symbol" w:char="F073"/>
      </w:r>
      <w:r w:rsidRPr="001C0FB6">
        <w:t xml:space="preserve"> is the standard deviation of quarterly earnings ($1,250) based on results from previous similar studies, f is the finite population correction (0.247), r is the response rate (</w:t>
      </w:r>
      <w:r>
        <w:t>0</w:t>
      </w:r>
      <w:r w:rsidRPr="001C0FB6">
        <w:t>.</w:t>
      </w:r>
      <w:r>
        <w:t>82</w:t>
      </w:r>
      <w:r w:rsidRPr="001C0FB6">
        <w:t xml:space="preserve"> for the survey, 1.00 for administrative records), R</w:t>
      </w:r>
      <w:r w:rsidRPr="00403827">
        <w:rPr>
          <w:vertAlign w:val="superscript"/>
        </w:rPr>
        <w:t>2</w:t>
      </w:r>
      <w:r w:rsidRPr="001C0FB6">
        <w:t xml:space="preserve"> is 0.20 both within and across sites, the intraclass correlation </w:t>
      </w:r>
      <w:r>
        <w:rPr>
          <w:szCs w:val="18"/>
        </w:rPr>
        <w:sym w:font="Symbol" w:char="F072"/>
      </w:r>
      <w:r w:rsidRPr="001C0FB6">
        <w:t xml:space="preserve">  is 0.04, the correlation of treatment and control groups within sites c is 0.70, k1 and k2 are pertinent sample sizes for groups 1 and 2, and s is the total number of sites </w:t>
      </w:r>
      <w:r w:rsidRPr="00BA4A0E">
        <w:t>(26). The</w:t>
      </w:r>
      <w:r w:rsidRPr="001C0FB6">
        <w:t xml:space="preserve"> MDI calculations assume two-tailed tests, 80 percent power, and a </w:t>
      </w:r>
      <w:r>
        <w:t>five</w:t>
      </w:r>
      <w:r w:rsidRPr="001C0FB6">
        <w:t xml:space="preserve"> percent significance level that is adjusted for multiple testing using the Tukey-Kramer approach, yielding a factor of 3.19. For subgroup estimates, no multiple testing adjustment is made, yielding a factor of 2.80. To calculate the MDI on those who participate in training, the MDI for the full sample is divided by the estimated training rate of 51 percent.</w:t>
      </w:r>
      <w:r>
        <w:t xml:space="preserve"> NA = not applicable.</w:t>
      </w:r>
    </w:p>
    <w:p w:rsidR="004F3B22" w:rsidRDefault="004F3B22" w:rsidP="00AE4379">
      <w:pPr>
        <w:spacing w:line="240" w:lineRule="auto"/>
      </w:pPr>
    </w:p>
    <w:p w:rsidR="004F3B22" w:rsidRPr="001C0FB6" w:rsidRDefault="004F3B22" w:rsidP="00AE4379">
      <w:pPr>
        <w:pStyle w:val="Normalcontinued"/>
      </w:pPr>
      <w:r>
        <w:t>costs. The ITA Experiment found that the cost of WIA-funded training on average was about $3,200 per customer (McConnell et al. 2006). Hence, for the benefits from increased earnings to outweigh the costs of training, earnings would need to increase by more than $320 per quarter on average over the 30-month period. The MDIs are sufficiently small that we will be able to detect an impact as small as $320 per quarter for the full sample with either the survey or administrative data.</w:t>
      </w:r>
    </w:p>
    <w:p w:rsidR="004F3B22" w:rsidRPr="001C0FB6" w:rsidRDefault="004F3B22" w:rsidP="0026009D">
      <w:pPr>
        <w:pStyle w:val="Heading4"/>
      </w:pPr>
      <w:r w:rsidRPr="001C0FB6">
        <w:t>c.</w:t>
      </w:r>
      <w:r>
        <w:tab/>
      </w:r>
      <w:r w:rsidRPr="001C0FB6">
        <w:t>Analysis Methods and Degree of Accuracy for the Implementation Study</w:t>
      </w:r>
    </w:p>
    <w:p w:rsidR="004F3B22" w:rsidRDefault="004F3B22" w:rsidP="0026009D">
      <w:r w:rsidRPr="001C0FB6">
        <w:t xml:space="preserve">Part of the evaluation is an implementation analysis that will be used to document the program as it is currently implemented, support the interpretation of the net-impact estimates, and document the extent to which the study sites are faithful to the evaluation procedures. The main sources of data for the implementation analysis are two site visits that will be conducted to each of the </w:t>
      </w:r>
      <w:r>
        <w:t>study sites</w:t>
      </w:r>
      <w:r w:rsidRPr="001C0FB6">
        <w:t xml:space="preserve">. The first round of visits will be scheduled early in the sample intake period in order to ensure that deviations from evaluation procedures are detected and corrected quickly. The second round of visits will occur toward the end of the intake period and will allow the research team to collect cost data and document any changes that occurred during the study. </w:t>
      </w:r>
    </w:p>
    <w:p w:rsidR="004F3B22" w:rsidRPr="001C0FB6" w:rsidRDefault="004F3B22" w:rsidP="0026009D">
      <w:r w:rsidRPr="001C0FB6">
        <w:t>During each round</w:t>
      </w:r>
      <w:r>
        <w:t xml:space="preserve"> of visits</w:t>
      </w:r>
      <w:r w:rsidRPr="001C0FB6">
        <w:t xml:space="preserve">, One-Stop Career Centers that conduct intake and enrollment will be visited. </w:t>
      </w:r>
      <w:r>
        <w:t xml:space="preserve">In some LWIAs, all the centers will be visited. In the larger LWIAs, we do not have the resources to visit all centers. Instead, we will place the centers into geographical clusters in which it would be possible to visit all the centers in the cluster. We will then randomly select a cluster of centers to visit. </w:t>
      </w:r>
      <w:r w:rsidRPr="001C0FB6">
        <w:t xml:space="preserve">Specific on-site activities may vary somewhat from site to site, although it is expected that the activities will include interviews with a variety of respondents, observations of program activities, reviews of individual case files and program documents, and group interviews with customers. </w:t>
      </w:r>
    </w:p>
    <w:p w:rsidR="004F3B22" w:rsidRPr="001C0FB6" w:rsidRDefault="004F3B22" w:rsidP="0026009D">
      <w:r w:rsidRPr="001C0FB6">
        <w:t xml:space="preserve">An important part of the implementation study will be ensuring the accuracy and reliability of both the data and the conclusions derived through analysis of the data. As described in more detail in Section B.3, strategies to ensure that the data are reliable and as nearly complete as possible include flexibility in scheduling of visits and the assurance given to respondents of confidentiality of the information that they provide. Furthermore, the protocols used to collect the data and the training of the visitors will facilitate a high degree of accuracy in the data. In addition, shortly after each site visit, the visitors will synthesize the data from each interview, observation, and group discussion to the requirements of a structured write-up guide. Because most questions will be asked of more than one respondent during a visit, the analysis will allow for the triangulation of the data so that discrepancies among different respondents can be interpreted. </w:t>
      </w:r>
    </w:p>
    <w:p w:rsidR="004F3B22" w:rsidRPr="001C0FB6" w:rsidRDefault="004F3B22" w:rsidP="00AE4379">
      <w:r w:rsidRPr="001C0FB6">
        <w:t xml:space="preserve">Because the WIA program differs by LWIA, and because it operates in very different environments, there is no single, precise, and uniform implementation experience at LWIAs across the country. In recognition of this, the analysis will identify both themes that span across the </w:t>
      </w:r>
      <w:r>
        <w:t>study sites</w:t>
      </w:r>
      <w:r w:rsidRPr="001C0FB6">
        <w:t xml:space="preserve"> and distinctive features or patterns that occur in only a subset of the </w:t>
      </w:r>
      <w:r>
        <w:t>study sites</w:t>
      </w:r>
      <w:r w:rsidRPr="001C0FB6">
        <w:t xml:space="preserve">. </w:t>
      </w:r>
    </w:p>
    <w:p w:rsidR="004F3B22" w:rsidRPr="001C0FB6" w:rsidRDefault="004F3B22" w:rsidP="0026009D">
      <w:pPr>
        <w:pStyle w:val="Heading3"/>
      </w:pPr>
      <w:bookmarkStart w:id="24" w:name="_Toc256427936"/>
      <w:bookmarkStart w:id="25" w:name="_Toc260919982"/>
      <w:bookmarkStart w:id="26" w:name="_Toc260921565"/>
      <w:bookmarkStart w:id="27" w:name="_Toc261004994"/>
      <w:bookmarkStart w:id="28" w:name="_Toc262106072"/>
      <w:bookmarkStart w:id="29" w:name="_Toc262106515"/>
      <w:bookmarkStart w:id="30" w:name="_Toc262205791"/>
      <w:bookmarkStart w:id="31" w:name="_Toc286661041"/>
      <w:r w:rsidRPr="001C0FB6">
        <w:t>3.</w:t>
      </w:r>
      <w:r>
        <w:tab/>
      </w:r>
      <w:r w:rsidRPr="001C0FB6">
        <w:t>Methods to Maximize Response Rates and Data Reliability</w:t>
      </w:r>
      <w:bookmarkEnd w:id="24"/>
      <w:bookmarkEnd w:id="25"/>
      <w:bookmarkEnd w:id="26"/>
      <w:bookmarkEnd w:id="27"/>
      <w:bookmarkEnd w:id="28"/>
      <w:bookmarkEnd w:id="29"/>
      <w:bookmarkEnd w:id="30"/>
      <w:bookmarkEnd w:id="31"/>
    </w:p>
    <w:p w:rsidR="004F3B22" w:rsidRPr="001C0FB6" w:rsidRDefault="004F3B22" w:rsidP="00AE4379">
      <w:r w:rsidRPr="001C0FB6">
        <w:t xml:space="preserve">This study is requesting approval for the use of a set of forms to be </w:t>
      </w:r>
      <w:r>
        <w:t>completed</w:t>
      </w:r>
      <w:r w:rsidRPr="001C0FB6">
        <w:t xml:space="preserve"> as sample members go through an intake process, as well as protocols to be used during visits to study sites. The methods to maximize response rates and data reliability are discussed first for the intake forms and then for the site visit protocols.</w:t>
      </w:r>
      <w:r>
        <w:t xml:space="preserve"> Approaches to maximize the response rate to the survey will be discussed in the second part of the submission for this clearance request, which we will submit later. </w:t>
      </w:r>
      <w:r w:rsidRPr="00C46F93">
        <w:t>No data have yet been collected on potential study participants (including customers and program staff).</w:t>
      </w:r>
    </w:p>
    <w:p w:rsidR="004F3B22" w:rsidRPr="001C0FB6" w:rsidRDefault="004F3B22" w:rsidP="0026009D">
      <w:pPr>
        <w:pStyle w:val="Heading4"/>
      </w:pPr>
      <w:r w:rsidRPr="001C0FB6">
        <w:t>a.</w:t>
      </w:r>
      <w:r>
        <w:tab/>
      </w:r>
      <w:r w:rsidRPr="001C0FB6">
        <w:t>Intake Documents:  The Consent Form, the SRF, and the CIF</w:t>
      </w:r>
    </w:p>
    <w:p w:rsidR="004F3B22" w:rsidRPr="001C0FB6" w:rsidRDefault="004F3B22" w:rsidP="0026009D">
      <w:r w:rsidRPr="001C0FB6">
        <w:rPr>
          <w:b/>
          <w:bCs/>
          <w:iCs/>
        </w:rPr>
        <w:t xml:space="preserve">Response rates. </w:t>
      </w:r>
      <w:r w:rsidRPr="001C0FB6">
        <w:t>Written consent is required to participate in the evaluation. Therefore, all study participants will complete three forms as part of the enrollment process</w:t>
      </w:r>
      <w:r>
        <w:t>—</w:t>
      </w:r>
      <w:r w:rsidRPr="001C0FB6">
        <w:t xml:space="preserve">the consent form, the SRF, and the CIF. </w:t>
      </w:r>
    </w:p>
    <w:p w:rsidR="004F3B22" w:rsidRPr="001C0FB6" w:rsidRDefault="004F3B22" w:rsidP="0026009D">
      <w:r w:rsidRPr="001C0FB6">
        <w:t>The methods to maximize response rates for these forms will be based on approaches that have been successfully used in many other studies to ensure that the study is clearly explained to both customers and staff and that the forms are easy to understand and complete. Staff will be thoroughly trained on how to address customers</w:t>
      </w:r>
      <w:r>
        <w:t>’</w:t>
      </w:r>
      <w:r w:rsidRPr="001C0FB6">
        <w:t xml:space="preserve"> questions about the form and its questions. WIA staff will be provided a site-specific operational procedures manual, contact information for members of the research team, and more detailed information about the study. </w:t>
      </w:r>
    </w:p>
    <w:p w:rsidR="004F3B22" w:rsidRPr="001C0FB6" w:rsidRDefault="004F3B22" w:rsidP="0026009D">
      <w:r w:rsidRPr="001C0FB6">
        <w:t xml:space="preserve">Furthermore, the forms are designed to be easy to complete. The forms are written in clear and straightforward language. The time required for customers to complete all three forms is estimated at 13 minutes, on average. In addition, the forms will be available in Spanish to accommodate Spanish-speaking customers. For customers with low-literacy, WIA staff will administer the forms to the customer. </w:t>
      </w:r>
    </w:p>
    <w:p w:rsidR="004F3B22" w:rsidRPr="001C0FB6" w:rsidRDefault="004F3B22" w:rsidP="00AE4379">
      <w:r w:rsidRPr="001C0FB6">
        <w:rPr>
          <w:b/>
          <w:bCs/>
          <w:iCs/>
        </w:rPr>
        <w:t xml:space="preserve">Data reliability. </w:t>
      </w:r>
      <w:r w:rsidRPr="001C0FB6">
        <w:t xml:space="preserve">All three forms required at intake are unique to the current evaluation and will be used across all WIA program sites, ensuring consistency in the use of the forms and in the collected data. The forms have been extensively reviewed by project staff and staff at DOL and have been thoroughly tested in a pretest involving seven WIA customers from nonparticipating sites. </w:t>
      </w:r>
    </w:p>
    <w:p w:rsidR="004F3B22" w:rsidRPr="001C0FB6" w:rsidRDefault="004F3B22" w:rsidP="0026009D">
      <w:pPr>
        <w:pStyle w:val="Heading4"/>
      </w:pPr>
      <w:r w:rsidRPr="001C0FB6">
        <w:t>b.</w:t>
      </w:r>
      <w:r>
        <w:tab/>
      </w:r>
      <w:r w:rsidRPr="001C0FB6">
        <w:t>Site Visit Data</w:t>
      </w:r>
    </w:p>
    <w:p w:rsidR="004F3B22" w:rsidRPr="001C0FB6" w:rsidRDefault="004F3B22" w:rsidP="0026009D">
      <w:r w:rsidRPr="001C0FB6">
        <w:rPr>
          <w:b/>
          <w:bCs/>
          <w:iCs/>
        </w:rPr>
        <w:t xml:space="preserve">Response rates. </w:t>
      </w:r>
      <w:r w:rsidRPr="001C0FB6">
        <w:t>The strategy to collect implementation study data during site visits will ensure that response rates are high and that the data are reliable. The process to recruit sites for participation in the study will include an explanation of the nature of the visits, so administrators w</w:t>
      </w:r>
      <w:r>
        <w:t>er</w:t>
      </w:r>
      <w:r w:rsidRPr="001C0FB6">
        <w:t>e aware of what is expected of them when they agree</w:t>
      </w:r>
      <w:r>
        <w:t>d</w:t>
      </w:r>
      <w:r w:rsidRPr="001C0FB6">
        <w:t xml:space="preserve"> to participate. Site visitors will begin working with site staff well in advance of each visit to ensure that the timing of the visit is convenient. Each round of site visits will take place over a period of months, which also will allow flexibility in timing. Because the visits will involve several interviews and activities each day, there will be flexibility in the scheduling of specific interviews and activities to accommodate the particular needs of respondents and One-Stop Career Center operations. </w:t>
      </w:r>
    </w:p>
    <w:p w:rsidR="004F3B22" w:rsidRDefault="004F3B22" w:rsidP="00AE4379">
      <w:r w:rsidRPr="001C0FB6">
        <w:rPr>
          <w:b/>
          <w:bCs/>
          <w:iCs/>
        </w:rPr>
        <w:t xml:space="preserve">Data reliability. </w:t>
      </w:r>
      <w:r w:rsidRPr="001C0FB6">
        <w:t xml:space="preserve">Several well-proven strategies will be used to ensure the reliability of the data. First, site visitors, most of whom already have extensive experience with this data collection method, will be thoroughly trained in the issues of importance to this particular study, including how to probe for additional details to help interpret responses to interview questions. Second, this training and the use of the protocols will ensure that the data are collected in a standardized way across sites. When appropriate, the protocols use standardized checklists to further ensure that the information is collected systematically. Finally, all interview respondents will be assured of the confidentiality of their responses to questions. </w:t>
      </w:r>
    </w:p>
    <w:p w:rsidR="004F3B22" w:rsidRPr="001C0FB6" w:rsidRDefault="004F3B22" w:rsidP="00D96ECF">
      <w:pPr>
        <w:spacing w:line="240" w:lineRule="auto"/>
      </w:pPr>
    </w:p>
    <w:p w:rsidR="004F3B22" w:rsidRPr="001C0FB6" w:rsidRDefault="004F3B22" w:rsidP="0026009D">
      <w:pPr>
        <w:pStyle w:val="Heading3"/>
      </w:pPr>
      <w:bookmarkStart w:id="32" w:name="_Toc256427937"/>
      <w:bookmarkStart w:id="33" w:name="_Toc260919983"/>
      <w:bookmarkStart w:id="34" w:name="_Toc260921566"/>
      <w:bookmarkStart w:id="35" w:name="_Toc261004995"/>
      <w:bookmarkStart w:id="36" w:name="_Toc262106073"/>
      <w:bookmarkStart w:id="37" w:name="_Toc262106516"/>
      <w:bookmarkStart w:id="38" w:name="_Toc262205792"/>
      <w:bookmarkStart w:id="39" w:name="_Toc286661042"/>
      <w:r w:rsidRPr="001C0FB6">
        <w:t>4.</w:t>
      </w:r>
      <w:r>
        <w:tab/>
      </w:r>
      <w:r w:rsidRPr="001C0FB6">
        <w:t>Tests of Procedures or Methods</w:t>
      </w:r>
      <w:bookmarkEnd w:id="32"/>
      <w:bookmarkEnd w:id="33"/>
      <w:bookmarkEnd w:id="34"/>
      <w:bookmarkEnd w:id="35"/>
      <w:bookmarkEnd w:id="36"/>
      <w:bookmarkEnd w:id="37"/>
      <w:bookmarkEnd w:id="38"/>
      <w:bookmarkEnd w:id="39"/>
    </w:p>
    <w:p w:rsidR="004F3B22" w:rsidRPr="001C0FB6" w:rsidRDefault="004F3B22" w:rsidP="0026009D">
      <w:r w:rsidRPr="001C0FB6">
        <w:rPr>
          <w:b/>
          <w:bCs/>
          <w:iCs/>
        </w:rPr>
        <w:t xml:space="preserve">Intake process. </w:t>
      </w:r>
      <w:r w:rsidRPr="001C0FB6">
        <w:t>The three forms planned as part of the intake process have been thoroughly tested with nonparticipating WIA customers at a One-Stop Center local to Mathematica</w:t>
      </w:r>
      <w:r>
        <w:t>’</w:t>
      </w:r>
      <w:r w:rsidRPr="001C0FB6">
        <w:t xml:space="preserve">s New Jersey offices. Seven customers participated in the pilot test. After the forms were completed by each pilot test participant, project staff debriefed each participant using a standard debriefing protocol to determine if any words or questions were difficult to understand and answer. No major problems were uncovered in the pilot test. However, some minor formatting and wording changes were made as a result of the test. A memo detailing the pilot test results is included as Appendix E. Since the full-scale evaluation will not be conducted at the pilot test One-Stop Career Center, participants were given a small incentive of $25 for their time. No monetary incentive is planned for actual study participants. </w:t>
      </w:r>
    </w:p>
    <w:p w:rsidR="004F3B22" w:rsidRPr="001C0FB6" w:rsidRDefault="004F3B22" w:rsidP="0026009D">
      <w:r w:rsidRPr="001C0FB6">
        <w:t xml:space="preserve">Completion of all three forms took an average of 13 minutes by WIA customers. </w:t>
      </w:r>
    </w:p>
    <w:p w:rsidR="004F3B22" w:rsidRPr="001C0FB6" w:rsidRDefault="004F3B22" w:rsidP="00AE4379">
      <w:r w:rsidRPr="001C0FB6">
        <w:rPr>
          <w:b/>
          <w:bCs/>
          <w:iCs/>
        </w:rPr>
        <w:t xml:space="preserve">Site visits. </w:t>
      </w:r>
      <w:r w:rsidRPr="001C0FB6">
        <w:t xml:space="preserve">To ensure that the site visit protocols are used effectively as field guides and that they yield comprehensive and comparable data across the </w:t>
      </w:r>
      <w:r>
        <w:t>study sites</w:t>
      </w:r>
      <w:r w:rsidRPr="001C0FB6">
        <w:t>, senior research team members will conduct a pilot site visit before each of the two rounds of site visits. The purposes of the pilot tests are to ensure that the field protocols, which will guide field researchers as they collect data on site, include appropriate probes that assist site visitors in delving deeply into topics of interest and that the protocols do not omit relevant topics of inquiry. Furthermore, use of the protocols during a pilot site visit can enable the research staff leading this task to assess that the site visit agenda that the research team develops</w:t>
      </w:r>
      <w:r>
        <w:t>—</w:t>
      </w:r>
      <w:r w:rsidRPr="001C0FB6">
        <w:t>including how data collection activities should generally be structured during each site visit</w:t>
      </w:r>
      <w:r>
        <w:t>—</w:t>
      </w:r>
      <w:r w:rsidRPr="001C0FB6">
        <w:t>is practical given the amount of data that is to be collected and the amount of time allotted for each data collection activity. Adjustments to the site visit guides will be made as necessary.</w:t>
      </w:r>
    </w:p>
    <w:p w:rsidR="004F3B22" w:rsidRPr="001C0FB6" w:rsidRDefault="004F3B22" w:rsidP="0026009D">
      <w:pPr>
        <w:pStyle w:val="Heading3"/>
      </w:pPr>
      <w:bookmarkStart w:id="40" w:name="_Toc256427938"/>
      <w:bookmarkStart w:id="41" w:name="_Toc260919984"/>
      <w:bookmarkStart w:id="42" w:name="_Toc260921567"/>
      <w:bookmarkStart w:id="43" w:name="_Toc261004996"/>
      <w:bookmarkStart w:id="44" w:name="_Toc262106074"/>
      <w:bookmarkStart w:id="45" w:name="_Toc262106517"/>
      <w:bookmarkStart w:id="46" w:name="_Toc262205793"/>
      <w:bookmarkStart w:id="47" w:name="_Toc286661043"/>
      <w:r w:rsidRPr="001C0FB6">
        <w:t>5.</w:t>
      </w:r>
      <w:r>
        <w:tab/>
      </w:r>
      <w:r w:rsidRPr="001C0FB6">
        <w:t>Individuals Consulted on Statistical Methods</w:t>
      </w:r>
      <w:bookmarkEnd w:id="40"/>
      <w:bookmarkEnd w:id="41"/>
      <w:bookmarkEnd w:id="42"/>
      <w:bookmarkEnd w:id="43"/>
      <w:bookmarkEnd w:id="44"/>
      <w:bookmarkEnd w:id="45"/>
      <w:bookmarkEnd w:id="46"/>
      <w:bookmarkEnd w:id="47"/>
    </w:p>
    <w:p w:rsidR="004F3B22" w:rsidRPr="001C0FB6" w:rsidRDefault="004F3B22" w:rsidP="00AE4379">
      <w:r w:rsidRPr="001C0FB6">
        <w:t xml:space="preserve">Consultations on the statistical methods used in this study have been used to ensure the technical soundness of the study. The following individuals were consulted on the statistical methods discussed in this submission to OMB:   </w:t>
      </w:r>
    </w:p>
    <w:p w:rsidR="004F3B22" w:rsidRPr="001C0FB6" w:rsidRDefault="004F3B22" w:rsidP="0026009D">
      <w:r w:rsidRPr="001C0FB6">
        <w:t>Mathematica Policy Research</w:t>
      </w:r>
    </w:p>
    <w:p w:rsidR="004F3B22" w:rsidRPr="001C0FB6" w:rsidRDefault="004F3B22" w:rsidP="0026009D">
      <w:r w:rsidRPr="001C0FB6">
        <w:t>Dr. Kenneth Fortson</w:t>
      </w:r>
      <w:r>
        <w:tab/>
      </w:r>
      <w:r>
        <w:tab/>
      </w:r>
      <w:r>
        <w:tab/>
      </w:r>
      <w:r w:rsidRPr="001C0FB6">
        <w:t>(510) 830-3711</w:t>
      </w:r>
    </w:p>
    <w:p w:rsidR="004F3B22" w:rsidRPr="001C0FB6" w:rsidRDefault="004F3B22" w:rsidP="0026009D">
      <w:pPr>
        <w:rPr>
          <w:lang w:val="it-IT"/>
        </w:rPr>
      </w:pPr>
      <w:r w:rsidRPr="001C0FB6">
        <w:rPr>
          <w:lang w:val="it-IT"/>
        </w:rPr>
        <w:t>Dr. Annalisa Mastri</w:t>
      </w:r>
      <w:r>
        <w:rPr>
          <w:lang w:val="it-IT"/>
        </w:rPr>
        <w:tab/>
      </w:r>
      <w:r>
        <w:rPr>
          <w:lang w:val="it-IT"/>
        </w:rPr>
        <w:tab/>
      </w:r>
      <w:r>
        <w:rPr>
          <w:lang w:val="it-IT"/>
        </w:rPr>
        <w:tab/>
      </w:r>
      <w:r w:rsidRPr="001C0FB6">
        <w:rPr>
          <w:lang w:val="it-IT"/>
        </w:rPr>
        <w:t>(609) 275-2390</w:t>
      </w:r>
    </w:p>
    <w:p w:rsidR="004F3B22" w:rsidRPr="001C0FB6" w:rsidRDefault="004F3B22" w:rsidP="0026009D">
      <w:pPr>
        <w:rPr>
          <w:lang w:val="it-IT"/>
        </w:rPr>
      </w:pPr>
      <w:r w:rsidRPr="001C0FB6">
        <w:rPr>
          <w:lang w:val="it-IT"/>
        </w:rPr>
        <w:t>Dr. Sheena McConnell</w:t>
      </w:r>
      <w:r>
        <w:rPr>
          <w:lang w:val="it-IT"/>
        </w:rPr>
        <w:tab/>
      </w:r>
      <w:r>
        <w:rPr>
          <w:lang w:val="it-IT"/>
        </w:rPr>
        <w:tab/>
      </w:r>
      <w:r>
        <w:rPr>
          <w:lang w:val="it-IT"/>
        </w:rPr>
        <w:tab/>
      </w:r>
      <w:r w:rsidRPr="001C0FB6">
        <w:rPr>
          <w:lang w:val="it-IT"/>
        </w:rPr>
        <w:t>(202) 484-4518</w:t>
      </w:r>
    </w:p>
    <w:p w:rsidR="004F3B22" w:rsidRPr="001C0FB6" w:rsidRDefault="004F3B22" w:rsidP="0026009D">
      <w:r w:rsidRPr="001C0FB6">
        <w:t>Dr. Karen Needels</w:t>
      </w:r>
      <w:r>
        <w:tab/>
      </w:r>
      <w:r>
        <w:tab/>
      </w:r>
      <w:r>
        <w:tab/>
      </w:r>
      <w:r w:rsidRPr="001C0FB6">
        <w:t>(541) 753-0201</w:t>
      </w:r>
    </w:p>
    <w:p w:rsidR="004F3B22" w:rsidRDefault="004F3B22" w:rsidP="0026009D">
      <w:bookmarkStart w:id="48" w:name="resolved"/>
      <w:r w:rsidRPr="001C0FB6">
        <w:t>Dr</w:t>
      </w:r>
      <w:bookmarkEnd w:id="48"/>
      <w:r w:rsidRPr="001C0FB6">
        <w:t>. Natalya Verbitsky Savitz</w:t>
      </w:r>
      <w:r>
        <w:tab/>
      </w:r>
      <w:r w:rsidRPr="001C0FB6">
        <w:t>(202) 554-7521</w:t>
      </w:r>
    </w:p>
    <w:p w:rsidR="004F3B22" w:rsidRPr="001C0FB6" w:rsidRDefault="004F3B22" w:rsidP="0026009D">
      <w:r>
        <w:t>Dr. Allen Schirm</w:t>
      </w:r>
      <w:r>
        <w:tab/>
      </w:r>
      <w:r>
        <w:tab/>
      </w:r>
      <w:r>
        <w:tab/>
      </w:r>
      <w:r>
        <w:tab/>
        <w:t>(202) 484-4686</w:t>
      </w:r>
    </w:p>
    <w:p w:rsidR="004F3B22" w:rsidRPr="001C0FB6" w:rsidRDefault="004F3B22" w:rsidP="0026009D">
      <w:r w:rsidRPr="001C0FB6">
        <w:t>Dr. Peter Schochet</w:t>
      </w:r>
      <w:r>
        <w:tab/>
      </w:r>
      <w:r>
        <w:tab/>
      </w:r>
      <w:r>
        <w:tab/>
      </w:r>
      <w:r w:rsidRPr="001C0FB6">
        <w:t>(609) 936-2783</w:t>
      </w:r>
    </w:p>
    <w:p w:rsidR="004F3B22" w:rsidRPr="001C0FB6" w:rsidRDefault="004F3B22" w:rsidP="0026009D">
      <w:r w:rsidRPr="001C0FB6">
        <w:t>Social Policy Research Associates</w:t>
      </w:r>
    </w:p>
    <w:p w:rsidR="004F3B22" w:rsidRPr="001C0FB6" w:rsidRDefault="004F3B22" w:rsidP="0026009D">
      <w:r w:rsidRPr="001C0FB6">
        <w:t>Dr. Ronald D</w:t>
      </w:r>
      <w:r>
        <w:t>’</w:t>
      </w:r>
      <w:r w:rsidRPr="001C0FB6">
        <w:t>Amico</w:t>
      </w:r>
      <w:r>
        <w:tab/>
      </w:r>
      <w:r>
        <w:tab/>
      </w:r>
      <w:r>
        <w:tab/>
      </w:r>
      <w:r w:rsidRPr="001C0FB6">
        <w:t>(510) 763-1499 (x628)</w:t>
      </w:r>
    </w:p>
    <w:p w:rsidR="004F3B22" w:rsidRPr="001C0FB6" w:rsidRDefault="004F3B22" w:rsidP="0026009D">
      <w:r w:rsidRPr="001C0FB6">
        <w:t xml:space="preserve">Dr. Andrew Wiegand </w:t>
      </w:r>
      <w:r>
        <w:tab/>
      </w:r>
      <w:r>
        <w:tab/>
      </w:r>
      <w:r>
        <w:tab/>
      </w:r>
      <w:r w:rsidRPr="001C0FB6">
        <w:t>(510) 763-1499 (x636)</w:t>
      </w:r>
    </w:p>
    <w:p w:rsidR="004F3B22" w:rsidRPr="001C0FB6" w:rsidRDefault="004F3B22" w:rsidP="0026009D"/>
    <w:p w:rsidR="004F3B22" w:rsidRPr="001C0FB6" w:rsidRDefault="004F3B22" w:rsidP="0026009D"/>
    <w:p w:rsidR="004F3B22" w:rsidRPr="001C0FB6" w:rsidRDefault="004F3B22" w:rsidP="00A6161D">
      <w:pPr>
        <w:pStyle w:val="Heading1Black"/>
      </w:pPr>
      <w:r>
        <w:br w:type="page"/>
      </w:r>
      <w:bookmarkStart w:id="49" w:name="_Toc262106075"/>
      <w:bookmarkStart w:id="50" w:name="_Toc262106518"/>
      <w:bookmarkStart w:id="51" w:name="_Toc286661044"/>
      <w:r w:rsidRPr="001C0FB6">
        <w:t>REFERENCES</w:t>
      </w:r>
      <w:bookmarkEnd w:id="49"/>
      <w:bookmarkEnd w:id="50"/>
      <w:bookmarkEnd w:id="51"/>
    </w:p>
    <w:p w:rsidR="004F3B22" w:rsidRPr="001C0FB6" w:rsidRDefault="004F3B22" w:rsidP="0026009D">
      <w:pPr>
        <w:pStyle w:val="References"/>
      </w:pPr>
      <w:r w:rsidRPr="001C0FB6">
        <w:t>Angrist, J., G. Imbens, and D. Rubin. “Identification of Causal Effects Using Instrumental Variables.” Journal of the American Statistical Association, vol. 91, no. 434, 1996, pp. 444</w:t>
      </w:r>
      <w:r>
        <w:t>–</w:t>
      </w:r>
      <w:r w:rsidRPr="001C0FB6">
        <w:t xml:space="preserve">455. </w:t>
      </w:r>
    </w:p>
    <w:p w:rsidR="004F3B22" w:rsidRPr="001C0FB6" w:rsidRDefault="004F3B22" w:rsidP="0026009D">
      <w:pPr>
        <w:pStyle w:val="References"/>
      </w:pPr>
      <w:r w:rsidRPr="001C0FB6">
        <w:t xml:space="preserve">Bloom, H. S. “Accounting for No-Shows in Experimental Evaluation Designs.” </w:t>
      </w:r>
      <w:r w:rsidRPr="001C0FB6">
        <w:rPr>
          <w:rStyle w:val="Emphasis"/>
          <w:i w:val="0"/>
          <w:iCs w:val="0"/>
        </w:rPr>
        <w:t>Evaluation Review</w:t>
      </w:r>
      <w:r w:rsidRPr="001C0FB6">
        <w:t>, vol. 8, no. 2, 1984, pp. 225</w:t>
      </w:r>
      <w:r w:rsidRPr="00D44A33">
        <w:t>–</w:t>
      </w:r>
      <w:r w:rsidRPr="001C0FB6">
        <w:t>246.</w:t>
      </w:r>
    </w:p>
    <w:p w:rsidR="004F3B22" w:rsidRPr="001C0FB6" w:rsidRDefault="004F3B22" w:rsidP="0026009D">
      <w:pPr>
        <w:pStyle w:val="References"/>
      </w:pPr>
      <w:r w:rsidRPr="001C0FB6">
        <w:t xml:space="preserve">Bloom, H. S., L. L. Orr, G. Cave, S. H. Bell, and F. Doolittle. “The National JTPA Study:  </w:t>
      </w:r>
      <w:r w:rsidRPr="00D44A33">
        <w:br/>
      </w:r>
      <w:r w:rsidRPr="001C0FB6">
        <w:t>Title II-A Impacts on Earnings and Employment at 18 Months.” Bethesda, MD: Abt Associates, 1993.</w:t>
      </w:r>
    </w:p>
    <w:p w:rsidR="004F3B22" w:rsidRDefault="004F3B22" w:rsidP="0026009D">
      <w:pPr>
        <w:pStyle w:val="References"/>
      </w:pPr>
      <w:r w:rsidRPr="001C0FB6">
        <w:t>Byrk, A., and S. Raudenbush. Hierarchical Linear Models for Social and Behavioral Research. Applications and Data Analysis Methods. Newbury Park, CA:  Sage, 1992.</w:t>
      </w:r>
    </w:p>
    <w:p w:rsidR="004F3B22" w:rsidRPr="001C0FB6" w:rsidRDefault="004F3B22" w:rsidP="0026009D">
      <w:pPr>
        <w:pStyle w:val="References"/>
      </w:pPr>
      <w:r>
        <w:t xml:space="preserve">Dion, M, S. Avellar, H. Zaveri, and A. Hershey. </w:t>
      </w:r>
      <w:r w:rsidRPr="001C0FB6">
        <w:t xml:space="preserve"> </w:t>
      </w:r>
      <w:r>
        <w:t xml:space="preserve">Implementing Health Marriage Programs for Unmarried Couples. Report prepared for the U.S. Department of Health and Human Services. Mathematica Policy Research, 2006. </w:t>
      </w:r>
    </w:p>
    <w:p w:rsidR="004F3B22" w:rsidRDefault="004F3B22" w:rsidP="0026009D">
      <w:pPr>
        <w:pStyle w:val="References"/>
      </w:pPr>
      <w:r w:rsidRPr="001C0FB6">
        <w:t>Kramer, C. Y. “Extension of the Multiple Range Test to Group Means with Unequal Numbers of Replications.” Biometrics, vol. 12, 1956, pp. 307</w:t>
      </w:r>
      <w:r w:rsidRPr="00D44A33">
        <w:t>–</w:t>
      </w:r>
      <w:r w:rsidRPr="001C0FB6">
        <w:t xml:space="preserve">310. </w:t>
      </w:r>
    </w:p>
    <w:p w:rsidR="004F3B22" w:rsidRDefault="004F3B22" w:rsidP="0026009D">
      <w:pPr>
        <w:pStyle w:val="References"/>
      </w:pPr>
      <w:r w:rsidRPr="00814AB4">
        <w:t>McConnell, S, E Stuart, K</w:t>
      </w:r>
      <w:r>
        <w:t>.</w:t>
      </w:r>
      <w:r w:rsidRPr="00814AB4">
        <w:t xml:space="preserve"> Fortson and others. “Managing Customers’ Training Choices:  Findings from the Individual Training Account Experiment.” Report prepared for the U.S. Department of Labor, Employment and Training Administration (December 2006). </w:t>
      </w:r>
    </w:p>
    <w:p w:rsidR="004F3B22" w:rsidRDefault="004F3B22" w:rsidP="0026009D">
      <w:pPr>
        <w:pStyle w:val="References"/>
      </w:pPr>
      <w:r>
        <w:t>MDRC Board of Directors. Summary and Findings of the National Supported Work Demonstration. MDRC: New York City.</w:t>
      </w:r>
    </w:p>
    <w:p w:rsidR="004F3B22" w:rsidRPr="00433461" w:rsidRDefault="004F3B22" w:rsidP="009D13CC">
      <w:pPr>
        <w:pStyle w:val="References"/>
      </w:pPr>
      <w:r>
        <w:t>Murray, D. (1998).</w:t>
      </w:r>
      <w:r w:rsidRPr="00433461">
        <w:t xml:space="preserve"> </w:t>
      </w:r>
      <w:r w:rsidRPr="00433461">
        <w:rPr>
          <w:i/>
          <w:iCs/>
        </w:rPr>
        <w:t>Design and Analysis of Group-Randomized Trials</w:t>
      </w:r>
      <w:r w:rsidRPr="00433461">
        <w:t>.  Oxford: Oxford University Press.</w:t>
      </w:r>
    </w:p>
    <w:p w:rsidR="004F3B22" w:rsidRDefault="004F3B22" w:rsidP="009D13CC">
      <w:pPr>
        <w:pStyle w:val="References"/>
        <w:rPr>
          <w:rStyle w:val="citation"/>
        </w:rPr>
      </w:pPr>
      <w:r w:rsidRPr="007118DD">
        <w:rPr>
          <w:rStyle w:val="citation"/>
        </w:rPr>
        <w:t xml:space="preserve">Pocock, Stuart (1983). </w:t>
      </w:r>
      <w:r w:rsidRPr="007118DD">
        <w:rPr>
          <w:rStyle w:val="citation"/>
          <w:i/>
          <w:iCs/>
        </w:rPr>
        <w:t>Clinical Trials: A Practical Approach</w:t>
      </w:r>
      <w:r w:rsidRPr="007118DD">
        <w:rPr>
          <w:rStyle w:val="citation"/>
        </w:rPr>
        <w:t>. Wiley-Blackwell.</w:t>
      </w:r>
    </w:p>
    <w:p w:rsidR="004F3B22" w:rsidRDefault="004F3B22" w:rsidP="009D13CC">
      <w:pPr>
        <w:pStyle w:val="References"/>
        <w:rPr>
          <w:rStyle w:val="citation"/>
        </w:rPr>
      </w:pPr>
      <w:r>
        <w:rPr>
          <w:rStyle w:val="citation"/>
        </w:rPr>
        <w:t>Puma, Michael, Robert Olsen, Stephen Bell, and Cristofer Price. “What to Do When Data Are Missing in Group Randomized Controlled Trials.” U.S. Department of Education, Technical Methods Report, NCEE 20090049</w:t>
      </w:r>
    </w:p>
    <w:p w:rsidR="004F3B22" w:rsidRDefault="004F3B22" w:rsidP="009031E9">
      <w:pPr>
        <w:pStyle w:val="References"/>
      </w:pPr>
      <w:r>
        <w:t xml:space="preserve">Rubin, D.B. (1976) Inference and missing data. </w:t>
      </w:r>
      <w:r>
        <w:rPr>
          <w:rStyle w:val="Emphasis"/>
        </w:rPr>
        <w:t>Biometrika</w:t>
      </w:r>
      <w:r>
        <w:t xml:space="preserve">, 63, 581-592. </w:t>
      </w:r>
    </w:p>
    <w:p w:rsidR="004F3B22" w:rsidRDefault="004F3B22" w:rsidP="009031E9">
      <w:pPr>
        <w:pStyle w:val="References"/>
      </w:pPr>
      <w:r>
        <w:t xml:space="preserve">Rubin, D.B. (1987) </w:t>
      </w:r>
      <w:r>
        <w:rPr>
          <w:rStyle w:val="Emphasis"/>
        </w:rPr>
        <w:t>Multiple Imputation for Nonresponse in Surveys</w:t>
      </w:r>
      <w:r>
        <w:t>. J. Wiley &amp; Sons, New York.</w:t>
      </w:r>
    </w:p>
    <w:p w:rsidR="004F3B22" w:rsidRDefault="004F3B22" w:rsidP="009031E9">
      <w:pPr>
        <w:pStyle w:val="References"/>
      </w:pPr>
      <w:r>
        <w:t xml:space="preserve">Schochet, Peter Z. (2011).  National Evaluation of the Trade Adjustment Assistance Program: Methodological Notes on the Impact Analysis. Forthcoming report to be submitted to the U.S. Department of Labor.   </w:t>
      </w:r>
    </w:p>
    <w:p w:rsidR="004F3B22" w:rsidRDefault="004F3B22" w:rsidP="008974BB">
      <w:pPr>
        <w:pStyle w:val="References"/>
      </w:pPr>
      <w:r>
        <w:t xml:space="preserve">Schochet, Peter Z., John Burghardt, and Sheena McConnell (2008). Does Job Corps Work? Impact Findings from the National Job Corps Study. </w:t>
      </w:r>
      <w:r>
        <w:rPr>
          <w:i/>
          <w:iCs/>
        </w:rPr>
        <w:t xml:space="preserve">American Economic Review, </w:t>
      </w:r>
      <w:r w:rsidRPr="007976FE">
        <w:rPr>
          <w:iCs/>
        </w:rPr>
        <w:t>vol. 68, no. 5,</w:t>
      </w:r>
      <w:r>
        <w:rPr>
          <w:iCs/>
        </w:rPr>
        <w:t xml:space="preserve"> December 2008, 1864-1886</w:t>
      </w:r>
      <w:r>
        <w:t>.</w:t>
      </w:r>
    </w:p>
    <w:p w:rsidR="004F3B22" w:rsidRDefault="004F3B22" w:rsidP="008974BB">
      <w:pPr>
        <w:pStyle w:val="References"/>
      </w:pPr>
      <w:r>
        <w:t xml:space="preserve">Schochet, Peter Z. and John Burghardt (2007), “Using Propensity Scoring Techniques to Estimate Program-Related Subgroup Impacts in Experimental Program Evaluations.” </w:t>
      </w:r>
      <w:r w:rsidRPr="002C67AA">
        <w:rPr>
          <w:i/>
        </w:rPr>
        <w:t>Evaluation Review</w:t>
      </w:r>
      <w:r>
        <w:t>, vol. 31 no 2, April.</w:t>
      </w:r>
    </w:p>
    <w:p w:rsidR="004F3B22" w:rsidRDefault="004F3B22" w:rsidP="009D13CC">
      <w:pPr>
        <w:pStyle w:val="References"/>
      </w:pPr>
      <w:r w:rsidRPr="001C0FB6">
        <w:t xml:space="preserve">Schochet, P. Z. “Guidelines for Multiple Testing in Impact Evaluations of Educational Interventions.” Princeton, NJ:  Mathematica Policy Research, 2008. </w:t>
      </w:r>
    </w:p>
    <w:p w:rsidR="004F3B22" w:rsidRPr="00433461" w:rsidRDefault="004F3B22" w:rsidP="009D13CC">
      <w:pPr>
        <w:pStyle w:val="References"/>
      </w:pPr>
      <w:r w:rsidRPr="00433461">
        <w:t xml:space="preserve">Schochet, Peter Z. (2008). Statistical Power for Random Assignment Evaluations of Education Programs. </w:t>
      </w:r>
      <w:r w:rsidRPr="00433461">
        <w:rPr>
          <w:i/>
          <w:iCs/>
        </w:rPr>
        <w:t>Journal of Educational and Behavioral Statistics</w:t>
      </w:r>
      <w:r w:rsidRPr="00433461">
        <w:rPr>
          <w:i/>
        </w:rPr>
        <w:t>,</w:t>
      </w:r>
      <w:r w:rsidRPr="00433461">
        <w:t xml:space="preserve"> vol. 33, no. 1, March 2008, 62-87.</w:t>
      </w:r>
    </w:p>
    <w:p w:rsidR="004F3B22" w:rsidRDefault="004F3B22" w:rsidP="0026009D">
      <w:pPr>
        <w:pStyle w:val="References"/>
      </w:pPr>
      <w:r>
        <w:t xml:space="preserve">Schochet, P.Z., S. McConnell, and J, Burghardt. “National Job Corps Study: Findings Using Administrative Earnings Records Data.” </w:t>
      </w:r>
      <w:r w:rsidRPr="00814AB4">
        <w:t>Report prepared for the U.S. Department of Labor, Employment and Traini</w:t>
      </w:r>
      <w:r>
        <w:t>ng Administration (October 2003</w:t>
      </w:r>
      <w:r w:rsidRPr="00814AB4">
        <w:t>).</w:t>
      </w:r>
    </w:p>
    <w:p w:rsidR="004F3B22" w:rsidRDefault="004F3B22" w:rsidP="0026009D">
      <w:pPr>
        <w:pStyle w:val="References"/>
      </w:pPr>
      <w:r>
        <w:t xml:space="preserve">Schochet, P.Z., J. Burghardt, and S. Glazerman. “National Job Corps Study: The Impacts of Job Corps on Participants’ Employment and Related Outcomes.” </w:t>
      </w:r>
      <w:r w:rsidRPr="00814AB4">
        <w:t>Report prepared for the U.S. Department of Labor, Employment and Traini</w:t>
      </w:r>
      <w:r>
        <w:t>ng Administration (June 2001</w:t>
      </w:r>
      <w:r w:rsidRPr="00814AB4">
        <w:t>).</w:t>
      </w:r>
    </w:p>
    <w:p w:rsidR="004F3B22" w:rsidRPr="001C0FB6" w:rsidRDefault="004F3B22" w:rsidP="0026009D">
      <w:pPr>
        <w:pStyle w:val="References"/>
      </w:pPr>
      <w:r w:rsidRPr="001C0FB6">
        <w:t>Tukey, J. W. “The Problem of Multiple Comparisons.” In Mimeographed Notes. Princeton, N</w:t>
      </w:r>
      <w:r>
        <w:t>J:  Princeton University, 1953.</w:t>
      </w:r>
    </w:p>
    <w:sectPr w:rsidR="004F3B22" w:rsidRPr="001C0FB6" w:rsidSect="003A7D66">
      <w:footerReference w:type="even" r:id="rId130"/>
      <w:footerReference w:type="default" r:id="rId13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B22" w:rsidRDefault="004F3B22" w:rsidP="0026009D"/>
  </w:endnote>
  <w:endnote w:type="continuationSeparator" w:id="0">
    <w:p w:rsidR="004F3B22" w:rsidRDefault="004F3B22" w:rsidP="0026009D"/>
  </w:endnote>
  <w:endnote w:type="continuationNotice" w:id="1">
    <w:p w:rsidR="004F3B22" w:rsidRDefault="004F3B22" w:rsidP="0026009D"/>
    <w:p w:rsidR="004F3B22" w:rsidRDefault="004F3B22" w:rsidP="0026009D"/>
    <w:p w:rsidR="004F3B22" w:rsidRDefault="004F3B22" w:rsidP="0026009D">
      <w:r>
        <w:rPr>
          <w:b/>
          <w:snapToGrid w:val="0"/>
        </w:rPr>
        <w:t>DRAFT</w:t>
      </w:r>
      <w:r>
        <w:rPr>
          <w:snapToGrid w:val="0"/>
        </w:rPr>
        <w:t xml:space="preserve"> </w:t>
      </w:r>
      <w:r>
        <w:rPr>
          <w:snapToGrid w:val="0"/>
        </w:rPr>
        <w:fldChar w:fldCharType="begin"/>
      </w:r>
      <w:r>
        <w:rPr>
          <w:snapToGrid w:val="0"/>
        </w:rPr>
        <w:instrText xml:space="preserve"> FILENAME \p </w:instrText>
      </w:r>
      <w:r>
        <w:rPr>
          <w:snapToGrid w:val="0"/>
        </w:rPr>
        <w:fldChar w:fldCharType="separate"/>
      </w:r>
      <w:r>
        <w:rPr>
          <w:noProof/>
          <w:snapToGrid w:val="0"/>
        </w:rPr>
        <w:t>C:\Documents and Settings\pederson.eileen\Local Settings\Temporary Internet Files\OLK1D\omb part b Sept 20.docx</w:t>
      </w:r>
      <w:r>
        <w:rPr>
          <w:snapToGrid w:val="0"/>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22" w:rsidRDefault="004F3B22" w:rsidP="002600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F3B22" w:rsidRDefault="004F3B22" w:rsidP="002600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22" w:rsidRDefault="004F3B22" w:rsidP="00B75286">
    <w:pPr>
      <w:pStyle w:val="Footer"/>
      <w:spacing w:before="12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B22" w:rsidRDefault="004F3B22" w:rsidP="0026009D">
      <w:r>
        <w:separator/>
      </w:r>
    </w:p>
  </w:footnote>
  <w:footnote w:type="continuationSeparator" w:id="0">
    <w:p w:rsidR="004F3B22" w:rsidRDefault="004F3B22" w:rsidP="0026009D">
      <w:r>
        <w:separator/>
      </w:r>
    </w:p>
    <w:p w:rsidR="004F3B22" w:rsidRDefault="004F3B22" w:rsidP="0026009D">
      <w:r>
        <w:t>(continued)</w:t>
      </w:r>
    </w:p>
  </w:footnote>
  <w:footnote w:type="continuationNotice" w:id="1">
    <w:p w:rsidR="004F3B22" w:rsidRDefault="004F3B22" w:rsidP="0026009D">
      <w:pPr>
        <w:pStyle w:val="Footer"/>
      </w:pPr>
    </w:p>
  </w:footnote>
  <w:footnote w:id="2">
    <w:p w:rsidR="004F3B22" w:rsidRDefault="004F3B22" w:rsidP="0026009D">
      <w:pPr>
        <w:pStyle w:val="FootnoteText"/>
      </w:pPr>
      <w:r>
        <w:rPr>
          <w:rStyle w:val="FootnoteReference"/>
        </w:rPr>
        <w:footnoteRef/>
      </w:r>
      <w:r>
        <w:t xml:space="preserve"> In the draft package, this form was called the Baseline Information Form (BIF). We changed the name in response to comments made by staff at the study sites.</w:t>
      </w:r>
    </w:p>
  </w:footnote>
  <w:footnote w:id="3">
    <w:p w:rsidR="004F3B22" w:rsidRDefault="004F3B22" w:rsidP="0026009D">
      <w:pPr>
        <w:pStyle w:val="FootnoteText"/>
      </w:pPr>
      <w:r>
        <w:rPr>
          <w:rStyle w:val="FootnoteReference"/>
        </w:rPr>
        <w:footnoteRef/>
      </w:r>
      <w:r>
        <w:t xml:space="preserve"> </w:t>
      </w:r>
      <w:r w:rsidRPr="000C242E">
        <w:t>http://www.mathematica-mpr.com/publications/PDFs/managecust.pdf</w:t>
      </w:r>
    </w:p>
  </w:footnote>
  <w:footnote w:id="4">
    <w:p w:rsidR="004F3B22" w:rsidRDefault="004F3B22" w:rsidP="0026009D">
      <w:pPr>
        <w:pStyle w:val="FootnoteText"/>
      </w:pPr>
      <w:r>
        <w:rPr>
          <w:rStyle w:val="FootnoteReference"/>
        </w:rPr>
        <w:footnoteRef/>
      </w:r>
      <w:r>
        <w:t xml:space="preserve"> The sampling strategy is designed to generalize to the full population of WIA sites at the time of the study (excluding small sites and sites not on the U.S. mainland), so the finite population correction is appropriate for the site-level term in the variance formula.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19D5BFD"/>
    <w:multiLevelType w:val="hybridMultilevel"/>
    <w:tmpl w:val="ABAA0928"/>
    <w:lvl w:ilvl="0" w:tplc="61A0D0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4F177BEC"/>
    <w:multiLevelType w:val="hybridMultilevel"/>
    <w:tmpl w:val="19FAF484"/>
    <w:lvl w:ilvl="0" w:tplc="0409000F">
      <w:start w:val="1"/>
      <w:numFmt w:val="decimal"/>
      <w:lvlText w:val="%1."/>
      <w:lvlJc w:val="left"/>
      <w:pPr>
        <w:ind w:left="720" w:hanging="360"/>
      </w:pPr>
      <w:rPr>
        <w:rFonts w:cs="Times New Roman"/>
      </w:rPr>
    </w:lvl>
    <w:lvl w:ilvl="1" w:tplc="330CDA6E">
      <w:start w:val="1"/>
      <w:numFmt w:val="lowerLetter"/>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9"/>
    <w:lvlOverride w:ilvl="0">
      <w:startOverride w:val="1"/>
    </w:lvlOverride>
  </w:num>
  <w:num w:numId="18">
    <w:abstractNumId w:val="9"/>
    <w:lvlOverride w:ilvl="0">
      <w:startOverride w:val="1"/>
    </w:lvlOverride>
  </w:num>
  <w:num w:numId="19">
    <w:abstractNumId w:val="9"/>
  </w:num>
  <w:num w:numId="20">
    <w:abstractNumId w:val="9"/>
  </w:num>
  <w:num w:numId="21">
    <w:abstractNumId w:val="9"/>
  </w:num>
  <w:num w:numId="22">
    <w:abstractNumId w:val="9"/>
    <w:lvlOverride w:ilvl="0">
      <w:startOverride w:val="1"/>
    </w:lvlOverride>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F71"/>
    <w:rsid w:val="000015FB"/>
    <w:rsid w:val="00002AB6"/>
    <w:rsid w:val="00006E1F"/>
    <w:rsid w:val="00007745"/>
    <w:rsid w:val="00007CA0"/>
    <w:rsid w:val="0001166E"/>
    <w:rsid w:val="00012372"/>
    <w:rsid w:val="00012863"/>
    <w:rsid w:val="00017DD1"/>
    <w:rsid w:val="000203CE"/>
    <w:rsid w:val="00021A62"/>
    <w:rsid w:val="000300AF"/>
    <w:rsid w:val="000308E6"/>
    <w:rsid w:val="000343AD"/>
    <w:rsid w:val="00035085"/>
    <w:rsid w:val="00037098"/>
    <w:rsid w:val="00040D26"/>
    <w:rsid w:val="00046CA3"/>
    <w:rsid w:val="00046E51"/>
    <w:rsid w:val="0005056B"/>
    <w:rsid w:val="00051F7E"/>
    <w:rsid w:val="00052499"/>
    <w:rsid w:val="00053968"/>
    <w:rsid w:val="000561F0"/>
    <w:rsid w:val="00061A31"/>
    <w:rsid w:val="00062577"/>
    <w:rsid w:val="00063123"/>
    <w:rsid w:val="00063781"/>
    <w:rsid w:val="00063FEF"/>
    <w:rsid w:val="00066AB9"/>
    <w:rsid w:val="00076441"/>
    <w:rsid w:val="000769A1"/>
    <w:rsid w:val="00076CF0"/>
    <w:rsid w:val="000800FE"/>
    <w:rsid w:val="00080DFA"/>
    <w:rsid w:val="000812AE"/>
    <w:rsid w:val="00081D47"/>
    <w:rsid w:val="00086E69"/>
    <w:rsid w:val="00090529"/>
    <w:rsid w:val="000958FA"/>
    <w:rsid w:val="000A4439"/>
    <w:rsid w:val="000A544F"/>
    <w:rsid w:val="000B2BD0"/>
    <w:rsid w:val="000B3A77"/>
    <w:rsid w:val="000B434F"/>
    <w:rsid w:val="000B7028"/>
    <w:rsid w:val="000B7E70"/>
    <w:rsid w:val="000C0118"/>
    <w:rsid w:val="000C15B4"/>
    <w:rsid w:val="000C242E"/>
    <w:rsid w:val="000C70DC"/>
    <w:rsid w:val="000C72F8"/>
    <w:rsid w:val="000C7892"/>
    <w:rsid w:val="000D0E4B"/>
    <w:rsid w:val="000D52A5"/>
    <w:rsid w:val="000D5C52"/>
    <w:rsid w:val="000D709F"/>
    <w:rsid w:val="000E1D9E"/>
    <w:rsid w:val="000E2399"/>
    <w:rsid w:val="000E6D11"/>
    <w:rsid w:val="000F5D4A"/>
    <w:rsid w:val="000F79B9"/>
    <w:rsid w:val="000F7CB8"/>
    <w:rsid w:val="00105D23"/>
    <w:rsid w:val="001073C9"/>
    <w:rsid w:val="00114AB8"/>
    <w:rsid w:val="00124B77"/>
    <w:rsid w:val="00130424"/>
    <w:rsid w:val="001327C9"/>
    <w:rsid w:val="0013282C"/>
    <w:rsid w:val="00132E2F"/>
    <w:rsid w:val="00135AF5"/>
    <w:rsid w:val="00140F67"/>
    <w:rsid w:val="00141646"/>
    <w:rsid w:val="00141705"/>
    <w:rsid w:val="00141A0B"/>
    <w:rsid w:val="001425AF"/>
    <w:rsid w:val="00142AE3"/>
    <w:rsid w:val="00144DA7"/>
    <w:rsid w:val="00157F5D"/>
    <w:rsid w:val="00160306"/>
    <w:rsid w:val="0016055B"/>
    <w:rsid w:val="00160585"/>
    <w:rsid w:val="00160E09"/>
    <w:rsid w:val="00162191"/>
    <w:rsid w:val="00162E1F"/>
    <w:rsid w:val="00175D20"/>
    <w:rsid w:val="00177846"/>
    <w:rsid w:val="00181F53"/>
    <w:rsid w:val="0018564C"/>
    <w:rsid w:val="001859F5"/>
    <w:rsid w:val="00190C13"/>
    <w:rsid w:val="001933B1"/>
    <w:rsid w:val="001A07D4"/>
    <w:rsid w:val="001A0B59"/>
    <w:rsid w:val="001A384C"/>
    <w:rsid w:val="001A4419"/>
    <w:rsid w:val="001A583C"/>
    <w:rsid w:val="001A6BD7"/>
    <w:rsid w:val="001B360E"/>
    <w:rsid w:val="001B458D"/>
    <w:rsid w:val="001C0FB6"/>
    <w:rsid w:val="001C1CA1"/>
    <w:rsid w:val="001C41F3"/>
    <w:rsid w:val="001C5C55"/>
    <w:rsid w:val="001C6D08"/>
    <w:rsid w:val="001D247C"/>
    <w:rsid w:val="001D3C41"/>
    <w:rsid w:val="001D48F2"/>
    <w:rsid w:val="001D634E"/>
    <w:rsid w:val="001E0AB2"/>
    <w:rsid w:val="001E466A"/>
    <w:rsid w:val="001F1CCF"/>
    <w:rsid w:val="001F5410"/>
    <w:rsid w:val="00200B10"/>
    <w:rsid w:val="00200CC4"/>
    <w:rsid w:val="00201935"/>
    <w:rsid w:val="002053F3"/>
    <w:rsid w:val="00205452"/>
    <w:rsid w:val="00206261"/>
    <w:rsid w:val="00211BE3"/>
    <w:rsid w:val="00214167"/>
    <w:rsid w:val="00217C4C"/>
    <w:rsid w:val="0022402B"/>
    <w:rsid w:val="00224417"/>
    <w:rsid w:val="00231319"/>
    <w:rsid w:val="00236122"/>
    <w:rsid w:val="002368A0"/>
    <w:rsid w:val="00243909"/>
    <w:rsid w:val="00243DEE"/>
    <w:rsid w:val="0025182E"/>
    <w:rsid w:val="00252BAC"/>
    <w:rsid w:val="00254531"/>
    <w:rsid w:val="0026009D"/>
    <w:rsid w:val="0026099F"/>
    <w:rsid w:val="002613D2"/>
    <w:rsid w:val="00264716"/>
    <w:rsid w:val="00266416"/>
    <w:rsid w:val="0026788A"/>
    <w:rsid w:val="00267F6C"/>
    <w:rsid w:val="00271B2B"/>
    <w:rsid w:val="00280AB2"/>
    <w:rsid w:val="00280AF9"/>
    <w:rsid w:val="00281368"/>
    <w:rsid w:val="00281C08"/>
    <w:rsid w:val="00282FD0"/>
    <w:rsid w:val="00284366"/>
    <w:rsid w:val="00284557"/>
    <w:rsid w:val="002849EE"/>
    <w:rsid w:val="00287403"/>
    <w:rsid w:val="00287FD7"/>
    <w:rsid w:val="002921C5"/>
    <w:rsid w:val="002942FB"/>
    <w:rsid w:val="00294A92"/>
    <w:rsid w:val="002A0847"/>
    <w:rsid w:val="002A1ADA"/>
    <w:rsid w:val="002A28C9"/>
    <w:rsid w:val="002A5292"/>
    <w:rsid w:val="002A70E7"/>
    <w:rsid w:val="002A7359"/>
    <w:rsid w:val="002B1593"/>
    <w:rsid w:val="002B68A5"/>
    <w:rsid w:val="002B6DA0"/>
    <w:rsid w:val="002C2B54"/>
    <w:rsid w:val="002C413C"/>
    <w:rsid w:val="002C44E1"/>
    <w:rsid w:val="002C64E8"/>
    <w:rsid w:val="002C67AA"/>
    <w:rsid w:val="002C7011"/>
    <w:rsid w:val="002C7096"/>
    <w:rsid w:val="002C734A"/>
    <w:rsid w:val="002C7787"/>
    <w:rsid w:val="002D0978"/>
    <w:rsid w:val="002D0A34"/>
    <w:rsid w:val="002D279D"/>
    <w:rsid w:val="002D3BF4"/>
    <w:rsid w:val="002D6999"/>
    <w:rsid w:val="002E053E"/>
    <w:rsid w:val="002F1E71"/>
    <w:rsid w:val="002F440B"/>
    <w:rsid w:val="002F71D4"/>
    <w:rsid w:val="002F7C83"/>
    <w:rsid w:val="00300CE3"/>
    <w:rsid w:val="00303CF8"/>
    <w:rsid w:val="00313109"/>
    <w:rsid w:val="00313671"/>
    <w:rsid w:val="0031389B"/>
    <w:rsid w:val="00313E69"/>
    <w:rsid w:val="003142E6"/>
    <w:rsid w:val="00317EDA"/>
    <w:rsid w:val="00320EB3"/>
    <w:rsid w:val="00336A60"/>
    <w:rsid w:val="00342479"/>
    <w:rsid w:val="00342CD8"/>
    <w:rsid w:val="00343A0C"/>
    <w:rsid w:val="00350399"/>
    <w:rsid w:val="003505D0"/>
    <w:rsid w:val="00350E63"/>
    <w:rsid w:val="00351EB5"/>
    <w:rsid w:val="00352257"/>
    <w:rsid w:val="00353544"/>
    <w:rsid w:val="00353E51"/>
    <w:rsid w:val="00354942"/>
    <w:rsid w:val="00354C34"/>
    <w:rsid w:val="0035674B"/>
    <w:rsid w:val="003607F3"/>
    <w:rsid w:val="00362133"/>
    <w:rsid w:val="00372AB1"/>
    <w:rsid w:val="00374549"/>
    <w:rsid w:val="00381A96"/>
    <w:rsid w:val="00381B5C"/>
    <w:rsid w:val="00386508"/>
    <w:rsid w:val="00392D2B"/>
    <w:rsid w:val="00394752"/>
    <w:rsid w:val="00396ACF"/>
    <w:rsid w:val="00397425"/>
    <w:rsid w:val="003A0BC3"/>
    <w:rsid w:val="003A1506"/>
    <w:rsid w:val="003A1774"/>
    <w:rsid w:val="003A17E0"/>
    <w:rsid w:val="003A26BB"/>
    <w:rsid w:val="003A7D66"/>
    <w:rsid w:val="003B1FFC"/>
    <w:rsid w:val="003B2D68"/>
    <w:rsid w:val="003B303A"/>
    <w:rsid w:val="003C0A5F"/>
    <w:rsid w:val="003C27A1"/>
    <w:rsid w:val="003C57EB"/>
    <w:rsid w:val="003D77B2"/>
    <w:rsid w:val="003E05E2"/>
    <w:rsid w:val="003E0A97"/>
    <w:rsid w:val="003E0D48"/>
    <w:rsid w:val="003E4DE6"/>
    <w:rsid w:val="003F0F5F"/>
    <w:rsid w:val="00401627"/>
    <w:rsid w:val="00403827"/>
    <w:rsid w:val="004062C6"/>
    <w:rsid w:val="0040780A"/>
    <w:rsid w:val="00410D8F"/>
    <w:rsid w:val="00410F60"/>
    <w:rsid w:val="004118E0"/>
    <w:rsid w:val="00411CD8"/>
    <w:rsid w:val="00412D08"/>
    <w:rsid w:val="00414FF6"/>
    <w:rsid w:val="004178CB"/>
    <w:rsid w:val="00417B7A"/>
    <w:rsid w:val="00420FBA"/>
    <w:rsid w:val="0042391D"/>
    <w:rsid w:val="0042461E"/>
    <w:rsid w:val="00426EBD"/>
    <w:rsid w:val="00433461"/>
    <w:rsid w:val="004338D1"/>
    <w:rsid w:val="004414A2"/>
    <w:rsid w:val="0044551C"/>
    <w:rsid w:val="00446472"/>
    <w:rsid w:val="00446C44"/>
    <w:rsid w:val="00446CE2"/>
    <w:rsid w:val="00447C62"/>
    <w:rsid w:val="00450873"/>
    <w:rsid w:val="00454EBC"/>
    <w:rsid w:val="00455C7B"/>
    <w:rsid w:val="00463045"/>
    <w:rsid w:val="0046491B"/>
    <w:rsid w:val="00474405"/>
    <w:rsid w:val="0047478B"/>
    <w:rsid w:val="00475483"/>
    <w:rsid w:val="00475B7F"/>
    <w:rsid w:val="00475D28"/>
    <w:rsid w:val="00475DC5"/>
    <w:rsid w:val="0047656E"/>
    <w:rsid w:val="00476CB1"/>
    <w:rsid w:val="00490847"/>
    <w:rsid w:val="00492B73"/>
    <w:rsid w:val="00492D63"/>
    <w:rsid w:val="00496069"/>
    <w:rsid w:val="004A0392"/>
    <w:rsid w:val="004A071B"/>
    <w:rsid w:val="004A40B0"/>
    <w:rsid w:val="004A46CC"/>
    <w:rsid w:val="004A5205"/>
    <w:rsid w:val="004A6613"/>
    <w:rsid w:val="004A778F"/>
    <w:rsid w:val="004B0D54"/>
    <w:rsid w:val="004C4DB8"/>
    <w:rsid w:val="004D62CD"/>
    <w:rsid w:val="004D7E67"/>
    <w:rsid w:val="004E01E1"/>
    <w:rsid w:val="004E6251"/>
    <w:rsid w:val="004E7D79"/>
    <w:rsid w:val="004F0B74"/>
    <w:rsid w:val="004F3B22"/>
    <w:rsid w:val="004F493C"/>
    <w:rsid w:val="004F6C63"/>
    <w:rsid w:val="004F716D"/>
    <w:rsid w:val="00514703"/>
    <w:rsid w:val="00520297"/>
    <w:rsid w:val="005235C3"/>
    <w:rsid w:val="00523DA7"/>
    <w:rsid w:val="00525772"/>
    <w:rsid w:val="005271DB"/>
    <w:rsid w:val="005310D9"/>
    <w:rsid w:val="00531424"/>
    <w:rsid w:val="005344F5"/>
    <w:rsid w:val="005361B0"/>
    <w:rsid w:val="00537AA1"/>
    <w:rsid w:val="00537F22"/>
    <w:rsid w:val="00542523"/>
    <w:rsid w:val="0054495D"/>
    <w:rsid w:val="00547A47"/>
    <w:rsid w:val="00552F71"/>
    <w:rsid w:val="00554324"/>
    <w:rsid w:val="00555629"/>
    <w:rsid w:val="00556E68"/>
    <w:rsid w:val="00557FE1"/>
    <w:rsid w:val="005604DC"/>
    <w:rsid w:val="005637D0"/>
    <w:rsid w:val="0056487B"/>
    <w:rsid w:val="005658C3"/>
    <w:rsid w:val="00567396"/>
    <w:rsid w:val="005811B3"/>
    <w:rsid w:val="00581EE2"/>
    <w:rsid w:val="00582CD2"/>
    <w:rsid w:val="00583141"/>
    <w:rsid w:val="00584664"/>
    <w:rsid w:val="0058753C"/>
    <w:rsid w:val="00591AE6"/>
    <w:rsid w:val="00592E1A"/>
    <w:rsid w:val="00597C9C"/>
    <w:rsid w:val="00597FEB"/>
    <w:rsid w:val="005A19C0"/>
    <w:rsid w:val="005A3631"/>
    <w:rsid w:val="005A3D02"/>
    <w:rsid w:val="005A4A78"/>
    <w:rsid w:val="005A4E2C"/>
    <w:rsid w:val="005A52EB"/>
    <w:rsid w:val="005A64A1"/>
    <w:rsid w:val="005A66CB"/>
    <w:rsid w:val="005A6CCB"/>
    <w:rsid w:val="005B0472"/>
    <w:rsid w:val="005B3996"/>
    <w:rsid w:val="005B4229"/>
    <w:rsid w:val="005C228F"/>
    <w:rsid w:val="005C272F"/>
    <w:rsid w:val="005C43B4"/>
    <w:rsid w:val="005C6E2B"/>
    <w:rsid w:val="005D01A8"/>
    <w:rsid w:val="005E1375"/>
    <w:rsid w:val="005E7695"/>
    <w:rsid w:val="005F162C"/>
    <w:rsid w:val="005F430F"/>
    <w:rsid w:val="005F53E1"/>
    <w:rsid w:val="005F6DC4"/>
    <w:rsid w:val="0060491A"/>
    <w:rsid w:val="00604DE7"/>
    <w:rsid w:val="006150A8"/>
    <w:rsid w:val="006213C1"/>
    <w:rsid w:val="0062407D"/>
    <w:rsid w:val="0062522C"/>
    <w:rsid w:val="00626C58"/>
    <w:rsid w:val="00635EC3"/>
    <w:rsid w:val="00636860"/>
    <w:rsid w:val="00637A61"/>
    <w:rsid w:val="0064008B"/>
    <w:rsid w:val="00641AC0"/>
    <w:rsid w:val="00642B47"/>
    <w:rsid w:val="00645FA6"/>
    <w:rsid w:val="00656171"/>
    <w:rsid w:val="00657F1E"/>
    <w:rsid w:val="00665038"/>
    <w:rsid w:val="00666769"/>
    <w:rsid w:val="00670448"/>
    <w:rsid w:val="006714AC"/>
    <w:rsid w:val="00671E2B"/>
    <w:rsid w:val="00672F90"/>
    <w:rsid w:val="0067684B"/>
    <w:rsid w:val="00677BF6"/>
    <w:rsid w:val="00682BCD"/>
    <w:rsid w:val="006902D4"/>
    <w:rsid w:val="00690B57"/>
    <w:rsid w:val="006951C2"/>
    <w:rsid w:val="006959AF"/>
    <w:rsid w:val="006A3DE8"/>
    <w:rsid w:val="006A5367"/>
    <w:rsid w:val="006A7614"/>
    <w:rsid w:val="006B0652"/>
    <w:rsid w:val="006B2B5D"/>
    <w:rsid w:val="006B43E8"/>
    <w:rsid w:val="006C5B99"/>
    <w:rsid w:val="006C5F78"/>
    <w:rsid w:val="006C711E"/>
    <w:rsid w:val="006D413F"/>
    <w:rsid w:val="006D44FA"/>
    <w:rsid w:val="006D67B8"/>
    <w:rsid w:val="006D6B4E"/>
    <w:rsid w:val="006E2AEF"/>
    <w:rsid w:val="006E3DE1"/>
    <w:rsid w:val="006F053F"/>
    <w:rsid w:val="006F168E"/>
    <w:rsid w:val="006F38C1"/>
    <w:rsid w:val="006F5E61"/>
    <w:rsid w:val="00701F17"/>
    <w:rsid w:val="00702D34"/>
    <w:rsid w:val="007038D0"/>
    <w:rsid w:val="00707664"/>
    <w:rsid w:val="007118DD"/>
    <w:rsid w:val="00711CA6"/>
    <w:rsid w:val="0071244B"/>
    <w:rsid w:val="00712A21"/>
    <w:rsid w:val="0071526B"/>
    <w:rsid w:val="00717B10"/>
    <w:rsid w:val="00720293"/>
    <w:rsid w:val="00720A3E"/>
    <w:rsid w:val="00720E25"/>
    <w:rsid w:val="00720F11"/>
    <w:rsid w:val="007214EF"/>
    <w:rsid w:val="00723C00"/>
    <w:rsid w:val="00724A2D"/>
    <w:rsid w:val="00726DD4"/>
    <w:rsid w:val="00730892"/>
    <w:rsid w:val="0073397D"/>
    <w:rsid w:val="00742342"/>
    <w:rsid w:val="00742C8C"/>
    <w:rsid w:val="00744CFB"/>
    <w:rsid w:val="0074653C"/>
    <w:rsid w:val="00747001"/>
    <w:rsid w:val="00747B99"/>
    <w:rsid w:val="007525FD"/>
    <w:rsid w:val="007527F4"/>
    <w:rsid w:val="00754E03"/>
    <w:rsid w:val="00757DEC"/>
    <w:rsid w:val="00760F15"/>
    <w:rsid w:val="007611AC"/>
    <w:rsid w:val="00763A57"/>
    <w:rsid w:val="0076578E"/>
    <w:rsid w:val="00767D49"/>
    <w:rsid w:val="00773734"/>
    <w:rsid w:val="007761AF"/>
    <w:rsid w:val="0078127B"/>
    <w:rsid w:val="00784BA2"/>
    <w:rsid w:val="00787A77"/>
    <w:rsid w:val="007906CE"/>
    <w:rsid w:val="007959C1"/>
    <w:rsid w:val="00796A88"/>
    <w:rsid w:val="00796C7E"/>
    <w:rsid w:val="007976FE"/>
    <w:rsid w:val="007A5803"/>
    <w:rsid w:val="007B2015"/>
    <w:rsid w:val="007B3A94"/>
    <w:rsid w:val="007B5799"/>
    <w:rsid w:val="007B6D9E"/>
    <w:rsid w:val="007B705F"/>
    <w:rsid w:val="007C0CD8"/>
    <w:rsid w:val="007C1E2F"/>
    <w:rsid w:val="007C21D9"/>
    <w:rsid w:val="007C3668"/>
    <w:rsid w:val="007C4167"/>
    <w:rsid w:val="007C5524"/>
    <w:rsid w:val="007C55C5"/>
    <w:rsid w:val="007D4181"/>
    <w:rsid w:val="007D4918"/>
    <w:rsid w:val="007D4EE1"/>
    <w:rsid w:val="007D64C8"/>
    <w:rsid w:val="007E00F8"/>
    <w:rsid w:val="007E07DE"/>
    <w:rsid w:val="007E0CE1"/>
    <w:rsid w:val="007E1553"/>
    <w:rsid w:val="007E240D"/>
    <w:rsid w:val="007E26E0"/>
    <w:rsid w:val="007E4B90"/>
    <w:rsid w:val="007E6625"/>
    <w:rsid w:val="007F0DA1"/>
    <w:rsid w:val="007F1C0F"/>
    <w:rsid w:val="007F2742"/>
    <w:rsid w:val="007F3C86"/>
    <w:rsid w:val="007F3E0A"/>
    <w:rsid w:val="007F58E6"/>
    <w:rsid w:val="007F6853"/>
    <w:rsid w:val="007F686C"/>
    <w:rsid w:val="007F7476"/>
    <w:rsid w:val="007F76BA"/>
    <w:rsid w:val="00806376"/>
    <w:rsid w:val="00813568"/>
    <w:rsid w:val="00814AB4"/>
    <w:rsid w:val="00815ABB"/>
    <w:rsid w:val="008169DF"/>
    <w:rsid w:val="00816DF1"/>
    <w:rsid w:val="00823542"/>
    <w:rsid w:val="00826CE0"/>
    <w:rsid w:val="00827BEF"/>
    <w:rsid w:val="00833128"/>
    <w:rsid w:val="00834697"/>
    <w:rsid w:val="0083501E"/>
    <w:rsid w:val="00840E7C"/>
    <w:rsid w:val="008421A1"/>
    <w:rsid w:val="008432EE"/>
    <w:rsid w:val="00850CF2"/>
    <w:rsid w:val="00851DFB"/>
    <w:rsid w:val="008541B1"/>
    <w:rsid w:val="00855F13"/>
    <w:rsid w:val="0086314C"/>
    <w:rsid w:val="0086519F"/>
    <w:rsid w:val="00865D38"/>
    <w:rsid w:val="008660A2"/>
    <w:rsid w:val="00873828"/>
    <w:rsid w:val="00874265"/>
    <w:rsid w:val="008840EE"/>
    <w:rsid w:val="00891277"/>
    <w:rsid w:val="00893B1D"/>
    <w:rsid w:val="00894485"/>
    <w:rsid w:val="00895A2A"/>
    <w:rsid w:val="008974BB"/>
    <w:rsid w:val="008A1663"/>
    <w:rsid w:val="008A3B53"/>
    <w:rsid w:val="008B032B"/>
    <w:rsid w:val="008B1F5A"/>
    <w:rsid w:val="008B43D6"/>
    <w:rsid w:val="008B467F"/>
    <w:rsid w:val="008B4E38"/>
    <w:rsid w:val="008B62BF"/>
    <w:rsid w:val="008C0EA3"/>
    <w:rsid w:val="008C4666"/>
    <w:rsid w:val="008C77B8"/>
    <w:rsid w:val="008D0DC0"/>
    <w:rsid w:val="008D129A"/>
    <w:rsid w:val="008D5B53"/>
    <w:rsid w:val="008E1083"/>
    <w:rsid w:val="008E12AE"/>
    <w:rsid w:val="008E27F1"/>
    <w:rsid w:val="008E602B"/>
    <w:rsid w:val="008F312B"/>
    <w:rsid w:val="008F5A8F"/>
    <w:rsid w:val="009009D0"/>
    <w:rsid w:val="00902B68"/>
    <w:rsid w:val="009031E9"/>
    <w:rsid w:val="00903CAA"/>
    <w:rsid w:val="00912344"/>
    <w:rsid w:val="009156D2"/>
    <w:rsid w:val="00920068"/>
    <w:rsid w:val="0092134D"/>
    <w:rsid w:val="00925F91"/>
    <w:rsid w:val="00927179"/>
    <w:rsid w:val="00931BDB"/>
    <w:rsid w:val="00936037"/>
    <w:rsid w:val="00944D67"/>
    <w:rsid w:val="009527CF"/>
    <w:rsid w:val="00952FE4"/>
    <w:rsid w:val="00955CD5"/>
    <w:rsid w:val="00956652"/>
    <w:rsid w:val="00956F27"/>
    <w:rsid w:val="0095754B"/>
    <w:rsid w:val="009603FE"/>
    <w:rsid w:val="009619EE"/>
    <w:rsid w:val="009672E4"/>
    <w:rsid w:val="00972701"/>
    <w:rsid w:val="009777A6"/>
    <w:rsid w:val="00980DB0"/>
    <w:rsid w:val="00982392"/>
    <w:rsid w:val="00984B0B"/>
    <w:rsid w:val="00993C50"/>
    <w:rsid w:val="00994EDD"/>
    <w:rsid w:val="00997375"/>
    <w:rsid w:val="009A1B8B"/>
    <w:rsid w:val="009A4A04"/>
    <w:rsid w:val="009A6E71"/>
    <w:rsid w:val="009B0B45"/>
    <w:rsid w:val="009B1BC3"/>
    <w:rsid w:val="009B20BD"/>
    <w:rsid w:val="009B61A1"/>
    <w:rsid w:val="009C05ED"/>
    <w:rsid w:val="009C0EAF"/>
    <w:rsid w:val="009C1F87"/>
    <w:rsid w:val="009C4947"/>
    <w:rsid w:val="009C4B25"/>
    <w:rsid w:val="009C67C5"/>
    <w:rsid w:val="009D13CC"/>
    <w:rsid w:val="009D6750"/>
    <w:rsid w:val="009E05B0"/>
    <w:rsid w:val="009E7EE8"/>
    <w:rsid w:val="009F29B4"/>
    <w:rsid w:val="009F3745"/>
    <w:rsid w:val="00A01202"/>
    <w:rsid w:val="00A02F0C"/>
    <w:rsid w:val="00A0718C"/>
    <w:rsid w:val="00A10ACD"/>
    <w:rsid w:val="00A129F1"/>
    <w:rsid w:val="00A203F6"/>
    <w:rsid w:val="00A2334C"/>
    <w:rsid w:val="00A2618B"/>
    <w:rsid w:val="00A26CF0"/>
    <w:rsid w:val="00A274D2"/>
    <w:rsid w:val="00A303F7"/>
    <w:rsid w:val="00A31BC3"/>
    <w:rsid w:val="00A3304F"/>
    <w:rsid w:val="00A333E8"/>
    <w:rsid w:val="00A346FA"/>
    <w:rsid w:val="00A356E7"/>
    <w:rsid w:val="00A36752"/>
    <w:rsid w:val="00A36EF6"/>
    <w:rsid w:val="00A37976"/>
    <w:rsid w:val="00A416E0"/>
    <w:rsid w:val="00A42745"/>
    <w:rsid w:val="00A43B1C"/>
    <w:rsid w:val="00A44E76"/>
    <w:rsid w:val="00A4552C"/>
    <w:rsid w:val="00A4678D"/>
    <w:rsid w:val="00A467CE"/>
    <w:rsid w:val="00A50868"/>
    <w:rsid w:val="00A50958"/>
    <w:rsid w:val="00A5366E"/>
    <w:rsid w:val="00A55276"/>
    <w:rsid w:val="00A553D5"/>
    <w:rsid w:val="00A55893"/>
    <w:rsid w:val="00A56BB5"/>
    <w:rsid w:val="00A56C6B"/>
    <w:rsid w:val="00A60FFF"/>
    <w:rsid w:val="00A6161D"/>
    <w:rsid w:val="00A61A2C"/>
    <w:rsid w:val="00A6306A"/>
    <w:rsid w:val="00A63890"/>
    <w:rsid w:val="00A678FC"/>
    <w:rsid w:val="00A71B7A"/>
    <w:rsid w:val="00A72CF0"/>
    <w:rsid w:val="00A80373"/>
    <w:rsid w:val="00A80A4F"/>
    <w:rsid w:val="00A8408A"/>
    <w:rsid w:val="00A85810"/>
    <w:rsid w:val="00A8650F"/>
    <w:rsid w:val="00A91891"/>
    <w:rsid w:val="00A9613A"/>
    <w:rsid w:val="00A973B2"/>
    <w:rsid w:val="00AB0F92"/>
    <w:rsid w:val="00AB16B7"/>
    <w:rsid w:val="00AB567E"/>
    <w:rsid w:val="00AB6B82"/>
    <w:rsid w:val="00AC08A8"/>
    <w:rsid w:val="00AC3943"/>
    <w:rsid w:val="00AC4317"/>
    <w:rsid w:val="00AC5EBF"/>
    <w:rsid w:val="00AC6981"/>
    <w:rsid w:val="00AD0CFB"/>
    <w:rsid w:val="00AD4163"/>
    <w:rsid w:val="00AD52A9"/>
    <w:rsid w:val="00AE07D5"/>
    <w:rsid w:val="00AE19A6"/>
    <w:rsid w:val="00AE1D05"/>
    <w:rsid w:val="00AE3A26"/>
    <w:rsid w:val="00AE4379"/>
    <w:rsid w:val="00AF1905"/>
    <w:rsid w:val="00AF1B2F"/>
    <w:rsid w:val="00B025BA"/>
    <w:rsid w:val="00B071C7"/>
    <w:rsid w:val="00B07E48"/>
    <w:rsid w:val="00B13000"/>
    <w:rsid w:val="00B208BB"/>
    <w:rsid w:val="00B21550"/>
    <w:rsid w:val="00B24137"/>
    <w:rsid w:val="00B24A2A"/>
    <w:rsid w:val="00B31FEF"/>
    <w:rsid w:val="00B325E1"/>
    <w:rsid w:val="00B3588C"/>
    <w:rsid w:val="00B35E93"/>
    <w:rsid w:val="00B36075"/>
    <w:rsid w:val="00B3621B"/>
    <w:rsid w:val="00B40746"/>
    <w:rsid w:val="00B42BA0"/>
    <w:rsid w:val="00B43736"/>
    <w:rsid w:val="00B46D8C"/>
    <w:rsid w:val="00B528FB"/>
    <w:rsid w:val="00B559AA"/>
    <w:rsid w:val="00B564BC"/>
    <w:rsid w:val="00B63270"/>
    <w:rsid w:val="00B64400"/>
    <w:rsid w:val="00B65228"/>
    <w:rsid w:val="00B70CD9"/>
    <w:rsid w:val="00B71319"/>
    <w:rsid w:val="00B714B7"/>
    <w:rsid w:val="00B75286"/>
    <w:rsid w:val="00B7605A"/>
    <w:rsid w:val="00B80843"/>
    <w:rsid w:val="00B82E71"/>
    <w:rsid w:val="00B83493"/>
    <w:rsid w:val="00B940DD"/>
    <w:rsid w:val="00B95847"/>
    <w:rsid w:val="00B966ED"/>
    <w:rsid w:val="00BA268A"/>
    <w:rsid w:val="00BA3D8F"/>
    <w:rsid w:val="00BA4A0E"/>
    <w:rsid w:val="00BA65A5"/>
    <w:rsid w:val="00BA7C58"/>
    <w:rsid w:val="00BB1EA3"/>
    <w:rsid w:val="00BB6A0B"/>
    <w:rsid w:val="00BB756B"/>
    <w:rsid w:val="00BC15E4"/>
    <w:rsid w:val="00BD1A05"/>
    <w:rsid w:val="00BD1B80"/>
    <w:rsid w:val="00BD1C15"/>
    <w:rsid w:val="00BD5634"/>
    <w:rsid w:val="00BD6BA5"/>
    <w:rsid w:val="00BE0991"/>
    <w:rsid w:val="00BE335A"/>
    <w:rsid w:val="00BF187B"/>
    <w:rsid w:val="00BF26EB"/>
    <w:rsid w:val="00BF5F6C"/>
    <w:rsid w:val="00BF77D2"/>
    <w:rsid w:val="00C02961"/>
    <w:rsid w:val="00C02B5E"/>
    <w:rsid w:val="00C057EF"/>
    <w:rsid w:val="00C07274"/>
    <w:rsid w:val="00C11207"/>
    <w:rsid w:val="00C13126"/>
    <w:rsid w:val="00C14296"/>
    <w:rsid w:val="00C145AD"/>
    <w:rsid w:val="00C16B6E"/>
    <w:rsid w:val="00C2333D"/>
    <w:rsid w:val="00C2452C"/>
    <w:rsid w:val="00C2695D"/>
    <w:rsid w:val="00C32246"/>
    <w:rsid w:val="00C41693"/>
    <w:rsid w:val="00C4260B"/>
    <w:rsid w:val="00C43792"/>
    <w:rsid w:val="00C450AE"/>
    <w:rsid w:val="00C46F93"/>
    <w:rsid w:val="00C52C8D"/>
    <w:rsid w:val="00C53387"/>
    <w:rsid w:val="00C546B7"/>
    <w:rsid w:val="00C56ED2"/>
    <w:rsid w:val="00C6623A"/>
    <w:rsid w:val="00C66869"/>
    <w:rsid w:val="00C66BE8"/>
    <w:rsid w:val="00C673E2"/>
    <w:rsid w:val="00C70B6C"/>
    <w:rsid w:val="00C74089"/>
    <w:rsid w:val="00C758F5"/>
    <w:rsid w:val="00C75D2A"/>
    <w:rsid w:val="00C76EC5"/>
    <w:rsid w:val="00C77A5F"/>
    <w:rsid w:val="00C82D7F"/>
    <w:rsid w:val="00C90E85"/>
    <w:rsid w:val="00C91C29"/>
    <w:rsid w:val="00C92E5D"/>
    <w:rsid w:val="00C93509"/>
    <w:rsid w:val="00C9777C"/>
    <w:rsid w:val="00CA0455"/>
    <w:rsid w:val="00CA0B10"/>
    <w:rsid w:val="00CA3B4D"/>
    <w:rsid w:val="00CA4A39"/>
    <w:rsid w:val="00CA4C69"/>
    <w:rsid w:val="00CA58CB"/>
    <w:rsid w:val="00CB116F"/>
    <w:rsid w:val="00CB137C"/>
    <w:rsid w:val="00CB4E54"/>
    <w:rsid w:val="00CB5F48"/>
    <w:rsid w:val="00CB6AA7"/>
    <w:rsid w:val="00CC2125"/>
    <w:rsid w:val="00CC215D"/>
    <w:rsid w:val="00CC3F2F"/>
    <w:rsid w:val="00CC602E"/>
    <w:rsid w:val="00CC6148"/>
    <w:rsid w:val="00CC62E0"/>
    <w:rsid w:val="00CC67A7"/>
    <w:rsid w:val="00CD0EB5"/>
    <w:rsid w:val="00CD57C0"/>
    <w:rsid w:val="00CD670F"/>
    <w:rsid w:val="00CD6D27"/>
    <w:rsid w:val="00CD6F65"/>
    <w:rsid w:val="00CE16E0"/>
    <w:rsid w:val="00CE483A"/>
    <w:rsid w:val="00CE712B"/>
    <w:rsid w:val="00CE7EE8"/>
    <w:rsid w:val="00CF228E"/>
    <w:rsid w:val="00CF5581"/>
    <w:rsid w:val="00D11C16"/>
    <w:rsid w:val="00D1214E"/>
    <w:rsid w:val="00D12CBD"/>
    <w:rsid w:val="00D14FDB"/>
    <w:rsid w:val="00D150CA"/>
    <w:rsid w:val="00D15D3F"/>
    <w:rsid w:val="00D20BD0"/>
    <w:rsid w:val="00D2311D"/>
    <w:rsid w:val="00D27605"/>
    <w:rsid w:val="00D3638A"/>
    <w:rsid w:val="00D36521"/>
    <w:rsid w:val="00D42C39"/>
    <w:rsid w:val="00D44A33"/>
    <w:rsid w:val="00D451FE"/>
    <w:rsid w:val="00D517FE"/>
    <w:rsid w:val="00D51CF0"/>
    <w:rsid w:val="00D5543D"/>
    <w:rsid w:val="00D55870"/>
    <w:rsid w:val="00D62AA3"/>
    <w:rsid w:val="00D62DF9"/>
    <w:rsid w:val="00D67274"/>
    <w:rsid w:val="00D71699"/>
    <w:rsid w:val="00D743F3"/>
    <w:rsid w:val="00D77566"/>
    <w:rsid w:val="00D8054D"/>
    <w:rsid w:val="00D90DB4"/>
    <w:rsid w:val="00D94283"/>
    <w:rsid w:val="00D96ECF"/>
    <w:rsid w:val="00DA371A"/>
    <w:rsid w:val="00DA39C5"/>
    <w:rsid w:val="00DA621C"/>
    <w:rsid w:val="00DB36E4"/>
    <w:rsid w:val="00DB3842"/>
    <w:rsid w:val="00DB4896"/>
    <w:rsid w:val="00DB5A55"/>
    <w:rsid w:val="00DB6227"/>
    <w:rsid w:val="00DB625D"/>
    <w:rsid w:val="00DB783D"/>
    <w:rsid w:val="00DC05C1"/>
    <w:rsid w:val="00DD34A1"/>
    <w:rsid w:val="00DD5F03"/>
    <w:rsid w:val="00DE1DED"/>
    <w:rsid w:val="00DE264C"/>
    <w:rsid w:val="00DE5628"/>
    <w:rsid w:val="00DE6AD2"/>
    <w:rsid w:val="00DE6E1C"/>
    <w:rsid w:val="00DF4ABA"/>
    <w:rsid w:val="00DF7913"/>
    <w:rsid w:val="00E008D5"/>
    <w:rsid w:val="00E03491"/>
    <w:rsid w:val="00E04753"/>
    <w:rsid w:val="00E0544B"/>
    <w:rsid w:val="00E12C39"/>
    <w:rsid w:val="00E12D90"/>
    <w:rsid w:val="00E13871"/>
    <w:rsid w:val="00E14096"/>
    <w:rsid w:val="00E145D2"/>
    <w:rsid w:val="00E151EB"/>
    <w:rsid w:val="00E16A37"/>
    <w:rsid w:val="00E306B0"/>
    <w:rsid w:val="00E317BC"/>
    <w:rsid w:val="00E33FB4"/>
    <w:rsid w:val="00E35802"/>
    <w:rsid w:val="00E36C11"/>
    <w:rsid w:val="00E36FE2"/>
    <w:rsid w:val="00E41E66"/>
    <w:rsid w:val="00E51F41"/>
    <w:rsid w:val="00E54C69"/>
    <w:rsid w:val="00E6158B"/>
    <w:rsid w:val="00E61971"/>
    <w:rsid w:val="00E63ACD"/>
    <w:rsid w:val="00E673D2"/>
    <w:rsid w:val="00E701E0"/>
    <w:rsid w:val="00E72220"/>
    <w:rsid w:val="00E74213"/>
    <w:rsid w:val="00E743F2"/>
    <w:rsid w:val="00E76CD9"/>
    <w:rsid w:val="00E77D9E"/>
    <w:rsid w:val="00E80549"/>
    <w:rsid w:val="00E8206A"/>
    <w:rsid w:val="00E84BC1"/>
    <w:rsid w:val="00E85272"/>
    <w:rsid w:val="00E91E19"/>
    <w:rsid w:val="00E95106"/>
    <w:rsid w:val="00EA023E"/>
    <w:rsid w:val="00EA0EBF"/>
    <w:rsid w:val="00EA1184"/>
    <w:rsid w:val="00EB4688"/>
    <w:rsid w:val="00EB59DF"/>
    <w:rsid w:val="00EC0B2E"/>
    <w:rsid w:val="00EC1F58"/>
    <w:rsid w:val="00EC394B"/>
    <w:rsid w:val="00EC4050"/>
    <w:rsid w:val="00ED1CC5"/>
    <w:rsid w:val="00ED47C6"/>
    <w:rsid w:val="00ED74EC"/>
    <w:rsid w:val="00ED79BB"/>
    <w:rsid w:val="00EE0957"/>
    <w:rsid w:val="00EE0E4E"/>
    <w:rsid w:val="00EF0715"/>
    <w:rsid w:val="00EF0B95"/>
    <w:rsid w:val="00EF0E9C"/>
    <w:rsid w:val="00EF1732"/>
    <w:rsid w:val="00EF3ABF"/>
    <w:rsid w:val="00EF636A"/>
    <w:rsid w:val="00EF6795"/>
    <w:rsid w:val="00EF776D"/>
    <w:rsid w:val="00F02B3B"/>
    <w:rsid w:val="00F03412"/>
    <w:rsid w:val="00F07FA2"/>
    <w:rsid w:val="00F11551"/>
    <w:rsid w:val="00F11FE7"/>
    <w:rsid w:val="00F142BF"/>
    <w:rsid w:val="00F1508D"/>
    <w:rsid w:val="00F30F6D"/>
    <w:rsid w:val="00F336F6"/>
    <w:rsid w:val="00F35860"/>
    <w:rsid w:val="00F36C1D"/>
    <w:rsid w:val="00F40E54"/>
    <w:rsid w:val="00F42C01"/>
    <w:rsid w:val="00F45261"/>
    <w:rsid w:val="00F5243D"/>
    <w:rsid w:val="00F52A67"/>
    <w:rsid w:val="00F53549"/>
    <w:rsid w:val="00F5463A"/>
    <w:rsid w:val="00F570F0"/>
    <w:rsid w:val="00F5755F"/>
    <w:rsid w:val="00F57955"/>
    <w:rsid w:val="00F62807"/>
    <w:rsid w:val="00F647CA"/>
    <w:rsid w:val="00F663B0"/>
    <w:rsid w:val="00F731D3"/>
    <w:rsid w:val="00F779B6"/>
    <w:rsid w:val="00F812FA"/>
    <w:rsid w:val="00F83B70"/>
    <w:rsid w:val="00F92306"/>
    <w:rsid w:val="00F94CCD"/>
    <w:rsid w:val="00F9569B"/>
    <w:rsid w:val="00F96808"/>
    <w:rsid w:val="00F968DD"/>
    <w:rsid w:val="00F96E8A"/>
    <w:rsid w:val="00F97053"/>
    <w:rsid w:val="00F97B96"/>
    <w:rsid w:val="00FA2139"/>
    <w:rsid w:val="00FA63D5"/>
    <w:rsid w:val="00FA7F74"/>
    <w:rsid w:val="00FB0335"/>
    <w:rsid w:val="00FB38FA"/>
    <w:rsid w:val="00FB3929"/>
    <w:rsid w:val="00FB4120"/>
    <w:rsid w:val="00FB5754"/>
    <w:rsid w:val="00FB6B35"/>
    <w:rsid w:val="00FB6B9E"/>
    <w:rsid w:val="00FC0EF5"/>
    <w:rsid w:val="00FC1EA7"/>
    <w:rsid w:val="00FC30FC"/>
    <w:rsid w:val="00FC5611"/>
    <w:rsid w:val="00FC5F8C"/>
    <w:rsid w:val="00FC77B4"/>
    <w:rsid w:val="00FC79B6"/>
    <w:rsid w:val="00FD1213"/>
    <w:rsid w:val="00FD1CCB"/>
    <w:rsid w:val="00FE130F"/>
    <w:rsid w:val="00FE2767"/>
    <w:rsid w:val="00FE6193"/>
    <w:rsid w:val="00FF03DD"/>
    <w:rsid w:val="00FF0DCF"/>
    <w:rsid w:val="00FF13E5"/>
    <w:rsid w:val="00FF7A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Garamond"/>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6009D"/>
    <w:pPr>
      <w:tabs>
        <w:tab w:val="left" w:pos="432"/>
      </w:tabs>
      <w:spacing w:line="480" w:lineRule="auto"/>
      <w:ind w:firstLine="432"/>
      <w:jc w:val="both"/>
    </w:pPr>
    <w:rPr>
      <w:rFonts w:cs="Times New Roman"/>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A50958"/>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4A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4A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4A33"/>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D44A3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locked/>
    <w:rsid w:val="00A50958"/>
    <w:rPr>
      <w:rFonts w:cs="Times New Roman"/>
      <w:b/>
      <w:sz w:val="24"/>
      <w:szCs w:val="24"/>
    </w:rPr>
  </w:style>
  <w:style w:type="character" w:customStyle="1" w:styleId="Heading6Char">
    <w:name w:val="Heading 6 Char"/>
    <w:aliases w:val="Heading 6 (business proposal only) Char"/>
    <w:basedOn w:val="DefaultParagraphFont"/>
    <w:link w:val="Heading6"/>
    <w:uiPriority w:val="99"/>
    <w:semiHidden/>
    <w:locked/>
    <w:rsid w:val="00D44A3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44A3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44A3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44A33"/>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BD5634"/>
    <w:rPr>
      <w:rFonts w:cs="Times New Roman"/>
    </w:rPr>
  </w:style>
  <w:style w:type="character" w:styleId="PageNumber">
    <w:name w:val="page number"/>
    <w:basedOn w:val="DefaultParagraphFont"/>
    <w:uiPriority w:val="99"/>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44A33"/>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rFonts w:cs="Times New Roman"/>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right="360"/>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44A3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pPr>
  </w:style>
  <w:style w:type="table" w:styleId="TableGrid">
    <w:name w:val="Table Grid"/>
    <w:basedOn w:val="TableNormal"/>
    <w:uiPriority w:val="99"/>
    <w:rsid w:val="00645FA6"/>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character" w:styleId="Emphasis">
    <w:name w:val="Emphasis"/>
    <w:basedOn w:val="DefaultParagraphFont"/>
    <w:uiPriority w:val="99"/>
    <w:qFormat/>
    <w:rsid w:val="00F11551"/>
    <w:rPr>
      <w:rFonts w:ascii="Times New Roman" w:hAnsi="Times New Roman" w:cs="Times New Roman"/>
      <w:i/>
      <w:iCs/>
    </w:rPr>
  </w:style>
  <w:style w:type="paragraph" w:customStyle="1" w:styleId="AppendixTOC">
    <w:name w:val="Appendix TOC"/>
    <w:basedOn w:val="TOC3"/>
    <w:uiPriority w:val="99"/>
    <w:rsid w:val="00BD1C15"/>
    <w:pPr>
      <w:tabs>
        <w:tab w:val="clear" w:pos="1915"/>
        <w:tab w:val="left" w:pos="1350"/>
        <w:tab w:val="left" w:pos="2970"/>
      </w:tabs>
      <w:ind w:left="1350" w:hanging="360"/>
    </w:pPr>
    <w:rPr>
      <w:rFonts w:cs="Lucida Sans"/>
      <w:szCs w:val="22"/>
    </w:rPr>
  </w:style>
  <w:style w:type="character" w:styleId="CommentReference">
    <w:name w:val="annotation reference"/>
    <w:basedOn w:val="DefaultParagraphFont"/>
    <w:uiPriority w:val="99"/>
    <w:semiHidden/>
    <w:locked/>
    <w:rsid w:val="00DD5F03"/>
    <w:rPr>
      <w:rFonts w:cs="Times New Roman"/>
      <w:sz w:val="16"/>
      <w:szCs w:val="16"/>
    </w:rPr>
  </w:style>
  <w:style w:type="paragraph" w:styleId="CommentText">
    <w:name w:val="annotation text"/>
    <w:basedOn w:val="Normal"/>
    <w:link w:val="CommentTextChar"/>
    <w:uiPriority w:val="99"/>
    <w:semiHidden/>
    <w:locked/>
    <w:rsid w:val="00DD5F03"/>
    <w:rPr>
      <w:sz w:val="20"/>
      <w:szCs w:val="20"/>
    </w:rPr>
  </w:style>
  <w:style w:type="character" w:customStyle="1" w:styleId="CommentTextChar">
    <w:name w:val="Comment Text Char"/>
    <w:basedOn w:val="DefaultParagraphFont"/>
    <w:link w:val="CommentText"/>
    <w:uiPriority w:val="99"/>
    <w:semiHidden/>
    <w:locked/>
    <w:rsid w:val="005B4229"/>
    <w:rPr>
      <w:rFonts w:cs="Times New Roman"/>
      <w:sz w:val="20"/>
      <w:szCs w:val="20"/>
    </w:rPr>
  </w:style>
  <w:style w:type="paragraph" w:styleId="CommentSubject">
    <w:name w:val="annotation subject"/>
    <w:basedOn w:val="CommentText"/>
    <w:next w:val="CommentText"/>
    <w:link w:val="CommentSubjectChar"/>
    <w:uiPriority w:val="99"/>
    <w:semiHidden/>
    <w:locked/>
    <w:rsid w:val="00DD5F03"/>
    <w:rPr>
      <w:b/>
      <w:bCs/>
    </w:rPr>
  </w:style>
  <w:style w:type="character" w:customStyle="1" w:styleId="CommentSubjectChar">
    <w:name w:val="Comment Subject Char"/>
    <w:basedOn w:val="CommentTextChar"/>
    <w:link w:val="CommentSubject"/>
    <w:uiPriority w:val="99"/>
    <w:semiHidden/>
    <w:locked/>
    <w:rsid w:val="005B4229"/>
    <w:rPr>
      <w:b/>
      <w:bCs/>
    </w:rPr>
  </w:style>
  <w:style w:type="paragraph" w:styleId="Revision">
    <w:name w:val="Revision"/>
    <w:hidden/>
    <w:uiPriority w:val="99"/>
    <w:semiHidden/>
    <w:rsid w:val="00175D20"/>
    <w:rPr>
      <w:rFonts w:cs="Times New Roman"/>
      <w:sz w:val="24"/>
      <w:szCs w:val="24"/>
    </w:rPr>
  </w:style>
  <w:style w:type="paragraph" w:customStyle="1" w:styleId="Default">
    <w:name w:val="Default"/>
    <w:uiPriority w:val="99"/>
    <w:rsid w:val="00B208BB"/>
    <w:pPr>
      <w:autoSpaceDE w:val="0"/>
      <w:autoSpaceDN w:val="0"/>
      <w:adjustRightInd w:val="0"/>
    </w:pPr>
    <w:rPr>
      <w:rFonts w:ascii="Times New Roman" w:hAnsi="Times New Roman" w:cs="Times New Roman"/>
      <w:color w:val="000000"/>
      <w:sz w:val="24"/>
      <w:szCs w:val="24"/>
    </w:rPr>
  </w:style>
  <w:style w:type="paragraph" w:customStyle="1" w:styleId="CM87">
    <w:name w:val="CM87"/>
    <w:basedOn w:val="Default"/>
    <w:next w:val="Default"/>
    <w:uiPriority w:val="99"/>
    <w:rsid w:val="00B208BB"/>
    <w:rPr>
      <w:color w:val="auto"/>
    </w:rPr>
  </w:style>
  <w:style w:type="paragraph" w:customStyle="1" w:styleId="CM83">
    <w:name w:val="CM83"/>
    <w:basedOn w:val="Default"/>
    <w:next w:val="Default"/>
    <w:uiPriority w:val="99"/>
    <w:rsid w:val="00B208BB"/>
    <w:rPr>
      <w:color w:val="auto"/>
    </w:rPr>
  </w:style>
  <w:style w:type="paragraph" w:customStyle="1" w:styleId="CM2">
    <w:name w:val="CM2"/>
    <w:basedOn w:val="Default"/>
    <w:next w:val="Default"/>
    <w:uiPriority w:val="99"/>
    <w:rsid w:val="00B208BB"/>
    <w:rPr>
      <w:color w:val="auto"/>
    </w:rPr>
  </w:style>
  <w:style w:type="paragraph" w:customStyle="1" w:styleId="CM88">
    <w:name w:val="CM88"/>
    <w:basedOn w:val="Default"/>
    <w:next w:val="Default"/>
    <w:uiPriority w:val="99"/>
    <w:rsid w:val="00B208BB"/>
    <w:rPr>
      <w:color w:val="auto"/>
    </w:rPr>
  </w:style>
  <w:style w:type="paragraph" w:customStyle="1" w:styleId="CM94">
    <w:name w:val="CM94"/>
    <w:basedOn w:val="Default"/>
    <w:next w:val="Default"/>
    <w:uiPriority w:val="99"/>
    <w:rsid w:val="00B208BB"/>
    <w:rPr>
      <w:color w:val="auto"/>
    </w:rPr>
  </w:style>
  <w:style w:type="paragraph" w:customStyle="1" w:styleId="CM27">
    <w:name w:val="CM27"/>
    <w:basedOn w:val="Default"/>
    <w:next w:val="Default"/>
    <w:uiPriority w:val="99"/>
    <w:rsid w:val="00B208BB"/>
    <w:rPr>
      <w:color w:val="auto"/>
    </w:rPr>
  </w:style>
  <w:style w:type="paragraph" w:customStyle="1" w:styleId="CM76">
    <w:name w:val="CM76"/>
    <w:basedOn w:val="Default"/>
    <w:next w:val="Default"/>
    <w:uiPriority w:val="99"/>
    <w:rsid w:val="00B208BB"/>
    <w:rPr>
      <w:color w:val="auto"/>
    </w:rPr>
  </w:style>
  <w:style w:type="paragraph" w:customStyle="1" w:styleId="CM4">
    <w:name w:val="CM4"/>
    <w:basedOn w:val="Default"/>
    <w:next w:val="Default"/>
    <w:uiPriority w:val="99"/>
    <w:rsid w:val="00B208BB"/>
    <w:rPr>
      <w:color w:val="auto"/>
    </w:rPr>
  </w:style>
  <w:style w:type="paragraph" w:customStyle="1" w:styleId="CM81">
    <w:name w:val="CM81"/>
    <w:basedOn w:val="Default"/>
    <w:next w:val="Default"/>
    <w:uiPriority w:val="99"/>
    <w:rsid w:val="00B208BB"/>
    <w:rPr>
      <w:color w:val="auto"/>
    </w:rPr>
  </w:style>
  <w:style w:type="paragraph" w:customStyle="1" w:styleId="CM91">
    <w:name w:val="CM91"/>
    <w:basedOn w:val="Default"/>
    <w:next w:val="Default"/>
    <w:uiPriority w:val="99"/>
    <w:rsid w:val="00B208BB"/>
    <w:rPr>
      <w:color w:val="auto"/>
    </w:rPr>
  </w:style>
  <w:style w:type="paragraph" w:customStyle="1" w:styleId="CM97">
    <w:name w:val="CM97"/>
    <w:basedOn w:val="Default"/>
    <w:next w:val="Default"/>
    <w:uiPriority w:val="99"/>
    <w:rsid w:val="00B208BB"/>
    <w:rPr>
      <w:color w:val="auto"/>
    </w:rPr>
  </w:style>
  <w:style w:type="character" w:customStyle="1" w:styleId="citation">
    <w:name w:val="citation"/>
    <w:basedOn w:val="DefaultParagraphFont"/>
    <w:uiPriority w:val="99"/>
    <w:rsid w:val="009D13CC"/>
    <w:rPr>
      <w:rFonts w:cs="Times New Roman"/>
    </w:rPr>
  </w:style>
  <w:style w:type="paragraph" w:styleId="NormalWeb">
    <w:name w:val="Normal (Web)"/>
    <w:basedOn w:val="Normal"/>
    <w:uiPriority w:val="99"/>
    <w:semiHidden/>
    <w:locked/>
    <w:rsid w:val="009031E9"/>
    <w:pPr>
      <w:tabs>
        <w:tab w:val="clear" w:pos="432"/>
      </w:tabs>
      <w:spacing w:before="100" w:beforeAutospacing="1" w:after="100" w:afterAutospacing="1" w:line="240" w:lineRule="auto"/>
      <w:ind w:firstLine="0"/>
      <w:jc w:val="left"/>
    </w:pPr>
    <w:rPr>
      <w:rFonts w:ascii="Times New Roman" w:hAnsi="Times New Roman"/>
      <w:color w:val="000000"/>
    </w:rPr>
  </w:style>
  <w:style w:type="paragraph" w:styleId="BodyTextIndent">
    <w:name w:val="Body Text Indent"/>
    <w:basedOn w:val="Normal"/>
    <w:link w:val="BodyTextIndentChar"/>
    <w:uiPriority w:val="99"/>
    <w:semiHidden/>
    <w:locked/>
    <w:rsid w:val="00A50868"/>
    <w:pPr>
      <w:tabs>
        <w:tab w:val="clear" w:pos="432"/>
      </w:tabs>
      <w:spacing w:line="240" w:lineRule="auto"/>
      <w:ind w:firstLine="36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50868"/>
    <w:rPr>
      <w:rFonts w:ascii="Times New Roman" w:hAnsi="Times New Roman" w:cs="Times New Roman"/>
      <w:sz w:val="24"/>
      <w:szCs w:val="24"/>
    </w:rPr>
  </w:style>
  <w:style w:type="paragraph" w:customStyle="1" w:styleId="Bullet">
    <w:name w:val="Bullet"/>
    <w:uiPriority w:val="99"/>
    <w:rsid w:val="00C66869"/>
    <w:pPr>
      <w:tabs>
        <w:tab w:val="left" w:pos="360"/>
      </w:tabs>
      <w:spacing w:after="180"/>
      <w:ind w:left="720" w:right="360" w:hanging="288"/>
      <w:jc w:val="both"/>
    </w:pPr>
    <w:rPr>
      <w:rFonts w:ascii="Times New Roman" w:hAnsi="Times New Roman" w:cs="Times New Roman"/>
      <w:sz w:val="24"/>
      <w:szCs w:val="24"/>
    </w:rPr>
  </w:style>
  <w:style w:type="numbering" w:customStyle="1" w:styleId="MPROutline">
    <w:name w:val="MPROutline"/>
    <w:rsid w:val="005E6E8F"/>
    <w:pPr>
      <w:numPr>
        <w:numId w:val="15"/>
      </w:numPr>
    </w:pPr>
  </w:style>
</w:styles>
</file>

<file path=word/webSettings.xml><?xml version="1.0" encoding="utf-8"?>
<w:webSettings xmlns:r="http://schemas.openxmlformats.org/officeDocument/2006/relationships" xmlns:w="http://schemas.openxmlformats.org/wordprocessingml/2006/main">
  <w:divs>
    <w:div w:id="703873261">
      <w:marLeft w:val="0"/>
      <w:marRight w:val="0"/>
      <w:marTop w:val="0"/>
      <w:marBottom w:val="0"/>
      <w:divBdr>
        <w:top w:val="none" w:sz="0" w:space="0" w:color="auto"/>
        <w:left w:val="none" w:sz="0" w:space="0" w:color="auto"/>
        <w:bottom w:val="none" w:sz="0" w:space="0" w:color="auto"/>
        <w:right w:val="none" w:sz="0" w:space="0" w:color="auto"/>
      </w:divBdr>
    </w:div>
    <w:div w:id="703873262">
      <w:marLeft w:val="0"/>
      <w:marRight w:val="0"/>
      <w:marTop w:val="0"/>
      <w:marBottom w:val="0"/>
      <w:divBdr>
        <w:top w:val="none" w:sz="0" w:space="0" w:color="auto"/>
        <w:left w:val="none" w:sz="0" w:space="0" w:color="auto"/>
        <w:bottom w:val="none" w:sz="0" w:space="0" w:color="auto"/>
        <w:right w:val="none" w:sz="0" w:space="0" w:color="auto"/>
      </w:divBdr>
    </w:div>
    <w:div w:id="703873263">
      <w:marLeft w:val="0"/>
      <w:marRight w:val="0"/>
      <w:marTop w:val="0"/>
      <w:marBottom w:val="0"/>
      <w:divBdr>
        <w:top w:val="none" w:sz="0" w:space="0" w:color="auto"/>
        <w:left w:val="none" w:sz="0" w:space="0" w:color="auto"/>
        <w:bottom w:val="none" w:sz="0" w:space="0" w:color="auto"/>
        <w:right w:val="none" w:sz="0" w:space="0" w:color="auto"/>
      </w:divBdr>
    </w:div>
    <w:div w:id="703873264">
      <w:marLeft w:val="0"/>
      <w:marRight w:val="0"/>
      <w:marTop w:val="0"/>
      <w:marBottom w:val="0"/>
      <w:divBdr>
        <w:top w:val="none" w:sz="0" w:space="0" w:color="auto"/>
        <w:left w:val="none" w:sz="0" w:space="0" w:color="auto"/>
        <w:bottom w:val="none" w:sz="0" w:space="0" w:color="auto"/>
        <w:right w:val="none" w:sz="0" w:space="0" w:color="auto"/>
      </w:divBdr>
    </w:div>
    <w:div w:id="70387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8.bin"/><Relationship Id="rId133"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image" Target="media/image47.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image" Target="media/image45.wmf"/><Relationship Id="rId123" Type="http://schemas.openxmlformats.org/officeDocument/2006/relationships/oleObject" Target="embeddings/oleObject64.bin"/><Relationship Id="rId128" Type="http://schemas.openxmlformats.org/officeDocument/2006/relationships/image" Target="media/image58.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image" Target="media/image35.wmf"/><Relationship Id="rId100" Type="http://schemas.openxmlformats.org/officeDocument/2006/relationships/oleObject" Target="embeddings/oleObject50.bin"/><Relationship Id="rId105" Type="http://schemas.openxmlformats.org/officeDocument/2006/relationships/image" Target="media/image46.wmf"/><Relationship Id="rId113" Type="http://schemas.openxmlformats.org/officeDocument/2006/relationships/image" Target="media/image49.wmf"/><Relationship Id="rId118" Type="http://schemas.openxmlformats.org/officeDocument/2006/relationships/image" Target="media/image51.wmf"/><Relationship Id="rId126" Type="http://schemas.openxmlformats.org/officeDocument/2006/relationships/image" Target="media/image56.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oleObject" Target="embeddings/oleObject6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52.bin"/><Relationship Id="rId108" Type="http://schemas.openxmlformats.org/officeDocument/2006/relationships/oleObject" Target="embeddings/oleObject55.bin"/><Relationship Id="rId116" Type="http://schemas.openxmlformats.org/officeDocument/2006/relationships/image" Target="media/image50.wmf"/><Relationship Id="rId124" Type="http://schemas.openxmlformats.org/officeDocument/2006/relationships/image" Target="media/image54.wmf"/><Relationship Id="rId129" Type="http://schemas.openxmlformats.org/officeDocument/2006/relationships/image" Target="media/image59.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oleObject" Target="embeddings/oleObject57.bin"/><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4.bin"/><Relationship Id="rId114" Type="http://schemas.openxmlformats.org/officeDocument/2006/relationships/oleObject" Target="embeddings/oleObject59.bin"/><Relationship Id="rId119" Type="http://schemas.openxmlformats.org/officeDocument/2006/relationships/oleObject" Target="embeddings/oleObject62.bin"/><Relationship Id="rId127" Type="http://schemas.openxmlformats.org/officeDocument/2006/relationships/image" Target="media/image57.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image" Target="media/image53.wmf"/><Relationship Id="rId13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image" Target="media/image48.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oleObject" Target="embeddings/oleObject53.bin"/><Relationship Id="rId120" Type="http://schemas.openxmlformats.org/officeDocument/2006/relationships/image" Target="media/image52.wmf"/><Relationship Id="rId125" Type="http://schemas.openxmlformats.org/officeDocument/2006/relationships/image" Target="media/image55.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6.bin"/><Relationship Id="rId115" Type="http://schemas.openxmlformats.org/officeDocument/2006/relationships/oleObject" Target="embeddings/oleObject60.bin"/><Relationship Id="rId131" Type="http://schemas.openxmlformats.org/officeDocument/2006/relationships/footer" Target="footer2.xml"/><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1</TotalTime>
  <Pages>50</Pages>
  <Words>15422</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Workforce Investment Act Adult and Dislocated Worker Programs Gold Standard Evaluation:  OMB Supporting Statement</dc:title>
  <dc:subject/>
  <dc:creator>Donna Dorsey</dc:creator>
  <cp:keywords/>
  <dc:description/>
  <cp:lastModifiedBy>pederson.eileen</cp:lastModifiedBy>
  <cp:revision>2</cp:revision>
  <cp:lastPrinted>2011-09-19T13:26:00Z</cp:lastPrinted>
  <dcterms:created xsi:type="dcterms:W3CDTF">2011-09-20T19:06:00Z</dcterms:created>
  <dcterms:modified xsi:type="dcterms:W3CDTF">2011-09-20T19:06:00Z</dcterms:modified>
</cp:coreProperties>
</file>