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B" w:rsidRDefault="00853F0B">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853F0B" w:rsidRDefault="00E90333">
      <w:pPr>
        <w:jc w:val="center"/>
        <w:rPr>
          <w:b/>
          <w:bCs/>
          <w:sz w:val="24"/>
          <w:szCs w:val="24"/>
        </w:rPr>
      </w:pPr>
      <w:r>
        <w:rPr>
          <w:b/>
          <w:bCs/>
          <w:sz w:val="24"/>
          <w:szCs w:val="24"/>
        </w:rPr>
        <w:t>OMB No. 1545-1201</w:t>
      </w:r>
    </w:p>
    <w:p w:rsidR="00E90333" w:rsidRDefault="00E90333">
      <w:pPr>
        <w:jc w:val="center"/>
        <w:rPr>
          <w:sz w:val="24"/>
          <w:szCs w:val="24"/>
        </w:rPr>
      </w:pPr>
      <w:r>
        <w:rPr>
          <w:b/>
          <w:bCs/>
          <w:sz w:val="24"/>
          <w:szCs w:val="24"/>
        </w:rPr>
        <w:t>TD 8455</w:t>
      </w:r>
    </w:p>
    <w:p w:rsidR="00853F0B" w:rsidRDefault="00853F0B">
      <w:pPr>
        <w:jc w:val="center"/>
        <w:rPr>
          <w:sz w:val="24"/>
          <w:szCs w:val="24"/>
        </w:rPr>
      </w:pPr>
    </w:p>
    <w:p w:rsidR="00853F0B" w:rsidRDefault="00853F0B">
      <w:pPr>
        <w:rPr>
          <w:b/>
          <w:bCs/>
          <w:sz w:val="24"/>
          <w:szCs w:val="24"/>
        </w:rPr>
      </w:pPr>
    </w:p>
    <w:p w:rsidR="00853F0B" w:rsidRDefault="00853F0B" w:rsidP="00853F0B">
      <w:pPr>
        <w:pStyle w:val="Level1"/>
        <w:numPr>
          <w:ilvl w:val="0"/>
          <w:numId w:val="1"/>
        </w:numPr>
        <w:tabs>
          <w:tab w:val="left" w:pos="720"/>
        </w:tabs>
        <w:ind w:left="720" w:hanging="720"/>
        <w:jc w:val="left"/>
      </w:pPr>
      <w:r>
        <w:rPr>
          <w:b/>
          <w:bCs/>
        </w:rPr>
        <w:t xml:space="preserve"> </w:t>
      </w:r>
      <w:r>
        <w:rPr>
          <w:b/>
          <w:bCs/>
          <w:u w:val="single"/>
        </w:rPr>
        <w:t>CIRCUMSTANCES NECESSITATING COLLECTION OF INFORMATION</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Section 179 of the Code provides an election for taxpayers to expense the cost or portion of the cost of certain depreciable business assets placed in service in a taxable year. Section 179(b) provides dollar and taxable income limitations on the amount that may be expensed for any taxable year. Section 179(b)(4) provides that married individuals filing separately must each use half of the total amount of the dollar limitation, unless they elect otherwise. Section 1.179-2(b)(6) of the regulations provides rules for this election.</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Section 179(d)(6) of the Code provides that the Secretary shall apportion the dollar limitation among the component members of a controlled group. Section 1.179-2(b)(7) of the regulations provides rules for so apportioning the dollar limitation. Section 1.179-2(b)(7) of the regulations provides, generally, that the common parent corporation of the controlled group must file a statement attached to the income tax return in which the section 179 election is made describing this apportionment.</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Section 179(b)(3)(A) of the Code provides that a taxpayer may not deduct in any one taxable year the excess of the amount elected to be expensed by the taxpayer over the taxpayer's taxable income for the taxable year. The excess must be carried forward to a future taxable year (referred to as a carryover of disallowed deduction). Section 179(b)(3)(B) provides rules on deducting a carryover of disallowed deduction. Under section 1.179-3 of the regulations, each carryover must relate to a specific item of property so that the recapture rules of sections 179(d)(10) and 1245 work properly. Section 1.179-</w:t>
      </w:r>
      <w:r w:rsidR="005F7A26">
        <w:rPr>
          <w:sz w:val="24"/>
          <w:szCs w:val="24"/>
        </w:rPr>
        <w:t>3(e) of the regulation</w:t>
      </w:r>
      <w:r>
        <w:rPr>
          <w:sz w:val="24"/>
          <w:szCs w:val="24"/>
        </w:rPr>
        <w:t xml:space="preserve"> provides that the taxpayer may select the properties and apportionment of the cost that will be subject to a carryover of disallowed deduction. Further, it provides an ordering rule if the taxpayer is allowed to deduct a portion of the total carryover of disallowed deduction in a future taxable year. The taxpayer is required to keep its books and records to properly account for each carryover.</w:t>
      </w:r>
    </w:p>
    <w:p w:rsidR="00853F0B" w:rsidRDefault="00853F0B" w:rsidP="00853F0B">
      <w:pPr>
        <w:numPr>
          <w:ilvl w:val="12"/>
          <w:numId w:val="0"/>
        </w:numPr>
        <w:rPr>
          <w:sz w:val="24"/>
          <w:szCs w:val="24"/>
        </w:rPr>
      </w:pPr>
    </w:p>
    <w:p w:rsidR="00853F0B" w:rsidRDefault="00853F0B" w:rsidP="00853F0B">
      <w:pPr>
        <w:pStyle w:val="Level1"/>
        <w:numPr>
          <w:ilvl w:val="0"/>
          <w:numId w:val="1"/>
        </w:numPr>
        <w:tabs>
          <w:tab w:val="left" w:pos="720"/>
        </w:tabs>
        <w:ind w:left="720" w:hanging="720"/>
        <w:jc w:val="left"/>
      </w:pPr>
      <w:r>
        <w:rPr>
          <w:b/>
          <w:bCs/>
        </w:rPr>
        <w:t xml:space="preserve"> </w:t>
      </w:r>
      <w:r>
        <w:rPr>
          <w:b/>
          <w:bCs/>
          <w:u w:val="single"/>
        </w:rPr>
        <w:t>USE OF DATA</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The information required by section 1.179-2(b)(6) of the regulations will be used by the Internal Revenue Service to insure that married individuals filing separate returns properly allocate the cost of section 179 property elected to be expensed in a taxable year.</w:t>
      </w:r>
    </w:p>
    <w:p w:rsidR="00853F0B" w:rsidRDefault="00853F0B" w:rsidP="00853F0B">
      <w:pPr>
        <w:numPr>
          <w:ilvl w:val="12"/>
          <w:numId w:val="0"/>
        </w:numPr>
        <w:rPr>
          <w:sz w:val="24"/>
          <w:szCs w:val="24"/>
        </w:rPr>
      </w:pPr>
    </w:p>
    <w:p w:rsidR="00853F0B" w:rsidRDefault="005F7A26" w:rsidP="00853F0B">
      <w:pPr>
        <w:numPr>
          <w:ilvl w:val="12"/>
          <w:numId w:val="0"/>
        </w:numPr>
        <w:tabs>
          <w:tab w:val="left" w:pos="720"/>
        </w:tabs>
        <w:ind w:left="720" w:hanging="720"/>
        <w:rPr>
          <w:sz w:val="24"/>
          <w:szCs w:val="24"/>
        </w:rPr>
      </w:pPr>
      <w:r>
        <w:rPr>
          <w:sz w:val="24"/>
          <w:szCs w:val="24"/>
        </w:rPr>
        <w:br w:type="page"/>
      </w:r>
      <w:r w:rsidR="00853F0B">
        <w:rPr>
          <w:sz w:val="24"/>
          <w:szCs w:val="24"/>
        </w:rPr>
        <w:lastRenderedPageBreak/>
        <w:tab/>
        <w:t>The information required by section 1.179-2(b)(7)(ii) of the regulations will be used by the Internal Revenue Service to insure that the dollar limitation is properly apportioned among the component members of a controlled group.</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The information required by section 1.179-3(e) of the regulations will be used by the Internal Revenue Service to insure that taxpayers use their carryover of disallowed deduction in the proper order.</w:t>
      </w:r>
    </w:p>
    <w:p w:rsidR="00853F0B" w:rsidRDefault="00853F0B" w:rsidP="00853F0B">
      <w:pPr>
        <w:numPr>
          <w:ilvl w:val="12"/>
          <w:numId w:val="0"/>
        </w:numPr>
        <w:rPr>
          <w:sz w:val="24"/>
          <w:szCs w:val="24"/>
        </w:rPr>
      </w:pPr>
    </w:p>
    <w:p w:rsidR="00853F0B" w:rsidRDefault="00853F0B" w:rsidP="00853F0B">
      <w:pPr>
        <w:pStyle w:val="Level1"/>
        <w:numPr>
          <w:ilvl w:val="0"/>
          <w:numId w:val="1"/>
        </w:numPr>
        <w:tabs>
          <w:tab w:val="left" w:pos="720"/>
        </w:tabs>
        <w:ind w:left="720" w:hanging="720"/>
        <w:jc w:val="left"/>
        <w:rPr>
          <w:b/>
          <w:bCs/>
        </w:rPr>
      </w:pPr>
      <w:r>
        <w:rPr>
          <w:b/>
          <w:bCs/>
        </w:rPr>
        <w:t xml:space="preserve"> </w:t>
      </w:r>
      <w:r>
        <w:rPr>
          <w:b/>
          <w:bCs/>
          <w:u w:val="single"/>
        </w:rPr>
        <w:t>USE OF IMPROVED INFORMATION TECHNOLOGY TO REDUCE BURDEN</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IRS Publication, Regulations, Notices and Letters are to be electronically enabled on an as practicable basis in accordance with the IRS Reform and Restructuring Act of 1998.</w:t>
      </w:r>
      <w:r w:rsidR="00F55F86">
        <w:rPr>
          <w:sz w:val="24"/>
          <w:szCs w:val="24"/>
        </w:rPr>
        <w:t xml:space="preserve">  Every effort is made in providing electronic submission where applicable.</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b/>
          <w:bCs/>
          <w:sz w:val="24"/>
          <w:szCs w:val="24"/>
        </w:rPr>
      </w:pPr>
      <w:r>
        <w:rPr>
          <w:b/>
          <w:bCs/>
          <w:sz w:val="24"/>
          <w:szCs w:val="24"/>
        </w:rPr>
        <w:t xml:space="preserve"> 4. </w:t>
      </w:r>
      <w:r>
        <w:rPr>
          <w:b/>
          <w:bCs/>
          <w:sz w:val="24"/>
          <w:szCs w:val="24"/>
        </w:rPr>
        <w:tab/>
      </w:r>
      <w:r>
        <w:rPr>
          <w:b/>
          <w:bCs/>
          <w:sz w:val="24"/>
          <w:szCs w:val="24"/>
          <w:u w:val="single"/>
        </w:rPr>
        <w:t>EFFORTS TO IDENTIFY DUPLICATION</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We have attempted to eliminate duplication within the agency wherever possible.</w:t>
      </w:r>
    </w:p>
    <w:p w:rsidR="00853F0B" w:rsidRDefault="00853F0B" w:rsidP="00853F0B">
      <w:pPr>
        <w:numPr>
          <w:ilvl w:val="12"/>
          <w:numId w:val="0"/>
        </w:numPr>
        <w:rPr>
          <w:sz w:val="24"/>
          <w:szCs w:val="24"/>
        </w:rPr>
      </w:pPr>
    </w:p>
    <w:p w:rsidR="00853F0B" w:rsidRDefault="00853F0B">
      <w:pPr>
        <w:spacing w:line="2" w:lineRule="exact"/>
        <w:rPr>
          <w:sz w:val="24"/>
          <w:szCs w:val="24"/>
        </w:rPr>
      </w:pPr>
    </w:p>
    <w:p w:rsidR="00853F0B" w:rsidRDefault="00853F0B" w:rsidP="00853F0B">
      <w:pPr>
        <w:pStyle w:val="Level1"/>
        <w:numPr>
          <w:ilvl w:val="0"/>
          <w:numId w:val="2"/>
        </w:numPr>
        <w:tabs>
          <w:tab w:val="left" w:pos="720"/>
        </w:tabs>
        <w:ind w:left="720" w:hanging="720"/>
        <w:jc w:val="left"/>
      </w:pPr>
      <w:r>
        <w:rPr>
          <w:b/>
          <w:bCs/>
        </w:rPr>
        <w:t xml:space="preserve"> </w:t>
      </w:r>
      <w:r>
        <w:rPr>
          <w:b/>
          <w:bCs/>
          <w:u w:val="single"/>
        </w:rPr>
        <w:t>METHODS TO MINIMIZE BURDEN ON SMALL BUSINESSES OR OTHER SMALL ENTITIES</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rPr>
      </w:pPr>
      <w:r>
        <w:rPr>
          <w:b/>
          <w:bCs/>
        </w:rPr>
        <w:t xml:space="preserve"> </w:t>
      </w:r>
      <w:r>
        <w:rPr>
          <w:b/>
          <w:bCs/>
          <w:u w:val="single"/>
        </w:rPr>
        <w:t>CONSEQUENCES OF LESS FREQUENT COLLECTION ON FEDERAL PROGRAMS</w:t>
      </w:r>
      <w:r w:rsidRPr="00F55F86">
        <w:rPr>
          <w:b/>
          <w:bCs/>
          <w:u w:val="single"/>
        </w:rPr>
        <w:t xml:space="preserve"> </w:t>
      </w:r>
      <w:r>
        <w:rPr>
          <w:b/>
          <w:bCs/>
          <w:u w:val="single"/>
        </w:rPr>
        <w:t>OR POLICY ACTIVITIES</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pPr>
      <w:r>
        <w:rPr>
          <w:b/>
          <w:bCs/>
        </w:rPr>
        <w:t xml:space="preserve"> </w:t>
      </w:r>
      <w:r>
        <w:rPr>
          <w:b/>
          <w:bCs/>
          <w:u w:val="single"/>
        </w:rPr>
        <w:t>SPECIAL CIRCUMSTANCES REQUIRING DATA COLLECTION TO BE</w:t>
      </w:r>
      <w:r>
        <w:rPr>
          <w:b/>
          <w:bCs/>
        </w:rPr>
        <w:t xml:space="preserve"> </w:t>
      </w:r>
      <w:r>
        <w:rPr>
          <w:b/>
          <w:bCs/>
          <w:u w:val="single"/>
        </w:rPr>
        <w:t>INCONSISTENT WITH GUIDELINES IN 5 CFR 1320.5(d)(2)</w:t>
      </w:r>
    </w:p>
    <w:p w:rsidR="00853F0B" w:rsidRDefault="00853F0B" w:rsidP="00853F0B">
      <w:pPr>
        <w:numPr>
          <w:ilvl w:val="12"/>
          <w:numId w:val="0"/>
        </w:numPr>
        <w:rPr>
          <w:sz w:val="24"/>
          <w:szCs w:val="24"/>
        </w:rPr>
      </w:pPr>
      <w:r>
        <w:rPr>
          <w:sz w:val="24"/>
          <w:szCs w:val="24"/>
        </w:rPr>
        <w:tab/>
      </w: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rPr>
      </w:pPr>
      <w:r>
        <w:rPr>
          <w:b/>
          <w:bCs/>
        </w:rPr>
        <w:t xml:space="preserve"> </w:t>
      </w:r>
      <w:r>
        <w:rPr>
          <w:b/>
          <w:bCs/>
          <w:u w:val="single"/>
        </w:rPr>
        <w:t>CONSULTATION WITH INDIVIDUALS OUTSIDE OF THE AGENCY ON</w:t>
      </w:r>
      <w:r>
        <w:rPr>
          <w:b/>
          <w:bCs/>
        </w:rPr>
        <w:t xml:space="preserve"> </w:t>
      </w:r>
      <w:r>
        <w:rPr>
          <w:b/>
          <w:bCs/>
          <w:u w:val="single"/>
        </w:rPr>
        <w:t>AVAILABILITY OF DATA, FREQUENCY OF COLLECTION, CLARITY OF</w:t>
      </w:r>
      <w:r>
        <w:rPr>
          <w:b/>
          <w:bCs/>
        </w:rPr>
        <w:t xml:space="preserve"> </w:t>
      </w:r>
      <w:r>
        <w:rPr>
          <w:b/>
          <w:bCs/>
          <w:u w:val="single"/>
        </w:rPr>
        <w:t>INSTRUCTIONS AND FORMS, AND DATA ELEMENTS</w:t>
      </w:r>
    </w:p>
    <w:p w:rsidR="00853F0B" w:rsidRDefault="00853F0B" w:rsidP="00853F0B">
      <w:pPr>
        <w:numPr>
          <w:ilvl w:val="12"/>
          <w:numId w:val="0"/>
        </w:numPr>
        <w:rPr>
          <w:sz w:val="24"/>
          <w:szCs w:val="24"/>
        </w:rPr>
      </w:pPr>
    </w:p>
    <w:p w:rsidR="00853F0B" w:rsidRDefault="000B5423" w:rsidP="00853F0B">
      <w:pPr>
        <w:numPr>
          <w:ilvl w:val="12"/>
          <w:numId w:val="0"/>
        </w:numPr>
        <w:tabs>
          <w:tab w:val="left" w:pos="720"/>
        </w:tabs>
        <w:ind w:left="720" w:hanging="720"/>
        <w:rPr>
          <w:sz w:val="24"/>
          <w:szCs w:val="24"/>
        </w:rPr>
      </w:pPr>
      <w:r>
        <w:rPr>
          <w:sz w:val="24"/>
          <w:szCs w:val="24"/>
        </w:rPr>
        <w:t xml:space="preserve"> </w:t>
      </w:r>
      <w:r>
        <w:rPr>
          <w:sz w:val="24"/>
          <w:szCs w:val="24"/>
        </w:rPr>
        <w:tab/>
      </w:r>
      <w:r w:rsidR="00853F0B">
        <w:rPr>
          <w:sz w:val="24"/>
          <w:szCs w:val="24"/>
        </w:rPr>
        <w:t xml:space="preserve">In response to the </w:t>
      </w:r>
      <w:r w:rsidR="00853F0B">
        <w:rPr>
          <w:b/>
          <w:bCs/>
          <w:sz w:val="24"/>
          <w:szCs w:val="24"/>
        </w:rPr>
        <w:t xml:space="preserve">Federal Register </w:t>
      </w:r>
      <w:r w:rsidR="00853F0B">
        <w:rPr>
          <w:sz w:val="24"/>
          <w:szCs w:val="24"/>
        </w:rPr>
        <w:t>notice (7</w:t>
      </w:r>
      <w:r w:rsidR="00345BF7">
        <w:rPr>
          <w:sz w:val="24"/>
          <w:szCs w:val="24"/>
        </w:rPr>
        <w:t>5</w:t>
      </w:r>
      <w:r w:rsidR="00853F0B">
        <w:rPr>
          <w:sz w:val="24"/>
          <w:szCs w:val="24"/>
        </w:rPr>
        <w:t xml:space="preserve"> FR </w:t>
      </w:r>
      <w:r w:rsidR="00345BF7">
        <w:rPr>
          <w:sz w:val="24"/>
          <w:szCs w:val="24"/>
        </w:rPr>
        <w:t>60508</w:t>
      </w:r>
      <w:r w:rsidR="00853F0B">
        <w:rPr>
          <w:sz w:val="24"/>
          <w:szCs w:val="24"/>
        </w:rPr>
        <w:t xml:space="preserve">), dated </w:t>
      </w:r>
      <w:r w:rsidR="00345BF7">
        <w:rPr>
          <w:sz w:val="24"/>
          <w:szCs w:val="24"/>
        </w:rPr>
        <w:t>September 30, 2010</w:t>
      </w:r>
      <w:r w:rsidR="00853F0B">
        <w:rPr>
          <w:sz w:val="24"/>
          <w:szCs w:val="24"/>
        </w:rPr>
        <w:t xml:space="preserve">, we received no comments during the comment period regarding </w:t>
      </w:r>
      <w:r>
        <w:rPr>
          <w:sz w:val="24"/>
          <w:szCs w:val="24"/>
        </w:rPr>
        <w:t>TD 8455</w:t>
      </w:r>
      <w:r w:rsidR="00853F0B">
        <w:rPr>
          <w:sz w:val="24"/>
          <w:szCs w:val="24"/>
        </w:rPr>
        <w:t>.</w:t>
      </w:r>
    </w:p>
    <w:p w:rsidR="00853F0B" w:rsidRDefault="00853F0B" w:rsidP="00853F0B">
      <w:pPr>
        <w:numPr>
          <w:ilvl w:val="12"/>
          <w:numId w:val="0"/>
        </w:numPr>
        <w:rPr>
          <w:b/>
          <w:bCs/>
          <w:sz w:val="24"/>
          <w:szCs w:val="24"/>
        </w:rPr>
      </w:pPr>
    </w:p>
    <w:p w:rsidR="00853F0B" w:rsidRDefault="00853F0B" w:rsidP="00853F0B">
      <w:pPr>
        <w:pStyle w:val="Level1"/>
        <w:numPr>
          <w:ilvl w:val="0"/>
          <w:numId w:val="2"/>
        </w:numPr>
        <w:tabs>
          <w:tab w:val="left" w:pos="720"/>
        </w:tabs>
        <w:ind w:left="720" w:hanging="720"/>
        <w:jc w:val="left"/>
        <w:rPr>
          <w:b/>
          <w:bCs/>
        </w:rPr>
      </w:pPr>
      <w:r>
        <w:rPr>
          <w:b/>
          <w:bCs/>
        </w:rPr>
        <w:t xml:space="preserve"> </w:t>
      </w:r>
      <w:r>
        <w:rPr>
          <w:b/>
          <w:bCs/>
          <w:u w:val="single"/>
        </w:rPr>
        <w:t>EXPLANATION OF DECISION TO PROVIDE ANY PAYMENT OR GIFT TO</w:t>
      </w:r>
    </w:p>
    <w:p w:rsidR="00853F0B" w:rsidRDefault="00853F0B" w:rsidP="00853F0B">
      <w:pPr>
        <w:numPr>
          <w:ilvl w:val="12"/>
          <w:numId w:val="0"/>
        </w:numPr>
        <w:rPr>
          <w:b/>
          <w:bCs/>
          <w:sz w:val="24"/>
          <w:szCs w:val="24"/>
        </w:rPr>
      </w:pPr>
      <w:r>
        <w:rPr>
          <w:b/>
          <w:bCs/>
          <w:sz w:val="24"/>
          <w:szCs w:val="24"/>
        </w:rPr>
        <w:tab/>
      </w:r>
      <w:r>
        <w:rPr>
          <w:b/>
          <w:bCs/>
          <w:sz w:val="24"/>
          <w:szCs w:val="24"/>
          <w:u w:val="single"/>
        </w:rPr>
        <w:t>RESPONDENTS</w:t>
      </w:r>
    </w:p>
    <w:p w:rsidR="00853F0B" w:rsidRDefault="00853F0B" w:rsidP="00853F0B">
      <w:pPr>
        <w:numPr>
          <w:ilvl w:val="12"/>
          <w:numId w:val="0"/>
        </w:numPr>
        <w:rPr>
          <w:sz w:val="24"/>
          <w:szCs w:val="24"/>
        </w:rPr>
      </w:pPr>
    </w:p>
    <w:p w:rsidR="00853F0B" w:rsidRDefault="005F7A26" w:rsidP="00853F0B">
      <w:pPr>
        <w:numPr>
          <w:ilvl w:val="12"/>
          <w:numId w:val="0"/>
        </w:numPr>
        <w:tabs>
          <w:tab w:val="left" w:pos="720"/>
        </w:tabs>
        <w:ind w:left="720" w:hanging="720"/>
        <w:rPr>
          <w:sz w:val="24"/>
          <w:szCs w:val="24"/>
        </w:rPr>
      </w:pPr>
      <w:r>
        <w:rPr>
          <w:sz w:val="24"/>
          <w:szCs w:val="24"/>
        </w:rPr>
        <w:t xml:space="preserve">  </w:t>
      </w:r>
      <w:r>
        <w:rPr>
          <w:sz w:val="24"/>
          <w:szCs w:val="24"/>
        </w:rPr>
        <w:tab/>
      </w:r>
      <w:r w:rsidR="00853F0B">
        <w:rPr>
          <w:sz w:val="24"/>
          <w:szCs w:val="24"/>
        </w:rPr>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rPr>
      </w:pPr>
      <w:r>
        <w:rPr>
          <w:b/>
          <w:bCs/>
          <w:u w:val="single"/>
        </w:rPr>
        <w:t>ASSURANCE OF CONFIDENTIALITY OF RESPONSES</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Generally, tax returns and return information are confidential as required by 26 USC 6103.</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u w:val="single"/>
        </w:rPr>
      </w:pPr>
      <w:r>
        <w:rPr>
          <w:b/>
          <w:bCs/>
          <w:u w:val="single"/>
        </w:rPr>
        <w:t>JUSTIFICATION OF SENSITIVE QUESTIONS</w:t>
      </w:r>
    </w:p>
    <w:p w:rsidR="00853F0B" w:rsidRDefault="00853F0B" w:rsidP="00853F0B">
      <w:pPr>
        <w:numPr>
          <w:ilvl w:val="12"/>
          <w:numId w:val="0"/>
        </w:numPr>
        <w:rPr>
          <w:sz w:val="24"/>
          <w:szCs w:val="24"/>
        </w:rPr>
      </w:pPr>
    </w:p>
    <w:p w:rsidR="00853F0B" w:rsidRDefault="000B5423" w:rsidP="00853F0B">
      <w:pPr>
        <w:numPr>
          <w:ilvl w:val="12"/>
          <w:numId w:val="0"/>
        </w:numPr>
        <w:tabs>
          <w:tab w:val="left" w:pos="720"/>
        </w:tabs>
        <w:ind w:left="720" w:hanging="720"/>
        <w:rPr>
          <w:sz w:val="24"/>
          <w:szCs w:val="24"/>
        </w:rPr>
      </w:pPr>
      <w:r>
        <w:rPr>
          <w:sz w:val="24"/>
          <w:szCs w:val="24"/>
        </w:rPr>
        <w:t xml:space="preserve">   </w:t>
      </w:r>
      <w:r>
        <w:rPr>
          <w:sz w:val="24"/>
          <w:szCs w:val="24"/>
        </w:rPr>
        <w:tab/>
      </w:r>
      <w:r w:rsidR="00853F0B">
        <w:rPr>
          <w:sz w:val="24"/>
          <w:szCs w:val="24"/>
        </w:rPr>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pPr>
      <w:r>
        <w:rPr>
          <w:b/>
          <w:bCs/>
          <w:u w:val="single"/>
        </w:rPr>
        <w:t>ESTIMATED BURDEN OF INFORMATION COLLECTION</w:t>
      </w:r>
    </w:p>
    <w:p w:rsidR="00853F0B" w:rsidRDefault="00853F0B" w:rsidP="00853F0B">
      <w:pPr>
        <w:numPr>
          <w:ilvl w:val="12"/>
          <w:numId w:val="0"/>
        </w:numPr>
        <w:rPr>
          <w:sz w:val="24"/>
          <w:szCs w:val="24"/>
        </w:rPr>
      </w:pPr>
    </w:p>
    <w:p w:rsidR="00853F0B" w:rsidRDefault="00853F0B" w:rsidP="00853F0B">
      <w:pPr>
        <w:numPr>
          <w:ilvl w:val="12"/>
          <w:numId w:val="0"/>
        </w:numPr>
        <w:rPr>
          <w:sz w:val="24"/>
          <w:szCs w:val="24"/>
        </w:rPr>
      </w:pPr>
      <w:r>
        <w:rPr>
          <w:sz w:val="24"/>
          <w:szCs w:val="24"/>
        </w:rPr>
        <w:tab/>
        <w:t>We estimate the burden for this regulation to be as follows:</w:t>
      </w:r>
    </w:p>
    <w:p w:rsidR="00853F0B" w:rsidRDefault="00853F0B" w:rsidP="00853F0B">
      <w:pPr>
        <w:numPr>
          <w:ilvl w:val="12"/>
          <w:numId w:val="0"/>
        </w:numPr>
        <w:rPr>
          <w:sz w:val="24"/>
          <w:szCs w:val="24"/>
        </w:rPr>
      </w:pPr>
    </w:p>
    <w:p w:rsidR="00853F0B" w:rsidRDefault="00853F0B" w:rsidP="00853F0B">
      <w:pPr>
        <w:numPr>
          <w:ilvl w:val="12"/>
          <w:numId w:val="0"/>
        </w:numPr>
        <w:ind w:left="720"/>
        <w:rPr>
          <w:sz w:val="24"/>
          <w:szCs w:val="24"/>
        </w:rPr>
      </w:pPr>
      <w:r>
        <w:rPr>
          <w:sz w:val="24"/>
          <w:szCs w:val="24"/>
        </w:rPr>
        <w:t>Section 1.179-2(b)(6) of the regulations sets forth rules pursuant to section 179(b)(4) of the Code that permit married individuals filing separate returns to elect to apportion the dollar limitation. We estimate that approximately 5,000 elections will be made per year and it will take approximately .50 hours to complete the election. Total burden: 2,500 hours.</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Section 1.179-2(b)(7) of the regulations provides rules under section 179(d)(6) of the Code on the apportionment of the dollar limitation among component members of a controlled group. Under these rules, the common parent corporation is required to file a statement attached to the income tax return in which the section 179 election is made describing the apportionment. We estimate that approximately 5,000 taxpayers will be affected per year and it will take approximately 1 hour to prepare this statement. Total burden: 5,000 hours.</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Section 1.179-3(e) of the regulations provides rules describing the recordkeeping requirements when a taxpayer has a carryover of disallowed deduction. We estimate that approximately 10,000 taxpayers will be affected per year and it will take approximately .75 hours to keep these records. Total burden: 7,500 hours.</w:t>
      </w:r>
    </w:p>
    <w:p w:rsidR="00853F0B" w:rsidRDefault="00853F0B" w:rsidP="00853F0B">
      <w:pPr>
        <w:numPr>
          <w:ilvl w:val="12"/>
          <w:numId w:val="0"/>
        </w:numPr>
        <w:rPr>
          <w:sz w:val="24"/>
          <w:szCs w:val="24"/>
        </w:rPr>
      </w:pPr>
    </w:p>
    <w:tbl>
      <w:tblPr>
        <w:tblStyle w:val="TableGrid"/>
        <w:tblW w:w="0" w:type="auto"/>
        <w:tblInd w:w="918" w:type="dxa"/>
        <w:tblLook w:val="04A0"/>
      </w:tblPr>
      <w:tblGrid>
        <w:gridCol w:w="2250"/>
        <w:gridCol w:w="2160"/>
        <w:gridCol w:w="1980"/>
        <w:gridCol w:w="1980"/>
      </w:tblGrid>
      <w:tr w:rsidR="000B5423" w:rsidTr="000B5423">
        <w:tc>
          <w:tcPr>
            <w:tcW w:w="2250" w:type="dxa"/>
            <w:vAlign w:val="center"/>
          </w:tcPr>
          <w:p w:rsidR="000B5423" w:rsidRDefault="000B5423" w:rsidP="000B5423">
            <w:pPr>
              <w:numPr>
                <w:ilvl w:val="12"/>
                <w:numId w:val="0"/>
              </w:numPr>
              <w:jc w:val="center"/>
              <w:rPr>
                <w:sz w:val="24"/>
                <w:szCs w:val="24"/>
              </w:rPr>
            </w:pPr>
            <w:r>
              <w:rPr>
                <w:sz w:val="24"/>
                <w:szCs w:val="24"/>
              </w:rPr>
              <w:t>Section</w:t>
            </w:r>
          </w:p>
        </w:tc>
        <w:tc>
          <w:tcPr>
            <w:tcW w:w="2160" w:type="dxa"/>
            <w:vAlign w:val="center"/>
          </w:tcPr>
          <w:p w:rsidR="000B5423" w:rsidRDefault="000B5423" w:rsidP="000B5423">
            <w:pPr>
              <w:numPr>
                <w:ilvl w:val="12"/>
                <w:numId w:val="0"/>
              </w:numPr>
              <w:jc w:val="center"/>
              <w:rPr>
                <w:sz w:val="24"/>
                <w:szCs w:val="24"/>
              </w:rPr>
            </w:pPr>
            <w:r>
              <w:rPr>
                <w:sz w:val="24"/>
                <w:szCs w:val="24"/>
              </w:rPr>
              <w:t>Responses</w:t>
            </w:r>
          </w:p>
        </w:tc>
        <w:tc>
          <w:tcPr>
            <w:tcW w:w="1980" w:type="dxa"/>
            <w:vAlign w:val="center"/>
          </w:tcPr>
          <w:p w:rsidR="000B5423" w:rsidRDefault="000B5423" w:rsidP="000B5423">
            <w:pPr>
              <w:numPr>
                <w:ilvl w:val="12"/>
                <w:numId w:val="0"/>
              </w:numPr>
              <w:jc w:val="center"/>
              <w:rPr>
                <w:sz w:val="24"/>
                <w:szCs w:val="24"/>
              </w:rPr>
            </w:pPr>
            <w:r>
              <w:rPr>
                <w:sz w:val="24"/>
                <w:szCs w:val="24"/>
              </w:rPr>
              <w:t>Hrs. per Response</w:t>
            </w:r>
          </w:p>
        </w:tc>
        <w:tc>
          <w:tcPr>
            <w:tcW w:w="1980" w:type="dxa"/>
            <w:vAlign w:val="center"/>
          </w:tcPr>
          <w:p w:rsidR="000B5423" w:rsidRDefault="000B5423" w:rsidP="000B5423">
            <w:pPr>
              <w:numPr>
                <w:ilvl w:val="12"/>
                <w:numId w:val="0"/>
              </w:numPr>
              <w:jc w:val="center"/>
              <w:rPr>
                <w:sz w:val="24"/>
                <w:szCs w:val="24"/>
              </w:rPr>
            </w:pPr>
            <w:r>
              <w:rPr>
                <w:sz w:val="24"/>
                <w:szCs w:val="24"/>
              </w:rPr>
              <w:t>Total Annual Burden</w:t>
            </w:r>
          </w:p>
        </w:tc>
      </w:tr>
      <w:tr w:rsidR="000B5423" w:rsidTr="000B5423">
        <w:tc>
          <w:tcPr>
            <w:tcW w:w="2250" w:type="dxa"/>
          </w:tcPr>
          <w:p w:rsidR="000B5423" w:rsidRDefault="000B5423" w:rsidP="00853F0B">
            <w:pPr>
              <w:numPr>
                <w:ilvl w:val="12"/>
                <w:numId w:val="0"/>
              </w:numPr>
              <w:rPr>
                <w:sz w:val="24"/>
                <w:szCs w:val="24"/>
              </w:rPr>
            </w:pPr>
            <w:r>
              <w:rPr>
                <w:sz w:val="24"/>
                <w:szCs w:val="24"/>
              </w:rPr>
              <w:t>179-2(b)(6)</w:t>
            </w:r>
          </w:p>
        </w:tc>
        <w:tc>
          <w:tcPr>
            <w:tcW w:w="2160" w:type="dxa"/>
          </w:tcPr>
          <w:p w:rsidR="000B5423" w:rsidRDefault="000B5423" w:rsidP="000B5423">
            <w:pPr>
              <w:numPr>
                <w:ilvl w:val="12"/>
                <w:numId w:val="0"/>
              </w:numPr>
              <w:tabs>
                <w:tab w:val="right" w:pos="1242"/>
              </w:tabs>
              <w:rPr>
                <w:sz w:val="24"/>
                <w:szCs w:val="24"/>
              </w:rPr>
            </w:pPr>
            <w:r>
              <w:rPr>
                <w:sz w:val="24"/>
                <w:szCs w:val="24"/>
              </w:rPr>
              <w:tab/>
              <w:t>5,000</w:t>
            </w:r>
          </w:p>
        </w:tc>
        <w:tc>
          <w:tcPr>
            <w:tcW w:w="1980" w:type="dxa"/>
          </w:tcPr>
          <w:p w:rsidR="000B5423" w:rsidRDefault="000B5423" w:rsidP="005F7A26">
            <w:pPr>
              <w:numPr>
                <w:ilvl w:val="12"/>
                <w:numId w:val="0"/>
              </w:numPr>
              <w:tabs>
                <w:tab w:val="decimal" w:pos="792"/>
              </w:tabs>
              <w:rPr>
                <w:sz w:val="24"/>
                <w:szCs w:val="24"/>
              </w:rPr>
            </w:pPr>
            <w:r>
              <w:rPr>
                <w:sz w:val="24"/>
                <w:szCs w:val="24"/>
              </w:rPr>
              <w:t>0.50</w:t>
            </w:r>
          </w:p>
        </w:tc>
        <w:tc>
          <w:tcPr>
            <w:tcW w:w="1980" w:type="dxa"/>
          </w:tcPr>
          <w:p w:rsidR="000B5423" w:rsidRDefault="000B5423" w:rsidP="000B5423">
            <w:pPr>
              <w:numPr>
                <w:ilvl w:val="12"/>
                <w:numId w:val="0"/>
              </w:numPr>
              <w:tabs>
                <w:tab w:val="right" w:pos="1242"/>
              </w:tabs>
              <w:rPr>
                <w:sz w:val="24"/>
                <w:szCs w:val="24"/>
              </w:rPr>
            </w:pPr>
            <w:r>
              <w:rPr>
                <w:sz w:val="24"/>
                <w:szCs w:val="24"/>
              </w:rPr>
              <w:tab/>
              <w:t>2,500</w:t>
            </w:r>
          </w:p>
        </w:tc>
      </w:tr>
      <w:tr w:rsidR="000B5423" w:rsidTr="000B5423">
        <w:tc>
          <w:tcPr>
            <w:tcW w:w="2250" w:type="dxa"/>
          </w:tcPr>
          <w:p w:rsidR="000B5423" w:rsidRDefault="000B5423" w:rsidP="00853F0B">
            <w:pPr>
              <w:numPr>
                <w:ilvl w:val="12"/>
                <w:numId w:val="0"/>
              </w:numPr>
              <w:rPr>
                <w:sz w:val="24"/>
                <w:szCs w:val="24"/>
              </w:rPr>
            </w:pPr>
            <w:r>
              <w:rPr>
                <w:sz w:val="24"/>
                <w:szCs w:val="24"/>
              </w:rPr>
              <w:t>179-2(b)(7)</w:t>
            </w:r>
          </w:p>
        </w:tc>
        <w:tc>
          <w:tcPr>
            <w:tcW w:w="2160" w:type="dxa"/>
          </w:tcPr>
          <w:p w:rsidR="000B5423" w:rsidRDefault="000B5423" w:rsidP="000B5423">
            <w:pPr>
              <w:numPr>
                <w:ilvl w:val="12"/>
                <w:numId w:val="0"/>
              </w:numPr>
              <w:tabs>
                <w:tab w:val="right" w:pos="1242"/>
              </w:tabs>
              <w:rPr>
                <w:sz w:val="24"/>
                <w:szCs w:val="24"/>
              </w:rPr>
            </w:pPr>
            <w:r>
              <w:rPr>
                <w:sz w:val="24"/>
                <w:szCs w:val="24"/>
              </w:rPr>
              <w:tab/>
              <w:t>5,000</w:t>
            </w:r>
          </w:p>
        </w:tc>
        <w:tc>
          <w:tcPr>
            <w:tcW w:w="1980" w:type="dxa"/>
          </w:tcPr>
          <w:p w:rsidR="000B5423" w:rsidRDefault="000B5423" w:rsidP="005F7A26">
            <w:pPr>
              <w:numPr>
                <w:ilvl w:val="12"/>
                <w:numId w:val="0"/>
              </w:numPr>
              <w:tabs>
                <w:tab w:val="decimal" w:pos="792"/>
              </w:tabs>
              <w:rPr>
                <w:sz w:val="24"/>
                <w:szCs w:val="24"/>
              </w:rPr>
            </w:pPr>
            <w:r>
              <w:rPr>
                <w:sz w:val="24"/>
                <w:szCs w:val="24"/>
              </w:rPr>
              <w:t>1.00</w:t>
            </w:r>
          </w:p>
        </w:tc>
        <w:tc>
          <w:tcPr>
            <w:tcW w:w="1980" w:type="dxa"/>
          </w:tcPr>
          <w:p w:rsidR="000B5423" w:rsidRDefault="000B5423" w:rsidP="000B5423">
            <w:pPr>
              <w:numPr>
                <w:ilvl w:val="12"/>
                <w:numId w:val="0"/>
              </w:numPr>
              <w:tabs>
                <w:tab w:val="right" w:pos="1242"/>
              </w:tabs>
              <w:rPr>
                <w:sz w:val="24"/>
                <w:szCs w:val="24"/>
              </w:rPr>
            </w:pPr>
            <w:r>
              <w:rPr>
                <w:sz w:val="24"/>
                <w:szCs w:val="24"/>
              </w:rPr>
              <w:tab/>
              <w:t>5,000</w:t>
            </w:r>
          </w:p>
        </w:tc>
      </w:tr>
      <w:tr w:rsidR="000B5423" w:rsidTr="005F7A26">
        <w:tc>
          <w:tcPr>
            <w:tcW w:w="2250" w:type="dxa"/>
          </w:tcPr>
          <w:p w:rsidR="000B5423" w:rsidRDefault="000B5423" w:rsidP="00853F0B">
            <w:pPr>
              <w:numPr>
                <w:ilvl w:val="12"/>
                <w:numId w:val="0"/>
              </w:numPr>
              <w:rPr>
                <w:sz w:val="24"/>
                <w:szCs w:val="24"/>
              </w:rPr>
            </w:pPr>
            <w:r>
              <w:rPr>
                <w:sz w:val="24"/>
                <w:szCs w:val="24"/>
              </w:rPr>
              <w:t>179-3(e)</w:t>
            </w:r>
          </w:p>
        </w:tc>
        <w:tc>
          <w:tcPr>
            <w:tcW w:w="2160" w:type="dxa"/>
          </w:tcPr>
          <w:p w:rsidR="000B5423" w:rsidRDefault="000B5423" w:rsidP="000B5423">
            <w:pPr>
              <w:numPr>
                <w:ilvl w:val="12"/>
                <w:numId w:val="0"/>
              </w:numPr>
              <w:tabs>
                <w:tab w:val="right" w:pos="1242"/>
              </w:tabs>
              <w:rPr>
                <w:sz w:val="24"/>
                <w:szCs w:val="24"/>
              </w:rPr>
            </w:pPr>
            <w:r>
              <w:rPr>
                <w:sz w:val="24"/>
                <w:szCs w:val="24"/>
              </w:rPr>
              <w:tab/>
              <w:t>10,000</w:t>
            </w:r>
          </w:p>
        </w:tc>
        <w:tc>
          <w:tcPr>
            <w:tcW w:w="1980" w:type="dxa"/>
          </w:tcPr>
          <w:p w:rsidR="000B5423" w:rsidRDefault="000B5423" w:rsidP="005F7A26">
            <w:pPr>
              <w:numPr>
                <w:ilvl w:val="12"/>
                <w:numId w:val="0"/>
              </w:numPr>
              <w:tabs>
                <w:tab w:val="decimal" w:pos="792"/>
              </w:tabs>
              <w:rPr>
                <w:sz w:val="24"/>
                <w:szCs w:val="24"/>
              </w:rPr>
            </w:pPr>
            <w:r>
              <w:rPr>
                <w:sz w:val="24"/>
                <w:szCs w:val="24"/>
              </w:rPr>
              <w:t>0.75</w:t>
            </w:r>
          </w:p>
        </w:tc>
        <w:tc>
          <w:tcPr>
            <w:tcW w:w="1980" w:type="dxa"/>
          </w:tcPr>
          <w:p w:rsidR="000B5423" w:rsidRDefault="000B5423" w:rsidP="000B5423">
            <w:pPr>
              <w:numPr>
                <w:ilvl w:val="12"/>
                <w:numId w:val="0"/>
              </w:numPr>
              <w:tabs>
                <w:tab w:val="right" w:pos="1242"/>
              </w:tabs>
              <w:rPr>
                <w:sz w:val="24"/>
                <w:szCs w:val="24"/>
              </w:rPr>
            </w:pPr>
            <w:r>
              <w:rPr>
                <w:sz w:val="24"/>
                <w:szCs w:val="24"/>
              </w:rPr>
              <w:tab/>
              <w:t>7,500</w:t>
            </w:r>
          </w:p>
        </w:tc>
      </w:tr>
      <w:tr w:rsidR="000B5423" w:rsidTr="005F7A26">
        <w:trPr>
          <w:trHeight w:val="530"/>
        </w:trPr>
        <w:tc>
          <w:tcPr>
            <w:tcW w:w="2250" w:type="dxa"/>
            <w:vAlign w:val="center"/>
          </w:tcPr>
          <w:p w:rsidR="000B5423" w:rsidRDefault="005F7A26" w:rsidP="005F7A26">
            <w:pPr>
              <w:numPr>
                <w:ilvl w:val="12"/>
                <w:numId w:val="0"/>
              </w:numPr>
              <w:jc w:val="right"/>
              <w:rPr>
                <w:sz w:val="24"/>
                <w:szCs w:val="24"/>
              </w:rPr>
            </w:pPr>
            <w:r>
              <w:rPr>
                <w:sz w:val="24"/>
                <w:szCs w:val="24"/>
              </w:rPr>
              <w:t>Totals</w:t>
            </w:r>
          </w:p>
        </w:tc>
        <w:tc>
          <w:tcPr>
            <w:tcW w:w="2160" w:type="dxa"/>
            <w:vAlign w:val="center"/>
          </w:tcPr>
          <w:p w:rsidR="000B5423" w:rsidRDefault="000B5423" w:rsidP="000B5423">
            <w:pPr>
              <w:numPr>
                <w:ilvl w:val="12"/>
                <w:numId w:val="0"/>
              </w:numPr>
              <w:tabs>
                <w:tab w:val="right" w:pos="1242"/>
              </w:tabs>
              <w:rPr>
                <w:sz w:val="24"/>
                <w:szCs w:val="24"/>
              </w:rPr>
            </w:pPr>
            <w:r>
              <w:rPr>
                <w:sz w:val="24"/>
                <w:szCs w:val="24"/>
              </w:rPr>
              <w:tab/>
              <w:t>20,000</w:t>
            </w:r>
          </w:p>
        </w:tc>
        <w:tc>
          <w:tcPr>
            <w:tcW w:w="1980" w:type="dxa"/>
            <w:vAlign w:val="center"/>
          </w:tcPr>
          <w:p w:rsidR="000B5423" w:rsidRDefault="005F7A26" w:rsidP="005F7A26">
            <w:pPr>
              <w:numPr>
                <w:ilvl w:val="12"/>
                <w:numId w:val="0"/>
              </w:numPr>
              <w:tabs>
                <w:tab w:val="decimal" w:pos="792"/>
              </w:tabs>
              <w:rPr>
                <w:sz w:val="24"/>
                <w:szCs w:val="24"/>
              </w:rPr>
            </w:pPr>
            <w:r>
              <w:rPr>
                <w:sz w:val="24"/>
                <w:szCs w:val="24"/>
              </w:rPr>
              <w:t>0.75</w:t>
            </w:r>
          </w:p>
        </w:tc>
        <w:tc>
          <w:tcPr>
            <w:tcW w:w="1980" w:type="dxa"/>
            <w:vAlign w:val="center"/>
          </w:tcPr>
          <w:p w:rsidR="000B5423" w:rsidRDefault="000B5423" w:rsidP="000B5423">
            <w:pPr>
              <w:numPr>
                <w:ilvl w:val="12"/>
                <w:numId w:val="0"/>
              </w:numPr>
              <w:tabs>
                <w:tab w:val="right" w:pos="1242"/>
              </w:tabs>
              <w:jc w:val="center"/>
              <w:rPr>
                <w:sz w:val="24"/>
                <w:szCs w:val="24"/>
              </w:rPr>
            </w:pPr>
            <w:r>
              <w:rPr>
                <w:sz w:val="24"/>
                <w:szCs w:val="24"/>
              </w:rPr>
              <w:t>15,000</w:t>
            </w:r>
          </w:p>
        </w:tc>
      </w:tr>
    </w:tbl>
    <w:p w:rsidR="000B5423" w:rsidRDefault="000B5423"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Estimates of the annualized cost to respondents for the hour burdens shown are not available at this time.</w:t>
      </w:r>
    </w:p>
    <w:p w:rsidR="00853F0B" w:rsidRDefault="00853F0B" w:rsidP="00853F0B">
      <w:pPr>
        <w:numPr>
          <w:ilvl w:val="12"/>
          <w:numId w:val="0"/>
        </w:numPr>
        <w:rPr>
          <w:b/>
          <w:bCs/>
          <w:sz w:val="24"/>
          <w:szCs w:val="24"/>
        </w:rPr>
      </w:pPr>
    </w:p>
    <w:p w:rsidR="00853F0B" w:rsidRDefault="000B5423" w:rsidP="00853F0B">
      <w:pPr>
        <w:pStyle w:val="Level1"/>
        <w:numPr>
          <w:ilvl w:val="0"/>
          <w:numId w:val="2"/>
        </w:numPr>
        <w:tabs>
          <w:tab w:val="left" w:pos="720"/>
        </w:tabs>
        <w:ind w:left="720" w:hanging="720"/>
        <w:jc w:val="left"/>
      </w:pPr>
      <w:r>
        <w:rPr>
          <w:b/>
          <w:bCs/>
          <w:u w:val="single"/>
        </w:rPr>
        <w:br w:type="page"/>
      </w:r>
      <w:r w:rsidR="00853F0B">
        <w:rPr>
          <w:b/>
          <w:bCs/>
          <w:u w:val="single"/>
        </w:rPr>
        <w:lastRenderedPageBreak/>
        <w:t>ESTIMATED TOTAL ANNUAL COST BURDEN TO RESPONDENTS</w:t>
      </w:r>
    </w:p>
    <w:p w:rsidR="00853F0B" w:rsidRDefault="00853F0B" w:rsidP="00853F0B">
      <w:pPr>
        <w:numPr>
          <w:ilvl w:val="12"/>
          <w:numId w:val="0"/>
        </w:numPr>
        <w:rPr>
          <w:sz w:val="24"/>
          <w:szCs w:val="24"/>
        </w:rPr>
      </w:pPr>
    </w:p>
    <w:p w:rsidR="00853F0B" w:rsidRDefault="00853F0B" w:rsidP="00853F0B">
      <w:pPr>
        <w:numPr>
          <w:ilvl w:val="12"/>
          <w:numId w:val="0"/>
        </w:numPr>
        <w:ind w:left="720"/>
        <w:rPr>
          <w:sz w:val="24"/>
          <w:szCs w:val="24"/>
        </w:rPr>
      </w:pPr>
      <w:r>
        <w:rPr>
          <w:sz w:val="24"/>
          <w:szCs w:val="24"/>
        </w:rPr>
        <w:t xml:space="preserve">As suggested by OMB, our </w:t>
      </w:r>
      <w:r>
        <w:rPr>
          <w:b/>
          <w:bCs/>
          <w:sz w:val="24"/>
          <w:szCs w:val="24"/>
        </w:rPr>
        <w:t>Federal Register</w:t>
      </w:r>
      <w:r>
        <w:rPr>
          <w:sz w:val="24"/>
          <w:szCs w:val="24"/>
        </w:rPr>
        <w:t xml:space="preserve"> notice dated </w:t>
      </w:r>
      <w:r w:rsidR="002D7E13">
        <w:rPr>
          <w:sz w:val="24"/>
          <w:szCs w:val="24"/>
        </w:rPr>
        <w:t>September 30, 2010</w:t>
      </w:r>
      <w:r>
        <w:rPr>
          <w:sz w:val="24"/>
          <w:szCs w:val="24"/>
        </w:rPr>
        <w:t xml:space="preserve">, requested public comments on estimates of cost burden that are not captured in the estimates of burden hours, i.e., estimates of capital or start-up costs of operation, maintenance, and purchase of services to provide information.  However, we did not receive any response from taxpayers on this subject.  As a result, estimates of the cost burdens are not available at this time.     </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pPr>
      <w:r>
        <w:rPr>
          <w:b/>
          <w:bCs/>
          <w:u w:val="single"/>
        </w:rPr>
        <w:t>ESTIMATED ANNUALIZED COST TO THE FEDERAL GOVERNMENT</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pPr>
      <w:r>
        <w:rPr>
          <w:b/>
          <w:bCs/>
          <w:u w:val="single"/>
        </w:rPr>
        <w:t>REASONS FOR CHANGE IN BURDEN</w:t>
      </w:r>
    </w:p>
    <w:p w:rsidR="00853F0B" w:rsidRDefault="00853F0B" w:rsidP="00853F0B">
      <w:pPr>
        <w:numPr>
          <w:ilvl w:val="12"/>
          <w:numId w:val="0"/>
        </w:numPr>
        <w:rPr>
          <w:sz w:val="24"/>
          <w:szCs w:val="24"/>
        </w:rPr>
      </w:pPr>
    </w:p>
    <w:p w:rsidR="00853F0B" w:rsidRDefault="00F55F86" w:rsidP="00853F0B">
      <w:pPr>
        <w:numPr>
          <w:ilvl w:val="12"/>
          <w:numId w:val="0"/>
        </w:numPr>
        <w:ind w:left="720"/>
        <w:rPr>
          <w:sz w:val="24"/>
          <w:szCs w:val="24"/>
        </w:rPr>
      </w:pPr>
      <w:r>
        <w:rPr>
          <w:sz w:val="24"/>
          <w:szCs w:val="24"/>
        </w:rPr>
        <w:t>This is a revision to a currently approved information collection to correct an erroneous and inconsistent reporting of f</w:t>
      </w:r>
      <w:r w:rsidR="002D7E13" w:rsidRPr="002D7E13">
        <w:rPr>
          <w:sz w:val="24"/>
          <w:szCs w:val="24"/>
        </w:rPr>
        <w:t xml:space="preserve">iling figures and burden hours </w:t>
      </w:r>
      <w:r>
        <w:rPr>
          <w:sz w:val="24"/>
          <w:szCs w:val="24"/>
        </w:rPr>
        <w:t xml:space="preserve">in a </w:t>
      </w:r>
      <w:r w:rsidR="002D7E13" w:rsidRPr="002D7E13">
        <w:rPr>
          <w:sz w:val="24"/>
          <w:szCs w:val="24"/>
        </w:rPr>
        <w:t>submission</w:t>
      </w:r>
      <w:r>
        <w:rPr>
          <w:sz w:val="24"/>
          <w:szCs w:val="24"/>
        </w:rPr>
        <w:t xml:space="preserve"> from July 2007</w:t>
      </w:r>
      <w:r w:rsidR="002D7E13" w:rsidRPr="002D7E13">
        <w:rPr>
          <w:sz w:val="24"/>
          <w:szCs w:val="24"/>
        </w:rPr>
        <w:t xml:space="preserve">. </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rPr>
      </w:pPr>
      <w:r>
        <w:rPr>
          <w:b/>
          <w:bCs/>
          <w:u w:val="single"/>
        </w:rPr>
        <w:t>PLANS FOR TABULATION, STATISTICAL ANALYSIS AND PUBLICATION</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rPr>
          <w:b/>
          <w:bCs/>
        </w:rPr>
      </w:pPr>
      <w:r>
        <w:rPr>
          <w:b/>
          <w:bCs/>
          <w:u w:val="single"/>
        </w:rPr>
        <w:t>REASONS WHY DISPLAYING THE OMB EXPIRATION DATE IS</w:t>
      </w:r>
      <w:r>
        <w:rPr>
          <w:b/>
          <w:bCs/>
        </w:rPr>
        <w:t xml:space="preserve">  </w:t>
      </w:r>
    </w:p>
    <w:p w:rsidR="00853F0B" w:rsidRDefault="00853F0B" w:rsidP="00853F0B">
      <w:pPr>
        <w:numPr>
          <w:ilvl w:val="12"/>
          <w:numId w:val="0"/>
        </w:numPr>
        <w:tabs>
          <w:tab w:val="left" w:pos="720"/>
        </w:tabs>
        <w:ind w:left="720" w:hanging="720"/>
        <w:rPr>
          <w:sz w:val="24"/>
          <w:szCs w:val="24"/>
        </w:rPr>
      </w:pPr>
      <w:r>
        <w:rPr>
          <w:b/>
          <w:bCs/>
          <w:sz w:val="24"/>
          <w:szCs w:val="24"/>
        </w:rPr>
        <w:t xml:space="preserve">   </w:t>
      </w:r>
      <w:r>
        <w:rPr>
          <w:b/>
          <w:bCs/>
          <w:sz w:val="24"/>
          <w:szCs w:val="24"/>
        </w:rPr>
        <w:tab/>
      </w:r>
      <w:r>
        <w:rPr>
          <w:b/>
          <w:bCs/>
          <w:sz w:val="24"/>
          <w:szCs w:val="24"/>
          <w:u w:val="single"/>
        </w:rPr>
        <w:t>INAPPROPRIATE</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853F0B" w:rsidRDefault="00853F0B" w:rsidP="00853F0B">
      <w:pPr>
        <w:numPr>
          <w:ilvl w:val="12"/>
          <w:numId w:val="0"/>
        </w:numPr>
        <w:rPr>
          <w:sz w:val="24"/>
          <w:szCs w:val="24"/>
        </w:rPr>
      </w:pPr>
    </w:p>
    <w:p w:rsidR="00853F0B" w:rsidRDefault="00853F0B" w:rsidP="00853F0B">
      <w:pPr>
        <w:pStyle w:val="Level1"/>
        <w:numPr>
          <w:ilvl w:val="0"/>
          <w:numId w:val="2"/>
        </w:numPr>
        <w:tabs>
          <w:tab w:val="left" w:pos="720"/>
        </w:tabs>
        <w:ind w:left="720" w:hanging="720"/>
        <w:jc w:val="left"/>
      </w:pPr>
      <w:r>
        <w:rPr>
          <w:b/>
          <w:bCs/>
          <w:u w:val="single"/>
        </w:rPr>
        <w:t>EXCEPTIONS TO THE CERTIFICATION STATEMENT ON OMB FORM 83-I</w:t>
      </w:r>
    </w:p>
    <w:p w:rsidR="00853F0B" w:rsidRDefault="00853F0B" w:rsidP="00853F0B">
      <w:pPr>
        <w:numPr>
          <w:ilvl w:val="12"/>
          <w:numId w:val="0"/>
        </w:numPr>
        <w:rPr>
          <w:sz w:val="24"/>
          <w:szCs w:val="24"/>
        </w:rPr>
      </w:pPr>
    </w:p>
    <w:p w:rsidR="00853F0B" w:rsidRDefault="00853F0B" w:rsidP="00853F0B">
      <w:pPr>
        <w:numPr>
          <w:ilvl w:val="12"/>
          <w:numId w:val="0"/>
        </w:numPr>
        <w:tabs>
          <w:tab w:val="left" w:pos="720"/>
        </w:tabs>
        <w:ind w:left="720" w:hanging="720"/>
        <w:rPr>
          <w:sz w:val="24"/>
          <w:szCs w:val="24"/>
        </w:rPr>
      </w:pPr>
      <w:r>
        <w:rPr>
          <w:sz w:val="24"/>
          <w:szCs w:val="24"/>
        </w:rPr>
        <w:t xml:space="preserve">   </w:t>
      </w:r>
      <w:r>
        <w:rPr>
          <w:sz w:val="24"/>
          <w:szCs w:val="24"/>
        </w:rPr>
        <w:tab/>
        <w:t>Not applicable.</w:t>
      </w:r>
    </w:p>
    <w:p w:rsidR="00853F0B" w:rsidRDefault="00853F0B" w:rsidP="00853F0B">
      <w:pPr>
        <w:numPr>
          <w:ilvl w:val="12"/>
          <w:numId w:val="0"/>
        </w:numPr>
        <w:rPr>
          <w:sz w:val="24"/>
          <w:szCs w:val="24"/>
        </w:rPr>
      </w:pPr>
    </w:p>
    <w:p w:rsidR="00853F0B" w:rsidRDefault="00853F0B" w:rsidP="00853F0B">
      <w:pPr>
        <w:numPr>
          <w:ilvl w:val="12"/>
          <w:numId w:val="0"/>
        </w:numPr>
        <w:rPr>
          <w:sz w:val="24"/>
          <w:szCs w:val="24"/>
        </w:rPr>
      </w:pPr>
      <w:r>
        <w:rPr>
          <w:b/>
          <w:bCs/>
          <w:sz w:val="24"/>
          <w:szCs w:val="24"/>
          <w:u w:val="single"/>
        </w:rPr>
        <w:t>Note:</w:t>
      </w:r>
      <w:r>
        <w:rPr>
          <w:sz w:val="24"/>
          <w:szCs w:val="24"/>
        </w:rPr>
        <w:t xml:space="preserve">  The following paragraph applies to all of the collections of information in this submission:</w:t>
      </w:r>
    </w:p>
    <w:p w:rsidR="00853F0B" w:rsidRDefault="00853F0B" w:rsidP="00853F0B">
      <w:pPr>
        <w:numPr>
          <w:ilvl w:val="12"/>
          <w:numId w:val="0"/>
        </w:numPr>
        <w:rPr>
          <w:sz w:val="24"/>
          <w:szCs w:val="24"/>
        </w:rPr>
      </w:pPr>
    </w:p>
    <w:p w:rsidR="00853F0B" w:rsidRDefault="00853F0B" w:rsidP="00853F0B">
      <w:pPr>
        <w:numPr>
          <w:ilvl w:val="12"/>
          <w:numId w:val="0"/>
        </w:numPr>
        <w:rPr>
          <w:sz w:val="24"/>
          <w:szCs w:val="24"/>
        </w:rPr>
      </w:pPr>
      <w:r>
        <w:rPr>
          <w:sz w:val="24"/>
          <w:szCs w:val="24"/>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Pr>
          <w:sz w:val="24"/>
          <w:szCs w:val="24"/>
        </w:rPr>
        <w:tab/>
        <w:t xml:space="preserve">  </w:t>
      </w:r>
    </w:p>
    <w:sectPr w:rsidR="00853F0B">
      <w:headerReference w:type="default" r:id="rId7"/>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0B" w:rsidRDefault="00853F0B">
      <w:r>
        <w:separator/>
      </w:r>
    </w:p>
  </w:endnote>
  <w:endnote w:type="continuationSeparator" w:id="0">
    <w:p w:rsidR="00853F0B" w:rsidRDefault="00853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man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0B" w:rsidRDefault="00853F0B">
      <w:r>
        <w:separator/>
      </w:r>
    </w:p>
  </w:footnote>
  <w:footnote w:type="continuationSeparator" w:id="0">
    <w:p w:rsidR="00853F0B" w:rsidRDefault="0085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0B" w:rsidRDefault="00853F0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C8190D">
      <w:rPr>
        <w:noProof/>
        <w:sz w:val="24"/>
        <w:szCs w:val="24"/>
      </w:rPr>
      <w:t>4</w:t>
    </w:r>
    <w:r>
      <w:rPr>
        <w:sz w:val="24"/>
        <w:szCs w:val="24"/>
      </w:rPr>
      <w:fldChar w:fldCharType="end"/>
    </w:r>
  </w:p>
  <w:p w:rsidR="00853F0B" w:rsidRDefault="00853F0B">
    <w:pP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54CA7"/>
    <w:multiLevelType w:val="singleLevel"/>
    <w:tmpl w:val="EF08B49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5C8108FB"/>
    <w:multiLevelType w:val="singleLevel"/>
    <w:tmpl w:val="7BEA49EE"/>
    <w:lvl w:ilvl="0">
      <w:start w:val="5"/>
      <w:numFmt w:val="decimal"/>
      <w:lvlText w:val="%1."/>
      <w:legacy w:legacy="1" w:legacySpace="0" w:legacyIndent="1"/>
      <w:lvlJc w:val="left"/>
      <w:pPr>
        <w:ind w:left="1" w:hanging="1"/>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53F0B"/>
    <w:rsid w:val="000B5423"/>
    <w:rsid w:val="002D7E13"/>
    <w:rsid w:val="00345BF7"/>
    <w:rsid w:val="005F7A26"/>
    <w:rsid w:val="006D5B73"/>
    <w:rsid w:val="00853F0B"/>
    <w:rsid w:val="00B52D6D"/>
    <w:rsid w:val="00C8190D"/>
    <w:rsid w:val="00E90333"/>
    <w:rsid w:val="00F5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Roman 10cpi" w:hAnsi="Roman 10cpi" w:cs="Roman 10cp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Roman 10cpi" w:hAnsi="Roman 10cpi" w:cs="Roman 10cpi"/>
      <w:sz w:val="24"/>
      <w:szCs w:val="24"/>
    </w:rPr>
  </w:style>
  <w:style w:type="table" w:styleId="TableGrid">
    <w:name w:val="Table Grid"/>
    <w:basedOn w:val="TableNormal"/>
    <w:uiPriority w:val="59"/>
    <w:rsid w:val="000B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6697</Characters>
  <Application>Microsoft Office Word</Application>
  <DocSecurity>0</DocSecurity>
  <Lines>55</Lines>
  <Paragraphs>15</Paragraphs>
  <ScaleCrop>false</ScaleCrop>
  <Company>The U.S. Department of the Treasury</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DURBALA7</dc:creator>
  <cp:lastModifiedBy>Reference</cp:lastModifiedBy>
  <cp:revision>2</cp:revision>
  <dcterms:created xsi:type="dcterms:W3CDTF">2011-02-08T19:47:00Z</dcterms:created>
  <dcterms:modified xsi:type="dcterms:W3CDTF">2011-02-08T19:47:00Z</dcterms:modified>
</cp:coreProperties>
</file>