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71" w:rsidRPr="005C4D4F" w:rsidRDefault="004E7B71" w:rsidP="004E7B71">
      <w:pPr>
        <w:jc w:val="center"/>
        <w:rPr>
          <w:b/>
          <w:sz w:val="32"/>
          <w:szCs w:val="32"/>
          <w:u w:val="single"/>
        </w:rPr>
      </w:pPr>
      <w:r w:rsidRPr="005C4D4F">
        <w:rPr>
          <w:b/>
          <w:sz w:val="32"/>
          <w:szCs w:val="32"/>
          <w:u w:val="single"/>
        </w:rPr>
        <w:t>Changes to Collection OMB No. 1660-00</w:t>
      </w:r>
      <w:r w:rsidR="007845FC">
        <w:rPr>
          <w:b/>
          <w:sz w:val="32"/>
          <w:szCs w:val="32"/>
          <w:u w:val="single"/>
        </w:rPr>
        <w:t>13</w:t>
      </w:r>
    </w:p>
    <w:p w:rsidR="004E7B71" w:rsidRPr="005D5E3F" w:rsidRDefault="004E7B71" w:rsidP="004E7B71">
      <w:pPr>
        <w:jc w:val="center"/>
        <w:rPr>
          <w:b/>
          <w:sz w:val="28"/>
          <w:szCs w:val="28"/>
        </w:rPr>
      </w:pPr>
    </w:p>
    <w:p w:rsidR="004E7B71" w:rsidRDefault="004E7B71" w:rsidP="004E7B71">
      <w:r w:rsidRPr="005D5E3F">
        <w:t>The following questions have been updated since the last OMB Approval:</w:t>
      </w:r>
    </w:p>
    <w:p w:rsidR="00B919FB" w:rsidRPr="005D5E3F" w:rsidRDefault="00B919FB" w:rsidP="004E7B71"/>
    <w:p w:rsidR="00B919FB" w:rsidRDefault="00B919FB" w:rsidP="00B919FB">
      <w:pPr>
        <w:numPr>
          <w:ilvl w:val="0"/>
          <w:numId w:val="2"/>
        </w:numPr>
        <w:rPr>
          <w:b/>
          <w:bCs/>
        </w:rPr>
      </w:pPr>
      <w:r>
        <w:rPr>
          <w:b/>
          <w:bCs/>
        </w:rPr>
        <w:t>Explain the circumstances that make the collection of information necessary</w:t>
      </w:r>
      <w:r>
        <w:rPr>
          <w:b/>
          <w:bCs/>
          <w:color w:val="000000"/>
        </w:rPr>
        <w:t>.</w:t>
      </w:r>
      <w:r>
        <w:rPr>
          <w:b/>
          <w:bCs/>
        </w:rPr>
        <w:t xml:space="preserve"> </w:t>
      </w:r>
    </w:p>
    <w:p w:rsidR="00B919FB" w:rsidRPr="00B34ABA" w:rsidRDefault="00B919FB" w:rsidP="00B919FB">
      <w:pPr>
        <w:rPr>
          <w:b/>
          <w:color w:val="FF0000"/>
          <w:spacing w:val="-3"/>
        </w:rPr>
      </w:pPr>
      <w:r>
        <w:rPr>
          <w:b/>
          <w:bCs/>
        </w:rPr>
        <w:t xml:space="preserve">Identify any legal 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r w:rsidRPr="00B34ABA">
        <w:rPr>
          <w:b/>
          <w:color w:val="FF0000"/>
          <w:spacing w:val="-3"/>
        </w:rPr>
        <w:t>This answer is updated to reflect the current collection.</w:t>
      </w:r>
    </w:p>
    <w:p w:rsidR="00B919FB" w:rsidRDefault="00B919FB" w:rsidP="00B919FB">
      <w:pPr>
        <w:rPr>
          <w:spacing w:val="-3"/>
        </w:rPr>
      </w:pPr>
    </w:p>
    <w:p w:rsidR="00B919FB" w:rsidRDefault="00B919FB" w:rsidP="00B919FB">
      <w:pPr>
        <w:rPr>
          <w:spacing w:val="-3"/>
          <w:u w:val="single"/>
        </w:rPr>
      </w:pPr>
      <w:r w:rsidRPr="006D6BC7">
        <w:rPr>
          <w:bCs/>
          <w:color w:val="000000"/>
        </w:rPr>
        <w:t xml:space="preserve">The Flood Disaster Protection Act of 1973, as amended, 42 U.S.C. 4001 </w:t>
      </w:r>
      <w:r>
        <w:rPr>
          <w:bCs/>
          <w:color w:val="000000"/>
          <w:u w:val="single"/>
        </w:rPr>
        <w:t>et seq.</w:t>
      </w:r>
      <w:r w:rsidRPr="006D6BC7">
        <w:rPr>
          <w:bCs/>
          <w:color w:val="000000"/>
        </w:rPr>
        <w:t xml:space="preserve">, </w:t>
      </w:r>
      <w:r>
        <w:rPr>
          <w:bCs/>
          <w:color w:val="000000"/>
        </w:rPr>
        <w:t>recognized</w:t>
      </w:r>
      <w:r w:rsidRPr="006D6BC7">
        <w:rPr>
          <w:bCs/>
          <w:color w:val="000000"/>
        </w:rPr>
        <w:t xml:space="preserve"> that a reasonable method of sharing the </w:t>
      </w:r>
      <w:r>
        <w:rPr>
          <w:bCs/>
          <w:color w:val="000000"/>
        </w:rPr>
        <w:t>n</w:t>
      </w:r>
      <w:r w:rsidRPr="006D6BC7">
        <w:rPr>
          <w:bCs/>
          <w:color w:val="000000"/>
        </w:rPr>
        <w:t>ation’s risk</w:t>
      </w:r>
      <w:r>
        <w:rPr>
          <w:bCs/>
          <w:color w:val="000000"/>
        </w:rPr>
        <w:t xml:space="preserve"> of flooding at the national level was required.  This established a requirement to purchase flood insurance for properties at risk from a flood.  It also further provided an exception to this requirement for State-owned properties that are covered under an adequate State policy of self-insurance (42 U.S.C. 4012(c</w:t>
      </w:r>
      <w:proofErr w:type="gramStart"/>
      <w:r>
        <w:rPr>
          <w:bCs/>
          <w:color w:val="000000"/>
        </w:rPr>
        <w:t>)(</w:t>
      </w:r>
      <w:proofErr w:type="gramEnd"/>
      <w:r>
        <w:rPr>
          <w:bCs/>
          <w:color w:val="000000"/>
        </w:rPr>
        <w:t xml:space="preserve">1) (Section 102)).  When States provide proof of this self-insurance, the designated property is not required to be covered by flood insurance.  Title 44 CFR Part 75 establishes standards with respect to the Administrator’s determinations that a State’s plan of self-insurance is adequate and satisfactory for the purposes of the Act, from the requirement of purchasing flood insurance coverage, for State-owned structures and their contents in areas identified by the Administrator as A, AO, AH, A1-A30, AE, AR, AR/A1-30, AR/AE, AR/AO, AR/AH, AR/A, A99, M, V, VO, V1-V30, VE, and E zones, in which the sale of insurance has been made available, and to establish the procedures by which a State may request exemption. </w:t>
      </w:r>
    </w:p>
    <w:p w:rsidR="00B919FB" w:rsidRDefault="00B919FB" w:rsidP="00B919FB">
      <w:pPr>
        <w:rPr>
          <w:spacing w:val="-3"/>
          <w:u w:val="single"/>
        </w:rPr>
      </w:pPr>
    </w:p>
    <w:p w:rsidR="00B919FB" w:rsidRDefault="00B919FB" w:rsidP="00B919FB">
      <w:pPr>
        <w:rPr>
          <w:b/>
          <w:bCs/>
          <w:color w:val="000000"/>
          <w:spacing w:val="-3"/>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r w:rsidRPr="00B34ABA">
        <w:rPr>
          <w:b/>
          <w:color w:val="FF0000"/>
          <w:spacing w:val="-3"/>
        </w:rPr>
        <w:t>This answer is updated to reflect the current collection.</w:t>
      </w:r>
      <w:r>
        <w:rPr>
          <w:b/>
          <w:bCs/>
          <w:color w:val="000000"/>
        </w:rPr>
        <w:t xml:space="preserve">   </w:t>
      </w:r>
    </w:p>
    <w:p w:rsidR="00B919FB" w:rsidRDefault="00B919FB" w:rsidP="00B919FB"/>
    <w:p w:rsidR="00B919FB" w:rsidRDefault="00B919FB" w:rsidP="00B919FB">
      <w:r>
        <w:t>To receive an exemption from the requirement to purchase flood insurance, the State must provide proof of self insurance which specifies that the hazards covered by the self-insurance plan expressly include flood and flood related hazards and coverage to State-owned structures and their contents equal to that under a regular flood insurance policy.  Also required is the location of the property/structures, an estimate of the replacement costs for the property/structures, an estimate of the annual losses to flood damage, flood loss experience of State-owned property/structures and a certified copy of flood plain management regulations setting for standards for affected State-owned property/structures.</w:t>
      </w:r>
    </w:p>
    <w:p w:rsidR="004E7B71" w:rsidRDefault="004E7B71" w:rsidP="004E7B71">
      <w:pPr>
        <w:rPr>
          <w:sz w:val="22"/>
          <w:szCs w:val="22"/>
        </w:rPr>
      </w:pPr>
    </w:p>
    <w:p w:rsidR="00B34ABA" w:rsidRPr="00B34ABA" w:rsidRDefault="003E4A1C" w:rsidP="00B34ABA">
      <w:pPr>
        <w:rPr>
          <w:b/>
          <w:color w:val="FF0000"/>
          <w:spacing w:val="-3"/>
        </w:rPr>
      </w:pPr>
      <w:r w:rsidRPr="003E4A1C">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B34ABA" w:rsidRPr="00B34ABA">
        <w:rPr>
          <w:b/>
          <w:color w:val="FF0000"/>
          <w:spacing w:val="-3"/>
        </w:rPr>
        <w:t>This answer is updated to reflect the current collection.</w:t>
      </w:r>
    </w:p>
    <w:p w:rsidR="00B34ABA" w:rsidRDefault="00B34ABA" w:rsidP="00B34ABA">
      <w:pPr>
        <w:rPr>
          <w:spacing w:val="-3"/>
        </w:rPr>
      </w:pPr>
    </w:p>
    <w:p w:rsidR="003E4A1C" w:rsidRDefault="003E4A1C" w:rsidP="003E4A1C">
      <w:pPr>
        <w:rPr>
          <w:color w:val="000000"/>
        </w:rPr>
      </w:pPr>
      <w:r w:rsidRPr="003E4A1C">
        <w:rPr>
          <w:color w:val="000000"/>
        </w:rPr>
        <w:lastRenderedPageBreak/>
        <w:t xml:space="preserve">The method of responding to this collection is via a free-form letter.  Respondents can utilize </w:t>
      </w:r>
      <w:proofErr w:type="gramStart"/>
      <w:r w:rsidRPr="003E4A1C">
        <w:rPr>
          <w:color w:val="000000"/>
        </w:rPr>
        <w:t>a document</w:t>
      </w:r>
      <w:proofErr w:type="gramEnd"/>
      <w:r w:rsidRPr="003E4A1C">
        <w:rPr>
          <w:color w:val="000000"/>
        </w:rPr>
        <w:t xml:space="preserve"> creation software such as MS Word to create the letter and then send via e-mail attachment to </w:t>
      </w:r>
      <w:hyperlink r:id="rId5" w:history="1">
        <w:r w:rsidRPr="003E4A1C">
          <w:rPr>
            <w:color w:val="0000FF"/>
            <w:u w:val="single"/>
          </w:rPr>
          <w:t>mary.chang@dhs.gov</w:t>
        </w:r>
      </w:hyperlink>
      <w:r w:rsidRPr="003E4A1C">
        <w:rPr>
          <w:color w:val="000000"/>
        </w:rPr>
        <w:t>.</w:t>
      </w:r>
    </w:p>
    <w:p w:rsidR="003E4A1C" w:rsidRDefault="003E4A1C" w:rsidP="003E4A1C">
      <w:pPr>
        <w:rPr>
          <w:color w:val="000000"/>
        </w:rPr>
      </w:pPr>
    </w:p>
    <w:p w:rsidR="00B919FB" w:rsidRDefault="00B919FB" w:rsidP="00B919FB">
      <w:pPr>
        <w:tabs>
          <w:tab w:val="left" w:pos="360"/>
        </w:tabs>
        <w:rPr>
          <w:b/>
          <w:bCs/>
        </w:rPr>
      </w:pPr>
      <w:r>
        <w:rPr>
          <w:b/>
          <w:bCs/>
        </w:rPr>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sidRPr="008270E2">
        <w:rPr>
          <w:b/>
          <w:bCs/>
          <w:color w:val="FF0000"/>
        </w:rPr>
        <w:t xml:space="preserve">Please note </w:t>
      </w:r>
      <w:r w:rsidR="008C5D68">
        <w:rPr>
          <w:b/>
          <w:bCs/>
          <w:color w:val="FF0000"/>
        </w:rPr>
        <w:t xml:space="preserve">the </w:t>
      </w:r>
      <w:proofErr w:type="gramStart"/>
      <w:r w:rsidR="008C5D68">
        <w:rPr>
          <w:b/>
          <w:bCs/>
          <w:color w:val="FF0000"/>
        </w:rPr>
        <w:t>answer  to</w:t>
      </w:r>
      <w:proofErr w:type="gramEnd"/>
      <w:r w:rsidR="008C5D68">
        <w:rPr>
          <w:b/>
          <w:bCs/>
          <w:color w:val="FF0000"/>
        </w:rPr>
        <w:t xml:space="preserve"> 8 b and c is updated to reflect the current collection</w:t>
      </w:r>
      <w:r w:rsidRPr="008270E2">
        <w:rPr>
          <w:b/>
          <w:bCs/>
          <w:color w:val="FF0000"/>
        </w:rPr>
        <w:t>.</w:t>
      </w:r>
    </w:p>
    <w:p w:rsidR="00B919FB" w:rsidRDefault="00B919FB" w:rsidP="00B919FB">
      <w:pPr>
        <w:rPr>
          <w:color w:val="FF0000"/>
        </w:rPr>
      </w:pPr>
    </w:p>
    <w:p w:rsidR="00B919FB" w:rsidRPr="00FA7E32" w:rsidRDefault="00B919FB" w:rsidP="00B919FB">
      <w:r w:rsidRPr="00FA7E32">
        <w:t xml:space="preserve">Due to the unique nature of the program and the fact that no private insurance companies or others outside of FEMA would deal with exemptions for flood insurance requirements, there are no consultations that occur other than those directly with the respondents.  </w:t>
      </w:r>
      <w:r>
        <w:t>FEMA manages the information collection activities per regulation and makes every effort to keep the program as efficient as possible for the sake of the respondents.</w:t>
      </w:r>
    </w:p>
    <w:p w:rsidR="00B919FB" w:rsidRDefault="00B919FB" w:rsidP="00B919FB">
      <w:pPr>
        <w:rPr>
          <w:color w:val="FF0000"/>
        </w:rPr>
      </w:pPr>
    </w:p>
    <w:p w:rsidR="00B919FB" w:rsidRDefault="00B919FB" w:rsidP="00B919FB">
      <w:pPr>
        <w:tabs>
          <w:tab w:val="left" w:pos="360"/>
        </w:tabs>
        <w:rPr>
          <w:b/>
          <w:bCs/>
        </w:rPr>
      </w:pPr>
      <w:r>
        <w:rPr>
          <w:b/>
          <w:bCs/>
        </w:rPr>
        <w:tab/>
      </w:r>
      <w:r>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B919FB" w:rsidRDefault="00B919FB" w:rsidP="00B919FB">
      <w:pPr>
        <w:tabs>
          <w:tab w:val="left" w:pos="360"/>
        </w:tabs>
        <w:rPr>
          <w:b/>
          <w:bCs/>
        </w:rPr>
      </w:pPr>
    </w:p>
    <w:p w:rsidR="00B919FB" w:rsidRDefault="00B919FB" w:rsidP="00B919FB">
      <w:pPr>
        <w:tabs>
          <w:tab w:val="left" w:pos="360"/>
        </w:tabs>
        <w:rPr>
          <w:color w:val="000000"/>
        </w:rPr>
      </w:pPr>
      <w:r w:rsidRPr="00FA7E32">
        <w:rPr>
          <w:bCs/>
        </w:rPr>
        <w:t>FEMA regularly consults with the States who respond to this collection throughout the year.  These consultations are directly with regional or headquarters staff; these FEMA agents are known to the respondents and can be contacted directly through telephone or e-mail contact.</w:t>
      </w:r>
    </w:p>
    <w:p w:rsidR="00B919FB" w:rsidRDefault="00B919FB" w:rsidP="003E4A1C">
      <w:pPr>
        <w:rPr>
          <w:color w:val="000000"/>
        </w:rPr>
      </w:pPr>
    </w:p>
    <w:p w:rsidR="003E4A1C" w:rsidRPr="003E4A1C" w:rsidRDefault="00DB578C" w:rsidP="003E4A1C">
      <w:pPr>
        <w:rPr>
          <w:color w:val="000000"/>
        </w:rPr>
      </w:pPr>
      <w:r>
        <w:rPr>
          <w:b/>
          <w:bCs/>
        </w:rPr>
        <w:fldChar w:fldCharType="begin"/>
      </w:r>
      <w:r w:rsidR="00AE3AFB">
        <w:rPr>
          <w:b/>
          <w:bCs/>
        </w:rPr>
        <w:instrText>ADVANCE \R 0.95</w:instrText>
      </w:r>
      <w:r>
        <w:rPr>
          <w:b/>
          <w:bCs/>
        </w:rPr>
        <w:fldChar w:fldCharType="end"/>
      </w:r>
      <w:r w:rsidRPr="003E4A1C">
        <w:rPr>
          <w:b/>
          <w:bCs/>
        </w:rPr>
        <w:fldChar w:fldCharType="begin"/>
      </w:r>
      <w:r w:rsidR="003E4A1C" w:rsidRPr="003E4A1C">
        <w:rPr>
          <w:b/>
          <w:bCs/>
        </w:rPr>
        <w:instrText>ADVANCE \R 0.95</w:instrText>
      </w:r>
      <w:r w:rsidRPr="003E4A1C">
        <w:rPr>
          <w:b/>
          <w:bCs/>
        </w:rPr>
        <w:fldChar w:fldCharType="end"/>
      </w:r>
      <w:r w:rsidRPr="003E4A1C">
        <w:rPr>
          <w:b/>
          <w:bCs/>
        </w:rPr>
        <w:fldChar w:fldCharType="begin"/>
      </w:r>
      <w:r w:rsidR="003E4A1C" w:rsidRPr="003E4A1C">
        <w:rPr>
          <w:b/>
          <w:bCs/>
        </w:rPr>
        <w:instrText>ADVANCE \R 0.95</w:instrText>
      </w:r>
      <w:r w:rsidRPr="003E4A1C">
        <w:rPr>
          <w:b/>
          <w:bCs/>
        </w:rPr>
        <w:fldChar w:fldCharType="end"/>
      </w:r>
      <w:r w:rsidR="003E4A1C" w:rsidRPr="003E4A1C">
        <w:rPr>
          <w:b/>
          <w:bCs/>
        </w:rPr>
        <w:t xml:space="preserve"> 12.  Provide estimates of the hour burden of the collection of information.  The statement should:</w:t>
      </w:r>
      <w:r w:rsidR="00D729B1">
        <w:rPr>
          <w:b/>
          <w:bCs/>
        </w:rPr>
        <w:t xml:space="preserve">  </w:t>
      </w:r>
      <w:r w:rsidR="00D729B1">
        <w:rPr>
          <w:b/>
          <w:bCs/>
          <w:color w:val="FF0000"/>
        </w:rPr>
        <w:t>PLEASE NOTE: All cha</w:t>
      </w:r>
      <w:r w:rsidR="00601D22">
        <w:rPr>
          <w:b/>
          <w:bCs/>
          <w:color w:val="FF0000"/>
        </w:rPr>
        <w:t>nges are detailed in Question 12</w:t>
      </w:r>
      <w:r w:rsidR="00D729B1">
        <w:rPr>
          <w:b/>
          <w:bCs/>
          <w:color w:val="FF0000"/>
        </w:rPr>
        <w:t xml:space="preserve"> (below).</w:t>
      </w:r>
    </w:p>
    <w:p w:rsidR="003E4A1C" w:rsidRPr="003E4A1C" w:rsidRDefault="00DB578C" w:rsidP="003E4A1C">
      <w:pPr>
        <w:rPr>
          <w:b/>
          <w:bCs/>
          <w:color w:val="FF0000"/>
        </w:rPr>
      </w:pPr>
      <w:r w:rsidRPr="003E4A1C">
        <w:rPr>
          <w:b/>
          <w:bCs/>
        </w:rPr>
        <w:fldChar w:fldCharType="begin"/>
      </w:r>
      <w:r w:rsidR="003E4A1C" w:rsidRPr="003E4A1C">
        <w:rPr>
          <w:b/>
          <w:bCs/>
        </w:rPr>
        <w:instrText>ADVANCE \R 0.95</w:instrText>
      </w:r>
      <w:r w:rsidRPr="003E4A1C">
        <w:rPr>
          <w:b/>
          <w:bCs/>
        </w:rPr>
        <w:fldChar w:fldCharType="end"/>
      </w:r>
      <w:r w:rsidR="003E4A1C" w:rsidRPr="003E4A1C">
        <w:rPr>
          <w:b/>
          <w:bCs/>
        </w:rPr>
        <w:t xml:space="preserve">                                             </w:t>
      </w:r>
    </w:p>
    <w:p w:rsidR="003E4A1C" w:rsidRPr="003E4A1C" w:rsidRDefault="00DB578C" w:rsidP="003E4A1C">
      <w:pPr>
        <w:rPr>
          <w:b/>
          <w:bCs/>
        </w:rPr>
      </w:pPr>
      <w:r w:rsidRPr="003E4A1C">
        <w:rPr>
          <w:b/>
          <w:bCs/>
        </w:rPr>
        <w:fldChar w:fldCharType="begin"/>
      </w:r>
      <w:r w:rsidR="003E4A1C" w:rsidRPr="003E4A1C">
        <w:rPr>
          <w:b/>
          <w:bCs/>
        </w:rPr>
        <w:instrText>ADVANCE \R 0.95</w:instrText>
      </w:r>
      <w:r w:rsidRPr="003E4A1C">
        <w:rPr>
          <w:b/>
          <w:bCs/>
        </w:rPr>
        <w:fldChar w:fldCharType="end"/>
      </w:r>
      <w:r w:rsidR="003E4A1C" w:rsidRPr="003E4A1C">
        <w:rPr>
          <w:b/>
          <w:bCs/>
        </w:rPr>
        <w:tab/>
      </w:r>
      <w:proofErr w:type="gramStart"/>
      <w:r w:rsidR="003E4A1C" w:rsidRPr="003E4A1C">
        <w:rPr>
          <w:b/>
          <w:bCs/>
        </w:rPr>
        <w:t>a.  Indicate</w:t>
      </w:r>
      <w:proofErr w:type="gramEnd"/>
      <w:r w:rsidR="003E4A1C" w:rsidRPr="003E4A1C">
        <w:rPr>
          <w:b/>
          <w:bCs/>
        </w:rPr>
        <w:t xml:space="preserve"> the number of respondents, frequency of response, annual hour burden, and an explanation of how the burden was estimated for each collection instrument (separately list each instrument and describe information as requested).  Unless</w:t>
      </w:r>
      <w:r w:rsidR="003E4A1C" w:rsidRPr="003E4A1C">
        <w:rPr>
          <w:b/>
          <w:bCs/>
        </w:rPr>
        <w:tab/>
        <w:t>directed to do so, agencies should not conduct special surveys to obtain information on which to base hour burden estimates.  Consultation with a sample (fewer than 10) of potential respondents is desired.  If the hour</w:t>
      </w:r>
      <w:r w:rsidR="00B34ABA">
        <w:rPr>
          <w:b/>
          <w:bCs/>
        </w:rPr>
        <w:t xml:space="preserve"> </w:t>
      </w:r>
      <w:r w:rsidR="003E4A1C" w:rsidRPr="003E4A1C">
        <w:rPr>
          <w:b/>
          <w:bCs/>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E4A1C" w:rsidRPr="003E4A1C" w:rsidRDefault="003E4A1C" w:rsidP="003E4A1C">
      <w:pPr>
        <w:rPr>
          <w:b/>
          <w:bCs/>
        </w:rPr>
      </w:pPr>
    </w:p>
    <w:p w:rsidR="003E4A1C" w:rsidRPr="003E4A1C" w:rsidRDefault="003E4A1C" w:rsidP="003E4A1C">
      <w:pPr>
        <w:rPr>
          <w:bCs/>
        </w:rPr>
      </w:pPr>
      <w:r w:rsidRPr="003E4A1C">
        <w:rPr>
          <w:bCs/>
        </w:rPr>
        <w:t>It is estimate that 20 State Financial Managers will provide the information required to request an exception to flood insurance for a property/structure and that it will take 5 hours per request to complete.  The total annual hour burden will be 20 x 5 hours per response = 100 hours.</w:t>
      </w:r>
    </w:p>
    <w:p w:rsidR="003E4A1C" w:rsidRPr="003E4A1C" w:rsidRDefault="003E4A1C" w:rsidP="003E4A1C">
      <w:pPr>
        <w:rPr>
          <w:b/>
          <w:bCs/>
        </w:rPr>
      </w:pPr>
    </w:p>
    <w:p w:rsidR="003E4A1C" w:rsidRPr="003E4A1C" w:rsidRDefault="00DB578C" w:rsidP="003E4A1C">
      <w:pPr>
        <w:rPr>
          <w:b/>
          <w:bCs/>
        </w:rPr>
      </w:pPr>
      <w:r w:rsidRPr="003E4A1C">
        <w:fldChar w:fldCharType="begin"/>
      </w:r>
      <w:r w:rsidR="003E4A1C" w:rsidRPr="003E4A1C">
        <w:instrText>ADVANCE \R 0.95</w:instrText>
      </w:r>
      <w:r w:rsidRPr="003E4A1C">
        <w:fldChar w:fldCharType="end"/>
      </w:r>
      <w:r w:rsidR="003E4A1C" w:rsidRPr="003E4A1C">
        <w:tab/>
      </w:r>
      <w:r w:rsidR="003E4A1C" w:rsidRPr="003E4A1C">
        <w:rPr>
          <w:b/>
          <w:bCs/>
        </w:rPr>
        <w:t>b.  If this request for approval covers more than one form, provide separate hour burden estimates for each form and aggregate the hour burdens in Item 13 of OMB Form 83-I.</w:t>
      </w:r>
    </w:p>
    <w:p w:rsidR="003E4A1C" w:rsidRPr="003E4A1C" w:rsidRDefault="003E4A1C" w:rsidP="003E4A1C">
      <w:pPr>
        <w:rPr>
          <w:b/>
          <w:bCs/>
        </w:rPr>
      </w:pPr>
    </w:p>
    <w:p w:rsidR="00B86F8B" w:rsidRPr="003E4A1C" w:rsidRDefault="003E4A1C" w:rsidP="003E4A1C">
      <w:pPr>
        <w:rPr>
          <w:b/>
          <w:bCs/>
        </w:rPr>
      </w:pPr>
      <w:r w:rsidRPr="003E4A1C">
        <w:rPr>
          <w:b/>
          <w:bCs/>
        </w:rPr>
        <w:lastRenderedPageBreak/>
        <w:tab/>
      </w:r>
      <w:proofErr w:type="gramStart"/>
      <w:r w:rsidRPr="003E4A1C">
        <w:rPr>
          <w:b/>
          <w:bCs/>
        </w:rPr>
        <w:t>c.  Provide</w:t>
      </w:r>
      <w:proofErr w:type="gramEnd"/>
      <w:r w:rsidRPr="003E4A1C">
        <w:rPr>
          <w:b/>
          <w:bCs/>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3E4A1C" w:rsidRPr="003E4A1C" w:rsidRDefault="003E4A1C" w:rsidP="003E4A1C">
      <w:pPr>
        <w:rPr>
          <w:b/>
          <w:bCs/>
        </w:rPr>
      </w:pPr>
    </w:p>
    <w:tbl>
      <w:tblPr>
        <w:tblW w:w="9400" w:type="dxa"/>
        <w:jc w:val="center"/>
        <w:tblInd w:w="93" w:type="dxa"/>
        <w:tblLook w:val="04A0"/>
      </w:tblPr>
      <w:tblGrid>
        <w:gridCol w:w="1257"/>
        <w:gridCol w:w="1097"/>
        <w:gridCol w:w="936"/>
        <w:gridCol w:w="936"/>
        <w:gridCol w:w="1177"/>
        <w:gridCol w:w="1077"/>
        <w:gridCol w:w="846"/>
        <w:gridCol w:w="817"/>
        <w:gridCol w:w="1257"/>
      </w:tblGrid>
      <w:tr w:rsidR="003E4A1C" w:rsidRPr="003E4A1C" w:rsidTr="00BB75BD">
        <w:trPr>
          <w:trHeight w:val="315"/>
          <w:jc w:val="center"/>
        </w:trPr>
        <w:tc>
          <w:tcPr>
            <w:tcW w:w="940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Estimated Annualized Burden Hours and Costs</w:t>
            </w:r>
          </w:p>
        </w:tc>
      </w:tr>
      <w:tr w:rsidR="003E4A1C" w:rsidRPr="003E4A1C" w:rsidTr="00BB75BD">
        <w:trPr>
          <w:trHeight w:val="124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Type of Respondent</w:t>
            </w:r>
          </w:p>
        </w:tc>
        <w:tc>
          <w:tcPr>
            <w:tcW w:w="940"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Form Name / Form Number</w:t>
            </w:r>
          </w:p>
        </w:tc>
        <w:tc>
          <w:tcPr>
            <w:tcW w:w="948"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 xml:space="preserve">No. of </w:t>
            </w:r>
            <w:proofErr w:type="spellStart"/>
            <w:r w:rsidRPr="003E4A1C">
              <w:rPr>
                <w:rFonts w:ascii="Arial" w:hAnsi="Arial" w:cs="Arial"/>
                <w:b/>
                <w:bCs/>
                <w:color w:val="000000"/>
                <w:sz w:val="18"/>
                <w:szCs w:val="18"/>
              </w:rPr>
              <w:t>Respon</w:t>
            </w:r>
            <w:proofErr w:type="spellEnd"/>
            <w:r w:rsidRPr="003E4A1C">
              <w:rPr>
                <w:rFonts w:ascii="Arial" w:hAnsi="Arial" w:cs="Arial"/>
                <w:b/>
                <w:bCs/>
                <w:color w:val="000000"/>
                <w:sz w:val="18"/>
                <w:szCs w:val="18"/>
              </w:rPr>
              <w:t>-dents</w:t>
            </w:r>
          </w:p>
        </w:tc>
        <w:tc>
          <w:tcPr>
            <w:tcW w:w="948"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 xml:space="preserve">No. of </w:t>
            </w:r>
            <w:proofErr w:type="spellStart"/>
            <w:r w:rsidRPr="003E4A1C">
              <w:rPr>
                <w:rFonts w:ascii="Arial" w:hAnsi="Arial" w:cs="Arial"/>
                <w:b/>
                <w:bCs/>
                <w:color w:val="000000"/>
                <w:sz w:val="18"/>
                <w:szCs w:val="18"/>
              </w:rPr>
              <w:t>Respon-ses</w:t>
            </w:r>
            <w:proofErr w:type="spellEnd"/>
            <w:r w:rsidRPr="003E4A1C">
              <w:rPr>
                <w:rFonts w:ascii="Arial" w:hAnsi="Arial" w:cs="Arial"/>
                <w:b/>
                <w:bCs/>
                <w:color w:val="000000"/>
                <w:sz w:val="18"/>
                <w:szCs w:val="18"/>
              </w:rPr>
              <w:t xml:space="preserve"> per </w:t>
            </w:r>
            <w:proofErr w:type="spellStart"/>
            <w:r w:rsidRPr="003E4A1C">
              <w:rPr>
                <w:rFonts w:ascii="Arial" w:hAnsi="Arial" w:cs="Arial"/>
                <w:b/>
                <w:bCs/>
                <w:color w:val="000000"/>
                <w:sz w:val="18"/>
                <w:szCs w:val="18"/>
              </w:rPr>
              <w:t>Respon</w:t>
            </w:r>
            <w:proofErr w:type="spellEnd"/>
            <w:r w:rsidRPr="003E4A1C">
              <w:rPr>
                <w:rFonts w:ascii="Arial" w:hAnsi="Arial" w:cs="Arial"/>
                <w:b/>
                <w:bCs/>
                <w:color w:val="000000"/>
                <w:sz w:val="18"/>
                <w:szCs w:val="18"/>
              </w:rPr>
              <w:t>-dent</w:t>
            </w:r>
          </w:p>
        </w:tc>
        <w:tc>
          <w:tcPr>
            <w:tcW w:w="1198"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Avg. Burden per Response (in hours)</w:t>
            </w:r>
          </w:p>
        </w:tc>
        <w:tc>
          <w:tcPr>
            <w:tcW w:w="902"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Total Annual Burden (in hours)</w:t>
            </w:r>
          </w:p>
        </w:tc>
        <w:tc>
          <w:tcPr>
            <w:tcW w:w="872"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Avg. Hourly Wage Rate</w:t>
            </w:r>
          </w:p>
        </w:tc>
        <w:tc>
          <w:tcPr>
            <w:tcW w:w="1258" w:type="dxa"/>
            <w:tcBorders>
              <w:top w:val="nil"/>
              <w:left w:val="nil"/>
              <w:bottom w:val="single" w:sz="8" w:space="0" w:color="auto"/>
              <w:right w:val="single" w:sz="8" w:space="0" w:color="auto"/>
            </w:tcBorders>
            <w:shd w:val="clear" w:color="000000" w:fill="C0C0C0"/>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Total Annual Respondent Cost</w:t>
            </w:r>
          </w:p>
        </w:tc>
      </w:tr>
      <w:tr w:rsidR="003E4A1C" w:rsidRPr="003E4A1C" w:rsidTr="00BB75BD">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3E4A1C" w:rsidRPr="003E4A1C" w:rsidRDefault="003E4A1C" w:rsidP="003E4A1C">
            <w:pPr>
              <w:rPr>
                <w:rFonts w:ascii="Arial" w:hAnsi="Arial" w:cs="Arial"/>
                <w:color w:val="000000"/>
                <w:sz w:val="18"/>
                <w:szCs w:val="18"/>
              </w:rPr>
            </w:pPr>
            <w:r w:rsidRPr="003E4A1C">
              <w:rPr>
                <w:rFonts w:ascii="Arial" w:hAnsi="Arial" w:cs="Arial"/>
                <w:color w:val="000000"/>
                <w:sz w:val="18"/>
                <w:szCs w:val="18"/>
              </w:rPr>
              <w:t>State, local or Tribal Government</w:t>
            </w:r>
          </w:p>
        </w:tc>
        <w:tc>
          <w:tcPr>
            <w:tcW w:w="940"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rPr>
                <w:rFonts w:ascii="Arial" w:hAnsi="Arial" w:cs="Arial"/>
                <w:color w:val="000000"/>
                <w:sz w:val="18"/>
                <w:szCs w:val="18"/>
              </w:rPr>
            </w:pPr>
            <w:r w:rsidRPr="003E4A1C">
              <w:rPr>
                <w:rFonts w:ascii="Arial" w:hAnsi="Arial" w:cs="Arial"/>
                <w:color w:val="000000"/>
                <w:sz w:val="18"/>
                <w:szCs w:val="18"/>
              </w:rPr>
              <w:t>Letter of Application / No Form</w:t>
            </w:r>
          </w:p>
        </w:tc>
        <w:tc>
          <w:tcPr>
            <w:tcW w:w="948"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20</w:t>
            </w:r>
          </w:p>
        </w:tc>
        <w:tc>
          <w:tcPr>
            <w:tcW w:w="948"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rPr>
                <w:rFonts w:ascii="Arial" w:hAnsi="Arial" w:cs="Arial"/>
                <w:color w:val="000000"/>
                <w:sz w:val="18"/>
                <w:szCs w:val="18"/>
              </w:rPr>
            </w:pPr>
            <w:r w:rsidRPr="003E4A1C">
              <w:rPr>
                <w:rFonts w:ascii="Arial" w:hAnsi="Arial" w:cs="Arial"/>
                <w:color w:val="000000"/>
                <w:sz w:val="18"/>
                <w:szCs w:val="18"/>
              </w:rPr>
              <w:t>1</w:t>
            </w:r>
          </w:p>
        </w:tc>
        <w:tc>
          <w:tcPr>
            <w:tcW w:w="1198"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20</w:t>
            </w:r>
          </w:p>
        </w:tc>
        <w:tc>
          <w:tcPr>
            <w:tcW w:w="1077"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5</w:t>
            </w:r>
          </w:p>
        </w:tc>
        <w:tc>
          <w:tcPr>
            <w:tcW w:w="902"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100</w:t>
            </w:r>
          </w:p>
        </w:tc>
        <w:tc>
          <w:tcPr>
            <w:tcW w:w="872"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rPr>
                <w:rFonts w:ascii="Arial" w:hAnsi="Arial" w:cs="Arial"/>
                <w:color w:val="000000"/>
                <w:sz w:val="18"/>
                <w:szCs w:val="18"/>
              </w:rPr>
            </w:pPr>
            <w:r w:rsidRPr="003E4A1C">
              <w:rPr>
                <w:rFonts w:ascii="Arial" w:hAnsi="Arial" w:cs="Arial"/>
                <w:color w:val="000000"/>
                <w:sz w:val="18"/>
                <w:szCs w:val="18"/>
              </w:rPr>
              <w:t> $62.62</w:t>
            </w:r>
          </w:p>
        </w:tc>
        <w:tc>
          <w:tcPr>
            <w:tcW w:w="1258"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rPr>
                <w:rFonts w:ascii="Arial" w:hAnsi="Arial" w:cs="Arial"/>
                <w:color w:val="000000"/>
                <w:sz w:val="18"/>
                <w:szCs w:val="18"/>
              </w:rPr>
            </w:pPr>
            <w:r w:rsidRPr="003E4A1C">
              <w:rPr>
                <w:rFonts w:ascii="Arial" w:hAnsi="Arial" w:cs="Arial"/>
                <w:color w:val="000000"/>
                <w:sz w:val="18"/>
                <w:szCs w:val="18"/>
              </w:rPr>
              <w:t> $6,262</w:t>
            </w:r>
          </w:p>
        </w:tc>
      </w:tr>
      <w:tr w:rsidR="003E4A1C" w:rsidRPr="003E4A1C" w:rsidTr="00BB75BD">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Total</w:t>
            </w:r>
          </w:p>
        </w:tc>
        <w:tc>
          <w:tcPr>
            <w:tcW w:w="940" w:type="dxa"/>
            <w:tcBorders>
              <w:top w:val="nil"/>
              <w:left w:val="nil"/>
              <w:bottom w:val="single" w:sz="8" w:space="0" w:color="auto"/>
              <w:right w:val="single" w:sz="8" w:space="0" w:color="auto"/>
            </w:tcBorders>
            <w:shd w:val="clear" w:color="000000" w:fill="000000"/>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 </w:t>
            </w:r>
          </w:p>
        </w:tc>
        <w:tc>
          <w:tcPr>
            <w:tcW w:w="948"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20 </w:t>
            </w:r>
          </w:p>
        </w:tc>
        <w:tc>
          <w:tcPr>
            <w:tcW w:w="948" w:type="dxa"/>
            <w:tcBorders>
              <w:top w:val="nil"/>
              <w:left w:val="nil"/>
              <w:bottom w:val="single" w:sz="8" w:space="0" w:color="auto"/>
              <w:right w:val="single" w:sz="8" w:space="0" w:color="auto"/>
            </w:tcBorders>
            <w:shd w:val="clear" w:color="000000" w:fill="000000"/>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 </w:t>
            </w:r>
          </w:p>
        </w:tc>
        <w:tc>
          <w:tcPr>
            <w:tcW w:w="1198" w:type="dxa"/>
            <w:tcBorders>
              <w:top w:val="nil"/>
              <w:left w:val="nil"/>
              <w:bottom w:val="single" w:sz="8" w:space="0" w:color="auto"/>
              <w:right w:val="single" w:sz="8" w:space="0" w:color="auto"/>
            </w:tcBorders>
            <w:shd w:val="clear" w:color="000000" w:fill="FFFFFF"/>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20</w:t>
            </w:r>
          </w:p>
        </w:tc>
        <w:tc>
          <w:tcPr>
            <w:tcW w:w="1077" w:type="dxa"/>
            <w:tcBorders>
              <w:top w:val="nil"/>
              <w:left w:val="nil"/>
              <w:bottom w:val="single" w:sz="8" w:space="0" w:color="auto"/>
              <w:right w:val="single" w:sz="8" w:space="0" w:color="auto"/>
            </w:tcBorders>
            <w:shd w:val="clear" w:color="000000" w:fill="000000"/>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 </w:t>
            </w:r>
          </w:p>
        </w:tc>
        <w:tc>
          <w:tcPr>
            <w:tcW w:w="902"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jc w:val="center"/>
              <w:rPr>
                <w:rFonts w:ascii="Arial" w:hAnsi="Arial" w:cs="Arial"/>
                <w:b/>
                <w:bCs/>
                <w:color w:val="000000"/>
                <w:sz w:val="18"/>
                <w:szCs w:val="18"/>
              </w:rPr>
            </w:pPr>
            <w:r w:rsidRPr="003E4A1C">
              <w:rPr>
                <w:rFonts w:ascii="Arial" w:hAnsi="Arial" w:cs="Arial"/>
                <w:b/>
                <w:bCs/>
                <w:color w:val="000000"/>
                <w:sz w:val="18"/>
                <w:szCs w:val="18"/>
              </w:rPr>
              <w:t>100</w:t>
            </w:r>
          </w:p>
        </w:tc>
        <w:tc>
          <w:tcPr>
            <w:tcW w:w="872" w:type="dxa"/>
            <w:tcBorders>
              <w:top w:val="nil"/>
              <w:left w:val="nil"/>
              <w:bottom w:val="single" w:sz="8" w:space="0" w:color="auto"/>
              <w:right w:val="single" w:sz="8" w:space="0" w:color="auto"/>
            </w:tcBorders>
            <w:shd w:val="clear" w:color="000000" w:fill="000000"/>
            <w:vAlign w:val="bottom"/>
            <w:hideMark/>
          </w:tcPr>
          <w:p w:rsidR="003E4A1C" w:rsidRPr="003E4A1C" w:rsidRDefault="003E4A1C" w:rsidP="003E4A1C">
            <w:pPr>
              <w:jc w:val="center"/>
              <w:rPr>
                <w:rFonts w:ascii="Arial" w:hAnsi="Arial" w:cs="Arial"/>
                <w:color w:val="000000"/>
                <w:sz w:val="18"/>
                <w:szCs w:val="18"/>
              </w:rPr>
            </w:pPr>
            <w:r w:rsidRPr="003E4A1C">
              <w:rPr>
                <w:rFonts w:ascii="Arial" w:hAnsi="Arial" w:cs="Arial"/>
                <w:color w:val="000000"/>
                <w:sz w:val="18"/>
                <w:szCs w:val="18"/>
              </w:rPr>
              <w:t> </w:t>
            </w:r>
          </w:p>
        </w:tc>
        <w:tc>
          <w:tcPr>
            <w:tcW w:w="1258" w:type="dxa"/>
            <w:tcBorders>
              <w:top w:val="nil"/>
              <w:left w:val="nil"/>
              <w:bottom w:val="single" w:sz="8" w:space="0" w:color="auto"/>
              <w:right w:val="single" w:sz="8" w:space="0" w:color="auto"/>
            </w:tcBorders>
            <w:shd w:val="clear" w:color="auto" w:fill="auto"/>
            <w:vAlign w:val="bottom"/>
            <w:hideMark/>
          </w:tcPr>
          <w:p w:rsidR="003E4A1C" w:rsidRPr="003E4A1C" w:rsidRDefault="003E4A1C" w:rsidP="003E4A1C">
            <w:pPr>
              <w:rPr>
                <w:rFonts w:ascii="Arial" w:hAnsi="Arial" w:cs="Arial"/>
                <w:b/>
                <w:bCs/>
                <w:color w:val="000000"/>
                <w:sz w:val="18"/>
                <w:szCs w:val="18"/>
              </w:rPr>
            </w:pPr>
            <w:r w:rsidRPr="003E4A1C">
              <w:rPr>
                <w:rFonts w:ascii="Arial" w:hAnsi="Arial" w:cs="Arial"/>
                <w:b/>
                <w:bCs/>
                <w:color w:val="000000"/>
                <w:sz w:val="18"/>
                <w:szCs w:val="18"/>
              </w:rPr>
              <w:t xml:space="preserve"> $6,262</w:t>
            </w:r>
          </w:p>
        </w:tc>
      </w:tr>
    </w:tbl>
    <w:p w:rsidR="003E4A1C" w:rsidRPr="003E4A1C" w:rsidRDefault="003E4A1C" w:rsidP="003E4A1C">
      <w:pPr>
        <w:numPr>
          <w:ilvl w:val="0"/>
          <w:numId w:val="1"/>
        </w:numPr>
        <w:tabs>
          <w:tab w:val="left" w:pos="-720"/>
        </w:tabs>
        <w:suppressAutoHyphens/>
        <w:rPr>
          <w:sz w:val="16"/>
          <w:szCs w:val="16"/>
        </w:rPr>
      </w:pPr>
      <w:r w:rsidRPr="003E4A1C">
        <w:rPr>
          <w:sz w:val="16"/>
          <w:szCs w:val="16"/>
        </w:rPr>
        <w:t>Note: The “Avg. Hourly Wage Rate” for each respondent includes a 1.4 multiplier to reflect a fully-loaded wage rate.</w:t>
      </w:r>
    </w:p>
    <w:p w:rsidR="003E4A1C" w:rsidRPr="003E4A1C" w:rsidRDefault="003E4A1C" w:rsidP="003E4A1C">
      <w:pPr>
        <w:tabs>
          <w:tab w:val="left" w:pos="-720"/>
        </w:tabs>
        <w:suppressAutoHyphens/>
      </w:pPr>
    </w:p>
    <w:p w:rsidR="003E4A1C" w:rsidRDefault="003E4A1C" w:rsidP="003E4A1C">
      <w:pPr>
        <w:tabs>
          <w:tab w:val="left" w:pos="-720"/>
        </w:tabs>
        <w:suppressAutoHyphens/>
      </w:pPr>
      <w:r w:rsidRPr="003E4A1C">
        <w:t>According to the U.S. Department of Labor, Bureau of Labor Statistics website (</w:t>
      </w:r>
      <w:hyperlink r:id="rId6" w:history="1">
        <w:r w:rsidRPr="003E4A1C">
          <w:rPr>
            <w:color w:val="0000FF"/>
            <w:u w:val="single"/>
          </w:rPr>
          <w:t>www.bls.gov</w:t>
        </w:r>
      </w:hyperlink>
      <w:r w:rsidRPr="003E4A1C">
        <w:t>) the wage rate category for Financial Manager is estimated to be ($44.73 x 1.4 =) $62.62 per hour including the wage rate multiplier, therefore, the estimated burden hour cost to respondents Financial Manager is estimated to be $6,262 annually.</w:t>
      </w:r>
    </w:p>
    <w:p w:rsidR="00B86F8B" w:rsidRDefault="00B86F8B" w:rsidP="003E4A1C">
      <w:pPr>
        <w:tabs>
          <w:tab w:val="left" w:pos="-720"/>
        </w:tabs>
        <w:suppressAutoHyphens/>
      </w:pPr>
    </w:p>
    <w:p w:rsidR="00B86F8B" w:rsidRPr="00B86F8B" w:rsidRDefault="00B86F8B" w:rsidP="00B86F8B">
      <w:r w:rsidRPr="00B86F8B">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B86F8B" w:rsidRDefault="00B86F8B" w:rsidP="00B86F8B">
      <w:pPr>
        <w:tabs>
          <w:tab w:val="left" w:pos="360"/>
        </w:tabs>
        <w:rPr>
          <w:b/>
          <w:bCs/>
        </w:rPr>
      </w:pPr>
    </w:p>
    <w:p w:rsidR="00D729B1" w:rsidRPr="000A4AC6" w:rsidRDefault="00D729B1" w:rsidP="00D729B1">
      <w:pPr>
        <w:rPr>
          <w:b/>
          <w:bCs/>
          <w:color w:val="000000"/>
        </w:rPr>
      </w:pPr>
      <w:r w:rsidRPr="00156852">
        <w:rPr>
          <w:b/>
          <w:bCs/>
          <w:color w:val="FF0000"/>
        </w:rPr>
        <w:t>Note change to cost to the</w:t>
      </w:r>
      <w:r>
        <w:rPr>
          <w:b/>
          <w:bCs/>
          <w:color w:val="FF0000"/>
        </w:rPr>
        <w:t xml:space="preserve"> Federal Government below.</w:t>
      </w:r>
    </w:p>
    <w:p w:rsidR="00D729B1" w:rsidRPr="00B86F8B" w:rsidRDefault="00D729B1" w:rsidP="00B86F8B">
      <w:pPr>
        <w:tabs>
          <w:tab w:val="left" w:pos="360"/>
        </w:tabs>
        <w:rPr>
          <w:b/>
          <w:bCs/>
        </w:rPr>
      </w:pPr>
    </w:p>
    <w:p w:rsidR="00B86F8B" w:rsidRPr="00B86F8B" w:rsidRDefault="00B86F8B" w:rsidP="00B86F8B">
      <w:pPr>
        <w:tabs>
          <w:tab w:val="left" w:pos="360"/>
        </w:tabs>
        <w:jc w:val="center"/>
        <w:rPr>
          <w:b/>
          <w:bCs/>
        </w:rPr>
      </w:pPr>
      <w:r w:rsidRPr="00B86F8B">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960"/>
      </w:tblGrid>
      <w:tr w:rsidR="00B86F8B" w:rsidRPr="00B86F8B" w:rsidTr="00BB75BD">
        <w:trPr>
          <w:trHeight w:val="70"/>
        </w:trPr>
        <w:tc>
          <w:tcPr>
            <w:tcW w:w="7680" w:type="dxa"/>
            <w:shd w:val="clear" w:color="auto" w:fill="D9D9D9"/>
            <w:noWrap/>
            <w:vAlign w:val="center"/>
          </w:tcPr>
          <w:p w:rsidR="00B86F8B" w:rsidRPr="00B86F8B" w:rsidRDefault="00B86F8B" w:rsidP="00B86F8B">
            <w:pPr>
              <w:jc w:val="center"/>
              <w:rPr>
                <w:rFonts w:ascii="Arial" w:hAnsi="Arial" w:cs="Arial"/>
                <w:b/>
                <w:bCs/>
                <w:sz w:val="20"/>
                <w:szCs w:val="20"/>
              </w:rPr>
            </w:pPr>
            <w:r w:rsidRPr="00B86F8B">
              <w:rPr>
                <w:rFonts w:ascii="Arial" w:hAnsi="Arial" w:cs="Arial"/>
                <w:b/>
                <w:bCs/>
                <w:sz w:val="20"/>
                <w:szCs w:val="20"/>
              </w:rPr>
              <w:t>Item</w:t>
            </w:r>
          </w:p>
        </w:tc>
        <w:tc>
          <w:tcPr>
            <w:tcW w:w="960" w:type="dxa"/>
            <w:shd w:val="clear" w:color="auto" w:fill="D9D9D9"/>
            <w:noWrap/>
          </w:tcPr>
          <w:p w:rsidR="00B86F8B" w:rsidRPr="00B86F8B" w:rsidRDefault="00B86F8B" w:rsidP="00B86F8B">
            <w:pPr>
              <w:jc w:val="center"/>
              <w:rPr>
                <w:rFonts w:ascii="Arial" w:hAnsi="Arial" w:cs="Arial"/>
                <w:b/>
                <w:bCs/>
                <w:sz w:val="20"/>
                <w:szCs w:val="20"/>
              </w:rPr>
            </w:pPr>
            <w:r w:rsidRPr="00B86F8B">
              <w:rPr>
                <w:rFonts w:ascii="Arial" w:hAnsi="Arial" w:cs="Arial"/>
                <w:b/>
                <w:bCs/>
                <w:sz w:val="20"/>
                <w:szCs w:val="20"/>
              </w:rPr>
              <w:t>Cost ($)</w:t>
            </w:r>
          </w:p>
        </w:tc>
      </w:tr>
      <w:tr w:rsidR="00B86F8B" w:rsidRPr="00B86F8B" w:rsidTr="00BB75BD">
        <w:trPr>
          <w:trHeight w:val="495"/>
        </w:trPr>
        <w:tc>
          <w:tcPr>
            <w:tcW w:w="7680" w:type="dxa"/>
          </w:tcPr>
          <w:p w:rsidR="00B86F8B" w:rsidRPr="00B86F8B" w:rsidRDefault="00B86F8B" w:rsidP="00B86F8B">
            <w:r w:rsidRPr="00B86F8B">
              <w:t xml:space="preserve">Contract Costs  </w:t>
            </w:r>
          </w:p>
        </w:tc>
        <w:tc>
          <w:tcPr>
            <w:tcW w:w="960" w:type="dxa"/>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510"/>
        </w:trPr>
        <w:tc>
          <w:tcPr>
            <w:tcW w:w="7680" w:type="dxa"/>
          </w:tcPr>
          <w:p w:rsidR="00B86F8B" w:rsidRPr="00B86F8B" w:rsidRDefault="00B86F8B" w:rsidP="00B86F8B">
            <w:r w:rsidRPr="00B86F8B">
              <w:t xml:space="preserve">Staff Salaries* </w:t>
            </w:r>
            <w:r w:rsidRPr="00B86F8B">
              <w:rPr>
                <w:b/>
                <w:bCs/>
                <w:sz w:val="18"/>
                <w:szCs w:val="18"/>
              </w:rPr>
              <w:t>[1 of GS 14 , step 6  employee spending approximately 3% of time annually processing the information received for this data collection] [1 GS 14 Step 6 = $122,744 x 3% = $3,682 x 1.4 = $5,155]</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$5,155</w:t>
            </w:r>
          </w:p>
        </w:tc>
      </w:tr>
      <w:tr w:rsidR="00B86F8B" w:rsidRPr="00B86F8B" w:rsidTr="00BB75BD">
        <w:trPr>
          <w:trHeight w:val="270"/>
        </w:trPr>
        <w:tc>
          <w:tcPr>
            <w:tcW w:w="7680" w:type="dxa"/>
            <w:noWrap/>
          </w:tcPr>
          <w:p w:rsidR="00B86F8B" w:rsidRPr="00B86F8B" w:rsidRDefault="00B86F8B" w:rsidP="00B86F8B">
            <w:r w:rsidRPr="00B86F8B">
              <w:t xml:space="preserve">Facilities </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40"/>
        </w:trPr>
        <w:tc>
          <w:tcPr>
            <w:tcW w:w="7680" w:type="dxa"/>
            <w:noWrap/>
          </w:tcPr>
          <w:p w:rsidR="00B86F8B" w:rsidRPr="00B86F8B" w:rsidRDefault="00B86F8B" w:rsidP="00B86F8B">
            <w:r w:rsidRPr="00B86F8B">
              <w:t xml:space="preserve">Computer Hardware and Software </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55"/>
        </w:trPr>
        <w:tc>
          <w:tcPr>
            <w:tcW w:w="7680" w:type="dxa"/>
            <w:noWrap/>
          </w:tcPr>
          <w:p w:rsidR="00B86F8B" w:rsidRPr="00B86F8B" w:rsidRDefault="00B86F8B" w:rsidP="00B86F8B">
            <w:r w:rsidRPr="00B86F8B">
              <w:t xml:space="preserve">Equipment Maintenance </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55"/>
        </w:trPr>
        <w:tc>
          <w:tcPr>
            <w:tcW w:w="7680" w:type="dxa"/>
            <w:noWrap/>
          </w:tcPr>
          <w:p w:rsidR="00B86F8B" w:rsidRPr="00B86F8B" w:rsidRDefault="00B86F8B" w:rsidP="00B86F8B">
            <w:r w:rsidRPr="00B86F8B">
              <w:t xml:space="preserve">Travel </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55"/>
        </w:trPr>
        <w:tc>
          <w:tcPr>
            <w:tcW w:w="7680" w:type="dxa"/>
            <w:noWrap/>
          </w:tcPr>
          <w:p w:rsidR="00B86F8B" w:rsidRPr="00B86F8B" w:rsidRDefault="00B86F8B" w:rsidP="00B86F8B">
            <w:r w:rsidRPr="00B86F8B">
              <w:t xml:space="preserve">Printing </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55"/>
        </w:trPr>
        <w:tc>
          <w:tcPr>
            <w:tcW w:w="768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xml:space="preserve">Postage </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55"/>
        </w:trPr>
        <w:tc>
          <w:tcPr>
            <w:tcW w:w="7680" w:type="dxa"/>
            <w:noWrap/>
          </w:tcPr>
          <w:p w:rsidR="00B86F8B" w:rsidRPr="00B86F8B" w:rsidRDefault="00B86F8B" w:rsidP="00B86F8B">
            <w:pPr>
              <w:rPr>
                <w:rFonts w:ascii="Arial" w:hAnsi="Arial" w:cs="Arial"/>
                <w:sz w:val="20"/>
                <w:szCs w:val="20"/>
              </w:rPr>
            </w:pPr>
            <w:r w:rsidRPr="00B86F8B">
              <w:rPr>
                <w:rFonts w:ascii="Arial" w:hAnsi="Arial" w:cs="Arial"/>
                <w:sz w:val="20"/>
                <w:szCs w:val="20"/>
              </w:rPr>
              <w:t>Other</w:t>
            </w:r>
          </w:p>
        </w:tc>
        <w:tc>
          <w:tcPr>
            <w:tcW w:w="960" w:type="dxa"/>
            <w:noWrap/>
          </w:tcPr>
          <w:p w:rsidR="00B86F8B" w:rsidRPr="00B86F8B" w:rsidRDefault="00B86F8B" w:rsidP="00B86F8B">
            <w:pPr>
              <w:rPr>
                <w:rFonts w:ascii="Arial" w:hAnsi="Arial" w:cs="Arial"/>
                <w:sz w:val="20"/>
                <w:szCs w:val="20"/>
              </w:rPr>
            </w:pPr>
            <w:r w:rsidRPr="00B86F8B">
              <w:rPr>
                <w:rFonts w:ascii="Arial" w:hAnsi="Arial" w:cs="Arial"/>
                <w:sz w:val="20"/>
                <w:szCs w:val="20"/>
              </w:rPr>
              <w:t> </w:t>
            </w:r>
          </w:p>
        </w:tc>
      </w:tr>
      <w:tr w:rsidR="00B86F8B" w:rsidRPr="00B86F8B" w:rsidTr="00BB75BD">
        <w:trPr>
          <w:trHeight w:val="270"/>
        </w:trPr>
        <w:tc>
          <w:tcPr>
            <w:tcW w:w="7680" w:type="dxa"/>
            <w:noWrap/>
          </w:tcPr>
          <w:p w:rsidR="00B86F8B" w:rsidRPr="00B86F8B" w:rsidRDefault="00B86F8B" w:rsidP="00B86F8B">
            <w:pPr>
              <w:rPr>
                <w:rFonts w:ascii="Arial" w:hAnsi="Arial" w:cs="Arial"/>
                <w:b/>
                <w:bCs/>
                <w:sz w:val="20"/>
                <w:szCs w:val="20"/>
              </w:rPr>
            </w:pPr>
            <w:r w:rsidRPr="00B86F8B">
              <w:rPr>
                <w:rFonts w:ascii="Arial" w:hAnsi="Arial" w:cs="Arial"/>
                <w:b/>
                <w:bCs/>
                <w:sz w:val="20"/>
                <w:szCs w:val="20"/>
              </w:rPr>
              <w:t>Total</w:t>
            </w:r>
          </w:p>
        </w:tc>
        <w:tc>
          <w:tcPr>
            <w:tcW w:w="960" w:type="dxa"/>
            <w:noWrap/>
          </w:tcPr>
          <w:p w:rsidR="00B86F8B" w:rsidRPr="00B86F8B" w:rsidRDefault="00B86F8B" w:rsidP="00B86F8B">
            <w:pPr>
              <w:rPr>
                <w:rFonts w:ascii="Arial" w:hAnsi="Arial" w:cs="Arial"/>
                <w:b/>
                <w:bCs/>
                <w:sz w:val="20"/>
                <w:szCs w:val="20"/>
              </w:rPr>
            </w:pPr>
            <w:r w:rsidRPr="00B86F8B">
              <w:rPr>
                <w:rFonts w:ascii="Arial" w:hAnsi="Arial" w:cs="Arial"/>
                <w:b/>
                <w:bCs/>
                <w:sz w:val="20"/>
                <w:szCs w:val="20"/>
              </w:rPr>
              <w:t>$5,155</w:t>
            </w:r>
          </w:p>
        </w:tc>
      </w:tr>
    </w:tbl>
    <w:p w:rsidR="00B86F8B" w:rsidRPr="00B86F8B" w:rsidRDefault="00B86F8B" w:rsidP="00B86F8B">
      <w:pPr>
        <w:tabs>
          <w:tab w:val="left" w:pos="-720"/>
        </w:tabs>
        <w:suppressAutoHyphens/>
        <w:rPr>
          <w:sz w:val="16"/>
          <w:szCs w:val="16"/>
        </w:rPr>
      </w:pPr>
      <w:r w:rsidRPr="00B86F8B">
        <w:rPr>
          <w:sz w:val="16"/>
          <w:szCs w:val="16"/>
        </w:rPr>
        <w:lastRenderedPageBreak/>
        <w:t>* Note: The “Salary Rate</w:t>
      </w:r>
      <w:proofErr w:type="gramStart"/>
      <w:r w:rsidRPr="00B86F8B">
        <w:rPr>
          <w:sz w:val="16"/>
          <w:szCs w:val="16"/>
        </w:rPr>
        <w:t>”  includes</w:t>
      </w:r>
      <w:proofErr w:type="gramEnd"/>
      <w:r w:rsidRPr="00B86F8B">
        <w:rPr>
          <w:sz w:val="16"/>
          <w:szCs w:val="16"/>
        </w:rPr>
        <w:t xml:space="preserve"> a 1.4 multiplier to reflect a fully-loaded wage rate.</w:t>
      </w:r>
    </w:p>
    <w:p w:rsidR="00B86F8B" w:rsidRPr="00B86F8B" w:rsidRDefault="00B86F8B" w:rsidP="00B86F8B">
      <w:pPr>
        <w:tabs>
          <w:tab w:val="left" w:pos="360"/>
        </w:tabs>
        <w:rPr>
          <w:b/>
          <w:bCs/>
        </w:rPr>
      </w:pPr>
    </w:p>
    <w:p w:rsidR="00B86F8B" w:rsidRPr="00B86F8B" w:rsidRDefault="00DB578C" w:rsidP="00B86F8B">
      <w:pPr>
        <w:rPr>
          <w:b/>
        </w:rPr>
      </w:pPr>
      <w:r w:rsidRPr="00B86F8B">
        <w:fldChar w:fldCharType="begin"/>
      </w:r>
      <w:r w:rsidR="00B86F8B" w:rsidRPr="00B86F8B">
        <w:instrText>ADVANCE \R 0.95</w:instrText>
      </w:r>
      <w:r w:rsidRPr="00B86F8B">
        <w:fldChar w:fldCharType="end"/>
      </w:r>
      <w:r w:rsidRPr="00B86F8B">
        <w:fldChar w:fldCharType="begin"/>
      </w:r>
      <w:r w:rsidR="00B86F8B" w:rsidRPr="00B86F8B">
        <w:instrText>ADVANCE \R 0.95</w:instrText>
      </w:r>
      <w:r w:rsidRPr="00B86F8B">
        <w:fldChar w:fldCharType="end"/>
      </w:r>
      <w:r w:rsidR="00B86F8B" w:rsidRPr="00B86F8B">
        <w:t xml:space="preserve">     </w:t>
      </w:r>
      <w:r w:rsidR="00B86F8B" w:rsidRPr="00B86F8B">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D729B1" w:rsidRDefault="00D729B1" w:rsidP="00B86F8B">
      <w:pPr>
        <w:spacing w:before="100" w:beforeAutospacing="1" w:after="100" w:afterAutospacing="1"/>
        <w:rPr>
          <w:i/>
          <w:sz w:val="20"/>
          <w:szCs w:val="20"/>
        </w:rPr>
      </w:pPr>
      <w:r>
        <w:rPr>
          <w:b/>
          <w:color w:val="FF0000"/>
        </w:rPr>
        <w:t>See descriptions below each chart for changes.</w:t>
      </w:r>
    </w:p>
    <w:p w:rsidR="00B86F8B" w:rsidRPr="00B86F8B" w:rsidRDefault="00B86F8B" w:rsidP="00B86F8B">
      <w:pPr>
        <w:spacing w:before="100" w:beforeAutospacing="1" w:after="100" w:afterAutospacing="1"/>
        <w:rPr>
          <w:i/>
          <w:sz w:val="20"/>
          <w:szCs w:val="20"/>
        </w:rPr>
      </w:pPr>
      <w:r w:rsidRPr="00B86F8B">
        <w:rPr>
          <w:i/>
          <w:sz w:val="20"/>
          <w:szCs w:val="20"/>
        </w:rPr>
        <w:t xml:space="preserve">A </w:t>
      </w:r>
      <w:r w:rsidRPr="00B86F8B">
        <w:rPr>
          <w:b/>
          <w:bCs/>
          <w:i/>
          <w:sz w:val="20"/>
          <w:szCs w:val="20"/>
        </w:rPr>
        <w:t>"Program increase"</w:t>
      </w:r>
      <w:r w:rsidRPr="00B86F8B">
        <w:rPr>
          <w:i/>
          <w:sz w:val="20"/>
          <w:szCs w:val="20"/>
        </w:rPr>
        <w:t xml:space="preserve"> is an additional burden resulting from </w:t>
      </w:r>
      <w:proofErr w:type="gramStart"/>
      <w:r w:rsidRPr="00B86F8B">
        <w:rPr>
          <w:i/>
          <w:sz w:val="20"/>
          <w:szCs w:val="20"/>
        </w:rPr>
        <w:t>an</w:t>
      </w:r>
      <w:proofErr w:type="gramEnd"/>
      <w:r w:rsidRPr="00B86F8B">
        <w:rPr>
          <w:i/>
          <w:sz w:val="20"/>
          <w:szCs w:val="20"/>
        </w:rPr>
        <w:t xml:space="preserve"> federal government regulatory action or directive. </w:t>
      </w:r>
      <w:proofErr w:type="gramStart"/>
      <w:r w:rsidRPr="00B86F8B">
        <w:rPr>
          <w:i/>
          <w:sz w:val="20"/>
          <w:szCs w:val="20"/>
        </w:rPr>
        <w:t>(e.g., an increase in sample size or coverage, amount of information, reporting frequency, or expanded use of an existing form).</w:t>
      </w:r>
      <w:proofErr w:type="gramEnd"/>
      <w:r w:rsidRPr="00B86F8B">
        <w:rPr>
          <w:i/>
          <w:sz w:val="20"/>
          <w:szCs w:val="20"/>
        </w:rPr>
        <w:t xml:space="preserve"> This also includes previously in-use and unapproved information collections discovered during the ICB process, or during the fiscal year, which will be in use during the next fiscal year. </w:t>
      </w:r>
    </w:p>
    <w:p w:rsidR="00B86F8B" w:rsidRPr="00B86F8B" w:rsidRDefault="00B86F8B" w:rsidP="00B86F8B">
      <w:pPr>
        <w:spacing w:before="100" w:beforeAutospacing="1" w:after="100" w:afterAutospacing="1"/>
        <w:rPr>
          <w:i/>
          <w:sz w:val="20"/>
          <w:szCs w:val="20"/>
        </w:rPr>
      </w:pPr>
      <w:r w:rsidRPr="00B86F8B">
        <w:rPr>
          <w:i/>
          <w:sz w:val="20"/>
          <w:szCs w:val="20"/>
        </w:rPr>
        <w:t xml:space="preserve">A </w:t>
      </w:r>
      <w:r w:rsidRPr="00B86F8B">
        <w:rPr>
          <w:b/>
          <w:bCs/>
          <w:i/>
          <w:sz w:val="20"/>
          <w:szCs w:val="20"/>
        </w:rPr>
        <w:t xml:space="preserve">"Program decrease", </w:t>
      </w:r>
      <w:r w:rsidRPr="00B86F8B">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B86F8B" w:rsidRPr="00B86F8B" w:rsidRDefault="00B86F8B" w:rsidP="00B86F8B">
      <w:pPr>
        <w:spacing w:before="100" w:beforeAutospacing="1" w:after="100" w:afterAutospacing="1"/>
        <w:rPr>
          <w:i/>
          <w:sz w:val="20"/>
          <w:szCs w:val="20"/>
        </w:rPr>
      </w:pPr>
      <w:r w:rsidRPr="00B86F8B">
        <w:rPr>
          <w:b/>
          <w:i/>
          <w:sz w:val="20"/>
          <w:szCs w:val="20"/>
        </w:rPr>
        <w:t xml:space="preserve"> </w:t>
      </w:r>
      <w:r w:rsidRPr="00B86F8B">
        <w:rPr>
          <w:b/>
          <w:bCs/>
          <w:i/>
          <w:sz w:val="20"/>
          <w:szCs w:val="20"/>
        </w:rPr>
        <w:t>"Adjustment"</w:t>
      </w:r>
      <w:r w:rsidRPr="00B86F8B">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B86F8B" w:rsidRPr="00B86F8B" w:rsidRDefault="00B86F8B" w:rsidP="00B86F8B">
      <w:pPr>
        <w:rPr>
          <w:bCs/>
        </w:rPr>
      </w:pPr>
      <w:r w:rsidRPr="00B86F8B">
        <w:rPr>
          <w:b/>
          <w:bCs/>
          <w:i/>
        </w:rPr>
        <w:t xml:space="preserve">Explain: </w:t>
      </w:r>
      <w:r w:rsidRPr="00B86F8B">
        <w:rPr>
          <w:bCs/>
        </w:rPr>
        <w:t>There are no changes to the annual hour burden and there has been no change to the information being collected.</w:t>
      </w:r>
    </w:p>
    <w:p w:rsidR="00B86F8B" w:rsidRPr="00B86F8B" w:rsidRDefault="00B86F8B" w:rsidP="00B86F8B">
      <w:pPr>
        <w:rPr>
          <w:b/>
          <w:bCs/>
          <w:i/>
        </w:rPr>
      </w:pPr>
    </w:p>
    <w:tbl>
      <w:tblPr>
        <w:tblW w:w="10360" w:type="dxa"/>
        <w:jc w:val="center"/>
        <w:tblInd w:w="93" w:type="dxa"/>
        <w:tblLook w:val="0000"/>
      </w:tblPr>
      <w:tblGrid>
        <w:gridCol w:w="2340"/>
        <w:gridCol w:w="1240"/>
        <w:gridCol w:w="960"/>
        <w:gridCol w:w="1260"/>
        <w:gridCol w:w="1400"/>
        <w:gridCol w:w="1420"/>
        <w:gridCol w:w="1740"/>
      </w:tblGrid>
      <w:tr w:rsidR="00B86F8B" w:rsidRPr="00B86F8B" w:rsidTr="00BB75B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86F8B" w:rsidRPr="00B86F8B" w:rsidRDefault="00B86F8B" w:rsidP="00B86F8B">
            <w:pPr>
              <w:jc w:val="center"/>
              <w:rPr>
                <w:b/>
                <w:bCs/>
                <w:sz w:val="18"/>
                <w:szCs w:val="18"/>
              </w:rPr>
            </w:pPr>
            <w:r w:rsidRPr="00B86F8B">
              <w:rPr>
                <w:b/>
                <w:bCs/>
                <w:sz w:val="18"/>
                <w:szCs w:val="18"/>
              </w:rPr>
              <w:t>Itemized Changes in Annual Cost Burden</w:t>
            </w:r>
          </w:p>
        </w:tc>
      </w:tr>
      <w:tr w:rsidR="00B86F8B" w:rsidRPr="00B86F8B" w:rsidTr="00BB75BD">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86F8B" w:rsidRPr="00B86F8B" w:rsidRDefault="00B86F8B" w:rsidP="00B86F8B">
            <w:pPr>
              <w:jc w:val="center"/>
              <w:rPr>
                <w:b/>
                <w:bCs/>
                <w:sz w:val="18"/>
                <w:szCs w:val="18"/>
              </w:rPr>
            </w:pPr>
            <w:r w:rsidRPr="00B86F8B">
              <w:rPr>
                <w:b/>
                <w:bCs/>
                <w:sz w:val="18"/>
                <w:szCs w:val="18"/>
              </w:rPr>
              <w:t>Difference</w:t>
            </w:r>
          </w:p>
        </w:tc>
      </w:tr>
      <w:tr w:rsidR="00B86F8B" w:rsidRPr="00B86F8B" w:rsidTr="00BB75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 </w:t>
            </w:r>
            <w:r w:rsidRPr="00B86F8B">
              <w:rPr>
                <w:rFonts w:ascii="Arial" w:hAnsi="Arial" w:cs="Arial"/>
                <w:color w:val="000000"/>
                <w:sz w:val="18"/>
                <w:szCs w:val="18"/>
              </w:rPr>
              <w:t>Letter of Application / No Form</w:t>
            </w:r>
          </w:p>
        </w:tc>
        <w:tc>
          <w:tcPr>
            <w:tcW w:w="124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$3,090</w:t>
            </w:r>
          </w:p>
        </w:tc>
        <w:tc>
          <w:tcPr>
            <w:tcW w:w="142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$6,262 </w:t>
            </w:r>
          </w:p>
        </w:tc>
        <w:tc>
          <w:tcPr>
            <w:tcW w:w="174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sz w:val="18"/>
                <w:szCs w:val="18"/>
              </w:rPr>
            </w:pPr>
            <w:r w:rsidRPr="00B86F8B">
              <w:rPr>
                <w:rFonts w:ascii="Arial" w:hAnsi="Arial" w:cs="Arial"/>
                <w:sz w:val="18"/>
                <w:szCs w:val="18"/>
              </w:rPr>
              <w:t>$3,172</w:t>
            </w:r>
          </w:p>
        </w:tc>
      </w:tr>
      <w:tr w:rsidR="00B86F8B" w:rsidRPr="00B86F8B" w:rsidTr="00BB75B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86F8B" w:rsidRPr="00B86F8B" w:rsidRDefault="00B86F8B" w:rsidP="00B86F8B">
            <w:pPr>
              <w:jc w:val="center"/>
              <w:rPr>
                <w:b/>
                <w:bCs/>
                <w:sz w:val="18"/>
                <w:szCs w:val="18"/>
              </w:rPr>
            </w:pPr>
            <w:r w:rsidRPr="00B86F8B">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b/>
                <w:sz w:val="18"/>
                <w:szCs w:val="18"/>
              </w:rPr>
            </w:pPr>
          </w:p>
        </w:tc>
        <w:tc>
          <w:tcPr>
            <w:tcW w:w="96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b/>
                <w:sz w:val="18"/>
                <w:szCs w:val="18"/>
              </w:rPr>
            </w:pPr>
            <w:r w:rsidRPr="00B86F8B">
              <w:rPr>
                <w:rFonts w:ascii="Arial" w:hAnsi="Arial" w:cs="Arial"/>
                <w:b/>
                <w:sz w:val="18"/>
                <w:szCs w:val="18"/>
              </w:rPr>
              <w:t>$3,090</w:t>
            </w:r>
          </w:p>
        </w:tc>
        <w:tc>
          <w:tcPr>
            <w:tcW w:w="142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rPr>
                <w:rFonts w:ascii="Arial" w:hAnsi="Arial" w:cs="Arial"/>
                <w:b/>
                <w:sz w:val="18"/>
                <w:szCs w:val="18"/>
              </w:rPr>
            </w:pPr>
            <w:r w:rsidRPr="00B86F8B">
              <w:rPr>
                <w:rFonts w:ascii="Arial" w:hAnsi="Arial" w:cs="Arial"/>
                <w:b/>
                <w:sz w:val="18"/>
                <w:szCs w:val="18"/>
              </w:rPr>
              <w:t xml:space="preserve">      $6.262</w:t>
            </w:r>
          </w:p>
        </w:tc>
        <w:tc>
          <w:tcPr>
            <w:tcW w:w="1740" w:type="dxa"/>
            <w:tcBorders>
              <w:top w:val="nil"/>
              <w:left w:val="nil"/>
              <w:bottom w:val="single" w:sz="8" w:space="0" w:color="auto"/>
              <w:right w:val="single" w:sz="8" w:space="0" w:color="auto"/>
            </w:tcBorders>
            <w:shd w:val="clear" w:color="auto" w:fill="auto"/>
            <w:noWrap/>
            <w:vAlign w:val="bottom"/>
          </w:tcPr>
          <w:p w:rsidR="00B86F8B" w:rsidRPr="00B86F8B" w:rsidRDefault="00B86F8B" w:rsidP="00B86F8B">
            <w:pPr>
              <w:jc w:val="center"/>
              <w:rPr>
                <w:rFonts w:ascii="Arial" w:hAnsi="Arial" w:cs="Arial"/>
                <w:b/>
                <w:sz w:val="18"/>
                <w:szCs w:val="18"/>
              </w:rPr>
            </w:pPr>
            <w:r w:rsidRPr="00B86F8B">
              <w:rPr>
                <w:rFonts w:ascii="Arial" w:hAnsi="Arial" w:cs="Arial"/>
                <w:b/>
                <w:sz w:val="18"/>
                <w:szCs w:val="18"/>
              </w:rPr>
              <w:t> $3,172</w:t>
            </w:r>
          </w:p>
        </w:tc>
      </w:tr>
    </w:tbl>
    <w:p w:rsidR="00B86F8B" w:rsidRPr="00B86F8B" w:rsidRDefault="00B86F8B" w:rsidP="00B86F8B">
      <w:pPr>
        <w:rPr>
          <w:b/>
          <w:bCs/>
          <w:i/>
        </w:rPr>
      </w:pPr>
    </w:p>
    <w:p w:rsidR="00B86F8B" w:rsidRPr="00B86F8B" w:rsidRDefault="00B86F8B" w:rsidP="00B86F8B">
      <w:pPr>
        <w:rPr>
          <w:bCs/>
          <w:i/>
        </w:rPr>
      </w:pPr>
      <w:r w:rsidRPr="00B86F8B">
        <w:rPr>
          <w:b/>
          <w:bCs/>
          <w:i/>
        </w:rPr>
        <w:t>Explain:</w:t>
      </w:r>
      <w:r w:rsidRPr="00B86F8B">
        <w:rPr>
          <w:bCs/>
          <w:i/>
        </w:rPr>
        <w:t xml:space="preserve"> </w:t>
      </w:r>
    </w:p>
    <w:p w:rsidR="00B86F8B" w:rsidRPr="00B86F8B" w:rsidRDefault="00B86F8B" w:rsidP="00B86F8B">
      <w:pPr>
        <w:rPr>
          <w:bCs/>
          <w:i/>
        </w:rPr>
      </w:pPr>
    </w:p>
    <w:p w:rsidR="00B86F8B" w:rsidRPr="00B86F8B" w:rsidRDefault="00B86F8B" w:rsidP="00B86F8B">
      <w:pPr>
        <w:rPr>
          <w:b/>
          <w:bCs/>
        </w:rPr>
      </w:pPr>
      <w:r w:rsidRPr="00B86F8B">
        <w:rPr>
          <w:bCs/>
        </w:rPr>
        <w:t>There is a change to annual cost burden from $3,090 to $6,262, an increase of $3,172.  This increase results from the application of the 1.4 multiplier wage rate.</w:t>
      </w:r>
    </w:p>
    <w:p w:rsidR="00B86F8B" w:rsidRPr="003E4A1C" w:rsidRDefault="00B86F8B" w:rsidP="003E4A1C">
      <w:pPr>
        <w:tabs>
          <w:tab w:val="left" w:pos="-720"/>
        </w:tabs>
        <w:suppressAutoHyphens/>
      </w:pPr>
      <w:bookmarkStart w:id="0" w:name="_GoBack"/>
      <w:bookmarkEnd w:id="0"/>
    </w:p>
    <w:p w:rsidR="003E4A1C" w:rsidRPr="003E4A1C" w:rsidRDefault="003E4A1C" w:rsidP="003E4A1C">
      <w:pPr>
        <w:tabs>
          <w:tab w:val="left" w:pos="-720"/>
        </w:tabs>
        <w:suppressAutoHyphens/>
        <w:rPr>
          <w:sz w:val="26"/>
        </w:rPr>
      </w:pPr>
    </w:p>
    <w:p w:rsidR="005C42F7" w:rsidRDefault="00066077" w:rsidP="003E4A1C"/>
    <w:sectPr w:rsidR="005C42F7" w:rsidSect="003D7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B71"/>
    <w:rsid w:val="00066077"/>
    <w:rsid w:val="000D1E50"/>
    <w:rsid w:val="003D704A"/>
    <w:rsid w:val="003E4A1C"/>
    <w:rsid w:val="00405CB2"/>
    <w:rsid w:val="00430168"/>
    <w:rsid w:val="004E7B71"/>
    <w:rsid w:val="0057426D"/>
    <w:rsid w:val="00601D22"/>
    <w:rsid w:val="007845FC"/>
    <w:rsid w:val="00800AFC"/>
    <w:rsid w:val="008C5D68"/>
    <w:rsid w:val="00972A95"/>
    <w:rsid w:val="00AE3AFB"/>
    <w:rsid w:val="00B34ABA"/>
    <w:rsid w:val="00B66967"/>
    <w:rsid w:val="00B86F8B"/>
    <w:rsid w:val="00B919FB"/>
    <w:rsid w:val="00BB43F8"/>
    <w:rsid w:val="00C317B9"/>
    <w:rsid w:val="00D729B1"/>
    <w:rsid w:val="00DB578C"/>
    <w:rsid w:val="00F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AFB"/>
    <w:rPr>
      <w:color w:val="0000FF"/>
      <w:u w:val="single"/>
    </w:rPr>
  </w:style>
  <w:style w:type="paragraph" w:styleId="BodyText">
    <w:name w:val="Body Text"/>
    <w:basedOn w:val="Normal"/>
    <w:link w:val="BodyTextChar"/>
    <w:rsid w:val="00AE3AFB"/>
    <w:pPr>
      <w:shd w:val="pct25" w:color="auto" w:fill="FFFFFF"/>
      <w:tabs>
        <w:tab w:val="left" w:pos="-720"/>
      </w:tabs>
      <w:suppressAutoHyphens/>
    </w:pPr>
    <w:rPr>
      <w:sz w:val="26"/>
    </w:rPr>
  </w:style>
  <w:style w:type="character" w:customStyle="1" w:styleId="BodyTextChar">
    <w:name w:val="Body Text Char"/>
    <w:basedOn w:val="DefaultParagraphFont"/>
    <w:link w:val="BodyText"/>
    <w:rsid w:val="00AE3AFB"/>
    <w:rPr>
      <w:rFonts w:ascii="Times New Roman" w:eastAsia="Times New Roman" w:hAnsi="Times New Roman" w:cs="Times New Roman"/>
      <w:sz w:val="26"/>
      <w:szCs w:val="24"/>
      <w:shd w:val="pct25" w:color="auto" w:fill="FFFFFF"/>
    </w:rPr>
  </w:style>
  <w:style w:type="paragraph" w:styleId="NormalWeb">
    <w:name w:val="Normal (Web)"/>
    <w:basedOn w:val="Normal"/>
    <w:rsid w:val="00AE3A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 TargetMode="External"/><Relationship Id="rId5" Type="http://schemas.openxmlformats.org/officeDocument/2006/relationships/hyperlink" Target="mailto:mary.chang@dhs.gov"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sgreene3</dc:creator>
  <cp:lastModifiedBy>sgreene3</cp:lastModifiedBy>
  <cp:revision>8</cp:revision>
  <dcterms:created xsi:type="dcterms:W3CDTF">2011-02-15T22:35:00Z</dcterms:created>
  <dcterms:modified xsi:type="dcterms:W3CDTF">2011-02-15T23:09:00Z</dcterms:modified>
</cp:coreProperties>
</file>