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75" w:rsidRDefault="00AD2075" w:rsidP="00BB6186">
      <w:pPr>
        <w:spacing w:after="60" w:line="360" w:lineRule="exact"/>
        <w:ind w:left="5112" w:firstLine="0"/>
        <w:jc w:val="left"/>
        <w:rPr>
          <w:rFonts w:ascii="Lucida Sans" w:hAnsi="Lucida Sans"/>
          <w:b/>
          <w:sz w:val="22"/>
          <w:szCs w:val="22"/>
        </w:rPr>
      </w:pPr>
      <w:bookmarkStart w:id="0" w:name="_Toc213228313"/>
      <w:bookmarkStart w:id="1" w:name="_Toc221936206"/>
    </w:p>
    <w:p w:rsidR="00AD2075" w:rsidRPr="007C49C0" w:rsidRDefault="00AD2075" w:rsidP="00BB6186">
      <w:pPr>
        <w:spacing w:after="144" w:line="312" w:lineRule="auto"/>
        <w:ind w:left="5112" w:right="360" w:firstLine="0"/>
        <w:jc w:val="left"/>
        <w:rPr>
          <w:rFonts w:ascii="Lucida Sans" w:hAnsi="Lucida Sans"/>
          <w:b/>
          <w:sz w:val="22"/>
          <w:szCs w:val="22"/>
        </w:rPr>
      </w:pPr>
      <w:bookmarkStart w:id="2" w:name="RepTitle"/>
      <w:bookmarkEnd w:id="2"/>
      <w:r>
        <w:rPr>
          <w:rFonts w:ascii="Lucida Sans" w:hAnsi="Lucida Sans"/>
          <w:b/>
          <w:sz w:val="22"/>
          <w:szCs w:val="22"/>
        </w:rPr>
        <w:t xml:space="preserve">A Study of Teacher Residency Programs </w:t>
      </w:r>
    </w:p>
    <w:p w:rsidR="00AD2075" w:rsidRPr="007C49C0" w:rsidRDefault="00AD2075" w:rsidP="00BB6186">
      <w:pPr>
        <w:spacing w:before="144" w:line="360" w:lineRule="exact"/>
        <w:ind w:left="5115" w:right="360" w:firstLine="0"/>
        <w:rPr>
          <w:rFonts w:ascii="Lucida Sans" w:hAnsi="Lucida Sans"/>
          <w:sz w:val="22"/>
          <w:szCs w:val="22"/>
        </w:rPr>
      </w:pPr>
      <w:bookmarkStart w:id="3" w:name="RepType"/>
      <w:bookmarkEnd w:id="3"/>
      <w:r>
        <w:rPr>
          <w:rFonts w:ascii="Lucida Sans" w:hAnsi="Lucida Sans"/>
          <w:sz w:val="22"/>
          <w:szCs w:val="22"/>
        </w:rPr>
        <w:t>Part B</w:t>
      </w:r>
    </w:p>
    <w:p w:rsidR="00AD2075" w:rsidRPr="007C49C0" w:rsidRDefault="00AA6B8C" w:rsidP="00BB6186">
      <w:pPr>
        <w:spacing w:before="144" w:after="288" w:line="360" w:lineRule="exact"/>
        <w:ind w:left="5112" w:right="360" w:firstLine="0"/>
        <w:rPr>
          <w:rFonts w:ascii="Lucida Sans" w:hAnsi="Lucida Sans"/>
          <w:sz w:val="22"/>
          <w:szCs w:val="22"/>
        </w:rPr>
      </w:pPr>
      <w:bookmarkStart w:id="4" w:name="DateMark"/>
      <w:bookmarkEnd w:id="4"/>
      <w:r>
        <w:rPr>
          <w:rFonts w:ascii="Lucida Sans" w:hAnsi="Lucida Sans"/>
          <w:sz w:val="22"/>
          <w:szCs w:val="22"/>
        </w:rPr>
        <w:t>April 2</w:t>
      </w:r>
      <w:r w:rsidR="00EA3C5E">
        <w:rPr>
          <w:rFonts w:ascii="Lucida Sans" w:hAnsi="Lucida Sans"/>
          <w:sz w:val="22"/>
          <w:szCs w:val="22"/>
        </w:rPr>
        <w:t>8</w:t>
      </w:r>
      <w:r w:rsidR="00AD2075">
        <w:rPr>
          <w:rFonts w:ascii="Lucida Sans" w:hAnsi="Lucida Sans"/>
          <w:sz w:val="22"/>
          <w:szCs w:val="22"/>
        </w:rPr>
        <w:t xml:space="preserve"> 201</w:t>
      </w:r>
      <w:r w:rsidR="00DC6AFE">
        <w:rPr>
          <w:rFonts w:ascii="Lucida Sans" w:hAnsi="Lucida Sans"/>
          <w:sz w:val="22"/>
          <w:szCs w:val="22"/>
        </w:rPr>
        <w:t>1</w:t>
      </w:r>
    </w:p>
    <w:p w:rsidR="00AD2075" w:rsidRPr="00C56A6B" w:rsidRDefault="00AD2075" w:rsidP="00BB6186">
      <w:pPr>
        <w:spacing w:line="280" w:lineRule="exact"/>
        <w:ind w:left="5115" w:right="360" w:firstLine="0"/>
        <w:rPr>
          <w:rFonts w:ascii="Lucida Sans" w:hAnsi="Lucida Sans"/>
          <w:sz w:val="20"/>
          <w:szCs w:val="20"/>
        </w:rPr>
      </w:pPr>
      <w:bookmarkStart w:id="5" w:name="StartingPoint"/>
      <w:bookmarkEnd w:id="5"/>
    </w:p>
    <w:p w:rsidR="00AD2075" w:rsidRDefault="00617C5A" w:rsidP="00BB6186">
      <w:pPr>
        <w:spacing w:line="280" w:lineRule="exact"/>
        <w:ind w:left="5225" w:firstLine="0"/>
        <w:rPr>
          <w:rFonts w:ascii="Lucida Sans" w:hAnsi="Lucida Sans"/>
          <w:sz w:val="20"/>
          <w:szCs w:val="20"/>
        </w:rPr>
      </w:pPr>
      <w:r>
        <w:rPr>
          <w:noProof/>
        </w:rPr>
        <w:drawing>
          <wp:anchor distT="0" distB="0" distL="114300" distR="114300" simplePos="0" relativeHeight="25165619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2"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a:srcRect/>
                    <a:stretch>
                      <a:fillRect/>
                    </a:stretch>
                  </pic:blipFill>
                  <pic:spPr bwMode="auto">
                    <a:xfrm>
                      <a:off x="0" y="0"/>
                      <a:ext cx="1809750" cy="579120"/>
                    </a:xfrm>
                    <a:prstGeom prst="rect">
                      <a:avLst/>
                    </a:prstGeom>
                    <a:noFill/>
                  </pic:spPr>
                </pic:pic>
              </a:graphicData>
            </a:graphic>
          </wp:anchor>
        </w:drawing>
      </w:r>
      <w:r>
        <w:rPr>
          <w:noProof/>
        </w:rPr>
        <w:drawing>
          <wp:anchor distT="0" distB="0" distL="114300" distR="114300" simplePos="0" relativeHeight="25165414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7802880" cy="2562225"/>
                    </a:xfrm>
                    <a:prstGeom prst="rect">
                      <a:avLst/>
                    </a:prstGeom>
                    <a:noFill/>
                  </pic:spPr>
                </pic:pic>
              </a:graphicData>
            </a:graphic>
          </wp:anchor>
        </w:drawing>
      </w:r>
      <w:r w:rsidR="00AD2075">
        <w:rPr>
          <w:rFonts w:ascii="Lucida Sans" w:hAnsi="Lucida Sans"/>
          <w:sz w:val="20"/>
          <w:szCs w:val="20"/>
        </w:rPr>
        <w:t xml:space="preserve"> </w:t>
      </w:r>
    </w:p>
    <w:p w:rsidR="00AD2075" w:rsidRDefault="00AD2075" w:rsidP="00BB6186">
      <w:pPr>
        <w:spacing w:line="264" w:lineRule="auto"/>
        <w:ind w:left="5040" w:firstLine="0"/>
        <w:rPr>
          <w:rFonts w:ascii="Lucida Sans" w:hAnsi="Lucida Sans"/>
          <w:sz w:val="20"/>
          <w:szCs w:val="20"/>
        </w:rPr>
        <w:sectPr w:rsidR="00AD2075" w:rsidSect="00BB6186">
          <w:footerReference w:type="default" r:id="rId10"/>
          <w:endnotePr>
            <w:numFmt w:val="decimal"/>
          </w:endnotePr>
          <w:pgSz w:w="12240" w:h="15840" w:code="1"/>
          <w:pgMar w:top="1440" w:right="1440" w:bottom="576" w:left="1440" w:header="720" w:footer="576" w:gutter="0"/>
          <w:pgNumType w:fmt="lowerRoman" w:start="3"/>
          <w:cols w:space="720"/>
          <w:docGrid w:linePitch="326"/>
        </w:sectPr>
      </w:pPr>
    </w:p>
    <w:p w:rsidR="00AD2075" w:rsidRDefault="00AD2075" w:rsidP="00BB6186">
      <w:pPr>
        <w:spacing w:line="264" w:lineRule="auto"/>
        <w:ind w:left="5040" w:firstLine="0"/>
        <w:rPr>
          <w:rFonts w:ascii="Lucida Sans" w:hAnsi="Lucida Sans"/>
          <w:sz w:val="20"/>
          <w:szCs w:val="20"/>
        </w:rPr>
        <w:sectPr w:rsidR="00AD2075" w:rsidSect="00BB6186">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326"/>
        </w:sectPr>
      </w:pPr>
    </w:p>
    <w:tbl>
      <w:tblPr>
        <w:tblW w:w="0" w:type="auto"/>
        <w:tblInd w:w="1440" w:type="dxa"/>
        <w:tblLayout w:type="fixed"/>
        <w:tblCellMar>
          <w:left w:w="115" w:type="dxa"/>
          <w:right w:w="115" w:type="dxa"/>
        </w:tblCellMar>
        <w:tblLook w:val="00A0"/>
      </w:tblPr>
      <w:tblGrid>
        <w:gridCol w:w="3618"/>
        <w:gridCol w:w="4057"/>
      </w:tblGrid>
      <w:tr w:rsidR="00AD2075" w:rsidTr="00BB6186">
        <w:tc>
          <w:tcPr>
            <w:tcW w:w="3618" w:type="dxa"/>
          </w:tcPr>
          <w:p w:rsidR="00AD2075" w:rsidRPr="00993339" w:rsidRDefault="00AD2075" w:rsidP="00BB6186">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AD2075" w:rsidRPr="00993339" w:rsidRDefault="00AD2075" w:rsidP="00BB6186">
            <w:pPr>
              <w:spacing w:after="180" w:line="240" w:lineRule="exact"/>
              <w:ind w:firstLine="0"/>
              <w:jc w:val="left"/>
              <w:rPr>
                <w:rFonts w:ascii="Lucida Sans" w:hAnsi="Lucida Sans"/>
                <w:sz w:val="17"/>
                <w:szCs w:val="16"/>
              </w:rPr>
            </w:pPr>
            <w:bookmarkStart w:id="6" w:name="Contract"/>
            <w:bookmarkEnd w:id="6"/>
            <w:r w:rsidRPr="0047435B">
              <w:rPr>
                <w:rFonts w:ascii="Lucida Sans" w:hAnsi="Lucida Sans"/>
                <w:sz w:val="17"/>
                <w:szCs w:val="16"/>
              </w:rPr>
              <w:t>ED-</w:t>
            </w:r>
            <w:r>
              <w:rPr>
                <w:rFonts w:ascii="Lucida Sans" w:hAnsi="Lucida Sans"/>
                <w:sz w:val="17"/>
                <w:szCs w:val="16"/>
              </w:rPr>
              <w:t>IES</w:t>
            </w:r>
            <w:r w:rsidRPr="0047435B">
              <w:rPr>
                <w:rFonts w:ascii="Lucida Sans" w:hAnsi="Lucida Sans"/>
                <w:sz w:val="17"/>
                <w:szCs w:val="16"/>
              </w:rPr>
              <w:t>-</w:t>
            </w:r>
            <w:r>
              <w:rPr>
                <w:rFonts w:ascii="Lucida Sans" w:hAnsi="Lucida Sans"/>
                <w:sz w:val="17"/>
                <w:szCs w:val="16"/>
              </w:rPr>
              <w:t>10-C (0001)</w:t>
            </w:r>
          </w:p>
          <w:p w:rsidR="00AD2075" w:rsidRPr="00993339" w:rsidRDefault="00AD2075" w:rsidP="00BB6186">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AD2075" w:rsidRPr="00993339" w:rsidRDefault="00AD2075" w:rsidP="00BB6186">
            <w:pPr>
              <w:spacing w:after="180" w:line="240" w:lineRule="exact"/>
              <w:ind w:firstLine="0"/>
              <w:jc w:val="left"/>
              <w:rPr>
                <w:rFonts w:ascii="Lucida Sans" w:hAnsi="Lucida Sans"/>
                <w:sz w:val="17"/>
                <w:szCs w:val="16"/>
              </w:rPr>
            </w:pPr>
            <w:bookmarkStart w:id="7" w:name="MPRRef"/>
            <w:bookmarkEnd w:id="7"/>
            <w:r>
              <w:rPr>
                <w:rFonts w:ascii="Lucida Sans" w:hAnsi="Lucida Sans"/>
                <w:sz w:val="17"/>
                <w:szCs w:val="16"/>
              </w:rPr>
              <w:t>06748-510</w:t>
            </w:r>
          </w:p>
          <w:p w:rsidR="00AD2075" w:rsidRPr="00993339" w:rsidRDefault="00AD2075" w:rsidP="00BB6186">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AD2075" w:rsidRPr="0047435B" w:rsidRDefault="00AD2075" w:rsidP="00BB6186">
            <w:pPr>
              <w:spacing w:line="240" w:lineRule="exact"/>
              <w:ind w:firstLine="0"/>
              <w:jc w:val="left"/>
              <w:rPr>
                <w:rFonts w:ascii="Lucida Sans" w:hAnsi="Lucida Sans"/>
                <w:sz w:val="17"/>
                <w:szCs w:val="16"/>
              </w:rPr>
            </w:pPr>
            <w:bookmarkStart w:id="8" w:name="Agency"/>
            <w:bookmarkEnd w:id="8"/>
            <w:smartTag w:uri="urn:schemas-microsoft-com:office:smarttags" w:element="place">
              <w:smartTag w:uri="urn:schemas-microsoft-com:office:smarttags" w:element="PlaceType">
                <w:r w:rsidRPr="0047435B">
                  <w:rPr>
                    <w:rFonts w:ascii="Lucida Sans" w:hAnsi="Lucida Sans"/>
                    <w:sz w:val="17"/>
                    <w:szCs w:val="16"/>
                  </w:rPr>
                  <w:t>Institute</w:t>
                </w:r>
              </w:smartTag>
              <w:r w:rsidRPr="0047435B">
                <w:rPr>
                  <w:rFonts w:ascii="Lucida Sans" w:hAnsi="Lucida Sans"/>
                  <w:sz w:val="17"/>
                  <w:szCs w:val="16"/>
                </w:rPr>
                <w:t xml:space="preserve"> of </w:t>
              </w:r>
              <w:smartTag w:uri="urn:schemas-microsoft-com:office:smarttags" w:element="PlaceName">
                <w:r w:rsidRPr="0047435B">
                  <w:rPr>
                    <w:rFonts w:ascii="Lucida Sans" w:hAnsi="Lucida Sans"/>
                    <w:sz w:val="17"/>
                    <w:szCs w:val="16"/>
                  </w:rPr>
                  <w:t>Education</w:t>
                </w:r>
              </w:smartTag>
            </w:smartTag>
            <w:r w:rsidRPr="0047435B">
              <w:rPr>
                <w:rFonts w:ascii="Lucida Sans" w:hAnsi="Lucida Sans"/>
                <w:sz w:val="17"/>
                <w:szCs w:val="16"/>
              </w:rPr>
              <w:t xml:space="preserve"> Sciences</w:t>
            </w:r>
          </w:p>
          <w:p w:rsidR="00AD2075" w:rsidRPr="0047435B" w:rsidRDefault="00AD2075" w:rsidP="00BB6186">
            <w:pPr>
              <w:spacing w:line="240" w:lineRule="exact"/>
              <w:ind w:firstLine="0"/>
              <w:jc w:val="left"/>
              <w:rPr>
                <w:rFonts w:ascii="Lucida Sans" w:hAnsi="Lucida Sans"/>
                <w:sz w:val="17"/>
                <w:szCs w:val="16"/>
              </w:rPr>
            </w:pPr>
            <w:smartTag w:uri="urn:schemas-microsoft-com:office:smarttags" w:element="place">
              <w:smartTag w:uri="urn:schemas-microsoft-com:office:smarttags" w:element="country-region">
                <w:r w:rsidRPr="0047435B">
                  <w:rPr>
                    <w:rFonts w:ascii="Lucida Sans" w:hAnsi="Lucida Sans"/>
                    <w:sz w:val="17"/>
                    <w:szCs w:val="16"/>
                  </w:rPr>
                  <w:t>U.S.</w:t>
                </w:r>
              </w:smartTag>
            </w:smartTag>
            <w:r>
              <w:rPr>
                <w:rFonts w:ascii="Lucida Sans" w:hAnsi="Lucida Sans"/>
                <w:sz w:val="17"/>
                <w:szCs w:val="16"/>
              </w:rPr>
              <w:t xml:space="preserve"> </w:t>
            </w:r>
            <w:r w:rsidRPr="0047435B">
              <w:rPr>
                <w:rFonts w:ascii="Lucida Sans" w:hAnsi="Lucida Sans"/>
                <w:sz w:val="17"/>
                <w:szCs w:val="16"/>
              </w:rPr>
              <w:t>Department of Education</w:t>
            </w:r>
          </w:p>
          <w:p w:rsidR="00AD2075" w:rsidRPr="0047435B" w:rsidRDefault="00AD2075" w:rsidP="00BB6186">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sidRPr="0047435B">
                  <w:rPr>
                    <w:rFonts w:ascii="Lucida Sans" w:hAnsi="Lucida Sans"/>
                    <w:sz w:val="17"/>
                    <w:szCs w:val="16"/>
                  </w:rPr>
                  <w:t>555 New Jersey Avenue, NW</w:t>
                </w:r>
              </w:smartTag>
            </w:smartTag>
          </w:p>
          <w:p w:rsidR="00AD2075" w:rsidRPr="0047435B" w:rsidRDefault="00AD2075" w:rsidP="00BB6186">
            <w:pPr>
              <w:spacing w:line="240" w:lineRule="exact"/>
              <w:ind w:firstLine="0"/>
              <w:jc w:val="left"/>
              <w:rPr>
                <w:rFonts w:ascii="Lucida Sans" w:hAnsi="Lucida Sans"/>
                <w:sz w:val="17"/>
                <w:szCs w:val="16"/>
              </w:rPr>
            </w:pPr>
            <w:smartTag w:uri="urn:schemas-microsoft-com:office:smarttags" w:element="place">
              <w:smartTag w:uri="urn:schemas-microsoft-com:office:smarttags" w:element="City">
                <w:r w:rsidRPr="0047435B">
                  <w:rPr>
                    <w:rFonts w:ascii="Lucida Sans" w:hAnsi="Lucida Sans"/>
                    <w:sz w:val="17"/>
                    <w:szCs w:val="16"/>
                  </w:rPr>
                  <w:t>Washington</w:t>
                </w:r>
              </w:smartTag>
              <w:r w:rsidRPr="0047435B">
                <w:rPr>
                  <w:rFonts w:ascii="Lucida Sans" w:hAnsi="Lucida Sans"/>
                  <w:sz w:val="17"/>
                  <w:szCs w:val="16"/>
                </w:rPr>
                <w:t xml:space="preserve">, </w:t>
              </w:r>
              <w:smartTag w:uri="urn:schemas-microsoft-com:office:smarttags" w:element="State">
                <w:r w:rsidRPr="0047435B">
                  <w:rPr>
                    <w:rFonts w:ascii="Lucida Sans" w:hAnsi="Lucida Sans"/>
                    <w:sz w:val="17"/>
                    <w:szCs w:val="16"/>
                  </w:rPr>
                  <w:t>DC</w:t>
                </w:r>
              </w:smartTag>
              <w:r w:rsidRPr="0047435B">
                <w:rPr>
                  <w:rFonts w:ascii="Lucida Sans" w:hAnsi="Lucida Sans"/>
                  <w:sz w:val="17"/>
                  <w:szCs w:val="16"/>
                </w:rPr>
                <w:t xml:space="preserve"> </w:t>
              </w:r>
              <w:smartTag w:uri="urn:schemas-microsoft-com:office:smarttags" w:element="PostalCode">
                <w:r w:rsidRPr="0047435B">
                  <w:rPr>
                    <w:rFonts w:ascii="Lucida Sans" w:hAnsi="Lucida Sans"/>
                    <w:sz w:val="17"/>
                    <w:szCs w:val="16"/>
                  </w:rPr>
                  <w:t>20208</w:t>
                </w:r>
              </w:smartTag>
            </w:smartTag>
          </w:p>
          <w:p w:rsidR="00AD2075" w:rsidRPr="00993339" w:rsidRDefault="00AD2075" w:rsidP="00BB6186">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sidRPr="000D6CA9">
              <w:rPr>
                <w:rFonts w:ascii="Lucida Sans" w:hAnsi="Lucida Sans"/>
                <w:sz w:val="17"/>
                <w:szCs w:val="16"/>
              </w:rPr>
              <w:t>Melanie Ali</w:t>
            </w:r>
          </w:p>
          <w:p w:rsidR="00AD2075" w:rsidRDefault="00AD2075" w:rsidP="00BB6186">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AD2075" w:rsidRPr="00993339" w:rsidRDefault="00AD2075" w:rsidP="00BB6186">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AD2075" w:rsidRDefault="00AD2075" w:rsidP="00BB6186">
            <w:pPr>
              <w:spacing w:line="240" w:lineRule="exact"/>
              <w:ind w:firstLine="0"/>
              <w:jc w:val="left"/>
              <w:rPr>
                <w:rFonts w:ascii="Lucida Sans" w:hAnsi="Lucida Sans"/>
                <w:sz w:val="17"/>
                <w:szCs w:val="16"/>
              </w:rPr>
            </w:pPr>
            <w:bookmarkStart w:id="10" w:name="MPRAddress2"/>
            <w:bookmarkEnd w:id="10"/>
            <w:smartTag w:uri="urn:schemas-microsoft-com:office:smarttags" w:element="address">
              <w:smartTag w:uri="urn:schemas-microsoft-com:office:smarttags" w:element="Street">
                <w:r>
                  <w:rPr>
                    <w:rFonts w:ascii="Lucida Sans" w:hAnsi="Lucida Sans"/>
                    <w:sz w:val="17"/>
                    <w:szCs w:val="16"/>
                  </w:rPr>
                  <w:t>600 Maryland Avenue, SW</w:t>
                </w:r>
              </w:smartTag>
            </w:smartTag>
          </w:p>
          <w:p w:rsidR="00AD2075" w:rsidRDefault="00AD2075" w:rsidP="00BB6186">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Pr>
                    <w:rFonts w:ascii="Lucida Sans" w:hAnsi="Lucida Sans"/>
                    <w:sz w:val="17"/>
                    <w:szCs w:val="16"/>
                  </w:rPr>
                  <w:t>Suite</w:t>
                </w:r>
              </w:smartTag>
              <w:r>
                <w:rPr>
                  <w:rFonts w:ascii="Lucida Sans" w:hAnsi="Lucida Sans"/>
                  <w:sz w:val="17"/>
                  <w:szCs w:val="16"/>
                </w:rPr>
                <w:t xml:space="preserve"> 550</w:t>
              </w:r>
            </w:smartTag>
          </w:p>
          <w:p w:rsidR="00AD2075" w:rsidRDefault="00AD2075" w:rsidP="00BB6186">
            <w:pPr>
              <w:spacing w:line="240" w:lineRule="exact"/>
              <w:ind w:firstLine="0"/>
              <w:jc w:val="left"/>
              <w:rPr>
                <w:rFonts w:ascii="Lucida Sans" w:hAnsi="Lucida Sans"/>
                <w:sz w:val="17"/>
                <w:szCs w:val="16"/>
              </w:rPr>
            </w:pPr>
            <w:smartTag w:uri="urn:schemas-microsoft-com:office:smarttags" w:element="place">
              <w:smartTag w:uri="urn:schemas-microsoft-com:office:smarttags" w:element="City">
                <w:r>
                  <w:rPr>
                    <w:rFonts w:ascii="Lucida Sans" w:hAnsi="Lucida Sans"/>
                    <w:sz w:val="17"/>
                    <w:szCs w:val="16"/>
                  </w:rPr>
                  <w:t>Washington</w:t>
                </w:r>
              </w:smartTag>
              <w:r>
                <w:rPr>
                  <w:rFonts w:ascii="Lucida Sans" w:hAnsi="Lucida Sans"/>
                  <w:sz w:val="17"/>
                  <w:szCs w:val="16"/>
                </w:rPr>
                <w:t xml:space="preserve">, </w:t>
              </w:r>
              <w:smartTag w:uri="urn:schemas-microsoft-com:office:smarttags" w:element="State">
                <w:r>
                  <w:rPr>
                    <w:rFonts w:ascii="Lucida Sans" w:hAnsi="Lucida Sans"/>
                    <w:sz w:val="17"/>
                    <w:szCs w:val="16"/>
                  </w:rPr>
                  <w:t>DC</w:t>
                </w:r>
              </w:smartTag>
              <w:r>
                <w:rPr>
                  <w:rFonts w:ascii="Lucida Sans" w:hAnsi="Lucida Sans"/>
                  <w:sz w:val="17"/>
                  <w:szCs w:val="16"/>
                </w:rPr>
                <w:t xml:space="preserve"> </w:t>
              </w:r>
              <w:smartTag w:uri="urn:schemas-microsoft-com:office:smarttags" w:element="PostalCode">
                <w:r>
                  <w:rPr>
                    <w:rFonts w:ascii="Lucida Sans" w:hAnsi="Lucida Sans"/>
                    <w:sz w:val="17"/>
                    <w:szCs w:val="16"/>
                  </w:rPr>
                  <w:t>20024-2512</w:t>
                </w:r>
              </w:smartTag>
            </w:smartTag>
          </w:p>
          <w:p w:rsidR="00AD2075" w:rsidRDefault="00AD2075" w:rsidP="00BB6186">
            <w:pPr>
              <w:spacing w:line="240" w:lineRule="exact"/>
              <w:ind w:firstLine="0"/>
              <w:jc w:val="left"/>
              <w:rPr>
                <w:rFonts w:ascii="Lucida Sans" w:hAnsi="Lucida Sans"/>
                <w:sz w:val="17"/>
                <w:szCs w:val="16"/>
              </w:rPr>
            </w:pPr>
            <w:r>
              <w:rPr>
                <w:rFonts w:ascii="Lucida Sans" w:hAnsi="Lucida Sans"/>
                <w:sz w:val="17"/>
                <w:szCs w:val="16"/>
              </w:rPr>
              <w:t>Telephone: (202) 484-9220</w:t>
            </w:r>
          </w:p>
          <w:p w:rsidR="00AD2075" w:rsidRDefault="00AD2075" w:rsidP="00BB6186">
            <w:pPr>
              <w:spacing w:line="240" w:lineRule="exact"/>
              <w:ind w:firstLine="0"/>
              <w:jc w:val="left"/>
              <w:rPr>
                <w:rFonts w:ascii="Lucida Sans" w:hAnsi="Lucida Sans"/>
                <w:sz w:val="17"/>
                <w:szCs w:val="16"/>
              </w:rPr>
            </w:pPr>
            <w:r>
              <w:rPr>
                <w:rFonts w:ascii="Lucida Sans" w:hAnsi="Lucida Sans"/>
                <w:sz w:val="17"/>
                <w:szCs w:val="16"/>
              </w:rPr>
              <w:t>Facsimile: (202) 863-1763</w:t>
            </w:r>
          </w:p>
          <w:p w:rsidR="00AD2075" w:rsidRPr="00451D9C" w:rsidRDefault="00AD2075" w:rsidP="00BB6186">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Philip Gleason</w:t>
            </w:r>
          </w:p>
        </w:tc>
        <w:tc>
          <w:tcPr>
            <w:tcW w:w="4057" w:type="dxa"/>
          </w:tcPr>
          <w:p w:rsidR="00AD2075" w:rsidRPr="00451D9C" w:rsidRDefault="00AD2075" w:rsidP="00BB6186">
            <w:pPr>
              <w:spacing w:after="144" w:line="312" w:lineRule="auto"/>
              <w:ind w:left="58" w:firstLine="0"/>
              <w:jc w:val="left"/>
              <w:rPr>
                <w:rFonts w:ascii="Lucida Sans" w:hAnsi="Lucida Sans"/>
                <w:b/>
              </w:rPr>
            </w:pPr>
            <w:bookmarkStart w:id="12" w:name="RepTitle2"/>
            <w:bookmarkEnd w:id="12"/>
            <w:r>
              <w:rPr>
                <w:rFonts w:ascii="Lucida Sans" w:hAnsi="Lucida Sans"/>
                <w:b/>
                <w:sz w:val="22"/>
                <w:szCs w:val="22"/>
              </w:rPr>
              <w:t>An Study of Teacher Residency Programs</w:t>
            </w:r>
          </w:p>
          <w:p w:rsidR="00AD2075" w:rsidRPr="00451D9C" w:rsidRDefault="00AD2075" w:rsidP="00BB6186">
            <w:pPr>
              <w:spacing w:before="144" w:line="360" w:lineRule="exact"/>
              <w:ind w:left="58" w:firstLine="0"/>
              <w:jc w:val="left"/>
              <w:rPr>
                <w:rFonts w:ascii="Lucida Sans" w:hAnsi="Lucida Sans"/>
              </w:rPr>
            </w:pPr>
            <w:bookmarkStart w:id="13" w:name="RepType2"/>
            <w:bookmarkEnd w:id="13"/>
            <w:r>
              <w:rPr>
                <w:rFonts w:ascii="Lucida Sans" w:hAnsi="Lucida Sans"/>
                <w:sz w:val="22"/>
                <w:szCs w:val="22"/>
              </w:rPr>
              <w:t>Part B</w:t>
            </w:r>
          </w:p>
          <w:p w:rsidR="00AD2075" w:rsidRPr="00451D9C" w:rsidRDefault="00AA6B8C" w:rsidP="00BB6186">
            <w:pPr>
              <w:spacing w:before="144" w:after="288" w:line="360" w:lineRule="exact"/>
              <w:ind w:left="58" w:firstLine="0"/>
              <w:jc w:val="left"/>
              <w:rPr>
                <w:rFonts w:ascii="Lucida Sans" w:hAnsi="Lucida Sans"/>
              </w:rPr>
            </w:pPr>
            <w:bookmarkStart w:id="14" w:name="DateMark2"/>
            <w:bookmarkEnd w:id="14"/>
            <w:r>
              <w:rPr>
                <w:rFonts w:ascii="Lucida Sans" w:hAnsi="Lucida Sans"/>
                <w:sz w:val="22"/>
                <w:szCs w:val="22"/>
              </w:rPr>
              <w:t>April 2</w:t>
            </w:r>
            <w:r w:rsidR="00EA3C5E">
              <w:rPr>
                <w:rFonts w:ascii="Lucida Sans" w:hAnsi="Lucida Sans"/>
                <w:sz w:val="22"/>
                <w:szCs w:val="22"/>
              </w:rPr>
              <w:t>8</w:t>
            </w:r>
            <w:r w:rsidR="00AD2075">
              <w:rPr>
                <w:rFonts w:ascii="Lucida Sans" w:hAnsi="Lucida Sans"/>
                <w:sz w:val="22"/>
                <w:szCs w:val="22"/>
              </w:rPr>
              <w:t>, 201</w:t>
            </w:r>
            <w:r w:rsidR="00DC6AFE">
              <w:rPr>
                <w:rFonts w:ascii="Lucida Sans" w:hAnsi="Lucida Sans"/>
                <w:sz w:val="22"/>
                <w:szCs w:val="22"/>
              </w:rPr>
              <w:t>1</w:t>
            </w:r>
          </w:p>
          <w:p w:rsidR="00AD2075" w:rsidRDefault="00AD2075" w:rsidP="00BB6186">
            <w:pPr>
              <w:spacing w:line="280" w:lineRule="exact"/>
              <w:ind w:left="58" w:firstLine="0"/>
              <w:jc w:val="left"/>
              <w:rPr>
                <w:rFonts w:ascii="Lucida Sans" w:hAnsi="Lucida Sans"/>
                <w:sz w:val="20"/>
                <w:szCs w:val="20"/>
              </w:rPr>
            </w:pPr>
          </w:p>
          <w:p w:rsidR="00AD2075" w:rsidRDefault="00AD2075" w:rsidP="00BB6186">
            <w:pPr>
              <w:spacing w:line="264" w:lineRule="auto"/>
              <w:ind w:left="58" w:firstLine="0"/>
              <w:jc w:val="left"/>
              <w:rPr>
                <w:rFonts w:ascii="Lucida Sans" w:hAnsi="Lucida Sans"/>
                <w:sz w:val="20"/>
                <w:szCs w:val="20"/>
              </w:rPr>
            </w:pPr>
          </w:p>
          <w:p w:rsidR="00AD2075" w:rsidRPr="00451D9C" w:rsidRDefault="00AD2075" w:rsidP="00BB6186">
            <w:pPr>
              <w:spacing w:line="264" w:lineRule="auto"/>
              <w:ind w:left="58" w:firstLine="0"/>
              <w:jc w:val="left"/>
              <w:rPr>
                <w:rFonts w:ascii="Lucida Sans" w:hAnsi="Lucida Sans"/>
              </w:rPr>
            </w:pPr>
          </w:p>
        </w:tc>
      </w:tr>
    </w:tbl>
    <w:p w:rsidR="00AD2075" w:rsidRDefault="00AD2075" w:rsidP="00BB6186">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AD2075" w:rsidRDefault="00617C5A" w:rsidP="00BB6186">
      <w:pPr>
        <w:spacing w:line="264" w:lineRule="auto"/>
        <w:ind w:firstLine="0"/>
        <w:rPr>
          <w:rFonts w:ascii="Lucida Sans" w:hAnsi="Lucida Sans"/>
          <w:sz w:val="22"/>
          <w:szCs w:val="22"/>
        </w:rPr>
      </w:pPr>
      <w:r>
        <w:rPr>
          <w:noProof/>
        </w:rPr>
        <w:drawing>
          <wp:anchor distT="0" distB="0" distL="114300" distR="114300" simplePos="0" relativeHeight="25165721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4"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3"/>
                    <a:srcRect/>
                    <a:stretch>
                      <a:fillRect/>
                    </a:stretch>
                  </pic:blipFill>
                  <pic:spPr bwMode="auto">
                    <a:xfrm>
                      <a:off x="0" y="0"/>
                      <a:ext cx="1828800" cy="581025"/>
                    </a:xfrm>
                    <a:prstGeom prst="rect">
                      <a:avLst/>
                    </a:prstGeom>
                    <a:noFill/>
                  </pic:spPr>
                </pic:pic>
              </a:graphicData>
            </a:graphic>
          </wp:anchor>
        </w:drawing>
      </w:r>
      <w:r>
        <w:rPr>
          <w:noProof/>
        </w:rPr>
        <w:drawing>
          <wp:anchor distT="0" distB="0" distL="114300" distR="114300" simplePos="0" relativeHeight="251655168"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7802880" cy="2562225"/>
                    </a:xfrm>
                    <a:prstGeom prst="rect">
                      <a:avLst/>
                    </a:prstGeom>
                    <a:noFill/>
                  </pic:spPr>
                </pic:pic>
              </a:graphicData>
            </a:graphic>
          </wp:anchor>
        </w:drawing>
      </w:r>
    </w:p>
    <w:p w:rsidR="00AD2075" w:rsidRDefault="00AD2075" w:rsidP="00BB6186">
      <w:pPr>
        <w:spacing w:line="264" w:lineRule="auto"/>
        <w:ind w:firstLine="0"/>
        <w:rPr>
          <w:rFonts w:ascii="Lucida Sans" w:hAnsi="Lucida Sans"/>
          <w:sz w:val="22"/>
          <w:szCs w:val="22"/>
        </w:rPr>
        <w:sectPr w:rsidR="00AD2075" w:rsidSect="00BB6186">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p>
    <w:p w:rsidR="00AD2075" w:rsidRDefault="00AD2075" w:rsidP="00BB6186">
      <w:pPr>
        <w:spacing w:after="480" w:line="240" w:lineRule="auto"/>
        <w:ind w:firstLine="0"/>
        <w:jc w:val="center"/>
        <w:rPr>
          <w:rFonts w:ascii="Lucida Sans" w:hAnsi="Lucida Sans"/>
          <w:b/>
        </w:rPr>
      </w:pPr>
      <w:r>
        <w:rPr>
          <w:rFonts w:ascii="Lucida Sans" w:hAnsi="Lucida Sans"/>
          <w:b/>
        </w:rPr>
        <w:lastRenderedPageBreak/>
        <w:t>CONTENTS</w:t>
      </w:r>
    </w:p>
    <w:p w:rsidR="00485E66" w:rsidRDefault="00D13F41">
      <w:pPr>
        <w:pStyle w:val="TOC1"/>
        <w:rPr>
          <w:rFonts w:asciiTheme="minorHAnsi" w:eastAsiaTheme="minorEastAsia" w:hAnsiTheme="minorHAnsi" w:cstheme="minorBidi"/>
          <w:caps w:val="0"/>
          <w:noProof/>
          <w:szCs w:val="22"/>
        </w:rPr>
      </w:pPr>
      <w:r w:rsidRPr="00D13F41">
        <w:rPr>
          <w:szCs w:val="22"/>
        </w:rPr>
        <w:fldChar w:fldCharType="begin"/>
      </w:r>
      <w:r w:rsidR="00AD2075" w:rsidRPr="00DD7BA9">
        <w:rPr>
          <w:szCs w:val="22"/>
        </w:rPr>
        <w:instrText xml:space="preserve"> TOC \o "1-4" \t "Heading 1_Black,1,Heading 1_Red,1,Heading 1_Blue,1,Heading 2_Black,2,Heading 2_Red,2,Heading 2_Blue,2,Mark for Appendix Heading_Black,1,Mark for Appendix Heading_Red,1,Mark for Appendix Heading_Blue,1" </w:instrText>
      </w:r>
      <w:r w:rsidRPr="00D13F41">
        <w:rPr>
          <w:szCs w:val="22"/>
        </w:rPr>
        <w:fldChar w:fldCharType="separate"/>
      </w:r>
      <w:r w:rsidR="00485E66">
        <w:rPr>
          <w:noProof/>
        </w:rPr>
        <w:t>SUPPORTING STATEMENT for paperwork REDUCTION ACT</w:t>
      </w:r>
      <w:r w:rsidR="00485E66">
        <w:rPr>
          <w:noProof/>
        </w:rPr>
        <w:tab/>
      </w:r>
      <w:r>
        <w:rPr>
          <w:noProof/>
        </w:rPr>
        <w:fldChar w:fldCharType="begin"/>
      </w:r>
      <w:r w:rsidR="00485E66">
        <w:rPr>
          <w:noProof/>
        </w:rPr>
        <w:instrText xml:space="preserve"> PAGEREF _Toc281317381 \h </w:instrText>
      </w:r>
      <w:r>
        <w:rPr>
          <w:noProof/>
        </w:rPr>
      </w:r>
      <w:r>
        <w:rPr>
          <w:noProof/>
        </w:rPr>
        <w:fldChar w:fldCharType="separate"/>
      </w:r>
      <w:r w:rsidR="004D45A4">
        <w:rPr>
          <w:noProof/>
        </w:rPr>
        <w:t>1</w:t>
      </w:r>
      <w:r>
        <w:rPr>
          <w:noProof/>
        </w:rPr>
        <w:fldChar w:fldCharType="end"/>
      </w:r>
    </w:p>
    <w:p w:rsidR="00485E66" w:rsidRDefault="00485E66" w:rsidP="00485E66">
      <w:pPr>
        <w:pStyle w:val="TOC2"/>
        <w:rPr>
          <w:rFonts w:asciiTheme="minorHAnsi" w:eastAsiaTheme="minorEastAsia" w:hAnsiTheme="minorHAnsi" w:cstheme="minorBidi"/>
          <w:noProof/>
          <w:szCs w:val="22"/>
        </w:rPr>
      </w:pPr>
      <w:r>
        <w:rPr>
          <w:noProof/>
        </w:rPr>
        <w:t>PART B: COLLECTION OF INFORMATION EMPLOYING STATISTICAL METHODS</w:t>
      </w:r>
      <w:r>
        <w:rPr>
          <w:noProof/>
        </w:rPr>
        <w:tab/>
      </w:r>
      <w:r w:rsidR="00D13F41">
        <w:rPr>
          <w:noProof/>
        </w:rPr>
        <w:fldChar w:fldCharType="begin"/>
      </w:r>
      <w:r>
        <w:rPr>
          <w:noProof/>
        </w:rPr>
        <w:instrText xml:space="preserve"> PAGEREF _Toc281317382 \h </w:instrText>
      </w:r>
      <w:r w:rsidR="00D13F41">
        <w:rPr>
          <w:noProof/>
        </w:rPr>
      </w:r>
      <w:r w:rsidR="00D13F41">
        <w:rPr>
          <w:noProof/>
        </w:rPr>
        <w:fldChar w:fldCharType="separate"/>
      </w:r>
      <w:r w:rsidR="004D45A4">
        <w:rPr>
          <w:noProof/>
        </w:rPr>
        <w:t>1</w:t>
      </w:r>
      <w:r w:rsidR="00D13F41">
        <w:rPr>
          <w:noProof/>
        </w:rPr>
        <w:fldChar w:fldCharType="end"/>
      </w:r>
    </w:p>
    <w:p w:rsidR="00485E66" w:rsidRDefault="00485E66" w:rsidP="00485E66">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rPr>
        <w:tab/>
      </w:r>
      <w:r w:rsidR="00D13F41">
        <w:rPr>
          <w:noProof/>
        </w:rPr>
        <w:fldChar w:fldCharType="begin"/>
      </w:r>
      <w:r>
        <w:rPr>
          <w:noProof/>
        </w:rPr>
        <w:instrText xml:space="preserve"> PAGEREF _Toc281317383 \h </w:instrText>
      </w:r>
      <w:r w:rsidR="00D13F41">
        <w:rPr>
          <w:noProof/>
        </w:rPr>
      </w:r>
      <w:r w:rsidR="00D13F41">
        <w:rPr>
          <w:noProof/>
        </w:rPr>
        <w:fldChar w:fldCharType="separate"/>
      </w:r>
      <w:r w:rsidR="004D45A4">
        <w:rPr>
          <w:noProof/>
        </w:rPr>
        <w:t>1</w:t>
      </w:r>
      <w:r w:rsidR="00D13F41">
        <w:rPr>
          <w:noProof/>
        </w:rPr>
        <w:fldChar w:fldCharType="end"/>
      </w:r>
    </w:p>
    <w:p w:rsidR="00485E66" w:rsidRDefault="00485E66" w:rsidP="00485E66">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rPr>
        <w:tab/>
      </w:r>
      <w:r w:rsidR="00D13F41">
        <w:rPr>
          <w:noProof/>
        </w:rPr>
        <w:fldChar w:fldCharType="begin"/>
      </w:r>
      <w:r>
        <w:rPr>
          <w:noProof/>
        </w:rPr>
        <w:instrText xml:space="preserve"> PAGEREF _Toc281317384 \h </w:instrText>
      </w:r>
      <w:r w:rsidR="00D13F41">
        <w:rPr>
          <w:noProof/>
        </w:rPr>
      </w:r>
      <w:r w:rsidR="00D13F41">
        <w:rPr>
          <w:noProof/>
        </w:rPr>
        <w:fldChar w:fldCharType="separate"/>
      </w:r>
      <w:r w:rsidR="004D45A4">
        <w:rPr>
          <w:noProof/>
        </w:rPr>
        <w:t>2</w:t>
      </w:r>
      <w:r w:rsidR="00D13F41">
        <w:rPr>
          <w:noProof/>
        </w:rPr>
        <w:fldChar w:fldCharType="end"/>
      </w:r>
    </w:p>
    <w:p w:rsidR="00485E66" w:rsidRDefault="00485E66" w:rsidP="00485E66">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Deal with Nonresponse</w:t>
      </w:r>
      <w:r>
        <w:rPr>
          <w:noProof/>
        </w:rPr>
        <w:tab/>
      </w:r>
      <w:r w:rsidR="00D13F41">
        <w:rPr>
          <w:noProof/>
        </w:rPr>
        <w:fldChar w:fldCharType="begin"/>
      </w:r>
      <w:r>
        <w:rPr>
          <w:noProof/>
        </w:rPr>
        <w:instrText xml:space="preserve"> PAGEREF _Toc281317385 \h </w:instrText>
      </w:r>
      <w:r w:rsidR="00D13F41">
        <w:rPr>
          <w:noProof/>
        </w:rPr>
      </w:r>
      <w:r w:rsidR="00D13F41">
        <w:rPr>
          <w:noProof/>
        </w:rPr>
        <w:fldChar w:fldCharType="separate"/>
      </w:r>
      <w:r w:rsidR="004D45A4">
        <w:rPr>
          <w:noProof/>
        </w:rPr>
        <w:t>6</w:t>
      </w:r>
      <w:r w:rsidR="00D13F41">
        <w:rPr>
          <w:noProof/>
        </w:rPr>
        <w:fldChar w:fldCharType="end"/>
      </w:r>
    </w:p>
    <w:p w:rsidR="00485E66" w:rsidRDefault="00485E66" w:rsidP="00485E66">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 to be Undertaken</w:t>
      </w:r>
      <w:r>
        <w:rPr>
          <w:noProof/>
        </w:rPr>
        <w:tab/>
      </w:r>
      <w:r w:rsidR="00D13F41">
        <w:rPr>
          <w:noProof/>
        </w:rPr>
        <w:fldChar w:fldCharType="begin"/>
      </w:r>
      <w:r>
        <w:rPr>
          <w:noProof/>
        </w:rPr>
        <w:instrText xml:space="preserve"> PAGEREF _Toc281317386 \h </w:instrText>
      </w:r>
      <w:r w:rsidR="00D13F41">
        <w:rPr>
          <w:noProof/>
        </w:rPr>
      </w:r>
      <w:r w:rsidR="00D13F41">
        <w:rPr>
          <w:noProof/>
        </w:rPr>
        <w:fldChar w:fldCharType="separate"/>
      </w:r>
      <w:r w:rsidR="004D45A4">
        <w:rPr>
          <w:noProof/>
        </w:rPr>
        <w:t>7</w:t>
      </w:r>
      <w:r w:rsidR="00D13F41">
        <w:rPr>
          <w:noProof/>
        </w:rPr>
        <w:fldChar w:fldCharType="end"/>
      </w:r>
    </w:p>
    <w:p w:rsidR="00485E66" w:rsidRDefault="00485E66" w:rsidP="00485E66">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rPr>
        <w:tab/>
      </w:r>
      <w:r w:rsidR="00D13F41">
        <w:rPr>
          <w:noProof/>
        </w:rPr>
        <w:fldChar w:fldCharType="begin"/>
      </w:r>
      <w:r>
        <w:rPr>
          <w:noProof/>
        </w:rPr>
        <w:instrText xml:space="preserve"> PAGEREF _Toc281317387 \h </w:instrText>
      </w:r>
      <w:r w:rsidR="00D13F41">
        <w:rPr>
          <w:noProof/>
        </w:rPr>
      </w:r>
      <w:r w:rsidR="00D13F41">
        <w:rPr>
          <w:noProof/>
        </w:rPr>
        <w:fldChar w:fldCharType="separate"/>
      </w:r>
      <w:r w:rsidR="004D45A4">
        <w:rPr>
          <w:noProof/>
        </w:rPr>
        <w:t>7</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REFERENCES</w:t>
      </w:r>
      <w:r>
        <w:rPr>
          <w:noProof/>
        </w:rPr>
        <w:tab/>
      </w:r>
      <w:r w:rsidR="00D13F41">
        <w:rPr>
          <w:noProof/>
        </w:rPr>
        <w:fldChar w:fldCharType="begin"/>
      </w:r>
      <w:r>
        <w:rPr>
          <w:noProof/>
        </w:rPr>
        <w:instrText xml:space="preserve"> PAGEREF _Toc281317388 \h </w:instrText>
      </w:r>
      <w:r w:rsidR="00D13F41">
        <w:rPr>
          <w:noProof/>
        </w:rPr>
      </w:r>
      <w:r w:rsidR="00D13F41">
        <w:rPr>
          <w:noProof/>
        </w:rPr>
        <w:fldChar w:fldCharType="separate"/>
      </w:r>
      <w:r w:rsidR="004D45A4">
        <w:rPr>
          <w:noProof/>
        </w:rPr>
        <w:t>9</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a: trp</w:t>
      </w:r>
      <w:r w:rsidR="00DC6AFE">
        <w:rPr>
          <w:noProof/>
        </w:rPr>
        <w:t xml:space="preserve">, DISTRICT, </w:t>
      </w:r>
      <w:r w:rsidR="001F1633">
        <w:rPr>
          <w:noProof/>
        </w:rPr>
        <w:t xml:space="preserve">SCHOOL, </w:t>
      </w:r>
      <w:r>
        <w:rPr>
          <w:noProof/>
        </w:rPr>
        <w:t>and teacher letters</w:t>
      </w:r>
      <w:r>
        <w:rPr>
          <w:noProof/>
        </w:rPr>
        <w:tab/>
      </w:r>
      <w:r w:rsidR="00D13F41">
        <w:rPr>
          <w:noProof/>
        </w:rPr>
        <w:fldChar w:fldCharType="begin"/>
      </w:r>
      <w:r>
        <w:rPr>
          <w:noProof/>
        </w:rPr>
        <w:instrText xml:space="preserve"> PAGEREF _Toc281317389 \h </w:instrText>
      </w:r>
      <w:r w:rsidR="00D13F41">
        <w:rPr>
          <w:noProof/>
        </w:rPr>
      </w:r>
      <w:r w:rsidR="00D13F41">
        <w:rPr>
          <w:noProof/>
        </w:rPr>
        <w:fldChar w:fldCharType="separate"/>
      </w:r>
      <w:r w:rsidR="004D45A4">
        <w:rPr>
          <w:noProof/>
        </w:rPr>
        <w:t>10</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B: district data request documents</w:t>
      </w:r>
      <w:r>
        <w:rPr>
          <w:noProof/>
        </w:rPr>
        <w:tab/>
      </w:r>
      <w:r w:rsidR="00D13F41">
        <w:rPr>
          <w:noProof/>
        </w:rPr>
        <w:fldChar w:fldCharType="begin"/>
      </w:r>
      <w:r>
        <w:rPr>
          <w:noProof/>
        </w:rPr>
        <w:instrText xml:space="preserve"> PAGEREF _Toc281317390 \h </w:instrText>
      </w:r>
      <w:r w:rsidR="00D13F41">
        <w:rPr>
          <w:noProof/>
        </w:rPr>
      </w:r>
      <w:r w:rsidR="00D13F41">
        <w:rPr>
          <w:noProof/>
        </w:rPr>
        <w:fldChar w:fldCharType="separate"/>
      </w:r>
      <w:r w:rsidR="004D45A4">
        <w:rPr>
          <w:noProof/>
        </w:rPr>
        <w:t>12</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c: teacher employment data form</w:t>
      </w:r>
      <w:r>
        <w:rPr>
          <w:noProof/>
        </w:rPr>
        <w:tab/>
      </w:r>
      <w:r w:rsidR="00D13F41">
        <w:rPr>
          <w:noProof/>
        </w:rPr>
        <w:fldChar w:fldCharType="begin"/>
      </w:r>
      <w:r>
        <w:rPr>
          <w:noProof/>
        </w:rPr>
        <w:instrText xml:space="preserve"> PAGEREF _Toc281317391 \h </w:instrText>
      </w:r>
      <w:r w:rsidR="00D13F41">
        <w:rPr>
          <w:noProof/>
        </w:rPr>
      </w:r>
      <w:r w:rsidR="00D13F41">
        <w:rPr>
          <w:noProof/>
        </w:rPr>
        <w:fldChar w:fldCharType="separate"/>
      </w:r>
      <w:r w:rsidR="004D45A4">
        <w:rPr>
          <w:noProof/>
        </w:rPr>
        <w:t>14</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d: trp survey</w:t>
      </w:r>
      <w:r>
        <w:rPr>
          <w:noProof/>
        </w:rPr>
        <w:tab/>
      </w:r>
      <w:r w:rsidR="00D13F41">
        <w:rPr>
          <w:noProof/>
        </w:rPr>
        <w:fldChar w:fldCharType="begin"/>
      </w:r>
      <w:r>
        <w:rPr>
          <w:noProof/>
        </w:rPr>
        <w:instrText xml:space="preserve"> PAGEREF _Toc281317392 \h </w:instrText>
      </w:r>
      <w:r w:rsidR="00D13F41">
        <w:rPr>
          <w:noProof/>
        </w:rPr>
      </w:r>
      <w:r w:rsidR="00D13F41">
        <w:rPr>
          <w:noProof/>
        </w:rPr>
        <w:fldChar w:fldCharType="separate"/>
      </w:r>
      <w:r w:rsidR="004D45A4">
        <w:rPr>
          <w:noProof/>
        </w:rPr>
        <w:t>16</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e: mentor teacher survey</w:t>
      </w:r>
      <w:r>
        <w:rPr>
          <w:noProof/>
        </w:rPr>
        <w:tab/>
      </w:r>
      <w:r w:rsidR="00D13F41">
        <w:rPr>
          <w:noProof/>
        </w:rPr>
        <w:fldChar w:fldCharType="begin"/>
      </w:r>
      <w:r>
        <w:rPr>
          <w:noProof/>
        </w:rPr>
        <w:instrText xml:space="preserve"> PAGEREF _Toc281317393 \h </w:instrText>
      </w:r>
      <w:r w:rsidR="00D13F41">
        <w:rPr>
          <w:noProof/>
        </w:rPr>
      </w:r>
      <w:r w:rsidR="00D13F41">
        <w:rPr>
          <w:noProof/>
        </w:rPr>
        <w:fldChar w:fldCharType="separate"/>
      </w:r>
      <w:r w:rsidR="004D45A4">
        <w:rPr>
          <w:noProof/>
        </w:rPr>
        <w:t>18</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f: resident teacher survey</w:t>
      </w:r>
      <w:r>
        <w:rPr>
          <w:noProof/>
        </w:rPr>
        <w:tab/>
      </w:r>
      <w:r w:rsidR="00D13F41">
        <w:rPr>
          <w:noProof/>
        </w:rPr>
        <w:fldChar w:fldCharType="begin"/>
      </w:r>
      <w:r>
        <w:rPr>
          <w:noProof/>
        </w:rPr>
        <w:instrText xml:space="preserve"> PAGEREF _Toc281317394 \h </w:instrText>
      </w:r>
      <w:r w:rsidR="00D13F41">
        <w:rPr>
          <w:noProof/>
        </w:rPr>
      </w:r>
      <w:r w:rsidR="00D13F41">
        <w:rPr>
          <w:noProof/>
        </w:rPr>
        <w:fldChar w:fldCharType="separate"/>
      </w:r>
      <w:r w:rsidR="004D45A4">
        <w:rPr>
          <w:noProof/>
        </w:rPr>
        <w:t>20</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g: teacher of record survey</w:t>
      </w:r>
      <w:r>
        <w:rPr>
          <w:noProof/>
        </w:rPr>
        <w:tab/>
      </w:r>
      <w:r w:rsidR="00D13F41">
        <w:rPr>
          <w:noProof/>
        </w:rPr>
        <w:fldChar w:fldCharType="begin"/>
      </w:r>
      <w:r>
        <w:rPr>
          <w:noProof/>
        </w:rPr>
        <w:instrText xml:space="preserve"> PAGEREF _Toc281317395 \h </w:instrText>
      </w:r>
      <w:r w:rsidR="00D13F41">
        <w:rPr>
          <w:noProof/>
        </w:rPr>
      </w:r>
      <w:r w:rsidR="00D13F41">
        <w:rPr>
          <w:noProof/>
        </w:rPr>
        <w:fldChar w:fldCharType="separate"/>
      </w:r>
      <w:r w:rsidR="004D45A4">
        <w:rPr>
          <w:noProof/>
        </w:rPr>
        <w:t>22</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H: trp director interview protocol</w:t>
      </w:r>
      <w:r>
        <w:rPr>
          <w:noProof/>
        </w:rPr>
        <w:tab/>
      </w:r>
      <w:r w:rsidR="00D13F41">
        <w:rPr>
          <w:noProof/>
        </w:rPr>
        <w:fldChar w:fldCharType="begin"/>
      </w:r>
      <w:r>
        <w:rPr>
          <w:noProof/>
        </w:rPr>
        <w:instrText xml:space="preserve"> PAGEREF _Toc281317396 \h </w:instrText>
      </w:r>
      <w:r w:rsidR="00D13F41">
        <w:rPr>
          <w:noProof/>
        </w:rPr>
      </w:r>
      <w:r w:rsidR="00D13F41">
        <w:rPr>
          <w:noProof/>
        </w:rPr>
        <w:fldChar w:fldCharType="separate"/>
      </w:r>
      <w:r w:rsidR="004D45A4">
        <w:rPr>
          <w:noProof/>
        </w:rPr>
        <w:t>24</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I: teacher mobility survey</w:t>
      </w:r>
      <w:r>
        <w:rPr>
          <w:noProof/>
        </w:rPr>
        <w:tab/>
      </w:r>
      <w:r w:rsidR="00D13F41">
        <w:rPr>
          <w:noProof/>
        </w:rPr>
        <w:fldChar w:fldCharType="begin"/>
      </w:r>
      <w:r>
        <w:rPr>
          <w:noProof/>
        </w:rPr>
        <w:instrText xml:space="preserve"> PAGEREF _Toc281317397 \h </w:instrText>
      </w:r>
      <w:r w:rsidR="00D13F41">
        <w:rPr>
          <w:noProof/>
        </w:rPr>
      </w:r>
      <w:r w:rsidR="00D13F41">
        <w:rPr>
          <w:noProof/>
        </w:rPr>
        <w:fldChar w:fldCharType="separate"/>
      </w:r>
      <w:r w:rsidR="004D45A4">
        <w:rPr>
          <w:noProof/>
        </w:rPr>
        <w:t>26</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J: non-technical brochure</w:t>
      </w:r>
      <w:r>
        <w:rPr>
          <w:noProof/>
        </w:rPr>
        <w:tab/>
      </w:r>
      <w:r w:rsidR="00D13F41">
        <w:rPr>
          <w:noProof/>
        </w:rPr>
        <w:fldChar w:fldCharType="begin"/>
      </w:r>
      <w:r>
        <w:rPr>
          <w:noProof/>
        </w:rPr>
        <w:instrText xml:space="preserve"> PAGEREF _Toc281317398 \h </w:instrText>
      </w:r>
      <w:r w:rsidR="00D13F41">
        <w:rPr>
          <w:noProof/>
        </w:rPr>
      </w:r>
      <w:r w:rsidR="00D13F41">
        <w:rPr>
          <w:noProof/>
        </w:rPr>
        <w:fldChar w:fldCharType="separate"/>
      </w:r>
      <w:r w:rsidR="004D45A4">
        <w:rPr>
          <w:noProof/>
        </w:rPr>
        <w:t>28</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k: confidentiality pledge</w:t>
      </w:r>
      <w:r>
        <w:rPr>
          <w:noProof/>
        </w:rPr>
        <w:tab/>
      </w:r>
      <w:r w:rsidR="00D13F41">
        <w:rPr>
          <w:noProof/>
        </w:rPr>
        <w:fldChar w:fldCharType="begin"/>
      </w:r>
      <w:r>
        <w:rPr>
          <w:noProof/>
        </w:rPr>
        <w:instrText xml:space="preserve"> PAGEREF _Toc281317399 \h </w:instrText>
      </w:r>
      <w:r w:rsidR="00D13F41">
        <w:rPr>
          <w:noProof/>
        </w:rPr>
      </w:r>
      <w:r w:rsidR="00D13F41">
        <w:rPr>
          <w:noProof/>
        </w:rPr>
        <w:fldChar w:fldCharType="separate"/>
      </w:r>
      <w:r w:rsidR="004D45A4">
        <w:rPr>
          <w:noProof/>
        </w:rPr>
        <w:t>30</w:t>
      </w:r>
      <w:r w:rsidR="00D13F41">
        <w:rPr>
          <w:noProof/>
        </w:rPr>
        <w:fldChar w:fldCharType="end"/>
      </w:r>
    </w:p>
    <w:p w:rsidR="00485E66" w:rsidRDefault="00485E66">
      <w:pPr>
        <w:pStyle w:val="TOC1"/>
        <w:rPr>
          <w:rFonts w:asciiTheme="minorHAnsi" w:eastAsiaTheme="minorEastAsia" w:hAnsiTheme="minorHAnsi" w:cstheme="minorBidi"/>
          <w:caps w:val="0"/>
          <w:noProof/>
          <w:szCs w:val="22"/>
        </w:rPr>
      </w:pPr>
      <w:r>
        <w:rPr>
          <w:noProof/>
        </w:rPr>
        <w:t>appendix L: pretest memo</w:t>
      </w:r>
      <w:r>
        <w:rPr>
          <w:noProof/>
        </w:rPr>
        <w:tab/>
      </w:r>
      <w:r w:rsidR="00D13F41">
        <w:rPr>
          <w:noProof/>
        </w:rPr>
        <w:fldChar w:fldCharType="begin"/>
      </w:r>
      <w:r>
        <w:rPr>
          <w:noProof/>
        </w:rPr>
        <w:instrText xml:space="preserve"> PAGEREF _Toc281317400 \h </w:instrText>
      </w:r>
      <w:r w:rsidR="00D13F41">
        <w:rPr>
          <w:noProof/>
        </w:rPr>
      </w:r>
      <w:r w:rsidR="00D13F41">
        <w:rPr>
          <w:noProof/>
        </w:rPr>
        <w:fldChar w:fldCharType="separate"/>
      </w:r>
      <w:r w:rsidR="004D45A4">
        <w:rPr>
          <w:noProof/>
        </w:rPr>
        <w:t>32</w:t>
      </w:r>
      <w:r w:rsidR="00D13F41">
        <w:rPr>
          <w:noProof/>
        </w:rPr>
        <w:fldChar w:fldCharType="end"/>
      </w:r>
    </w:p>
    <w:p w:rsidR="004479F9" w:rsidRDefault="00D13F41" w:rsidP="00206097">
      <w:pPr>
        <w:pStyle w:val="NoSpace"/>
        <w:rPr>
          <w:rFonts w:ascii="Lucida Sans" w:hAnsi="Lucida Sans"/>
          <w:sz w:val="22"/>
          <w:szCs w:val="22"/>
        </w:rPr>
      </w:pPr>
      <w:r w:rsidRPr="00DD7BA9">
        <w:rPr>
          <w:szCs w:val="22"/>
        </w:rPr>
        <w:fldChar w:fldCharType="end"/>
      </w:r>
    </w:p>
    <w:p w:rsidR="00206097" w:rsidRDefault="00206097">
      <w:pPr>
        <w:tabs>
          <w:tab w:val="clear" w:pos="432"/>
        </w:tabs>
        <w:spacing w:line="240" w:lineRule="auto"/>
        <w:ind w:firstLine="0"/>
        <w:jc w:val="left"/>
        <w:rPr>
          <w:rFonts w:ascii="Lucida Sans" w:hAnsi="Lucida Sans"/>
          <w:sz w:val="22"/>
          <w:szCs w:val="22"/>
        </w:rPr>
        <w:sectPr w:rsidR="00206097" w:rsidSect="00E77E4B">
          <w:headerReference w:type="default" r:id="rId17"/>
          <w:footerReference w:type="default" r:id="rId18"/>
          <w:endnotePr>
            <w:numFmt w:val="decimal"/>
          </w:endnotePr>
          <w:pgSz w:w="12240" w:h="15840" w:code="1"/>
          <w:pgMar w:top="1440" w:right="1440" w:bottom="576" w:left="1440" w:header="720" w:footer="576" w:gutter="0"/>
          <w:pgNumType w:fmt="lowerRoman" w:start="3"/>
          <w:cols w:space="720"/>
          <w:docGrid w:linePitch="326"/>
        </w:sectPr>
      </w:pPr>
    </w:p>
    <w:p w:rsidR="00AD2075" w:rsidRDefault="00AD2075" w:rsidP="00AA7594">
      <w:pPr>
        <w:tabs>
          <w:tab w:val="clear" w:pos="432"/>
        </w:tabs>
        <w:spacing w:after="480" w:line="240" w:lineRule="auto"/>
        <w:ind w:firstLine="0"/>
        <w:jc w:val="center"/>
        <w:rPr>
          <w:rFonts w:ascii="Lucida Sans" w:hAnsi="Lucida Sans"/>
          <w:b/>
          <w:szCs w:val="22"/>
        </w:rPr>
      </w:pPr>
      <w:r>
        <w:rPr>
          <w:rFonts w:ascii="Lucida Sans" w:hAnsi="Lucida Sans"/>
          <w:b/>
          <w:szCs w:val="22"/>
        </w:rPr>
        <w:lastRenderedPageBreak/>
        <w:t>TABLES</w:t>
      </w:r>
    </w:p>
    <w:p w:rsidR="00AD2075" w:rsidRDefault="00D13F41">
      <w:pPr>
        <w:pStyle w:val="TableofFigures"/>
        <w:rPr>
          <w:rFonts w:ascii="Calibri" w:hAnsi="Calibri"/>
          <w:noProof/>
          <w:szCs w:val="22"/>
        </w:rPr>
      </w:pPr>
      <w:r w:rsidRPr="00D13F41">
        <w:rPr>
          <w:b/>
          <w:szCs w:val="22"/>
        </w:rPr>
        <w:fldChar w:fldCharType="begin"/>
      </w:r>
      <w:r w:rsidR="00AD2075">
        <w:rPr>
          <w:b/>
          <w:szCs w:val="22"/>
        </w:rPr>
        <w:instrText xml:space="preserve"> TOC \z \t "Mark for Table Heading,1" \c "Figure" </w:instrText>
      </w:r>
      <w:r w:rsidRPr="00D13F41">
        <w:rPr>
          <w:b/>
          <w:szCs w:val="22"/>
        </w:rPr>
        <w:fldChar w:fldCharType="separate"/>
      </w:r>
      <w:r w:rsidR="00AD2075">
        <w:rPr>
          <w:noProof/>
        </w:rPr>
        <w:t>1</w:t>
      </w:r>
      <w:r w:rsidR="00AD2075">
        <w:rPr>
          <w:noProof/>
        </w:rPr>
        <w:tab/>
        <w:t>Overview of TRP Involvement in the Study</w:t>
      </w:r>
      <w:r w:rsidR="00AD2075">
        <w:rPr>
          <w:noProof/>
          <w:webHidden/>
        </w:rPr>
        <w:tab/>
      </w:r>
      <w:r>
        <w:rPr>
          <w:noProof/>
          <w:webHidden/>
        </w:rPr>
        <w:fldChar w:fldCharType="begin"/>
      </w:r>
      <w:r w:rsidR="00AD2075">
        <w:rPr>
          <w:noProof/>
          <w:webHidden/>
        </w:rPr>
        <w:instrText xml:space="preserve"> PAGEREF _Toc269896480 \h </w:instrText>
      </w:r>
      <w:r>
        <w:rPr>
          <w:noProof/>
          <w:webHidden/>
        </w:rPr>
      </w:r>
      <w:r>
        <w:rPr>
          <w:noProof/>
          <w:webHidden/>
        </w:rPr>
        <w:fldChar w:fldCharType="separate"/>
      </w:r>
      <w:r w:rsidR="004D45A4">
        <w:rPr>
          <w:noProof/>
          <w:webHidden/>
        </w:rPr>
        <w:t>2</w:t>
      </w:r>
      <w:r>
        <w:rPr>
          <w:noProof/>
          <w:webHidden/>
        </w:rPr>
        <w:fldChar w:fldCharType="end"/>
      </w:r>
    </w:p>
    <w:p w:rsidR="00AD2075" w:rsidRDefault="00AD2075">
      <w:pPr>
        <w:pStyle w:val="TableofFigures"/>
        <w:rPr>
          <w:rFonts w:ascii="Calibri" w:hAnsi="Calibri"/>
          <w:noProof/>
          <w:szCs w:val="22"/>
        </w:rPr>
      </w:pPr>
      <w:r>
        <w:rPr>
          <w:noProof/>
        </w:rPr>
        <w:t>2</w:t>
      </w:r>
      <w:r>
        <w:rPr>
          <w:noProof/>
        </w:rPr>
        <w:tab/>
        <w:t xml:space="preserve">Minimum Detectable Effects on Student Test Scores and Teacher </w:t>
      </w:r>
      <w:r>
        <w:rPr>
          <w:noProof/>
        </w:rPr>
        <w:br/>
        <w:t>Retention</w:t>
      </w:r>
      <w:r>
        <w:rPr>
          <w:noProof/>
          <w:webHidden/>
        </w:rPr>
        <w:tab/>
      </w:r>
      <w:r w:rsidR="00D13F41">
        <w:rPr>
          <w:noProof/>
          <w:webHidden/>
        </w:rPr>
        <w:fldChar w:fldCharType="begin"/>
      </w:r>
      <w:r>
        <w:rPr>
          <w:noProof/>
          <w:webHidden/>
        </w:rPr>
        <w:instrText xml:space="preserve"> PAGEREF _Toc269896481 \h </w:instrText>
      </w:r>
      <w:r w:rsidR="00D13F41">
        <w:rPr>
          <w:noProof/>
          <w:webHidden/>
        </w:rPr>
      </w:r>
      <w:r w:rsidR="00D13F41">
        <w:rPr>
          <w:noProof/>
          <w:webHidden/>
        </w:rPr>
        <w:fldChar w:fldCharType="separate"/>
      </w:r>
      <w:r w:rsidR="004D45A4">
        <w:rPr>
          <w:noProof/>
          <w:webHidden/>
        </w:rPr>
        <w:t>6</w:t>
      </w:r>
      <w:r w:rsidR="00D13F41">
        <w:rPr>
          <w:noProof/>
          <w:webHidden/>
        </w:rPr>
        <w:fldChar w:fldCharType="end"/>
      </w:r>
    </w:p>
    <w:p w:rsidR="00AD2075" w:rsidRDefault="00D13F41" w:rsidP="00AA7594">
      <w:pPr>
        <w:tabs>
          <w:tab w:val="clear" w:pos="432"/>
          <w:tab w:val="left" w:pos="990"/>
        </w:tabs>
        <w:spacing w:line="240" w:lineRule="auto"/>
        <w:ind w:firstLine="0"/>
        <w:rPr>
          <w:rFonts w:ascii="Lucida Sans" w:hAnsi="Lucida Sans"/>
          <w:sz w:val="22"/>
          <w:szCs w:val="22"/>
        </w:rPr>
      </w:pPr>
      <w:r>
        <w:rPr>
          <w:b/>
          <w:szCs w:val="22"/>
        </w:rPr>
        <w:fldChar w:fldCharType="end"/>
      </w:r>
    </w:p>
    <w:p w:rsidR="00A020A5" w:rsidRDefault="00A020A5">
      <w:pPr>
        <w:tabs>
          <w:tab w:val="clear" w:pos="432"/>
        </w:tabs>
        <w:spacing w:line="240" w:lineRule="auto"/>
        <w:ind w:firstLine="0"/>
        <w:jc w:val="left"/>
        <w:rPr>
          <w:rFonts w:ascii="Lucida Sans" w:hAnsi="Lucida Sans"/>
          <w:sz w:val="22"/>
          <w:szCs w:val="22"/>
        </w:rPr>
      </w:pPr>
    </w:p>
    <w:p w:rsidR="00485E66" w:rsidRDefault="00485E66" w:rsidP="00135778">
      <w:pPr>
        <w:tabs>
          <w:tab w:val="clear" w:pos="432"/>
          <w:tab w:val="left" w:pos="990"/>
        </w:tabs>
        <w:spacing w:line="240" w:lineRule="auto"/>
        <w:ind w:firstLine="0"/>
        <w:rPr>
          <w:rFonts w:ascii="Lucida Sans" w:hAnsi="Lucida Sans"/>
          <w:sz w:val="22"/>
          <w:szCs w:val="22"/>
        </w:rPr>
        <w:sectPr w:rsidR="00485E66" w:rsidSect="00485E66">
          <w:headerReference w:type="default" r:id="rId19"/>
          <w:footerReference w:type="default" r:id="rId20"/>
          <w:endnotePr>
            <w:numFmt w:val="decimal"/>
          </w:endnotePr>
          <w:pgSz w:w="12240" w:h="15840" w:code="1"/>
          <w:pgMar w:top="1440" w:right="1440" w:bottom="576" w:left="1440" w:header="720" w:footer="576" w:gutter="0"/>
          <w:pgNumType w:fmt="lowerRoman"/>
          <w:cols w:space="720"/>
          <w:docGrid w:linePitch="326"/>
        </w:sectPr>
      </w:pPr>
    </w:p>
    <w:p w:rsidR="00485E66" w:rsidRDefault="00485E66">
      <w:pPr>
        <w:tabs>
          <w:tab w:val="clear" w:pos="432"/>
        </w:tabs>
        <w:spacing w:line="240" w:lineRule="auto"/>
        <w:ind w:firstLine="0"/>
        <w:jc w:val="left"/>
        <w:rPr>
          <w:rFonts w:ascii="Lucida Sans" w:hAnsi="Lucida Sans"/>
          <w:sz w:val="22"/>
          <w:szCs w:val="22"/>
        </w:rPr>
      </w:pPr>
    </w:p>
    <w:p w:rsidR="00485E66" w:rsidRDefault="00485E66" w:rsidP="00135778">
      <w:pPr>
        <w:tabs>
          <w:tab w:val="clear" w:pos="432"/>
          <w:tab w:val="left" w:pos="990"/>
        </w:tabs>
        <w:spacing w:line="240" w:lineRule="auto"/>
        <w:ind w:firstLine="0"/>
        <w:rPr>
          <w:rFonts w:ascii="Lucida Sans" w:hAnsi="Lucida Sans"/>
          <w:sz w:val="22"/>
          <w:szCs w:val="22"/>
        </w:rPr>
        <w:sectPr w:rsidR="00485E66" w:rsidSect="00E77E4B">
          <w:headerReference w:type="default" r:id="rId21"/>
          <w:footerReference w:type="default" r:id="rId22"/>
          <w:endnotePr>
            <w:numFmt w:val="decimal"/>
          </w:endnotePr>
          <w:pgSz w:w="12240" w:h="15840" w:code="1"/>
          <w:pgMar w:top="1440" w:right="1440" w:bottom="576" w:left="1440" w:header="720" w:footer="576" w:gutter="0"/>
          <w:pgNumType w:fmt="lowerRoman" w:start="3"/>
          <w:cols w:space="720"/>
          <w:docGrid w:linePitch="326"/>
        </w:sectPr>
      </w:pPr>
    </w:p>
    <w:p w:rsidR="00AD2075" w:rsidRDefault="00AD2075" w:rsidP="00135778">
      <w:pPr>
        <w:tabs>
          <w:tab w:val="clear" w:pos="432"/>
          <w:tab w:val="left" w:pos="990"/>
        </w:tabs>
        <w:spacing w:line="240" w:lineRule="auto"/>
        <w:ind w:firstLine="0"/>
        <w:rPr>
          <w:rFonts w:ascii="Lucida Sans" w:hAnsi="Lucida Sans"/>
          <w:sz w:val="22"/>
          <w:szCs w:val="22"/>
        </w:rPr>
      </w:pPr>
    </w:p>
    <w:p w:rsidR="00AD2075" w:rsidRPr="00AD4E68" w:rsidRDefault="00AD2075" w:rsidP="00E77E4B">
      <w:pPr>
        <w:sectPr w:rsidR="00AD2075" w:rsidRPr="00AD4E68" w:rsidSect="00E77E4B">
          <w:headerReference w:type="default" r:id="rId23"/>
          <w:footerReference w:type="default" r:id="rId24"/>
          <w:endnotePr>
            <w:numFmt w:val="decimal"/>
          </w:endnotePr>
          <w:pgSz w:w="12240" w:h="15840" w:code="1"/>
          <w:pgMar w:top="1440" w:right="1440" w:bottom="576" w:left="1440" w:header="720" w:footer="576" w:gutter="0"/>
          <w:pgNumType w:fmt="lowerRoman" w:start="3"/>
          <w:cols w:space="720"/>
          <w:docGrid w:linePitch="326"/>
        </w:sectPr>
      </w:pPr>
    </w:p>
    <w:p w:rsidR="00AD2075" w:rsidRPr="0050186E" w:rsidRDefault="00AD2075" w:rsidP="00072D3D">
      <w:pPr>
        <w:pStyle w:val="Heading1Black"/>
      </w:pPr>
      <w:bookmarkStart w:id="15" w:name="_Toc260298613"/>
      <w:bookmarkStart w:id="16" w:name="_Toc269893522"/>
      <w:bookmarkStart w:id="17" w:name="_Toc281317381"/>
      <w:bookmarkStart w:id="18" w:name="_Toc256361784"/>
      <w:r w:rsidRPr="00A57DF4">
        <w:lastRenderedPageBreak/>
        <w:t>SUPPORTING STATEMENT</w:t>
      </w:r>
      <w:r>
        <w:t xml:space="preserve"> for paperwork </w:t>
      </w:r>
      <w:r w:rsidRPr="00A57DF4">
        <w:t>REDUCTION ACT</w:t>
      </w:r>
      <w:bookmarkEnd w:id="15"/>
      <w:bookmarkEnd w:id="16"/>
      <w:bookmarkEnd w:id="17"/>
      <w:r w:rsidRPr="00A57DF4">
        <w:t xml:space="preserve"> </w:t>
      </w:r>
      <w:bookmarkEnd w:id="0"/>
      <w:bookmarkEnd w:id="1"/>
      <w:bookmarkEnd w:id="18"/>
    </w:p>
    <w:p w:rsidR="00AD2075" w:rsidRPr="009B7510" w:rsidRDefault="00AD2075" w:rsidP="004D2FEC">
      <w:pPr>
        <w:spacing w:after="240" w:line="240" w:lineRule="auto"/>
      </w:pPr>
      <w:r w:rsidRPr="009B7510">
        <w:t xml:space="preserve">This OMB package requests clearance for data collection activities to support a </w:t>
      </w:r>
      <w:r>
        <w:t xml:space="preserve">study </w:t>
      </w:r>
      <w:r w:rsidRPr="009B7510">
        <w:t>of teacher residency programs (TRPs).</w:t>
      </w:r>
      <w:r>
        <w:t xml:space="preserve"> </w:t>
      </w:r>
      <w:r w:rsidRPr="009B7510">
        <w:t xml:space="preserve">This </w:t>
      </w:r>
      <w:r>
        <w:t>study</w:t>
      </w:r>
      <w:r w:rsidRPr="009B7510">
        <w:t xml:space="preserve"> will provide important implementation information on TRPs funded by the U.S.</w:t>
      </w:r>
      <w:r>
        <w:t xml:space="preserve"> </w:t>
      </w:r>
      <w:r w:rsidRPr="009B7510">
        <w:t>Department of Education (ED), as well as information on the</w:t>
      </w:r>
      <w:r>
        <w:t xml:space="preserve"> achievement outcomes of the students</w:t>
      </w:r>
      <w:r w:rsidRPr="009B7510">
        <w:t xml:space="preserve"> </w:t>
      </w:r>
      <w:r>
        <w:t>whose teachers</w:t>
      </w:r>
      <w:r w:rsidRPr="009B7510">
        <w:t xml:space="preserve"> participate in TRPs.</w:t>
      </w:r>
      <w:r>
        <w:t xml:space="preserve"> </w:t>
      </w:r>
      <w:r w:rsidRPr="009B7510">
        <w:t xml:space="preserve">The </w:t>
      </w:r>
      <w:r>
        <w:t>study</w:t>
      </w:r>
      <w:r w:rsidRPr="009B7510">
        <w:t xml:space="preserve"> will focus primarily on TRPs that received Teacher Quality </w:t>
      </w:r>
      <w:r>
        <w:t>Partnership</w:t>
      </w:r>
      <w:r w:rsidRPr="009B7510">
        <w:t xml:space="preserve"> (TQ</w:t>
      </w:r>
      <w:r>
        <w:t>P</w:t>
      </w:r>
      <w:r w:rsidRPr="009B7510">
        <w:t xml:space="preserve">) </w:t>
      </w:r>
      <w:r>
        <w:t>g</w:t>
      </w:r>
      <w:r w:rsidRPr="009B7510">
        <w:t>rants from ED in late 2009 and early 2010.</w:t>
      </w:r>
      <w:r>
        <w:t xml:space="preserve"> </w:t>
      </w:r>
      <w:r w:rsidRPr="009B7510">
        <w:t>ED’s Institute of Education Sciences (IES) has contracted with Mathematica Policy Research and its partner, Decision Information Resources</w:t>
      </w:r>
      <w:r>
        <w:t xml:space="preserve"> (DIR)</w:t>
      </w:r>
      <w:r w:rsidRPr="009B7510">
        <w:t xml:space="preserve">, to conduct the </w:t>
      </w:r>
      <w:r>
        <w:t>Study</w:t>
      </w:r>
      <w:r w:rsidRPr="009B7510">
        <w:t>.</w:t>
      </w:r>
      <w:r>
        <w:t xml:space="preserve"> </w:t>
      </w:r>
    </w:p>
    <w:p w:rsidR="00AD2075" w:rsidRDefault="00AD2075" w:rsidP="00324FA1">
      <w:pPr>
        <w:pStyle w:val="ParagraphLAST"/>
        <w:spacing w:line="240" w:lineRule="auto"/>
      </w:pPr>
      <w:r w:rsidRPr="009B7510">
        <w:t xml:space="preserve">The main objective of the </w:t>
      </w:r>
      <w:r>
        <w:t xml:space="preserve">study is to describe the characteristics of TRPs and their participants. We will also summarize the academic outcomes of students taught by novice TRP teachers and examine the retention rate of novice TRP teachers. </w:t>
      </w:r>
      <w:r w:rsidRPr="009B7510">
        <w:t xml:space="preserve">This is the second of two requests for the </w:t>
      </w:r>
      <w:r>
        <w:t xml:space="preserve">study, the first of which requested approval for recruitment of TRPs, school districts and schools. </w:t>
      </w:r>
      <w:r w:rsidRPr="00861B86">
        <w:t xml:space="preserve">We are submitting the package in two stages because </w:t>
      </w:r>
      <w:r>
        <w:t xml:space="preserve">the study schedule required that participant recruitment begin </w:t>
      </w:r>
      <w:r w:rsidRPr="00861B86">
        <w:t>before all the data collection instruments are developed and tested.</w:t>
      </w:r>
      <w:r>
        <w:t xml:space="preserve"> In this package, we are requesting approval for data collection activities that will support the full-scale study. </w:t>
      </w:r>
    </w:p>
    <w:p w:rsidR="00AD2075" w:rsidRPr="002018E4" w:rsidRDefault="00AD2075" w:rsidP="00DD355A">
      <w:pPr>
        <w:pStyle w:val="Heading2Black"/>
        <w:ind w:left="0" w:firstLine="0"/>
      </w:pPr>
      <w:bookmarkStart w:id="19" w:name="_Toc256361785"/>
      <w:bookmarkStart w:id="20" w:name="_Toc260298614"/>
      <w:bookmarkStart w:id="21" w:name="_Toc281317382"/>
      <w:r>
        <w:t xml:space="preserve">PART B: </w:t>
      </w:r>
      <w:r w:rsidRPr="002018E4">
        <w:t>COLLECTION OF INFORMATION EMPLOYING STATISTICAL METHODS</w:t>
      </w:r>
      <w:bookmarkEnd w:id="19"/>
      <w:bookmarkEnd w:id="20"/>
      <w:bookmarkEnd w:id="21"/>
    </w:p>
    <w:p w:rsidR="00AD2075" w:rsidRPr="002018E4" w:rsidRDefault="00AD2075" w:rsidP="00072D3D">
      <w:pPr>
        <w:pStyle w:val="Heading3"/>
      </w:pPr>
      <w:bookmarkStart w:id="22" w:name="_Toc256361786"/>
      <w:bookmarkStart w:id="23" w:name="_Toc260298615"/>
      <w:bookmarkStart w:id="24" w:name="_Toc281317383"/>
      <w:r w:rsidRPr="002018E4">
        <w:t>1.</w:t>
      </w:r>
      <w:r w:rsidRPr="002018E4">
        <w:tab/>
        <w:t>Respondent Universe and Sampling Methods</w:t>
      </w:r>
      <w:bookmarkEnd w:id="22"/>
      <w:bookmarkEnd w:id="23"/>
      <w:bookmarkEnd w:id="24"/>
    </w:p>
    <w:p w:rsidR="00AD2075" w:rsidRDefault="00AD2075">
      <w:pPr>
        <w:spacing w:after="240" w:line="240" w:lineRule="auto"/>
      </w:pPr>
      <w:r w:rsidRPr="002018E4">
        <w:t xml:space="preserve">The respondent universe for the </w:t>
      </w:r>
      <w:r>
        <w:t>outcomes and retention studies</w:t>
      </w:r>
      <w:r w:rsidRPr="002018E4">
        <w:t xml:space="preserve"> will consist of </w:t>
      </w:r>
      <w:r>
        <w:t xml:space="preserve">novice </w:t>
      </w:r>
      <w:r w:rsidRPr="002018E4">
        <w:t>TRP teachers and non-TRP teacher</w:t>
      </w:r>
      <w:r>
        <w:t>s.</w:t>
      </w:r>
      <w:r w:rsidRPr="002018E4">
        <w:t xml:space="preserve"> Different sets of TRPs will be needed for the four major analytical components of the</w:t>
      </w:r>
      <w:r>
        <w:t xml:space="preserve"> study, as shown in Table 1</w:t>
      </w:r>
      <w:r w:rsidRPr="002018E4">
        <w:t xml:space="preserve">. For example, all </w:t>
      </w:r>
      <w:r>
        <w:t>TQP</w:t>
      </w:r>
      <w:r w:rsidRPr="002018E4">
        <w:t xml:space="preserve"> grantees </w:t>
      </w:r>
      <w:r>
        <w:t xml:space="preserve">operating TRPs </w:t>
      </w:r>
      <w:r w:rsidRPr="002018E4">
        <w:t xml:space="preserve">will be surveyed about basic program characteristics, but only a subset of about 15 </w:t>
      </w:r>
      <w:r>
        <w:t>TRP</w:t>
      </w:r>
      <w:r w:rsidRPr="002018E4">
        <w:t xml:space="preserve"> directors will be interviewed for more program details and asked to provide data on applicants.</w:t>
      </w:r>
    </w:p>
    <w:p w:rsidR="00AD2075" w:rsidRDefault="00AD2075" w:rsidP="00DD355A">
      <w:pPr>
        <w:spacing w:after="240" w:line="240" w:lineRule="auto"/>
      </w:pPr>
      <w:r>
        <w:t>At the conclusion of each school year, we will request student-level data for all teachers in the district who are teaching math or reading in grades 3 through 8. All of the students and all of the teachers in the targeted districts will be included in the outcomes analysis.</w:t>
      </w:r>
    </w:p>
    <w:p w:rsidR="00AD2075" w:rsidRPr="000C074C" w:rsidRDefault="00AD2075" w:rsidP="004D2FEC">
      <w:pPr>
        <w:pStyle w:val="MarkforTableHeading"/>
        <w:pageBreakBefore/>
      </w:pPr>
      <w:bookmarkStart w:id="25" w:name="_Toc271198998"/>
      <w:bookmarkStart w:id="26" w:name="_Toc260295676"/>
      <w:bookmarkStart w:id="27" w:name="_Toc269896480"/>
      <w:proofErr w:type="gramStart"/>
      <w:r w:rsidRPr="000C074C">
        <w:lastRenderedPageBreak/>
        <w:t>Table 1</w:t>
      </w:r>
      <w:r>
        <w:t>.</w:t>
      </w:r>
      <w:proofErr w:type="gramEnd"/>
      <w:r>
        <w:t xml:space="preserve"> </w:t>
      </w:r>
      <w:r w:rsidRPr="000C074C">
        <w:t xml:space="preserve">Overview of TRP Involvement in the </w:t>
      </w:r>
      <w:bookmarkEnd w:id="25"/>
      <w:r>
        <w:t>Study</w:t>
      </w:r>
    </w:p>
    <w:tbl>
      <w:tblPr>
        <w:tblW w:w="5054" w:type="pct"/>
        <w:tblBorders>
          <w:top w:val="single" w:sz="12" w:space="0" w:color="000000"/>
          <w:bottom w:val="single" w:sz="4" w:space="0" w:color="000000"/>
          <w:insideH w:val="single" w:sz="4" w:space="0" w:color="000000"/>
        </w:tblBorders>
        <w:tblLayout w:type="fixed"/>
        <w:tblLook w:val="01E0"/>
      </w:tblPr>
      <w:tblGrid>
        <w:gridCol w:w="2366"/>
        <w:gridCol w:w="1161"/>
        <w:gridCol w:w="1694"/>
        <w:gridCol w:w="1421"/>
        <w:gridCol w:w="1320"/>
        <w:gridCol w:w="1717"/>
      </w:tblGrid>
      <w:tr w:rsidR="00AD2075" w:rsidRPr="002018E4" w:rsidTr="00CA2ECF">
        <w:tc>
          <w:tcPr>
            <w:tcW w:w="1222" w:type="pct"/>
            <w:tcBorders>
              <w:top w:val="single" w:sz="12" w:space="0" w:color="000000"/>
            </w:tcBorders>
          </w:tcPr>
          <w:p w:rsidR="00AD2075" w:rsidRPr="002018E4" w:rsidRDefault="00AD2075" w:rsidP="00CA2ECF">
            <w:pPr>
              <w:pStyle w:val="TableHeaderLeft"/>
            </w:pPr>
          </w:p>
        </w:tc>
        <w:tc>
          <w:tcPr>
            <w:tcW w:w="600" w:type="pct"/>
            <w:tcBorders>
              <w:top w:val="single" w:sz="12" w:space="0" w:color="000000"/>
            </w:tcBorders>
            <w:vAlign w:val="bottom"/>
          </w:tcPr>
          <w:p w:rsidR="00AD2075" w:rsidRPr="000B5611" w:rsidRDefault="00AD2075" w:rsidP="00CA2ECF">
            <w:pPr>
              <w:pStyle w:val="TableHeaderCenter"/>
            </w:pPr>
            <w:r w:rsidRPr="000B5611">
              <w:t>Number</w:t>
            </w:r>
          </w:p>
        </w:tc>
        <w:tc>
          <w:tcPr>
            <w:tcW w:w="875" w:type="pct"/>
            <w:tcBorders>
              <w:top w:val="single" w:sz="12" w:space="0" w:color="000000"/>
            </w:tcBorders>
            <w:vAlign w:val="bottom"/>
          </w:tcPr>
          <w:p w:rsidR="00AD2075" w:rsidRPr="000B5611" w:rsidRDefault="00AD2075" w:rsidP="00B20B05">
            <w:pPr>
              <w:pStyle w:val="TableHeaderCenter"/>
            </w:pPr>
            <w:r>
              <w:t>Student Achievement Outcomes Study</w:t>
            </w:r>
          </w:p>
        </w:tc>
        <w:tc>
          <w:tcPr>
            <w:tcW w:w="734" w:type="pct"/>
            <w:tcBorders>
              <w:top w:val="single" w:sz="12" w:space="0" w:color="000000"/>
            </w:tcBorders>
            <w:vAlign w:val="bottom"/>
          </w:tcPr>
          <w:p w:rsidR="00AD2075" w:rsidRDefault="00AD2075" w:rsidP="00CA2ECF">
            <w:pPr>
              <w:pStyle w:val="TableHeaderCenter"/>
            </w:pPr>
            <w:r w:rsidRPr="000B5611">
              <w:t>Teacher Retention</w:t>
            </w:r>
          </w:p>
        </w:tc>
        <w:tc>
          <w:tcPr>
            <w:tcW w:w="682" w:type="pct"/>
            <w:tcBorders>
              <w:top w:val="single" w:sz="12" w:space="0" w:color="000000"/>
            </w:tcBorders>
            <w:vAlign w:val="bottom"/>
          </w:tcPr>
          <w:p w:rsidR="00AD2075" w:rsidRPr="000B5611" w:rsidRDefault="00AD2075" w:rsidP="00CA2ECF">
            <w:pPr>
              <w:pStyle w:val="TableHeaderCenter"/>
            </w:pPr>
            <w:r w:rsidRPr="000B5611">
              <w:t>Descriptive Analysis of TRPs</w:t>
            </w:r>
          </w:p>
        </w:tc>
        <w:tc>
          <w:tcPr>
            <w:tcW w:w="887" w:type="pct"/>
            <w:tcBorders>
              <w:top w:val="single" w:sz="12" w:space="0" w:color="000000"/>
            </w:tcBorders>
            <w:vAlign w:val="bottom"/>
          </w:tcPr>
          <w:p w:rsidR="00AD2075" w:rsidRPr="000B5611" w:rsidRDefault="00AD2075" w:rsidP="00F75AA1">
            <w:pPr>
              <w:pStyle w:val="TableHeaderCenter"/>
            </w:pPr>
            <w:r w:rsidRPr="000B5611">
              <w:t>Descriptive Analysis of TRP</w:t>
            </w:r>
            <w:r>
              <w:t>s</w:t>
            </w:r>
            <w:r w:rsidRPr="000B5611">
              <w:t xml:space="preserve"> and Participants</w:t>
            </w:r>
          </w:p>
        </w:tc>
      </w:tr>
      <w:tr w:rsidR="00AD2075" w:rsidRPr="002018E4" w:rsidTr="00CA2ECF">
        <w:tc>
          <w:tcPr>
            <w:tcW w:w="1222" w:type="pct"/>
            <w:tcBorders>
              <w:bottom w:val="nil"/>
            </w:tcBorders>
          </w:tcPr>
          <w:p w:rsidR="00AD2075" w:rsidRPr="002018E4" w:rsidRDefault="00AD2075" w:rsidP="00206097">
            <w:pPr>
              <w:pStyle w:val="TableText"/>
              <w:spacing w:before="120" w:after="60"/>
            </w:pPr>
            <w:r w:rsidRPr="002018E4">
              <w:t xml:space="preserve">All TRPs </w:t>
            </w:r>
            <w:r w:rsidR="00206097">
              <w:t>T</w:t>
            </w:r>
            <w:r w:rsidRPr="002018E4">
              <w:t xml:space="preserve">hat </w:t>
            </w:r>
            <w:r w:rsidR="00206097">
              <w:t>R</w:t>
            </w:r>
            <w:r w:rsidRPr="002018E4">
              <w:t xml:space="preserve">eceived </w:t>
            </w:r>
            <w:r>
              <w:t>TQP</w:t>
            </w:r>
            <w:r w:rsidRPr="002018E4">
              <w:t xml:space="preserve"> </w:t>
            </w:r>
            <w:r w:rsidR="00206097">
              <w:t>G</w:t>
            </w:r>
            <w:r w:rsidRPr="002018E4">
              <w:t>rants in 2009</w:t>
            </w:r>
            <w:r>
              <w:t>-</w:t>
            </w:r>
            <w:r w:rsidRPr="002018E4">
              <w:t>2010</w:t>
            </w:r>
          </w:p>
        </w:tc>
        <w:tc>
          <w:tcPr>
            <w:tcW w:w="600" w:type="pct"/>
            <w:tcBorders>
              <w:bottom w:val="nil"/>
            </w:tcBorders>
          </w:tcPr>
          <w:p w:rsidR="00AD2075" w:rsidRPr="002018E4" w:rsidRDefault="00AD2075" w:rsidP="00206097">
            <w:pPr>
              <w:pStyle w:val="TableText"/>
              <w:spacing w:before="120" w:after="60"/>
              <w:jc w:val="center"/>
            </w:pPr>
            <w:r w:rsidRPr="002018E4">
              <w:t>2</w:t>
            </w:r>
            <w:r>
              <w:t>8</w:t>
            </w:r>
          </w:p>
        </w:tc>
        <w:tc>
          <w:tcPr>
            <w:tcW w:w="875" w:type="pct"/>
            <w:tcBorders>
              <w:bottom w:val="nil"/>
            </w:tcBorders>
          </w:tcPr>
          <w:p w:rsidR="00AD2075" w:rsidRPr="002018E4" w:rsidRDefault="00AD2075" w:rsidP="00206097">
            <w:pPr>
              <w:pStyle w:val="TableText"/>
              <w:spacing w:before="120" w:after="60"/>
              <w:jc w:val="center"/>
            </w:pPr>
          </w:p>
        </w:tc>
        <w:tc>
          <w:tcPr>
            <w:tcW w:w="734" w:type="pct"/>
            <w:tcBorders>
              <w:bottom w:val="nil"/>
            </w:tcBorders>
          </w:tcPr>
          <w:p w:rsidR="00AD2075" w:rsidRPr="002018E4" w:rsidRDefault="00AD2075" w:rsidP="00206097">
            <w:pPr>
              <w:pStyle w:val="TableText"/>
              <w:spacing w:before="120" w:after="60"/>
              <w:jc w:val="center"/>
            </w:pPr>
          </w:p>
        </w:tc>
        <w:tc>
          <w:tcPr>
            <w:tcW w:w="682" w:type="pct"/>
            <w:tcBorders>
              <w:bottom w:val="nil"/>
            </w:tcBorders>
          </w:tcPr>
          <w:p w:rsidR="00AD2075" w:rsidRPr="002018E4" w:rsidRDefault="00AD2075" w:rsidP="00206097">
            <w:pPr>
              <w:pStyle w:val="TableText"/>
              <w:spacing w:before="120" w:after="60"/>
              <w:jc w:val="center"/>
            </w:pPr>
            <w:r>
              <w:t>√</w:t>
            </w:r>
          </w:p>
        </w:tc>
        <w:tc>
          <w:tcPr>
            <w:tcW w:w="887" w:type="pct"/>
            <w:tcBorders>
              <w:bottom w:val="nil"/>
            </w:tcBorders>
          </w:tcPr>
          <w:p w:rsidR="00AD2075" w:rsidRPr="002018E4" w:rsidRDefault="00AD2075" w:rsidP="00206097">
            <w:pPr>
              <w:pStyle w:val="TableText"/>
              <w:spacing w:before="120" w:after="60"/>
              <w:jc w:val="center"/>
            </w:pPr>
          </w:p>
        </w:tc>
      </w:tr>
      <w:tr w:rsidR="00AD2075" w:rsidRPr="002018E4" w:rsidTr="00CA2ECF">
        <w:tc>
          <w:tcPr>
            <w:tcW w:w="1222" w:type="pct"/>
            <w:tcBorders>
              <w:top w:val="nil"/>
              <w:bottom w:val="nil"/>
            </w:tcBorders>
          </w:tcPr>
          <w:p w:rsidR="00AD2075" w:rsidRDefault="00AD2075" w:rsidP="00206097">
            <w:pPr>
              <w:pStyle w:val="TableText"/>
              <w:spacing w:before="120" w:after="60"/>
            </w:pPr>
            <w:r w:rsidRPr="002018E4">
              <w:t xml:space="preserve">Subset of </w:t>
            </w:r>
            <w:r w:rsidR="00206097">
              <w:t>A</w:t>
            </w:r>
            <w:r w:rsidRPr="002018E4">
              <w:t xml:space="preserve">bove </w:t>
            </w:r>
            <w:r w:rsidR="00206097">
              <w:t>G</w:t>
            </w:r>
            <w:r w:rsidRPr="002018E4">
              <w:t xml:space="preserve">roup </w:t>
            </w:r>
            <w:r w:rsidR="00206097">
              <w:t>F</w:t>
            </w:r>
            <w:r w:rsidRPr="002018E4">
              <w:t xml:space="preserve">or </w:t>
            </w:r>
            <w:r w:rsidR="00206097">
              <w:t>I</w:t>
            </w:r>
            <w:r>
              <w:t>n-</w:t>
            </w:r>
            <w:r w:rsidR="00206097">
              <w:t>D</w:t>
            </w:r>
            <w:r>
              <w:t>epth</w:t>
            </w:r>
            <w:r w:rsidRPr="002018E4">
              <w:t xml:space="preserve"> </w:t>
            </w:r>
            <w:r w:rsidR="00206097">
              <w:t>S</w:t>
            </w:r>
            <w:r w:rsidRPr="002018E4">
              <w:t>tudy</w:t>
            </w:r>
          </w:p>
        </w:tc>
        <w:tc>
          <w:tcPr>
            <w:tcW w:w="600" w:type="pct"/>
            <w:tcBorders>
              <w:top w:val="nil"/>
              <w:bottom w:val="nil"/>
            </w:tcBorders>
          </w:tcPr>
          <w:p w:rsidR="00AD2075" w:rsidRPr="001640A7" w:rsidRDefault="00AD2075" w:rsidP="00206097">
            <w:pPr>
              <w:pStyle w:val="TableText"/>
              <w:spacing w:before="120" w:after="60"/>
              <w:jc w:val="center"/>
              <w:rPr>
                <w:vertAlign w:val="superscript"/>
              </w:rPr>
            </w:pPr>
            <w:r w:rsidRPr="002018E4">
              <w:t>15</w:t>
            </w:r>
            <w:r>
              <w:rPr>
                <w:vertAlign w:val="superscript"/>
              </w:rPr>
              <w:t>a</w:t>
            </w:r>
          </w:p>
        </w:tc>
        <w:tc>
          <w:tcPr>
            <w:tcW w:w="875" w:type="pct"/>
            <w:tcBorders>
              <w:top w:val="nil"/>
              <w:bottom w:val="nil"/>
            </w:tcBorders>
          </w:tcPr>
          <w:p w:rsidR="00AD2075" w:rsidRPr="002018E4" w:rsidRDefault="00AD2075" w:rsidP="00206097">
            <w:pPr>
              <w:pStyle w:val="TableText"/>
              <w:spacing w:before="120" w:after="60"/>
              <w:jc w:val="center"/>
            </w:pPr>
          </w:p>
        </w:tc>
        <w:tc>
          <w:tcPr>
            <w:tcW w:w="734" w:type="pct"/>
            <w:tcBorders>
              <w:top w:val="nil"/>
              <w:bottom w:val="nil"/>
            </w:tcBorders>
          </w:tcPr>
          <w:p w:rsidR="00AD2075" w:rsidRPr="002018E4" w:rsidRDefault="00AD2075" w:rsidP="00206097">
            <w:pPr>
              <w:pStyle w:val="TableText"/>
              <w:spacing w:before="120" w:after="60"/>
              <w:jc w:val="center"/>
            </w:pPr>
          </w:p>
        </w:tc>
        <w:tc>
          <w:tcPr>
            <w:tcW w:w="682" w:type="pct"/>
            <w:tcBorders>
              <w:top w:val="nil"/>
              <w:bottom w:val="nil"/>
            </w:tcBorders>
          </w:tcPr>
          <w:p w:rsidR="00AD2075" w:rsidRPr="002018E4" w:rsidRDefault="00AD2075" w:rsidP="00206097">
            <w:pPr>
              <w:pStyle w:val="TableText"/>
              <w:spacing w:before="120" w:after="60"/>
              <w:jc w:val="center"/>
            </w:pPr>
            <w:r>
              <w:t>√</w:t>
            </w:r>
          </w:p>
        </w:tc>
        <w:tc>
          <w:tcPr>
            <w:tcW w:w="887" w:type="pct"/>
            <w:tcBorders>
              <w:top w:val="nil"/>
              <w:bottom w:val="nil"/>
            </w:tcBorders>
          </w:tcPr>
          <w:p w:rsidR="00AD2075" w:rsidRPr="002018E4" w:rsidRDefault="00AD2075" w:rsidP="00206097">
            <w:pPr>
              <w:pStyle w:val="TableText"/>
              <w:spacing w:before="120" w:after="60"/>
              <w:jc w:val="center"/>
            </w:pPr>
            <w:r>
              <w:t>√</w:t>
            </w:r>
          </w:p>
        </w:tc>
      </w:tr>
      <w:tr w:rsidR="00AD2075" w:rsidRPr="002018E4" w:rsidTr="00735D92">
        <w:tc>
          <w:tcPr>
            <w:tcW w:w="1222" w:type="pct"/>
            <w:tcBorders>
              <w:top w:val="nil"/>
              <w:bottom w:val="nil"/>
            </w:tcBorders>
          </w:tcPr>
          <w:p w:rsidR="00AD2075" w:rsidRPr="002018E4" w:rsidRDefault="00AD2075" w:rsidP="00206097">
            <w:pPr>
              <w:pStyle w:val="TableText"/>
              <w:spacing w:before="120" w:after="60"/>
            </w:pPr>
            <w:r>
              <w:t>Experienced</w:t>
            </w:r>
            <w:r>
              <w:rPr>
                <w:vertAlign w:val="superscript"/>
              </w:rPr>
              <w:t>b</w:t>
            </w:r>
            <w:r>
              <w:t xml:space="preserve"> </w:t>
            </w:r>
            <w:r w:rsidR="00206097">
              <w:t>G</w:t>
            </w:r>
            <w:r>
              <w:t xml:space="preserve">rantees </w:t>
            </w:r>
            <w:r w:rsidR="00206097">
              <w:t>S</w:t>
            </w:r>
            <w:r w:rsidRPr="002018E4">
              <w:t xml:space="preserve">pecifically </w:t>
            </w:r>
            <w:r w:rsidR="00206097">
              <w:t>T</w:t>
            </w:r>
            <w:r w:rsidRPr="002018E4">
              <w:t xml:space="preserve">argeted </w:t>
            </w:r>
            <w:r w:rsidR="00206097">
              <w:t>F</w:t>
            </w:r>
            <w:r w:rsidRPr="002018E4">
              <w:t>or</w:t>
            </w:r>
            <w:r>
              <w:t xml:space="preserve"> </w:t>
            </w:r>
            <w:r w:rsidR="00206097">
              <w:t>O</w:t>
            </w:r>
            <w:r>
              <w:t xml:space="preserve">utcomes </w:t>
            </w:r>
            <w:r w:rsidR="00206097">
              <w:t>S</w:t>
            </w:r>
            <w:r w:rsidRPr="002018E4">
              <w:t>tudy</w:t>
            </w:r>
          </w:p>
        </w:tc>
        <w:tc>
          <w:tcPr>
            <w:tcW w:w="600" w:type="pct"/>
            <w:tcBorders>
              <w:top w:val="nil"/>
              <w:bottom w:val="nil"/>
            </w:tcBorders>
          </w:tcPr>
          <w:p w:rsidR="00AD2075" w:rsidRPr="002018E4" w:rsidRDefault="00AD2075" w:rsidP="00206097">
            <w:pPr>
              <w:pStyle w:val="TableText"/>
              <w:spacing w:before="120" w:after="60"/>
              <w:jc w:val="center"/>
            </w:pPr>
            <w:r>
              <w:t>6</w:t>
            </w:r>
          </w:p>
        </w:tc>
        <w:tc>
          <w:tcPr>
            <w:tcW w:w="875" w:type="pct"/>
            <w:tcBorders>
              <w:top w:val="nil"/>
              <w:bottom w:val="nil"/>
            </w:tcBorders>
          </w:tcPr>
          <w:p w:rsidR="00AD2075" w:rsidRPr="002018E4" w:rsidRDefault="00AD2075" w:rsidP="00206097">
            <w:pPr>
              <w:pStyle w:val="TableText"/>
              <w:spacing w:before="120" w:after="60"/>
              <w:jc w:val="center"/>
            </w:pPr>
            <w:r>
              <w:t>√</w:t>
            </w:r>
          </w:p>
        </w:tc>
        <w:tc>
          <w:tcPr>
            <w:tcW w:w="734" w:type="pct"/>
            <w:tcBorders>
              <w:top w:val="nil"/>
              <w:bottom w:val="nil"/>
            </w:tcBorders>
          </w:tcPr>
          <w:p w:rsidR="00AD2075" w:rsidRPr="002018E4" w:rsidRDefault="00AD2075" w:rsidP="00206097">
            <w:pPr>
              <w:pStyle w:val="TableText"/>
              <w:spacing w:before="120" w:after="60"/>
              <w:jc w:val="center"/>
            </w:pPr>
            <w:r>
              <w:t>√</w:t>
            </w:r>
          </w:p>
        </w:tc>
        <w:tc>
          <w:tcPr>
            <w:tcW w:w="682" w:type="pct"/>
            <w:tcBorders>
              <w:top w:val="nil"/>
              <w:bottom w:val="nil"/>
            </w:tcBorders>
          </w:tcPr>
          <w:p w:rsidR="00AD2075" w:rsidRPr="002018E4" w:rsidRDefault="00343F7B" w:rsidP="00206097">
            <w:pPr>
              <w:pStyle w:val="TableText"/>
              <w:spacing w:before="120" w:after="60"/>
              <w:jc w:val="center"/>
            </w:pPr>
            <w:r>
              <w:t>√</w:t>
            </w:r>
          </w:p>
        </w:tc>
        <w:tc>
          <w:tcPr>
            <w:tcW w:w="887" w:type="pct"/>
            <w:tcBorders>
              <w:top w:val="nil"/>
              <w:bottom w:val="nil"/>
            </w:tcBorders>
          </w:tcPr>
          <w:p w:rsidR="00AD2075" w:rsidRPr="002018E4" w:rsidRDefault="00AD2075" w:rsidP="00206097">
            <w:pPr>
              <w:pStyle w:val="TableText"/>
              <w:spacing w:before="120" w:after="60"/>
              <w:jc w:val="center"/>
            </w:pPr>
            <w:r>
              <w:t>√</w:t>
            </w:r>
          </w:p>
        </w:tc>
      </w:tr>
      <w:tr w:rsidR="00AD2075" w:rsidRPr="002018E4" w:rsidTr="00735D92">
        <w:tc>
          <w:tcPr>
            <w:tcW w:w="1222" w:type="pct"/>
            <w:tcBorders>
              <w:top w:val="nil"/>
              <w:bottom w:val="single" w:sz="4" w:space="0" w:color="auto"/>
            </w:tcBorders>
          </w:tcPr>
          <w:p w:rsidR="00AD2075" w:rsidRPr="002018E4" w:rsidRDefault="00AD2075" w:rsidP="00206097">
            <w:pPr>
              <w:pStyle w:val="TableText"/>
              <w:spacing w:before="120" w:after="60"/>
            </w:pPr>
            <w:r>
              <w:t xml:space="preserve">Other </w:t>
            </w:r>
            <w:r w:rsidR="00206097">
              <w:t>E</w:t>
            </w:r>
            <w:r>
              <w:t>xperienced TRPs (</w:t>
            </w:r>
            <w:r w:rsidR="00206097">
              <w:t>N</w:t>
            </w:r>
            <w:r>
              <w:t>on</w:t>
            </w:r>
            <w:r w:rsidR="00206097">
              <w:t>-G</w:t>
            </w:r>
            <w:r>
              <w:t xml:space="preserve">rantees) </w:t>
            </w:r>
            <w:r w:rsidR="00206097">
              <w:t>S</w:t>
            </w:r>
            <w:r>
              <w:t xml:space="preserve">pecifically </w:t>
            </w:r>
            <w:r w:rsidR="00206097">
              <w:t>T</w:t>
            </w:r>
            <w:r>
              <w:t xml:space="preserve">argeted </w:t>
            </w:r>
            <w:r w:rsidR="00206097">
              <w:t>F</w:t>
            </w:r>
            <w:r>
              <w:t xml:space="preserve">or </w:t>
            </w:r>
            <w:r w:rsidR="00206097">
              <w:t>O</w:t>
            </w:r>
            <w:r>
              <w:t xml:space="preserve">utcomes </w:t>
            </w:r>
            <w:r w:rsidR="00206097">
              <w:t>S</w:t>
            </w:r>
            <w:r>
              <w:t>tudy</w:t>
            </w:r>
          </w:p>
        </w:tc>
        <w:tc>
          <w:tcPr>
            <w:tcW w:w="600" w:type="pct"/>
            <w:tcBorders>
              <w:top w:val="nil"/>
              <w:bottom w:val="single" w:sz="4" w:space="0" w:color="auto"/>
            </w:tcBorders>
          </w:tcPr>
          <w:p w:rsidR="00AD2075" w:rsidRDefault="00AD2075" w:rsidP="00206097">
            <w:pPr>
              <w:pStyle w:val="TableText"/>
              <w:spacing w:before="120" w:after="60"/>
              <w:jc w:val="center"/>
            </w:pPr>
            <w:r>
              <w:t>2</w:t>
            </w:r>
          </w:p>
        </w:tc>
        <w:tc>
          <w:tcPr>
            <w:tcW w:w="875" w:type="pct"/>
            <w:tcBorders>
              <w:top w:val="nil"/>
              <w:bottom w:val="single" w:sz="4" w:space="0" w:color="auto"/>
            </w:tcBorders>
          </w:tcPr>
          <w:p w:rsidR="00AD2075" w:rsidRDefault="00AD2075" w:rsidP="00206097">
            <w:pPr>
              <w:pStyle w:val="TableText"/>
              <w:spacing w:before="120" w:after="60"/>
              <w:jc w:val="center"/>
            </w:pPr>
            <w:r>
              <w:t>√</w:t>
            </w:r>
          </w:p>
        </w:tc>
        <w:tc>
          <w:tcPr>
            <w:tcW w:w="734" w:type="pct"/>
            <w:tcBorders>
              <w:top w:val="nil"/>
              <w:bottom w:val="single" w:sz="4" w:space="0" w:color="auto"/>
            </w:tcBorders>
          </w:tcPr>
          <w:p w:rsidR="00AD2075" w:rsidRDefault="00AD2075" w:rsidP="00206097">
            <w:pPr>
              <w:pStyle w:val="TableText"/>
              <w:spacing w:before="120" w:after="60"/>
              <w:jc w:val="center"/>
            </w:pPr>
            <w:r>
              <w:t>√</w:t>
            </w:r>
          </w:p>
        </w:tc>
        <w:tc>
          <w:tcPr>
            <w:tcW w:w="682" w:type="pct"/>
            <w:tcBorders>
              <w:top w:val="nil"/>
              <w:bottom w:val="single" w:sz="4" w:space="0" w:color="auto"/>
            </w:tcBorders>
          </w:tcPr>
          <w:p w:rsidR="00AD2075" w:rsidRPr="002018E4" w:rsidRDefault="00AD2075" w:rsidP="00206097">
            <w:pPr>
              <w:pStyle w:val="TableText"/>
              <w:spacing w:before="120" w:after="60"/>
              <w:jc w:val="center"/>
            </w:pPr>
            <w:r>
              <w:t>√</w:t>
            </w:r>
          </w:p>
        </w:tc>
        <w:tc>
          <w:tcPr>
            <w:tcW w:w="887" w:type="pct"/>
            <w:tcBorders>
              <w:top w:val="nil"/>
              <w:bottom w:val="single" w:sz="4" w:space="0" w:color="auto"/>
            </w:tcBorders>
          </w:tcPr>
          <w:p w:rsidR="00AD2075" w:rsidRDefault="00AD2075" w:rsidP="00206097">
            <w:pPr>
              <w:pStyle w:val="TableText"/>
              <w:spacing w:before="120" w:after="60"/>
              <w:jc w:val="center"/>
            </w:pPr>
            <w:r>
              <w:t>√</w:t>
            </w:r>
          </w:p>
        </w:tc>
      </w:tr>
    </w:tbl>
    <w:p w:rsidR="00AD2075" w:rsidRPr="00CC4CE9" w:rsidRDefault="00AD2075" w:rsidP="001640A7">
      <w:pPr>
        <w:pStyle w:val="TableFootnoteCaption"/>
        <w:spacing w:before="120"/>
        <w:rPr>
          <w:sz w:val="16"/>
          <w:szCs w:val="16"/>
        </w:rPr>
      </w:pPr>
      <w:bookmarkStart w:id="28" w:name="_Toc256361787"/>
      <w:bookmarkStart w:id="29" w:name="_Toc260298616"/>
      <w:bookmarkEnd w:id="26"/>
      <w:bookmarkEnd w:id="27"/>
      <w:r w:rsidRPr="00CC4CE9">
        <w:rPr>
          <w:sz w:val="16"/>
          <w:szCs w:val="16"/>
          <w:vertAlign w:val="superscript"/>
        </w:rPr>
        <w:t xml:space="preserve">a </w:t>
      </w:r>
      <w:r w:rsidRPr="00CC4CE9">
        <w:rPr>
          <w:sz w:val="16"/>
          <w:szCs w:val="16"/>
        </w:rPr>
        <w:t>Estimate – at this time not enough is known about TRPs—especially the number and type of teachers they will have placed in residency in fall 2011, and how those placements will be distributed across partner districts and schools—to cite specific numbers with certainty. These determinations will be made during the selection and recruitment process</w:t>
      </w:r>
      <w:r w:rsidR="004C6A3D">
        <w:rPr>
          <w:sz w:val="16"/>
          <w:szCs w:val="16"/>
        </w:rPr>
        <w:t>.</w:t>
      </w:r>
    </w:p>
    <w:p w:rsidR="00AD2075" w:rsidRDefault="00AD2075" w:rsidP="00735D92">
      <w:pPr>
        <w:pStyle w:val="TableFootnoteCaption"/>
        <w:spacing w:before="120" w:after="0"/>
        <w:rPr>
          <w:sz w:val="16"/>
          <w:szCs w:val="16"/>
        </w:rPr>
      </w:pPr>
      <w:proofErr w:type="gramStart"/>
      <w:r w:rsidRPr="00CC4CE9">
        <w:rPr>
          <w:sz w:val="16"/>
          <w:szCs w:val="16"/>
          <w:vertAlign w:val="superscript"/>
        </w:rPr>
        <w:t>b</w:t>
      </w:r>
      <w:proofErr w:type="gramEnd"/>
      <w:r w:rsidRPr="00CC4CE9">
        <w:rPr>
          <w:sz w:val="16"/>
          <w:szCs w:val="16"/>
          <w:vertAlign w:val="superscript"/>
        </w:rPr>
        <w:t xml:space="preserve"> </w:t>
      </w:r>
      <w:r w:rsidRPr="00CC4CE9">
        <w:rPr>
          <w:sz w:val="16"/>
          <w:szCs w:val="16"/>
        </w:rPr>
        <w:t>Experienced grantees are those that began operations in 2009 or earlier.</w:t>
      </w:r>
    </w:p>
    <w:p w:rsidR="00206097" w:rsidRDefault="00206097" w:rsidP="00206097">
      <w:pPr>
        <w:pStyle w:val="Heading3"/>
        <w:spacing w:after="0"/>
      </w:pPr>
    </w:p>
    <w:p w:rsidR="00AD2075" w:rsidRPr="002018E4" w:rsidRDefault="00AD2075" w:rsidP="00072D3D">
      <w:pPr>
        <w:pStyle w:val="Heading3"/>
      </w:pPr>
      <w:bookmarkStart w:id="30" w:name="_Toc281317384"/>
      <w:r w:rsidRPr="002018E4">
        <w:t>2.</w:t>
      </w:r>
      <w:r w:rsidRPr="002018E4">
        <w:tab/>
      </w:r>
      <w:r>
        <w:t>Procedure</w:t>
      </w:r>
      <w:r w:rsidRPr="002018E4">
        <w:t xml:space="preserve">s for </w:t>
      </w:r>
      <w:r>
        <w:t>the Collection of Information</w:t>
      </w:r>
      <w:bookmarkEnd w:id="28"/>
      <w:bookmarkEnd w:id="29"/>
      <w:bookmarkEnd w:id="30"/>
    </w:p>
    <w:p w:rsidR="00AD2075" w:rsidRDefault="00AD2075" w:rsidP="00072D3D">
      <w:pPr>
        <w:spacing w:line="240" w:lineRule="auto"/>
      </w:pPr>
      <w:r w:rsidRPr="002018E4">
        <w:rPr>
          <w:b/>
        </w:rPr>
        <w:t>Statistical methods for sample selection.</w:t>
      </w:r>
      <w:r w:rsidRPr="002018E4">
        <w:t xml:space="preserve"> </w:t>
      </w:r>
      <w:r>
        <w:t>T</w:t>
      </w:r>
      <w:r w:rsidRPr="002018E4">
        <w:t xml:space="preserve">his study will not statistically sample TRPs, districts, schools, or teachers. Instead, it will rely on a purposefully selected convenience sample of TRPs </w:t>
      </w:r>
      <w:r>
        <w:t xml:space="preserve">that have been in existence since at least 2009 and are </w:t>
      </w:r>
      <w:r w:rsidRPr="002018E4">
        <w:t xml:space="preserve">best suited for the </w:t>
      </w:r>
      <w:r>
        <w:t>outcomes</w:t>
      </w:r>
      <w:r w:rsidRPr="002018E4">
        <w:t xml:space="preserve"> study (a determination based primarily on the </w:t>
      </w:r>
      <w:r>
        <w:t xml:space="preserve">availability of student-teacher linked data and the </w:t>
      </w:r>
      <w:r w:rsidRPr="002018E4">
        <w:t xml:space="preserve">number and type of teachers they prepare). </w:t>
      </w:r>
      <w:r>
        <w:t xml:space="preserve">Within the study districts, we will collect data on all students who were in a tested grade and subject. </w:t>
      </w:r>
      <w:r w:rsidRPr="002018E4">
        <w:t xml:space="preserve">The </w:t>
      </w:r>
      <w:r>
        <w:t>study</w:t>
      </w:r>
      <w:r w:rsidRPr="002018E4">
        <w:t xml:space="preserve"> does not aim to make statements that generalize beyond the TRPs and teachers under study. </w:t>
      </w:r>
    </w:p>
    <w:p w:rsidR="00AD2075" w:rsidRDefault="00AD2075">
      <w:pPr>
        <w:pStyle w:val="ParagraphLAST"/>
        <w:spacing w:after="0" w:line="240" w:lineRule="auto"/>
        <w:ind w:firstLine="0"/>
        <w:rPr>
          <w:b/>
        </w:rPr>
      </w:pPr>
    </w:p>
    <w:p w:rsidR="00AD2075" w:rsidRDefault="00AD2075" w:rsidP="00963556">
      <w:pPr>
        <w:pStyle w:val="ParagraphLAST"/>
        <w:spacing w:line="240" w:lineRule="auto"/>
      </w:pPr>
      <w:r w:rsidRPr="00FC2683">
        <w:rPr>
          <w:b/>
        </w:rPr>
        <w:t>Data collection plan.</w:t>
      </w:r>
      <w:r>
        <w:t xml:space="preserve"> </w:t>
      </w:r>
      <w:r w:rsidRPr="002018E4">
        <w:t xml:space="preserve">Our data collection plans will involve different sample members in different ways. We will collect some basic information from the universe of TRPs that received </w:t>
      </w:r>
      <w:r>
        <w:t>TQP</w:t>
      </w:r>
      <w:r w:rsidRPr="002018E4">
        <w:t xml:space="preserve"> </w:t>
      </w:r>
      <w:r w:rsidRPr="003F4A57">
        <w:t xml:space="preserve">grants and from any other TRPs considered best qualified for the </w:t>
      </w:r>
      <w:r>
        <w:t xml:space="preserve">outcomes </w:t>
      </w:r>
      <w:r w:rsidRPr="003F4A57">
        <w:t>study;</w:t>
      </w:r>
      <w:r w:rsidRPr="002018E4">
        <w:t xml:space="preserve"> additional information from a subset of the grantees a</w:t>
      </w:r>
      <w:r w:rsidRPr="003F4A57">
        <w:t xml:space="preserve">nd from any other TRPs considered best qualified for the </w:t>
      </w:r>
      <w:r>
        <w:t>in-depth implementation</w:t>
      </w:r>
      <w:r w:rsidRPr="003F4A57">
        <w:t xml:space="preserve"> study</w:t>
      </w:r>
      <w:r w:rsidRPr="002018E4">
        <w:t xml:space="preserve">; information from all teachers selected for the </w:t>
      </w:r>
      <w:r>
        <w:t>outcomes analysis</w:t>
      </w:r>
      <w:r w:rsidRPr="002018E4">
        <w:t xml:space="preserve">; </w:t>
      </w:r>
      <w:r>
        <w:t xml:space="preserve">and </w:t>
      </w:r>
      <w:r w:rsidRPr="002018E4">
        <w:t xml:space="preserve">student and teacher information from all districts in the </w:t>
      </w:r>
      <w:r>
        <w:t xml:space="preserve">outcomes </w:t>
      </w:r>
      <w:r w:rsidRPr="002018E4">
        <w:t xml:space="preserve">study. </w:t>
      </w:r>
      <w:r>
        <w:t xml:space="preserve">We will also collect data on resident teachers and their mentors. </w:t>
      </w:r>
      <w:r w:rsidRPr="002018E4">
        <w:t>Following is an overview of the data collection plans.</w:t>
      </w:r>
    </w:p>
    <w:p w:rsidR="00AD2075" w:rsidRDefault="00AD2075" w:rsidP="008C0B3A">
      <w:pPr>
        <w:spacing w:after="240" w:line="240" w:lineRule="auto"/>
      </w:pPr>
      <w:r w:rsidRPr="00174A2B">
        <w:rPr>
          <w:b/>
        </w:rPr>
        <w:t xml:space="preserve">Student records data. </w:t>
      </w:r>
      <w:r w:rsidRPr="00174A2B">
        <w:t>Following the 2011-2012 and 2012-2013 school years, we will ask districts to provide data for all students in the district who are in tested grades and subjects. We will collect both demographic data (that is, age, race/ethnicity, English language proficiency, disability status, and eligibility for school lunch program) and data on students’ performance on state or district tests in the current year and two previous school years. We will send the district a letter that will specify the data items requested and a non-technical brochure providing additional study information (Appendix </w:t>
      </w:r>
      <w:r>
        <w:t>J</w:t>
      </w:r>
      <w:r w:rsidRPr="00174A2B">
        <w:t>).</w:t>
      </w:r>
    </w:p>
    <w:p w:rsidR="00AD2075" w:rsidRPr="00963556" w:rsidRDefault="00AD2075" w:rsidP="008C0B3A">
      <w:pPr>
        <w:spacing w:after="240" w:line="240" w:lineRule="auto"/>
      </w:pPr>
      <w:r w:rsidRPr="00D74E1D">
        <w:t xml:space="preserve">Federal rules permit the U.S. Department of Education and its designated agents to collect student demographic and existing achievement data from schools and districts without prior </w:t>
      </w:r>
      <w:r w:rsidRPr="00D74E1D">
        <w:lastRenderedPageBreak/>
        <w:t>parental or student consent (The Family Educational and Rights and Privacy Act (FERPA) (20 U.S.C. 1232g; 34 CFR Part 99). To maximize response rate</w:t>
      </w:r>
      <w:r>
        <w:t>s</w:t>
      </w:r>
      <w:r w:rsidRPr="00D74E1D">
        <w:t xml:space="preserve"> and minimize burden on schools and parents, we will follow these federal rules</w:t>
      </w:r>
      <w:r>
        <w:t>. We do not anticipate district opposition to this plan. If a district interprets federal rules in a way that does not permit data collection without consent, that district will be excluded from the study.</w:t>
      </w:r>
    </w:p>
    <w:p w:rsidR="00AD2075" w:rsidRDefault="00AD2075" w:rsidP="008C0B3A">
      <w:pPr>
        <w:pStyle w:val="BulletBlack"/>
        <w:numPr>
          <w:ilvl w:val="0"/>
          <w:numId w:val="0"/>
        </w:numPr>
        <w:tabs>
          <w:tab w:val="clear" w:pos="360"/>
        </w:tabs>
        <w:spacing w:after="240"/>
        <w:ind w:right="0" w:firstLine="450"/>
      </w:pPr>
      <w:r w:rsidRPr="00174A2B">
        <w:rPr>
          <w:b/>
        </w:rPr>
        <w:t xml:space="preserve">TRP survey. </w:t>
      </w:r>
      <w:r w:rsidRPr="00174A2B">
        <w:t xml:space="preserve">We will mail a self-administered 35-minute hardcopy survey to a director at each of the 28 TRPs that received a TQP grant in fall 2009 or spring 2010 and to any non-grantees included in the outcomes study. This survey, to be administered in spring 2011, will address TRP characteristics, admission requirements, and key program features, providing the foundation for answering the first research question. The mailing will contain a grantee or non-grantee cover letter (Appendix A), questionnaire (Appendix D) and a non-technical brochure providing additional study information (Appendix </w:t>
      </w:r>
      <w:r>
        <w:t>J</w:t>
      </w:r>
      <w:r w:rsidRPr="00174A2B">
        <w:t>). The letter, which will be on ED’s stationery, will describe the study and its objectives and the need for TRP participation, address confidentiality, and provide a telephone number and email address for questions or concerns.</w:t>
      </w:r>
    </w:p>
    <w:p w:rsidR="00AD2075" w:rsidRDefault="00AD2075" w:rsidP="008C0B3A">
      <w:pPr>
        <w:pStyle w:val="BulletBlack"/>
        <w:numPr>
          <w:ilvl w:val="0"/>
          <w:numId w:val="0"/>
        </w:numPr>
        <w:tabs>
          <w:tab w:val="clear" w:pos="360"/>
        </w:tabs>
        <w:spacing w:after="240"/>
        <w:ind w:right="0" w:firstLine="450"/>
      </w:pPr>
      <w:r w:rsidRPr="00174A2B">
        <w:rPr>
          <w:b/>
        </w:rPr>
        <w:t xml:space="preserve">TRP director interview. </w:t>
      </w:r>
      <w:r w:rsidRPr="00174A2B">
        <w:t xml:space="preserve">In spring 2011, we will conduct semi-structured interviews, by telephone or in person, with </w:t>
      </w:r>
      <w:r w:rsidRPr="00174A2B">
        <w:rPr>
          <w:rFonts w:cs="Garamond"/>
        </w:rPr>
        <w:t xml:space="preserve">the directors of the 15 TRPs identified </w:t>
      </w:r>
      <w:r w:rsidRPr="00174A2B">
        <w:t xml:space="preserve">for the in-depth implementation study. The 45-minute interview will collect detailed information on the amount of instruction in different substantive and pedagogical subject areas provided to candidates at various points in the program (before, during and after the residency year; during and after the first year as a teacher of record). The open-ended questions in the TRP interviews will allow us to collect more in-depth information than that collected from the survey, and to probe for clarification if necessary (Appendix </w:t>
      </w:r>
      <w:r>
        <w:t>H</w:t>
      </w:r>
      <w:r w:rsidRPr="00174A2B">
        <w:t>). We will contact potential respondents in advance and provide them with a list of topics to be covered and any general informati</w:t>
      </w:r>
      <w:r w:rsidR="00E979F5">
        <w:t xml:space="preserve">on about the study as needed. </w:t>
      </w:r>
      <w:r w:rsidRPr="00174A2B">
        <w:t>(They will be familiar with the study from our previous contacts with them during the recruitment stage.)</w:t>
      </w:r>
    </w:p>
    <w:p w:rsidR="00AD2075" w:rsidRPr="00B604C2" w:rsidRDefault="00AD2075">
      <w:pPr>
        <w:pStyle w:val="BulletBlack"/>
        <w:numPr>
          <w:ilvl w:val="0"/>
          <w:numId w:val="0"/>
        </w:numPr>
        <w:tabs>
          <w:tab w:val="clear" w:pos="360"/>
        </w:tabs>
        <w:spacing w:after="240"/>
        <w:ind w:right="0" w:firstLine="432"/>
      </w:pPr>
      <w:r w:rsidRPr="00174A2B">
        <w:rPr>
          <w:b/>
        </w:rPr>
        <w:t xml:space="preserve">Resident teacher survey. </w:t>
      </w:r>
      <w:r w:rsidRPr="00174A2B">
        <w:rPr>
          <w:rFonts w:cs="Garamond"/>
        </w:rPr>
        <w:t xml:space="preserve">A 25-minute mail survey of 300 </w:t>
      </w:r>
      <w:r w:rsidRPr="00174A2B">
        <w:t>TRP participants who serve their residency during the 2010-2011 school year</w:t>
      </w:r>
      <w:r w:rsidRPr="00174A2B">
        <w:rPr>
          <w:rFonts w:cs="Garamond"/>
        </w:rPr>
        <w:t xml:space="preserve"> will be conducted in spring 2011. </w:t>
      </w:r>
      <w:r w:rsidRPr="00174A2B">
        <w:t>It will collect descriptive information on resident teachers’ backgrounds as well as experiences during their residency year</w:t>
      </w:r>
      <w:r w:rsidRPr="00174A2B">
        <w:rPr>
          <w:rFonts w:cs="Garamond"/>
        </w:rPr>
        <w:t xml:space="preserve">—for example, interactions with resident mentors, classroom responsibilities, and views on the program. </w:t>
      </w:r>
      <w:r w:rsidRPr="00174A2B">
        <w:t>This survey will be administered to all residents from the same set of TRPs included in the program director interviews. The mailing will contain a cover letter (Appendix A), questionnaire (Appendix F) and a non-technical brochure providing additional study information (Appendix </w:t>
      </w:r>
      <w:r>
        <w:t>J</w:t>
      </w:r>
      <w:r w:rsidRPr="00174A2B">
        <w:t>). In the cover letter, we will describe the study and its objectives and the need for resident teacher participation, address confidentiality, and provide a toll-free telephone number and email address for questions or concerns.</w:t>
      </w:r>
    </w:p>
    <w:p w:rsidR="00AD2075" w:rsidRDefault="00AD2075" w:rsidP="008C0B3A">
      <w:pPr>
        <w:pStyle w:val="BulletBlack"/>
        <w:numPr>
          <w:ilvl w:val="0"/>
          <w:numId w:val="0"/>
        </w:numPr>
        <w:tabs>
          <w:tab w:val="clear" w:pos="360"/>
        </w:tabs>
        <w:spacing w:after="240"/>
        <w:ind w:right="0" w:firstLine="432"/>
        <w:rPr>
          <w:b/>
        </w:rPr>
      </w:pPr>
      <w:r w:rsidRPr="00174A2B">
        <w:rPr>
          <w:b/>
        </w:rPr>
        <w:t xml:space="preserve">Mentor teacher survey. </w:t>
      </w:r>
      <w:r w:rsidRPr="00174A2B">
        <w:t xml:space="preserve">In spring 2011, we will mail a 20-minute self-administered hardcopy survey to the 300 mentors associated with each of the teachers targeted for the resident teacher survey. Respondents will be asked to provide descriptive information on their backgrounds, qualifications, and training for the mentor role, their residents’ responsibilities, and their interactions with residents. Parallel questions across the resident and mentor surveys will allow for corroboration during analysis. The mailing will contain a mentor teacher cover letter (Appendix A), questionnaire (Appendix </w:t>
      </w:r>
      <w:r>
        <w:t>E</w:t>
      </w:r>
      <w:r w:rsidRPr="00174A2B">
        <w:t>) and a non-technical brochure providing additional study information (Appendix </w:t>
      </w:r>
      <w:r>
        <w:t>J</w:t>
      </w:r>
      <w:r w:rsidRPr="00174A2B">
        <w:t>). In the cover letter, we will describe the study and its objectives and the need for mentor teacher participation, address confidentiality, and provide a toll-free telephone number and email address for questions or concerns.</w:t>
      </w:r>
    </w:p>
    <w:p w:rsidR="00AD2075" w:rsidRDefault="00AD2075" w:rsidP="00731B64">
      <w:pPr>
        <w:pStyle w:val="BulletBlack"/>
        <w:numPr>
          <w:ilvl w:val="0"/>
          <w:numId w:val="0"/>
        </w:numPr>
        <w:tabs>
          <w:tab w:val="clear" w:pos="360"/>
        </w:tabs>
        <w:spacing w:after="180"/>
        <w:ind w:right="0" w:firstLine="432"/>
      </w:pPr>
      <w:proofErr w:type="gramStart"/>
      <w:r w:rsidRPr="00174A2B">
        <w:rPr>
          <w:b/>
        </w:rPr>
        <w:lastRenderedPageBreak/>
        <w:t>Teacher of record survey.</w:t>
      </w:r>
      <w:proofErr w:type="gramEnd"/>
      <w:r w:rsidRPr="00174A2B">
        <w:rPr>
          <w:b/>
        </w:rPr>
        <w:t xml:space="preserve"> </w:t>
      </w:r>
      <w:r w:rsidR="00C33FDB">
        <w:t xml:space="preserve">In fall 2011, we will contact districts to request a list of teachers hired within the last two years, their current school assignment, and date of hire (Appendix A). The lists will provide the sample for the teacher of record survey. </w:t>
      </w:r>
      <w:r w:rsidRPr="00174A2B">
        <w:t>In spring 2012, all novice teachers in the 8 districts in the outcomes study will be asked to complete a 25-minute self-administered hardcopy mail survey on their background characteristics, experiences during the 2011-2012 school year, and views on teaching. Teachers of record who will have completed the resident survey the previous year will complete a shorter version of the teacher of record survey—one that excludes questions about background characteristics. The mailing will contain a teacher of record cover letter (Appendix A) questionnaire (Appendix G) and a non-technical brochure providing additional study information (Appendix </w:t>
      </w:r>
      <w:r>
        <w:t>J</w:t>
      </w:r>
      <w:r w:rsidRPr="00174A2B">
        <w:t>). In the cover letter, we will describe the study and its objectives and the need for participation from teachers of record, address confidentiality, and provide a toll-free telephone number and email address for questions or concerns. We expect to survey a total of 800 teachers.</w:t>
      </w:r>
      <w:r>
        <w:t xml:space="preserve"> </w:t>
      </w:r>
    </w:p>
    <w:p w:rsidR="00AD2075" w:rsidRDefault="00AD2075" w:rsidP="008C0B3A">
      <w:pPr>
        <w:spacing w:after="240" w:line="240" w:lineRule="auto"/>
      </w:pPr>
      <w:r w:rsidRPr="00174A2B">
        <w:rPr>
          <w:b/>
        </w:rPr>
        <w:t xml:space="preserve">Teacher employment data. </w:t>
      </w:r>
      <w:r w:rsidRPr="00174A2B">
        <w:t>In fall 2012 and fall 2013, districts will be asked to verify whether the novice teachers in the outcomes study are still employed by the district. We will send each district a data request form that will specify the data requested (Appendix C), the list of novice teachers, and a non-technical brochure providing additional study information (Appendix </w:t>
      </w:r>
      <w:r>
        <w:t>J</w:t>
      </w:r>
      <w:r w:rsidRPr="00174A2B">
        <w:t>).</w:t>
      </w:r>
    </w:p>
    <w:p w:rsidR="00AD2075" w:rsidRDefault="00AD2075" w:rsidP="00DA11AD">
      <w:pPr>
        <w:spacing w:after="180" w:line="240" w:lineRule="auto"/>
      </w:pPr>
      <w:r w:rsidRPr="00271E2D">
        <w:rPr>
          <w:b/>
        </w:rPr>
        <w:t xml:space="preserve">Teacher </w:t>
      </w:r>
      <w:r>
        <w:rPr>
          <w:b/>
        </w:rPr>
        <w:t>mobility</w:t>
      </w:r>
      <w:r w:rsidRPr="00271E2D">
        <w:rPr>
          <w:b/>
        </w:rPr>
        <w:t xml:space="preserve"> survey</w:t>
      </w:r>
      <w:r>
        <w:rPr>
          <w:b/>
        </w:rPr>
        <w:t>s</w:t>
      </w:r>
      <w:r>
        <w:t>. In fall 2012 and fall 2013, all teachers in the outcomes study will be asked to complete a 1</w:t>
      </w:r>
      <w:r w:rsidR="0096058D">
        <w:t>5</w:t>
      </w:r>
      <w:r>
        <w:t xml:space="preserve"> minute self-administered hardcopy mail survey on their current employment status and reasons for job changes, if applicable (Appendix I). The mailing will contain a cover letter (Appendix A) that will describe the purpose of the survey and the need for participation from all teachers regardless of current employment status, address confidentiality, and provide a toll-free number and email address for questions or concerns. We expect to survey 800 teachers in each wave of the survey.</w:t>
      </w:r>
    </w:p>
    <w:p w:rsidR="00AD2075" w:rsidRPr="002018E4" w:rsidRDefault="00AD2075" w:rsidP="008C0B3A">
      <w:pPr>
        <w:spacing w:after="240" w:line="240" w:lineRule="auto"/>
      </w:pPr>
      <w:r w:rsidRPr="002018E4">
        <w:rPr>
          <w:b/>
        </w:rPr>
        <w:t>Confidentiality.</w:t>
      </w:r>
      <w:r w:rsidRPr="002018E4">
        <w:t xml:space="preserve"> Mathematica’s internal confidentiality pledge, which will guide all staff who work on this</w:t>
      </w:r>
      <w:r>
        <w:t xml:space="preserve"> study</w:t>
      </w:r>
      <w:r w:rsidRPr="002018E4">
        <w:t xml:space="preserve">, is presented in </w:t>
      </w:r>
      <w:r w:rsidRPr="00B61970">
        <w:t>Appendix</w:t>
      </w:r>
      <w:r w:rsidRPr="002018E4">
        <w:t xml:space="preserve"> </w:t>
      </w:r>
      <w:r>
        <w:t>K</w:t>
      </w:r>
      <w:r w:rsidRPr="002018E4">
        <w:t>.</w:t>
      </w:r>
    </w:p>
    <w:p w:rsidR="00AD2075" w:rsidRDefault="00AD2075">
      <w:pPr>
        <w:spacing w:after="240" w:line="240" w:lineRule="auto"/>
      </w:pPr>
      <w:r w:rsidRPr="000E4025">
        <w:rPr>
          <w:b/>
        </w:rPr>
        <w:t>E</w:t>
      </w:r>
      <w:r>
        <w:rPr>
          <w:b/>
        </w:rPr>
        <w:t>stimation p</w:t>
      </w:r>
      <w:r w:rsidRPr="000E4025">
        <w:rPr>
          <w:b/>
        </w:rPr>
        <w:t>rocedures.</w:t>
      </w:r>
      <w:r w:rsidRPr="00043CCF">
        <w:rPr>
          <w:b/>
        </w:rPr>
        <w:t xml:space="preserve"> </w:t>
      </w:r>
      <w:r>
        <w:t xml:space="preserve">The study will not seek to identify the causal effect of TRP teachers. Instead, we will describe the average growth in achievement in the students of novice TRP teachers benchmarked against the average growth of students of </w:t>
      </w:r>
      <w:r w:rsidR="00343F7B">
        <w:t xml:space="preserve">all </w:t>
      </w:r>
      <w:r>
        <w:t>other non-TRP teachers in the district</w:t>
      </w:r>
      <w:r w:rsidR="00343F7B">
        <w:t xml:space="preserve"> and against other novice non-TRP teachers</w:t>
      </w:r>
      <w:r>
        <w:t>. Rather than using the simple change in test scores, we will attempt to get the most precise measure of growth possible using a value-added model:</w:t>
      </w:r>
    </w:p>
    <w:p w:rsidR="00AD2075" w:rsidRPr="00B00F27" w:rsidRDefault="00AD2075" w:rsidP="00B00F27">
      <w:pPr>
        <w:pStyle w:val="Gnormal"/>
      </w:pPr>
      <w:r>
        <w:t>(1)</w:t>
      </w:r>
      <w:r>
        <w:tab/>
      </w:r>
      <w:r w:rsidRPr="002B73D9">
        <w:rPr>
          <w:position w:val="-14"/>
        </w:rPr>
        <w:object w:dxaOrig="4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21pt" o:ole="">
            <v:imagedata r:id="rId25" o:title=""/>
          </v:shape>
          <o:OLEObject Type="Embed" ProgID="Equation.DSMT4" ShapeID="_x0000_i1025" DrawAspect="Content" ObjectID="_1365454191" r:id="rId26"/>
        </w:object>
      </w:r>
    </w:p>
    <w:p w:rsidR="00AD2075" w:rsidRDefault="00AD2075" w:rsidP="00B00F27">
      <w:pPr>
        <w:spacing w:after="240" w:line="240" w:lineRule="auto"/>
        <w:ind w:firstLine="0"/>
      </w:pPr>
      <w:r>
        <w:t xml:space="preserve">where </w:t>
      </w:r>
      <w:r>
        <w:rPr>
          <w:i/>
        </w:rPr>
        <w:t>Y</w:t>
      </w:r>
      <w:r>
        <w:rPr>
          <w:i/>
          <w:vertAlign w:val="subscript"/>
        </w:rPr>
        <w:t>ijk</w:t>
      </w:r>
      <w:r>
        <w:t xml:space="preserve"> is the test score of student </w:t>
      </w:r>
      <w:r>
        <w:rPr>
          <w:i/>
        </w:rPr>
        <w:t>i</w:t>
      </w:r>
      <w:r>
        <w:t xml:space="preserve"> in a class taught by teacher</w:t>
      </w:r>
      <w:r>
        <w:rPr>
          <w:i/>
        </w:rPr>
        <w:t xml:space="preserve"> j </w:t>
      </w:r>
      <w:r>
        <w:t>in year</w:t>
      </w:r>
      <w:r>
        <w:rPr>
          <w:i/>
        </w:rPr>
        <w:t xml:space="preserve"> t</w:t>
      </w:r>
      <w:r>
        <w:t xml:space="preserve">, </w:t>
      </w:r>
      <w:proofErr w:type="gramStart"/>
      <w:r>
        <w:rPr>
          <w:i/>
        </w:rPr>
        <w:t>Y</w:t>
      </w:r>
      <w:r>
        <w:rPr>
          <w:i/>
          <w:vertAlign w:val="subscript"/>
        </w:rPr>
        <w:t>i(</w:t>
      </w:r>
      <w:proofErr w:type="gramEnd"/>
      <w:r>
        <w:rPr>
          <w:i/>
          <w:vertAlign w:val="subscript"/>
        </w:rPr>
        <w:t>-t)</w:t>
      </w:r>
      <w:r>
        <w:t xml:space="preserve"> is a vector </w:t>
      </w:r>
      <w:r w:rsidR="004479F9">
        <w:t>of the</w:t>
      </w:r>
      <w:r>
        <w:t xml:space="preserve"> previous two years of test scores for student </w:t>
      </w:r>
      <w:r>
        <w:rPr>
          <w:i/>
        </w:rPr>
        <w:t>i, X</w:t>
      </w:r>
      <w:r>
        <w:rPr>
          <w:i/>
          <w:vertAlign w:val="subscript"/>
        </w:rPr>
        <w:t>ijk</w:t>
      </w:r>
      <w:r>
        <w:t xml:space="preserve"> is a vector of student baseline characteristics</w:t>
      </w:r>
      <w:r w:rsidR="004479F9">
        <w:t>, the</w:t>
      </w:r>
      <w:r>
        <w:t xml:space="preserve"> </w:t>
      </w:r>
      <w:r>
        <w:rPr>
          <w:i/>
        </w:rPr>
        <w:t>T</w:t>
      </w:r>
      <w:r>
        <w:rPr>
          <w:i/>
          <w:vertAlign w:val="subscript"/>
        </w:rPr>
        <w:t>i</w:t>
      </w:r>
      <w:r>
        <w:t xml:space="preserve">’s are indicator variables for each teacher </w:t>
      </w:r>
      <w:r>
        <w:rPr>
          <w:i/>
        </w:rPr>
        <w:t>j</w:t>
      </w:r>
      <w:r>
        <w:t xml:space="preserve">, </w:t>
      </w:r>
      <w:r>
        <w:rPr>
          <w:i/>
        </w:rPr>
        <w:t>µ</w:t>
      </w:r>
      <w:r>
        <w:rPr>
          <w:i/>
          <w:vertAlign w:val="subscript"/>
        </w:rPr>
        <w:t>j</w:t>
      </w:r>
      <w:r>
        <w:t xml:space="preserve"> is a classroom-specific random error term, </w:t>
      </w:r>
      <w:r>
        <w:rPr>
          <w:i/>
        </w:rPr>
        <w:t>ε</w:t>
      </w:r>
      <w:r>
        <w:rPr>
          <w:i/>
          <w:vertAlign w:val="subscript"/>
        </w:rPr>
        <w:t>ij</w:t>
      </w:r>
      <w:r>
        <w:rPr>
          <w:i/>
        </w:rPr>
        <w:t xml:space="preserve"> </w:t>
      </w:r>
      <w:r>
        <w:t xml:space="preserve">is a student-level random error term, and </w:t>
      </w:r>
      <w:r>
        <w:rPr>
          <w:i/>
        </w:rPr>
        <w:t>β,</w:t>
      </w:r>
      <w:r w:rsidRPr="002B73D9">
        <w:rPr>
          <w:i/>
          <w:position w:val="-6"/>
        </w:rPr>
        <w:object w:dxaOrig="220" w:dyaOrig="280">
          <v:shape id="_x0000_i1026" type="#_x0000_t75" style="width:11.25pt;height:14.25pt" o:ole="">
            <v:imagedata r:id="rId27" o:title=""/>
          </v:shape>
          <o:OLEObject Type="Embed" ProgID="Equation.DSMT4" ShapeID="_x0000_i1026" DrawAspect="Content" ObjectID="_1365454192" r:id="rId28"/>
        </w:object>
      </w:r>
      <w:r>
        <w:rPr>
          <w:i/>
        </w:rPr>
        <w:t xml:space="preserve">, </w:t>
      </w:r>
      <w:r>
        <w:t xml:space="preserve">and </w:t>
      </w:r>
      <w:r>
        <w:rPr>
          <w:i/>
        </w:rPr>
        <w:t>γ</w:t>
      </w:r>
      <w:r>
        <w:t xml:space="preserve"> represent parameters to be estimated. The model will be estimated with ordinary least squares (OLS), using standard errors that account for classroom-level clustering.</w:t>
      </w:r>
    </w:p>
    <w:p w:rsidR="00AD2075" w:rsidRPr="002B786A" w:rsidRDefault="00AD2075" w:rsidP="00372FE5">
      <w:pPr>
        <w:spacing w:after="240" w:line="240" w:lineRule="auto"/>
      </w:pPr>
      <w:r w:rsidRPr="002B786A">
        <w:lastRenderedPageBreak/>
        <w:t>The estimate</w:t>
      </w:r>
      <w:r>
        <w:t>s</w:t>
      </w:r>
      <w:r w:rsidRPr="002B786A">
        <w:t xml:space="preserve"> </w:t>
      </w:r>
      <w:r>
        <w:t xml:space="preserve">of </w:t>
      </w:r>
      <w:r w:rsidRPr="002B786A">
        <w:rPr>
          <w:i/>
        </w:rPr>
        <w:t>γ</w:t>
      </w:r>
      <w:r w:rsidRPr="002B786A">
        <w:t xml:space="preserve"> represent </w:t>
      </w:r>
      <w:r>
        <w:t>the change in student achievement that each teacher produces in excess to what would have been expected based on the characteristics and prior achievement level of their students</w:t>
      </w:r>
      <w:r w:rsidRPr="002B786A">
        <w:t>.</w:t>
      </w:r>
      <w:r>
        <w:t xml:space="preserve"> We will take an average of </w:t>
      </w:r>
      <w:r w:rsidRPr="00464B6A">
        <w:t>all</w:t>
      </w:r>
      <w:r>
        <w:t xml:space="preserve"> of the </w:t>
      </w:r>
      <w:r w:rsidRPr="00403B65">
        <w:rPr>
          <w:position w:val="-10"/>
        </w:rPr>
        <w:object w:dxaOrig="200" w:dyaOrig="260">
          <v:shape id="_x0000_i1027" type="#_x0000_t75" style="width:9.75pt;height:13.5pt" o:ole="">
            <v:imagedata r:id="rId29" o:title=""/>
          </v:shape>
          <o:OLEObject Type="Embed" ProgID="Equation.DSMT4" ShapeID="_x0000_i1027" DrawAspect="Content" ObjectID="_1365454193" r:id="rId30"/>
        </w:object>
      </w:r>
      <w:r>
        <w:t>s for TRP teachers and present the benchmark of the average of the</w:t>
      </w:r>
      <w:r w:rsidRPr="00403B65">
        <w:rPr>
          <w:position w:val="-10"/>
        </w:rPr>
        <w:object w:dxaOrig="200" w:dyaOrig="260">
          <v:shape id="_x0000_i1028" type="#_x0000_t75" style="width:9.75pt;height:13.5pt" o:ole="">
            <v:imagedata r:id="rId29" o:title=""/>
          </v:shape>
          <o:OLEObject Type="Embed" ProgID="Equation.DSMT4" ShapeID="_x0000_i1028" DrawAspect="Content" ObjectID="_1365454194" r:id="rId31"/>
        </w:object>
      </w:r>
      <w:r>
        <w:t xml:space="preserve">’s for </w:t>
      </w:r>
      <w:r w:rsidR="00D11968">
        <w:t xml:space="preserve">all </w:t>
      </w:r>
      <w:r>
        <w:t>teachers</w:t>
      </w:r>
      <w:r w:rsidR="00D11968">
        <w:rPr>
          <w:rStyle w:val="FootnoteReference"/>
        </w:rPr>
        <w:footnoteReference w:id="2"/>
      </w:r>
      <w:r w:rsidR="00D11968">
        <w:t xml:space="preserve"> and for other novice teachers</w:t>
      </w:r>
      <w:r>
        <w:t>.</w:t>
      </w:r>
    </w:p>
    <w:p w:rsidR="00AD2075" w:rsidRDefault="00AD2075" w:rsidP="00372FE5">
      <w:pPr>
        <w:pStyle w:val="ParagraphLAST"/>
        <w:spacing w:line="240" w:lineRule="auto"/>
      </w:pPr>
      <w:proofErr w:type="gramStart"/>
      <w:r w:rsidRPr="002B786A">
        <w:rPr>
          <w:b/>
        </w:rPr>
        <w:t xml:space="preserve">TRP </w:t>
      </w:r>
      <w:r>
        <w:rPr>
          <w:b/>
        </w:rPr>
        <w:t xml:space="preserve">and non-TRP </w:t>
      </w:r>
      <w:r w:rsidRPr="002B786A">
        <w:rPr>
          <w:b/>
        </w:rPr>
        <w:t>teacher retention</w:t>
      </w:r>
      <w:r>
        <w:rPr>
          <w:b/>
        </w:rPr>
        <w:t xml:space="preserve"> rates</w:t>
      </w:r>
      <w:r w:rsidRPr="002B786A">
        <w:rPr>
          <w:b/>
        </w:rPr>
        <w:t>.</w:t>
      </w:r>
      <w:proofErr w:type="gramEnd"/>
      <w:r>
        <w:rPr>
          <w:b/>
        </w:rPr>
        <w:t xml:space="preserve"> </w:t>
      </w:r>
      <w:r>
        <w:t xml:space="preserve">We will also summarize the retention rates of TRP and non-TRP teachers in the district. Measures of teacher retention may include whether the teacher remained at the same school, moved to another school in the district, moved to another district, or left the teaching profession. </w:t>
      </w:r>
    </w:p>
    <w:p w:rsidR="00AD2075" w:rsidRDefault="00AD2075" w:rsidP="00372FE5">
      <w:pPr>
        <w:spacing w:after="240" w:line="240" w:lineRule="auto"/>
      </w:pPr>
      <w:r>
        <w:t xml:space="preserve">The timeline for retention data collection is as follows. </w:t>
      </w:r>
      <w:r w:rsidRPr="002B786A">
        <w:t xml:space="preserve">In fall </w:t>
      </w:r>
      <w:r>
        <w:t>2012</w:t>
      </w:r>
      <w:r w:rsidRPr="002B786A">
        <w:t xml:space="preserve"> and </w:t>
      </w:r>
      <w:r>
        <w:t xml:space="preserve">fall </w:t>
      </w:r>
      <w:r w:rsidRPr="002B786A">
        <w:t>2013, we will c</w:t>
      </w:r>
      <w:r>
        <w:t xml:space="preserve">ontact districts </w:t>
      </w:r>
      <w:r w:rsidRPr="002B786A">
        <w:t xml:space="preserve">to request data on </w:t>
      </w:r>
      <w:r>
        <w:t xml:space="preserve">employment status among </w:t>
      </w:r>
      <w:r w:rsidRPr="002B786A">
        <w:t xml:space="preserve">all </w:t>
      </w:r>
      <w:r>
        <w:t xml:space="preserve">novice </w:t>
      </w:r>
      <w:r w:rsidRPr="002B786A">
        <w:t>teachers.</w:t>
      </w:r>
      <w:r>
        <w:t xml:space="preserve"> </w:t>
      </w:r>
      <w:r w:rsidRPr="002B786A">
        <w:t>In fall 2012 we will determine which of the novice teachers from the previous year</w:t>
      </w:r>
      <w:r w:rsidR="00343F7B">
        <w:t xml:space="preserve"> are still teaching</w:t>
      </w:r>
      <w:r w:rsidRPr="002B786A">
        <w:t>.</w:t>
      </w:r>
      <w:r>
        <w:t xml:space="preserve"> I</w:t>
      </w:r>
      <w:r w:rsidRPr="002B786A">
        <w:t xml:space="preserve">n fall 2013 we will </w:t>
      </w:r>
      <w:r>
        <w:t xml:space="preserve">again </w:t>
      </w:r>
      <w:r w:rsidRPr="002B786A">
        <w:t>determine which of the</w:t>
      </w:r>
      <w:r>
        <w:t xml:space="preserve"> teachers in our analysis </w:t>
      </w:r>
      <w:r w:rsidR="00343F7B">
        <w:t>sample are still</w:t>
      </w:r>
      <w:r>
        <w:t xml:space="preserve"> teaching in the district</w:t>
      </w:r>
      <w:r w:rsidRPr="002B786A">
        <w:t>.</w:t>
      </w:r>
    </w:p>
    <w:p w:rsidR="00AD2075" w:rsidRDefault="00AD2075">
      <w:pPr>
        <w:spacing w:after="240" w:line="240" w:lineRule="auto"/>
        <w:rPr>
          <w:b/>
        </w:rPr>
      </w:pPr>
      <w:r>
        <w:rPr>
          <w:i/>
          <w:iCs/>
        </w:rPr>
        <w:t>Mediators a</w:t>
      </w:r>
      <w:r w:rsidRPr="00DD6573">
        <w:rPr>
          <w:i/>
          <w:iCs/>
        </w:rPr>
        <w:t>nalysis.</w:t>
      </w:r>
      <w:r w:rsidRPr="00DD6573">
        <w:rPr>
          <w:b/>
          <w:i/>
          <w:iCs/>
        </w:rPr>
        <w:t xml:space="preserve"> </w:t>
      </w:r>
      <w:r w:rsidRPr="00DD6573">
        <w:rPr>
          <w:iCs/>
        </w:rPr>
        <w:t>I</w:t>
      </w:r>
      <w:r>
        <w:rPr>
          <w:iCs/>
        </w:rPr>
        <w:t xml:space="preserve">n addition to </w:t>
      </w:r>
      <w:r w:rsidRPr="00DD6573">
        <w:rPr>
          <w:iCs/>
        </w:rPr>
        <w:t xml:space="preserve">our main </w:t>
      </w:r>
      <w:r>
        <w:rPr>
          <w:iCs/>
        </w:rPr>
        <w:t>outcomes analysis</w:t>
      </w:r>
      <w:r w:rsidRPr="00DD6573">
        <w:rPr>
          <w:iCs/>
        </w:rPr>
        <w:t>, a complementary</w:t>
      </w:r>
      <w:r>
        <w:rPr>
          <w:iCs/>
        </w:rPr>
        <w:t xml:space="preserve"> </w:t>
      </w:r>
      <w:r w:rsidRPr="00DD6573">
        <w:rPr>
          <w:iCs/>
        </w:rPr>
        <w:t>approach will help shed light on</w:t>
      </w:r>
      <w:r>
        <w:rPr>
          <w:iCs/>
        </w:rPr>
        <w:t xml:space="preserve"> the outcomes we observe</w:t>
      </w:r>
      <w:r w:rsidRPr="00DD6573">
        <w:rPr>
          <w:iCs/>
        </w:rPr>
        <w:t>.</w:t>
      </w:r>
      <w:r>
        <w:rPr>
          <w:iCs/>
        </w:rPr>
        <w:t xml:space="preserve"> We</w:t>
      </w:r>
      <w:r w:rsidRPr="00DD6573">
        <w:rPr>
          <w:iCs/>
        </w:rPr>
        <w:t xml:space="preserve"> will estimate a version of equation (1) that includes controls for additional covariates, or mediators, representing possible mechanisms through which TRPs may influence student achievement</w:t>
      </w:r>
      <w:r>
        <w:rPr>
          <w:iCs/>
        </w:rPr>
        <w:t xml:space="preserve">. In one case, for example, we will control for teacher background characteristics to determine whether they are correlated with outcomes. We will use a similar approach to estimate the relationship between outcomes and specific aspects of the training received in TRP programs. For example, we will examine relationship between coursework and training while teaching (reflected by relevant measures from the teacher survey) and student outcomes. </w:t>
      </w:r>
    </w:p>
    <w:p w:rsidR="00AD2075" w:rsidRPr="00154C7E" w:rsidRDefault="00AD2075" w:rsidP="00206097">
      <w:pPr>
        <w:pStyle w:val="NormalSS"/>
      </w:pPr>
      <w:r>
        <w:rPr>
          <w:b/>
        </w:rPr>
        <w:t>Degree of accuracy needed.</w:t>
      </w:r>
      <w:r>
        <w:t xml:space="preserve"> </w:t>
      </w:r>
      <w:bookmarkStart w:id="31" w:name="_Toc269896481"/>
      <w:r w:rsidRPr="00861C72">
        <w:t>The study will not attempt to measure impacts, so statistical power is not a concern for the student outcomes analysis and the teacher retention analysis. However, the study will seek to provide measures of the average outcomes that are as generalizable as possible. To this end, th</w:t>
      </w:r>
      <w:r>
        <w:t xml:space="preserve">e study will include all </w:t>
      </w:r>
      <w:r w:rsidRPr="00861C72">
        <w:t xml:space="preserve">TRP and non-TRP teachers who are teaching in the eight districts that participate in the </w:t>
      </w:r>
      <w:r>
        <w:t>outcomes</w:t>
      </w:r>
      <w:r w:rsidRPr="00861C72">
        <w:t xml:space="preserve"> study.</w:t>
      </w:r>
    </w:p>
    <w:p w:rsidR="00AD2075" w:rsidRPr="000606B2" w:rsidRDefault="00AD2075" w:rsidP="00D62E54">
      <w:pPr>
        <w:pStyle w:val="Heading3"/>
      </w:pPr>
      <w:bookmarkStart w:id="32" w:name="_Toc63827195"/>
      <w:bookmarkStart w:id="33" w:name="_Toc70752944"/>
      <w:bookmarkStart w:id="34" w:name="_Toc260298617"/>
      <w:bookmarkStart w:id="35" w:name="_Toc281317385"/>
      <w:bookmarkEnd w:id="31"/>
      <w:r w:rsidRPr="000606B2">
        <w:t>3.</w:t>
      </w:r>
      <w:r w:rsidRPr="000606B2">
        <w:tab/>
      </w:r>
      <w:bookmarkEnd w:id="32"/>
      <w:bookmarkEnd w:id="33"/>
      <w:r w:rsidRPr="000606B2">
        <w:t>Methods to Maximize Response Rates and Deal with Nonresponse</w:t>
      </w:r>
      <w:bookmarkEnd w:id="34"/>
      <w:bookmarkEnd w:id="35"/>
    </w:p>
    <w:p w:rsidR="00AD2075" w:rsidRDefault="00AD2075" w:rsidP="00DD355A">
      <w:pPr>
        <w:pStyle w:val="ParagraphLAST"/>
        <w:spacing w:line="240" w:lineRule="auto"/>
      </w:pPr>
      <w:bookmarkStart w:id="36" w:name="_Toc63827197"/>
      <w:bookmarkStart w:id="37" w:name="_Toc70752946"/>
      <w:r w:rsidRPr="007F5352">
        <w:t>Mathematica has developed and refined a wide range of methods to minimize attrition from survey sam</w:t>
      </w:r>
      <w:r>
        <w:t xml:space="preserve">ples and to maximize response. </w:t>
      </w:r>
      <w:r w:rsidRPr="007F5352">
        <w:t>These methods focus on containing burden on respondents and tec</w:t>
      </w:r>
      <w:r>
        <w:t xml:space="preserve">hniques for avoiding refusals. </w:t>
      </w:r>
      <w:r w:rsidRPr="007F5352">
        <w:t xml:space="preserve">Mathematica has found that the following techniques are major contributions to a high completion rate: establishing positive relationships with respondents and school and program staff; sending advance letters; </w:t>
      </w:r>
      <w:r>
        <w:t xml:space="preserve">and </w:t>
      </w:r>
      <w:r w:rsidRPr="007F5352">
        <w:t>establishing efficient and flexible scheduling.</w:t>
      </w:r>
      <w:r w:rsidR="00E979F5">
        <w:t xml:space="preserve"> </w:t>
      </w:r>
      <w:r w:rsidRPr="00A61875">
        <w:t>We will include a statement on confidentiality and data collection requirements (The Education Sciences Reform Act of 2002, Title I, Part E, Section 183) in all letters</w:t>
      </w:r>
      <w:r>
        <w:t xml:space="preserve"> (Appendix A)</w:t>
      </w:r>
      <w:r w:rsidRPr="00A61875">
        <w:t xml:space="preserve">, data collection instruments </w:t>
      </w:r>
      <w:r>
        <w:t xml:space="preserve">(Appendix C through Appendix I) </w:t>
      </w:r>
      <w:r w:rsidRPr="00A61875">
        <w:t xml:space="preserve">and study brochure </w:t>
      </w:r>
      <w:r w:rsidRPr="00893FC5">
        <w:t>(</w:t>
      </w:r>
      <w:r w:rsidRPr="00B61970">
        <w:t>Appendix</w:t>
      </w:r>
      <w:r w:rsidRPr="00893FC5">
        <w:t xml:space="preserve"> </w:t>
      </w:r>
      <w:r>
        <w:t>J</w:t>
      </w:r>
      <w:r w:rsidRPr="00893FC5">
        <w:t>).</w:t>
      </w:r>
    </w:p>
    <w:p w:rsidR="00AD2075" w:rsidRDefault="00AD2075" w:rsidP="008B16B7">
      <w:pPr>
        <w:spacing w:after="240" w:line="240" w:lineRule="auto"/>
      </w:pPr>
      <w:r>
        <w:lastRenderedPageBreak/>
        <w:t xml:space="preserve">We anticipate 100 percent response from </w:t>
      </w:r>
      <w:r w:rsidRPr="00E53C59">
        <w:rPr>
          <w:b/>
        </w:rPr>
        <w:t>TRP</w:t>
      </w:r>
      <w:r>
        <w:t xml:space="preserve"> interviews and an 80 percent response from the surveys since grantees have committed to cooperating with the national study and the small community of other TRPs is likely interested in contributing to the proposed study. School districts are partners in sponsoring and supporting TRPs, and we will have established a rapport with them during the r</w:t>
      </w:r>
      <w:r w:rsidR="00E979F5">
        <w:t xml:space="preserve">ecruitment phase of the study. </w:t>
      </w:r>
      <w:r>
        <w:t>We therefore expect that they will be highly responsive to our requests for most student and teacher data. To further solidify administrators’ cooperation, we will adhere to additional data collection requirements that districts may have such as preparing research applications and seeking IRB approvals</w:t>
      </w:r>
      <w:r w:rsidR="00E979F5">
        <w:t xml:space="preserve">. </w:t>
      </w:r>
      <w:r w:rsidRPr="00A82D68">
        <w:t>In our correspondence, we will also send notification letters on ED letterhead (</w:t>
      </w:r>
      <w:r w:rsidRPr="00893FC5">
        <w:t>Appendix</w:t>
      </w:r>
      <w:r w:rsidRPr="00A82D68">
        <w:t xml:space="preserve"> </w:t>
      </w:r>
      <w:r>
        <w:t xml:space="preserve">A) to </w:t>
      </w:r>
      <w:r w:rsidRPr="00A82D68">
        <w:t xml:space="preserve">TRPs and districts to capture their attention and </w:t>
      </w:r>
      <w:r>
        <w:t xml:space="preserve">to </w:t>
      </w:r>
      <w:r w:rsidRPr="00A82D68">
        <w:t xml:space="preserve">help increase the response rate. </w:t>
      </w:r>
    </w:p>
    <w:p w:rsidR="00AD2075" w:rsidRDefault="00AD2075" w:rsidP="008B16B7">
      <w:pPr>
        <w:spacing w:after="240" w:line="240" w:lineRule="auto"/>
      </w:pPr>
      <w:r>
        <w:t xml:space="preserve">The high response rates on the </w:t>
      </w:r>
      <w:r w:rsidRPr="00E53C59">
        <w:rPr>
          <w:b/>
        </w:rPr>
        <w:t>teacher surveys</w:t>
      </w:r>
      <w:r>
        <w:t xml:space="preserve"> (85 percent to 90 percent) are based on Mathematica’s experience in conducting other surveys with teachers. To ensure response, follow-up will be initiated through </w:t>
      </w:r>
      <w:r w:rsidRPr="007F5352">
        <w:t xml:space="preserve">email and telephone calls to teachers who </w:t>
      </w:r>
      <w:r w:rsidR="0067510B">
        <w:t>do</w:t>
      </w:r>
      <w:r w:rsidRPr="007F5352">
        <w:t xml:space="preserve"> not respond within </w:t>
      </w:r>
      <w:r>
        <w:t>two to three weeks of the initial mailing</w:t>
      </w:r>
      <w:r w:rsidR="004479F9" w:rsidRPr="007F5352">
        <w:t xml:space="preserve">. </w:t>
      </w:r>
      <w:r>
        <w:t>Second, nonrespondents will be given the option of providing data during the telephone follow</w:t>
      </w:r>
      <w:r w:rsidR="00E979F5">
        <w:t xml:space="preserve">-up. </w:t>
      </w:r>
      <w:r>
        <w:t>Data collectors can read the questions aloud and enter the response</w:t>
      </w:r>
      <w:r w:rsidR="00E979F5">
        <w:t xml:space="preserve">s on the hard copy instrument. </w:t>
      </w:r>
      <w:r>
        <w:t>Third</w:t>
      </w:r>
      <w:r w:rsidRPr="007F5352">
        <w:t>, experienced interviewers will be recr</w:t>
      </w:r>
      <w:r>
        <w:t xml:space="preserve">uited and extensively trained. </w:t>
      </w:r>
      <w:r w:rsidRPr="007F5352">
        <w:t>These interviewers will be thoroughly trained on data collection procedures, including methods for promoting cooperation among school staff</w:t>
      </w:r>
      <w:r>
        <w:t xml:space="preserve">. </w:t>
      </w:r>
      <w:r w:rsidRPr="007F5352">
        <w:t xml:space="preserve">Interviewers especially skilled at encouraging cooperation will be available to persuade reluctant </w:t>
      </w:r>
      <w:r>
        <w:t>teachers</w:t>
      </w:r>
      <w:r w:rsidRPr="007F5352">
        <w:t xml:space="preserve"> to participate</w:t>
      </w:r>
      <w:r>
        <w:t xml:space="preserve"> (except for hostile refusals). </w:t>
      </w:r>
    </w:p>
    <w:p w:rsidR="00AD2075" w:rsidRDefault="00AD2075" w:rsidP="008B16B7">
      <w:pPr>
        <w:spacing w:after="240" w:line="240" w:lineRule="auto"/>
      </w:pPr>
      <w:r>
        <w:t>Reducing districts’ burden in providing study data to submit for the study will facilitate attaining a response rate of at least 85</w:t>
      </w:r>
      <w:r w:rsidRPr="007F5352">
        <w:t xml:space="preserve"> percent on </w:t>
      </w:r>
      <w:r w:rsidRPr="007F5352">
        <w:rPr>
          <w:b/>
        </w:rPr>
        <w:t xml:space="preserve">student </w:t>
      </w:r>
      <w:r>
        <w:rPr>
          <w:b/>
        </w:rPr>
        <w:t xml:space="preserve">administrative data </w:t>
      </w:r>
      <w:r w:rsidRPr="007F5352">
        <w:rPr>
          <w:b/>
        </w:rPr>
        <w:t xml:space="preserve">and teacher </w:t>
      </w:r>
      <w:r>
        <w:rPr>
          <w:b/>
        </w:rPr>
        <w:t>employment</w:t>
      </w:r>
      <w:r w:rsidRPr="007F5352">
        <w:rPr>
          <w:b/>
        </w:rPr>
        <w:t xml:space="preserve"> </w:t>
      </w:r>
      <w:r>
        <w:rPr>
          <w:b/>
        </w:rPr>
        <w:t>data</w:t>
      </w:r>
      <w:r>
        <w:t xml:space="preserve">. </w:t>
      </w:r>
    </w:p>
    <w:p w:rsidR="00AD2075" w:rsidRDefault="00AD2075" w:rsidP="008B16B7">
      <w:pPr>
        <w:pStyle w:val="ParagraphLAST"/>
        <w:spacing w:line="240" w:lineRule="auto"/>
      </w:pPr>
      <w:r w:rsidRPr="007F5352">
        <w:t>Finally, we will be courteous but persistent</w:t>
      </w:r>
      <w:r>
        <w:t xml:space="preserve"> in following up with participants who do not respond in a timely manner to our attempts to reach them.</w:t>
      </w:r>
    </w:p>
    <w:p w:rsidR="00AD2075" w:rsidRPr="000606B2" w:rsidRDefault="00AD2075" w:rsidP="00D62E54">
      <w:pPr>
        <w:pStyle w:val="Heading3"/>
      </w:pPr>
      <w:bookmarkStart w:id="38" w:name="_Toc260298618"/>
      <w:bookmarkStart w:id="39" w:name="_Toc281317386"/>
      <w:r>
        <w:t>4</w:t>
      </w:r>
      <w:r w:rsidRPr="000606B2">
        <w:t>.</w:t>
      </w:r>
      <w:r w:rsidRPr="000606B2">
        <w:tab/>
      </w:r>
      <w:r>
        <w:t xml:space="preserve">Tests of Procedures or </w:t>
      </w:r>
      <w:r w:rsidRPr="000606B2">
        <w:t xml:space="preserve">Methods to </w:t>
      </w:r>
      <w:r>
        <w:t>b</w:t>
      </w:r>
      <w:r w:rsidRPr="000606B2">
        <w:t>e</w:t>
      </w:r>
      <w:r>
        <w:t xml:space="preserve"> </w:t>
      </w:r>
      <w:proofErr w:type="gramStart"/>
      <w:r>
        <w:t>Undertaken</w:t>
      </w:r>
      <w:bookmarkEnd w:id="38"/>
      <w:bookmarkEnd w:id="39"/>
      <w:proofErr w:type="gramEnd"/>
    </w:p>
    <w:bookmarkEnd w:id="36"/>
    <w:bookmarkEnd w:id="37"/>
    <w:p w:rsidR="00D11968" w:rsidRDefault="00AD2075">
      <w:pPr>
        <w:tabs>
          <w:tab w:val="clear" w:pos="432"/>
        </w:tabs>
        <w:spacing w:line="240" w:lineRule="auto"/>
        <w:ind w:firstLine="0"/>
        <w:jc w:val="left"/>
      </w:pPr>
      <w:r w:rsidRPr="007F5352">
        <w:t xml:space="preserve">Data collection instruments for the study drew heavily on surveys </w:t>
      </w:r>
      <w:r>
        <w:t xml:space="preserve">and </w:t>
      </w:r>
      <w:r w:rsidRPr="007F5352">
        <w:t xml:space="preserve">protocols </w:t>
      </w:r>
      <w:r>
        <w:t xml:space="preserve">that </w:t>
      </w:r>
      <w:r w:rsidRPr="007F5352">
        <w:t xml:space="preserve">have been used successfully on previous </w:t>
      </w:r>
      <w:r>
        <w:t xml:space="preserve">studies. </w:t>
      </w:r>
      <w:r w:rsidRPr="009C76E1">
        <w:t>The pretests assess</w:t>
      </w:r>
      <w:r>
        <w:t>ed</w:t>
      </w:r>
      <w:r w:rsidRPr="009C76E1">
        <w:t xml:space="preserve"> the content and wording of individual questions, the organization and format of the questionnaire, respondent burden time, and potent</w:t>
      </w:r>
      <w:r>
        <w:t xml:space="preserve">ial sources of response error. </w:t>
      </w:r>
      <w:r w:rsidRPr="009C76E1">
        <w:t>Most of the survey questions have had prior OMB approval and have been administere</w:t>
      </w:r>
      <w:r>
        <w:t xml:space="preserve">d to many respondents already. </w:t>
      </w:r>
      <w:r w:rsidRPr="009C76E1">
        <w:t>We pilot</w:t>
      </w:r>
      <w:r>
        <w:t>ed</w:t>
      </w:r>
      <w:r w:rsidRPr="009C76E1">
        <w:t xml:space="preserve"> instruments that </w:t>
      </w:r>
      <w:r>
        <w:t>we</w:t>
      </w:r>
      <w:r w:rsidRPr="009C76E1">
        <w:t xml:space="preserve">re new, that </w:t>
      </w:r>
      <w:r>
        <w:t>we</w:t>
      </w:r>
      <w:r w:rsidRPr="009C76E1">
        <w:t>re adaptations and extensions of existing ones, that ha</w:t>
      </w:r>
      <w:r>
        <w:t>d</w:t>
      </w:r>
      <w:r w:rsidRPr="009C76E1">
        <w:t xml:space="preserve"> limited information on reliability and validity for the population in this study, and for which we wish</w:t>
      </w:r>
      <w:r>
        <w:t>ed</w:t>
      </w:r>
      <w:r w:rsidRPr="009C76E1">
        <w:t xml:space="preserve"> to examine how measures perf</w:t>
      </w:r>
      <w:r>
        <w:t xml:space="preserve">orm when combined with others. </w:t>
      </w:r>
      <w:r w:rsidRPr="009C76E1">
        <w:t xml:space="preserve">Each of the pilot tests </w:t>
      </w:r>
      <w:r>
        <w:t>were</w:t>
      </w:r>
      <w:r w:rsidRPr="009C76E1">
        <w:t xml:space="preserve"> conducted with </w:t>
      </w:r>
      <w:r>
        <w:t xml:space="preserve">no more than nine respondents, after which a member of the study team debriefed with each respondent over the telephone. </w:t>
      </w:r>
      <w:r w:rsidRPr="004479F9">
        <w:t xml:space="preserve">Results of the pilot testing are included in the memo in Appendix </w:t>
      </w:r>
      <w:r w:rsidR="00B77D37">
        <w:t>L</w:t>
      </w:r>
    </w:p>
    <w:p w:rsidR="00D11968" w:rsidRDefault="00AD2075">
      <w:pPr>
        <w:tabs>
          <w:tab w:val="clear" w:pos="432"/>
        </w:tabs>
        <w:spacing w:line="240" w:lineRule="auto"/>
        <w:ind w:firstLine="0"/>
        <w:jc w:val="left"/>
      </w:pPr>
      <w:r w:rsidRPr="004479F9">
        <w:t>.</w:t>
      </w:r>
      <w:r w:rsidR="00D11968">
        <w:br w:type="page"/>
      </w:r>
    </w:p>
    <w:p w:rsidR="00AD2075" w:rsidRPr="009C76E1" w:rsidRDefault="00AD2075" w:rsidP="008B16B7">
      <w:pPr>
        <w:tabs>
          <w:tab w:val="left" w:pos="720"/>
        </w:tabs>
        <w:spacing w:after="240" w:line="240" w:lineRule="auto"/>
        <w:ind w:firstLine="540"/>
      </w:pPr>
    </w:p>
    <w:p w:rsidR="00AD2075" w:rsidRPr="000606B2" w:rsidRDefault="00AD2075" w:rsidP="00D62E54">
      <w:pPr>
        <w:pStyle w:val="Heading3"/>
      </w:pPr>
      <w:bookmarkStart w:id="40" w:name="_Toc260298619"/>
      <w:bookmarkStart w:id="41" w:name="_Toc281317387"/>
      <w:r>
        <w:t>5</w:t>
      </w:r>
      <w:r w:rsidRPr="000606B2">
        <w:t>.</w:t>
      </w:r>
      <w:r w:rsidRPr="000606B2">
        <w:tab/>
      </w:r>
      <w:r>
        <w:t>Individuals Consulted on Statistical Aspects and Individuals Collecting and/or Analyzing Data</w:t>
      </w:r>
      <w:bookmarkEnd w:id="40"/>
      <w:bookmarkEnd w:id="41"/>
    </w:p>
    <w:p w:rsidR="00AD2075" w:rsidRPr="00F142FF" w:rsidRDefault="00AD2075" w:rsidP="00D62E54">
      <w:pPr>
        <w:pStyle w:val="ParagraphLAST"/>
        <w:spacing w:line="240" w:lineRule="auto"/>
      </w:pPr>
      <w:r w:rsidRPr="00F142FF">
        <w:t>The following individuals were consulted on the statistical aspects of the study:</w:t>
      </w:r>
    </w:p>
    <w:tbl>
      <w:tblPr>
        <w:tblW w:w="5000" w:type="pct"/>
        <w:tblBorders>
          <w:top w:val="single" w:sz="12" w:space="0" w:color="auto"/>
          <w:bottom w:val="single" w:sz="4" w:space="0" w:color="auto"/>
        </w:tblBorders>
        <w:tblLook w:val="00A0"/>
      </w:tblPr>
      <w:tblGrid>
        <w:gridCol w:w="2627"/>
        <w:gridCol w:w="4501"/>
        <w:gridCol w:w="2448"/>
      </w:tblGrid>
      <w:tr w:rsidR="00AD2075" w:rsidRPr="00F142FF" w:rsidTr="00206097">
        <w:tc>
          <w:tcPr>
            <w:tcW w:w="1372" w:type="pct"/>
            <w:tcBorders>
              <w:top w:val="single" w:sz="12" w:space="0" w:color="auto"/>
              <w:left w:val="nil"/>
              <w:bottom w:val="single" w:sz="4" w:space="0" w:color="auto"/>
              <w:right w:val="nil"/>
            </w:tcBorders>
          </w:tcPr>
          <w:p w:rsidR="00AD2075" w:rsidRPr="00F142FF" w:rsidRDefault="00AD2075" w:rsidP="00206097">
            <w:pPr>
              <w:pStyle w:val="TableText"/>
              <w:spacing w:before="120" w:after="60"/>
            </w:pPr>
            <w:r w:rsidRPr="00F142FF">
              <w:t>Name</w:t>
            </w:r>
          </w:p>
        </w:tc>
        <w:tc>
          <w:tcPr>
            <w:tcW w:w="2350" w:type="pct"/>
            <w:tcBorders>
              <w:top w:val="single" w:sz="12" w:space="0" w:color="auto"/>
              <w:left w:val="nil"/>
              <w:bottom w:val="single" w:sz="4" w:space="0" w:color="auto"/>
              <w:right w:val="nil"/>
            </w:tcBorders>
          </w:tcPr>
          <w:p w:rsidR="00AD2075" w:rsidRPr="00F142FF" w:rsidRDefault="00AD2075" w:rsidP="00206097">
            <w:pPr>
              <w:pStyle w:val="TableText"/>
              <w:spacing w:before="120" w:after="60"/>
            </w:pPr>
            <w:r w:rsidRPr="00F142FF">
              <w:t>Title</w:t>
            </w:r>
          </w:p>
        </w:tc>
        <w:tc>
          <w:tcPr>
            <w:tcW w:w="1278" w:type="pct"/>
            <w:tcBorders>
              <w:top w:val="single" w:sz="12" w:space="0" w:color="auto"/>
              <w:left w:val="nil"/>
              <w:bottom w:val="single" w:sz="4" w:space="0" w:color="auto"/>
              <w:right w:val="nil"/>
            </w:tcBorders>
          </w:tcPr>
          <w:p w:rsidR="00AD2075" w:rsidRPr="00F142FF" w:rsidRDefault="00AD2075" w:rsidP="00206097">
            <w:pPr>
              <w:pStyle w:val="TableText"/>
              <w:spacing w:before="120" w:after="60"/>
            </w:pPr>
            <w:r w:rsidRPr="00F142FF">
              <w:t>Telephone Number</w:t>
            </w:r>
          </w:p>
        </w:tc>
      </w:tr>
      <w:tr w:rsidR="00AD2075" w:rsidRPr="00F142FF" w:rsidTr="00206097">
        <w:tc>
          <w:tcPr>
            <w:tcW w:w="1372" w:type="pct"/>
            <w:tcBorders>
              <w:top w:val="single" w:sz="4" w:space="0" w:color="auto"/>
            </w:tcBorders>
          </w:tcPr>
          <w:p w:rsidR="00AD2075" w:rsidRPr="00F142FF" w:rsidRDefault="00AD2075" w:rsidP="00206097">
            <w:pPr>
              <w:pStyle w:val="TableText"/>
              <w:spacing w:before="120" w:after="60"/>
            </w:pPr>
            <w:r w:rsidRPr="00F142FF">
              <w:t>Philip Gleason</w:t>
            </w:r>
          </w:p>
        </w:tc>
        <w:tc>
          <w:tcPr>
            <w:tcW w:w="2350" w:type="pct"/>
            <w:tcBorders>
              <w:top w:val="single" w:sz="4" w:space="0" w:color="auto"/>
            </w:tcBorders>
          </w:tcPr>
          <w:p w:rsidR="00AD2075" w:rsidRPr="00F142FF" w:rsidRDefault="00AD2075" w:rsidP="00206097">
            <w:pPr>
              <w:pStyle w:val="TableText"/>
              <w:spacing w:before="120" w:after="60"/>
            </w:pPr>
            <w:r w:rsidRPr="00F142FF">
              <w:t xml:space="preserve">Senior Fellow, </w:t>
            </w:r>
            <w:r>
              <w:t>Mathematica</w:t>
            </w:r>
          </w:p>
        </w:tc>
        <w:tc>
          <w:tcPr>
            <w:tcW w:w="1278" w:type="pct"/>
            <w:tcBorders>
              <w:top w:val="single" w:sz="4" w:space="0" w:color="auto"/>
            </w:tcBorders>
          </w:tcPr>
          <w:p w:rsidR="00AD2075" w:rsidRPr="00F142FF" w:rsidRDefault="00AD2075" w:rsidP="00206097">
            <w:pPr>
              <w:pStyle w:val="TableText"/>
              <w:spacing w:before="120" w:after="60"/>
            </w:pPr>
            <w:r w:rsidRPr="00F142FF">
              <w:t>(315) 781-8495</w:t>
            </w:r>
          </w:p>
        </w:tc>
      </w:tr>
      <w:tr w:rsidR="00AD2075" w:rsidRPr="00F142FF" w:rsidTr="000B5D8F">
        <w:tc>
          <w:tcPr>
            <w:tcW w:w="1372" w:type="pct"/>
          </w:tcPr>
          <w:p w:rsidR="00AD2075" w:rsidRPr="00F142FF" w:rsidRDefault="00AD2075" w:rsidP="00206097">
            <w:pPr>
              <w:pStyle w:val="TableText"/>
              <w:spacing w:before="120" w:after="60"/>
            </w:pPr>
            <w:r w:rsidRPr="00F142FF">
              <w:t>Melissa Clark</w:t>
            </w:r>
          </w:p>
        </w:tc>
        <w:tc>
          <w:tcPr>
            <w:tcW w:w="2350" w:type="pct"/>
          </w:tcPr>
          <w:p w:rsidR="00AD2075" w:rsidRPr="00F142FF" w:rsidRDefault="00AD2075" w:rsidP="00206097">
            <w:pPr>
              <w:pStyle w:val="TableText"/>
              <w:spacing w:before="120" w:after="60"/>
            </w:pPr>
            <w:r w:rsidRPr="00F142FF">
              <w:t xml:space="preserve">Senior Researcher, </w:t>
            </w:r>
            <w:r>
              <w:t>Mathematica</w:t>
            </w:r>
          </w:p>
        </w:tc>
        <w:tc>
          <w:tcPr>
            <w:tcW w:w="1278" w:type="pct"/>
          </w:tcPr>
          <w:p w:rsidR="00AD2075" w:rsidRPr="00F142FF" w:rsidRDefault="00AD2075" w:rsidP="00206097">
            <w:pPr>
              <w:pStyle w:val="TableText"/>
              <w:spacing w:before="120" w:after="60"/>
            </w:pPr>
            <w:r w:rsidRPr="00F142FF">
              <w:t>(609) 750-3193</w:t>
            </w:r>
          </w:p>
        </w:tc>
      </w:tr>
      <w:tr w:rsidR="00AD2075" w:rsidRPr="00F142FF" w:rsidTr="000B5D8F">
        <w:tc>
          <w:tcPr>
            <w:tcW w:w="1372" w:type="pct"/>
          </w:tcPr>
          <w:p w:rsidR="00AD2075" w:rsidRPr="00F142FF" w:rsidRDefault="00AD2075" w:rsidP="00206097">
            <w:pPr>
              <w:pStyle w:val="TableText"/>
              <w:spacing w:before="120" w:after="60"/>
            </w:pPr>
            <w:r w:rsidRPr="00F142FF">
              <w:t>Dan Player</w:t>
            </w:r>
          </w:p>
        </w:tc>
        <w:tc>
          <w:tcPr>
            <w:tcW w:w="2350" w:type="pct"/>
          </w:tcPr>
          <w:p w:rsidR="00AD2075" w:rsidRPr="00F142FF" w:rsidRDefault="00AD2075" w:rsidP="00206097">
            <w:pPr>
              <w:pStyle w:val="TableText"/>
              <w:spacing w:before="120" w:after="60"/>
            </w:pPr>
            <w:r>
              <w:t xml:space="preserve">Senior </w:t>
            </w:r>
            <w:r w:rsidRPr="00F142FF">
              <w:t xml:space="preserve">Researcher, </w:t>
            </w:r>
            <w:r>
              <w:t>Mathematica</w:t>
            </w:r>
          </w:p>
        </w:tc>
        <w:tc>
          <w:tcPr>
            <w:tcW w:w="1278" w:type="pct"/>
          </w:tcPr>
          <w:p w:rsidR="00AD2075" w:rsidRPr="00F142FF" w:rsidRDefault="00AD2075" w:rsidP="00206097">
            <w:pPr>
              <w:pStyle w:val="TableText"/>
              <w:spacing w:before="120" w:after="60"/>
            </w:pPr>
            <w:r w:rsidRPr="00F142FF">
              <w:t>(609) 945-3368</w:t>
            </w:r>
          </w:p>
        </w:tc>
      </w:tr>
      <w:tr w:rsidR="00AD2075" w:rsidRPr="00F142FF" w:rsidTr="000B5D8F">
        <w:tc>
          <w:tcPr>
            <w:tcW w:w="1372" w:type="pct"/>
          </w:tcPr>
          <w:p w:rsidR="00AD2075" w:rsidRPr="00F142FF" w:rsidRDefault="00AD2075" w:rsidP="00206097">
            <w:pPr>
              <w:pStyle w:val="TableText"/>
              <w:spacing w:before="120" w:after="60"/>
            </w:pPr>
            <w:r w:rsidRPr="00F142FF">
              <w:t>Allison McKie</w:t>
            </w:r>
            <w:r w:rsidR="009204E1">
              <w:t xml:space="preserve"> Seifullah</w:t>
            </w:r>
          </w:p>
        </w:tc>
        <w:tc>
          <w:tcPr>
            <w:tcW w:w="2350" w:type="pct"/>
          </w:tcPr>
          <w:p w:rsidR="00AD2075" w:rsidRPr="00F142FF" w:rsidRDefault="009204E1" w:rsidP="00206097">
            <w:pPr>
              <w:pStyle w:val="TableText"/>
              <w:spacing w:before="120" w:after="60"/>
            </w:pPr>
            <w:r>
              <w:t xml:space="preserve">Senior </w:t>
            </w:r>
            <w:r w:rsidR="00AD2075" w:rsidRPr="00F142FF">
              <w:t xml:space="preserve">Researcher, </w:t>
            </w:r>
            <w:r w:rsidR="00AD2075">
              <w:t>Mathematica</w:t>
            </w:r>
          </w:p>
        </w:tc>
        <w:tc>
          <w:tcPr>
            <w:tcW w:w="1278" w:type="pct"/>
          </w:tcPr>
          <w:p w:rsidR="00AD2075" w:rsidRPr="00F142FF" w:rsidRDefault="00AD2075" w:rsidP="00206097">
            <w:pPr>
              <w:pStyle w:val="TableText"/>
              <w:spacing w:before="120" w:after="60"/>
            </w:pPr>
            <w:r w:rsidRPr="000B5D8F">
              <w:rPr>
                <w:color w:val="000000"/>
              </w:rPr>
              <w:t>(202) 484-4681</w:t>
            </w:r>
          </w:p>
        </w:tc>
      </w:tr>
      <w:tr w:rsidR="00AD2075" w:rsidRPr="00F142FF" w:rsidTr="000B5D8F">
        <w:tc>
          <w:tcPr>
            <w:tcW w:w="1372" w:type="pct"/>
            <w:tcBorders>
              <w:bottom w:val="single" w:sz="4" w:space="0" w:color="auto"/>
            </w:tcBorders>
          </w:tcPr>
          <w:p w:rsidR="00AD2075" w:rsidRPr="00F142FF" w:rsidRDefault="00AD2075" w:rsidP="00206097">
            <w:pPr>
              <w:pStyle w:val="TableText"/>
              <w:spacing w:before="120" w:after="60"/>
            </w:pPr>
            <w:r w:rsidRPr="00F142FF">
              <w:t>Heinrich Hoch</w:t>
            </w:r>
          </w:p>
        </w:tc>
        <w:tc>
          <w:tcPr>
            <w:tcW w:w="2350" w:type="pct"/>
            <w:tcBorders>
              <w:bottom w:val="single" w:sz="4" w:space="0" w:color="auto"/>
            </w:tcBorders>
          </w:tcPr>
          <w:p w:rsidR="00AD2075" w:rsidRPr="00F142FF" w:rsidRDefault="00AD2075" w:rsidP="00206097">
            <w:pPr>
              <w:pStyle w:val="TableText"/>
              <w:spacing w:before="120" w:after="60"/>
            </w:pPr>
            <w:r w:rsidRPr="00F142FF">
              <w:t xml:space="preserve">Researcher, </w:t>
            </w:r>
            <w:r>
              <w:t>Mathematica</w:t>
            </w:r>
          </w:p>
        </w:tc>
        <w:tc>
          <w:tcPr>
            <w:tcW w:w="1278" w:type="pct"/>
            <w:tcBorders>
              <w:bottom w:val="single" w:sz="4" w:space="0" w:color="auto"/>
            </w:tcBorders>
          </w:tcPr>
          <w:p w:rsidR="00AD2075" w:rsidRPr="00F142FF" w:rsidRDefault="00AD2075" w:rsidP="00206097">
            <w:pPr>
              <w:pStyle w:val="TableText"/>
              <w:spacing w:before="120" w:after="60"/>
            </w:pPr>
            <w:r w:rsidRPr="000B5D8F">
              <w:rPr>
                <w:color w:val="000000"/>
              </w:rPr>
              <w:t>(202) 250-3557</w:t>
            </w:r>
          </w:p>
        </w:tc>
      </w:tr>
    </w:tbl>
    <w:p w:rsidR="00D11968" w:rsidRDefault="00D11968" w:rsidP="00D62E54">
      <w:pPr>
        <w:pStyle w:val="ParagraphLAST"/>
        <w:spacing w:line="240" w:lineRule="auto"/>
      </w:pPr>
    </w:p>
    <w:p w:rsidR="00AD2075" w:rsidRPr="00F142FF" w:rsidRDefault="00AD2075" w:rsidP="00D62E54">
      <w:pPr>
        <w:pStyle w:val="ParagraphLAST"/>
        <w:spacing w:line="240" w:lineRule="auto"/>
      </w:pPr>
      <w:r w:rsidRPr="00F142FF">
        <w:t xml:space="preserve">The following individuals will be responsible for data collection and analysis for this </w:t>
      </w:r>
      <w:r>
        <w:t>study</w:t>
      </w:r>
      <w:r w:rsidRPr="00F142FF">
        <w:t>:</w:t>
      </w:r>
    </w:p>
    <w:tbl>
      <w:tblPr>
        <w:tblW w:w="5000" w:type="pct"/>
        <w:tblBorders>
          <w:top w:val="single" w:sz="12" w:space="0" w:color="auto"/>
          <w:bottom w:val="single" w:sz="4" w:space="0" w:color="auto"/>
        </w:tblBorders>
        <w:tblLook w:val="00A0"/>
      </w:tblPr>
      <w:tblGrid>
        <w:gridCol w:w="2619"/>
        <w:gridCol w:w="4546"/>
        <w:gridCol w:w="2411"/>
      </w:tblGrid>
      <w:tr w:rsidR="00AD2075" w:rsidRPr="00F142FF" w:rsidTr="00206097">
        <w:trPr>
          <w:tblHeader/>
        </w:trPr>
        <w:tc>
          <w:tcPr>
            <w:tcW w:w="1367" w:type="pct"/>
            <w:tcBorders>
              <w:top w:val="single" w:sz="12" w:space="0" w:color="auto"/>
              <w:left w:val="nil"/>
              <w:bottom w:val="single" w:sz="4" w:space="0" w:color="auto"/>
              <w:right w:val="nil"/>
            </w:tcBorders>
          </w:tcPr>
          <w:p w:rsidR="00AD2075" w:rsidRPr="00DD355A" w:rsidRDefault="00AD2075" w:rsidP="00206097">
            <w:pPr>
              <w:pStyle w:val="TableText"/>
              <w:spacing w:before="120" w:after="60"/>
            </w:pPr>
            <w:r w:rsidRPr="00DD355A">
              <w:t>Name</w:t>
            </w:r>
          </w:p>
        </w:tc>
        <w:tc>
          <w:tcPr>
            <w:tcW w:w="2373" w:type="pct"/>
            <w:tcBorders>
              <w:top w:val="single" w:sz="12" w:space="0" w:color="auto"/>
              <w:left w:val="nil"/>
              <w:bottom w:val="single" w:sz="4" w:space="0" w:color="auto"/>
              <w:right w:val="nil"/>
            </w:tcBorders>
          </w:tcPr>
          <w:p w:rsidR="00AD2075" w:rsidRPr="008B16B7" w:rsidRDefault="00AD2075" w:rsidP="00206097">
            <w:pPr>
              <w:pStyle w:val="TableText"/>
              <w:spacing w:before="120" w:after="60"/>
            </w:pPr>
            <w:r w:rsidRPr="008B16B7">
              <w:t>Title</w:t>
            </w:r>
          </w:p>
        </w:tc>
        <w:tc>
          <w:tcPr>
            <w:tcW w:w="1259" w:type="pct"/>
            <w:tcBorders>
              <w:top w:val="single" w:sz="12" w:space="0" w:color="auto"/>
              <w:left w:val="nil"/>
              <w:bottom w:val="single" w:sz="4" w:space="0" w:color="auto"/>
              <w:right w:val="nil"/>
            </w:tcBorders>
          </w:tcPr>
          <w:p w:rsidR="00AD2075" w:rsidRPr="008B16B7" w:rsidRDefault="00AD2075" w:rsidP="00206097">
            <w:pPr>
              <w:pStyle w:val="TableText"/>
              <w:spacing w:before="120" w:after="60"/>
            </w:pPr>
            <w:r w:rsidRPr="008B16B7">
              <w:t>Telephone Number</w:t>
            </w:r>
          </w:p>
        </w:tc>
      </w:tr>
      <w:tr w:rsidR="00AD2075" w:rsidRPr="00F142FF" w:rsidTr="00206097">
        <w:tc>
          <w:tcPr>
            <w:tcW w:w="1367" w:type="pct"/>
            <w:tcBorders>
              <w:top w:val="single" w:sz="4" w:space="0" w:color="auto"/>
            </w:tcBorders>
          </w:tcPr>
          <w:p w:rsidR="00AD2075" w:rsidRPr="008B16B7" w:rsidRDefault="00AD2075" w:rsidP="00206097">
            <w:pPr>
              <w:pStyle w:val="TableText"/>
              <w:spacing w:before="120" w:after="60"/>
            </w:pPr>
            <w:r w:rsidRPr="008B16B7">
              <w:t>Philip Gleason</w:t>
            </w:r>
          </w:p>
        </w:tc>
        <w:tc>
          <w:tcPr>
            <w:tcW w:w="2373" w:type="pct"/>
            <w:tcBorders>
              <w:top w:val="single" w:sz="4" w:space="0" w:color="auto"/>
            </w:tcBorders>
          </w:tcPr>
          <w:p w:rsidR="00AD2075" w:rsidRPr="008B16B7" w:rsidRDefault="00AD2075" w:rsidP="00206097">
            <w:pPr>
              <w:pStyle w:val="TableText"/>
              <w:spacing w:before="120" w:after="60"/>
            </w:pPr>
            <w:r w:rsidRPr="008B16B7">
              <w:t>Senior Fellow, Mathematica</w:t>
            </w:r>
          </w:p>
        </w:tc>
        <w:tc>
          <w:tcPr>
            <w:tcW w:w="1259" w:type="pct"/>
            <w:tcBorders>
              <w:top w:val="single" w:sz="4" w:space="0" w:color="auto"/>
            </w:tcBorders>
          </w:tcPr>
          <w:p w:rsidR="00AD2075" w:rsidRPr="008B16B7" w:rsidRDefault="00AD2075" w:rsidP="00206097">
            <w:pPr>
              <w:pStyle w:val="TableText"/>
              <w:spacing w:before="120" w:after="60"/>
            </w:pPr>
            <w:r w:rsidRPr="008B16B7">
              <w:t>(315) 781-8495</w:t>
            </w:r>
          </w:p>
        </w:tc>
      </w:tr>
      <w:tr w:rsidR="00AD2075" w:rsidRPr="00F142FF" w:rsidTr="000B5D8F">
        <w:tc>
          <w:tcPr>
            <w:tcW w:w="1367" w:type="pct"/>
          </w:tcPr>
          <w:p w:rsidR="00AD2075" w:rsidRPr="008B16B7" w:rsidRDefault="00AD2075" w:rsidP="00206097">
            <w:pPr>
              <w:pStyle w:val="TableText"/>
              <w:spacing w:before="120" w:after="60"/>
            </w:pPr>
            <w:r w:rsidRPr="008B16B7">
              <w:t>Timothy Silva</w:t>
            </w:r>
          </w:p>
        </w:tc>
        <w:tc>
          <w:tcPr>
            <w:tcW w:w="2373" w:type="pct"/>
          </w:tcPr>
          <w:p w:rsidR="00AD2075" w:rsidRPr="008B16B7" w:rsidRDefault="00AD2075" w:rsidP="00206097">
            <w:pPr>
              <w:pStyle w:val="TableText"/>
              <w:spacing w:before="120" w:after="60"/>
            </w:pPr>
            <w:r w:rsidRPr="008B16B7">
              <w:t>Senior Researcher, Mathematica</w:t>
            </w:r>
          </w:p>
        </w:tc>
        <w:tc>
          <w:tcPr>
            <w:tcW w:w="1259" w:type="pct"/>
          </w:tcPr>
          <w:p w:rsidR="00AD2075" w:rsidRPr="008B16B7" w:rsidRDefault="00AD2075" w:rsidP="00206097">
            <w:pPr>
              <w:pStyle w:val="TableText"/>
              <w:spacing w:before="120" w:after="60"/>
            </w:pPr>
            <w:r w:rsidRPr="008B16B7">
              <w:t>(202) 484-5267</w:t>
            </w:r>
          </w:p>
        </w:tc>
      </w:tr>
      <w:tr w:rsidR="00AD2075" w:rsidRPr="00F142FF" w:rsidTr="000B5D8F">
        <w:tc>
          <w:tcPr>
            <w:tcW w:w="1367" w:type="pct"/>
          </w:tcPr>
          <w:p w:rsidR="00AD2075" w:rsidRPr="008B16B7" w:rsidRDefault="0067510B" w:rsidP="00206097">
            <w:pPr>
              <w:pStyle w:val="TableText"/>
              <w:spacing w:before="120" w:after="60"/>
            </w:pPr>
            <w:r>
              <w:t>Melissa Thomas</w:t>
            </w:r>
          </w:p>
        </w:tc>
        <w:tc>
          <w:tcPr>
            <w:tcW w:w="2373" w:type="pct"/>
          </w:tcPr>
          <w:p w:rsidR="00AD2075" w:rsidRPr="008B16B7" w:rsidRDefault="00AD2075" w:rsidP="00206097">
            <w:pPr>
              <w:pStyle w:val="TableText"/>
              <w:spacing w:before="120" w:after="60"/>
            </w:pPr>
            <w:r w:rsidRPr="008B16B7">
              <w:t>Senior Survey Researcher, Mathematica</w:t>
            </w:r>
          </w:p>
        </w:tc>
        <w:tc>
          <w:tcPr>
            <w:tcW w:w="1259" w:type="pct"/>
          </w:tcPr>
          <w:p w:rsidR="00AD2075" w:rsidRPr="008B16B7" w:rsidRDefault="00AD2075" w:rsidP="00206097">
            <w:pPr>
              <w:pStyle w:val="TableText"/>
              <w:spacing w:before="120" w:after="60"/>
            </w:pPr>
            <w:r w:rsidRPr="008B16B7">
              <w:t>(</w:t>
            </w:r>
            <w:r w:rsidR="0067510B">
              <w:t>202</w:t>
            </w:r>
            <w:r w:rsidRPr="008B16B7">
              <w:t xml:space="preserve">) </w:t>
            </w:r>
            <w:r w:rsidR="0067510B">
              <w:t>484</w:t>
            </w:r>
            <w:r w:rsidRPr="008B16B7">
              <w:t>-</w:t>
            </w:r>
            <w:r w:rsidR="0067510B">
              <w:t>3478</w:t>
            </w:r>
          </w:p>
        </w:tc>
      </w:tr>
      <w:tr w:rsidR="00AD2075" w:rsidRPr="00F142FF" w:rsidTr="000B5D8F">
        <w:tc>
          <w:tcPr>
            <w:tcW w:w="1367" w:type="pct"/>
          </w:tcPr>
          <w:p w:rsidR="00AD2075" w:rsidRPr="008B16B7" w:rsidRDefault="00AD2075" w:rsidP="00206097">
            <w:pPr>
              <w:pStyle w:val="TableText"/>
              <w:spacing w:before="120" w:after="60"/>
            </w:pPr>
            <w:r w:rsidRPr="008B16B7">
              <w:t>Mary Grider</w:t>
            </w:r>
          </w:p>
        </w:tc>
        <w:tc>
          <w:tcPr>
            <w:tcW w:w="2373" w:type="pct"/>
          </w:tcPr>
          <w:p w:rsidR="00AD2075" w:rsidRPr="008B16B7" w:rsidRDefault="00AD2075" w:rsidP="00206097">
            <w:pPr>
              <w:pStyle w:val="TableText"/>
              <w:spacing w:before="120" w:after="60"/>
            </w:pPr>
            <w:r w:rsidRPr="008B16B7">
              <w:t>Senior Systems Analyst, Mathematica</w:t>
            </w:r>
          </w:p>
        </w:tc>
        <w:tc>
          <w:tcPr>
            <w:tcW w:w="1259" w:type="pct"/>
          </w:tcPr>
          <w:p w:rsidR="00AD2075" w:rsidRPr="008B16B7" w:rsidRDefault="00AD2075" w:rsidP="00206097">
            <w:pPr>
              <w:pStyle w:val="TableText"/>
              <w:spacing w:before="120" w:after="60"/>
            </w:pPr>
            <w:r w:rsidRPr="008B16B7">
              <w:t>(202) 484-4820</w:t>
            </w:r>
          </w:p>
        </w:tc>
      </w:tr>
      <w:tr w:rsidR="00AD2075" w:rsidRPr="00F142FF" w:rsidTr="000B5D8F">
        <w:tc>
          <w:tcPr>
            <w:tcW w:w="1367" w:type="pct"/>
          </w:tcPr>
          <w:p w:rsidR="00AD2075" w:rsidRPr="008B16B7" w:rsidRDefault="00AD2075" w:rsidP="00206097">
            <w:pPr>
              <w:pStyle w:val="TableText"/>
              <w:spacing w:before="120" w:after="60"/>
            </w:pPr>
            <w:r w:rsidRPr="008B16B7">
              <w:t>Annette Luyegu</w:t>
            </w:r>
          </w:p>
        </w:tc>
        <w:tc>
          <w:tcPr>
            <w:tcW w:w="2373" w:type="pct"/>
          </w:tcPr>
          <w:p w:rsidR="00AD2075" w:rsidRPr="008B16B7" w:rsidRDefault="00AD2075" w:rsidP="00206097">
            <w:pPr>
              <w:pStyle w:val="TableText"/>
              <w:spacing w:before="120" w:after="60"/>
            </w:pPr>
            <w:r w:rsidRPr="008B16B7">
              <w:t>Survey Researcher, Mathematica</w:t>
            </w:r>
          </w:p>
        </w:tc>
        <w:tc>
          <w:tcPr>
            <w:tcW w:w="1259" w:type="pct"/>
          </w:tcPr>
          <w:p w:rsidR="00AD2075" w:rsidRPr="008B16B7" w:rsidRDefault="00AD2075" w:rsidP="00206097">
            <w:pPr>
              <w:pStyle w:val="TableText"/>
              <w:spacing w:before="120" w:after="60"/>
            </w:pPr>
            <w:r w:rsidRPr="008B16B7">
              <w:t>(202) 264-3463</w:t>
            </w:r>
          </w:p>
        </w:tc>
      </w:tr>
      <w:tr w:rsidR="00AD2075" w:rsidRPr="00F142FF" w:rsidTr="000B5D8F">
        <w:tc>
          <w:tcPr>
            <w:tcW w:w="1367" w:type="pct"/>
          </w:tcPr>
          <w:p w:rsidR="00AD2075" w:rsidRPr="008B16B7" w:rsidRDefault="00AD2075" w:rsidP="00206097">
            <w:pPr>
              <w:pStyle w:val="TableText"/>
              <w:spacing w:before="120" w:after="60"/>
            </w:pPr>
            <w:r w:rsidRPr="008B16B7">
              <w:t>Linda Mendenko</w:t>
            </w:r>
          </w:p>
        </w:tc>
        <w:tc>
          <w:tcPr>
            <w:tcW w:w="2373" w:type="pct"/>
          </w:tcPr>
          <w:p w:rsidR="00AD2075" w:rsidRPr="008B16B7" w:rsidRDefault="00AD2075" w:rsidP="00206097">
            <w:pPr>
              <w:pStyle w:val="TableText"/>
              <w:spacing w:before="120" w:after="60"/>
            </w:pPr>
            <w:r w:rsidRPr="008B16B7">
              <w:t>Survey Researcher, Mathematica</w:t>
            </w:r>
          </w:p>
        </w:tc>
        <w:tc>
          <w:tcPr>
            <w:tcW w:w="1259" w:type="pct"/>
          </w:tcPr>
          <w:p w:rsidR="00AD2075" w:rsidRPr="008B16B7" w:rsidRDefault="00AD2075" w:rsidP="00206097">
            <w:pPr>
              <w:pStyle w:val="TableText"/>
              <w:spacing w:before="120" w:after="60"/>
            </w:pPr>
            <w:r w:rsidRPr="008B16B7">
              <w:t>(609) 275-2329</w:t>
            </w:r>
          </w:p>
        </w:tc>
      </w:tr>
      <w:tr w:rsidR="00AD2075" w:rsidRPr="00F142FF" w:rsidTr="000B5D8F">
        <w:tc>
          <w:tcPr>
            <w:tcW w:w="1367" w:type="pct"/>
          </w:tcPr>
          <w:p w:rsidR="00AD2075" w:rsidRPr="008B16B7" w:rsidRDefault="00AD2075" w:rsidP="00206097">
            <w:pPr>
              <w:pStyle w:val="TableText"/>
              <w:spacing w:before="120" w:after="60"/>
            </w:pPr>
            <w:r w:rsidRPr="008B16B7">
              <w:t>Dan Player</w:t>
            </w:r>
          </w:p>
        </w:tc>
        <w:tc>
          <w:tcPr>
            <w:tcW w:w="2373" w:type="pct"/>
          </w:tcPr>
          <w:p w:rsidR="00AD2075" w:rsidRPr="008B16B7" w:rsidRDefault="009204E1" w:rsidP="00206097">
            <w:pPr>
              <w:pStyle w:val="TableText"/>
              <w:spacing w:before="120" w:after="60"/>
            </w:pPr>
            <w:r>
              <w:t xml:space="preserve">Senior </w:t>
            </w:r>
            <w:r w:rsidR="00AD2075" w:rsidRPr="008B16B7">
              <w:t>Researcher, Mathematica</w:t>
            </w:r>
          </w:p>
        </w:tc>
        <w:tc>
          <w:tcPr>
            <w:tcW w:w="1259" w:type="pct"/>
          </w:tcPr>
          <w:p w:rsidR="00AD2075" w:rsidRPr="008B16B7" w:rsidRDefault="00AD2075" w:rsidP="00206097">
            <w:pPr>
              <w:pStyle w:val="TableText"/>
              <w:spacing w:before="120" w:after="60"/>
            </w:pPr>
            <w:r w:rsidRPr="008B16B7">
              <w:t>(609) 945-3368</w:t>
            </w:r>
          </w:p>
        </w:tc>
      </w:tr>
      <w:tr w:rsidR="00AD2075" w:rsidRPr="00F142FF" w:rsidTr="00206097">
        <w:tc>
          <w:tcPr>
            <w:tcW w:w="1367" w:type="pct"/>
            <w:tcBorders>
              <w:bottom w:val="nil"/>
            </w:tcBorders>
          </w:tcPr>
          <w:p w:rsidR="00AD2075" w:rsidRPr="008B16B7" w:rsidRDefault="00AD2075" w:rsidP="00206097">
            <w:pPr>
              <w:pStyle w:val="TableText"/>
              <w:spacing w:before="120" w:after="60"/>
            </w:pPr>
            <w:r w:rsidRPr="008B16B7">
              <w:t>Allison McKie</w:t>
            </w:r>
          </w:p>
        </w:tc>
        <w:tc>
          <w:tcPr>
            <w:tcW w:w="2373" w:type="pct"/>
            <w:tcBorders>
              <w:bottom w:val="nil"/>
            </w:tcBorders>
          </w:tcPr>
          <w:p w:rsidR="00AD2075" w:rsidRPr="008B16B7" w:rsidRDefault="009204E1" w:rsidP="00206097">
            <w:pPr>
              <w:pStyle w:val="TableText"/>
              <w:spacing w:before="120" w:after="60"/>
            </w:pPr>
            <w:r>
              <w:t xml:space="preserve">Senior </w:t>
            </w:r>
            <w:r w:rsidR="00AD2075" w:rsidRPr="008B16B7">
              <w:t>Researcher, Mathematica</w:t>
            </w:r>
          </w:p>
        </w:tc>
        <w:tc>
          <w:tcPr>
            <w:tcW w:w="1259" w:type="pct"/>
            <w:tcBorders>
              <w:bottom w:val="nil"/>
            </w:tcBorders>
          </w:tcPr>
          <w:p w:rsidR="00AD2075" w:rsidRPr="008B16B7" w:rsidRDefault="00AD2075" w:rsidP="00206097">
            <w:pPr>
              <w:pStyle w:val="TableText"/>
              <w:spacing w:before="120" w:after="60"/>
            </w:pPr>
            <w:r w:rsidRPr="008B16B7">
              <w:t>(202) 484-4681</w:t>
            </w:r>
          </w:p>
        </w:tc>
      </w:tr>
      <w:tr w:rsidR="00AD2075" w:rsidRPr="00F142FF" w:rsidTr="00206097">
        <w:tc>
          <w:tcPr>
            <w:tcW w:w="1367" w:type="pct"/>
            <w:tcBorders>
              <w:top w:val="nil"/>
              <w:bottom w:val="single" w:sz="4" w:space="0" w:color="auto"/>
            </w:tcBorders>
          </w:tcPr>
          <w:p w:rsidR="00AD2075" w:rsidRPr="008B16B7" w:rsidRDefault="00AD2075" w:rsidP="00206097">
            <w:pPr>
              <w:pStyle w:val="TableText"/>
              <w:spacing w:before="120" w:after="60"/>
            </w:pPr>
            <w:r w:rsidRPr="008B16B7">
              <w:t>Christina Clark Tuttle</w:t>
            </w:r>
          </w:p>
        </w:tc>
        <w:tc>
          <w:tcPr>
            <w:tcW w:w="2373" w:type="pct"/>
            <w:tcBorders>
              <w:top w:val="nil"/>
              <w:bottom w:val="single" w:sz="4" w:space="0" w:color="auto"/>
            </w:tcBorders>
          </w:tcPr>
          <w:p w:rsidR="00AD2075" w:rsidRPr="008B16B7" w:rsidRDefault="00AD2075" w:rsidP="00206097">
            <w:pPr>
              <w:pStyle w:val="TableText"/>
              <w:spacing w:before="120" w:after="60"/>
            </w:pPr>
            <w:r w:rsidRPr="008B16B7">
              <w:t>Researcher, Mathematica</w:t>
            </w:r>
          </w:p>
        </w:tc>
        <w:tc>
          <w:tcPr>
            <w:tcW w:w="1259" w:type="pct"/>
            <w:tcBorders>
              <w:top w:val="nil"/>
              <w:bottom w:val="single" w:sz="4" w:space="0" w:color="auto"/>
            </w:tcBorders>
          </w:tcPr>
          <w:p w:rsidR="00AD2075" w:rsidRPr="008B16B7" w:rsidRDefault="00AD2075" w:rsidP="00206097">
            <w:pPr>
              <w:pStyle w:val="TableText"/>
              <w:spacing w:before="120" w:after="60"/>
            </w:pPr>
            <w:r w:rsidRPr="008B16B7">
              <w:t>(202) 554-7570</w:t>
            </w:r>
          </w:p>
        </w:tc>
      </w:tr>
    </w:tbl>
    <w:p w:rsidR="00AD2075" w:rsidRDefault="00AD2075" w:rsidP="00D62E54">
      <w:pPr>
        <w:spacing w:line="240" w:lineRule="auto"/>
        <w:jc w:val="center"/>
        <w:rPr>
          <w:rFonts w:cs="LucidaSans-Demi"/>
          <w:b/>
        </w:rPr>
      </w:pPr>
    </w:p>
    <w:p w:rsidR="00206097" w:rsidRDefault="00206097" w:rsidP="00D62E54">
      <w:pPr>
        <w:spacing w:line="240" w:lineRule="auto"/>
        <w:jc w:val="center"/>
        <w:rPr>
          <w:rFonts w:cs="LucidaSans-Demi"/>
          <w:b/>
        </w:rPr>
      </w:pPr>
    </w:p>
    <w:p w:rsidR="00206097" w:rsidRDefault="00206097" w:rsidP="00D62E54">
      <w:pPr>
        <w:spacing w:line="240" w:lineRule="auto"/>
        <w:jc w:val="center"/>
        <w:rPr>
          <w:rFonts w:cs="LucidaSans-Demi"/>
          <w:b/>
        </w:rPr>
        <w:sectPr w:rsidR="00206097" w:rsidSect="00B876A4">
          <w:headerReference w:type="default" r:id="rId32"/>
          <w:footerReference w:type="default" r:id="rId33"/>
          <w:endnotePr>
            <w:numFmt w:val="decimal"/>
          </w:endnotePr>
          <w:pgSz w:w="12240" w:h="15840" w:code="1"/>
          <w:pgMar w:top="1440" w:right="1440" w:bottom="576" w:left="1440" w:header="720" w:footer="576" w:gutter="0"/>
          <w:pgNumType w:start="1"/>
          <w:cols w:space="720"/>
          <w:docGrid w:linePitch="326"/>
        </w:sectPr>
      </w:pPr>
    </w:p>
    <w:p w:rsidR="00AD2075" w:rsidRDefault="00AD2075" w:rsidP="00752400">
      <w:pPr>
        <w:pStyle w:val="Heading1Black"/>
      </w:pPr>
      <w:bookmarkStart w:id="42" w:name="_Toc260298620"/>
      <w:bookmarkStart w:id="43" w:name="_Toc281317388"/>
      <w:r w:rsidRPr="007F42D0">
        <w:lastRenderedPageBreak/>
        <w:t>REFERENCES</w:t>
      </w:r>
      <w:bookmarkEnd w:id="42"/>
      <w:bookmarkEnd w:id="43"/>
    </w:p>
    <w:p w:rsidR="00AD2075" w:rsidRPr="00752400" w:rsidRDefault="00AD2075" w:rsidP="00752400">
      <w:pPr>
        <w:pStyle w:val="References"/>
      </w:pPr>
      <w:proofErr w:type="gramStart"/>
      <w:r w:rsidRPr="005A2E77">
        <w:t>Agodini</w:t>
      </w:r>
      <w:r w:rsidRPr="00752400">
        <w:t>, Roberto, and Dynarski, Mark.</w:t>
      </w:r>
      <w:proofErr w:type="gramEnd"/>
      <w:r w:rsidRPr="00752400">
        <w:t xml:space="preserve"> “Are Experiments the Only Option?” The Review of Economics and Statistics, vol. 86, no. 1, February 2004, pp. 180–194.</w:t>
      </w:r>
    </w:p>
    <w:p w:rsidR="00AD2075" w:rsidRPr="00752400" w:rsidRDefault="00AD2075" w:rsidP="00752400">
      <w:pPr>
        <w:pStyle w:val="References"/>
      </w:pPr>
      <w:proofErr w:type="gramStart"/>
      <w:r w:rsidRPr="005A2E77">
        <w:t>Angrist</w:t>
      </w:r>
      <w:r w:rsidRPr="00752400">
        <w:t>, J., G. Imbens, and D. Rubin.</w:t>
      </w:r>
      <w:proofErr w:type="gramEnd"/>
      <w:r w:rsidRPr="00752400">
        <w:t xml:space="preserve"> </w:t>
      </w:r>
      <w:proofErr w:type="gramStart"/>
      <w:r w:rsidRPr="00752400">
        <w:t>“Identification of Causal Effects Using Instrumental Variables.”</w:t>
      </w:r>
      <w:proofErr w:type="gramEnd"/>
      <w:r w:rsidRPr="00752400">
        <w:t xml:space="preserve"> Journal of the American Statistical Association, vol. 91, no. 434, 1996, pp. 444–445.</w:t>
      </w:r>
    </w:p>
    <w:p w:rsidR="00AD2075" w:rsidRPr="00752400" w:rsidRDefault="00AD2075" w:rsidP="00752400">
      <w:pPr>
        <w:pStyle w:val="References"/>
      </w:pPr>
      <w:proofErr w:type="gramStart"/>
      <w:r w:rsidRPr="005A2E77">
        <w:t>Campbell</w:t>
      </w:r>
      <w:r w:rsidRPr="00752400">
        <w:t>, M.J., S.A. Julious, and D.G. Altman.</w:t>
      </w:r>
      <w:proofErr w:type="gramEnd"/>
      <w:r w:rsidRPr="00752400">
        <w:t xml:space="preserve"> “Estimating Sample Sizes for Binary, Ordered Categorical, and Continuous Outcomes in Two Group Comparisons.” </w:t>
      </w:r>
      <w:r w:rsidRPr="00752400">
        <w:rPr>
          <w:rFonts w:cs="Garamond-Italic"/>
          <w:i/>
          <w:iCs/>
        </w:rPr>
        <w:t>BMJ</w:t>
      </w:r>
      <w:r w:rsidRPr="00752400">
        <w:t>, vol. 311, no. 7013, 1995, pp. 1145–1148.</w:t>
      </w:r>
    </w:p>
    <w:p w:rsidR="00AD2075" w:rsidRPr="00752400" w:rsidRDefault="00AD2075" w:rsidP="00752400">
      <w:pPr>
        <w:pStyle w:val="References"/>
      </w:pPr>
      <w:proofErr w:type="gramStart"/>
      <w:r w:rsidRPr="005A2E77">
        <w:t>Hanushek</w:t>
      </w:r>
      <w:r w:rsidRPr="00752400">
        <w:t>, Eric, John Kain, and Steven Rivkin.</w:t>
      </w:r>
      <w:proofErr w:type="gramEnd"/>
      <w:r w:rsidRPr="00752400">
        <w:t xml:space="preserve"> </w:t>
      </w:r>
      <w:proofErr w:type="gramStart"/>
      <w:r w:rsidRPr="00752400">
        <w:t>“The Market for Teacher Quality.”</w:t>
      </w:r>
      <w:proofErr w:type="gramEnd"/>
      <w:r w:rsidRPr="00752400">
        <w:t xml:space="preserve"> </w:t>
      </w:r>
      <w:proofErr w:type="gramStart"/>
      <w:r w:rsidRPr="00752400">
        <w:t>NBER Working Paper 11154.</w:t>
      </w:r>
      <w:proofErr w:type="gramEnd"/>
      <w:r w:rsidRPr="00752400">
        <w:t xml:space="preserve"> Cambridge, MA: National Bureau of Economic Research, 2005.</w:t>
      </w:r>
    </w:p>
    <w:p w:rsidR="00AD2075" w:rsidRPr="005B54F0" w:rsidRDefault="00AD2075" w:rsidP="005B54F0">
      <w:pPr>
        <w:pStyle w:val="References"/>
      </w:pPr>
      <w:r w:rsidRPr="005A2E77">
        <w:t>Jackson</w:t>
      </w:r>
      <w:r w:rsidRPr="005B54F0">
        <w:t xml:space="preserve">, Russell, Ann McCoy, Carol Pistorino, Anna Wilkinson, John Burghardt, Melissa Clark, Christine Ross, Peter Schochet, and Paul Swank. “National Evaluation of Early Reading First: Final Report.” Washington, DC: U.S. Department of Education, Institute of Education </w:t>
      </w:r>
      <w:r w:rsidRPr="005A2E77">
        <w:t>Sciences</w:t>
      </w:r>
      <w:r w:rsidRPr="005B54F0">
        <w:t>, National Center for Education Evaluation and Regional Assistance, May 2007.</w:t>
      </w:r>
    </w:p>
    <w:p w:rsidR="00AD2075" w:rsidRPr="00752400" w:rsidRDefault="00AD2075" w:rsidP="00752400">
      <w:pPr>
        <w:pStyle w:val="References"/>
      </w:pPr>
      <w:proofErr w:type="gramStart"/>
      <w:r w:rsidRPr="00752400">
        <w:t>Kane, T., J. Rockoff, and D. Staiger.</w:t>
      </w:r>
      <w:proofErr w:type="gramEnd"/>
      <w:r w:rsidRPr="00752400">
        <w:t xml:space="preserve"> “What Does Certification Tell Us About Teacher Effectiveness? </w:t>
      </w:r>
      <w:proofErr w:type="gramStart"/>
      <w:r w:rsidRPr="00752400">
        <w:t>Evidence from New York City.”</w:t>
      </w:r>
      <w:proofErr w:type="gramEnd"/>
      <w:r w:rsidRPr="00752400">
        <w:t xml:space="preserve"> </w:t>
      </w:r>
      <w:r w:rsidRPr="00752400">
        <w:rPr>
          <w:rFonts w:cs="Garamond-Italic"/>
          <w:i/>
          <w:iCs/>
        </w:rPr>
        <w:t>Economics of Education Review</w:t>
      </w:r>
      <w:r w:rsidRPr="00752400">
        <w:t>, vol. 27, no. 6, 2008, 615–631.</w:t>
      </w:r>
    </w:p>
    <w:p w:rsidR="00AD2075" w:rsidRPr="00752400" w:rsidRDefault="00AD2075" w:rsidP="00752400">
      <w:pPr>
        <w:pStyle w:val="References"/>
      </w:pPr>
      <w:proofErr w:type="gramStart"/>
      <w:r w:rsidRPr="00752400">
        <w:t>Marvel, John, Deanna M. Lyter, Pia Peltola, Gregory A. Strizek, and Beth A. Morton.</w:t>
      </w:r>
      <w:proofErr w:type="gramEnd"/>
      <w:r w:rsidRPr="00752400">
        <w:t xml:space="preserve"> “Teacher </w:t>
      </w:r>
      <w:r w:rsidRPr="005A2E77">
        <w:t>Attrition</w:t>
      </w:r>
      <w:r w:rsidRPr="00752400">
        <w:t xml:space="preserve"> and Mobility: Results from the 2004–05 Teacher Follow-up Survey, First Look.” 2007. Available at [http://nces.ed.gov/pubs2007/2007307.pdf]. </w:t>
      </w:r>
      <w:proofErr w:type="gramStart"/>
      <w:r w:rsidRPr="00752400">
        <w:t>Accessed November 10, 2009.</w:t>
      </w:r>
      <w:proofErr w:type="gramEnd"/>
    </w:p>
    <w:p w:rsidR="00AD2075" w:rsidRPr="00752400" w:rsidRDefault="00AD2075" w:rsidP="00752400">
      <w:pPr>
        <w:pStyle w:val="References"/>
      </w:pPr>
      <w:proofErr w:type="gramStart"/>
      <w:r w:rsidRPr="005A2E77">
        <w:t>Peikes</w:t>
      </w:r>
      <w:r w:rsidRPr="00752400">
        <w:t>, Deborah N., Lorenzo Moreno, and Sean Michael Orzol.</w:t>
      </w:r>
      <w:proofErr w:type="gramEnd"/>
      <w:r w:rsidRPr="00752400">
        <w:t xml:space="preserve"> “Propensity Score Matching: A Note of Caution for Evaluators of Social Programs.” The American Statistician, vol. 62, no. 3, August 2008, pp. 222–231.</w:t>
      </w:r>
    </w:p>
    <w:p w:rsidR="00AD2075" w:rsidRPr="00752400" w:rsidRDefault="00AD2075" w:rsidP="00752400">
      <w:pPr>
        <w:pStyle w:val="References"/>
      </w:pPr>
      <w:proofErr w:type="gramStart"/>
      <w:r w:rsidRPr="005A2E77">
        <w:t>Rivkin</w:t>
      </w:r>
      <w:r w:rsidRPr="00752400">
        <w:t>, S., E. Hanushek, and J. Kain.</w:t>
      </w:r>
      <w:proofErr w:type="gramEnd"/>
      <w:r w:rsidRPr="00752400">
        <w:t xml:space="preserve"> </w:t>
      </w:r>
      <w:proofErr w:type="gramStart"/>
      <w:r w:rsidRPr="00752400">
        <w:t>“Teachers, Schools, and Academic Achievement.”</w:t>
      </w:r>
      <w:proofErr w:type="gramEnd"/>
      <w:r w:rsidRPr="00752400">
        <w:t xml:space="preserve"> </w:t>
      </w:r>
      <w:r w:rsidRPr="00752400">
        <w:rPr>
          <w:rFonts w:cs="Garamond-Italic"/>
          <w:i/>
          <w:iCs/>
        </w:rPr>
        <w:t>Econometrica</w:t>
      </w:r>
      <w:r w:rsidRPr="00752400">
        <w:t>, vol. 73, no. 2, 2005, pp. 417–458.</w:t>
      </w:r>
    </w:p>
    <w:p w:rsidR="00AD2075" w:rsidRPr="00752400" w:rsidRDefault="00AD2075" w:rsidP="00752400">
      <w:pPr>
        <w:pStyle w:val="References"/>
      </w:pPr>
      <w:r w:rsidRPr="005A2E77">
        <w:t>Rockoff</w:t>
      </w:r>
      <w:r w:rsidRPr="00752400">
        <w:t>, J. “The Impact of Individual Teachers on Student Achievement: Evidence from Panel Data.” American Economic Review (AEA Papers and Proceedings), vol. 94, no. 2, 2004, pp. 247–252.</w:t>
      </w:r>
    </w:p>
    <w:p w:rsidR="00AD2075" w:rsidRPr="00752400" w:rsidRDefault="00AD2075" w:rsidP="00752400">
      <w:pPr>
        <w:pStyle w:val="References"/>
      </w:pPr>
      <w:r w:rsidRPr="005A2E77">
        <w:t>Schochet</w:t>
      </w:r>
      <w:r w:rsidRPr="00752400">
        <w:t xml:space="preserve">, Peter Z. “Statistical Power for Random Assignment Evaluations of Education Programs.” </w:t>
      </w:r>
      <w:r w:rsidRPr="00752400">
        <w:rPr>
          <w:rFonts w:cs="Garamond-Italic"/>
          <w:i/>
          <w:iCs/>
        </w:rPr>
        <w:t>Journal of Educational and Behavioral Statistics</w:t>
      </w:r>
      <w:r w:rsidRPr="00752400">
        <w:t>, vol. 33, no. 1, 2008, pp. 62–87.</w:t>
      </w:r>
    </w:p>
    <w:p w:rsidR="00AD2075" w:rsidRDefault="00AD2075" w:rsidP="00752400">
      <w:pPr>
        <w:pStyle w:val="References"/>
      </w:pPr>
      <w:proofErr w:type="gramStart"/>
      <w:r w:rsidRPr="005A2E77">
        <w:t>Smith</w:t>
      </w:r>
      <w:r w:rsidRPr="00752400">
        <w:t>, Jeffrey A., and Petra E. Todd.</w:t>
      </w:r>
      <w:proofErr w:type="gramEnd"/>
      <w:r w:rsidRPr="00752400">
        <w:t xml:space="preserve"> </w:t>
      </w:r>
      <w:proofErr w:type="gramStart"/>
      <w:r w:rsidRPr="00752400">
        <w:t>“Reconciling Conflicting Evidence on the Performance of Propensity-Score Matching Methods.”</w:t>
      </w:r>
      <w:proofErr w:type="gramEnd"/>
      <w:r w:rsidRPr="00752400">
        <w:t xml:space="preserve"> American Economic Review, vol. 91, no. 2, May 2001, pp.112–118.</w:t>
      </w:r>
    </w:p>
    <w:p w:rsidR="00206097" w:rsidRDefault="00206097" w:rsidP="00206097">
      <w:pPr>
        <w:pStyle w:val="References"/>
      </w:pPr>
    </w:p>
    <w:p w:rsidR="00206097" w:rsidRDefault="00206097" w:rsidP="00206097">
      <w:pPr>
        <w:pStyle w:val="References"/>
        <w:sectPr w:rsidR="00206097" w:rsidSect="00550B6A">
          <w:footerReference w:type="default" r:id="rId34"/>
          <w:endnotePr>
            <w:numFmt w:val="decimal"/>
          </w:endnotePr>
          <w:pgSz w:w="12240" w:h="15840" w:code="1"/>
          <w:pgMar w:top="1440" w:right="1440" w:bottom="576" w:left="1440" w:header="720" w:footer="576" w:gutter="0"/>
          <w:cols w:space="720"/>
          <w:docGrid w:linePitch="326"/>
        </w:sectPr>
      </w:pPr>
    </w:p>
    <w:p w:rsidR="00206097" w:rsidRDefault="00206097" w:rsidP="00206097">
      <w:pPr>
        <w:pStyle w:val="MarkforAppendixHeadingBlack"/>
      </w:pPr>
    </w:p>
    <w:p w:rsidR="00206097" w:rsidRDefault="00206097" w:rsidP="00206097">
      <w:pPr>
        <w:pStyle w:val="MarkforAppendixHeadingBlack"/>
      </w:pPr>
    </w:p>
    <w:p w:rsidR="00AD2075" w:rsidRDefault="00AD2075" w:rsidP="00AA7594">
      <w:pPr>
        <w:pStyle w:val="References"/>
        <w:sectPr w:rsidR="00AD2075" w:rsidSect="00AA7594">
          <w:headerReference w:type="default" r:id="rId35"/>
          <w:footerReference w:type="default" r:id="rId36"/>
          <w:endnotePr>
            <w:numFmt w:val="decimal"/>
          </w:endnotePr>
          <w:pgSz w:w="12240" w:h="15840" w:code="1"/>
          <w:pgMar w:top="1440" w:right="1440" w:bottom="576" w:left="1440" w:header="720" w:footer="576" w:gutter="0"/>
          <w:cols w:space="720"/>
          <w:docGrid w:linePitch="326"/>
        </w:sectPr>
      </w:pPr>
    </w:p>
    <w:p w:rsidR="00AD2075" w:rsidRPr="007C49C0" w:rsidRDefault="00D13F41" w:rsidP="00AA7594">
      <w:pPr>
        <w:spacing w:after="960" w:line="264" w:lineRule="auto"/>
        <w:ind w:firstLine="0"/>
        <w:rPr>
          <w:rFonts w:ascii="Lucida Sans" w:hAnsi="Lucida Sans"/>
          <w:sz w:val="22"/>
          <w:szCs w:val="22"/>
        </w:rPr>
      </w:pPr>
      <w:r w:rsidRPr="00D13F41">
        <w:rPr>
          <w:noProof/>
        </w:rPr>
        <w:lastRenderedPageBreak/>
        <w:pict>
          <v:shapetype id="_x0000_t202" coordsize="21600,21600" o:spt="202" path="m,l,21600r21600,l21600,xe">
            <v:stroke joinstyle="miter"/>
            <v:path gradientshapeok="t" o:connecttype="rect"/>
          </v:shapetype>
          <v:shape id="_x0000_s1030" type="#_x0000_t202" alt="" style="position:absolute;left:0;text-align:left;margin-left:-56.95pt;margin-top:461.25pt;width:581.9pt;height:67.5pt;z-index:251660288" filled="f" stroked="f" strokeweight="0">
            <v:textbox style="mso-next-textbox:#_x0000_s1030">
              <w:txbxContent>
                <w:p w:rsidR="000A5ADF" w:rsidRPr="000F53E2" w:rsidRDefault="000A5ADF" w:rsidP="00AA7594">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0A5ADF" w:rsidRDefault="000A5ADF" w:rsidP="00AA7594">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0A5ADF" w:rsidRDefault="000A5ADF" w:rsidP="00AA7594">
                  <w:pPr>
                    <w:tabs>
                      <w:tab w:val="clear" w:pos="432"/>
                    </w:tabs>
                    <w:spacing w:line="264" w:lineRule="auto"/>
                    <w:ind w:firstLine="0"/>
                    <w:jc w:val="center"/>
                    <w:rPr>
                      <w:rFonts w:ascii="Lucida Sans" w:hAnsi="Lucida Sans"/>
                      <w:sz w:val="17"/>
                      <w:szCs w:val="18"/>
                    </w:rPr>
                  </w:pPr>
                </w:p>
                <w:p w:rsidR="000A5ADF" w:rsidRPr="000F53E2" w:rsidRDefault="000A5ADF" w:rsidP="00AA7594">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sidRPr="00D13F41">
        <w:rPr>
          <w:noProof/>
        </w:rPr>
        <w:pict>
          <v:shape id="_x0000_s1031" type="#_x0000_t202" alt="" style="position:absolute;left:0;text-align:left;margin-left:333.25pt;margin-top:412.55pt;width:154.45pt;height:138.2pt;z-index:-251655168;mso-position-horizontal-relative:page;mso-position-vertical-relative:page" wrapcoords="0 0 21600 0 21600 21600 0 21600 0 0" filled="f" stroked="f">
            <v:textbox style="mso-next-textbox:#_x0000_s1031;mso-fit-shape-to-text:t">
              <w:txbxContent>
                <w:p w:rsidR="000A5ADF" w:rsidRPr="00347DD8" w:rsidRDefault="000A5ADF" w:rsidP="00AA7594">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617C5A">
        <w:rPr>
          <w:noProof/>
        </w:rPr>
        <w:drawing>
          <wp:anchor distT="0" distB="0" distL="114300" distR="114300" simplePos="0" relativeHeight="251659264"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8" name="Picture 8"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hematica Policy Research logo."/>
                    <pic:cNvPicPr>
                      <a:picLocks noChangeAspect="1" noChangeArrowheads="1"/>
                    </pic:cNvPicPr>
                  </pic:nvPicPr>
                  <pic:blipFill>
                    <a:blip r:embed="rId13"/>
                    <a:srcRect/>
                    <a:stretch>
                      <a:fillRect/>
                    </a:stretch>
                  </pic:blipFill>
                  <pic:spPr bwMode="auto">
                    <a:xfrm>
                      <a:off x="0" y="0"/>
                      <a:ext cx="1828800" cy="581025"/>
                    </a:xfrm>
                    <a:prstGeom prst="rect">
                      <a:avLst/>
                    </a:prstGeom>
                    <a:noFill/>
                  </pic:spPr>
                </pic:pic>
              </a:graphicData>
            </a:graphic>
          </wp:anchor>
        </w:drawing>
      </w:r>
      <w:r w:rsidR="00617C5A">
        <w:rPr>
          <w:noProof/>
        </w:rPr>
        <w:drawing>
          <wp:anchor distT="0" distB="0" distL="114300" distR="114300" simplePos="0" relativeHeight="251658240" behindDoc="1" locked="1" layoutInCell="1" allowOverlap="1">
            <wp:simplePos x="0" y="0"/>
            <wp:positionH relativeFrom="page">
              <wp:posOffset>-28575</wp:posOffset>
            </wp:positionH>
            <wp:positionV relativeFrom="page">
              <wp:posOffset>5848350</wp:posOffset>
            </wp:positionV>
            <wp:extent cx="7879080" cy="2562225"/>
            <wp:effectExtent l="1905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srcRect/>
                    <a:stretch>
                      <a:fillRect/>
                    </a:stretch>
                  </pic:blipFill>
                  <pic:spPr bwMode="auto">
                    <a:xfrm>
                      <a:off x="0" y="0"/>
                      <a:ext cx="7879080" cy="2562225"/>
                    </a:xfrm>
                    <a:prstGeom prst="rect">
                      <a:avLst/>
                    </a:prstGeom>
                    <a:noFill/>
                  </pic:spPr>
                </pic:pic>
              </a:graphicData>
            </a:graphic>
          </wp:anchor>
        </w:drawing>
      </w:r>
    </w:p>
    <w:p w:rsidR="00AD2075" w:rsidRPr="00752400" w:rsidRDefault="00AD2075" w:rsidP="00752400">
      <w:pPr>
        <w:pStyle w:val="References"/>
      </w:pPr>
    </w:p>
    <w:sectPr w:rsidR="00AD2075" w:rsidRPr="00752400" w:rsidSect="006753AD">
      <w:headerReference w:type="default" r:id="rId38"/>
      <w:footerReference w:type="default" r:id="rId3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ADF" w:rsidRDefault="000A5ADF">
      <w:pPr>
        <w:spacing w:line="240" w:lineRule="auto"/>
        <w:ind w:firstLine="0"/>
      </w:pPr>
    </w:p>
  </w:endnote>
  <w:endnote w:type="continuationSeparator" w:id="0">
    <w:p w:rsidR="000A5ADF" w:rsidRDefault="000A5ADF">
      <w:pPr>
        <w:spacing w:line="240" w:lineRule="auto"/>
        <w:ind w:firstLine="0"/>
      </w:pPr>
    </w:p>
  </w:endnote>
  <w:endnote w:type="continuationNotice" w:id="1">
    <w:p w:rsidR="000A5ADF" w:rsidRDefault="000A5ADF">
      <w:pPr>
        <w:spacing w:line="240" w:lineRule="auto"/>
        <w:ind w:firstLine="0"/>
      </w:pPr>
    </w:p>
    <w:p w:rsidR="000A5ADF" w:rsidRDefault="000A5ADF"/>
    <w:p w:rsidR="000A5ADF" w:rsidRDefault="000A5ADF">
      <w:r>
        <w:rPr>
          <w:b/>
          <w:snapToGrid w:val="0"/>
        </w:rPr>
        <w:t>DRAFT</w:t>
      </w:r>
      <w:r>
        <w:rPr>
          <w:snapToGrid w:val="0"/>
          <w:sz w:val="16"/>
        </w:rPr>
        <w:t xml:space="preserve"> </w:t>
      </w:r>
      <w:r w:rsidR="00D13F41">
        <w:rPr>
          <w:snapToGrid w:val="0"/>
          <w:sz w:val="16"/>
        </w:rPr>
        <w:fldChar w:fldCharType="begin"/>
      </w:r>
      <w:r>
        <w:rPr>
          <w:snapToGrid w:val="0"/>
          <w:sz w:val="16"/>
        </w:rPr>
        <w:instrText xml:space="preserve"> FILENAME \p </w:instrText>
      </w:r>
      <w:r w:rsidR="00D13F41">
        <w:rPr>
          <w:snapToGrid w:val="0"/>
          <w:sz w:val="16"/>
        </w:rPr>
        <w:fldChar w:fldCharType="separate"/>
      </w:r>
      <w:r>
        <w:rPr>
          <w:noProof/>
          <w:snapToGrid w:val="0"/>
          <w:sz w:val="16"/>
        </w:rPr>
        <w:t>C:\Documents and Settings\kruffin\Desktop\TRP_Part B_formatted(kr).docx</w:t>
      </w:r>
      <w:r w:rsidR="00D13F4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Sans-Demi">
    <w:panose1 w:val="00000000000000000000"/>
    <w:charset w:val="00"/>
    <w:family w:val="swiss"/>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Lucida Sans St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8F1A3F" w:rsidRDefault="000A5ADF" w:rsidP="00BB6186">
    <w:pPr>
      <w:pStyle w:val="Footer"/>
      <w:ind w:firstLine="0"/>
      <w:rPr>
        <w:rStyle w:val="PageNumber"/>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687CC6" w:rsidRDefault="000A5ADF" w:rsidP="00687CC6">
    <w:pPr>
      <w:pStyle w:val="Footer"/>
      <w:rPr>
        <w:rStyle w:val="PageNumber"/>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AA7594" w:rsidRDefault="000A5ADF" w:rsidP="00AA7594">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8F1A3F" w:rsidRDefault="000A5ADF" w:rsidP="00BB6186">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8F1A3F" w:rsidRDefault="000A5ADF" w:rsidP="00BB6186">
    <w:pPr>
      <w:pStyle w:val="Footer"/>
      <w:ind w:firstLine="0"/>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Default="000A5ADF" w:rsidP="00E77E4B">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D13F41">
      <w:rPr>
        <w:rStyle w:val="PageNumber"/>
      </w:rPr>
      <w:fldChar w:fldCharType="begin"/>
    </w:r>
    <w:r>
      <w:rPr>
        <w:rStyle w:val="PageNumber"/>
      </w:rPr>
      <w:instrText xml:space="preserve"> PAGE </w:instrText>
    </w:r>
    <w:r w:rsidR="00D13F41">
      <w:rPr>
        <w:rStyle w:val="PageNumber"/>
      </w:rPr>
      <w:fldChar w:fldCharType="separate"/>
    </w:r>
    <w:r w:rsidR="00EA3C5E">
      <w:rPr>
        <w:rStyle w:val="PageNumber"/>
        <w:noProof/>
      </w:rPr>
      <w:t>iii</w:t>
    </w:r>
    <w:r w:rsidR="00D13F41">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613"/>
      <w:docPartObj>
        <w:docPartGallery w:val="Page Numbers (Bottom of Page)"/>
        <w:docPartUnique/>
      </w:docPartObj>
    </w:sdtPr>
    <w:sdtContent>
      <w:p w:rsidR="000A5ADF" w:rsidRDefault="00D13F41">
        <w:pPr>
          <w:pStyle w:val="Footer"/>
          <w:jc w:val="center"/>
        </w:pPr>
        <w:fldSimple w:instr=" PAGE   \* MERGEFORMAT ">
          <w:r w:rsidR="00EA3C5E">
            <w:rPr>
              <w:noProof/>
            </w:rPr>
            <w:t>iv</w:t>
          </w:r>
        </w:fldSimple>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485E66" w:rsidRDefault="000A5ADF" w:rsidP="00485E66">
    <w:pPr>
      <w:pStyle w:val="Footer"/>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Default="000A5ADF">
    <w:pPr>
      <w:pStyle w:val="Foote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611"/>
      <w:docPartObj>
        <w:docPartGallery w:val="Page Numbers (Bottom of Page)"/>
        <w:docPartUnique/>
      </w:docPartObj>
    </w:sdtPr>
    <w:sdtContent>
      <w:p w:rsidR="000A5ADF" w:rsidRDefault="00D13F41">
        <w:pPr>
          <w:pStyle w:val="Footer"/>
          <w:jc w:val="center"/>
        </w:pPr>
        <w:fldSimple w:instr=" PAGE   \* MERGEFORMAT ">
          <w:r w:rsidR="00EA3C5E">
            <w:rPr>
              <w:noProof/>
            </w:rPr>
            <w:t>7</w:t>
          </w:r>
        </w:fldSimple>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C05BC0" w:rsidRDefault="000A5ADF" w:rsidP="00550B6A">
    <w:pPr>
      <w:pStyle w:val="Footer"/>
      <w:tabs>
        <w:tab w:val="clear" w:pos="432"/>
        <w:tab w:val="clear" w:pos="4320"/>
        <w:tab w:val="clear" w:pos="8640"/>
        <w:tab w:val="center" w:pos="4770"/>
        <w:tab w:val="right" w:pos="9360"/>
      </w:tabs>
      <w:spacing w:before="120"/>
      <w:ind w:firstLine="0"/>
      <w:rPr>
        <w:rStyle w:val="PageNumber"/>
        <w:b/>
      </w:rPr>
    </w:pPr>
    <w:r w:rsidRPr="00C05BC0">
      <w:tab/>
    </w:r>
    <w:r w:rsidR="00D13F41" w:rsidRPr="00C05BC0">
      <w:rPr>
        <w:rStyle w:val="PageNumber"/>
      </w:rPr>
      <w:fldChar w:fldCharType="begin"/>
    </w:r>
    <w:r w:rsidRPr="00C05BC0">
      <w:rPr>
        <w:rStyle w:val="PageNumber"/>
      </w:rPr>
      <w:instrText xml:space="preserve"> PAGE </w:instrText>
    </w:r>
    <w:r w:rsidR="00D13F41" w:rsidRPr="00C05BC0">
      <w:rPr>
        <w:rStyle w:val="PageNumber"/>
      </w:rPr>
      <w:fldChar w:fldCharType="separate"/>
    </w:r>
    <w:r w:rsidR="00EA3C5E">
      <w:rPr>
        <w:rStyle w:val="PageNumber"/>
        <w:noProof/>
      </w:rPr>
      <w:t>8</w:t>
    </w:r>
    <w:r w:rsidR="00D13F41" w:rsidRPr="00C05BC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ADF" w:rsidRDefault="000A5ADF">
      <w:pPr>
        <w:spacing w:line="240" w:lineRule="auto"/>
        <w:ind w:firstLine="0"/>
      </w:pPr>
      <w:r>
        <w:separator/>
      </w:r>
    </w:p>
  </w:footnote>
  <w:footnote w:type="continuationSeparator" w:id="0">
    <w:p w:rsidR="000A5ADF" w:rsidRDefault="000A5ADF">
      <w:pPr>
        <w:spacing w:line="240" w:lineRule="auto"/>
        <w:ind w:firstLine="0"/>
      </w:pPr>
      <w:r>
        <w:separator/>
      </w:r>
    </w:p>
    <w:p w:rsidR="000A5ADF" w:rsidRDefault="000A5ADF">
      <w:pPr>
        <w:spacing w:line="240" w:lineRule="auto"/>
        <w:ind w:firstLine="0"/>
        <w:rPr>
          <w:i/>
        </w:rPr>
      </w:pPr>
      <w:r>
        <w:rPr>
          <w:i/>
        </w:rPr>
        <w:t>(</w:t>
      </w:r>
      <w:proofErr w:type="gramStart"/>
      <w:r>
        <w:rPr>
          <w:i/>
        </w:rPr>
        <w:t>continued</w:t>
      </w:r>
      <w:proofErr w:type="gramEnd"/>
      <w:r>
        <w:rPr>
          <w:i/>
        </w:rPr>
        <w:t>)</w:t>
      </w:r>
    </w:p>
  </w:footnote>
  <w:footnote w:type="continuationNotice" w:id="1">
    <w:p w:rsidR="000A5ADF" w:rsidRDefault="000A5ADF">
      <w:pPr>
        <w:pStyle w:val="Footer"/>
      </w:pPr>
    </w:p>
  </w:footnote>
  <w:footnote w:id="2">
    <w:p w:rsidR="000A5ADF" w:rsidRDefault="000A5ADF">
      <w:pPr>
        <w:pStyle w:val="FootnoteText"/>
      </w:pPr>
      <w:r>
        <w:rPr>
          <w:rStyle w:val="FootnoteReference"/>
        </w:rPr>
        <w:footnoteRef/>
      </w:r>
      <w:r>
        <w:t xml:space="preserve"> In order to make the test scores comparable, we intend to normalize test scores to have a mean of zero and a standard deviation of one. Therefore, the average value of</w:t>
      </w:r>
      <w:r w:rsidRPr="00174A2B">
        <w:rPr>
          <w:position w:val="-10"/>
        </w:rPr>
        <w:object w:dxaOrig="200" w:dyaOrig="260">
          <v:shape id="_x0000_i1030" type="#_x0000_t75" style="width:9.75pt;height:13.5pt" o:ole="">
            <v:imagedata r:id="rId1" o:title=""/>
          </v:shape>
          <o:OLEObject Type="Embed" ProgID="Equation.DSMT4" ShapeID="_x0000_i1030" DrawAspect="Content" ObjectID="_1365454195" r:id="rId2"/>
        </w:object>
      </w:r>
      <w:r>
        <w:t xml:space="preserve"> for all teachers will be equal to zero.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Default="000A5A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Default="000A5A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0A4439" w:rsidRDefault="000A5ADF" w:rsidP="00E77E4B">
    <w:pPr>
      <w:pStyle w:val="Header"/>
      <w:rPr>
        <w:szCs w:val="22"/>
      </w:rPr>
    </w:pPr>
    <w:r>
      <w:rPr>
        <w:szCs w:val="22"/>
      </w:rPr>
      <w:t>Contents</w:t>
    </w:r>
    <w:r w:rsidRPr="000A4439">
      <w:rPr>
        <w:szCs w:val="22"/>
      </w:rPr>
      <w:tab/>
    </w:r>
    <w:r w:rsidRPr="000A4439">
      <w:rPr>
        <w:szCs w:val="22"/>
      </w:rPr>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0A4439" w:rsidRDefault="000A5ADF" w:rsidP="00E77E4B">
    <w:pPr>
      <w:pStyle w:val="Header"/>
      <w:rPr>
        <w:szCs w:val="22"/>
      </w:rPr>
    </w:pPr>
    <w:r>
      <w:rPr>
        <w:szCs w:val="22"/>
      </w:rPr>
      <w:t>Tables</w:t>
    </w:r>
    <w:r w:rsidRPr="000A4439">
      <w:rPr>
        <w:szCs w:val="22"/>
      </w:rPr>
      <w:tab/>
    </w:r>
    <w:r w:rsidRPr="000A4439">
      <w:rPr>
        <w:szCs w:val="22"/>
      </w:rPr>
      <w:tab/>
      <w:t>Mathematica Policy Research</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485E66" w:rsidRDefault="000A5ADF" w:rsidP="00485E66">
    <w:pPr>
      <w:pStyle w:val="Header"/>
      <w:rPr>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485E66" w:rsidRDefault="000A5ADF" w:rsidP="00485E66">
    <w:pPr>
      <w:pStyle w:val="Header"/>
      <w:rPr>
        <w:szCs w:val="2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0A4439" w:rsidRDefault="000A5ADF" w:rsidP="00206097">
    <w:pPr>
      <w:pStyle w:val="Header"/>
      <w:rPr>
        <w:szCs w:val="22"/>
      </w:rPr>
    </w:pPr>
    <w:r w:rsidRPr="00671254">
      <w:rPr>
        <w:szCs w:val="22"/>
      </w:rPr>
      <w:t>ED-IES-10-C (0001)</w:t>
    </w:r>
    <w:r w:rsidRPr="000A4439">
      <w:rPr>
        <w:szCs w:val="22"/>
      </w:rPr>
      <w:tab/>
    </w:r>
    <w:r w:rsidRPr="000A4439">
      <w:rPr>
        <w:szCs w:val="22"/>
      </w:rPr>
      <w:tab/>
      <w:t>Mathematica Policy Research</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687CC6" w:rsidRDefault="000A5ADF" w:rsidP="00687CC6">
    <w:pPr>
      <w:pStyle w:val="Header"/>
      <w:rPr>
        <w:szCs w:val="2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DF" w:rsidRPr="00AA7594" w:rsidRDefault="000A5ADF" w:rsidP="00AA7594">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75AFCF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E4E19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7901A1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B22C2F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0DE8A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34AB5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B8A7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F2A4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6AB9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8D2517C"/>
    <w:lvl w:ilvl="0">
      <w:start w:val="1"/>
      <w:numFmt w:val="bullet"/>
      <w:lvlText w:val=""/>
      <w:lvlJc w:val="left"/>
      <w:pPr>
        <w:tabs>
          <w:tab w:val="num" w:pos="360"/>
        </w:tabs>
        <w:ind w:left="360" w:hanging="360"/>
      </w:pPr>
      <w:rPr>
        <w:rFonts w:ascii="Symbol" w:hAnsi="Symbol" w:hint="default"/>
      </w:rPr>
    </w:lvl>
  </w:abstractNum>
  <w:abstractNum w:abstractNumId="10">
    <w:nsid w:val="06FF12F6"/>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C67001"/>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14A6F61"/>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1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1730051"/>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D345505"/>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3">
    <w:nsid w:val="34014472"/>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4">
    <w:nsid w:val="38E56691"/>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25">
    <w:nsid w:val="46420A96"/>
    <w:multiLevelType w:val="hybridMultilevel"/>
    <w:tmpl w:val="F7D6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7">
    <w:nsid w:val="4E637135"/>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28">
    <w:nsid w:val="5EAA6FF9"/>
    <w:multiLevelType w:val="hybridMultilevel"/>
    <w:tmpl w:val="F1667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26B6976"/>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71EB0252"/>
    <w:multiLevelType w:val="hybridMultilevel"/>
    <w:tmpl w:val="6436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E932E6"/>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8">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37"/>
  </w:num>
  <w:num w:numId="3">
    <w:abstractNumId w:val="31"/>
  </w:num>
  <w:num w:numId="4">
    <w:abstractNumId w:val="12"/>
  </w:num>
  <w:num w:numId="5">
    <w:abstractNumId w:val="11"/>
  </w:num>
  <w:num w:numId="6">
    <w:abstractNumId w:val="38"/>
  </w:num>
  <w:num w:numId="7">
    <w:abstractNumId w:val="34"/>
  </w:num>
  <w:num w:numId="8">
    <w:abstractNumId w:val="17"/>
  </w:num>
  <w:num w:numId="9">
    <w:abstractNumId w:val="18"/>
  </w:num>
  <w:num w:numId="10">
    <w:abstractNumId w:val="21"/>
  </w:num>
  <w:num w:numId="11">
    <w:abstractNumId w:val="13"/>
  </w:num>
  <w:num w:numId="12">
    <w:abstractNumId w:val="32"/>
  </w:num>
  <w:num w:numId="13">
    <w:abstractNumId w:val="15"/>
  </w:num>
  <w:num w:numId="14">
    <w:abstractNumId w:val="29"/>
  </w:num>
  <w:num w:numId="15">
    <w:abstractNumId w:val="33"/>
  </w:num>
  <w:num w:numId="16">
    <w:abstractNumId w:val="19"/>
  </w:num>
  <w:num w:numId="17">
    <w:abstractNumId w:val="25"/>
  </w:num>
  <w:num w:numId="18">
    <w:abstractNumId w:val="28"/>
  </w:num>
  <w:num w:numId="19">
    <w:abstractNumId w:val="36"/>
  </w:num>
  <w:num w:numId="20">
    <w:abstractNumId w:val="24"/>
  </w:num>
  <w:num w:numId="21">
    <w:abstractNumId w:val="27"/>
  </w:num>
  <w:num w:numId="22">
    <w:abstractNumId w:val="23"/>
  </w:num>
  <w:num w:numId="23">
    <w:abstractNumId w:val="10"/>
  </w:num>
  <w:num w:numId="24">
    <w:abstractNumId w:val="14"/>
  </w:num>
  <w:num w:numId="25">
    <w:abstractNumId w:val="22"/>
  </w:num>
  <w:num w:numId="26">
    <w:abstractNumId w:val="20"/>
  </w:num>
  <w:num w:numId="27">
    <w:abstractNumId w:val="30"/>
  </w:num>
  <w:num w:numId="28">
    <w:abstractNumId w:val="1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001"/>
  <w:revisionView w:markup="0"/>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AD4E68"/>
    <w:rsid w:val="00003214"/>
    <w:rsid w:val="0000445D"/>
    <w:rsid w:val="0001063B"/>
    <w:rsid w:val="00011229"/>
    <w:rsid w:val="00012955"/>
    <w:rsid w:val="00012E2F"/>
    <w:rsid w:val="00012F94"/>
    <w:rsid w:val="0001393C"/>
    <w:rsid w:val="0002468F"/>
    <w:rsid w:val="00035B5E"/>
    <w:rsid w:val="00037FED"/>
    <w:rsid w:val="0004056A"/>
    <w:rsid w:val="00043281"/>
    <w:rsid w:val="00043CCF"/>
    <w:rsid w:val="0004497C"/>
    <w:rsid w:val="000510E2"/>
    <w:rsid w:val="00051F17"/>
    <w:rsid w:val="0006058C"/>
    <w:rsid w:val="000606B2"/>
    <w:rsid w:val="00062E74"/>
    <w:rsid w:val="00064D9E"/>
    <w:rsid w:val="000660B9"/>
    <w:rsid w:val="0007055C"/>
    <w:rsid w:val="0007162C"/>
    <w:rsid w:val="00071D0C"/>
    <w:rsid w:val="00072D3D"/>
    <w:rsid w:val="00073962"/>
    <w:rsid w:val="000756B8"/>
    <w:rsid w:val="000838BD"/>
    <w:rsid w:val="00087705"/>
    <w:rsid w:val="000879BB"/>
    <w:rsid w:val="00090BFB"/>
    <w:rsid w:val="00092AA7"/>
    <w:rsid w:val="000943AF"/>
    <w:rsid w:val="00095C8F"/>
    <w:rsid w:val="00096790"/>
    <w:rsid w:val="000A0431"/>
    <w:rsid w:val="000A04DC"/>
    <w:rsid w:val="000A05A7"/>
    <w:rsid w:val="000A170B"/>
    <w:rsid w:val="000A38B3"/>
    <w:rsid w:val="000A4439"/>
    <w:rsid w:val="000A5ADF"/>
    <w:rsid w:val="000A6435"/>
    <w:rsid w:val="000B0D5F"/>
    <w:rsid w:val="000B1933"/>
    <w:rsid w:val="000B2230"/>
    <w:rsid w:val="000B5611"/>
    <w:rsid w:val="000B5D8F"/>
    <w:rsid w:val="000B6128"/>
    <w:rsid w:val="000C074C"/>
    <w:rsid w:val="000C34B8"/>
    <w:rsid w:val="000C50A2"/>
    <w:rsid w:val="000C5406"/>
    <w:rsid w:val="000C5F51"/>
    <w:rsid w:val="000C718E"/>
    <w:rsid w:val="000D2E7D"/>
    <w:rsid w:val="000D33C3"/>
    <w:rsid w:val="000D4738"/>
    <w:rsid w:val="000D6181"/>
    <w:rsid w:val="000D6211"/>
    <w:rsid w:val="000D6CA9"/>
    <w:rsid w:val="000D6D7D"/>
    <w:rsid w:val="000D74F8"/>
    <w:rsid w:val="000E225A"/>
    <w:rsid w:val="000E2A3C"/>
    <w:rsid w:val="000E4025"/>
    <w:rsid w:val="000E5340"/>
    <w:rsid w:val="000E5AB1"/>
    <w:rsid w:val="000F0D69"/>
    <w:rsid w:val="000F10E7"/>
    <w:rsid w:val="000F3178"/>
    <w:rsid w:val="000F53E2"/>
    <w:rsid w:val="000F7EEB"/>
    <w:rsid w:val="0010034B"/>
    <w:rsid w:val="001016C9"/>
    <w:rsid w:val="00102BEC"/>
    <w:rsid w:val="001037ED"/>
    <w:rsid w:val="00104386"/>
    <w:rsid w:val="00111246"/>
    <w:rsid w:val="00113CCE"/>
    <w:rsid w:val="00115A3E"/>
    <w:rsid w:val="0011734D"/>
    <w:rsid w:val="00120371"/>
    <w:rsid w:val="00120CCF"/>
    <w:rsid w:val="00121E52"/>
    <w:rsid w:val="0012251D"/>
    <w:rsid w:val="0012390E"/>
    <w:rsid w:val="00123F44"/>
    <w:rsid w:val="001264E5"/>
    <w:rsid w:val="001313D2"/>
    <w:rsid w:val="001339A8"/>
    <w:rsid w:val="00134E83"/>
    <w:rsid w:val="00135778"/>
    <w:rsid w:val="00141483"/>
    <w:rsid w:val="00144C7F"/>
    <w:rsid w:val="00144D83"/>
    <w:rsid w:val="00145109"/>
    <w:rsid w:val="00152CD9"/>
    <w:rsid w:val="00154C7E"/>
    <w:rsid w:val="0015683A"/>
    <w:rsid w:val="001640A7"/>
    <w:rsid w:val="0016633A"/>
    <w:rsid w:val="001704CB"/>
    <w:rsid w:val="001705A2"/>
    <w:rsid w:val="00174A2B"/>
    <w:rsid w:val="001751D2"/>
    <w:rsid w:val="00175D1C"/>
    <w:rsid w:val="001762AC"/>
    <w:rsid w:val="001809D7"/>
    <w:rsid w:val="00186B8C"/>
    <w:rsid w:val="001927CF"/>
    <w:rsid w:val="00194DC3"/>
    <w:rsid w:val="00196A65"/>
    <w:rsid w:val="001979CA"/>
    <w:rsid w:val="001A2BD9"/>
    <w:rsid w:val="001A4B71"/>
    <w:rsid w:val="001A7F95"/>
    <w:rsid w:val="001B1A26"/>
    <w:rsid w:val="001B1CB6"/>
    <w:rsid w:val="001B51C2"/>
    <w:rsid w:val="001C0B2F"/>
    <w:rsid w:val="001C277A"/>
    <w:rsid w:val="001C3597"/>
    <w:rsid w:val="001C50E4"/>
    <w:rsid w:val="001C5928"/>
    <w:rsid w:val="001C6735"/>
    <w:rsid w:val="001D06A8"/>
    <w:rsid w:val="001D32B7"/>
    <w:rsid w:val="001D536F"/>
    <w:rsid w:val="001D5394"/>
    <w:rsid w:val="001E081C"/>
    <w:rsid w:val="001E177B"/>
    <w:rsid w:val="001E2F5E"/>
    <w:rsid w:val="001E4280"/>
    <w:rsid w:val="001E4B97"/>
    <w:rsid w:val="001E5A9C"/>
    <w:rsid w:val="001E6829"/>
    <w:rsid w:val="001F1633"/>
    <w:rsid w:val="001F1A9B"/>
    <w:rsid w:val="001F35CC"/>
    <w:rsid w:val="001F3A04"/>
    <w:rsid w:val="001F62D6"/>
    <w:rsid w:val="001F73ED"/>
    <w:rsid w:val="001F7F99"/>
    <w:rsid w:val="00200BD3"/>
    <w:rsid w:val="002018E4"/>
    <w:rsid w:val="00203E45"/>
    <w:rsid w:val="00206097"/>
    <w:rsid w:val="00207A69"/>
    <w:rsid w:val="00211364"/>
    <w:rsid w:val="0021194A"/>
    <w:rsid w:val="0021407D"/>
    <w:rsid w:val="002140C7"/>
    <w:rsid w:val="00214E21"/>
    <w:rsid w:val="002155E5"/>
    <w:rsid w:val="00215A66"/>
    <w:rsid w:val="002164AE"/>
    <w:rsid w:val="002200DC"/>
    <w:rsid w:val="0022785D"/>
    <w:rsid w:val="00232F38"/>
    <w:rsid w:val="00234FE3"/>
    <w:rsid w:val="00235946"/>
    <w:rsid w:val="00244D34"/>
    <w:rsid w:val="002508F0"/>
    <w:rsid w:val="002509FD"/>
    <w:rsid w:val="00252689"/>
    <w:rsid w:val="00254084"/>
    <w:rsid w:val="002552D0"/>
    <w:rsid w:val="0025657B"/>
    <w:rsid w:val="00257BBB"/>
    <w:rsid w:val="00261D97"/>
    <w:rsid w:val="002631F2"/>
    <w:rsid w:val="00266B14"/>
    <w:rsid w:val="00266F3A"/>
    <w:rsid w:val="00271E2D"/>
    <w:rsid w:val="0027296C"/>
    <w:rsid w:val="0027753B"/>
    <w:rsid w:val="0028092F"/>
    <w:rsid w:val="00280FE2"/>
    <w:rsid w:val="00282087"/>
    <w:rsid w:val="00283908"/>
    <w:rsid w:val="00283C6C"/>
    <w:rsid w:val="00284515"/>
    <w:rsid w:val="002847BD"/>
    <w:rsid w:val="00291C35"/>
    <w:rsid w:val="002A23FA"/>
    <w:rsid w:val="002A325B"/>
    <w:rsid w:val="002A32DD"/>
    <w:rsid w:val="002A5312"/>
    <w:rsid w:val="002A6804"/>
    <w:rsid w:val="002A7EBF"/>
    <w:rsid w:val="002B1A35"/>
    <w:rsid w:val="002B5CB6"/>
    <w:rsid w:val="002B5CC8"/>
    <w:rsid w:val="002B6C0F"/>
    <w:rsid w:val="002B73D9"/>
    <w:rsid w:val="002B786A"/>
    <w:rsid w:val="002C3083"/>
    <w:rsid w:val="002C3210"/>
    <w:rsid w:val="002D1E56"/>
    <w:rsid w:val="002D3328"/>
    <w:rsid w:val="002D4F1E"/>
    <w:rsid w:val="002E2487"/>
    <w:rsid w:val="002E2EDF"/>
    <w:rsid w:val="002E5424"/>
    <w:rsid w:val="002F0747"/>
    <w:rsid w:val="002F13E1"/>
    <w:rsid w:val="002F5181"/>
    <w:rsid w:val="0030037C"/>
    <w:rsid w:val="003036DB"/>
    <w:rsid w:val="00303745"/>
    <w:rsid w:val="00303C21"/>
    <w:rsid w:val="00304015"/>
    <w:rsid w:val="00304F5A"/>
    <w:rsid w:val="003100CC"/>
    <w:rsid w:val="003119DD"/>
    <w:rsid w:val="003135E9"/>
    <w:rsid w:val="00313A12"/>
    <w:rsid w:val="0031420C"/>
    <w:rsid w:val="00316DDA"/>
    <w:rsid w:val="0032477D"/>
    <w:rsid w:val="00324FA1"/>
    <w:rsid w:val="00326874"/>
    <w:rsid w:val="00326E64"/>
    <w:rsid w:val="003271B2"/>
    <w:rsid w:val="0033404D"/>
    <w:rsid w:val="00334146"/>
    <w:rsid w:val="0033427E"/>
    <w:rsid w:val="00334686"/>
    <w:rsid w:val="003368B7"/>
    <w:rsid w:val="003372C5"/>
    <w:rsid w:val="00337F22"/>
    <w:rsid w:val="00343F7B"/>
    <w:rsid w:val="00347510"/>
    <w:rsid w:val="00347DD8"/>
    <w:rsid w:val="00347DE8"/>
    <w:rsid w:val="00355023"/>
    <w:rsid w:val="0036319B"/>
    <w:rsid w:val="00363204"/>
    <w:rsid w:val="003640D8"/>
    <w:rsid w:val="003642A8"/>
    <w:rsid w:val="0036589A"/>
    <w:rsid w:val="00367B20"/>
    <w:rsid w:val="00372FE5"/>
    <w:rsid w:val="00373768"/>
    <w:rsid w:val="003922B2"/>
    <w:rsid w:val="003933A3"/>
    <w:rsid w:val="00393D39"/>
    <w:rsid w:val="003943ED"/>
    <w:rsid w:val="003A2006"/>
    <w:rsid w:val="003B5050"/>
    <w:rsid w:val="003C017B"/>
    <w:rsid w:val="003C039B"/>
    <w:rsid w:val="003C164E"/>
    <w:rsid w:val="003C281C"/>
    <w:rsid w:val="003C4928"/>
    <w:rsid w:val="003C4D4B"/>
    <w:rsid w:val="003D20E7"/>
    <w:rsid w:val="003D5EA2"/>
    <w:rsid w:val="003D7D79"/>
    <w:rsid w:val="003E241E"/>
    <w:rsid w:val="003E3DB9"/>
    <w:rsid w:val="003E541D"/>
    <w:rsid w:val="003E5E57"/>
    <w:rsid w:val="003E7F4B"/>
    <w:rsid w:val="003F1D13"/>
    <w:rsid w:val="003F3D5A"/>
    <w:rsid w:val="003F4332"/>
    <w:rsid w:val="003F4A57"/>
    <w:rsid w:val="003F4B0D"/>
    <w:rsid w:val="003F63D8"/>
    <w:rsid w:val="003F6558"/>
    <w:rsid w:val="003F6BDF"/>
    <w:rsid w:val="003F6EE0"/>
    <w:rsid w:val="003F79B5"/>
    <w:rsid w:val="0040094D"/>
    <w:rsid w:val="004034DB"/>
    <w:rsid w:val="00403B65"/>
    <w:rsid w:val="00405058"/>
    <w:rsid w:val="00405224"/>
    <w:rsid w:val="004065EF"/>
    <w:rsid w:val="004152A1"/>
    <w:rsid w:val="00421694"/>
    <w:rsid w:val="0042362A"/>
    <w:rsid w:val="0042730A"/>
    <w:rsid w:val="0043363F"/>
    <w:rsid w:val="00435688"/>
    <w:rsid w:val="00436BA5"/>
    <w:rsid w:val="00437C46"/>
    <w:rsid w:val="00441025"/>
    <w:rsid w:val="004413C2"/>
    <w:rsid w:val="004423C5"/>
    <w:rsid w:val="00442BE4"/>
    <w:rsid w:val="00443473"/>
    <w:rsid w:val="004479F9"/>
    <w:rsid w:val="004505FA"/>
    <w:rsid w:val="00451D9C"/>
    <w:rsid w:val="00453778"/>
    <w:rsid w:val="0046450D"/>
    <w:rsid w:val="00464B6A"/>
    <w:rsid w:val="0046555A"/>
    <w:rsid w:val="0046628D"/>
    <w:rsid w:val="00467CA0"/>
    <w:rsid w:val="0047435B"/>
    <w:rsid w:val="004832EF"/>
    <w:rsid w:val="00485E66"/>
    <w:rsid w:val="00486B31"/>
    <w:rsid w:val="00490761"/>
    <w:rsid w:val="004A2D9A"/>
    <w:rsid w:val="004A7CC0"/>
    <w:rsid w:val="004B2638"/>
    <w:rsid w:val="004B4D7B"/>
    <w:rsid w:val="004C0F02"/>
    <w:rsid w:val="004C4BFB"/>
    <w:rsid w:val="004C6A3D"/>
    <w:rsid w:val="004D2FEC"/>
    <w:rsid w:val="004D437B"/>
    <w:rsid w:val="004D45A4"/>
    <w:rsid w:val="004D588C"/>
    <w:rsid w:val="004E13EA"/>
    <w:rsid w:val="004E3835"/>
    <w:rsid w:val="004E6390"/>
    <w:rsid w:val="004E6844"/>
    <w:rsid w:val="004E70D6"/>
    <w:rsid w:val="004E7C87"/>
    <w:rsid w:val="004F1B25"/>
    <w:rsid w:val="004F5433"/>
    <w:rsid w:val="0050186E"/>
    <w:rsid w:val="005035B1"/>
    <w:rsid w:val="00505A12"/>
    <w:rsid w:val="00506833"/>
    <w:rsid w:val="00506952"/>
    <w:rsid w:val="00511D52"/>
    <w:rsid w:val="00512037"/>
    <w:rsid w:val="00514BEE"/>
    <w:rsid w:val="00521B35"/>
    <w:rsid w:val="00530054"/>
    <w:rsid w:val="00530745"/>
    <w:rsid w:val="00530944"/>
    <w:rsid w:val="00530F3C"/>
    <w:rsid w:val="0053239B"/>
    <w:rsid w:val="00533DEF"/>
    <w:rsid w:val="00534F0E"/>
    <w:rsid w:val="00546F58"/>
    <w:rsid w:val="00550B6A"/>
    <w:rsid w:val="00551264"/>
    <w:rsid w:val="00553507"/>
    <w:rsid w:val="005539C4"/>
    <w:rsid w:val="005539F6"/>
    <w:rsid w:val="005565D2"/>
    <w:rsid w:val="00557205"/>
    <w:rsid w:val="00570410"/>
    <w:rsid w:val="00572158"/>
    <w:rsid w:val="00572C4D"/>
    <w:rsid w:val="0057425D"/>
    <w:rsid w:val="0057496C"/>
    <w:rsid w:val="00576F2E"/>
    <w:rsid w:val="005823B2"/>
    <w:rsid w:val="00582720"/>
    <w:rsid w:val="005827B4"/>
    <w:rsid w:val="005851F8"/>
    <w:rsid w:val="00585D6F"/>
    <w:rsid w:val="0058784A"/>
    <w:rsid w:val="00587F18"/>
    <w:rsid w:val="00593412"/>
    <w:rsid w:val="005935F5"/>
    <w:rsid w:val="0059439C"/>
    <w:rsid w:val="00596543"/>
    <w:rsid w:val="00596F4D"/>
    <w:rsid w:val="005A0ADC"/>
    <w:rsid w:val="005A2E77"/>
    <w:rsid w:val="005A4C21"/>
    <w:rsid w:val="005A5297"/>
    <w:rsid w:val="005A5932"/>
    <w:rsid w:val="005B54F0"/>
    <w:rsid w:val="005B68F1"/>
    <w:rsid w:val="005B6ED6"/>
    <w:rsid w:val="005C2101"/>
    <w:rsid w:val="005C3A70"/>
    <w:rsid w:val="005C4BF1"/>
    <w:rsid w:val="005C7008"/>
    <w:rsid w:val="005D302D"/>
    <w:rsid w:val="005D3EA8"/>
    <w:rsid w:val="005E1477"/>
    <w:rsid w:val="005E3579"/>
    <w:rsid w:val="005E49FB"/>
    <w:rsid w:val="005F72C9"/>
    <w:rsid w:val="00604052"/>
    <w:rsid w:val="006135E7"/>
    <w:rsid w:val="00614744"/>
    <w:rsid w:val="00617C5A"/>
    <w:rsid w:val="00617F25"/>
    <w:rsid w:val="006201E4"/>
    <w:rsid w:val="00623C84"/>
    <w:rsid w:val="00624BB4"/>
    <w:rsid w:val="00630AC1"/>
    <w:rsid w:val="00631B45"/>
    <w:rsid w:val="006333CD"/>
    <w:rsid w:val="00635CC6"/>
    <w:rsid w:val="006373FA"/>
    <w:rsid w:val="00643D34"/>
    <w:rsid w:val="0064429C"/>
    <w:rsid w:val="00645647"/>
    <w:rsid w:val="006459CF"/>
    <w:rsid w:val="006548CA"/>
    <w:rsid w:val="006552CC"/>
    <w:rsid w:val="00656A23"/>
    <w:rsid w:val="00660301"/>
    <w:rsid w:val="006608FD"/>
    <w:rsid w:val="0066140C"/>
    <w:rsid w:val="00664543"/>
    <w:rsid w:val="00664975"/>
    <w:rsid w:val="0067013E"/>
    <w:rsid w:val="00671254"/>
    <w:rsid w:val="00671DB4"/>
    <w:rsid w:val="00672349"/>
    <w:rsid w:val="00672CB0"/>
    <w:rsid w:val="00673F36"/>
    <w:rsid w:val="0067510B"/>
    <w:rsid w:val="006753AD"/>
    <w:rsid w:val="00676025"/>
    <w:rsid w:val="0067735D"/>
    <w:rsid w:val="0068066E"/>
    <w:rsid w:val="00681C5C"/>
    <w:rsid w:val="00682051"/>
    <w:rsid w:val="00682374"/>
    <w:rsid w:val="00685AF8"/>
    <w:rsid w:val="00687C37"/>
    <w:rsid w:val="00687CC6"/>
    <w:rsid w:val="00687EAF"/>
    <w:rsid w:val="0069166F"/>
    <w:rsid w:val="00694A20"/>
    <w:rsid w:val="00694BA7"/>
    <w:rsid w:val="00695F2E"/>
    <w:rsid w:val="006A228F"/>
    <w:rsid w:val="006A2D4C"/>
    <w:rsid w:val="006A6309"/>
    <w:rsid w:val="006A6DDB"/>
    <w:rsid w:val="006A7178"/>
    <w:rsid w:val="006A7754"/>
    <w:rsid w:val="006B1A46"/>
    <w:rsid w:val="006B1CCC"/>
    <w:rsid w:val="006B29F7"/>
    <w:rsid w:val="006B2CC8"/>
    <w:rsid w:val="006B2D16"/>
    <w:rsid w:val="006C18A5"/>
    <w:rsid w:val="006C42CD"/>
    <w:rsid w:val="006C4F09"/>
    <w:rsid w:val="006C7A14"/>
    <w:rsid w:val="006D1926"/>
    <w:rsid w:val="006D4760"/>
    <w:rsid w:val="006E7CC7"/>
    <w:rsid w:val="006F5ED1"/>
    <w:rsid w:val="006F7379"/>
    <w:rsid w:val="0070444C"/>
    <w:rsid w:val="00704E9E"/>
    <w:rsid w:val="00705271"/>
    <w:rsid w:val="0070590C"/>
    <w:rsid w:val="00707BF1"/>
    <w:rsid w:val="00710E01"/>
    <w:rsid w:val="00712356"/>
    <w:rsid w:val="00712C85"/>
    <w:rsid w:val="00714C64"/>
    <w:rsid w:val="00715526"/>
    <w:rsid w:val="00715D32"/>
    <w:rsid w:val="0071762F"/>
    <w:rsid w:val="00720628"/>
    <w:rsid w:val="00723A29"/>
    <w:rsid w:val="00727F89"/>
    <w:rsid w:val="007305C2"/>
    <w:rsid w:val="0073199A"/>
    <w:rsid w:val="00731B64"/>
    <w:rsid w:val="007320D1"/>
    <w:rsid w:val="007346DC"/>
    <w:rsid w:val="00735D92"/>
    <w:rsid w:val="00740B69"/>
    <w:rsid w:val="00741B3A"/>
    <w:rsid w:val="00742CF3"/>
    <w:rsid w:val="00743684"/>
    <w:rsid w:val="00744A61"/>
    <w:rsid w:val="00750264"/>
    <w:rsid w:val="00752400"/>
    <w:rsid w:val="00752EE6"/>
    <w:rsid w:val="00752FD9"/>
    <w:rsid w:val="007530BF"/>
    <w:rsid w:val="0075460B"/>
    <w:rsid w:val="00760741"/>
    <w:rsid w:val="00764227"/>
    <w:rsid w:val="00764803"/>
    <w:rsid w:val="00765BC8"/>
    <w:rsid w:val="00767C77"/>
    <w:rsid w:val="00776DA7"/>
    <w:rsid w:val="00777937"/>
    <w:rsid w:val="007808F3"/>
    <w:rsid w:val="00790A21"/>
    <w:rsid w:val="0079325A"/>
    <w:rsid w:val="007A357D"/>
    <w:rsid w:val="007A3974"/>
    <w:rsid w:val="007A442F"/>
    <w:rsid w:val="007A6B7B"/>
    <w:rsid w:val="007A73F5"/>
    <w:rsid w:val="007A766E"/>
    <w:rsid w:val="007B1DBD"/>
    <w:rsid w:val="007B3A04"/>
    <w:rsid w:val="007C14D9"/>
    <w:rsid w:val="007C36D9"/>
    <w:rsid w:val="007C49C0"/>
    <w:rsid w:val="007C5624"/>
    <w:rsid w:val="007C6BC9"/>
    <w:rsid w:val="007C74E8"/>
    <w:rsid w:val="007C77BF"/>
    <w:rsid w:val="007D1D84"/>
    <w:rsid w:val="007D2BEE"/>
    <w:rsid w:val="007D2FC5"/>
    <w:rsid w:val="007D755C"/>
    <w:rsid w:val="007D7ACA"/>
    <w:rsid w:val="007E4F25"/>
    <w:rsid w:val="007F42D0"/>
    <w:rsid w:val="007F5352"/>
    <w:rsid w:val="007F6269"/>
    <w:rsid w:val="007F6A40"/>
    <w:rsid w:val="008008D4"/>
    <w:rsid w:val="00800AE7"/>
    <w:rsid w:val="008059B8"/>
    <w:rsid w:val="00805AAF"/>
    <w:rsid w:val="00806BA8"/>
    <w:rsid w:val="00806D2A"/>
    <w:rsid w:val="00813024"/>
    <w:rsid w:val="008163A6"/>
    <w:rsid w:val="00816DC3"/>
    <w:rsid w:val="00822D13"/>
    <w:rsid w:val="00831326"/>
    <w:rsid w:val="00832E8F"/>
    <w:rsid w:val="00832EA1"/>
    <w:rsid w:val="00833827"/>
    <w:rsid w:val="008338B0"/>
    <w:rsid w:val="0083500A"/>
    <w:rsid w:val="00836C16"/>
    <w:rsid w:val="0084027C"/>
    <w:rsid w:val="00841B53"/>
    <w:rsid w:val="00841C55"/>
    <w:rsid w:val="00843B7E"/>
    <w:rsid w:val="00844E1C"/>
    <w:rsid w:val="00853241"/>
    <w:rsid w:val="008538A4"/>
    <w:rsid w:val="00854272"/>
    <w:rsid w:val="00854B8D"/>
    <w:rsid w:val="00856B1E"/>
    <w:rsid w:val="00857FA3"/>
    <w:rsid w:val="008611DE"/>
    <w:rsid w:val="00861B86"/>
    <w:rsid w:val="00861C72"/>
    <w:rsid w:val="00862DEA"/>
    <w:rsid w:val="0086387E"/>
    <w:rsid w:val="008669FD"/>
    <w:rsid w:val="008671D7"/>
    <w:rsid w:val="00867C50"/>
    <w:rsid w:val="008701F2"/>
    <w:rsid w:val="00873683"/>
    <w:rsid w:val="00875A48"/>
    <w:rsid w:val="00877151"/>
    <w:rsid w:val="008774C4"/>
    <w:rsid w:val="00881ABA"/>
    <w:rsid w:val="008828F3"/>
    <w:rsid w:val="00883988"/>
    <w:rsid w:val="00883B3D"/>
    <w:rsid w:val="0088763E"/>
    <w:rsid w:val="00887A6F"/>
    <w:rsid w:val="008921AE"/>
    <w:rsid w:val="00892F08"/>
    <w:rsid w:val="00893FC5"/>
    <w:rsid w:val="00896335"/>
    <w:rsid w:val="00897DDE"/>
    <w:rsid w:val="008A0FA1"/>
    <w:rsid w:val="008A6AEF"/>
    <w:rsid w:val="008B136A"/>
    <w:rsid w:val="008B16B7"/>
    <w:rsid w:val="008B1A91"/>
    <w:rsid w:val="008B1BD7"/>
    <w:rsid w:val="008B203C"/>
    <w:rsid w:val="008B2754"/>
    <w:rsid w:val="008B4BD0"/>
    <w:rsid w:val="008B74CC"/>
    <w:rsid w:val="008C0244"/>
    <w:rsid w:val="008C0B3A"/>
    <w:rsid w:val="008C4163"/>
    <w:rsid w:val="008C59F6"/>
    <w:rsid w:val="008D0AE9"/>
    <w:rsid w:val="008D1BF8"/>
    <w:rsid w:val="008D24EA"/>
    <w:rsid w:val="008D3AEA"/>
    <w:rsid w:val="008D412F"/>
    <w:rsid w:val="008D4A48"/>
    <w:rsid w:val="008D7731"/>
    <w:rsid w:val="008E3FE8"/>
    <w:rsid w:val="008E67D5"/>
    <w:rsid w:val="008F0923"/>
    <w:rsid w:val="008F0E6C"/>
    <w:rsid w:val="008F1A3F"/>
    <w:rsid w:val="008F1DFC"/>
    <w:rsid w:val="008F2D7F"/>
    <w:rsid w:val="008F2F87"/>
    <w:rsid w:val="008F4BA3"/>
    <w:rsid w:val="00901456"/>
    <w:rsid w:val="00902A7A"/>
    <w:rsid w:val="00911DC2"/>
    <w:rsid w:val="00913416"/>
    <w:rsid w:val="00913BF6"/>
    <w:rsid w:val="00915619"/>
    <w:rsid w:val="00917DE0"/>
    <w:rsid w:val="009204E1"/>
    <w:rsid w:val="009211F6"/>
    <w:rsid w:val="00923B53"/>
    <w:rsid w:val="00930106"/>
    <w:rsid w:val="00936AD2"/>
    <w:rsid w:val="0094126D"/>
    <w:rsid w:val="00941ED8"/>
    <w:rsid w:val="0095090B"/>
    <w:rsid w:val="00951128"/>
    <w:rsid w:val="00952170"/>
    <w:rsid w:val="00954320"/>
    <w:rsid w:val="00957042"/>
    <w:rsid w:val="0096058D"/>
    <w:rsid w:val="00962AA6"/>
    <w:rsid w:val="00962B1C"/>
    <w:rsid w:val="00963556"/>
    <w:rsid w:val="009637E0"/>
    <w:rsid w:val="00964792"/>
    <w:rsid w:val="00964B4E"/>
    <w:rsid w:val="00967554"/>
    <w:rsid w:val="00971533"/>
    <w:rsid w:val="00972571"/>
    <w:rsid w:val="00973A3E"/>
    <w:rsid w:val="009834E7"/>
    <w:rsid w:val="00983F77"/>
    <w:rsid w:val="00984856"/>
    <w:rsid w:val="00987D97"/>
    <w:rsid w:val="00990F77"/>
    <w:rsid w:val="00993339"/>
    <w:rsid w:val="00995B18"/>
    <w:rsid w:val="009A1AC3"/>
    <w:rsid w:val="009A3982"/>
    <w:rsid w:val="009A3CA3"/>
    <w:rsid w:val="009B2CFE"/>
    <w:rsid w:val="009B407E"/>
    <w:rsid w:val="009B7510"/>
    <w:rsid w:val="009C0809"/>
    <w:rsid w:val="009C179B"/>
    <w:rsid w:val="009C402F"/>
    <w:rsid w:val="009C54BE"/>
    <w:rsid w:val="009C5CFF"/>
    <w:rsid w:val="009C6B76"/>
    <w:rsid w:val="009C76E1"/>
    <w:rsid w:val="009D45DF"/>
    <w:rsid w:val="009D5C69"/>
    <w:rsid w:val="009D607D"/>
    <w:rsid w:val="009D60F7"/>
    <w:rsid w:val="009E4B99"/>
    <w:rsid w:val="009E7E45"/>
    <w:rsid w:val="009F7D32"/>
    <w:rsid w:val="00A0123A"/>
    <w:rsid w:val="00A014BD"/>
    <w:rsid w:val="00A020A5"/>
    <w:rsid w:val="00A05151"/>
    <w:rsid w:val="00A104D4"/>
    <w:rsid w:val="00A110D1"/>
    <w:rsid w:val="00A12DA6"/>
    <w:rsid w:val="00A17A9E"/>
    <w:rsid w:val="00A21E9E"/>
    <w:rsid w:val="00A24A79"/>
    <w:rsid w:val="00A26CD2"/>
    <w:rsid w:val="00A27100"/>
    <w:rsid w:val="00A41720"/>
    <w:rsid w:val="00A46119"/>
    <w:rsid w:val="00A532F6"/>
    <w:rsid w:val="00A5546E"/>
    <w:rsid w:val="00A55493"/>
    <w:rsid w:val="00A56235"/>
    <w:rsid w:val="00A562D6"/>
    <w:rsid w:val="00A57909"/>
    <w:rsid w:val="00A579C5"/>
    <w:rsid w:val="00A57DF4"/>
    <w:rsid w:val="00A61875"/>
    <w:rsid w:val="00A63415"/>
    <w:rsid w:val="00A66C60"/>
    <w:rsid w:val="00A67A8B"/>
    <w:rsid w:val="00A706F5"/>
    <w:rsid w:val="00A7195F"/>
    <w:rsid w:val="00A71AB1"/>
    <w:rsid w:val="00A74D97"/>
    <w:rsid w:val="00A8181A"/>
    <w:rsid w:val="00A82D68"/>
    <w:rsid w:val="00A86675"/>
    <w:rsid w:val="00A87D20"/>
    <w:rsid w:val="00A93365"/>
    <w:rsid w:val="00A937A9"/>
    <w:rsid w:val="00A94F24"/>
    <w:rsid w:val="00A96AE7"/>
    <w:rsid w:val="00AA09B1"/>
    <w:rsid w:val="00AA2A99"/>
    <w:rsid w:val="00AA399F"/>
    <w:rsid w:val="00AA5F3A"/>
    <w:rsid w:val="00AA6B8C"/>
    <w:rsid w:val="00AA7594"/>
    <w:rsid w:val="00AB5AC4"/>
    <w:rsid w:val="00AB722C"/>
    <w:rsid w:val="00AB76F0"/>
    <w:rsid w:val="00AC0ED8"/>
    <w:rsid w:val="00AC11E0"/>
    <w:rsid w:val="00AC2362"/>
    <w:rsid w:val="00AC6899"/>
    <w:rsid w:val="00AD0C93"/>
    <w:rsid w:val="00AD1BC9"/>
    <w:rsid w:val="00AD2075"/>
    <w:rsid w:val="00AD4324"/>
    <w:rsid w:val="00AD4E68"/>
    <w:rsid w:val="00AD5E54"/>
    <w:rsid w:val="00AE0C9F"/>
    <w:rsid w:val="00AE1B56"/>
    <w:rsid w:val="00AF3ACB"/>
    <w:rsid w:val="00AF5A8F"/>
    <w:rsid w:val="00AF7BD4"/>
    <w:rsid w:val="00B0094F"/>
    <w:rsid w:val="00B00F27"/>
    <w:rsid w:val="00B01D12"/>
    <w:rsid w:val="00B03667"/>
    <w:rsid w:val="00B041B7"/>
    <w:rsid w:val="00B05202"/>
    <w:rsid w:val="00B07A16"/>
    <w:rsid w:val="00B10000"/>
    <w:rsid w:val="00B103EB"/>
    <w:rsid w:val="00B118ED"/>
    <w:rsid w:val="00B144EC"/>
    <w:rsid w:val="00B150DD"/>
    <w:rsid w:val="00B20B05"/>
    <w:rsid w:val="00B36A6A"/>
    <w:rsid w:val="00B36AF7"/>
    <w:rsid w:val="00B42F0C"/>
    <w:rsid w:val="00B4510A"/>
    <w:rsid w:val="00B461BB"/>
    <w:rsid w:val="00B47608"/>
    <w:rsid w:val="00B50B30"/>
    <w:rsid w:val="00B52BF5"/>
    <w:rsid w:val="00B57888"/>
    <w:rsid w:val="00B57AF5"/>
    <w:rsid w:val="00B604C2"/>
    <w:rsid w:val="00B61970"/>
    <w:rsid w:val="00B61CAF"/>
    <w:rsid w:val="00B63E63"/>
    <w:rsid w:val="00B641B2"/>
    <w:rsid w:val="00B71E04"/>
    <w:rsid w:val="00B72A7F"/>
    <w:rsid w:val="00B73473"/>
    <w:rsid w:val="00B77D37"/>
    <w:rsid w:val="00B80894"/>
    <w:rsid w:val="00B8134E"/>
    <w:rsid w:val="00B81FD5"/>
    <w:rsid w:val="00B852B0"/>
    <w:rsid w:val="00B85E70"/>
    <w:rsid w:val="00B876A4"/>
    <w:rsid w:val="00B87F3C"/>
    <w:rsid w:val="00B9261E"/>
    <w:rsid w:val="00B96242"/>
    <w:rsid w:val="00BA4F0C"/>
    <w:rsid w:val="00BA6FB4"/>
    <w:rsid w:val="00BA7409"/>
    <w:rsid w:val="00BB03B5"/>
    <w:rsid w:val="00BB3C6F"/>
    <w:rsid w:val="00BB5492"/>
    <w:rsid w:val="00BB6186"/>
    <w:rsid w:val="00BB6323"/>
    <w:rsid w:val="00BB6633"/>
    <w:rsid w:val="00BB7F69"/>
    <w:rsid w:val="00BC108F"/>
    <w:rsid w:val="00BC57AB"/>
    <w:rsid w:val="00BE1640"/>
    <w:rsid w:val="00BE4818"/>
    <w:rsid w:val="00BE4F8B"/>
    <w:rsid w:val="00BF5122"/>
    <w:rsid w:val="00BF7815"/>
    <w:rsid w:val="00BF7A05"/>
    <w:rsid w:val="00C04558"/>
    <w:rsid w:val="00C05023"/>
    <w:rsid w:val="00C05B00"/>
    <w:rsid w:val="00C05BC0"/>
    <w:rsid w:val="00C05EBA"/>
    <w:rsid w:val="00C11658"/>
    <w:rsid w:val="00C1346B"/>
    <w:rsid w:val="00C15AFA"/>
    <w:rsid w:val="00C2016F"/>
    <w:rsid w:val="00C22EE5"/>
    <w:rsid w:val="00C33FDB"/>
    <w:rsid w:val="00C34765"/>
    <w:rsid w:val="00C35F0A"/>
    <w:rsid w:val="00C40AD5"/>
    <w:rsid w:val="00C45113"/>
    <w:rsid w:val="00C47003"/>
    <w:rsid w:val="00C532D0"/>
    <w:rsid w:val="00C56A6B"/>
    <w:rsid w:val="00C57331"/>
    <w:rsid w:val="00C65B1A"/>
    <w:rsid w:val="00C7396E"/>
    <w:rsid w:val="00C7661D"/>
    <w:rsid w:val="00C76805"/>
    <w:rsid w:val="00C836D3"/>
    <w:rsid w:val="00C83713"/>
    <w:rsid w:val="00C83E43"/>
    <w:rsid w:val="00C84A88"/>
    <w:rsid w:val="00C8597F"/>
    <w:rsid w:val="00C907F8"/>
    <w:rsid w:val="00C90EB5"/>
    <w:rsid w:val="00C94589"/>
    <w:rsid w:val="00C94EB1"/>
    <w:rsid w:val="00C95C1B"/>
    <w:rsid w:val="00C96AA7"/>
    <w:rsid w:val="00C970DE"/>
    <w:rsid w:val="00C9729C"/>
    <w:rsid w:val="00CA0CE8"/>
    <w:rsid w:val="00CA2ECF"/>
    <w:rsid w:val="00CA7DC1"/>
    <w:rsid w:val="00CB068E"/>
    <w:rsid w:val="00CC36AB"/>
    <w:rsid w:val="00CC4CE9"/>
    <w:rsid w:val="00CC7CB4"/>
    <w:rsid w:val="00CD02BD"/>
    <w:rsid w:val="00CD1F8B"/>
    <w:rsid w:val="00CD26D8"/>
    <w:rsid w:val="00CD2748"/>
    <w:rsid w:val="00CD29D5"/>
    <w:rsid w:val="00CD3BE0"/>
    <w:rsid w:val="00CD3D65"/>
    <w:rsid w:val="00CD6D2B"/>
    <w:rsid w:val="00CE2820"/>
    <w:rsid w:val="00CE3B0C"/>
    <w:rsid w:val="00CE4945"/>
    <w:rsid w:val="00CE750D"/>
    <w:rsid w:val="00CE7887"/>
    <w:rsid w:val="00CE7E04"/>
    <w:rsid w:val="00CF059F"/>
    <w:rsid w:val="00CF3870"/>
    <w:rsid w:val="00CF5224"/>
    <w:rsid w:val="00CF7B7F"/>
    <w:rsid w:val="00D005A6"/>
    <w:rsid w:val="00D032E7"/>
    <w:rsid w:val="00D03435"/>
    <w:rsid w:val="00D03F47"/>
    <w:rsid w:val="00D04FA9"/>
    <w:rsid w:val="00D0658C"/>
    <w:rsid w:val="00D11968"/>
    <w:rsid w:val="00D13929"/>
    <w:rsid w:val="00D13F41"/>
    <w:rsid w:val="00D14A75"/>
    <w:rsid w:val="00D16988"/>
    <w:rsid w:val="00D17168"/>
    <w:rsid w:val="00D173F6"/>
    <w:rsid w:val="00D203FD"/>
    <w:rsid w:val="00D205C7"/>
    <w:rsid w:val="00D209B5"/>
    <w:rsid w:val="00D224A9"/>
    <w:rsid w:val="00D22F0B"/>
    <w:rsid w:val="00D27451"/>
    <w:rsid w:val="00D317DB"/>
    <w:rsid w:val="00D352E3"/>
    <w:rsid w:val="00D37237"/>
    <w:rsid w:val="00D41708"/>
    <w:rsid w:val="00D422E8"/>
    <w:rsid w:val="00D44C3D"/>
    <w:rsid w:val="00D47FA3"/>
    <w:rsid w:val="00D505BA"/>
    <w:rsid w:val="00D52FCC"/>
    <w:rsid w:val="00D55EEF"/>
    <w:rsid w:val="00D57E49"/>
    <w:rsid w:val="00D57F12"/>
    <w:rsid w:val="00D62E54"/>
    <w:rsid w:val="00D63891"/>
    <w:rsid w:val="00D63B77"/>
    <w:rsid w:val="00D63B9C"/>
    <w:rsid w:val="00D64ACF"/>
    <w:rsid w:val="00D74E1D"/>
    <w:rsid w:val="00D75875"/>
    <w:rsid w:val="00D75958"/>
    <w:rsid w:val="00D75CF3"/>
    <w:rsid w:val="00D77E66"/>
    <w:rsid w:val="00D85AAD"/>
    <w:rsid w:val="00D865DA"/>
    <w:rsid w:val="00D8692E"/>
    <w:rsid w:val="00D903C5"/>
    <w:rsid w:val="00D91E54"/>
    <w:rsid w:val="00DA11AD"/>
    <w:rsid w:val="00DA13BF"/>
    <w:rsid w:val="00DA3BBD"/>
    <w:rsid w:val="00DA45F8"/>
    <w:rsid w:val="00DA652B"/>
    <w:rsid w:val="00DB16AE"/>
    <w:rsid w:val="00DB52FD"/>
    <w:rsid w:val="00DC2C74"/>
    <w:rsid w:val="00DC6AFE"/>
    <w:rsid w:val="00DD1AA7"/>
    <w:rsid w:val="00DD2434"/>
    <w:rsid w:val="00DD355A"/>
    <w:rsid w:val="00DD3F5D"/>
    <w:rsid w:val="00DD5CE3"/>
    <w:rsid w:val="00DD5D0D"/>
    <w:rsid w:val="00DD5F05"/>
    <w:rsid w:val="00DD6573"/>
    <w:rsid w:val="00DD6CBA"/>
    <w:rsid w:val="00DD7BA9"/>
    <w:rsid w:val="00DE08A1"/>
    <w:rsid w:val="00DE300D"/>
    <w:rsid w:val="00DE4580"/>
    <w:rsid w:val="00DE7464"/>
    <w:rsid w:val="00DF09A9"/>
    <w:rsid w:val="00DF12A8"/>
    <w:rsid w:val="00DF1D2F"/>
    <w:rsid w:val="00E001B3"/>
    <w:rsid w:val="00E00DAD"/>
    <w:rsid w:val="00E015E3"/>
    <w:rsid w:val="00E02C29"/>
    <w:rsid w:val="00E03F0D"/>
    <w:rsid w:val="00E06301"/>
    <w:rsid w:val="00E06F16"/>
    <w:rsid w:val="00E074BA"/>
    <w:rsid w:val="00E11CAB"/>
    <w:rsid w:val="00E12DC5"/>
    <w:rsid w:val="00E14A9F"/>
    <w:rsid w:val="00E17A81"/>
    <w:rsid w:val="00E24DBE"/>
    <w:rsid w:val="00E25519"/>
    <w:rsid w:val="00E264AE"/>
    <w:rsid w:val="00E31ADF"/>
    <w:rsid w:val="00E33511"/>
    <w:rsid w:val="00E40173"/>
    <w:rsid w:val="00E40C2F"/>
    <w:rsid w:val="00E5134E"/>
    <w:rsid w:val="00E528E9"/>
    <w:rsid w:val="00E53C59"/>
    <w:rsid w:val="00E605DF"/>
    <w:rsid w:val="00E6209F"/>
    <w:rsid w:val="00E64364"/>
    <w:rsid w:val="00E647D2"/>
    <w:rsid w:val="00E674EF"/>
    <w:rsid w:val="00E73667"/>
    <w:rsid w:val="00E7379B"/>
    <w:rsid w:val="00E7402B"/>
    <w:rsid w:val="00E77E4B"/>
    <w:rsid w:val="00E81089"/>
    <w:rsid w:val="00E82AB9"/>
    <w:rsid w:val="00E87905"/>
    <w:rsid w:val="00E87A8F"/>
    <w:rsid w:val="00E90198"/>
    <w:rsid w:val="00E9127B"/>
    <w:rsid w:val="00E92079"/>
    <w:rsid w:val="00E92D57"/>
    <w:rsid w:val="00E979F5"/>
    <w:rsid w:val="00EA32E5"/>
    <w:rsid w:val="00EA3726"/>
    <w:rsid w:val="00EA3C5E"/>
    <w:rsid w:val="00EA7561"/>
    <w:rsid w:val="00EA791A"/>
    <w:rsid w:val="00EB02C4"/>
    <w:rsid w:val="00EB4565"/>
    <w:rsid w:val="00EB491F"/>
    <w:rsid w:val="00EB5675"/>
    <w:rsid w:val="00EC1203"/>
    <w:rsid w:val="00EC2C5A"/>
    <w:rsid w:val="00EC5588"/>
    <w:rsid w:val="00ED093B"/>
    <w:rsid w:val="00ED2ECB"/>
    <w:rsid w:val="00ED3B7B"/>
    <w:rsid w:val="00ED4FE6"/>
    <w:rsid w:val="00ED5FC4"/>
    <w:rsid w:val="00ED7748"/>
    <w:rsid w:val="00EE0905"/>
    <w:rsid w:val="00EE47F6"/>
    <w:rsid w:val="00EE53EA"/>
    <w:rsid w:val="00EE6167"/>
    <w:rsid w:val="00EF0BDE"/>
    <w:rsid w:val="00EF626A"/>
    <w:rsid w:val="00EF7263"/>
    <w:rsid w:val="00F001E2"/>
    <w:rsid w:val="00F01097"/>
    <w:rsid w:val="00F04A2B"/>
    <w:rsid w:val="00F1065E"/>
    <w:rsid w:val="00F108E1"/>
    <w:rsid w:val="00F124DB"/>
    <w:rsid w:val="00F1383C"/>
    <w:rsid w:val="00F142FF"/>
    <w:rsid w:val="00F17D9D"/>
    <w:rsid w:val="00F211A1"/>
    <w:rsid w:val="00F21C73"/>
    <w:rsid w:val="00F2368F"/>
    <w:rsid w:val="00F26347"/>
    <w:rsid w:val="00F2678B"/>
    <w:rsid w:val="00F26BF3"/>
    <w:rsid w:val="00F27070"/>
    <w:rsid w:val="00F2722D"/>
    <w:rsid w:val="00F27304"/>
    <w:rsid w:val="00F36BE4"/>
    <w:rsid w:val="00F37C5E"/>
    <w:rsid w:val="00F37CB1"/>
    <w:rsid w:val="00F40641"/>
    <w:rsid w:val="00F47CC0"/>
    <w:rsid w:val="00F5074A"/>
    <w:rsid w:val="00F51D8D"/>
    <w:rsid w:val="00F54A9A"/>
    <w:rsid w:val="00F5533E"/>
    <w:rsid w:val="00F55523"/>
    <w:rsid w:val="00F72D86"/>
    <w:rsid w:val="00F74AE6"/>
    <w:rsid w:val="00F74CB8"/>
    <w:rsid w:val="00F75AA1"/>
    <w:rsid w:val="00F81384"/>
    <w:rsid w:val="00F861C5"/>
    <w:rsid w:val="00F87468"/>
    <w:rsid w:val="00F92D8B"/>
    <w:rsid w:val="00F94359"/>
    <w:rsid w:val="00F9575F"/>
    <w:rsid w:val="00FA3082"/>
    <w:rsid w:val="00FA3D2B"/>
    <w:rsid w:val="00FA5235"/>
    <w:rsid w:val="00FA5931"/>
    <w:rsid w:val="00FA63A8"/>
    <w:rsid w:val="00FA7FBC"/>
    <w:rsid w:val="00FB0845"/>
    <w:rsid w:val="00FB4A9A"/>
    <w:rsid w:val="00FB4CE6"/>
    <w:rsid w:val="00FB55E8"/>
    <w:rsid w:val="00FB7E1D"/>
    <w:rsid w:val="00FC0808"/>
    <w:rsid w:val="00FC0E57"/>
    <w:rsid w:val="00FC1FE5"/>
    <w:rsid w:val="00FC2683"/>
    <w:rsid w:val="00FC2A28"/>
    <w:rsid w:val="00FC2B3E"/>
    <w:rsid w:val="00FC42E8"/>
    <w:rsid w:val="00FC54D9"/>
    <w:rsid w:val="00FC7211"/>
    <w:rsid w:val="00FD040C"/>
    <w:rsid w:val="00FD2778"/>
    <w:rsid w:val="00FD33E4"/>
    <w:rsid w:val="00FE15FF"/>
    <w:rsid w:val="00FE5DEA"/>
    <w:rsid w:val="00FE5E89"/>
    <w:rsid w:val="00FF26AB"/>
    <w:rsid w:val="00FF3CB6"/>
    <w:rsid w:val="00FF6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qFormat="1"/>
    <w:lsdException w:name="footer" w:locked="1" w:unhideWhenUsed="1"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C42E8"/>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FC42E8"/>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FC42E8"/>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FC42E8"/>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FC42E8"/>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FC42E8"/>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FC42E8"/>
    <w:pPr>
      <w:outlineLvl w:val="5"/>
    </w:pPr>
  </w:style>
  <w:style w:type="paragraph" w:styleId="Heading7">
    <w:name w:val="heading 7"/>
    <w:aliases w:val="Heading 7 (business proposal only)"/>
    <w:basedOn w:val="Normal"/>
    <w:next w:val="Normal"/>
    <w:link w:val="Heading7Char"/>
    <w:uiPriority w:val="99"/>
    <w:qFormat/>
    <w:rsid w:val="00FC42E8"/>
    <w:pPr>
      <w:outlineLvl w:val="6"/>
    </w:pPr>
  </w:style>
  <w:style w:type="paragraph" w:styleId="Heading8">
    <w:name w:val="heading 8"/>
    <w:aliases w:val="Heading 8 (business proposal only)"/>
    <w:basedOn w:val="Normal"/>
    <w:next w:val="Normal"/>
    <w:link w:val="Heading8Char"/>
    <w:uiPriority w:val="99"/>
    <w:qFormat/>
    <w:rsid w:val="00FC42E8"/>
    <w:pPr>
      <w:outlineLvl w:val="7"/>
    </w:pPr>
  </w:style>
  <w:style w:type="paragraph" w:styleId="Heading9">
    <w:name w:val="heading 9"/>
    <w:aliases w:val="Heading 9 (business proposal only)"/>
    <w:basedOn w:val="Normal"/>
    <w:next w:val="Normal"/>
    <w:link w:val="Heading9Char"/>
    <w:uiPriority w:val="99"/>
    <w:qFormat/>
    <w:rsid w:val="00FC42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2B3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C2B3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C2B3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C2B3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FC2B3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FC2B3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FC2B3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FC2B3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FC2B3E"/>
    <w:rPr>
      <w:rFonts w:ascii="Cambria" w:hAnsi="Cambria" w:cs="Times New Roman"/>
    </w:rPr>
  </w:style>
  <w:style w:type="paragraph" w:styleId="TOC1">
    <w:name w:val="toc 1"/>
    <w:basedOn w:val="Normal"/>
    <w:next w:val="Normalcontinued"/>
    <w:autoRedefine/>
    <w:uiPriority w:val="39"/>
    <w:rsid w:val="006135E7"/>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FC42E8"/>
    <w:pPr>
      <w:spacing w:after="240" w:line="240" w:lineRule="auto"/>
    </w:pPr>
  </w:style>
  <w:style w:type="paragraph" w:styleId="Footer">
    <w:name w:val="footer"/>
    <w:basedOn w:val="Normal"/>
    <w:link w:val="FooterChar"/>
    <w:uiPriority w:val="99"/>
    <w:qFormat/>
    <w:rsid w:val="00FC42E8"/>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FC2B3E"/>
    <w:rPr>
      <w:rFonts w:cs="Times New Roman"/>
      <w:sz w:val="24"/>
      <w:szCs w:val="24"/>
    </w:rPr>
  </w:style>
  <w:style w:type="character" w:styleId="PageNumber">
    <w:name w:val="page number"/>
    <w:basedOn w:val="DefaultParagraphFont"/>
    <w:uiPriority w:val="99"/>
    <w:semiHidden/>
    <w:qFormat/>
    <w:rsid w:val="00FC42E8"/>
    <w:rPr>
      <w:rFonts w:ascii="Garamond" w:hAnsi="Garamond" w:cs="Times New Roman"/>
      <w:sz w:val="24"/>
    </w:rPr>
  </w:style>
  <w:style w:type="paragraph" w:customStyle="1" w:styleId="Heading1Black">
    <w:name w:val="Heading 1_Black"/>
    <w:basedOn w:val="Normal"/>
    <w:next w:val="Normal"/>
    <w:uiPriority w:val="99"/>
    <w:rsid w:val="00FC42E8"/>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FC42E8"/>
    <w:pPr>
      <w:spacing w:after="240"/>
    </w:pPr>
  </w:style>
  <w:style w:type="paragraph" w:styleId="TOC2">
    <w:name w:val="toc 2"/>
    <w:basedOn w:val="Normal"/>
    <w:next w:val="Normal"/>
    <w:autoRedefine/>
    <w:uiPriority w:val="39"/>
    <w:rsid w:val="00485E66"/>
    <w:pPr>
      <w:tabs>
        <w:tab w:val="clear" w:pos="432"/>
        <w:tab w:val="left" w:pos="1008"/>
        <w:tab w:val="left" w:pos="1890"/>
        <w:tab w:val="right" w:leader="dot" w:pos="9360"/>
      </w:tabs>
      <w:spacing w:after="240" w:line="240" w:lineRule="auto"/>
      <w:ind w:left="1890" w:right="475" w:hanging="882"/>
      <w:jc w:val="left"/>
    </w:pPr>
    <w:rPr>
      <w:rFonts w:ascii="Lucida Sans" w:hAnsi="Lucida Sans"/>
      <w:sz w:val="22"/>
    </w:rPr>
  </w:style>
  <w:style w:type="paragraph" w:styleId="TOC3">
    <w:name w:val="toc 3"/>
    <w:basedOn w:val="Normal"/>
    <w:next w:val="Normal"/>
    <w:autoRedefine/>
    <w:uiPriority w:val="39"/>
    <w:rsid w:val="00485E66"/>
    <w:pPr>
      <w:tabs>
        <w:tab w:val="clear" w:pos="432"/>
        <w:tab w:val="left" w:pos="1915"/>
        <w:tab w:val="right" w:leader="dot" w:pos="9360"/>
      </w:tabs>
      <w:spacing w:after="120"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FC42E8"/>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FC42E8"/>
    <w:pPr>
      <w:spacing w:after="120" w:line="240" w:lineRule="auto"/>
    </w:pPr>
    <w:rPr>
      <w:sz w:val="20"/>
    </w:rPr>
  </w:style>
  <w:style w:type="character" w:customStyle="1" w:styleId="FootnoteTextChar">
    <w:name w:val="Footnote Text Char"/>
    <w:basedOn w:val="DefaultParagraphFont"/>
    <w:link w:val="FootnoteText"/>
    <w:uiPriority w:val="99"/>
    <w:semiHidden/>
    <w:locked/>
    <w:rsid w:val="00FC2B3E"/>
    <w:rPr>
      <w:rFonts w:cs="Times New Roman"/>
      <w:sz w:val="20"/>
      <w:szCs w:val="20"/>
    </w:rPr>
  </w:style>
  <w:style w:type="paragraph" w:customStyle="1" w:styleId="Dash">
    <w:name w:val="Dash"/>
    <w:uiPriority w:val="99"/>
    <w:rsid w:val="00FC42E8"/>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FC42E8"/>
    <w:pPr>
      <w:tabs>
        <w:tab w:val="num" w:pos="1080"/>
      </w:tabs>
      <w:spacing w:after="240"/>
    </w:pPr>
  </w:style>
  <w:style w:type="paragraph" w:customStyle="1" w:styleId="NumberedBullet">
    <w:name w:val="Numbered Bullet"/>
    <w:basedOn w:val="Normal"/>
    <w:uiPriority w:val="99"/>
    <w:rsid w:val="00FC42E8"/>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FC42E8"/>
    <w:pPr>
      <w:tabs>
        <w:tab w:val="clear" w:pos="432"/>
      </w:tabs>
      <w:spacing w:after="240" w:line="240" w:lineRule="auto"/>
      <w:ind w:left="720" w:hanging="720"/>
    </w:pPr>
  </w:style>
  <w:style w:type="character" w:styleId="FootnoteReference">
    <w:name w:val="footnote reference"/>
    <w:basedOn w:val="DefaultParagraphFont"/>
    <w:uiPriority w:val="99"/>
    <w:rsid w:val="00FC42E8"/>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FC42E8"/>
    <w:pPr>
      <w:spacing w:after="240" w:line="240" w:lineRule="auto"/>
    </w:pPr>
  </w:style>
  <w:style w:type="character" w:customStyle="1" w:styleId="EndnoteTextChar">
    <w:name w:val="Endnote Text Char"/>
    <w:basedOn w:val="DefaultParagraphFont"/>
    <w:link w:val="EndnoteText"/>
    <w:uiPriority w:val="99"/>
    <w:semiHidden/>
    <w:locked/>
    <w:rsid w:val="00FC2B3E"/>
    <w:rPr>
      <w:rFonts w:cs="Times New Roman"/>
      <w:sz w:val="20"/>
      <w:szCs w:val="20"/>
    </w:rPr>
  </w:style>
  <w:style w:type="character" w:styleId="EndnoteReference">
    <w:name w:val="endnote reference"/>
    <w:basedOn w:val="DefaultParagraphFont"/>
    <w:uiPriority w:val="99"/>
    <w:semiHidden/>
    <w:rsid w:val="00FC42E8"/>
    <w:rPr>
      <w:rFonts w:cs="Times New Roman"/>
      <w:vertAlign w:val="superscript"/>
    </w:rPr>
  </w:style>
  <w:style w:type="paragraph" w:customStyle="1" w:styleId="MarkforTableHeading">
    <w:name w:val="Mark for Table Heading"/>
    <w:basedOn w:val="Normal"/>
    <w:next w:val="Normal"/>
    <w:uiPriority w:val="99"/>
    <w:rsid w:val="00FC42E8"/>
    <w:pPr>
      <w:keepNext/>
      <w:spacing w:after="60" w:line="240" w:lineRule="auto"/>
      <w:ind w:firstLine="0"/>
    </w:pPr>
    <w:rPr>
      <w:rFonts w:ascii="Lucida Sans" w:hAnsi="Lucida Sans"/>
      <w:b/>
      <w:sz w:val="18"/>
    </w:rPr>
  </w:style>
  <w:style w:type="paragraph" w:customStyle="1" w:styleId="References">
    <w:name w:val="References"/>
    <w:basedOn w:val="Normal"/>
    <w:uiPriority w:val="99"/>
    <w:qFormat/>
    <w:rsid w:val="00FC42E8"/>
    <w:pPr>
      <w:spacing w:after="240" w:line="240" w:lineRule="auto"/>
      <w:ind w:left="432" w:hanging="432"/>
    </w:pPr>
  </w:style>
  <w:style w:type="paragraph" w:customStyle="1" w:styleId="MarkforFigureHeading">
    <w:name w:val="Mark for Figure Heading"/>
    <w:basedOn w:val="MarkforTableHeading"/>
    <w:next w:val="Normal"/>
    <w:uiPriority w:val="99"/>
    <w:rsid w:val="00FC42E8"/>
  </w:style>
  <w:style w:type="paragraph" w:customStyle="1" w:styleId="MarkforExhibitHeading">
    <w:name w:val="Mark for Exhibit Heading"/>
    <w:basedOn w:val="Normal"/>
    <w:next w:val="Normal"/>
    <w:uiPriority w:val="99"/>
    <w:rsid w:val="00FC42E8"/>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rsid w:val="00FC42E8"/>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FC42E8"/>
    <w:rPr>
      <w:rFonts w:cs="Times New Roman"/>
      <w:vanish/>
      <w:color w:val="FF0000"/>
    </w:rPr>
  </w:style>
  <w:style w:type="paragraph" w:customStyle="1" w:styleId="NumberedBulletLASTSS">
    <w:name w:val="Numbered Bullet (LAST SS)"/>
    <w:basedOn w:val="NumberedBullet"/>
    <w:next w:val="Normal"/>
    <w:uiPriority w:val="99"/>
    <w:rsid w:val="00FC42E8"/>
    <w:pPr>
      <w:spacing w:after="240"/>
    </w:pPr>
  </w:style>
  <w:style w:type="paragraph" w:customStyle="1" w:styleId="ColorfulList-Accent11">
    <w:name w:val="Colorful List - Accent 11"/>
    <w:basedOn w:val="Normal"/>
    <w:uiPriority w:val="99"/>
    <w:semiHidden/>
    <w:rsid w:val="00FC42E8"/>
    <w:pPr>
      <w:numPr>
        <w:numId w:val="6"/>
      </w:numPr>
      <w:ind w:left="720" w:hanging="288"/>
      <w:contextualSpacing/>
    </w:pPr>
  </w:style>
  <w:style w:type="paragraph" w:styleId="Header">
    <w:name w:val="header"/>
    <w:basedOn w:val="Normal"/>
    <w:link w:val="HeaderChar"/>
    <w:uiPriority w:val="99"/>
    <w:qFormat/>
    <w:rsid w:val="00FC42E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FC42E8"/>
    <w:rPr>
      <w:rFonts w:cs="Times New Roman"/>
      <w:i/>
      <w:sz w:val="22"/>
    </w:rPr>
  </w:style>
  <w:style w:type="paragraph" w:styleId="BalloonText">
    <w:name w:val="Balloon Text"/>
    <w:basedOn w:val="Normal"/>
    <w:link w:val="BalloonTextChar"/>
    <w:uiPriority w:val="99"/>
    <w:semiHidden/>
    <w:rsid w:val="00FC42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2E8"/>
    <w:rPr>
      <w:rFonts w:ascii="Tahoma" w:hAnsi="Tahoma" w:cs="Tahoma"/>
      <w:sz w:val="16"/>
      <w:szCs w:val="16"/>
    </w:rPr>
  </w:style>
  <w:style w:type="paragraph" w:customStyle="1" w:styleId="TableFootnoteCaption">
    <w:name w:val="Table Footnote_Caption"/>
    <w:basedOn w:val="NormalSS"/>
    <w:uiPriority w:val="99"/>
    <w:rsid w:val="00FC42E8"/>
    <w:pPr>
      <w:spacing w:after="120"/>
      <w:ind w:firstLine="0"/>
    </w:pPr>
    <w:rPr>
      <w:rFonts w:ascii="Lucida Sans" w:hAnsi="Lucida Sans"/>
      <w:sz w:val="20"/>
    </w:rPr>
  </w:style>
  <w:style w:type="paragraph" w:customStyle="1" w:styleId="TableHeaderCenter">
    <w:name w:val="Table Header Center"/>
    <w:basedOn w:val="NormalSS"/>
    <w:uiPriority w:val="99"/>
    <w:rsid w:val="00FC42E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FC42E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FC42E8"/>
    <w:pPr>
      <w:ind w:firstLine="0"/>
    </w:pPr>
  </w:style>
  <w:style w:type="paragraph" w:customStyle="1" w:styleId="NormalSScontinued">
    <w:name w:val="NormalSS (continued)"/>
    <w:basedOn w:val="NormalSS"/>
    <w:next w:val="NormalSS"/>
    <w:uiPriority w:val="99"/>
    <w:rsid w:val="00FC42E8"/>
    <w:pPr>
      <w:ind w:firstLine="0"/>
    </w:pPr>
  </w:style>
  <w:style w:type="paragraph" w:customStyle="1" w:styleId="ParagraphLASTcontinued">
    <w:name w:val="Paragraph (LAST_continued)"/>
    <w:basedOn w:val="ParagraphLAST"/>
    <w:next w:val="Normal"/>
    <w:uiPriority w:val="99"/>
    <w:rsid w:val="00FC42E8"/>
    <w:pPr>
      <w:ind w:firstLine="0"/>
    </w:pPr>
  </w:style>
  <w:style w:type="paragraph" w:customStyle="1" w:styleId="TableText">
    <w:name w:val="Table Text"/>
    <w:basedOn w:val="NormalSS"/>
    <w:uiPriority w:val="99"/>
    <w:rsid w:val="00FC42E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FC42E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FC42E8"/>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FC42E8"/>
    <w:rPr>
      <w:color w:val="C00000"/>
    </w:rPr>
  </w:style>
  <w:style w:type="paragraph" w:customStyle="1" w:styleId="AcknowledgmentnoTOCBlue">
    <w:name w:val="Acknowledgment no TOC_Blue"/>
    <w:basedOn w:val="AcknowledgmentnoTOCBlack"/>
    <w:next w:val="Normal"/>
    <w:uiPriority w:val="99"/>
    <w:rsid w:val="00FC42E8"/>
    <w:rPr>
      <w:color w:val="345294"/>
    </w:rPr>
  </w:style>
  <w:style w:type="paragraph" w:customStyle="1" w:styleId="BulletBlack">
    <w:name w:val="Bullet_Black"/>
    <w:basedOn w:val="Normal"/>
    <w:uiPriority w:val="99"/>
    <w:rsid w:val="00FC42E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FC42E8"/>
    <w:pPr>
      <w:numPr>
        <w:numId w:val="12"/>
      </w:numPr>
    </w:pPr>
  </w:style>
  <w:style w:type="paragraph" w:customStyle="1" w:styleId="BulletBlue">
    <w:name w:val="Bullet_Blue"/>
    <w:basedOn w:val="BulletBlack"/>
    <w:uiPriority w:val="99"/>
    <w:rsid w:val="00FC42E8"/>
    <w:pPr>
      <w:numPr>
        <w:numId w:val="10"/>
      </w:numPr>
    </w:pPr>
  </w:style>
  <w:style w:type="paragraph" w:customStyle="1" w:styleId="BulletBlackLastSS">
    <w:name w:val="Bullet_Black (Last SS)"/>
    <w:basedOn w:val="BulletBlack"/>
    <w:next w:val="NormalSS"/>
    <w:uiPriority w:val="99"/>
    <w:rsid w:val="00FC42E8"/>
    <w:pPr>
      <w:spacing w:after="240"/>
    </w:pPr>
  </w:style>
  <w:style w:type="paragraph" w:customStyle="1" w:styleId="BulletRedLastSS">
    <w:name w:val="Bullet_Red (Last SS)"/>
    <w:basedOn w:val="BulletBlackLastSS"/>
    <w:next w:val="NormalSS"/>
    <w:uiPriority w:val="99"/>
    <w:rsid w:val="00FC42E8"/>
    <w:pPr>
      <w:numPr>
        <w:numId w:val="13"/>
      </w:numPr>
    </w:pPr>
  </w:style>
  <w:style w:type="paragraph" w:customStyle="1" w:styleId="BulletBlueLastSS">
    <w:name w:val="Bullet_Blue (Last SS)"/>
    <w:basedOn w:val="BulletBlackLastSS"/>
    <w:next w:val="NormalSS"/>
    <w:uiPriority w:val="99"/>
    <w:rsid w:val="00FC42E8"/>
    <w:pPr>
      <w:numPr>
        <w:numId w:val="11"/>
      </w:numPr>
    </w:pPr>
  </w:style>
  <w:style w:type="paragraph" w:customStyle="1" w:styleId="BulletBlackLastDS">
    <w:name w:val="Bullet_Black (Last DS)"/>
    <w:basedOn w:val="BulletBlackLastSS"/>
    <w:next w:val="Normal"/>
    <w:uiPriority w:val="99"/>
    <w:rsid w:val="00FC42E8"/>
    <w:pPr>
      <w:spacing w:after="360"/>
    </w:pPr>
  </w:style>
  <w:style w:type="paragraph" w:customStyle="1" w:styleId="BulletRedLastDS">
    <w:name w:val="Bullet_Red (Last DS)"/>
    <w:basedOn w:val="BulletRedLastSS"/>
    <w:next w:val="Normal"/>
    <w:uiPriority w:val="99"/>
    <w:rsid w:val="00FC42E8"/>
    <w:pPr>
      <w:spacing w:after="360"/>
    </w:pPr>
  </w:style>
  <w:style w:type="paragraph" w:customStyle="1" w:styleId="BulletBlueLastDS">
    <w:name w:val="Bullet_Blue (Last DS)"/>
    <w:basedOn w:val="BulletBlackLastDS"/>
    <w:next w:val="Normal"/>
    <w:uiPriority w:val="99"/>
    <w:rsid w:val="00FC42E8"/>
    <w:pPr>
      <w:numPr>
        <w:numId w:val="14"/>
      </w:numPr>
    </w:pPr>
  </w:style>
  <w:style w:type="table" w:styleId="TableGrid">
    <w:name w:val="Table Grid"/>
    <w:basedOn w:val="TableNormal"/>
    <w:uiPriority w:val="99"/>
    <w:rsid w:val="00FC42E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FC42E8"/>
    <w:rPr>
      <w:color w:val="C00000"/>
    </w:rPr>
  </w:style>
  <w:style w:type="paragraph" w:customStyle="1" w:styleId="Heading1Blue">
    <w:name w:val="Heading 1_Blue"/>
    <w:basedOn w:val="Heading1Black"/>
    <w:next w:val="Normal"/>
    <w:uiPriority w:val="99"/>
    <w:rsid w:val="00FC42E8"/>
    <w:rPr>
      <w:color w:val="345294"/>
    </w:rPr>
  </w:style>
  <w:style w:type="paragraph" w:customStyle="1" w:styleId="Heading2Black">
    <w:name w:val="Heading 2_Black"/>
    <w:basedOn w:val="Normal"/>
    <w:next w:val="Normal"/>
    <w:uiPriority w:val="99"/>
    <w:rsid w:val="00FC42E8"/>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FC42E8"/>
    <w:rPr>
      <w:color w:val="C00000"/>
    </w:rPr>
  </w:style>
  <w:style w:type="paragraph" w:customStyle="1" w:styleId="Heading2Blue">
    <w:name w:val="Heading 2_Blue"/>
    <w:basedOn w:val="Heading2Black"/>
    <w:next w:val="Normal"/>
    <w:uiPriority w:val="99"/>
    <w:rsid w:val="00FC42E8"/>
    <w:rPr>
      <w:color w:val="345294"/>
    </w:rPr>
  </w:style>
  <w:style w:type="paragraph" w:customStyle="1" w:styleId="Heading2BlackNoTOC">
    <w:name w:val="Heading 2_Black No TOC"/>
    <w:basedOn w:val="Heading2Black"/>
    <w:next w:val="Normal"/>
    <w:uiPriority w:val="99"/>
    <w:rsid w:val="00FC42E8"/>
  </w:style>
  <w:style w:type="paragraph" w:customStyle="1" w:styleId="Heading2RedNoTOC">
    <w:name w:val="Heading 2_Red No TOC"/>
    <w:basedOn w:val="Heading2Red"/>
    <w:next w:val="Normal"/>
    <w:uiPriority w:val="99"/>
    <w:rsid w:val="00FC42E8"/>
  </w:style>
  <w:style w:type="paragraph" w:customStyle="1" w:styleId="Heading2BlueNoTOC">
    <w:name w:val="Heading 2_Blue No TOC"/>
    <w:basedOn w:val="Heading2Blue"/>
    <w:next w:val="Normal"/>
    <w:uiPriority w:val="99"/>
    <w:rsid w:val="00FC42E8"/>
  </w:style>
  <w:style w:type="paragraph" w:customStyle="1" w:styleId="MarkforAttachmentHeadingBlack">
    <w:name w:val="Mark for Attachment Heading_Black"/>
    <w:basedOn w:val="Normal"/>
    <w:next w:val="Normal"/>
    <w:uiPriority w:val="99"/>
    <w:rsid w:val="00FC42E8"/>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FC42E8"/>
    <w:rPr>
      <w:color w:val="C00000"/>
    </w:rPr>
  </w:style>
  <w:style w:type="paragraph" w:customStyle="1" w:styleId="MarkforAttachmentHeadingBlue">
    <w:name w:val="Mark for Attachment Heading_Blue"/>
    <w:basedOn w:val="MarkforAttachmentHeadingBlack"/>
    <w:next w:val="Normal"/>
    <w:uiPriority w:val="99"/>
    <w:rsid w:val="00FC42E8"/>
    <w:rPr>
      <w:color w:val="345294"/>
    </w:rPr>
  </w:style>
  <w:style w:type="paragraph" w:customStyle="1" w:styleId="MarkforAppendixHeadingBlack">
    <w:name w:val="Mark for Appendix Heading_Black"/>
    <w:basedOn w:val="Normal"/>
    <w:next w:val="Normal"/>
    <w:uiPriority w:val="99"/>
    <w:qFormat/>
    <w:rsid w:val="00FC42E8"/>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FC42E8"/>
    <w:rPr>
      <w:color w:val="C00000"/>
    </w:rPr>
  </w:style>
  <w:style w:type="paragraph" w:customStyle="1" w:styleId="MarkforAppendixHeadingBlue">
    <w:name w:val="Mark for Appendix Heading_Blue"/>
    <w:basedOn w:val="MarkforAppendixHeadingBlack"/>
    <w:next w:val="Normal"/>
    <w:uiPriority w:val="99"/>
    <w:rsid w:val="00FC42E8"/>
    <w:rPr>
      <w:color w:val="345294"/>
    </w:rPr>
  </w:style>
  <w:style w:type="paragraph" w:customStyle="1" w:styleId="NumberedBulletLastDS">
    <w:name w:val="Numbered Bullet (Last DS)"/>
    <w:basedOn w:val="NumberedBulletLASTSS"/>
    <w:next w:val="Normal"/>
    <w:uiPriority w:val="99"/>
    <w:rsid w:val="00FC42E8"/>
    <w:pPr>
      <w:spacing w:after="360"/>
    </w:pPr>
  </w:style>
  <w:style w:type="paragraph" w:customStyle="1" w:styleId="TableSignificanceCaption">
    <w:name w:val="Table Significance_Caption"/>
    <w:basedOn w:val="TableSourceCaption"/>
    <w:uiPriority w:val="99"/>
    <w:rsid w:val="00FC42E8"/>
    <w:pPr>
      <w:spacing w:after="0"/>
    </w:pPr>
  </w:style>
  <w:style w:type="paragraph" w:customStyle="1" w:styleId="TitleofDocumentVertical">
    <w:name w:val="Title of Document Vertical"/>
    <w:basedOn w:val="Normal"/>
    <w:uiPriority w:val="99"/>
    <w:rsid w:val="00FC42E8"/>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FC42E8"/>
    <w:pPr>
      <w:spacing w:before="0" w:after="160"/>
    </w:pPr>
  </w:style>
  <w:style w:type="paragraph" w:customStyle="1" w:styleId="TitleofDocumentNoPhoto">
    <w:name w:val="Title of Document No Photo"/>
    <w:basedOn w:val="TitleofDocumentHorizontal"/>
    <w:uiPriority w:val="99"/>
    <w:rsid w:val="00FC42E8"/>
  </w:style>
  <w:style w:type="paragraph" w:customStyle="1" w:styleId="TableSpace">
    <w:name w:val="TableSpace"/>
    <w:basedOn w:val="TableSourceCaption"/>
    <w:next w:val="TableFootnoteCaption"/>
    <w:uiPriority w:val="99"/>
    <w:semiHidden/>
    <w:rsid w:val="00FC42E8"/>
    <w:pPr>
      <w:spacing w:after="0"/>
    </w:pPr>
  </w:style>
  <w:style w:type="table" w:customStyle="1" w:styleId="SMPRTableRed">
    <w:name w:val="SMPR_Table_Red"/>
    <w:uiPriority w:val="99"/>
    <w:rsid w:val="00FC42E8"/>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FC42E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C42E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FC42E8"/>
    <w:pPr>
      <w:tabs>
        <w:tab w:val="clear" w:pos="432"/>
      </w:tabs>
      <w:spacing w:after="100"/>
      <w:ind w:left="960"/>
    </w:pPr>
  </w:style>
  <w:style w:type="paragraph" w:styleId="TOC6">
    <w:name w:val="toc 6"/>
    <w:basedOn w:val="Normal"/>
    <w:next w:val="Normal"/>
    <w:autoRedefine/>
    <w:uiPriority w:val="99"/>
    <w:semiHidden/>
    <w:rsid w:val="00FC42E8"/>
    <w:pPr>
      <w:tabs>
        <w:tab w:val="clear" w:pos="432"/>
      </w:tabs>
      <w:spacing w:after="100"/>
      <w:ind w:left="1200"/>
    </w:pPr>
  </w:style>
  <w:style w:type="paragraph" w:styleId="TOC7">
    <w:name w:val="toc 7"/>
    <w:basedOn w:val="Normal"/>
    <w:next w:val="Normal"/>
    <w:autoRedefine/>
    <w:uiPriority w:val="99"/>
    <w:semiHidden/>
    <w:rsid w:val="00FC42E8"/>
    <w:pPr>
      <w:tabs>
        <w:tab w:val="clear" w:pos="432"/>
      </w:tabs>
      <w:spacing w:after="100"/>
      <w:ind w:left="1440"/>
    </w:pPr>
  </w:style>
  <w:style w:type="paragraph" w:styleId="TOC8">
    <w:name w:val="toc 8"/>
    <w:basedOn w:val="Normal"/>
    <w:next w:val="Normal"/>
    <w:autoRedefine/>
    <w:uiPriority w:val="99"/>
    <w:semiHidden/>
    <w:rsid w:val="00FC42E8"/>
    <w:pPr>
      <w:tabs>
        <w:tab w:val="clear" w:pos="432"/>
      </w:tabs>
      <w:spacing w:after="100"/>
      <w:ind w:left="1680"/>
    </w:pPr>
  </w:style>
  <w:style w:type="paragraph" w:styleId="TOC9">
    <w:name w:val="toc 9"/>
    <w:basedOn w:val="Normal"/>
    <w:next w:val="Normal"/>
    <w:autoRedefine/>
    <w:uiPriority w:val="99"/>
    <w:semiHidden/>
    <w:rsid w:val="00FC42E8"/>
    <w:pPr>
      <w:tabs>
        <w:tab w:val="clear" w:pos="432"/>
      </w:tabs>
      <w:spacing w:after="100"/>
      <w:ind w:left="1920"/>
    </w:pPr>
  </w:style>
  <w:style w:type="character" w:styleId="CommentReference">
    <w:name w:val="annotation reference"/>
    <w:basedOn w:val="DefaultParagraphFont"/>
    <w:uiPriority w:val="99"/>
    <w:semiHidden/>
    <w:rsid w:val="00FC42E8"/>
    <w:rPr>
      <w:rFonts w:cs="Times New Roman"/>
      <w:sz w:val="16"/>
      <w:szCs w:val="16"/>
    </w:rPr>
  </w:style>
  <w:style w:type="paragraph" w:styleId="CommentText">
    <w:name w:val="annotation text"/>
    <w:basedOn w:val="Normal"/>
    <w:link w:val="CommentTextChar"/>
    <w:uiPriority w:val="99"/>
    <w:semiHidden/>
    <w:rsid w:val="00FC42E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C42E8"/>
    <w:rPr>
      <w:rFonts w:cs="Times New Roman"/>
      <w:sz w:val="20"/>
      <w:szCs w:val="20"/>
    </w:rPr>
  </w:style>
  <w:style w:type="paragraph" w:styleId="CommentSubject">
    <w:name w:val="annotation subject"/>
    <w:basedOn w:val="CommentText"/>
    <w:next w:val="CommentText"/>
    <w:link w:val="CommentSubjectChar"/>
    <w:uiPriority w:val="99"/>
    <w:semiHidden/>
    <w:rsid w:val="00FC42E8"/>
    <w:rPr>
      <w:b/>
      <w:bCs/>
    </w:rPr>
  </w:style>
  <w:style w:type="character" w:customStyle="1" w:styleId="CommentSubjectChar">
    <w:name w:val="Comment Subject Char"/>
    <w:basedOn w:val="CommentTextChar"/>
    <w:link w:val="CommentSubject"/>
    <w:uiPriority w:val="99"/>
    <w:semiHidden/>
    <w:locked/>
    <w:rsid w:val="00FC42E8"/>
    <w:rPr>
      <w:b/>
      <w:bCs/>
    </w:rPr>
  </w:style>
  <w:style w:type="paragraph" w:customStyle="1" w:styleId="ColorfulShading-Accent11">
    <w:name w:val="Colorful Shading - Accent 11"/>
    <w:hidden/>
    <w:uiPriority w:val="99"/>
    <w:semiHidden/>
    <w:rsid w:val="00FC42E8"/>
    <w:rPr>
      <w:sz w:val="24"/>
      <w:szCs w:val="24"/>
    </w:rPr>
  </w:style>
  <w:style w:type="character" w:styleId="Strong">
    <w:name w:val="Strong"/>
    <w:basedOn w:val="DefaultParagraphFont"/>
    <w:uiPriority w:val="99"/>
    <w:qFormat/>
    <w:rsid w:val="00FC42E8"/>
    <w:rPr>
      <w:rFonts w:cs="Times New Roman"/>
      <w:b/>
      <w:bCs/>
    </w:rPr>
  </w:style>
  <w:style w:type="character" w:customStyle="1" w:styleId="medium-font1">
    <w:name w:val="medium-font1"/>
    <w:basedOn w:val="DefaultParagraphFont"/>
    <w:uiPriority w:val="99"/>
    <w:rsid w:val="00FC42E8"/>
    <w:rPr>
      <w:rFonts w:cs="Times New Roman"/>
      <w:sz w:val="19"/>
      <w:szCs w:val="19"/>
    </w:rPr>
  </w:style>
  <w:style w:type="character" w:styleId="Hyperlink">
    <w:name w:val="Hyperlink"/>
    <w:basedOn w:val="DefaultParagraphFont"/>
    <w:uiPriority w:val="99"/>
    <w:semiHidden/>
    <w:rsid w:val="00FC42E8"/>
    <w:rPr>
      <w:rFonts w:cs="Times New Roman"/>
      <w:color w:val="0000FF"/>
      <w:u w:val="single"/>
    </w:rPr>
  </w:style>
  <w:style w:type="character" w:customStyle="1" w:styleId="title-link-wrapper1">
    <w:name w:val="title-link-wrapper1"/>
    <w:basedOn w:val="DefaultParagraphFont"/>
    <w:uiPriority w:val="99"/>
    <w:rsid w:val="00FC42E8"/>
    <w:rPr>
      <w:rFonts w:cs="Times New Roman"/>
    </w:rPr>
  </w:style>
  <w:style w:type="paragraph" w:customStyle="1" w:styleId="ParagraphSSLAST">
    <w:name w:val="ParagraphSS (LAST)"/>
    <w:basedOn w:val="NormalSS"/>
    <w:next w:val="Normal"/>
    <w:uiPriority w:val="99"/>
    <w:rsid w:val="005C3A70"/>
    <w:pPr>
      <w:spacing w:after="480"/>
    </w:pPr>
    <w:rPr>
      <w:rFonts w:ascii="Times New Roman" w:hAnsi="Times New Roman"/>
      <w:szCs w:val="20"/>
    </w:rPr>
  </w:style>
  <w:style w:type="paragraph" w:styleId="BodyText">
    <w:name w:val="Body Text"/>
    <w:basedOn w:val="Normal"/>
    <w:link w:val="BodyTextChar"/>
    <w:uiPriority w:val="99"/>
    <w:semiHidden/>
    <w:rsid w:val="005C3A70"/>
    <w:pPr>
      <w:spacing w:after="60" w:line="240" w:lineRule="auto"/>
      <w:ind w:firstLine="0"/>
    </w:pPr>
    <w:rPr>
      <w:rFonts w:ascii="Times New Roman" w:hAnsi="Times New Roman"/>
      <w:szCs w:val="20"/>
    </w:rPr>
  </w:style>
  <w:style w:type="character" w:customStyle="1" w:styleId="BodyTextChar">
    <w:name w:val="Body Text Char"/>
    <w:basedOn w:val="DefaultParagraphFont"/>
    <w:link w:val="BodyText"/>
    <w:uiPriority w:val="99"/>
    <w:semiHidden/>
    <w:locked/>
    <w:rsid w:val="005C3A70"/>
    <w:rPr>
      <w:rFonts w:ascii="Times New Roman" w:hAnsi="Times New Roman" w:cs="Times New Roman"/>
      <w:sz w:val="24"/>
    </w:rPr>
  </w:style>
  <w:style w:type="paragraph" w:customStyle="1" w:styleId="Gnormal">
    <w:name w:val="G_normal"/>
    <w:basedOn w:val="Normal"/>
    <w:uiPriority w:val="99"/>
    <w:rsid w:val="005C3A70"/>
    <w:pPr>
      <w:spacing w:after="240" w:line="240" w:lineRule="auto"/>
    </w:pPr>
    <w:rPr>
      <w:szCs w:val="20"/>
    </w:rPr>
  </w:style>
  <w:style w:type="paragraph" w:styleId="Revision">
    <w:name w:val="Revision"/>
    <w:hidden/>
    <w:uiPriority w:val="99"/>
    <w:semiHidden/>
    <w:rsid w:val="00DA45F8"/>
    <w:rPr>
      <w:sz w:val="24"/>
      <w:szCs w:val="24"/>
    </w:rPr>
  </w:style>
  <w:style w:type="paragraph" w:styleId="ListParagraph">
    <w:name w:val="List Paragraph"/>
    <w:basedOn w:val="Normal"/>
    <w:uiPriority w:val="99"/>
    <w:qFormat/>
    <w:rsid w:val="00A86675"/>
    <w:pPr>
      <w:ind w:left="720"/>
      <w:contextualSpacing/>
    </w:pPr>
  </w:style>
  <w:style w:type="paragraph" w:customStyle="1" w:styleId="LastParagraph">
    <w:name w:val="Last Paragraph"/>
    <w:basedOn w:val="Normal"/>
    <w:next w:val="Normal"/>
    <w:uiPriority w:val="99"/>
    <w:rsid w:val="0069166F"/>
    <w:pPr>
      <w:spacing w:after="240"/>
    </w:pPr>
    <w:rPr>
      <w:rFonts w:ascii="Times New Roman" w:hAnsi="Times New Roman"/>
      <w:szCs w:val="20"/>
    </w:rPr>
  </w:style>
  <w:style w:type="paragraph" w:customStyle="1" w:styleId="Bullet">
    <w:name w:val="Bullet"/>
    <w:uiPriority w:val="99"/>
    <w:rsid w:val="00B36A6A"/>
    <w:pPr>
      <w:tabs>
        <w:tab w:val="left" w:pos="360"/>
      </w:tabs>
      <w:spacing w:after="180"/>
      <w:ind w:left="720" w:right="360" w:hanging="288"/>
      <w:jc w:val="both"/>
    </w:pPr>
    <w:rPr>
      <w:rFonts w:ascii="Times New Roman" w:hAnsi="Times New Roman"/>
      <w:sz w:val="24"/>
      <w:szCs w:val="24"/>
    </w:rPr>
  </w:style>
  <w:style w:type="paragraph" w:customStyle="1" w:styleId="NoSpace">
    <w:name w:val="No Space"/>
    <w:basedOn w:val="Normal"/>
    <w:uiPriority w:val="99"/>
    <w:rsid w:val="00BB6186"/>
    <w:pPr>
      <w:spacing w:line="240" w:lineRule="auto"/>
      <w:ind w:firstLine="0"/>
      <w:jc w:val="left"/>
    </w:pPr>
  </w:style>
  <w:style w:type="numbering" w:customStyle="1" w:styleId="MPROutline">
    <w:name w:val="MPROutline"/>
    <w:rsid w:val="00106AE6"/>
    <w:pPr>
      <w:numPr>
        <w:numId w:val="15"/>
      </w:numPr>
    </w:pPr>
  </w:style>
  <w:style w:type="paragraph" w:styleId="DocumentMap">
    <w:name w:val="Document Map"/>
    <w:basedOn w:val="Normal"/>
    <w:link w:val="DocumentMapChar"/>
    <w:uiPriority w:val="99"/>
    <w:semiHidden/>
    <w:unhideWhenUsed/>
    <w:locked/>
    <w:rsid w:val="00206097"/>
    <w:rPr>
      <w:rFonts w:ascii="Tahoma" w:hAnsi="Tahoma" w:cs="Tahoma"/>
      <w:sz w:val="16"/>
      <w:szCs w:val="16"/>
    </w:rPr>
  </w:style>
  <w:style w:type="character" w:customStyle="1" w:styleId="DocumentMapChar">
    <w:name w:val="Document Map Char"/>
    <w:basedOn w:val="DefaultParagraphFont"/>
    <w:link w:val="DocumentMap"/>
    <w:uiPriority w:val="99"/>
    <w:semiHidden/>
    <w:rsid w:val="002060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978478">
      <w:marLeft w:val="0"/>
      <w:marRight w:val="0"/>
      <w:marTop w:val="0"/>
      <w:marBottom w:val="0"/>
      <w:divBdr>
        <w:top w:val="none" w:sz="0" w:space="0" w:color="auto"/>
        <w:left w:val="none" w:sz="0" w:space="0" w:color="auto"/>
        <w:bottom w:val="none" w:sz="0" w:space="0" w:color="auto"/>
        <w:right w:val="none" w:sz="0" w:space="0" w:color="auto"/>
      </w:divBdr>
    </w:div>
    <w:div w:id="1168978479">
      <w:marLeft w:val="0"/>
      <w:marRight w:val="0"/>
      <w:marTop w:val="0"/>
      <w:marBottom w:val="0"/>
      <w:divBdr>
        <w:top w:val="none" w:sz="0" w:space="0" w:color="auto"/>
        <w:left w:val="none" w:sz="0" w:space="0" w:color="auto"/>
        <w:bottom w:val="none" w:sz="0" w:space="0" w:color="auto"/>
        <w:right w:val="none" w:sz="0" w:space="0" w:color="auto"/>
      </w:divBdr>
    </w:div>
    <w:div w:id="1168978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4.xml"/><Relationship Id="rId26" Type="http://schemas.openxmlformats.org/officeDocument/2006/relationships/oleObject" Target="embeddings/oleObject1.bin"/><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5.wmf"/><Relationship Id="rId33" Type="http://schemas.openxmlformats.org/officeDocument/2006/relationships/footer" Target="foot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7.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7.xml"/><Relationship Id="rId37" Type="http://schemas.openxmlformats.org/officeDocument/2006/relationships/image" Target="media/image8.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oleObject" Target="embeddings/oleObject2.bin"/><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oter" Target="footer6.xml"/><Relationship Id="rId27" Type="http://schemas.openxmlformats.org/officeDocument/2006/relationships/image" Target="media/image6.wmf"/><Relationship Id="rId30" Type="http://schemas.openxmlformats.org/officeDocument/2006/relationships/oleObject" Target="embeddings/oleObject3.bin"/><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80180-F3D9-454A-92C2-E819E6A0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3673</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CONTENTS</vt:lpstr>
    </vt:vector>
  </TitlesOfParts>
  <Company>Mathematica, Inc</Company>
  <LinksUpToDate>false</LinksUpToDate>
  <CharactersWithSpaces>25168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Computer and Network Services</dc:creator>
  <cp:keywords/>
  <dc:description/>
  <cp:lastModifiedBy>Annette Luyegu</cp:lastModifiedBy>
  <cp:revision>5</cp:revision>
  <cp:lastPrinted>2010-12-28T21:40:00Z</cp:lastPrinted>
  <dcterms:created xsi:type="dcterms:W3CDTF">2011-01-04T23:17:00Z</dcterms:created>
  <dcterms:modified xsi:type="dcterms:W3CDTF">2011-04-28T04:03:00Z</dcterms:modified>
</cp:coreProperties>
</file>