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67C" w:rsidRPr="005F567C" w:rsidRDefault="004E2439" w:rsidP="005F567C">
      <w:pPr>
        <w:spacing w:after="60" w:line="360" w:lineRule="exact"/>
        <w:ind w:left="5112" w:firstLine="0"/>
        <w:jc w:val="left"/>
        <w:rPr>
          <w:rFonts w:ascii="Lucida Sans" w:hAnsi="Lucida Sans"/>
          <w:b/>
          <w:sz w:val="22"/>
          <w:szCs w:val="22"/>
        </w:rPr>
      </w:pPr>
      <w:bookmarkStart w:id="0" w:name="_Toc213228313"/>
      <w:r>
        <w:rPr>
          <w:rFonts w:ascii="Lucida Sans" w:hAnsi="Lucida Sans"/>
          <w:b/>
          <w:sz w:val="22"/>
          <w:szCs w:val="22"/>
        </w:rPr>
        <w:t>-</w:t>
      </w:r>
    </w:p>
    <w:p w:rsidR="005F567C" w:rsidRPr="005F567C" w:rsidRDefault="005F567C" w:rsidP="005F567C">
      <w:pPr>
        <w:spacing w:after="144" w:line="312" w:lineRule="auto"/>
        <w:ind w:left="5112" w:right="360" w:firstLine="0"/>
        <w:jc w:val="left"/>
        <w:rPr>
          <w:rFonts w:ascii="Lucida Sans" w:hAnsi="Lucida Sans"/>
          <w:b/>
          <w:sz w:val="22"/>
          <w:szCs w:val="22"/>
        </w:rPr>
      </w:pPr>
      <w:bookmarkStart w:id="1" w:name="RepTitle"/>
      <w:bookmarkEnd w:id="1"/>
      <w:r w:rsidRPr="005F567C">
        <w:rPr>
          <w:rFonts w:ascii="Lucida Sans" w:hAnsi="Lucida Sans"/>
          <w:b/>
          <w:sz w:val="22"/>
          <w:szCs w:val="22"/>
        </w:rPr>
        <w:t xml:space="preserve">Supporting Statement for Paperwork Reduction Act Submission </w:t>
      </w:r>
      <w:r w:rsidR="00A60806">
        <w:rPr>
          <w:rFonts w:ascii="Lucida Sans" w:hAnsi="Lucida Sans"/>
          <w:b/>
          <w:sz w:val="22"/>
          <w:szCs w:val="22"/>
        </w:rPr>
        <w:t xml:space="preserve">National Educational Transition </w:t>
      </w:r>
      <w:r w:rsidR="00A60806" w:rsidRPr="005F567C">
        <w:rPr>
          <w:rFonts w:ascii="Lucida Sans" w:hAnsi="Lucida Sans"/>
          <w:b/>
          <w:sz w:val="22"/>
          <w:szCs w:val="22"/>
        </w:rPr>
        <w:t>Study</w:t>
      </w:r>
      <w:r w:rsidR="00A60806">
        <w:rPr>
          <w:rFonts w:ascii="Lucida Sans" w:hAnsi="Lucida Sans"/>
          <w:b/>
          <w:sz w:val="22"/>
          <w:szCs w:val="22"/>
        </w:rPr>
        <w:t xml:space="preserve"> (NEST)</w:t>
      </w:r>
      <w:r w:rsidRPr="005F567C">
        <w:rPr>
          <w:rFonts w:ascii="Lucida Sans" w:hAnsi="Lucida Sans"/>
          <w:b/>
          <w:sz w:val="22"/>
          <w:szCs w:val="22"/>
        </w:rPr>
        <w:t xml:space="preserve"> </w:t>
      </w:r>
    </w:p>
    <w:p w:rsidR="005F567C" w:rsidRPr="005F567C" w:rsidRDefault="005F567C" w:rsidP="005F567C">
      <w:pPr>
        <w:spacing w:after="144" w:line="312" w:lineRule="auto"/>
        <w:ind w:left="5112" w:right="360" w:firstLine="0"/>
        <w:jc w:val="left"/>
        <w:rPr>
          <w:rFonts w:ascii="Lucida Sans" w:hAnsi="Lucida Sans"/>
          <w:b/>
          <w:sz w:val="22"/>
          <w:szCs w:val="22"/>
        </w:rPr>
      </w:pPr>
      <w:r>
        <w:rPr>
          <w:rFonts w:ascii="Lucida Sans" w:hAnsi="Lucida Sans"/>
          <w:b/>
          <w:sz w:val="22"/>
          <w:szCs w:val="22"/>
        </w:rPr>
        <w:t>Part B</w:t>
      </w:r>
    </w:p>
    <w:p w:rsidR="005F567C" w:rsidRPr="005F567C" w:rsidRDefault="005F567C" w:rsidP="005F567C">
      <w:pPr>
        <w:spacing w:before="144" w:after="288" w:line="360" w:lineRule="exact"/>
        <w:ind w:left="5112" w:right="360" w:firstLine="0"/>
        <w:rPr>
          <w:rFonts w:ascii="Lucida Sans" w:hAnsi="Lucida Sans"/>
          <w:sz w:val="22"/>
          <w:szCs w:val="22"/>
        </w:rPr>
      </w:pPr>
      <w:bookmarkStart w:id="2" w:name="RepType"/>
      <w:bookmarkStart w:id="3" w:name="DateMark"/>
      <w:bookmarkEnd w:id="2"/>
      <w:bookmarkEnd w:id="3"/>
      <w:r w:rsidRPr="005F567C">
        <w:rPr>
          <w:rFonts w:ascii="Lucida Sans" w:hAnsi="Lucida Sans"/>
          <w:sz w:val="22"/>
          <w:szCs w:val="22"/>
        </w:rPr>
        <w:t xml:space="preserve">November </w:t>
      </w:r>
      <w:r w:rsidR="00975EF5">
        <w:rPr>
          <w:rFonts w:ascii="Lucida Sans" w:hAnsi="Lucida Sans"/>
          <w:sz w:val="22"/>
          <w:szCs w:val="22"/>
        </w:rPr>
        <w:t>9</w:t>
      </w:r>
      <w:r w:rsidRPr="005F567C">
        <w:rPr>
          <w:rFonts w:ascii="Lucida Sans" w:hAnsi="Lucida Sans"/>
          <w:sz w:val="22"/>
          <w:szCs w:val="22"/>
        </w:rPr>
        <w:t>, 2010</w:t>
      </w:r>
    </w:p>
    <w:p w:rsidR="005F567C" w:rsidRPr="005F567C" w:rsidRDefault="005F567C" w:rsidP="005F567C">
      <w:pPr>
        <w:spacing w:line="280" w:lineRule="exact"/>
        <w:ind w:left="5115" w:right="360" w:firstLine="0"/>
        <w:rPr>
          <w:rFonts w:ascii="Lucida Sans" w:hAnsi="Lucida Sans"/>
          <w:sz w:val="20"/>
          <w:szCs w:val="20"/>
        </w:rPr>
      </w:pPr>
      <w:bookmarkStart w:id="4" w:name="StartingPoint"/>
      <w:bookmarkEnd w:id="4"/>
    </w:p>
    <w:p w:rsidR="005F567C" w:rsidRPr="005F567C" w:rsidRDefault="005F567C" w:rsidP="005F567C">
      <w:pPr>
        <w:spacing w:line="280" w:lineRule="exact"/>
        <w:ind w:left="5225" w:firstLine="0"/>
        <w:rPr>
          <w:rFonts w:ascii="Lucida Sans" w:hAnsi="Lucida Sans"/>
          <w:sz w:val="20"/>
          <w:szCs w:val="20"/>
        </w:rPr>
      </w:pPr>
      <w:r w:rsidRPr="005F567C">
        <w:rPr>
          <w:rFonts w:ascii="Lucida Sans" w:hAnsi="Lucida Sans"/>
          <w:noProof/>
          <w:sz w:val="20"/>
          <w:szCs w:val="20"/>
        </w:rPr>
        <w:drawing>
          <wp:anchor distT="0" distB="0" distL="114300" distR="114300" simplePos="0" relativeHeight="251661312"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1"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8" cstate="print"/>
                    <a:srcRect/>
                    <a:stretch>
                      <a:fillRect/>
                    </a:stretch>
                  </pic:blipFill>
                  <pic:spPr bwMode="auto">
                    <a:xfrm>
                      <a:off x="0" y="0"/>
                      <a:ext cx="1809750" cy="579120"/>
                    </a:xfrm>
                    <a:prstGeom prst="rect">
                      <a:avLst/>
                    </a:prstGeom>
                    <a:noFill/>
                  </pic:spPr>
                </pic:pic>
              </a:graphicData>
            </a:graphic>
          </wp:anchor>
        </w:drawing>
      </w:r>
      <w:r w:rsidRPr="005F567C">
        <w:rPr>
          <w:rFonts w:ascii="Lucida Sans" w:hAnsi="Lucida Sans"/>
          <w:noProof/>
          <w:sz w:val="20"/>
          <w:szCs w:val="20"/>
        </w:rPr>
        <w:drawing>
          <wp:anchor distT="0" distB="0" distL="114300" distR="114300" simplePos="0" relativeHeight="251659264"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7802880" cy="2562225"/>
                    </a:xfrm>
                    <a:prstGeom prst="rect">
                      <a:avLst/>
                    </a:prstGeom>
                    <a:noFill/>
                  </pic:spPr>
                </pic:pic>
              </a:graphicData>
            </a:graphic>
          </wp:anchor>
        </w:drawing>
      </w:r>
      <w:r w:rsidRPr="005F567C">
        <w:rPr>
          <w:rFonts w:ascii="Lucida Sans" w:hAnsi="Lucida Sans"/>
          <w:sz w:val="20"/>
          <w:szCs w:val="20"/>
        </w:rPr>
        <w:t xml:space="preserve"> </w:t>
      </w:r>
    </w:p>
    <w:p w:rsidR="005F567C" w:rsidRPr="005F567C" w:rsidRDefault="005F567C" w:rsidP="005F567C">
      <w:pPr>
        <w:spacing w:line="264" w:lineRule="auto"/>
        <w:ind w:left="5040" w:firstLine="0"/>
        <w:rPr>
          <w:rFonts w:ascii="Lucida Sans" w:hAnsi="Lucida Sans"/>
          <w:sz w:val="20"/>
          <w:szCs w:val="20"/>
        </w:rPr>
        <w:sectPr w:rsidR="005F567C" w:rsidRPr="005F567C" w:rsidSect="00CA5340">
          <w:footerReference w:type="default" r:id="rId10"/>
          <w:endnotePr>
            <w:numFmt w:val="decimal"/>
          </w:endnotePr>
          <w:pgSz w:w="12240" w:h="15840" w:code="1"/>
          <w:pgMar w:top="720" w:right="1440" w:bottom="576" w:left="1440" w:header="720" w:footer="576" w:gutter="0"/>
          <w:cols w:space="720"/>
          <w:docGrid w:linePitch="150"/>
        </w:sectPr>
      </w:pPr>
    </w:p>
    <w:tbl>
      <w:tblPr>
        <w:tblW w:w="0" w:type="auto"/>
        <w:tblInd w:w="1440" w:type="dxa"/>
        <w:tblLayout w:type="fixed"/>
        <w:tblCellMar>
          <w:left w:w="115" w:type="dxa"/>
          <w:right w:w="115" w:type="dxa"/>
        </w:tblCellMar>
        <w:tblLook w:val="04A0"/>
      </w:tblPr>
      <w:tblGrid>
        <w:gridCol w:w="3618"/>
        <w:gridCol w:w="4057"/>
      </w:tblGrid>
      <w:tr w:rsidR="005F567C" w:rsidRPr="005F567C" w:rsidTr="00CA5340">
        <w:tc>
          <w:tcPr>
            <w:tcW w:w="3618" w:type="dxa"/>
          </w:tcPr>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lastRenderedPageBreak/>
              <w:t>Contract Number:</w:t>
            </w:r>
          </w:p>
          <w:p w:rsidR="005F567C" w:rsidRPr="005F567C" w:rsidRDefault="005F567C" w:rsidP="005F567C">
            <w:pPr>
              <w:spacing w:after="180" w:line="240" w:lineRule="exact"/>
              <w:ind w:firstLine="0"/>
              <w:jc w:val="left"/>
              <w:rPr>
                <w:rFonts w:ascii="Lucida Sans" w:hAnsi="Lucida Sans"/>
                <w:sz w:val="17"/>
                <w:szCs w:val="16"/>
              </w:rPr>
            </w:pPr>
            <w:bookmarkStart w:id="5" w:name="Contract"/>
            <w:bookmarkEnd w:id="5"/>
            <w:r w:rsidRPr="005F567C">
              <w:rPr>
                <w:rFonts w:ascii="Lucida Sans" w:hAnsi="Lucida Sans"/>
                <w:sz w:val="17"/>
                <w:szCs w:val="16"/>
              </w:rPr>
              <w:t>ED-IES-10-C-0073</w:t>
            </w:r>
          </w:p>
          <w:p w:rsidR="005F567C" w:rsidRPr="005F567C" w:rsidRDefault="005F567C" w:rsidP="005F567C">
            <w:pPr>
              <w:spacing w:line="240" w:lineRule="exact"/>
              <w:ind w:firstLine="0"/>
              <w:jc w:val="left"/>
              <w:rPr>
                <w:rFonts w:ascii="Lucida Sans" w:hAnsi="Lucida Sans"/>
                <w:sz w:val="17"/>
                <w:szCs w:val="16"/>
              </w:rPr>
            </w:pPr>
            <w:proofErr w:type="spellStart"/>
            <w:r w:rsidRPr="005F567C">
              <w:rPr>
                <w:rFonts w:ascii="Lucida Sans" w:hAnsi="Lucida Sans"/>
                <w:sz w:val="17"/>
                <w:szCs w:val="16"/>
              </w:rPr>
              <w:t>Mathematica</w:t>
            </w:r>
            <w:proofErr w:type="spellEnd"/>
            <w:r w:rsidRPr="005F567C">
              <w:rPr>
                <w:rFonts w:ascii="Lucida Sans" w:hAnsi="Lucida Sans"/>
                <w:sz w:val="17"/>
                <w:szCs w:val="16"/>
              </w:rPr>
              <w:t xml:space="preserve"> Reference Number:</w:t>
            </w:r>
          </w:p>
          <w:p w:rsidR="005F567C" w:rsidRPr="005F567C" w:rsidRDefault="005F567C" w:rsidP="005F567C">
            <w:pPr>
              <w:spacing w:after="180" w:line="240" w:lineRule="exact"/>
              <w:ind w:firstLine="0"/>
              <w:jc w:val="left"/>
              <w:rPr>
                <w:rFonts w:ascii="Lucida Sans" w:hAnsi="Lucida Sans"/>
                <w:sz w:val="17"/>
                <w:szCs w:val="16"/>
              </w:rPr>
            </w:pPr>
            <w:bookmarkStart w:id="6" w:name="MPRRef"/>
            <w:bookmarkEnd w:id="6"/>
            <w:r w:rsidRPr="005F567C">
              <w:rPr>
                <w:rFonts w:ascii="Lucida Sans" w:hAnsi="Lucida Sans"/>
                <w:sz w:val="17"/>
                <w:szCs w:val="16"/>
              </w:rPr>
              <w:t>06876.381</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Submitted to:</w:t>
            </w:r>
          </w:p>
          <w:p w:rsidR="005F567C" w:rsidRPr="005F567C" w:rsidRDefault="005F567C" w:rsidP="005F567C">
            <w:pPr>
              <w:spacing w:line="240" w:lineRule="exact"/>
              <w:ind w:firstLine="0"/>
              <w:jc w:val="left"/>
              <w:rPr>
                <w:rFonts w:ascii="Lucida Sans" w:hAnsi="Lucida Sans"/>
                <w:sz w:val="17"/>
                <w:szCs w:val="16"/>
              </w:rPr>
            </w:pPr>
            <w:bookmarkStart w:id="7" w:name="Agency"/>
            <w:bookmarkEnd w:id="7"/>
            <w:r w:rsidRPr="005F567C">
              <w:rPr>
                <w:rFonts w:ascii="Lucida Sans" w:hAnsi="Lucida Sans"/>
                <w:sz w:val="17"/>
                <w:szCs w:val="16"/>
              </w:rPr>
              <w:t>Institute of Education Sciences</w:t>
            </w:r>
          </w:p>
          <w:p w:rsidR="005F567C" w:rsidRPr="005F567C" w:rsidRDefault="005F567C" w:rsidP="005F567C">
            <w:pPr>
              <w:spacing w:line="240" w:lineRule="exact"/>
              <w:ind w:firstLine="0"/>
              <w:jc w:val="left"/>
              <w:rPr>
                <w:rFonts w:ascii="Lucida Sans" w:hAnsi="Lucida Sans"/>
                <w:sz w:val="17"/>
                <w:szCs w:val="16"/>
              </w:rPr>
            </w:pPr>
            <w:bookmarkStart w:id="8" w:name="Address"/>
            <w:bookmarkEnd w:id="8"/>
            <w:r w:rsidRPr="005F567C">
              <w:rPr>
                <w:rFonts w:ascii="Lucida Sans" w:hAnsi="Lucida Sans"/>
                <w:sz w:val="17"/>
                <w:szCs w:val="16"/>
              </w:rPr>
              <w:t>U.S. Department of Education</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555 New Jersey Ave., NW, Suite 502K</w:t>
            </w:r>
          </w:p>
          <w:p w:rsidR="005F567C" w:rsidRPr="005F567C" w:rsidRDefault="005F567C" w:rsidP="005F567C">
            <w:pPr>
              <w:spacing w:line="240" w:lineRule="exact"/>
              <w:ind w:firstLine="0"/>
              <w:jc w:val="left"/>
              <w:rPr>
                <w:rFonts w:ascii="Lucida Sans" w:hAnsi="Lucida Sans"/>
                <w:sz w:val="17"/>
                <w:szCs w:val="16"/>
              </w:rPr>
            </w:pPr>
            <w:bookmarkStart w:id="9" w:name="Address2"/>
            <w:bookmarkEnd w:id="9"/>
            <w:r w:rsidRPr="005F567C">
              <w:rPr>
                <w:rFonts w:ascii="Lucida Sans" w:hAnsi="Lucida Sans"/>
                <w:sz w:val="17"/>
                <w:szCs w:val="16"/>
              </w:rPr>
              <w:t>Washington, DC 20208</w:t>
            </w:r>
          </w:p>
          <w:p w:rsidR="005F567C" w:rsidRPr="005F567C" w:rsidRDefault="005F567C" w:rsidP="005F567C">
            <w:pPr>
              <w:spacing w:after="180" w:line="240" w:lineRule="exact"/>
              <w:ind w:firstLine="0"/>
              <w:jc w:val="left"/>
              <w:rPr>
                <w:rFonts w:ascii="Lucida Sans" w:hAnsi="Lucida Sans"/>
                <w:sz w:val="17"/>
                <w:szCs w:val="16"/>
              </w:rPr>
            </w:pPr>
            <w:r w:rsidRPr="005F567C">
              <w:rPr>
                <w:rFonts w:ascii="Lucida Sans" w:hAnsi="Lucida Sans"/>
                <w:sz w:val="17"/>
                <w:szCs w:val="16"/>
              </w:rPr>
              <w:t xml:space="preserve">Project Officer: </w:t>
            </w:r>
            <w:bookmarkStart w:id="10" w:name="ProjOff"/>
            <w:bookmarkEnd w:id="10"/>
            <w:r w:rsidRPr="005F567C">
              <w:rPr>
                <w:rFonts w:ascii="Lucida Sans" w:hAnsi="Lucida Sans"/>
                <w:sz w:val="17"/>
                <w:szCs w:val="16"/>
              </w:rPr>
              <w:t>Amanda DeGraff, Ph.D.</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Submitted by:</w:t>
            </w:r>
          </w:p>
          <w:p w:rsidR="005F567C" w:rsidRPr="005F567C" w:rsidRDefault="005F567C" w:rsidP="005F567C">
            <w:pPr>
              <w:spacing w:line="240" w:lineRule="exact"/>
              <w:ind w:firstLine="0"/>
              <w:jc w:val="left"/>
              <w:rPr>
                <w:rFonts w:ascii="Lucida Sans" w:hAnsi="Lucida Sans"/>
                <w:sz w:val="17"/>
                <w:szCs w:val="16"/>
              </w:rPr>
            </w:pPr>
            <w:proofErr w:type="spellStart"/>
            <w:r w:rsidRPr="005F567C">
              <w:rPr>
                <w:rFonts w:ascii="Lucida Sans" w:hAnsi="Lucida Sans"/>
                <w:sz w:val="17"/>
                <w:szCs w:val="16"/>
              </w:rPr>
              <w:t>Mathematica</w:t>
            </w:r>
            <w:proofErr w:type="spellEnd"/>
            <w:r w:rsidRPr="005F567C">
              <w:rPr>
                <w:rFonts w:ascii="Lucida Sans" w:hAnsi="Lucida Sans"/>
                <w:sz w:val="17"/>
                <w:szCs w:val="16"/>
              </w:rPr>
              <w:t xml:space="preserve"> Policy Research</w:t>
            </w:r>
          </w:p>
          <w:p w:rsidR="005F567C" w:rsidRPr="005F567C" w:rsidRDefault="005F567C" w:rsidP="005F567C">
            <w:pPr>
              <w:spacing w:line="240" w:lineRule="exact"/>
              <w:ind w:firstLine="0"/>
              <w:jc w:val="left"/>
              <w:rPr>
                <w:rFonts w:ascii="Lucida Sans" w:hAnsi="Lucida Sans"/>
                <w:sz w:val="17"/>
                <w:szCs w:val="16"/>
              </w:rPr>
            </w:pPr>
            <w:bookmarkStart w:id="11" w:name="MPRAddress2"/>
            <w:bookmarkEnd w:id="11"/>
            <w:r w:rsidRPr="005F567C">
              <w:rPr>
                <w:rFonts w:ascii="Lucida Sans" w:hAnsi="Lucida Sans"/>
                <w:sz w:val="17"/>
                <w:szCs w:val="16"/>
              </w:rPr>
              <w:t>P.O. Box 2393</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Princeton, NJ 08543-2393</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Telephone: (609) 799-3535</w:t>
            </w:r>
          </w:p>
          <w:p w:rsidR="005F567C" w:rsidRPr="005F567C" w:rsidRDefault="005F567C" w:rsidP="005F567C">
            <w:pPr>
              <w:spacing w:line="240" w:lineRule="exact"/>
              <w:ind w:firstLine="0"/>
              <w:jc w:val="left"/>
              <w:rPr>
                <w:rFonts w:ascii="Lucida Sans" w:hAnsi="Lucida Sans"/>
                <w:sz w:val="17"/>
                <w:szCs w:val="16"/>
              </w:rPr>
            </w:pPr>
            <w:r w:rsidRPr="005F567C">
              <w:rPr>
                <w:rFonts w:ascii="Lucida Sans" w:hAnsi="Lucida Sans"/>
                <w:sz w:val="17"/>
                <w:szCs w:val="16"/>
              </w:rPr>
              <w:t>Facsimile: (609) 799-0005</w:t>
            </w:r>
          </w:p>
          <w:p w:rsidR="005F567C" w:rsidRPr="005F567C" w:rsidRDefault="005F567C" w:rsidP="005F567C">
            <w:pPr>
              <w:spacing w:after="180" w:line="240" w:lineRule="exact"/>
              <w:ind w:firstLine="0"/>
              <w:jc w:val="left"/>
              <w:rPr>
                <w:rFonts w:ascii="Lucida Sans" w:hAnsi="Lucida Sans"/>
                <w:sz w:val="16"/>
                <w:szCs w:val="16"/>
              </w:rPr>
            </w:pPr>
            <w:r w:rsidRPr="005F567C">
              <w:rPr>
                <w:rFonts w:ascii="Lucida Sans" w:hAnsi="Lucida Sans"/>
                <w:sz w:val="17"/>
                <w:szCs w:val="16"/>
              </w:rPr>
              <w:t xml:space="preserve">Project Director: </w:t>
            </w:r>
            <w:bookmarkStart w:id="12" w:name="ProjDir"/>
            <w:bookmarkEnd w:id="12"/>
            <w:r w:rsidRPr="005F567C">
              <w:rPr>
                <w:rFonts w:ascii="Lucida Sans" w:hAnsi="Lucida Sans"/>
                <w:sz w:val="17"/>
                <w:szCs w:val="16"/>
              </w:rPr>
              <w:t>John Burghardt</w:t>
            </w:r>
          </w:p>
        </w:tc>
        <w:tc>
          <w:tcPr>
            <w:tcW w:w="4057" w:type="dxa"/>
          </w:tcPr>
          <w:p w:rsidR="005F567C" w:rsidRPr="005F567C" w:rsidRDefault="005F567C" w:rsidP="005F567C">
            <w:pPr>
              <w:spacing w:after="144" w:line="312" w:lineRule="auto"/>
              <w:ind w:left="58" w:firstLine="0"/>
              <w:jc w:val="left"/>
              <w:rPr>
                <w:rFonts w:ascii="Lucida Sans" w:hAnsi="Lucida Sans"/>
                <w:b/>
                <w:sz w:val="22"/>
                <w:szCs w:val="22"/>
              </w:rPr>
            </w:pPr>
            <w:bookmarkStart w:id="13" w:name="RepTitle2"/>
            <w:bookmarkEnd w:id="13"/>
            <w:r w:rsidRPr="005F567C">
              <w:rPr>
                <w:rFonts w:ascii="Lucida Sans" w:hAnsi="Lucida Sans"/>
                <w:b/>
                <w:sz w:val="22"/>
                <w:szCs w:val="22"/>
              </w:rPr>
              <w:t xml:space="preserve">Supporting Statement for Paperwork Reduction Act Submission </w:t>
            </w:r>
            <w:r w:rsidR="00A60806">
              <w:rPr>
                <w:rFonts w:ascii="Lucida Sans" w:hAnsi="Lucida Sans"/>
                <w:b/>
                <w:sz w:val="22"/>
                <w:szCs w:val="22"/>
              </w:rPr>
              <w:t xml:space="preserve">National Educational </w:t>
            </w:r>
            <w:r w:rsidRPr="005F567C">
              <w:rPr>
                <w:rFonts w:ascii="Lucida Sans" w:hAnsi="Lucida Sans"/>
                <w:b/>
                <w:sz w:val="22"/>
                <w:szCs w:val="22"/>
              </w:rPr>
              <w:t xml:space="preserve">Transition </w:t>
            </w:r>
            <w:r w:rsidR="00A60806">
              <w:rPr>
                <w:rFonts w:ascii="Lucida Sans" w:hAnsi="Lucida Sans"/>
                <w:b/>
                <w:sz w:val="22"/>
                <w:szCs w:val="22"/>
              </w:rPr>
              <w:t>Study (NEST)</w:t>
            </w:r>
          </w:p>
          <w:p w:rsidR="005F567C" w:rsidRPr="005F567C" w:rsidRDefault="005F567C" w:rsidP="005F567C">
            <w:pPr>
              <w:spacing w:after="144" w:line="312" w:lineRule="auto"/>
              <w:ind w:left="58" w:firstLine="0"/>
              <w:jc w:val="left"/>
              <w:rPr>
                <w:rFonts w:ascii="Lucida Sans" w:hAnsi="Lucida Sans"/>
                <w:b/>
                <w:sz w:val="22"/>
                <w:szCs w:val="22"/>
              </w:rPr>
            </w:pPr>
            <w:r>
              <w:rPr>
                <w:rFonts w:ascii="Lucida Sans" w:hAnsi="Lucida Sans"/>
                <w:b/>
                <w:sz w:val="22"/>
                <w:szCs w:val="22"/>
              </w:rPr>
              <w:t>Part B</w:t>
            </w:r>
          </w:p>
          <w:p w:rsidR="005F567C" w:rsidRPr="005F567C" w:rsidRDefault="005F567C" w:rsidP="005F567C">
            <w:pPr>
              <w:spacing w:before="144" w:after="288" w:line="360" w:lineRule="exact"/>
              <w:ind w:left="58" w:firstLine="0"/>
              <w:jc w:val="left"/>
              <w:rPr>
                <w:rFonts w:ascii="Lucida Sans" w:hAnsi="Lucida Sans"/>
                <w:sz w:val="22"/>
                <w:szCs w:val="22"/>
              </w:rPr>
            </w:pPr>
            <w:bookmarkStart w:id="14" w:name="RepType2"/>
            <w:bookmarkStart w:id="15" w:name="DateMark2"/>
            <w:bookmarkEnd w:id="14"/>
            <w:bookmarkEnd w:id="15"/>
            <w:r w:rsidRPr="005F567C">
              <w:rPr>
                <w:rFonts w:ascii="Lucida Sans" w:hAnsi="Lucida Sans"/>
                <w:sz w:val="22"/>
                <w:szCs w:val="22"/>
              </w:rPr>
              <w:t xml:space="preserve">November </w:t>
            </w:r>
            <w:r w:rsidR="00975EF5">
              <w:rPr>
                <w:rFonts w:ascii="Lucida Sans" w:hAnsi="Lucida Sans"/>
                <w:sz w:val="22"/>
                <w:szCs w:val="22"/>
              </w:rPr>
              <w:t>9</w:t>
            </w:r>
            <w:r w:rsidRPr="005F567C">
              <w:rPr>
                <w:rFonts w:ascii="Lucida Sans" w:hAnsi="Lucida Sans"/>
                <w:sz w:val="22"/>
                <w:szCs w:val="22"/>
              </w:rPr>
              <w:t>, 2010</w:t>
            </w:r>
          </w:p>
          <w:p w:rsidR="005F567C" w:rsidRPr="005F567C" w:rsidRDefault="005F567C" w:rsidP="005F567C">
            <w:pPr>
              <w:spacing w:line="280" w:lineRule="exact"/>
              <w:ind w:left="58" w:firstLine="0"/>
              <w:jc w:val="left"/>
              <w:rPr>
                <w:rFonts w:ascii="Lucida Sans" w:hAnsi="Lucida Sans"/>
                <w:sz w:val="20"/>
                <w:szCs w:val="20"/>
              </w:rPr>
            </w:pPr>
          </w:p>
          <w:p w:rsidR="005F567C" w:rsidRPr="005F567C" w:rsidRDefault="005F567C" w:rsidP="005F567C">
            <w:pPr>
              <w:spacing w:line="264" w:lineRule="auto"/>
              <w:ind w:left="58" w:firstLine="0"/>
              <w:jc w:val="left"/>
              <w:rPr>
                <w:rFonts w:ascii="Lucida Sans" w:hAnsi="Lucida Sans"/>
                <w:sz w:val="20"/>
                <w:szCs w:val="20"/>
              </w:rPr>
            </w:pPr>
          </w:p>
          <w:p w:rsidR="005F567C" w:rsidRPr="005F567C" w:rsidRDefault="005F567C" w:rsidP="005F567C">
            <w:pPr>
              <w:spacing w:line="264" w:lineRule="auto"/>
              <w:ind w:left="58" w:firstLine="0"/>
              <w:jc w:val="left"/>
              <w:rPr>
                <w:rFonts w:ascii="Lucida Sans" w:hAnsi="Lucida Sans"/>
                <w:sz w:val="22"/>
                <w:szCs w:val="22"/>
              </w:rPr>
            </w:pPr>
          </w:p>
        </w:tc>
      </w:tr>
    </w:tbl>
    <w:p w:rsidR="005F567C" w:rsidRPr="005F567C" w:rsidRDefault="005F567C" w:rsidP="005F567C">
      <w:pPr>
        <w:tabs>
          <w:tab w:val="clear" w:pos="432"/>
          <w:tab w:val="left" w:pos="8255"/>
        </w:tabs>
        <w:spacing w:line="264" w:lineRule="auto"/>
        <w:ind w:firstLine="0"/>
        <w:rPr>
          <w:rFonts w:ascii="Lucida Sans" w:hAnsi="Lucida Sans"/>
          <w:sz w:val="22"/>
          <w:szCs w:val="22"/>
        </w:rPr>
      </w:pPr>
      <w:r w:rsidRPr="005F567C">
        <w:rPr>
          <w:rFonts w:ascii="Lucida Sans" w:hAnsi="Lucida Sans"/>
          <w:sz w:val="22"/>
          <w:szCs w:val="22"/>
        </w:rPr>
        <w:tab/>
      </w:r>
    </w:p>
    <w:p w:rsidR="005F567C" w:rsidRPr="005F567C" w:rsidRDefault="005F567C" w:rsidP="005F567C">
      <w:pPr>
        <w:spacing w:line="264" w:lineRule="auto"/>
        <w:ind w:firstLine="0"/>
        <w:rPr>
          <w:rFonts w:ascii="Lucida Sans" w:hAnsi="Lucida Sans"/>
          <w:sz w:val="22"/>
          <w:szCs w:val="22"/>
        </w:rPr>
      </w:pPr>
      <w:r w:rsidRPr="005F567C">
        <w:rPr>
          <w:rFonts w:ascii="Lucida Sans" w:hAnsi="Lucida Sans"/>
          <w:noProof/>
        </w:rPr>
        <w:drawing>
          <wp:anchor distT="0" distB="0" distL="114300" distR="114300" simplePos="0" relativeHeight="251662336"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3"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r w:rsidRPr="005F567C">
        <w:rPr>
          <w:rFonts w:ascii="Lucida Sans" w:hAnsi="Lucida Sans"/>
          <w:noProof/>
          <w:sz w:val="22"/>
          <w:szCs w:val="22"/>
        </w:rPr>
        <w:drawing>
          <wp:anchor distT="0" distB="0" distL="114300" distR="114300" simplePos="0" relativeHeight="251660288"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p>
    <w:p w:rsidR="00F66B2D" w:rsidRPr="00F66B2D" w:rsidRDefault="00F66B2D" w:rsidP="00F66B2D">
      <w:pPr>
        <w:spacing w:line="240" w:lineRule="auto"/>
        <w:ind w:firstLine="0"/>
      </w:pPr>
    </w:p>
    <w:p w:rsidR="00F66B2D" w:rsidRPr="00F66B2D" w:rsidRDefault="00F66B2D" w:rsidP="00F66B2D">
      <w:pPr>
        <w:spacing w:line="240" w:lineRule="auto"/>
        <w:ind w:firstLine="0"/>
      </w:pPr>
    </w:p>
    <w:p w:rsidR="00F66B2D" w:rsidRDefault="00F66B2D" w:rsidP="00F66B2D">
      <w:pPr>
        <w:spacing w:after="480" w:line="240" w:lineRule="auto"/>
        <w:ind w:firstLine="0"/>
        <w:jc w:val="center"/>
        <w:rPr>
          <w:b/>
        </w:rPr>
        <w:sectPr w:rsidR="00F66B2D" w:rsidSect="007C0CD8">
          <w:headerReference w:type="default" r:id="rId13"/>
          <w:footerReference w:type="default" r:id="rId14"/>
          <w:endnotePr>
            <w:numFmt w:val="decimal"/>
          </w:endnotePr>
          <w:pgSz w:w="12240" w:h="15840" w:code="1"/>
          <w:pgMar w:top="1440" w:right="1440" w:bottom="576" w:left="1440" w:header="720" w:footer="576" w:gutter="0"/>
          <w:cols w:space="720"/>
          <w:docGrid w:linePitch="326"/>
        </w:sectPr>
      </w:pPr>
    </w:p>
    <w:p w:rsidR="00F66B2D" w:rsidRDefault="00F66B2D" w:rsidP="00F66B2D">
      <w:pPr>
        <w:spacing w:after="480" w:line="240" w:lineRule="auto"/>
        <w:ind w:firstLine="0"/>
        <w:jc w:val="center"/>
        <w:rPr>
          <w:b/>
        </w:rPr>
      </w:pPr>
      <w:r>
        <w:rPr>
          <w:b/>
        </w:rPr>
        <w:lastRenderedPageBreak/>
        <w:t>CONTENTS</w:t>
      </w:r>
    </w:p>
    <w:p w:rsidR="00F66B2D" w:rsidRPr="00F94D6B" w:rsidRDefault="00F66B2D" w:rsidP="00D6497C">
      <w:pPr>
        <w:pStyle w:val="TOC1"/>
        <w:rPr>
          <w:rFonts w:asciiTheme="minorHAnsi" w:eastAsiaTheme="minorEastAsia" w:hAnsiTheme="minorHAnsi" w:cstheme="minorBidi"/>
          <w:caps w:val="0"/>
          <w:noProof/>
          <w:sz w:val="24"/>
          <w:szCs w:val="22"/>
        </w:rPr>
      </w:pPr>
      <w:r w:rsidRPr="00F94D6B">
        <w:rPr>
          <w:noProof/>
          <w:sz w:val="24"/>
        </w:rPr>
        <w:t>PART B:</w:t>
      </w:r>
      <w:r w:rsidR="00D6497C" w:rsidRPr="00F94D6B">
        <w:rPr>
          <w:sz w:val="24"/>
        </w:rPr>
        <w:t xml:space="preserve"> </w:t>
      </w:r>
      <w:r w:rsidR="00D6497C" w:rsidRPr="00F94D6B">
        <w:rPr>
          <w:noProof/>
          <w:sz w:val="24"/>
        </w:rPr>
        <w:t>SUPPORTING STATEMENT FOR PAPERWORK REDUCTION ACT SUBMISSION NATIONAL EDUCATIONAL TRANSITION STUDY(NEST)</w:t>
      </w:r>
      <w:r w:rsidRPr="00F94D6B">
        <w:rPr>
          <w:noProof/>
          <w:webHidden/>
          <w:sz w:val="24"/>
        </w:rPr>
        <w:tab/>
        <w:t>1</w:t>
      </w:r>
    </w:p>
    <w:p w:rsidR="00F66B2D" w:rsidRPr="00F94D6B" w:rsidRDefault="00F66B2D">
      <w:pPr>
        <w:pStyle w:val="TOC2"/>
        <w:rPr>
          <w:rFonts w:asciiTheme="minorHAnsi" w:eastAsiaTheme="minorEastAsia" w:hAnsiTheme="minorHAnsi" w:cstheme="minorBidi"/>
          <w:noProof/>
          <w:sz w:val="24"/>
          <w:szCs w:val="22"/>
        </w:rPr>
      </w:pPr>
      <w:r w:rsidRPr="00F94D6B">
        <w:rPr>
          <w:noProof/>
          <w:sz w:val="24"/>
        </w:rPr>
        <w:t>B.</w:t>
      </w:r>
      <w:r w:rsidRPr="00F94D6B">
        <w:rPr>
          <w:rFonts w:asciiTheme="minorHAnsi" w:eastAsiaTheme="minorEastAsia" w:hAnsiTheme="minorHAnsi" w:cstheme="minorBidi"/>
          <w:noProof/>
          <w:sz w:val="24"/>
          <w:szCs w:val="22"/>
        </w:rPr>
        <w:tab/>
      </w:r>
      <w:r w:rsidRPr="00F94D6B">
        <w:rPr>
          <w:noProof/>
          <w:sz w:val="24"/>
        </w:rPr>
        <w:t>Collection of Information Employing Statistical Methods</w:t>
      </w:r>
      <w:r w:rsidRPr="00F94D6B">
        <w:rPr>
          <w:noProof/>
          <w:webHidden/>
          <w:sz w:val="24"/>
        </w:rPr>
        <w:tab/>
        <w:t>2</w:t>
      </w:r>
    </w:p>
    <w:p w:rsidR="00F94D6B" w:rsidRPr="00F94D6B" w:rsidRDefault="00F94D6B" w:rsidP="00F94D6B">
      <w:pPr>
        <w:pStyle w:val="TOC3"/>
        <w:rPr>
          <w:rFonts w:asciiTheme="minorHAnsi" w:eastAsiaTheme="minorEastAsia" w:hAnsiTheme="minorHAnsi" w:cstheme="minorBidi"/>
          <w:noProof/>
          <w:sz w:val="24"/>
          <w:szCs w:val="22"/>
        </w:rPr>
      </w:pPr>
      <w:r w:rsidRPr="00F94D6B">
        <w:rPr>
          <w:noProof/>
          <w:sz w:val="24"/>
        </w:rPr>
        <w:t>1.</w:t>
      </w:r>
      <w:r w:rsidRPr="00F94D6B">
        <w:rPr>
          <w:rFonts w:asciiTheme="minorHAnsi" w:eastAsiaTheme="minorEastAsia" w:hAnsiTheme="minorHAnsi" w:cstheme="minorBidi"/>
          <w:noProof/>
          <w:sz w:val="24"/>
          <w:szCs w:val="22"/>
        </w:rPr>
        <w:tab/>
      </w:r>
      <w:r w:rsidRPr="00F94D6B">
        <w:rPr>
          <w:noProof/>
          <w:sz w:val="24"/>
        </w:rPr>
        <w:t>Respondent Universe and Sampling Methods</w:t>
      </w:r>
      <w:r w:rsidRPr="00F94D6B">
        <w:rPr>
          <w:noProof/>
          <w:sz w:val="24"/>
        </w:rPr>
        <w:tab/>
        <w:t>2</w:t>
      </w:r>
    </w:p>
    <w:p w:rsidR="00F94D6B" w:rsidRPr="00F94D6B" w:rsidRDefault="00F94D6B" w:rsidP="00F94D6B">
      <w:pPr>
        <w:pStyle w:val="TOC3"/>
        <w:rPr>
          <w:rFonts w:asciiTheme="minorHAnsi" w:eastAsiaTheme="minorEastAsia" w:hAnsiTheme="minorHAnsi" w:cstheme="minorBidi"/>
          <w:noProof/>
          <w:sz w:val="24"/>
          <w:szCs w:val="22"/>
        </w:rPr>
      </w:pPr>
      <w:r w:rsidRPr="00F94D6B">
        <w:rPr>
          <w:noProof/>
          <w:sz w:val="24"/>
        </w:rPr>
        <w:t>2.</w:t>
      </w:r>
      <w:r w:rsidRPr="00F94D6B">
        <w:rPr>
          <w:rFonts w:asciiTheme="minorHAnsi" w:eastAsiaTheme="minorEastAsia" w:hAnsiTheme="minorHAnsi" w:cstheme="minorBidi"/>
          <w:noProof/>
          <w:sz w:val="24"/>
          <w:szCs w:val="22"/>
        </w:rPr>
        <w:tab/>
      </w:r>
      <w:r w:rsidRPr="00F94D6B">
        <w:rPr>
          <w:noProof/>
          <w:sz w:val="24"/>
        </w:rPr>
        <w:t>Statistical Methods for Sample Selection and Degree of Accuracy Needed</w:t>
      </w:r>
      <w:r w:rsidRPr="00F94D6B">
        <w:rPr>
          <w:noProof/>
          <w:sz w:val="24"/>
        </w:rPr>
        <w:tab/>
        <w:t>3</w:t>
      </w:r>
    </w:p>
    <w:p w:rsidR="00F94D6B" w:rsidRPr="00F94D6B" w:rsidRDefault="00F94D6B" w:rsidP="00F94D6B">
      <w:pPr>
        <w:pStyle w:val="TOC3"/>
        <w:rPr>
          <w:rFonts w:asciiTheme="minorHAnsi" w:eastAsiaTheme="minorEastAsia" w:hAnsiTheme="minorHAnsi" w:cstheme="minorBidi"/>
          <w:noProof/>
          <w:sz w:val="24"/>
          <w:szCs w:val="22"/>
        </w:rPr>
      </w:pPr>
      <w:r w:rsidRPr="00F94D6B">
        <w:rPr>
          <w:noProof/>
          <w:sz w:val="24"/>
        </w:rPr>
        <w:t>3.</w:t>
      </w:r>
      <w:r w:rsidRPr="00F94D6B">
        <w:rPr>
          <w:rFonts w:asciiTheme="minorHAnsi" w:eastAsiaTheme="minorEastAsia" w:hAnsiTheme="minorHAnsi" w:cstheme="minorBidi"/>
          <w:noProof/>
          <w:sz w:val="24"/>
          <w:szCs w:val="22"/>
        </w:rPr>
        <w:tab/>
      </w:r>
      <w:r w:rsidRPr="00F94D6B">
        <w:rPr>
          <w:noProof/>
          <w:sz w:val="24"/>
        </w:rPr>
        <w:t>Methods to Maximize Response Rates and Deal with Nonresponse</w:t>
      </w:r>
      <w:r w:rsidRPr="00F94D6B">
        <w:rPr>
          <w:noProof/>
          <w:sz w:val="24"/>
        </w:rPr>
        <w:tab/>
        <w:t>7</w:t>
      </w:r>
    </w:p>
    <w:p w:rsidR="00F94D6B" w:rsidRPr="00F94D6B" w:rsidRDefault="00F94D6B" w:rsidP="00F94D6B">
      <w:pPr>
        <w:pStyle w:val="TOC3"/>
        <w:rPr>
          <w:rFonts w:asciiTheme="minorHAnsi" w:eastAsiaTheme="minorEastAsia" w:hAnsiTheme="minorHAnsi" w:cstheme="minorBidi"/>
          <w:noProof/>
          <w:sz w:val="24"/>
          <w:szCs w:val="22"/>
        </w:rPr>
      </w:pPr>
      <w:r w:rsidRPr="00F94D6B">
        <w:rPr>
          <w:noProof/>
          <w:sz w:val="24"/>
        </w:rPr>
        <w:t>4.</w:t>
      </w:r>
      <w:r w:rsidRPr="00F94D6B">
        <w:rPr>
          <w:rFonts w:asciiTheme="minorHAnsi" w:eastAsiaTheme="minorEastAsia" w:hAnsiTheme="minorHAnsi" w:cstheme="minorBidi"/>
          <w:noProof/>
          <w:sz w:val="24"/>
          <w:szCs w:val="22"/>
        </w:rPr>
        <w:tab/>
      </w:r>
      <w:r w:rsidRPr="00F94D6B">
        <w:rPr>
          <w:noProof/>
          <w:sz w:val="24"/>
        </w:rPr>
        <w:t>Tests of Procedures and Methods to Be Undertaken</w:t>
      </w:r>
      <w:r w:rsidRPr="00F94D6B">
        <w:rPr>
          <w:noProof/>
          <w:sz w:val="24"/>
        </w:rPr>
        <w:tab/>
        <w:t>10</w:t>
      </w:r>
    </w:p>
    <w:p w:rsidR="00F94D6B" w:rsidRPr="00F94D6B" w:rsidRDefault="00F94D6B" w:rsidP="00F94D6B">
      <w:pPr>
        <w:pStyle w:val="TOC3"/>
        <w:rPr>
          <w:rFonts w:asciiTheme="minorHAnsi" w:eastAsiaTheme="minorEastAsia" w:hAnsiTheme="minorHAnsi" w:cstheme="minorBidi"/>
          <w:noProof/>
          <w:sz w:val="24"/>
          <w:szCs w:val="22"/>
        </w:rPr>
      </w:pPr>
      <w:r w:rsidRPr="00F94D6B">
        <w:rPr>
          <w:noProof/>
          <w:sz w:val="24"/>
        </w:rPr>
        <w:t>5.</w:t>
      </w:r>
      <w:r w:rsidRPr="00F94D6B">
        <w:rPr>
          <w:rFonts w:asciiTheme="minorHAnsi" w:eastAsiaTheme="minorEastAsia" w:hAnsiTheme="minorHAnsi" w:cstheme="minorBidi"/>
          <w:noProof/>
          <w:sz w:val="24"/>
          <w:szCs w:val="22"/>
        </w:rPr>
        <w:tab/>
      </w:r>
      <w:r w:rsidRPr="00F94D6B">
        <w:rPr>
          <w:noProof/>
          <w:sz w:val="24"/>
        </w:rPr>
        <w:t>Individuals Consulted on Statistical Aspects of the Design</w:t>
      </w:r>
      <w:r w:rsidRPr="00F94D6B">
        <w:rPr>
          <w:noProof/>
          <w:sz w:val="24"/>
        </w:rPr>
        <w:tab/>
        <w:t>10</w:t>
      </w:r>
    </w:p>
    <w:p w:rsidR="00F94D6B" w:rsidRPr="00F94D6B" w:rsidRDefault="00F94D6B" w:rsidP="00F94D6B">
      <w:pPr>
        <w:pStyle w:val="TOC3"/>
        <w:rPr>
          <w:noProof/>
          <w:sz w:val="24"/>
        </w:rPr>
      </w:pPr>
    </w:p>
    <w:p w:rsidR="00F66B2D" w:rsidRPr="00F94D6B" w:rsidRDefault="00F66B2D" w:rsidP="00F66B2D">
      <w:pPr>
        <w:spacing w:line="240" w:lineRule="auto"/>
        <w:ind w:firstLine="0"/>
      </w:pPr>
      <w:r w:rsidRPr="00F94D6B">
        <w:t>Appendix A: Individuals with Disabilities Education Improvement Act, Section 664(e)</w:t>
      </w:r>
    </w:p>
    <w:p w:rsidR="00F66B2D" w:rsidRPr="00F94D6B" w:rsidRDefault="00F66B2D" w:rsidP="00F66B2D">
      <w:pPr>
        <w:spacing w:line="240" w:lineRule="auto"/>
        <w:ind w:firstLine="0"/>
      </w:pPr>
    </w:p>
    <w:p w:rsidR="00F66B2D" w:rsidRPr="00F94D6B" w:rsidRDefault="00F66B2D" w:rsidP="00F66B2D">
      <w:pPr>
        <w:spacing w:line="240" w:lineRule="auto"/>
        <w:ind w:firstLine="0"/>
      </w:pPr>
      <w:r w:rsidRPr="00F94D6B">
        <w:t>Appendix B: Individuals with Disabilities Education Improvement Act, Section 664(e)</w:t>
      </w:r>
    </w:p>
    <w:p w:rsidR="00F66B2D" w:rsidRPr="00F94D6B" w:rsidRDefault="00F66B2D" w:rsidP="00F66B2D">
      <w:pPr>
        <w:spacing w:line="240" w:lineRule="auto"/>
        <w:ind w:firstLine="0"/>
      </w:pPr>
    </w:p>
    <w:p w:rsidR="00F66B2D" w:rsidRPr="00F94D6B" w:rsidRDefault="00F66B2D" w:rsidP="00F66B2D">
      <w:pPr>
        <w:spacing w:line="240" w:lineRule="auto"/>
        <w:ind w:firstLine="0"/>
      </w:pPr>
      <w:r w:rsidRPr="00F94D6B">
        <w:t>Appendix C: Recruiting Materials and Protocol</w:t>
      </w:r>
    </w:p>
    <w:p w:rsidR="00F66B2D" w:rsidRPr="00F94D6B" w:rsidRDefault="00F66B2D" w:rsidP="00F66B2D">
      <w:pPr>
        <w:spacing w:line="240" w:lineRule="auto"/>
        <w:ind w:firstLine="0"/>
      </w:pPr>
    </w:p>
    <w:p w:rsidR="00F66B2D" w:rsidRDefault="00F66B2D" w:rsidP="00A6467C">
      <w:pPr>
        <w:spacing w:line="240" w:lineRule="auto"/>
        <w:ind w:firstLine="0"/>
      </w:pPr>
      <w:r w:rsidRPr="00F94D6B">
        <w:t xml:space="preserve">Appendix D: </w:t>
      </w:r>
      <w:proofErr w:type="spellStart"/>
      <w:r w:rsidR="00A6467C" w:rsidRPr="00F94D6B">
        <w:t>Mathematica</w:t>
      </w:r>
      <w:proofErr w:type="spellEnd"/>
      <w:r w:rsidR="00A6467C" w:rsidRPr="00F94D6B">
        <w:t xml:space="preserve"> Confidentiality Pledge</w:t>
      </w:r>
    </w:p>
    <w:p w:rsidR="00F66B2D" w:rsidRDefault="00F66B2D" w:rsidP="00F66B2D">
      <w:pPr>
        <w:spacing w:line="240" w:lineRule="auto"/>
        <w:ind w:firstLine="0"/>
      </w:pPr>
    </w:p>
    <w:p w:rsidR="00F66B2D" w:rsidRPr="00F66B2D" w:rsidRDefault="00F66B2D" w:rsidP="00F66B2D">
      <w:pPr>
        <w:sectPr w:rsidR="00F66B2D" w:rsidRPr="00F66B2D" w:rsidSect="00F66B2D">
          <w:headerReference w:type="default" r:id="rId15"/>
          <w:footerReference w:type="default" r:id="rId16"/>
          <w:endnotePr>
            <w:numFmt w:val="decimal"/>
          </w:endnotePr>
          <w:pgSz w:w="12240" w:h="15840" w:code="1"/>
          <w:pgMar w:top="1440" w:right="1440" w:bottom="576" w:left="1440" w:header="720" w:footer="576" w:gutter="0"/>
          <w:pgNumType w:fmt="lowerRoman" w:start="2"/>
          <w:cols w:space="720"/>
          <w:docGrid w:linePitch="326"/>
        </w:sectPr>
      </w:pPr>
    </w:p>
    <w:p w:rsidR="00972702" w:rsidRPr="00972702" w:rsidRDefault="00972702" w:rsidP="00972702">
      <w:pPr>
        <w:pStyle w:val="NormalSS"/>
        <w:jc w:val="center"/>
        <w:rPr>
          <w:b/>
          <w:bCs/>
        </w:rPr>
      </w:pPr>
      <w:bookmarkStart w:id="16" w:name="_Toc276391119"/>
      <w:r w:rsidRPr="00972702">
        <w:rPr>
          <w:b/>
        </w:rPr>
        <w:t xml:space="preserve">PART B: </w:t>
      </w:r>
      <w:r w:rsidRPr="00972702">
        <w:rPr>
          <w:b/>
        </w:rPr>
        <w:br/>
        <w:t>SUPPORTING STATEMENT FOR PAPERWORK REDUCTION ACT SUBMISSION</w:t>
      </w:r>
      <w:bookmarkEnd w:id="0"/>
      <w:r w:rsidRPr="00972702">
        <w:rPr>
          <w:b/>
        </w:rPr>
        <w:br/>
      </w:r>
      <w:r w:rsidRPr="00972702">
        <w:rPr>
          <w:b/>
          <w:bCs/>
        </w:rPr>
        <w:t xml:space="preserve">NATIONAL EDUCATIONAL TRANSITION </w:t>
      </w:r>
      <w:proofErr w:type="gramStart"/>
      <w:r w:rsidRPr="00972702">
        <w:rPr>
          <w:b/>
          <w:bCs/>
        </w:rPr>
        <w:t>STUDY(</w:t>
      </w:r>
      <w:proofErr w:type="gramEnd"/>
      <w:r w:rsidRPr="00972702">
        <w:rPr>
          <w:b/>
          <w:bCs/>
        </w:rPr>
        <w:t>NEST)</w:t>
      </w:r>
      <w:bookmarkEnd w:id="16"/>
    </w:p>
    <w:p w:rsidR="00635281" w:rsidRPr="00635281" w:rsidRDefault="00635281" w:rsidP="00635281">
      <w:pPr>
        <w:pStyle w:val="NormalSS"/>
      </w:pPr>
      <w:r w:rsidRPr="00635281">
        <w:rPr>
          <w:bCs/>
        </w:rPr>
        <w:t xml:space="preserve">The U.S. Department of Education (ED) is requesting Office of Management and Budget (OMB) clearance for STOYD, a five-year longitudinal study focused on the educational and transitional experiences of youth with disabilities between the ages of 13 and 21. This study is being conducted </w:t>
      </w:r>
      <w:r w:rsidRPr="00635281">
        <w:t xml:space="preserve">by </w:t>
      </w:r>
      <w:proofErr w:type="spellStart"/>
      <w:r w:rsidRPr="00635281">
        <w:t>Mathematica</w:t>
      </w:r>
      <w:proofErr w:type="spellEnd"/>
      <w:r w:rsidRPr="00635281">
        <w:t xml:space="preserve"> Policy Research and its partners, the Institute on Community Integration, and Decision Information Resources (DIR), under contract with ED (contract number ED-IES-10-C-0073). </w:t>
      </w:r>
    </w:p>
    <w:p w:rsidR="00635281" w:rsidRPr="00635281" w:rsidRDefault="00635281" w:rsidP="00635281">
      <w:pPr>
        <w:pStyle w:val="NormalSS"/>
      </w:pPr>
      <w:r w:rsidRPr="00635281">
        <w:rPr>
          <w:bCs/>
        </w:rPr>
        <w:t xml:space="preserve">The main objectives of the study are to describe the background, secondary school, transition, and postsecondary experiences, and outcomes of youth who receive special education services and to gauge how the experiences of these youth differ from: (1) those who have no identified disability, (2) those who do not receive special education services but who have a condition that qualifies them for accommodation under Section 504 of </w:t>
      </w:r>
      <w:r w:rsidRPr="00635281">
        <w:t xml:space="preserve">the Vocational Rehabilitation Act of 1973 and (3) similar cohorts of youth receiving special education with disability studied in the past. </w:t>
      </w:r>
    </w:p>
    <w:p w:rsidR="00635281" w:rsidRPr="00635281" w:rsidRDefault="00635281" w:rsidP="00635281">
      <w:pPr>
        <w:pStyle w:val="NormalSS"/>
        <w:rPr>
          <w:bCs/>
        </w:rPr>
      </w:pPr>
      <w:r w:rsidRPr="00635281">
        <w:t>The study will provide policymakers and educators with critical information that is not</w:t>
      </w:r>
      <w:r w:rsidR="00975EF5">
        <w:t xml:space="preserve"> available from other sources. </w:t>
      </w:r>
      <w:r w:rsidRPr="00635281">
        <w:t>The study will provide up to date information on the barriers and challenges youth with disabilities encounter during and after high school; the services and support they receive to help them overcome these barriers from their families, community service providers, secondary and postsecondary schools, and employers; and the extent to which youth make a successful transition to postsecondary education, employment, and independent living. The study will examine these issues from multiple perspectives including those of school staff, pare</w:t>
      </w:r>
      <w:r w:rsidR="00975EF5">
        <w:t xml:space="preserve">nts, and the youth themselves. </w:t>
      </w:r>
      <w:r w:rsidRPr="00635281">
        <w:t xml:space="preserve">By comparing the experiences of a current cohort to those of previous cohorts, the study will be able to describe changes in the composition of students with disabilities over time as well as changes in their school experiences and outcomes. </w:t>
      </w:r>
    </w:p>
    <w:p w:rsidR="00635281" w:rsidRPr="00635281" w:rsidRDefault="00635281" w:rsidP="00635281">
      <w:pPr>
        <w:pStyle w:val="NormalSS"/>
      </w:pPr>
      <w:r w:rsidRPr="00635281">
        <w:rPr>
          <w:bCs/>
        </w:rPr>
        <w:t>A national probability sample of 15,000 students will be selected and recruited in two stages. The study team will first select and recruit a nationally representative sample of approximately 300 school districts (from a pool of approximately 450 sampled districts); then the team will sample and recruit students from the 300 districts that have agreed to participate. The first wave of d</w:t>
      </w:r>
      <w:r w:rsidRPr="00635281">
        <w:t xml:space="preserve">ata collection will begin in January 2012 and the second in January 2014, when sample members will be between 13 and 21 and 15 and 23 years old, respectively. </w:t>
      </w:r>
    </w:p>
    <w:p w:rsidR="00635281" w:rsidRPr="00635281" w:rsidRDefault="00635281" w:rsidP="00635281">
      <w:pPr>
        <w:pStyle w:val="NormalSS"/>
      </w:pPr>
      <w:r w:rsidRPr="00635281">
        <w:t>The study data collection will draw on the following data sources each of which provide valuable information:</w:t>
      </w:r>
    </w:p>
    <w:p w:rsidR="00635281" w:rsidRPr="00635281" w:rsidRDefault="00635281" w:rsidP="00635281">
      <w:pPr>
        <w:pStyle w:val="NormalSS"/>
        <w:numPr>
          <w:ilvl w:val="0"/>
          <w:numId w:val="9"/>
        </w:numPr>
      </w:pPr>
      <w:r w:rsidRPr="00635281">
        <w:rPr>
          <w:b/>
        </w:rPr>
        <w:t>Parent interviews</w:t>
      </w:r>
      <w:r w:rsidRPr="00635281">
        <w:t xml:space="preserve"> will provide information on the characteristics of the family and youth (for example how their disabilities affect their ability to perform various tasks), parents educational expectations for their child, parent</w:t>
      </w:r>
      <w:r w:rsidR="00975EF5">
        <w:t>’</w:t>
      </w:r>
      <w:r w:rsidRPr="00635281">
        <w:t xml:space="preserve">s involvement in and perceptions of the transition planning process and supports their child receives in school. </w:t>
      </w:r>
    </w:p>
    <w:p w:rsidR="00635281" w:rsidRPr="00635281" w:rsidRDefault="00635281" w:rsidP="00635281">
      <w:pPr>
        <w:pStyle w:val="NormalSS"/>
        <w:numPr>
          <w:ilvl w:val="0"/>
          <w:numId w:val="9"/>
        </w:numPr>
      </w:pPr>
      <w:r w:rsidRPr="00635281">
        <w:rPr>
          <w:b/>
        </w:rPr>
        <w:t>Youth interviews</w:t>
      </w:r>
      <w:r w:rsidRPr="00635281">
        <w:t xml:space="preserve"> will provide information on their experiences and perceptions of school, their career and educational expectations, their engagement in school, and other key outcomes</w:t>
      </w:r>
    </w:p>
    <w:p w:rsidR="00635281" w:rsidRPr="00635281" w:rsidRDefault="00635281" w:rsidP="00635281">
      <w:pPr>
        <w:pStyle w:val="NormalSS"/>
        <w:numPr>
          <w:ilvl w:val="0"/>
          <w:numId w:val="9"/>
        </w:numPr>
      </w:pPr>
      <w:r w:rsidRPr="00635281">
        <w:rPr>
          <w:b/>
        </w:rPr>
        <w:t xml:space="preserve">Principal surveys will cover </w:t>
      </w:r>
      <w:r w:rsidRPr="00635281">
        <w:t xml:space="preserve">school policies, programs, staffing levels, and other resources available in the school </w:t>
      </w:r>
    </w:p>
    <w:p w:rsidR="00635281" w:rsidRPr="00635281" w:rsidRDefault="00635281" w:rsidP="00635281">
      <w:pPr>
        <w:pStyle w:val="NormalSS"/>
        <w:numPr>
          <w:ilvl w:val="0"/>
          <w:numId w:val="9"/>
        </w:numPr>
      </w:pPr>
      <w:r w:rsidRPr="00635281">
        <w:rPr>
          <w:b/>
        </w:rPr>
        <w:t>Teacher surveys</w:t>
      </w:r>
      <w:r w:rsidRPr="00635281">
        <w:t xml:space="preserve"> completed both by the language arts teacher of each sample member and a special education teacher who is most familiar with each special education student’s school program will provide information on the students program of study, the classroom setting and the student’s classroom participation,</w:t>
      </w:r>
      <w:r w:rsidRPr="00635281" w:rsidDel="003949B6">
        <w:t xml:space="preserve"> </w:t>
      </w:r>
      <w:r w:rsidRPr="00635281">
        <w:t xml:space="preserve">the student’s participation in transition planning and activities designed to help them apply to postsecondary programs and jobs, and the services and other accommodations received by the student. </w:t>
      </w:r>
    </w:p>
    <w:p w:rsidR="00635281" w:rsidRPr="00635281" w:rsidRDefault="00635281" w:rsidP="00635281">
      <w:pPr>
        <w:pStyle w:val="NormalSS"/>
        <w:numPr>
          <w:ilvl w:val="0"/>
          <w:numId w:val="9"/>
        </w:numPr>
      </w:pPr>
      <w:r w:rsidRPr="00635281">
        <w:rPr>
          <w:b/>
        </w:rPr>
        <w:t>Student school records</w:t>
      </w:r>
      <w:r w:rsidRPr="00635281">
        <w:t xml:space="preserve"> will provide more detailed information on key outcomes (including attendance, courses taken, and test scores),</w:t>
      </w:r>
    </w:p>
    <w:p w:rsidR="00635281" w:rsidRPr="00635281" w:rsidRDefault="00635281" w:rsidP="00635281">
      <w:pPr>
        <w:pStyle w:val="NormalSS"/>
      </w:pPr>
      <w:r w:rsidRPr="00635281">
        <w:t xml:space="preserve">This OMB clearance request is the first of three for this study. The study schedule requires that district and school recruitment begin as early this spring as possible. This request seeks clearance for (1) the sample design and protocols for recruiting school districts into the study and (2) the process for securing from the selected school districts lists of students necessary to select the student sample and the contact information necessary to contact the parents of selected students and/or the students themselves in the case of students 18 or older for purposes of obtaining informed consent and conducting baseline data collection. The second clearance package, which ED plans to submit in spring 2011, will include all protocols and instruments for securing informed consent and conducting baseline data collection (which will begin in early 2012) and a more detailed analysis plan. The third clearance package, which is scheduled to be submitted in spring 2013, will include the follow-up data collection instruments (for surveys that will begin in early 2014). Initiating district recruitment in the spring of 2011 is critical to the goal of achieving a high rate of district participation and thereby minimizing the potential for </w:t>
      </w:r>
      <w:proofErr w:type="spellStart"/>
      <w:r w:rsidRPr="00635281">
        <w:t>nonresponse</w:t>
      </w:r>
      <w:proofErr w:type="spellEnd"/>
      <w:r w:rsidRPr="00635281">
        <w:t xml:space="preserve"> bias from district refusals. The study team plans to contact all districts before the summer recess and to continue the recruitment effort over the summer.</w:t>
      </w:r>
    </w:p>
    <w:p w:rsidR="00635281" w:rsidRPr="00635281" w:rsidRDefault="00635281" w:rsidP="00635281">
      <w:pPr>
        <w:pStyle w:val="NormalSS"/>
      </w:pPr>
      <w:r w:rsidRPr="00635281">
        <w:t>The study design and data collections described here are  similar to prior longitudinal studies of students with disabilities conducted by ED but attempts to improve on them by 1) using innovative methods of securing parental consent for youth participation to improve participation, 2) limiting in school data collection and spreading the burden across schools in districts with multiple middle and high schools, 3) including students without IEPs (including both those with conditions that qualify them for a Section 504 plan as well as those with no disabilities), and 4) seeking more information on student barriers and activities that support transition.</w:t>
      </w:r>
    </w:p>
    <w:p w:rsidR="00792258" w:rsidRPr="00792258" w:rsidRDefault="00792258" w:rsidP="00792258">
      <w:pPr>
        <w:pStyle w:val="Heading2Black"/>
      </w:pPr>
      <w:bookmarkStart w:id="17" w:name="_Toc276391120"/>
      <w:r w:rsidRPr="00792258">
        <w:t>B.</w:t>
      </w:r>
      <w:r w:rsidRPr="00792258">
        <w:tab/>
        <w:t>Collection of Information Employing Statistical Methods</w:t>
      </w:r>
      <w:bookmarkEnd w:id="17"/>
      <w:r w:rsidRPr="00792258">
        <w:t xml:space="preserve"> </w:t>
      </w:r>
    </w:p>
    <w:p w:rsidR="0085223E" w:rsidRPr="0085223E" w:rsidRDefault="0085223E" w:rsidP="00CF3843">
      <w:pPr>
        <w:pStyle w:val="Heading3"/>
      </w:pPr>
      <w:bookmarkStart w:id="18" w:name="_Toc276391121"/>
      <w:bookmarkStart w:id="19" w:name="_Toc276988537"/>
      <w:bookmarkStart w:id="20" w:name="_Toc277079998"/>
      <w:r w:rsidRPr="0085223E">
        <w:t>1.</w:t>
      </w:r>
      <w:r w:rsidRPr="0085223E">
        <w:tab/>
        <w:t>Respondent Universe and Sampling Methods</w:t>
      </w:r>
      <w:bookmarkEnd w:id="18"/>
      <w:bookmarkEnd w:id="19"/>
      <w:bookmarkEnd w:id="20"/>
    </w:p>
    <w:p w:rsidR="0085223E" w:rsidRPr="0085223E" w:rsidRDefault="0085223E" w:rsidP="00CF3843">
      <w:pPr>
        <w:pStyle w:val="NormalSS"/>
      </w:pPr>
      <w:r w:rsidRPr="0085223E">
        <w:t>This study is designed to collect information about youth between the ages 13 and 21 (as of December 2011) who are in schools serving grades 7 to 12 or who are in an ungraded school and in this age range. Within this target population there are three key groups of interest: (1) students identified as needing special education services—that is, those with IEPs; (2) students who have not been identified as needing special education services but who have a</w:t>
      </w:r>
      <w:r w:rsidR="00CA5340">
        <w:t xml:space="preserve"> condition</w:t>
      </w:r>
      <w:r w:rsidRPr="0085223E">
        <w:t xml:space="preserve"> that qualifies them for accommodations under Section 504 of the Vocational Rehabilitation Act of 1973; and (3) students with no </w:t>
      </w:r>
      <w:r w:rsidR="00CA5340">
        <w:t>IEP and no section 504 plan</w:t>
      </w:r>
      <w:r w:rsidRPr="0085223E">
        <w:t xml:space="preserve">. Based on counts for the 2008–2009 school </w:t>
      </w:r>
      <w:proofErr w:type="gramStart"/>
      <w:r w:rsidRPr="0085223E">
        <w:t>year</w:t>
      </w:r>
      <w:proofErr w:type="gramEnd"/>
      <w:r w:rsidRPr="0085223E">
        <w:t>, approximately 22,500,000 students are in the appropriate age and grade range for this study in the 50 states and the District of Columbia, and approximately 300,000 are in schools run by the Department of Defense and the Bureau of Indian Affairs or in the territories (Table B.1).</w:t>
      </w:r>
      <w:r w:rsidRPr="0085223E">
        <w:rPr>
          <w:vertAlign w:val="superscript"/>
        </w:rPr>
        <w:footnoteReference w:id="2"/>
      </w:r>
      <w:r w:rsidRPr="0085223E">
        <w:rPr>
          <w:vertAlign w:val="superscript"/>
        </w:rPr>
        <w:t xml:space="preserve"> </w:t>
      </w:r>
      <w:r w:rsidRPr="0085223E">
        <w:t>Of these, approximately 2,800,000 students have IEPs. Of the students who do not have IEPs, an estimated two percent (approximately 450,000 students) have Section 504 plans.</w:t>
      </w:r>
      <w:r w:rsidR="00CA5340">
        <w:rPr>
          <w:rStyle w:val="FootnoteReference"/>
        </w:rPr>
        <w:footnoteReference w:id="3"/>
      </w:r>
      <w:r w:rsidRPr="0085223E">
        <w:t xml:space="preserve">  </w:t>
      </w:r>
    </w:p>
    <w:p w:rsidR="0085223E" w:rsidRPr="0085223E" w:rsidRDefault="0085223E" w:rsidP="00CF3843">
      <w:pPr>
        <w:pStyle w:val="MarkforTableHeading"/>
      </w:pPr>
      <w:r w:rsidRPr="0085223E">
        <w:t>Table B.1</w:t>
      </w:r>
      <w:r w:rsidR="00CF3843">
        <w:t xml:space="preserve">. </w:t>
      </w:r>
      <w:r w:rsidRPr="0085223E">
        <w:t>Population Sizes for Target Populations and Subpopulations Defined by Disability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88"/>
        <w:gridCol w:w="3488"/>
      </w:tblGrid>
      <w:tr w:rsidR="0085223E" w:rsidRPr="0085223E" w:rsidTr="00CF3843">
        <w:trPr>
          <w:jc w:val="center"/>
        </w:trPr>
        <w:tc>
          <w:tcPr>
            <w:tcW w:w="3179" w:type="pct"/>
            <w:tcBorders>
              <w:top w:val="single" w:sz="4" w:space="0" w:color="auto"/>
            </w:tcBorders>
          </w:tcPr>
          <w:p w:rsidR="0085223E" w:rsidRPr="0085223E" w:rsidRDefault="0085223E" w:rsidP="00CF3843">
            <w:pPr>
              <w:pStyle w:val="TableText"/>
            </w:pPr>
          </w:p>
        </w:tc>
        <w:tc>
          <w:tcPr>
            <w:tcW w:w="1821" w:type="pct"/>
            <w:tcBorders>
              <w:top w:val="single" w:sz="4" w:space="0" w:color="auto"/>
              <w:bottom w:val="single" w:sz="4" w:space="0" w:color="auto"/>
            </w:tcBorders>
          </w:tcPr>
          <w:p w:rsidR="0085223E" w:rsidRPr="0085223E" w:rsidRDefault="0085223E" w:rsidP="00CF3843">
            <w:pPr>
              <w:pStyle w:val="TableHeaderCenter"/>
            </w:pPr>
            <w:r w:rsidRPr="0085223E">
              <w:t>Estimated</w:t>
            </w:r>
            <w:r w:rsidR="00CF3843">
              <w:t xml:space="preserve"> </w:t>
            </w:r>
            <w:r w:rsidRPr="0085223E">
              <w:t>Population Count</w:t>
            </w:r>
          </w:p>
        </w:tc>
      </w:tr>
      <w:tr w:rsidR="0085223E" w:rsidRPr="0085223E" w:rsidTr="00CF3843">
        <w:trPr>
          <w:jc w:val="center"/>
        </w:trPr>
        <w:tc>
          <w:tcPr>
            <w:tcW w:w="3179" w:type="pct"/>
            <w:tcBorders>
              <w:top w:val="single" w:sz="4" w:space="0" w:color="auto"/>
            </w:tcBorders>
          </w:tcPr>
          <w:p w:rsidR="0085223E" w:rsidRPr="0085223E" w:rsidRDefault="0085223E" w:rsidP="00CF3843">
            <w:pPr>
              <w:pStyle w:val="TableText"/>
            </w:pPr>
            <w:r w:rsidRPr="0085223E">
              <w:t>All students ages 13 to 21</w:t>
            </w:r>
          </w:p>
        </w:tc>
        <w:tc>
          <w:tcPr>
            <w:tcW w:w="1821" w:type="pct"/>
            <w:tcBorders>
              <w:top w:val="single" w:sz="4" w:space="0" w:color="auto"/>
            </w:tcBorders>
          </w:tcPr>
          <w:p w:rsidR="0085223E" w:rsidRPr="0085223E" w:rsidRDefault="0085223E" w:rsidP="00CF3843">
            <w:pPr>
              <w:pStyle w:val="TableText"/>
              <w:tabs>
                <w:tab w:val="decimal" w:pos="1922"/>
              </w:tabs>
            </w:pPr>
            <w:r w:rsidRPr="0085223E">
              <w:t>22,500,000</w:t>
            </w:r>
          </w:p>
        </w:tc>
      </w:tr>
      <w:tr w:rsidR="0085223E" w:rsidRPr="0085223E" w:rsidTr="00CF3843">
        <w:trPr>
          <w:jc w:val="center"/>
        </w:trPr>
        <w:tc>
          <w:tcPr>
            <w:tcW w:w="3179" w:type="pct"/>
          </w:tcPr>
          <w:p w:rsidR="0085223E" w:rsidRPr="0085223E" w:rsidRDefault="0085223E" w:rsidP="00CF3843">
            <w:pPr>
              <w:pStyle w:val="TableText"/>
            </w:pPr>
            <w:r w:rsidRPr="0085223E">
              <w:t>All students without IEPs</w:t>
            </w:r>
          </w:p>
        </w:tc>
        <w:tc>
          <w:tcPr>
            <w:tcW w:w="1821" w:type="pct"/>
          </w:tcPr>
          <w:p w:rsidR="0085223E" w:rsidRPr="0085223E" w:rsidRDefault="0085223E" w:rsidP="00CF3843">
            <w:pPr>
              <w:pStyle w:val="TableText"/>
              <w:tabs>
                <w:tab w:val="decimal" w:pos="1922"/>
              </w:tabs>
            </w:pPr>
            <w:r w:rsidRPr="0085223E">
              <w:t>19,720,000</w:t>
            </w:r>
          </w:p>
        </w:tc>
      </w:tr>
      <w:tr w:rsidR="0085223E" w:rsidRPr="0085223E" w:rsidTr="00CF3843">
        <w:trPr>
          <w:jc w:val="center"/>
        </w:trPr>
        <w:tc>
          <w:tcPr>
            <w:tcW w:w="3179" w:type="pct"/>
          </w:tcPr>
          <w:p w:rsidR="0085223E" w:rsidRPr="0085223E" w:rsidRDefault="0085223E" w:rsidP="00CF3843">
            <w:pPr>
              <w:pStyle w:val="TableText"/>
            </w:pPr>
            <w:r w:rsidRPr="0085223E">
              <w:t>Without Section 504 plans</w:t>
            </w:r>
          </w:p>
        </w:tc>
        <w:tc>
          <w:tcPr>
            <w:tcW w:w="1821" w:type="pct"/>
          </w:tcPr>
          <w:p w:rsidR="0085223E" w:rsidRPr="0085223E" w:rsidRDefault="0085223E" w:rsidP="00CF3843">
            <w:pPr>
              <w:pStyle w:val="TableText"/>
              <w:tabs>
                <w:tab w:val="decimal" w:pos="1922"/>
              </w:tabs>
            </w:pPr>
            <w:r w:rsidRPr="0085223E">
              <w:t>19,270,000</w:t>
            </w:r>
          </w:p>
        </w:tc>
      </w:tr>
      <w:tr w:rsidR="0085223E" w:rsidRPr="0085223E" w:rsidTr="00CF3843">
        <w:trPr>
          <w:jc w:val="center"/>
        </w:trPr>
        <w:tc>
          <w:tcPr>
            <w:tcW w:w="3179" w:type="pct"/>
          </w:tcPr>
          <w:p w:rsidR="0085223E" w:rsidRPr="0085223E" w:rsidRDefault="0085223E" w:rsidP="00CF3843">
            <w:pPr>
              <w:pStyle w:val="TableText"/>
            </w:pPr>
            <w:r w:rsidRPr="0085223E">
              <w:t>With Section 504 plans</w:t>
            </w:r>
          </w:p>
        </w:tc>
        <w:tc>
          <w:tcPr>
            <w:tcW w:w="1821" w:type="pct"/>
          </w:tcPr>
          <w:p w:rsidR="0085223E" w:rsidRPr="0085223E" w:rsidRDefault="0085223E" w:rsidP="00CF3843">
            <w:pPr>
              <w:pStyle w:val="TableText"/>
              <w:tabs>
                <w:tab w:val="decimal" w:pos="1922"/>
              </w:tabs>
            </w:pPr>
            <w:r w:rsidRPr="0085223E">
              <w:t>450,000</w:t>
            </w:r>
          </w:p>
        </w:tc>
      </w:tr>
      <w:tr w:rsidR="0085223E" w:rsidRPr="0085223E" w:rsidTr="00CF3843">
        <w:trPr>
          <w:jc w:val="center"/>
        </w:trPr>
        <w:tc>
          <w:tcPr>
            <w:tcW w:w="3179" w:type="pct"/>
          </w:tcPr>
          <w:p w:rsidR="0085223E" w:rsidRPr="0085223E" w:rsidRDefault="0085223E" w:rsidP="00CF3843">
            <w:pPr>
              <w:pStyle w:val="TableText"/>
            </w:pPr>
            <w:r w:rsidRPr="0085223E">
              <w:t>All students with IEPs</w:t>
            </w:r>
          </w:p>
        </w:tc>
        <w:tc>
          <w:tcPr>
            <w:tcW w:w="1821" w:type="pct"/>
            <w:vAlign w:val="bottom"/>
          </w:tcPr>
          <w:p w:rsidR="0085223E" w:rsidRPr="0085223E" w:rsidRDefault="0085223E" w:rsidP="00CF3843">
            <w:pPr>
              <w:pStyle w:val="TableText"/>
              <w:tabs>
                <w:tab w:val="decimal" w:pos="1922"/>
              </w:tabs>
            </w:pPr>
            <w:r w:rsidRPr="0085223E">
              <w:t>2,780,000</w:t>
            </w:r>
          </w:p>
        </w:tc>
      </w:tr>
      <w:tr w:rsidR="0085223E" w:rsidRPr="0085223E" w:rsidTr="00CF3843">
        <w:trPr>
          <w:jc w:val="center"/>
        </w:trPr>
        <w:tc>
          <w:tcPr>
            <w:tcW w:w="3179" w:type="pct"/>
          </w:tcPr>
          <w:p w:rsidR="0085223E" w:rsidRPr="0085223E" w:rsidRDefault="0085223E" w:rsidP="00CF3843">
            <w:pPr>
              <w:pStyle w:val="TableText"/>
            </w:pPr>
            <w:r w:rsidRPr="0085223E">
              <w:t>Specific learning disabilities</w:t>
            </w:r>
          </w:p>
        </w:tc>
        <w:tc>
          <w:tcPr>
            <w:tcW w:w="1821" w:type="pct"/>
            <w:vAlign w:val="bottom"/>
          </w:tcPr>
          <w:p w:rsidR="0085223E" w:rsidRPr="0085223E" w:rsidRDefault="0085223E" w:rsidP="00CF3843">
            <w:pPr>
              <w:pStyle w:val="TableText"/>
              <w:tabs>
                <w:tab w:val="decimal" w:pos="1922"/>
              </w:tabs>
            </w:pPr>
            <w:r w:rsidRPr="0085223E">
              <w:t>1,508,000</w:t>
            </w:r>
          </w:p>
        </w:tc>
      </w:tr>
      <w:tr w:rsidR="0085223E" w:rsidRPr="0085223E" w:rsidTr="00CF3843">
        <w:trPr>
          <w:jc w:val="center"/>
        </w:trPr>
        <w:tc>
          <w:tcPr>
            <w:tcW w:w="3179" w:type="pct"/>
          </w:tcPr>
          <w:p w:rsidR="0085223E" w:rsidRPr="0085223E" w:rsidRDefault="0085223E" w:rsidP="00CF3843">
            <w:pPr>
              <w:pStyle w:val="TableText"/>
            </w:pPr>
            <w:r w:rsidRPr="0085223E">
              <w:t xml:space="preserve">Other health impairments </w:t>
            </w:r>
            <w:r w:rsidRPr="0085223E">
              <w:rPr>
                <w:vertAlign w:val="superscript"/>
              </w:rPr>
              <w:t>a</w:t>
            </w:r>
          </w:p>
        </w:tc>
        <w:tc>
          <w:tcPr>
            <w:tcW w:w="1821" w:type="pct"/>
            <w:vAlign w:val="bottom"/>
          </w:tcPr>
          <w:p w:rsidR="0085223E" w:rsidRPr="0085223E" w:rsidRDefault="0085223E" w:rsidP="00CF3843">
            <w:pPr>
              <w:pStyle w:val="TableText"/>
              <w:tabs>
                <w:tab w:val="decimal" w:pos="1922"/>
              </w:tabs>
            </w:pPr>
            <w:r w:rsidRPr="0085223E">
              <w:t>901,250</w:t>
            </w:r>
          </w:p>
        </w:tc>
      </w:tr>
      <w:tr w:rsidR="0085223E" w:rsidRPr="0085223E" w:rsidTr="00CF3843">
        <w:trPr>
          <w:jc w:val="center"/>
        </w:trPr>
        <w:tc>
          <w:tcPr>
            <w:tcW w:w="3179" w:type="pct"/>
          </w:tcPr>
          <w:p w:rsidR="0085223E" w:rsidRPr="0085223E" w:rsidRDefault="0085223E" w:rsidP="00CF3843">
            <w:pPr>
              <w:pStyle w:val="TableText"/>
            </w:pPr>
            <w:r w:rsidRPr="0085223E">
              <w:t>Speech or language impairments</w:t>
            </w:r>
          </w:p>
        </w:tc>
        <w:tc>
          <w:tcPr>
            <w:tcW w:w="1821" w:type="pct"/>
            <w:vAlign w:val="bottom"/>
          </w:tcPr>
          <w:p w:rsidR="0085223E" w:rsidRPr="0085223E" w:rsidRDefault="0085223E" w:rsidP="00CF3843">
            <w:pPr>
              <w:pStyle w:val="TableText"/>
              <w:tabs>
                <w:tab w:val="decimal" w:pos="1922"/>
              </w:tabs>
            </w:pPr>
            <w:r w:rsidRPr="0085223E">
              <w:t xml:space="preserve">113,200 </w:t>
            </w:r>
          </w:p>
        </w:tc>
      </w:tr>
      <w:tr w:rsidR="0085223E" w:rsidRPr="0085223E" w:rsidTr="00CF3843">
        <w:trPr>
          <w:jc w:val="center"/>
        </w:trPr>
        <w:tc>
          <w:tcPr>
            <w:tcW w:w="3179" w:type="pct"/>
          </w:tcPr>
          <w:p w:rsidR="0085223E" w:rsidRPr="0085223E" w:rsidRDefault="0085223E" w:rsidP="00CF3843">
            <w:pPr>
              <w:pStyle w:val="TableText"/>
            </w:pPr>
            <w:r w:rsidRPr="0085223E">
              <w:t>Autism</w:t>
            </w:r>
          </w:p>
        </w:tc>
        <w:tc>
          <w:tcPr>
            <w:tcW w:w="1821" w:type="pct"/>
            <w:vAlign w:val="bottom"/>
          </w:tcPr>
          <w:p w:rsidR="0085223E" w:rsidRPr="0085223E" w:rsidRDefault="0085223E" w:rsidP="00CF3843">
            <w:pPr>
              <w:pStyle w:val="TableText"/>
              <w:tabs>
                <w:tab w:val="decimal" w:pos="1922"/>
              </w:tabs>
            </w:pPr>
            <w:r w:rsidRPr="0085223E">
              <w:t xml:space="preserve">95,000 </w:t>
            </w:r>
          </w:p>
        </w:tc>
      </w:tr>
      <w:tr w:rsidR="0085223E" w:rsidRPr="0085223E" w:rsidTr="00CF3843">
        <w:trPr>
          <w:jc w:val="center"/>
        </w:trPr>
        <w:tc>
          <w:tcPr>
            <w:tcW w:w="3179" w:type="pct"/>
          </w:tcPr>
          <w:p w:rsidR="0085223E" w:rsidRPr="0085223E" w:rsidRDefault="0085223E" w:rsidP="00CF3843">
            <w:pPr>
              <w:pStyle w:val="TableText"/>
            </w:pPr>
            <w:r w:rsidRPr="0085223E">
              <w:t>Multiple disabilities</w:t>
            </w:r>
          </w:p>
        </w:tc>
        <w:tc>
          <w:tcPr>
            <w:tcW w:w="1821" w:type="pct"/>
            <w:vAlign w:val="bottom"/>
          </w:tcPr>
          <w:p w:rsidR="0085223E" w:rsidRPr="0085223E" w:rsidRDefault="0085223E" w:rsidP="00CF3843">
            <w:pPr>
              <w:pStyle w:val="TableText"/>
              <w:tabs>
                <w:tab w:val="decimal" w:pos="1922"/>
              </w:tabs>
            </w:pPr>
            <w:r w:rsidRPr="0085223E">
              <w:t xml:space="preserve">73,200 </w:t>
            </w:r>
          </w:p>
        </w:tc>
      </w:tr>
      <w:tr w:rsidR="0085223E" w:rsidRPr="0085223E" w:rsidTr="00CF3843">
        <w:trPr>
          <w:jc w:val="center"/>
        </w:trPr>
        <w:tc>
          <w:tcPr>
            <w:tcW w:w="3179" w:type="pct"/>
          </w:tcPr>
          <w:p w:rsidR="0085223E" w:rsidRPr="0085223E" w:rsidRDefault="0085223E" w:rsidP="00CF3843">
            <w:pPr>
              <w:pStyle w:val="TableText"/>
            </w:pPr>
            <w:r w:rsidRPr="0085223E">
              <w:t>Hearing impairments</w:t>
            </w:r>
          </w:p>
        </w:tc>
        <w:tc>
          <w:tcPr>
            <w:tcW w:w="1821" w:type="pct"/>
            <w:vAlign w:val="bottom"/>
          </w:tcPr>
          <w:p w:rsidR="0085223E" w:rsidRPr="0085223E" w:rsidRDefault="0085223E" w:rsidP="00CF3843">
            <w:pPr>
              <w:pStyle w:val="TableText"/>
              <w:tabs>
                <w:tab w:val="decimal" w:pos="1922"/>
              </w:tabs>
            </w:pPr>
            <w:r w:rsidRPr="0085223E">
              <w:t xml:space="preserve">34,000 </w:t>
            </w:r>
          </w:p>
        </w:tc>
      </w:tr>
      <w:tr w:rsidR="0085223E" w:rsidRPr="0085223E" w:rsidTr="00CF3843">
        <w:trPr>
          <w:jc w:val="center"/>
        </w:trPr>
        <w:tc>
          <w:tcPr>
            <w:tcW w:w="3179" w:type="pct"/>
          </w:tcPr>
          <w:p w:rsidR="0085223E" w:rsidRPr="0085223E" w:rsidRDefault="0085223E" w:rsidP="00CF3843">
            <w:pPr>
              <w:pStyle w:val="TableText"/>
            </w:pPr>
            <w:r w:rsidRPr="0085223E">
              <w:t>Orthopedic impairments</w:t>
            </w:r>
          </w:p>
        </w:tc>
        <w:tc>
          <w:tcPr>
            <w:tcW w:w="1821" w:type="pct"/>
            <w:vAlign w:val="bottom"/>
          </w:tcPr>
          <w:p w:rsidR="0085223E" w:rsidRPr="0085223E" w:rsidRDefault="0085223E" w:rsidP="00CF3843">
            <w:pPr>
              <w:pStyle w:val="TableText"/>
              <w:tabs>
                <w:tab w:val="decimal" w:pos="1922"/>
              </w:tabs>
            </w:pPr>
            <w:r w:rsidRPr="0085223E">
              <w:t xml:space="preserve">27,500 </w:t>
            </w:r>
          </w:p>
        </w:tc>
      </w:tr>
      <w:tr w:rsidR="0085223E" w:rsidRPr="0085223E" w:rsidTr="00CF3843">
        <w:trPr>
          <w:jc w:val="center"/>
        </w:trPr>
        <w:tc>
          <w:tcPr>
            <w:tcW w:w="3179" w:type="pct"/>
            <w:vAlign w:val="bottom"/>
          </w:tcPr>
          <w:p w:rsidR="0085223E" w:rsidRPr="0085223E" w:rsidRDefault="0085223E" w:rsidP="00CF3843">
            <w:pPr>
              <w:pStyle w:val="TableText"/>
            </w:pPr>
            <w:r w:rsidRPr="0085223E">
              <w:t>Traumatic brain injury</w:t>
            </w:r>
          </w:p>
        </w:tc>
        <w:tc>
          <w:tcPr>
            <w:tcW w:w="1821" w:type="pct"/>
            <w:vAlign w:val="bottom"/>
          </w:tcPr>
          <w:p w:rsidR="0085223E" w:rsidRPr="0085223E" w:rsidRDefault="0085223E" w:rsidP="00CF3843">
            <w:pPr>
              <w:pStyle w:val="TableText"/>
              <w:tabs>
                <w:tab w:val="decimal" w:pos="1922"/>
              </w:tabs>
            </w:pPr>
            <w:r w:rsidRPr="0085223E">
              <w:t xml:space="preserve">13,900 </w:t>
            </w:r>
          </w:p>
        </w:tc>
      </w:tr>
      <w:tr w:rsidR="0085223E" w:rsidRPr="0085223E" w:rsidTr="00CF3843">
        <w:trPr>
          <w:jc w:val="center"/>
        </w:trPr>
        <w:tc>
          <w:tcPr>
            <w:tcW w:w="3179" w:type="pct"/>
            <w:vAlign w:val="bottom"/>
          </w:tcPr>
          <w:p w:rsidR="0085223E" w:rsidRPr="0085223E" w:rsidRDefault="0085223E" w:rsidP="00CF3843">
            <w:pPr>
              <w:pStyle w:val="TableText"/>
            </w:pPr>
            <w:r w:rsidRPr="0085223E">
              <w:t>Visual impairments</w:t>
            </w:r>
          </w:p>
        </w:tc>
        <w:tc>
          <w:tcPr>
            <w:tcW w:w="1821" w:type="pct"/>
            <w:vAlign w:val="bottom"/>
          </w:tcPr>
          <w:p w:rsidR="0085223E" w:rsidRPr="0085223E" w:rsidRDefault="0085223E" w:rsidP="00CF3843">
            <w:pPr>
              <w:pStyle w:val="TableText"/>
              <w:tabs>
                <w:tab w:val="decimal" w:pos="1922"/>
              </w:tabs>
            </w:pPr>
            <w:r w:rsidRPr="0085223E">
              <w:t xml:space="preserve">12,200 </w:t>
            </w:r>
          </w:p>
        </w:tc>
      </w:tr>
      <w:tr w:rsidR="0085223E" w:rsidRPr="0085223E" w:rsidTr="00CF3843">
        <w:trPr>
          <w:jc w:val="center"/>
        </w:trPr>
        <w:tc>
          <w:tcPr>
            <w:tcW w:w="3179" w:type="pct"/>
            <w:tcBorders>
              <w:bottom w:val="single" w:sz="4" w:space="0" w:color="auto"/>
            </w:tcBorders>
            <w:vAlign w:val="bottom"/>
          </w:tcPr>
          <w:p w:rsidR="0085223E" w:rsidRPr="0085223E" w:rsidRDefault="0085223E" w:rsidP="00CF3843">
            <w:pPr>
              <w:pStyle w:val="TableText"/>
            </w:pPr>
            <w:r w:rsidRPr="0085223E">
              <w:t>Deaf-blindness</w:t>
            </w:r>
          </w:p>
        </w:tc>
        <w:tc>
          <w:tcPr>
            <w:tcW w:w="1821" w:type="pct"/>
            <w:tcBorders>
              <w:bottom w:val="single" w:sz="4" w:space="0" w:color="auto"/>
            </w:tcBorders>
            <w:vAlign w:val="bottom"/>
          </w:tcPr>
          <w:p w:rsidR="0085223E" w:rsidRPr="0085223E" w:rsidRDefault="0085223E" w:rsidP="00CF3843">
            <w:pPr>
              <w:pStyle w:val="TableText"/>
              <w:tabs>
                <w:tab w:val="decimal" w:pos="1922"/>
              </w:tabs>
            </w:pPr>
            <w:r w:rsidRPr="0085223E">
              <w:t xml:space="preserve">750 </w:t>
            </w:r>
          </w:p>
        </w:tc>
      </w:tr>
    </w:tbl>
    <w:p w:rsidR="0085223E" w:rsidRPr="0085223E" w:rsidRDefault="0085223E" w:rsidP="00CF3843">
      <w:pPr>
        <w:pStyle w:val="TableFootnoteCaption"/>
      </w:pPr>
      <w:proofErr w:type="gramStart"/>
      <w:r w:rsidRPr="0085223E">
        <w:rPr>
          <w:vertAlign w:val="superscript"/>
        </w:rPr>
        <w:t>a</w:t>
      </w:r>
      <w:proofErr w:type="gramEnd"/>
      <w:r w:rsidRPr="0085223E">
        <w:rPr>
          <w:vertAlign w:val="superscript"/>
        </w:rPr>
        <w:t xml:space="preserve"> </w:t>
      </w:r>
      <w:r w:rsidRPr="0085223E">
        <w:t>Estimates for this row also apply to the categories mental retardation and emotional disturbance.</w:t>
      </w:r>
    </w:p>
    <w:p w:rsidR="0085223E" w:rsidRPr="0085223E" w:rsidRDefault="0085223E" w:rsidP="0085223E"/>
    <w:p w:rsidR="0085223E" w:rsidRPr="0085223E" w:rsidRDefault="0085223E" w:rsidP="00CF3843">
      <w:pPr>
        <w:pStyle w:val="Heading3"/>
      </w:pPr>
      <w:bookmarkStart w:id="21" w:name="_Toc276391122"/>
      <w:bookmarkStart w:id="22" w:name="_Toc276988538"/>
      <w:bookmarkStart w:id="23" w:name="_Toc277079999"/>
      <w:r w:rsidRPr="0085223E">
        <w:t>2.</w:t>
      </w:r>
      <w:r w:rsidRPr="0085223E">
        <w:tab/>
        <w:t>Statistical Methods for Sample Selection and Degree of Accuracy Needed</w:t>
      </w:r>
      <w:bookmarkEnd w:id="21"/>
      <w:bookmarkEnd w:id="22"/>
      <w:bookmarkEnd w:id="23"/>
    </w:p>
    <w:p w:rsidR="0085223E" w:rsidRPr="0085223E" w:rsidRDefault="0085223E" w:rsidP="00CF3843">
      <w:pPr>
        <w:pStyle w:val="NormalSS"/>
      </w:pPr>
      <w:r w:rsidRPr="0085223E">
        <w:t>T</w:t>
      </w:r>
      <w:r w:rsidR="00FF6270">
        <w:t>wo stage sampling will be used to select</w:t>
      </w:r>
      <w:r w:rsidRPr="0085223E">
        <w:t xml:space="preserve"> approximately 15,000 youth ages 13 to 21 as of December 2011. Of these youth, approximately 12,000 are expected to respond. The respondents will include approximately 9,600 students with IEPs and 2,400 students without IEPs. Of the 2,400 students without IEPs, approximately 400 will be students with Section 504 plans. </w:t>
      </w:r>
    </w:p>
    <w:p w:rsidR="0085223E" w:rsidRPr="0085223E" w:rsidRDefault="0085223E" w:rsidP="00CF3843">
      <w:pPr>
        <w:pStyle w:val="NormalSS"/>
      </w:pPr>
      <w:r w:rsidRPr="0085223E">
        <w:t xml:space="preserve">The sampling design balances several objectives but places the highest priority on obtaining </w:t>
      </w:r>
      <w:r w:rsidR="00280F26">
        <w:t>precise</w:t>
      </w:r>
      <w:r w:rsidRPr="0085223E">
        <w:t xml:space="preserve"> overall estimates for all students with IEPs. Another priority is obtaining </w:t>
      </w:r>
      <w:r w:rsidR="00280F26">
        <w:t xml:space="preserve">precise </w:t>
      </w:r>
      <w:r w:rsidRPr="0085223E">
        <w:t xml:space="preserve">estimates for each of the federally defined disability categories. Other priorities are </w:t>
      </w:r>
      <w:r w:rsidR="00280F26">
        <w:t xml:space="preserve">to </w:t>
      </w:r>
      <w:r w:rsidRPr="0085223E">
        <w:t xml:space="preserve">obtain estimates for the Section 504 students and students with no </w:t>
      </w:r>
      <w:r w:rsidR="00280F26">
        <w:t>IEP and no Section 504 plan</w:t>
      </w:r>
      <w:r w:rsidRPr="0085223E">
        <w:t>.</w:t>
      </w:r>
    </w:p>
    <w:p w:rsidR="0085223E" w:rsidRPr="0085223E" w:rsidRDefault="0085223E" w:rsidP="00CF3843">
      <w:pPr>
        <w:pStyle w:val="NormalSS"/>
      </w:pPr>
      <w:r w:rsidRPr="0085223E">
        <w:t xml:space="preserve">The sample will be selected in two stages. In the first stage, the study team will </w:t>
      </w:r>
      <w:r w:rsidR="005F580A">
        <w:t xml:space="preserve">randomly select </w:t>
      </w:r>
      <w:r w:rsidR="00280F26">
        <w:t>450</w:t>
      </w:r>
      <w:r w:rsidRPr="0085223E">
        <w:t xml:space="preserve"> school districts using ED’s Common Core of Data (CCD) </w:t>
      </w:r>
      <w:r w:rsidR="00280F26">
        <w:t>in the expectation that 300 will agree to participate in the study.</w:t>
      </w:r>
      <w:r w:rsidRPr="0085223E">
        <w:t xml:space="preserve"> </w:t>
      </w:r>
      <w:r w:rsidR="002F7A09">
        <w:t xml:space="preserve">(Additional districts will be randomly selected as a reserve just in case they are needed to recruit 300 participating districts).  </w:t>
      </w:r>
      <w:r w:rsidRPr="0085223E">
        <w:t>In the second stage, the study team will select samples of IEP</w:t>
      </w:r>
      <w:r w:rsidR="00280F26">
        <w:t xml:space="preserve"> students, students with a Section 504 plan, and students with neither an IEP nor a section 504 plan </w:t>
      </w:r>
      <w:r w:rsidRPr="0085223E">
        <w:t xml:space="preserve">from </w:t>
      </w:r>
      <w:r w:rsidR="00280F26">
        <w:t xml:space="preserve">the 300 </w:t>
      </w:r>
      <w:proofErr w:type="gramStart"/>
      <w:r w:rsidR="00280F26">
        <w:t xml:space="preserve">participating </w:t>
      </w:r>
      <w:r w:rsidRPr="0085223E">
        <w:t xml:space="preserve"> district</w:t>
      </w:r>
      <w:r w:rsidR="00280F26">
        <w:t>s</w:t>
      </w:r>
      <w:proofErr w:type="gramEnd"/>
      <w:r w:rsidRPr="0085223E">
        <w:t>, distributing the sample evenly across these districts to minimize the effects of clustering. Details of the proposed sample selection are described below.</w:t>
      </w:r>
    </w:p>
    <w:p w:rsidR="0085223E" w:rsidRPr="00CF3843" w:rsidRDefault="0085223E" w:rsidP="00CF3843">
      <w:pPr>
        <w:pStyle w:val="NormalSS"/>
        <w:ind w:firstLine="0"/>
        <w:rPr>
          <w:b/>
        </w:rPr>
      </w:pPr>
      <w:r w:rsidRPr="00CF3843">
        <w:rPr>
          <w:b/>
        </w:rPr>
        <w:t>a.</w:t>
      </w:r>
      <w:r w:rsidR="00CF3843" w:rsidRPr="00CF3843">
        <w:rPr>
          <w:b/>
        </w:rPr>
        <w:tab/>
      </w:r>
      <w:r w:rsidR="00280F26">
        <w:rPr>
          <w:b/>
        </w:rPr>
        <w:t xml:space="preserve">District </w:t>
      </w:r>
      <w:r w:rsidRPr="00CF3843">
        <w:rPr>
          <w:b/>
        </w:rPr>
        <w:t>Sampling Frame</w:t>
      </w:r>
    </w:p>
    <w:p w:rsidR="0085223E" w:rsidRPr="0085223E" w:rsidRDefault="0085223E" w:rsidP="00CF3843">
      <w:pPr>
        <w:pStyle w:val="NormalSS"/>
      </w:pPr>
      <w:r w:rsidRPr="0085223E">
        <w:t xml:space="preserve">The sampling frame for </w:t>
      </w:r>
      <w:r w:rsidR="00051D36">
        <w:t>the districts in the</w:t>
      </w:r>
      <w:r w:rsidR="00051D36" w:rsidRPr="0085223E">
        <w:t xml:space="preserve"> </w:t>
      </w:r>
      <w:r w:rsidRPr="0085223E">
        <w:t xml:space="preserve">study </w:t>
      </w:r>
      <w:r w:rsidR="00051D36">
        <w:t>comes from the</w:t>
      </w:r>
      <w:r w:rsidRPr="0085223E">
        <w:t xml:space="preserve"> CCD. About half of the nation’s 14,000 public school districts contain fewer than 100 students with an IEP across all ages. To support efficient data collection, the study team will combine nearby districts with fewer than 100 IEP students to form district units that contain at least 100 IEP students. For the selection of students, the study team will compile sample information from all component districts (typically two) and sample from the combined student populations. The sample of districts and district units will be drawn with probability proportional to a composite size measure that includes the IEP and non-IEP populations in the districts. This measure will increase the selection of districts with more students with an IEP and can provide nearly self-weighting national samples of students within disability categories. The final sample will include approximately 288 district units with perhaps 12 multi-district units; the study team projects that the sample will contain approximately 300 school districts.</w:t>
      </w:r>
    </w:p>
    <w:p w:rsidR="0085223E" w:rsidRPr="00CF3843" w:rsidRDefault="0085223E" w:rsidP="00CF3843">
      <w:pPr>
        <w:pStyle w:val="NormalSS"/>
        <w:ind w:firstLine="0"/>
        <w:rPr>
          <w:b/>
        </w:rPr>
      </w:pPr>
      <w:r w:rsidRPr="00CF3843">
        <w:rPr>
          <w:b/>
        </w:rPr>
        <w:t>b.</w:t>
      </w:r>
      <w:r w:rsidR="00CF3843" w:rsidRPr="00CF3843">
        <w:rPr>
          <w:b/>
        </w:rPr>
        <w:tab/>
      </w:r>
      <w:r w:rsidRPr="00CF3843">
        <w:rPr>
          <w:b/>
        </w:rPr>
        <w:t>Stratification</w:t>
      </w:r>
      <w:r w:rsidR="00280F26">
        <w:rPr>
          <w:b/>
        </w:rPr>
        <w:t xml:space="preserve"> of the District Sample</w:t>
      </w:r>
    </w:p>
    <w:p w:rsidR="00EF6216" w:rsidRPr="0085223E" w:rsidRDefault="0085223E" w:rsidP="00EF6216">
      <w:pPr>
        <w:pStyle w:val="NormalSS"/>
      </w:pPr>
      <w:r w:rsidRPr="0085223E">
        <w:t xml:space="preserve">The study team will stratify the district units before sample selection. Stratification of districts serves two purposes: (1) ensuring that the representation of particular types of districts is not left to chance and (2) allowing the oversampling of rare district types that would occur too infrequently if all district types were sampled with the same probability. </w:t>
      </w:r>
      <w:r w:rsidR="00EF6216">
        <w:t>ED and t</w:t>
      </w:r>
      <w:r w:rsidR="00EF6216" w:rsidRPr="0085223E">
        <w:t xml:space="preserve">he study team </w:t>
      </w:r>
      <w:r w:rsidR="00EF6216">
        <w:t xml:space="preserve">may consider </w:t>
      </w:r>
      <w:r w:rsidR="00EF6216" w:rsidRPr="0085223E">
        <w:t xml:space="preserve">as </w:t>
      </w:r>
      <w:r w:rsidR="00EF6216">
        <w:t xml:space="preserve">one </w:t>
      </w:r>
      <w:r w:rsidR="00EF6216" w:rsidRPr="0085223E">
        <w:t xml:space="preserve">stratification factor </w:t>
      </w:r>
      <w:r w:rsidR="008776CB">
        <w:t>the poverty level of the district</w:t>
      </w:r>
      <w:r w:rsidR="00EF6216" w:rsidRPr="0085223E">
        <w:t xml:space="preserve">. This </w:t>
      </w:r>
      <w:r w:rsidR="00EF6216">
        <w:t xml:space="preserve">would </w:t>
      </w:r>
      <w:r w:rsidR="00EF6216" w:rsidRPr="0085223E">
        <w:t xml:space="preserve">ensure that districts that </w:t>
      </w:r>
      <w:r w:rsidR="008776CB">
        <w:t xml:space="preserve">high poverty districts </w:t>
      </w:r>
      <w:r w:rsidR="00EF6216" w:rsidRPr="0085223E">
        <w:t>are included in the district sample</w:t>
      </w:r>
      <w:r w:rsidR="00EF6216">
        <w:t xml:space="preserve"> and can be oversampled to enable the oversampling of the youths in </w:t>
      </w:r>
      <w:r w:rsidR="008776CB">
        <w:t>high poverty districts</w:t>
      </w:r>
      <w:r w:rsidR="00EF6216" w:rsidRPr="0085223E">
        <w:t xml:space="preserve">. The team will also consider stratification by geographic region of the country, the degree of </w:t>
      </w:r>
      <w:proofErr w:type="spellStart"/>
      <w:r w:rsidR="00EF6216" w:rsidRPr="0085223E">
        <w:t>urbanicity</w:t>
      </w:r>
      <w:proofErr w:type="spellEnd"/>
      <w:r w:rsidR="00EF6216" w:rsidRPr="0085223E">
        <w:t xml:space="preserve">, the extent of minority enrollment, and the number of IEP students. </w:t>
      </w:r>
    </w:p>
    <w:p w:rsidR="0085223E" w:rsidRPr="0085223E" w:rsidRDefault="0085223E" w:rsidP="00CF3843">
      <w:pPr>
        <w:pStyle w:val="NormalSS"/>
      </w:pPr>
      <w:r w:rsidRPr="0085223E">
        <w:t xml:space="preserve">The study team will use both explicit and implicit stratification. In explicit stratification, a portion of the sampling frame is grouped together (such as districts in major urban areas) to form a stratum and a specific sample size is allocated to the stratum. In implicit stratification, the sampling frame within a stratum is ordered by a factor such as district size (for example, four levels of district size), and by using a sequential selection procedure, the sample selected is approximately proportionally allocated across the four levels of district size. </w:t>
      </w:r>
    </w:p>
    <w:p w:rsidR="00DB39E0" w:rsidRDefault="00DB39E0">
      <w:pPr>
        <w:tabs>
          <w:tab w:val="clear" w:pos="432"/>
        </w:tabs>
        <w:spacing w:line="240" w:lineRule="auto"/>
        <w:ind w:firstLine="0"/>
        <w:jc w:val="left"/>
        <w:rPr>
          <w:b/>
        </w:rPr>
      </w:pPr>
      <w:r>
        <w:rPr>
          <w:b/>
        </w:rPr>
        <w:br w:type="page"/>
      </w:r>
    </w:p>
    <w:p w:rsidR="0085223E" w:rsidRPr="00CF3843" w:rsidRDefault="0085223E" w:rsidP="00CF3843">
      <w:pPr>
        <w:pStyle w:val="NormalSS"/>
        <w:ind w:firstLine="0"/>
        <w:rPr>
          <w:b/>
        </w:rPr>
      </w:pPr>
      <w:r w:rsidRPr="00CF3843">
        <w:rPr>
          <w:b/>
        </w:rPr>
        <w:t>c.</w:t>
      </w:r>
      <w:r w:rsidR="00CF3843" w:rsidRPr="00CF3843">
        <w:rPr>
          <w:b/>
        </w:rPr>
        <w:tab/>
      </w:r>
      <w:r w:rsidRPr="00CF3843">
        <w:rPr>
          <w:b/>
        </w:rPr>
        <w:t>Size Measure for District Selection</w:t>
      </w:r>
    </w:p>
    <w:p w:rsidR="0085223E" w:rsidRPr="0085223E" w:rsidRDefault="0085223E" w:rsidP="00CF3843">
      <w:pPr>
        <w:pStyle w:val="NormalSS"/>
      </w:pPr>
      <w:r w:rsidRPr="0085223E">
        <w:t>The study team will use a composite size measure to select the sample of districts and district units.</w:t>
      </w:r>
      <w:r w:rsidRPr="0085223E">
        <w:rPr>
          <w:vertAlign w:val="superscript"/>
        </w:rPr>
        <w:footnoteReference w:id="4"/>
      </w:r>
      <w:r w:rsidRPr="0085223E">
        <w:t xml:space="preserve"> The composite size measure will be based on the district level counts of the number of students with IEPs, </w:t>
      </w:r>
      <w:proofErr w:type="gramStart"/>
      <w:r w:rsidRPr="0085223E">
        <w:t>N(</w:t>
      </w:r>
      <w:proofErr w:type="gramEnd"/>
      <w:r w:rsidRPr="0085223E">
        <w:t xml:space="preserve">students with IEPs in district </w:t>
      </w:r>
      <w:proofErr w:type="spellStart"/>
      <w:r w:rsidRPr="0085223E">
        <w:t>i</w:t>
      </w:r>
      <w:proofErr w:type="spellEnd"/>
      <w:r w:rsidRPr="0085223E">
        <w:t xml:space="preserve">), and the number of students without an IEP, N(students without IEPs in district </w:t>
      </w:r>
      <w:proofErr w:type="spellStart"/>
      <w:r w:rsidRPr="0085223E">
        <w:t>i</w:t>
      </w:r>
      <w:proofErr w:type="spellEnd"/>
      <w:r w:rsidRPr="0085223E">
        <w:t xml:space="preserve">). The size measure is based on global sampling rates for students with IEPs, </w:t>
      </w:r>
      <w:proofErr w:type="gramStart"/>
      <w:r w:rsidRPr="0085223E">
        <w:t>f(</w:t>
      </w:r>
      <w:proofErr w:type="gramEnd"/>
      <w:r w:rsidRPr="0085223E">
        <w:t xml:space="preserve">IEP), and those without an IEP, f(W/O IEP), using data available from the CCD. The size measure for the </w:t>
      </w:r>
      <w:proofErr w:type="spellStart"/>
      <w:r w:rsidRPr="0085223E">
        <w:t>ith</w:t>
      </w:r>
      <w:proofErr w:type="spellEnd"/>
      <w:r w:rsidRPr="0085223E">
        <w:t xml:space="preserve"> district will be of the form</w:t>
      </w:r>
    </w:p>
    <w:p w:rsidR="0085223E" w:rsidRPr="0085223E" w:rsidRDefault="0085223E" w:rsidP="00CF3843">
      <w:pPr>
        <w:pStyle w:val="NormalSS"/>
      </w:pPr>
      <w:proofErr w:type="gramStart"/>
      <w:r w:rsidRPr="0085223E">
        <w:t>Si  =</w:t>
      </w:r>
      <w:proofErr w:type="gramEnd"/>
      <w:r w:rsidRPr="0085223E">
        <w:t xml:space="preserve">  f (IEP) * N(students with IEPs in district </w:t>
      </w:r>
      <w:proofErr w:type="spellStart"/>
      <w:r w:rsidRPr="0085223E">
        <w:t>i</w:t>
      </w:r>
      <w:proofErr w:type="spellEnd"/>
      <w:r w:rsidRPr="0085223E">
        <w:t xml:space="preserve">)  + f (W/O IEP) * N(students without IEPs in district </w:t>
      </w:r>
      <w:proofErr w:type="spellStart"/>
      <w:r w:rsidRPr="0085223E">
        <w:t>i</w:t>
      </w:r>
      <w:proofErr w:type="spellEnd"/>
      <w:r w:rsidRPr="0085223E">
        <w:t xml:space="preserve">)  </w:t>
      </w:r>
    </w:p>
    <w:p w:rsidR="0085223E" w:rsidRDefault="0085223E" w:rsidP="00CF3843">
      <w:pPr>
        <w:pStyle w:val="NormalSS"/>
      </w:pPr>
      <w:r w:rsidRPr="0085223E">
        <w:t>We expect that some districts (such as Los Angeles and Chicago) with large student populations will be selected with certainty, and the study team will use this size measure to identify these districts. The remaining districts will be selected with probability proportional to the composite size measure and without replacement. This composite size measure can result in nearly self-weighting samples of students within the disability categories.</w:t>
      </w:r>
    </w:p>
    <w:p w:rsidR="0085223E" w:rsidRPr="0085223E" w:rsidRDefault="00EF6216" w:rsidP="00CF3843">
      <w:pPr>
        <w:pStyle w:val="NormalSS"/>
      </w:pPr>
      <w:r>
        <w:t xml:space="preserve">To enable the oversampling of students in </w:t>
      </w:r>
      <w:r w:rsidR="008776CB">
        <w:t>high poverty districts</w:t>
      </w:r>
      <w:r>
        <w:t xml:space="preserve">, the study team may assign higher global sampling rates for </w:t>
      </w:r>
      <w:r w:rsidRPr="0085223E">
        <w:t>students with IEPs</w:t>
      </w:r>
      <w:r>
        <w:t xml:space="preserve"> and for </w:t>
      </w:r>
      <w:r w:rsidRPr="0085223E">
        <w:t>students with</w:t>
      </w:r>
      <w:r>
        <w:t>out</w:t>
      </w:r>
      <w:r w:rsidRPr="0085223E">
        <w:t xml:space="preserve"> IEPs</w:t>
      </w:r>
      <w:r>
        <w:t xml:space="preserve"> for </w:t>
      </w:r>
      <w:r w:rsidR="008776CB">
        <w:t xml:space="preserve">high poverty </w:t>
      </w:r>
      <w:r>
        <w:t xml:space="preserve">districts than for other districts. </w:t>
      </w:r>
      <w:r w:rsidR="002B0B51">
        <w:t xml:space="preserve">These higher global sampling rates would allow the oversampling of students in </w:t>
      </w:r>
      <w:r w:rsidR="008776CB">
        <w:t xml:space="preserve">high poverty </w:t>
      </w:r>
      <w:r w:rsidR="002B0B51">
        <w:t xml:space="preserve">districts, while maintaining nearly equal response burden across the selected districts. </w:t>
      </w:r>
      <w:r w:rsidR="002B0B51" w:rsidRPr="0085223E">
        <w:t xml:space="preserve">Because not all districts will be willing to participate, the </w:t>
      </w:r>
      <w:r w:rsidR="002B0B51">
        <w:t xml:space="preserve">study team </w:t>
      </w:r>
      <w:r w:rsidR="002B0B51" w:rsidRPr="0085223E">
        <w:t xml:space="preserve">will </w:t>
      </w:r>
      <w:r w:rsidR="002B0B51">
        <w:t xml:space="preserve">select </w:t>
      </w:r>
      <w:r w:rsidR="002B0B51" w:rsidRPr="0085223E">
        <w:t xml:space="preserve">a reserve </w:t>
      </w:r>
      <w:r w:rsidR="002B0B51">
        <w:t xml:space="preserve">sample </w:t>
      </w:r>
      <w:r w:rsidR="002B0B51" w:rsidRPr="0085223E">
        <w:t xml:space="preserve">of districts. </w:t>
      </w:r>
      <w:r w:rsidR="0085223E" w:rsidRPr="0085223E">
        <w:t xml:space="preserve">As recruitment proceeds, the study team will keep track of how many sampled districts have been recruited. If additional districts are needed, either to complete the sample or to </w:t>
      </w:r>
      <w:r w:rsidR="005F580A">
        <w:t xml:space="preserve">account for a </w:t>
      </w:r>
      <w:r w:rsidR="0085223E" w:rsidRPr="0085223E">
        <w:t>district that withdrew from participation, additional districts will be randomly selected from the reserve list.</w:t>
      </w:r>
    </w:p>
    <w:p w:rsidR="0085223E" w:rsidRPr="00CF3843" w:rsidRDefault="0085223E" w:rsidP="00CF3843">
      <w:pPr>
        <w:pStyle w:val="NormalSS"/>
        <w:ind w:firstLine="0"/>
        <w:rPr>
          <w:b/>
        </w:rPr>
      </w:pPr>
      <w:r w:rsidRPr="00CF3843">
        <w:rPr>
          <w:b/>
        </w:rPr>
        <w:t>d.</w:t>
      </w:r>
      <w:r w:rsidR="00CF3843" w:rsidRPr="00CF3843">
        <w:rPr>
          <w:b/>
        </w:rPr>
        <w:tab/>
      </w:r>
      <w:r w:rsidRPr="00CF3843">
        <w:rPr>
          <w:b/>
        </w:rPr>
        <w:t>Student Selection</w:t>
      </w:r>
    </w:p>
    <w:p w:rsidR="0085223E" w:rsidRPr="0085223E" w:rsidRDefault="00280F26" w:rsidP="00CF3843">
      <w:pPr>
        <w:pStyle w:val="NormalSS"/>
      </w:pPr>
      <w:r>
        <w:t xml:space="preserve">Based on the </w:t>
      </w:r>
      <w:r w:rsidR="002F7A09">
        <w:t xml:space="preserve">federal reporting </w:t>
      </w:r>
      <w:r>
        <w:t>requirement</w:t>
      </w:r>
      <w:r w:rsidR="002F7A09">
        <w:t>s</w:t>
      </w:r>
      <w:r>
        <w:t xml:space="preserve"> </w:t>
      </w:r>
      <w:r w:rsidR="002F7A09">
        <w:t xml:space="preserve">and </w:t>
      </w:r>
      <w:r>
        <w:t xml:space="preserve">on </w:t>
      </w:r>
      <w:r w:rsidR="002F7A09">
        <w:t xml:space="preserve">the </w:t>
      </w:r>
      <w:r>
        <w:t>experience of NLTS 2 we anticipate that a</w:t>
      </w:r>
      <w:r w:rsidR="0085223E" w:rsidRPr="0085223E">
        <w:t xml:space="preserve">ll districts </w:t>
      </w:r>
      <w:r>
        <w:t xml:space="preserve">will </w:t>
      </w:r>
      <w:r w:rsidR="0085223E" w:rsidRPr="0085223E">
        <w:t xml:space="preserve">maintain lists of students by </w:t>
      </w:r>
      <w:r w:rsidR="00153A20">
        <w:t xml:space="preserve">federal </w:t>
      </w:r>
      <w:r w:rsidR="0085223E" w:rsidRPr="0085223E">
        <w:t>disability category</w:t>
      </w:r>
      <w:r w:rsidR="00153A20">
        <w:t xml:space="preserve">. Based on information from the ED Office of Civil Rights we anticipate that </w:t>
      </w:r>
      <w:r w:rsidR="0085223E" w:rsidRPr="0085223E">
        <w:t xml:space="preserve">most </w:t>
      </w:r>
      <w:r w:rsidR="00153A20">
        <w:t xml:space="preserve">districts will also </w:t>
      </w:r>
      <w:r w:rsidR="0085223E" w:rsidRPr="0085223E">
        <w:t>maintain a list of non-IEP students with Section 504 plans. Using these lists, the study team will assign each student age 13 to 21 to one of the strata (one of the IEP disability categories, the stratum of non-IEP students with Section 504 plans, or the stratum of non-IEP students without Section 504 plans). The study team will then draw a random sample from each stratum (controlling implicitly by grade level and school) at a rate designed to yield the target number of students in each stratum. The team will also select a reserve sample available for use to account for students who may be ineligible or choose not to respond.</w:t>
      </w:r>
    </w:p>
    <w:p w:rsidR="0085223E" w:rsidRPr="0085223E" w:rsidRDefault="005F580A" w:rsidP="00CF3843">
      <w:pPr>
        <w:pStyle w:val="NormalSS"/>
      </w:pPr>
      <w:r>
        <w:t xml:space="preserve">It is anticipated that a </w:t>
      </w:r>
      <w:r w:rsidR="0085223E" w:rsidRPr="0085223E">
        <w:t xml:space="preserve">proportion of districts </w:t>
      </w:r>
      <w:r>
        <w:t xml:space="preserve">will </w:t>
      </w:r>
      <w:r w:rsidR="0085223E" w:rsidRPr="0085223E">
        <w:t>neither maintain lists by disability category nor have lists of students with Section 504 plans.</w:t>
      </w:r>
      <w:r w:rsidR="0085223E" w:rsidRPr="0085223E">
        <w:rPr>
          <w:vertAlign w:val="superscript"/>
        </w:rPr>
        <w:footnoteReference w:id="5"/>
      </w:r>
      <w:r w:rsidR="0085223E" w:rsidRPr="0085223E">
        <w:t xml:space="preserve"> In these districts, the study team will first select schools and then obtain the lists from the selected schools. The schools will be selected with probability proportional to size (such as the number of non-IEP students). </w:t>
      </w:r>
    </w:p>
    <w:p w:rsidR="0085223E" w:rsidRPr="0085223E" w:rsidRDefault="0085223E" w:rsidP="00CF3843">
      <w:pPr>
        <w:pStyle w:val="NormalSS"/>
      </w:pPr>
      <w:r w:rsidRPr="0085223E">
        <w:t xml:space="preserve">The study team expects to interview approximately 32 IEP students/parents and 8 non-IEP students/parents in each of the districts or district units. To obtain this many respondents from each district, the study team will select samples of 40 IEP students and 10 non-IEP students, based on an anticipated response rate of 80 percent. </w:t>
      </w:r>
    </w:p>
    <w:p w:rsidR="0085223E" w:rsidRPr="00CF3843" w:rsidRDefault="0085223E" w:rsidP="00CF3843">
      <w:pPr>
        <w:pStyle w:val="NormalSS"/>
        <w:ind w:firstLine="0"/>
        <w:rPr>
          <w:b/>
        </w:rPr>
      </w:pPr>
      <w:r w:rsidRPr="00CF3843">
        <w:rPr>
          <w:b/>
        </w:rPr>
        <w:t>e.</w:t>
      </w:r>
      <w:r w:rsidR="00CF3843" w:rsidRPr="00CF3843">
        <w:rPr>
          <w:b/>
        </w:rPr>
        <w:tab/>
      </w:r>
      <w:r w:rsidRPr="00CF3843">
        <w:rPr>
          <w:b/>
        </w:rPr>
        <w:t>Precision and Minimum Detectable Differences</w:t>
      </w:r>
    </w:p>
    <w:p w:rsidR="0085223E" w:rsidRPr="0085223E" w:rsidRDefault="0085223E" w:rsidP="00CF3843">
      <w:pPr>
        <w:pStyle w:val="NormalSS"/>
      </w:pPr>
      <w:r w:rsidRPr="0085223E">
        <w:t>Table B.2 presents target sample sizes and estimates of precision for a set of disability category subgroups and the non-IEP sample (divided into Section 504 students and all other students). All of the sample sizes in this table represent the estimated number of youth (or parents) responding to the surveys. This sample allocation is designed to allow meaningful precision for survey estimates and minimum detectable differences of approximately 0.10 for proportions near 0.50 (for a two-sided test with alpha of 0.05 and 80 percent power) for most</w:t>
      </w:r>
      <w:r w:rsidR="00F66B2D">
        <w:t xml:space="preserve"> of the disability categories. </w:t>
      </w:r>
      <w:r w:rsidRPr="0085223E">
        <w:t>The precision estimates are based on an allocation of 400 respondents with Section 504 plans. The table presents estimates of minimum detectable differences (MDDs) for comparisons between the subpopulations and two larger populations: all students with IEPs and all students without IEPs.</w:t>
      </w:r>
    </w:p>
    <w:p w:rsidR="0085223E" w:rsidRPr="0085223E" w:rsidRDefault="0085223E" w:rsidP="00CF3843">
      <w:pPr>
        <w:pStyle w:val="NormalSS"/>
      </w:pPr>
      <w:r w:rsidRPr="0085223E">
        <w:t xml:space="preserve">Three categories of disabilities (traumatic brain injury, visual impairments, and deaf-blind) are too rare to support reliable estimates individually without shifting too much sample from much larger categories. For some of the analysis these categories will be clustered with other disability groups to provide more reliable estimates. For example, the study team may group together the cluster of students with sensory impairments (namely, those with hearing impairments, visual impairments, and deaf-blindness).  </w:t>
      </w:r>
    </w:p>
    <w:p w:rsidR="006F5DE1" w:rsidRPr="006F5DE1" w:rsidRDefault="006F5DE1" w:rsidP="006F5DE1">
      <w:pPr>
        <w:pStyle w:val="MarkforTableHeading"/>
      </w:pPr>
      <w:bookmarkStart w:id="24" w:name="_Toc267211369"/>
      <w:bookmarkStart w:id="25" w:name="_Toc271099264"/>
      <w:r w:rsidRPr="006F5DE1">
        <w:t>Table B.2. Sample Sizes, Precision, and Minimum Detectable Differences for Subpopulations Defined by Disability</w:t>
      </w:r>
      <w:bookmarkEnd w:id="24"/>
      <w:bookmarkEnd w:id="25"/>
      <w:r w:rsidRPr="006F5DE1">
        <w:t xml:space="preserve"> Category</w:t>
      </w:r>
    </w:p>
    <w:tbl>
      <w:tblPr>
        <w:tblStyle w:val="TableGrid"/>
        <w:tblW w:w="0" w:type="auto"/>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851"/>
        <w:gridCol w:w="1016"/>
        <w:gridCol w:w="824"/>
        <w:gridCol w:w="824"/>
        <w:gridCol w:w="222"/>
        <w:gridCol w:w="967"/>
        <w:gridCol w:w="872"/>
      </w:tblGrid>
      <w:tr w:rsidR="006F5DE1" w:rsidRPr="006F5DE1" w:rsidTr="006F5DE1">
        <w:trPr>
          <w:tblHeader/>
        </w:trPr>
        <w:tc>
          <w:tcPr>
            <w:tcW w:w="0" w:type="auto"/>
            <w:tcBorders>
              <w:top w:val="single" w:sz="12" w:space="0" w:color="auto"/>
              <w:bottom w:val="nil"/>
            </w:tcBorders>
            <w:shd w:val="clear" w:color="auto" w:fill="auto"/>
            <w:vAlign w:val="bottom"/>
          </w:tcPr>
          <w:p w:rsidR="006F5DE1" w:rsidRPr="006F5DE1" w:rsidRDefault="006F5DE1" w:rsidP="006F5DE1">
            <w:pPr>
              <w:pStyle w:val="TableText"/>
            </w:pPr>
          </w:p>
        </w:tc>
        <w:tc>
          <w:tcPr>
            <w:tcW w:w="0" w:type="auto"/>
            <w:tcBorders>
              <w:top w:val="single" w:sz="12" w:space="0" w:color="auto"/>
              <w:bottom w:val="nil"/>
            </w:tcBorders>
            <w:vAlign w:val="bottom"/>
          </w:tcPr>
          <w:p w:rsidR="006F5DE1" w:rsidRPr="006F5DE1" w:rsidRDefault="006F5DE1" w:rsidP="006F5DE1">
            <w:pPr>
              <w:pStyle w:val="TableHeaderCenter"/>
            </w:pPr>
          </w:p>
        </w:tc>
        <w:tc>
          <w:tcPr>
            <w:tcW w:w="0" w:type="auto"/>
            <w:gridSpan w:val="2"/>
            <w:tcBorders>
              <w:top w:val="single" w:sz="12" w:space="0" w:color="auto"/>
              <w:bottom w:val="single" w:sz="4" w:space="0" w:color="auto"/>
            </w:tcBorders>
            <w:shd w:val="clear" w:color="auto" w:fill="auto"/>
            <w:vAlign w:val="bottom"/>
          </w:tcPr>
          <w:p w:rsidR="006F5DE1" w:rsidRPr="006F5DE1" w:rsidRDefault="006F5DE1" w:rsidP="006F5DE1">
            <w:pPr>
              <w:pStyle w:val="TableHeaderCenter"/>
            </w:pPr>
            <w:r w:rsidRPr="006F5DE1">
              <w:t xml:space="preserve">Half-width of 95% </w:t>
            </w:r>
            <w:r w:rsidRPr="006F5DE1">
              <w:br/>
              <w:t>Confidence Level</w:t>
            </w:r>
            <w:r w:rsidRPr="006F5DE1">
              <w:br/>
              <w:t xml:space="preserve">at Selected </w:t>
            </w:r>
            <w:r w:rsidRPr="006F5DE1">
              <w:br/>
              <w:t>Proportions</w:t>
            </w:r>
          </w:p>
        </w:tc>
        <w:tc>
          <w:tcPr>
            <w:tcW w:w="0" w:type="auto"/>
            <w:tcBorders>
              <w:top w:val="single" w:sz="12" w:space="0" w:color="auto"/>
              <w:bottom w:val="single" w:sz="4" w:space="0" w:color="auto"/>
            </w:tcBorders>
            <w:shd w:val="clear" w:color="auto" w:fill="auto"/>
            <w:vAlign w:val="bottom"/>
          </w:tcPr>
          <w:p w:rsidR="006F5DE1" w:rsidRPr="006F5DE1" w:rsidRDefault="006F5DE1" w:rsidP="006F5DE1">
            <w:pPr>
              <w:pStyle w:val="TableHeaderCenter"/>
            </w:pPr>
          </w:p>
        </w:tc>
        <w:tc>
          <w:tcPr>
            <w:tcW w:w="0" w:type="auto"/>
            <w:gridSpan w:val="2"/>
            <w:tcBorders>
              <w:top w:val="single" w:sz="12" w:space="0" w:color="auto"/>
              <w:bottom w:val="single" w:sz="4" w:space="0" w:color="auto"/>
            </w:tcBorders>
            <w:shd w:val="clear" w:color="auto" w:fill="auto"/>
            <w:vAlign w:val="bottom"/>
          </w:tcPr>
          <w:p w:rsidR="006F5DE1" w:rsidRPr="006F5DE1" w:rsidRDefault="006F5DE1" w:rsidP="006F5DE1">
            <w:pPr>
              <w:pStyle w:val="TableHeaderCenter"/>
            </w:pPr>
            <w:r w:rsidRPr="006F5DE1">
              <w:t xml:space="preserve">Minimum </w:t>
            </w:r>
            <w:r w:rsidRPr="006F5DE1">
              <w:br/>
              <w:t xml:space="preserve">Detectable </w:t>
            </w:r>
            <w:r w:rsidRPr="006F5DE1">
              <w:br/>
              <w:t xml:space="preserve">Differences </w:t>
            </w:r>
            <w:r w:rsidRPr="006F5DE1">
              <w:br/>
              <w:t>(MDD)</w:t>
            </w:r>
          </w:p>
        </w:tc>
      </w:tr>
      <w:tr w:rsidR="006F5DE1" w:rsidRPr="006F5DE1" w:rsidTr="006F5DE1">
        <w:trPr>
          <w:tblHeader/>
        </w:trPr>
        <w:tc>
          <w:tcPr>
            <w:tcW w:w="0" w:type="auto"/>
            <w:tcBorders>
              <w:top w:val="nil"/>
              <w:bottom w:val="single" w:sz="4" w:space="0" w:color="auto"/>
            </w:tcBorders>
            <w:shd w:val="clear" w:color="auto" w:fill="auto"/>
            <w:vAlign w:val="bottom"/>
          </w:tcPr>
          <w:p w:rsidR="006F5DE1" w:rsidRPr="006F5DE1" w:rsidRDefault="006F5DE1" w:rsidP="006F5DE1">
            <w:pPr>
              <w:pStyle w:val="TableText"/>
            </w:pPr>
          </w:p>
        </w:tc>
        <w:tc>
          <w:tcPr>
            <w:tcW w:w="0" w:type="auto"/>
            <w:tcBorders>
              <w:top w:val="nil"/>
              <w:bottom w:val="single" w:sz="4" w:space="0" w:color="auto"/>
            </w:tcBorders>
            <w:vAlign w:val="bottom"/>
          </w:tcPr>
          <w:p w:rsidR="006F5DE1" w:rsidRPr="006F5DE1" w:rsidRDefault="006F5DE1" w:rsidP="006F5DE1">
            <w:pPr>
              <w:pStyle w:val="TableHeaderCenter"/>
            </w:pPr>
            <w:r w:rsidRPr="006F5DE1">
              <w:t xml:space="preserve">Proposed/ </w:t>
            </w:r>
            <w:r w:rsidRPr="006F5DE1">
              <w:br/>
              <w:t>Estimated</w:t>
            </w:r>
            <w:r w:rsidRPr="006F5DE1">
              <w:br/>
              <w:t>Sample</w:t>
            </w:r>
            <w:r w:rsidRPr="006F5DE1">
              <w:br/>
              <w:t>Size</w:t>
            </w:r>
          </w:p>
        </w:tc>
        <w:tc>
          <w:tcPr>
            <w:tcW w:w="0" w:type="auto"/>
            <w:tcBorders>
              <w:top w:val="single" w:sz="12" w:space="0" w:color="auto"/>
              <w:bottom w:val="single" w:sz="4" w:space="0" w:color="auto"/>
            </w:tcBorders>
            <w:shd w:val="clear" w:color="auto" w:fill="auto"/>
            <w:vAlign w:val="bottom"/>
          </w:tcPr>
          <w:p w:rsidR="006F5DE1" w:rsidRPr="006F5DE1" w:rsidRDefault="006F5DE1" w:rsidP="006F5DE1">
            <w:pPr>
              <w:pStyle w:val="TableHeaderCenter"/>
            </w:pPr>
            <w:r w:rsidRPr="006F5DE1">
              <w:t>.50</w:t>
            </w:r>
          </w:p>
        </w:tc>
        <w:tc>
          <w:tcPr>
            <w:tcW w:w="0" w:type="auto"/>
            <w:tcBorders>
              <w:top w:val="single" w:sz="12" w:space="0" w:color="auto"/>
              <w:bottom w:val="single" w:sz="4" w:space="0" w:color="auto"/>
            </w:tcBorders>
            <w:shd w:val="clear" w:color="auto" w:fill="auto"/>
            <w:vAlign w:val="bottom"/>
          </w:tcPr>
          <w:p w:rsidR="006F5DE1" w:rsidRPr="006F5DE1" w:rsidRDefault="006F5DE1" w:rsidP="006F5DE1">
            <w:pPr>
              <w:pStyle w:val="TableHeaderCenter"/>
            </w:pPr>
            <w:r w:rsidRPr="006F5DE1">
              <w:t>.10</w:t>
            </w:r>
          </w:p>
        </w:tc>
        <w:tc>
          <w:tcPr>
            <w:tcW w:w="0" w:type="auto"/>
            <w:tcBorders>
              <w:top w:val="single" w:sz="12" w:space="0" w:color="auto"/>
              <w:bottom w:val="single" w:sz="4" w:space="0" w:color="auto"/>
            </w:tcBorders>
            <w:shd w:val="clear" w:color="auto" w:fill="auto"/>
            <w:vAlign w:val="bottom"/>
          </w:tcPr>
          <w:p w:rsidR="006F5DE1" w:rsidRPr="006F5DE1" w:rsidRDefault="006F5DE1" w:rsidP="006F5DE1">
            <w:pPr>
              <w:pStyle w:val="TableHeaderCenter"/>
            </w:pPr>
          </w:p>
        </w:tc>
        <w:tc>
          <w:tcPr>
            <w:tcW w:w="0" w:type="auto"/>
            <w:tcBorders>
              <w:top w:val="single" w:sz="12" w:space="0" w:color="auto"/>
              <w:bottom w:val="single" w:sz="4" w:space="0" w:color="auto"/>
            </w:tcBorders>
            <w:shd w:val="clear" w:color="auto" w:fill="auto"/>
            <w:vAlign w:val="bottom"/>
          </w:tcPr>
          <w:p w:rsidR="006F5DE1" w:rsidRPr="006F5DE1" w:rsidRDefault="006F5DE1" w:rsidP="006F5DE1">
            <w:pPr>
              <w:pStyle w:val="TableHeaderCenter"/>
            </w:pPr>
            <w:r w:rsidRPr="006F5DE1">
              <w:t>With IEPs</w:t>
            </w:r>
          </w:p>
        </w:tc>
        <w:tc>
          <w:tcPr>
            <w:tcW w:w="0" w:type="auto"/>
            <w:tcBorders>
              <w:top w:val="single" w:sz="12" w:space="0" w:color="auto"/>
              <w:bottom w:val="single" w:sz="4" w:space="0" w:color="auto"/>
            </w:tcBorders>
            <w:shd w:val="clear" w:color="auto" w:fill="auto"/>
            <w:vAlign w:val="bottom"/>
          </w:tcPr>
          <w:p w:rsidR="006F5DE1" w:rsidRPr="006F5DE1" w:rsidRDefault="006F5DE1" w:rsidP="006F5DE1">
            <w:pPr>
              <w:pStyle w:val="TableHeaderCenter"/>
            </w:pPr>
            <w:r w:rsidRPr="006F5DE1">
              <w:t xml:space="preserve">Without </w:t>
            </w:r>
            <w:r w:rsidRPr="006F5DE1">
              <w:br/>
              <w:t>IEPs</w:t>
            </w:r>
          </w:p>
        </w:tc>
      </w:tr>
      <w:tr w:rsidR="006F5DE1" w:rsidRPr="006F5DE1" w:rsidTr="006F5DE1">
        <w:tc>
          <w:tcPr>
            <w:tcW w:w="0" w:type="auto"/>
            <w:tcBorders>
              <w:top w:val="single" w:sz="4" w:space="0" w:color="auto"/>
            </w:tcBorders>
            <w:shd w:val="clear" w:color="auto" w:fill="auto"/>
          </w:tcPr>
          <w:p w:rsidR="006F5DE1" w:rsidRPr="006F5DE1" w:rsidRDefault="006F5DE1" w:rsidP="006F5DE1">
            <w:pPr>
              <w:pStyle w:val="TableText"/>
            </w:pPr>
            <w:r w:rsidRPr="006F5DE1">
              <w:t>All students without IEPs</w:t>
            </w:r>
          </w:p>
        </w:tc>
        <w:tc>
          <w:tcPr>
            <w:tcW w:w="0" w:type="auto"/>
            <w:tcBorders>
              <w:top w:val="single" w:sz="4" w:space="0" w:color="auto"/>
            </w:tcBorders>
          </w:tcPr>
          <w:p w:rsidR="006F5DE1" w:rsidRPr="006F5DE1" w:rsidRDefault="006F5DE1" w:rsidP="006F5DE1">
            <w:pPr>
              <w:pStyle w:val="TableText"/>
            </w:pPr>
            <w:r w:rsidRPr="006F5DE1">
              <w:t>2,400</w:t>
            </w:r>
          </w:p>
        </w:tc>
        <w:tc>
          <w:tcPr>
            <w:tcW w:w="0" w:type="auto"/>
            <w:tcBorders>
              <w:top w:val="single" w:sz="4" w:space="0" w:color="auto"/>
            </w:tcBorders>
            <w:shd w:val="clear" w:color="auto" w:fill="auto"/>
          </w:tcPr>
          <w:p w:rsidR="006F5DE1" w:rsidRPr="006F5DE1" w:rsidRDefault="006F5DE1" w:rsidP="006F5DE1">
            <w:pPr>
              <w:pStyle w:val="TableText"/>
            </w:pPr>
            <w:r w:rsidRPr="006F5DE1">
              <w:t>0.021</w:t>
            </w:r>
          </w:p>
        </w:tc>
        <w:tc>
          <w:tcPr>
            <w:tcW w:w="0" w:type="auto"/>
            <w:tcBorders>
              <w:top w:val="single" w:sz="4" w:space="0" w:color="auto"/>
            </w:tcBorders>
            <w:shd w:val="clear" w:color="auto" w:fill="auto"/>
          </w:tcPr>
          <w:p w:rsidR="006F5DE1" w:rsidRPr="006F5DE1" w:rsidRDefault="006F5DE1" w:rsidP="006F5DE1">
            <w:pPr>
              <w:pStyle w:val="TableText"/>
            </w:pPr>
            <w:r w:rsidRPr="006F5DE1">
              <w:t>0.013</w:t>
            </w:r>
          </w:p>
        </w:tc>
        <w:tc>
          <w:tcPr>
            <w:tcW w:w="0" w:type="auto"/>
            <w:tcBorders>
              <w:top w:val="single" w:sz="4" w:space="0" w:color="auto"/>
            </w:tcBorders>
            <w:shd w:val="clear" w:color="auto" w:fill="auto"/>
            <w:vAlign w:val="center"/>
          </w:tcPr>
          <w:p w:rsidR="006F5DE1" w:rsidRPr="006F5DE1" w:rsidRDefault="006F5DE1" w:rsidP="006F5DE1">
            <w:pPr>
              <w:pStyle w:val="TableText"/>
            </w:pPr>
          </w:p>
        </w:tc>
        <w:tc>
          <w:tcPr>
            <w:tcW w:w="0" w:type="auto"/>
            <w:tcBorders>
              <w:top w:val="single" w:sz="4" w:space="0" w:color="auto"/>
            </w:tcBorders>
            <w:shd w:val="clear" w:color="auto" w:fill="auto"/>
          </w:tcPr>
          <w:p w:rsidR="006F5DE1" w:rsidRPr="006F5DE1" w:rsidRDefault="006F5DE1" w:rsidP="006F5DE1">
            <w:pPr>
              <w:pStyle w:val="TableText"/>
            </w:pPr>
            <w:r w:rsidRPr="006F5DE1">
              <w:t>0.076</w:t>
            </w:r>
          </w:p>
        </w:tc>
        <w:tc>
          <w:tcPr>
            <w:tcW w:w="0" w:type="auto"/>
            <w:tcBorders>
              <w:top w:val="single" w:sz="4" w:space="0" w:color="auto"/>
            </w:tcBorders>
            <w:shd w:val="clear" w:color="auto" w:fill="auto"/>
          </w:tcPr>
          <w:p w:rsidR="006F5DE1" w:rsidRPr="006F5DE1" w:rsidRDefault="006F5DE1" w:rsidP="006F5DE1">
            <w:pPr>
              <w:pStyle w:val="TableText"/>
            </w:pPr>
            <w:r w:rsidRPr="006F5DE1">
              <w:t>--</w:t>
            </w:r>
          </w:p>
        </w:tc>
      </w:tr>
      <w:tr w:rsidR="006F5DE1" w:rsidRPr="006F5DE1" w:rsidTr="006F5DE1">
        <w:tc>
          <w:tcPr>
            <w:tcW w:w="0" w:type="auto"/>
            <w:shd w:val="clear" w:color="auto" w:fill="auto"/>
          </w:tcPr>
          <w:p w:rsidR="006F5DE1" w:rsidRPr="006F5DE1" w:rsidRDefault="006F5DE1" w:rsidP="006F5DE1">
            <w:pPr>
              <w:pStyle w:val="TableText"/>
            </w:pPr>
            <w:r w:rsidRPr="006F5DE1">
              <w:t>Without Section 504 plans</w:t>
            </w:r>
          </w:p>
        </w:tc>
        <w:tc>
          <w:tcPr>
            <w:tcW w:w="0" w:type="auto"/>
          </w:tcPr>
          <w:p w:rsidR="006F5DE1" w:rsidRPr="006F5DE1" w:rsidRDefault="006F5DE1" w:rsidP="006F5DE1">
            <w:pPr>
              <w:pStyle w:val="TableText"/>
            </w:pPr>
            <w:r w:rsidRPr="006F5DE1">
              <w:t>2,000</w:t>
            </w:r>
          </w:p>
        </w:tc>
        <w:tc>
          <w:tcPr>
            <w:tcW w:w="0" w:type="auto"/>
            <w:shd w:val="clear" w:color="auto" w:fill="auto"/>
          </w:tcPr>
          <w:p w:rsidR="006F5DE1" w:rsidRPr="006F5DE1" w:rsidRDefault="006F5DE1" w:rsidP="006F5DE1">
            <w:pPr>
              <w:pStyle w:val="TableText"/>
            </w:pPr>
            <w:r w:rsidRPr="006F5DE1">
              <w:t>0.023</w:t>
            </w:r>
          </w:p>
        </w:tc>
        <w:tc>
          <w:tcPr>
            <w:tcW w:w="0" w:type="auto"/>
            <w:shd w:val="clear" w:color="auto" w:fill="auto"/>
          </w:tcPr>
          <w:p w:rsidR="006F5DE1" w:rsidRPr="006F5DE1" w:rsidRDefault="006F5DE1" w:rsidP="006F5DE1">
            <w:pPr>
              <w:pStyle w:val="TableText"/>
            </w:pPr>
            <w:r w:rsidRPr="006F5DE1">
              <w:t>0.014</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0.080</w:t>
            </w:r>
          </w:p>
        </w:tc>
        <w:tc>
          <w:tcPr>
            <w:tcW w:w="0" w:type="auto"/>
            <w:shd w:val="clear" w:color="auto" w:fill="auto"/>
          </w:tcPr>
          <w:p w:rsidR="006F5DE1" w:rsidRPr="006F5DE1" w:rsidRDefault="006F5DE1" w:rsidP="006F5DE1">
            <w:pPr>
              <w:pStyle w:val="TableText"/>
            </w:pPr>
            <w:r w:rsidRPr="006F5DE1">
              <w:t>--</w:t>
            </w:r>
          </w:p>
        </w:tc>
      </w:tr>
      <w:tr w:rsidR="006F5DE1" w:rsidRPr="006F5DE1" w:rsidTr="006F5DE1">
        <w:tc>
          <w:tcPr>
            <w:tcW w:w="0" w:type="auto"/>
            <w:shd w:val="clear" w:color="auto" w:fill="auto"/>
          </w:tcPr>
          <w:p w:rsidR="006F5DE1" w:rsidRPr="006F5DE1" w:rsidRDefault="006F5DE1" w:rsidP="006F5DE1">
            <w:pPr>
              <w:pStyle w:val="TableText"/>
            </w:pPr>
            <w:r w:rsidRPr="006F5DE1">
              <w:t>With Section 504 plans</w:t>
            </w:r>
          </w:p>
        </w:tc>
        <w:tc>
          <w:tcPr>
            <w:tcW w:w="0" w:type="auto"/>
          </w:tcPr>
          <w:p w:rsidR="006F5DE1" w:rsidRPr="006F5DE1" w:rsidRDefault="006F5DE1" w:rsidP="006F5DE1">
            <w:pPr>
              <w:pStyle w:val="TableText"/>
            </w:pPr>
            <w:r w:rsidRPr="006F5DE1">
              <w:t>400</w:t>
            </w:r>
          </w:p>
        </w:tc>
        <w:tc>
          <w:tcPr>
            <w:tcW w:w="0" w:type="auto"/>
            <w:shd w:val="clear" w:color="auto" w:fill="auto"/>
          </w:tcPr>
          <w:p w:rsidR="006F5DE1" w:rsidRPr="006F5DE1" w:rsidRDefault="006F5DE1" w:rsidP="006F5DE1">
            <w:pPr>
              <w:pStyle w:val="TableText"/>
            </w:pPr>
            <w:r w:rsidRPr="006F5DE1">
              <w:t>0.049</w:t>
            </w:r>
          </w:p>
        </w:tc>
        <w:tc>
          <w:tcPr>
            <w:tcW w:w="0" w:type="auto"/>
            <w:shd w:val="clear" w:color="auto" w:fill="auto"/>
          </w:tcPr>
          <w:p w:rsidR="006F5DE1" w:rsidRPr="006F5DE1" w:rsidRDefault="006F5DE1" w:rsidP="006F5DE1">
            <w:pPr>
              <w:pStyle w:val="TableText"/>
            </w:pPr>
            <w:r w:rsidRPr="006F5DE1">
              <w:t>0.030</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0.148</w:t>
            </w:r>
          </w:p>
        </w:tc>
        <w:tc>
          <w:tcPr>
            <w:tcW w:w="0" w:type="auto"/>
            <w:shd w:val="clear" w:color="auto" w:fill="auto"/>
          </w:tcPr>
          <w:p w:rsidR="006F5DE1" w:rsidRPr="006F5DE1" w:rsidRDefault="006F5DE1" w:rsidP="006F5DE1">
            <w:pPr>
              <w:pStyle w:val="TableText"/>
            </w:pPr>
            <w:r w:rsidRPr="006F5DE1">
              <w:t>0.154</w:t>
            </w:r>
          </w:p>
        </w:tc>
      </w:tr>
      <w:tr w:rsidR="006F5DE1" w:rsidRPr="006F5DE1" w:rsidTr="006F5DE1">
        <w:tc>
          <w:tcPr>
            <w:tcW w:w="0" w:type="auto"/>
            <w:shd w:val="clear" w:color="auto" w:fill="auto"/>
          </w:tcPr>
          <w:p w:rsidR="006F5DE1" w:rsidRPr="006F5DE1" w:rsidRDefault="006F5DE1" w:rsidP="006F5DE1">
            <w:pPr>
              <w:pStyle w:val="TableText"/>
            </w:pPr>
            <w:r w:rsidRPr="006F5DE1">
              <w:t>All students with IEPs</w:t>
            </w:r>
          </w:p>
        </w:tc>
        <w:tc>
          <w:tcPr>
            <w:tcW w:w="0" w:type="auto"/>
          </w:tcPr>
          <w:p w:rsidR="006F5DE1" w:rsidRPr="006F5DE1" w:rsidRDefault="006F5DE1" w:rsidP="006F5DE1">
            <w:pPr>
              <w:pStyle w:val="TableText"/>
            </w:pPr>
            <w:r w:rsidRPr="006F5DE1">
              <w:t>9,600</w:t>
            </w:r>
          </w:p>
        </w:tc>
        <w:tc>
          <w:tcPr>
            <w:tcW w:w="0" w:type="auto"/>
            <w:shd w:val="clear" w:color="auto" w:fill="auto"/>
          </w:tcPr>
          <w:p w:rsidR="006F5DE1" w:rsidRPr="006F5DE1" w:rsidRDefault="006F5DE1" w:rsidP="006F5DE1">
            <w:pPr>
              <w:pStyle w:val="TableText"/>
            </w:pPr>
            <w:r w:rsidRPr="006F5DE1">
              <w:t>0.017</w:t>
            </w:r>
          </w:p>
        </w:tc>
        <w:tc>
          <w:tcPr>
            <w:tcW w:w="0" w:type="auto"/>
            <w:shd w:val="clear" w:color="auto" w:fill="auto"/>
          </w:tcPr>
          <w:p w:rsidR="006F5DE1" w:rsidRPr="006F5DE1" w:rsidRDefault="006F5DE1" w:rsidP="006F5DE1">
            <w:pPr>
              <w:pStyle w:val="TableText"/>
            </w:pPr>
            <w:r w:rsidRPr="006F5DE1">
              <w:t>0.010</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w:t>
            </w:r>
          </w:p>
        </w:tc>
        <w:tc>
          <w:tcPr>
            <w:tcW w:w="0" w:type="auto"/>
            <w:shd w:val="clear" w:color="auto" w:fill="auto"/>
          </w:tcPr>
          <w:p w:rsidR="006F5DE1" w:rsidRPr="006F5DE1" w:rsidRDefault="006F5DE1" w:rsidP="006F5DE1">
            <w:pPr>
              <w:pStyle w:val="TableText"/>
            </w:pPr>
            <w:r w:rsidRPr="006F5DE1">
              <w:t>0.076</w:t>
            </w:r>
          </w:p>
        </w:tc>
      </w:tr>
      <w:tr w:rsidR="006F5DE1" w:rsidRPr="006F5DE1" w:rsidTr="006F5DE1">
        <w:tc>
          <w:tcPr>
            <w:tcW w:w="0" w:type="auto"/>
            <w:shd w:val="clear" w:color="auto" w:fill="auto"/>
          </w:tcPr>
          <w:p w:rsidR="006F5DE1" w:rsidRPr="006F5DE1" w:rsidRDefault="006F5DE1" w:rsidP="006F5DE1">
            <w:pPr>
              <w:pStyle w:val="TableText"/>
            </w:pPr>
            <w:r w:rsidRPr="006F5DE1">
              <w:t>Specific learning disabilities</w:t>
            </w:r>
          </w:p>
        </w:tc>
        <w:tc>
          <w:tcPr>
            <w:tcW w:w="0" w:type="auto"/>
          </w:tcPr>
          <w:p w:rsidR="006F5DE1" w:rsidRPr="006F5DE1" w:rsidRDefault="006F5DE1" w:rsidP="006F5DE1">
            <w:pPr>
              <w:pStyle w:val="TableText"/>
            </w:pPr>
            <w:r w:rsidRPr="006F5DE1">
              <w:t>1,600</w:t>
            </w:r>
          </w:p>
        </w:tc>
        <w:tc>
          <w:tcPr>
            <w:tcW w:w="0" w:type="auto"/>
            <w:shd w:val="clear" w:color="auto" w:fill="auto"/>
          </w:tcPr>
          <w:p w:rsidR="006F5DE1" w:rsidRPr="006F5DE1" w:rsidRDefault="006F5DE1" w:rsidP="006F5DE1">
            <w:pPr>
              <w:pStyle w:val="TableText"/>
            </w:pPr>
            <w:r w:rsidRPr="006F5DE1">
              <w:t>0.025</w:t>
            </w:r>
          </w:p>
        </w:tc>
        <w:tc>
          <w:tcPr>
            <w:tcW w:w="0" w:type="auto"/>
            <w:shd w:val="clear" w:color="auto" w:fill="auto"/>
          </w:tcPr>
          <w:p w:rsidR="006F5DE1" w:rsidRPr="006F5DE1" w:rsidRDefault="006F5DE1" w:rsidP="006F5DE1">
            <w:pPr>
              <w:pStyle w:val="TableText"/>
            </w:pPr>
            <w:r w:rsidRPr="006F5DE1">
              <w:t>0.015</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0.096</w:t>
            </w:r>
          </w:p>
        </w:tc>
        <w:tc>
          <w:tcPr>
            <w:tcW w:w="0" w:type="auto"/>
            <w:shd w:val="clear" w:color="auto" w:fill="auto"/>
          </w:tcPr>
          <w:p w:rsidR="006F5DE1" w:rsidRPr="006F5DE1" w:rsidRDefault="006F5DE1" w:rsidP="006F5DE1">
            <w:pPr>
              <w:pStyle w:val="TableText"/>
            </w:pPr>
            <w:r w:rsidRPr="006F5DE1">
              <w:t>0.093</w:t>
            </w:r>
          </w:p>
        </w:tc>
      </w:tr>
      <w:tr w:rsidR="006F5DE1" w:rsidRPr="006F5DE1" w:rsidTr="006F5DE1">
        <w:tc>
          <w:tcPr>
            <w:tcW w:w="0" w:type="auto"/>
            <w:shd w:val="clear" w:color="auto" w:fill="auto"/>
          </w:tcPr>
          <w:p w:rsidR="006F5DE1" w:rsidRPr="006F5DE1" w:rsidRDefault="006F5DE1" w:rsidP="006F5DE1">
            <w:pPr>
              <w:pStyle w:val="TableText"/>
            </w:pPr>
            <w:r w:rsidRPr="006F5DE1">
              <w:t>Other health impairments</w:t>
            </w:r>
          </w:p>
        </w:tc>
        <w:tc>
          <w:tcPr>
            <w:tcW w:w="0" w:type="auto"/>
          </w:tcPr>
          <w:p w:rsidR="006F5DE1" w:rsidRPr="006F5DE1" w:rsidRDefault="006F5DE1" w:rsidP="006F5DE1">
            <w:pPr>
              <w:pStyle w:val="TableText"/>
            </w:pPr>
            <w:r w:rsidRPr="006F5DE1">
              <w:t>1,200</w:t>
            </w:r>
          </w:p>
        </w:tc>
        <w:tc>
          <w:tcPr>
            <w:tcW w:w="0" w:type="auto"/>
            <w:shd w:val="clear" w:color="auto" w:fill="auto"/>
          </w:tcPr>
          <w:p w:rsidR="006F5DE1" w:rsidRPr="006F5DE1" w:rsidRDefault="006F5DE1" w:rsidP="006F5DE1">
            <w:pPr>
              <w:pStyle w:val="TableText"/>
            </w:pPr>
            <w:r w:rsidRPr="006F5DE1">
              <w:t>0.029</w:t>
            </w:r>
          </w:p>
        </w:tc>
        <w:tc>
          <w:tcPr>
            <w:tcW w:w="0" w:type="auto"/>
            <w:shd w:val="clear" w:color="auto" w:fill="auto"/>
          </w:tcPr>
          <w:p w:rsidR="006F5DE1" w:rsidRPr="006F5DE1" w:rsidRDefault="006F5DE1" w:rsidP="006F5DE1">
            <w:pPr>
              <w:pStyle w:val="TableText"/>
            </w:pPr>
            <w:r w:rsidRPr="006F5DE1">
              <w:t>0.017</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0.101</w:t>
            </w:r>
          </w:p>
        </w:tc>
        <w:tc>
          <w:tcPr>
            <w:tcW w:w="0" w:type="auto"/>
            <w:shd w:val="clear" w:color="auto" w:fill="auto"/>
          </w:tcPr>
          <w:p w:rsidR="006F5DE1" w:rsidRPr="006F5DE1" w:rsidRDefault="006F5DE1" w:rsidP="006F5DE1">
            <w:pPr>
              <w:pStyle w:val="TableText"/>
            </w:pPr>
            <w:r w:rsidRPr="006F5DE1">
              <w:t>0.101</w:t>
            </w:r>
          </w:p>
        </w:tc>
      </w:tr>
      <w:tr w:rsidR="006F5DE1" w:rsidRPr="006F5DE1" w:rsidTr="006F5DE1">
        <w:tc>
          <w:tcPr>
            <w:tcW w:w="0" w:type="auto"/>
            <w:shd w:val="clear" w:color="auto" w:fill="auto"/>
          </w:tcPr>
          <w:p w:rsidR="006F5DE1" w:rsidRPr="006F5DE1" w:rsidRDefault="006F5DE1" w:rsidP="006F5DE1">
            <w:pPr>
              <w:pStyle w:val="TableText"/>
            </w:pPr>
            <w:r w:rsidRPr="006F5DE1">
              <w:t>Mental retardation</w:t>
            </w:r>
          </w:p>
        </w:tc>
        <w:tc>
          <w:tcPr>
            <w:tcW w:w="0" w:type="auto"/>
          </w:tcPr>
          <w:p w:rsidR="006F5DE1" w:rsidRPr="006F5DE1" w:rsidRDefault="006F5DE1" w:rsidP="006F5DE1">
            <w:pPr>
              <w:pStyle w:val="TableText"/>
            </w:pPr>
            <w:r w:rsidRPr="006F5DE1">
              <w:t>1,200</w:t>
            </w:r>
          </w:p>
        </w:tc>
        <w:tc>
          <w:tcPr>
            <w:tcW w:w="0" w:type="auto"/>
            <w:shd w:val="clear" w:color="auto" w:fill="auto"/>
          </w:tcPr>
          <w:p w:rsidR="006F5DE1" w:rsidRPr="006F5DE1" w:rsidRDefault="006F5DE1" w:rsidP="006F5DE1">
            <w:pPr>
              <w:pStyle w:val="TableText"/>
            </w:pPr>
            <w:r w:rsidRPr="006F5DE1">
              <w:t>0.029</w:t>
            </w:r>
          </w:p>
        </w:tc>
        <w:tc>
          <w:tcPr>
            <w:tcW w:w="0" w:type="auto"/>
            <w:shd w:val="clear" w:color="auto" w:fill="auto"/>
          </w:tcPr>
          <w:p w:rsidR="006F5DE1" w:rsidRPr="006F5DE1" w:rsidRDefault="006F5DE1" w:rsidP="006F5DE1">
            <w:pPr>
              <w:pStyle w:val="TableText"/>
            </w:pPr>
            <w:r w:rsidRPr="006F5DE1">
              <w:t>0.017</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0.101</w:t>
            </w:r>
          </w:p>
        </w:tc>
        <w:tc>
          <w:tcPr>
            <w:tcW w:w="0" w:type="auto"/>
            <w:shd w:val="clear" w:color="auto" w:fill="auto"/>
          </w:tcPr>
          <w:p w:rsidR="006F5DE1" w:rsidRPr="006F5DE1" w:rsidRDefault="006F5DE1" w:rsidP="006F5DE1">
            <w:pPr>
              <w:pStyle w:val="TableText"/>
            </w:pPr>
            <w:r w:rsidRPr="006F5DE1">
              <w:t>0.101</w:t>
            </w:r>
          </w:p>
        </w:tc>
      </w:tr>
      <w:tr w:rsidR="006F5DE1" w:rsidRPr="006F5DE1" w:rsidTr="006F5DE1">
        <w:tc>
          <w:tcPr>
            <w:tcW w:w="0" w:type="auto"/>
            <w:shd w:val="clear" w:color="auto" w:fill="auto"/>
          </w:tcPr>
          <w:p w:rsidR="006F5DE1" w:rsidRPr="006F5DE1" w:rsidRDefault="006F5DE1" w:rsidP="006F5DE1">
            <w:pPr>
              <w:pStyle w:val="TableText"/>
            </w:pPr>
            <w:r w:rsidRPr="006F5DE1">
              <w:t>Emotional disturbance</w:t>
            </w:r>
          </w:p>
        </w:tc>
        <w:tc>
          <w:tcPr>
            <w:tcW w:w="0" w:type="auto"/>
          </w:tcPr>
          <w:p w:rsidR="006F5DE1" w:rsidRPr="006F5DE1" w:rsidRDefault="006F5DE1" w:rsidP="006F5DE1">
            <w:pPr>
              <w:pStyle w:val="TableText"/>
            </w:pPr>
            <w:r w:rsidRPr="006F5DE1">
              <w:t>1,200</w:t>
            </w:r>
          </w:p>
        </w:tc>
        <w:tc>
          <w:tcPr>
            <w:tcW w:w="0" w:type="auto"/>
            <w:shd w:val="clear" w:color="auto" w:fill="auto"/>
          </w:tcPr>
          <w:p w:rsidR="006F5DE1" w:rsidRPr="006F5DE1" w:rsidRDefault="006F5DE1" w:rsidP="006F5DE1">
            <w:pPr>
              <w:pStyle w:val="TableText"/>
            </w:pPr>
            <w:r w:rsidRPr="006F5DE1">
              <w:t>0.029</w:t>
            </w:r>
          </w:p>
        </w:tc>
        <w:tc>
          <w:tcPr>
            <w:tcW w:w="0" w:type="auto"/>
            <w:shd w:val="clear" w:color="auto" w:fill="auto"/>
          </w:tcPr>
          <w:p w:rsidR="006F5DE1" w:rsidRPr="006F5DE1" w:rsidRDefault="006F5DE1" w:rsidP="006F5DE1">
            <w:pPr>
              <w:pStyle w:val="TableText"/>
            </w:pPr>
            <w:r w:rsidRPr="006F5DE1">
              <w:t>0.017</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0.101</w:t>
            </w:r>
          </w:p>
        </w:tc>
        <w:tc>
          <w:tcPr>
            <w:tcW w:w="0" w:type="auto"/>
            <w:shd w:val="clear" w:color="auto" w:fill="auto"/>
          </w:tcPr>
          <w:p w:rsidR="006F5DE1" w:rsidRPr="006F5DE1" w:rsidRDefault="006F5DE1" w:rsidP="006F5DE1">
            <w:pPr>
              <w:pStyle w:val="TableText"/>
            </w:pPr>
            <w:r w:rsidRPr="006F5DE1">
              <w:t>0.101</w:t>
            </w:r>
          </w:p>
        </w:tc>
      </w:tr>
      <w:tr w:rsidR="006F5DE1" w:rsidRPr="006F5DE1" w:rsidTr="006F5DE1">
        <w:tc>
          <w:tcPr>
            <w:tcW w:w="0" w:type="auto"/>
            <w:shd w:val="clear" w:color="auto" w:fill="auto"/>
          </w:tcPr>
          <w:p w:rsidR="006F5DE1" w:rsidRPr="006F5DE1" w:rsidRDefault="006F5DE1" w:rsidP="006F5DE1">
            <w:pPr>
              <w:pStyle w:val="TableText"/>
            </w:pPr>
            <w:r w:rsidRPr="006F5DE1">
              <w:t>Speech or language impairments</w:t>
            </w:r>
          </w:p>
        </w:tc>
        <w:tc>
          <w:tcPr>
            <w:tcW w:w="0" w:type="auto"/>
          </w:tcPr>
          <w:p w:rsidR="006F5DE1" w:rsidRPr="006F5DE1" w:rsidRDefault="006F5DE1" w:rsidP="006F5DE1">
            <w:pPr>
              <w:pStyle w:val="TableText"/>
            </w:pPr>
            <w:r w:rsidRPr="006F5DE1">
              <w:t>1,000</w:t>
            </w:r>
          </w:p>
        </w:tc>
        <w:tc>
          <w:tcPr>
            <w:tcW w:w="0" w:type="auto"/>
            <w:shd w:val="clear" w:color="auto" w:fill="auto"/>
          </w:tcPr>
          <w:p w:rsidR="006F5DE1" w:rsidRPr="006F5DE1" w:rsidRDefault="006F5DE1" w:rsidP="006F5DE1">
            <w:pPr>
              <w:pStyle w:val="TableText"/>
            </w:pPr>
            <w:r w:rsidRPr="006F5DE1">
              <w:t>0.031</w:t>
            </w:r>
          </w:p>
        </w:tc>
        <w:tc>
          <w:tcPr>
            <w:tcW w:w="0" w:type="auto"/>
            <w:shd w:val="clear" w:color="auto" w:fill="auto"/>
          </w:tcPr>
          <w:p w:rsidR="006F5DE1" w:rsidRPr="006F5DE1" w:rsidRDefault="006F5DE1" w:rsidP="006F5DE1">
            <w:pPr>
              <w:pStyle w:val="TableText"/>
            </w:pPr>
            <w:r w:rsidRPr="006F5DE1">
              <w:t>0.019</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0.106</w:t>
            </w:r>
          </w:p>
        </w:tc>
        <w:tc>
          <w:tcPr>
            <w:tcW w:w="0" w:type="auto"/>
            <w:shd w:val="clear" w:color="auto" w:fill="auto"/>
          </w:tcPr>
          <w:p w:rsidR="006F5DE1" w:rsidRPr="006F5DE1" w:rsidRDefault="006F5DE1" w:rsidP="006F5DE1">
            <w:pPr>
              <w:pStyle w:val="TableText"/>
            </w:pPr>
            <w:r w:rsidRPr="006F5DE1">
              <w:t>0.107</w:t>
            </w:r>
          </w:p>
        </w:tc>
      </w:tr>
      <w:tr w:rsidR="006F5DE1" w:rsidRPr="006F5DE1" w:rsidTr="006F5DE1">
        <w:tc>
          <w:tcPr>
            <w:tcW w:w="0" w:type="auto"/>
            <w:shd w:val="clear" w:color="auto" w:fill="auto"/>
          </w:tcPr>
          <w:p w:rsidR="006F5DE1" w:rsidRPr="006F5DE1" w:rsidRDefault="006F5DE1" w:rsidP="006F5DE1">
            <w:pPr>
              <w:pStyle w:val="TableText"/>
            </w:pPr>
            <w:r w:rsidRPr="006F5DE1">
              <w:t>Autism</w:t>
            </w:r>
          </w:p>
        </w:tc>
        <w:tc>
          <w:tcPr>
            <w:tcW w:w="0" w:type="auto"/>
          </w:tcPr>
          <w:p w:rsidR="006F5DE1" w:rsidRPr="006F5DE1" w:rsidRDefault="006F5DE1" w:rsidP="006F5DE1">
            <w:pPr>
              <w:pStyle w:val="TableText"/>
            </w:pPr>
            <w:r w:rsidRPr="006F5DE1">
              <w:t>1,000</w:t>
            </w:r>
          </w:p>
        </w:tc>
        <w:tc>
          <w:tcPr>
            <w:tcW w:w="0" w:type="auto"/>
            <w:shd w:val="clear" w:color="auto" w:fill="auto"/>
          </w:tcPr>
          <w:p w:rsidR="006F5DE1" w:rsidRPr="006F5DE1" w:rsidRDefault="006F5DE1" w:rsidP="006F5DE1">
            <w:pPr>
              <w:pStyle w:val="TableText"/>
            </w:pPr>
            <w:r w:rsidRPr="006F5DE1">
              <w:t>0.031</w:t>
            </w:r>
          </w:p>
        </w:tc>
        <w:tc>
          <w:tcPr>
            <w:tcW w:w="0" w:type="auto"/>
            <w:shd w:val="clear" w:color="auto" w:fill="auto"/>
          </w:tcPr>
          <w:p w:rsidR="006F5DE1" w:rsidRPr="006F5DE1" w:rsidRDefault="006F5DE1" w:rsidP="006F5DE1">
            <w:pPr>
              <w:pStyle w:val="TableText"/>
            </w:pPr>
            <w:r w:rsidRPr="006F5DE1">
              <w:t>0.019</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0.106</w:t>
            </w:r>
          </w:p>
        </w:tc>
        <w:tc>
          <w:tcPr>
            <w:tcW w:w="0" w:type="auto"/>
            <w:shd w:val="clear" w:color="auto" w:fill="auto"/>
          </w:tcPr>
          <w:p w:rsidR="006F5DE1" w:rsidRPr="006F5DE1" w:rsidRDefault="006F5DE1" w:rsidP="006F5DE1">
            <w:pPr>
              <w:pStyle w:val="TableText"/>
            </w:pPr>
            <w:r w:rsidRPr="006F5DE1">
              <w:t>0.107</w:t>
            </w:r>
          </w:p>
        </w:tc>
      </w:tr>
      <w:tr w:rsidR="006F5DE1" w:rsidRPr="006F5DE1" w:rsidTr="006F5DE1">
        <w:tc>
          <w:tcPr>
            <w:tcW w:w="0" w:type="auto"/>
            <w:shd w:val="clear" w:color="auto" w:fill="auto"/>
          </w:tcPr>
          <w:p w:rsidR="006F5DE1" w:rsidRPr="006F5DE1" w:rsidRDefault="006F5DE1" w:rsidP="006F5DE1">
            <w:pPr>
              <w:pStyle w:val="TableText"/>
            </w:pPr>
            <w:r w:rsidRPr="006F5DE1">
              <w:t>Multiple disabilities</w:t>
            </w:r>
          </w:p>
        </w:tc>
        <w:tc>
          <w:tcPr>
            <w:tcW w:w="0" w:type="auto"/>
          </w:tcPr>
          <w:p w:rsidR="006F5DE1" w:rsidRPr="006F5DE1" w:rsidRDefault="006F5DE1" w:rsidP="006F5DE1">
            <w:pPr>
              <w:pStyle w:val="TableText"/>
            </w:pPr>
            <w:r w:rsidRPr="006F5DE1">
              <w:t>900</w:t>
            </w:r>
          </w:p>
        </w:tc>
        <w:tc>
          <w:tcPr>
            <w:tcW w:w="0" w:type="auto"/>
            <w:shd w:val="clear" w:color="auto" w:fill="auto"/>
          </w:tcPr>
          <w:p w:rsidR="006F5DE1" w:rsidRPr="006F5DE1" w:rsidRDefault="006F5DE1" w:rsidP="006F5DE1">
            <w:pPr>
              <w:pStyle w:val="TableText"/>
            </w:pPr>
            <w:r w:rsidRPr="006F5DE1">
              <w:t>0.033</w:t>
            </w:r>
          </w:p>
        </w:tc>
        <w:tc>
          <w:tcPr>
            <w:tcW w:w="0" w:type="auto"/>
            <w:shd w:val="clear" w:color="auto" w:fill="auto"/>
          </w:tcPr>
          <w:p w:rsidR="006F5DE1" w:rsidRPr="006F5DE1" w:rsidRDefault="006F5DE1" w:rsidP="006F5DE1">
            <w:pPr>
              <w:pStyle w:val="TableText"/>
            </w:pPr>
            <w:r w:rsidRPr="006F5DE1">
              <w:t>0.020</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0.110</w:t>
            </w:r>
          </w:p>
        </w:tc>
        <w:tc>
          <w:tcPr>
            <w:tcW w:w="0" w:type="auto"/>
            <w:shd w:val="clear" w:color="auto" w:fill="auto"/>
          </w:tcPr>
          <w:p w:rsidR="006F5DE1" w:rsidRPr="006F5DE1" w:rsidRDefault="006F5DE1" w:rsidP="006F5DE1">
            <w:pPr>
              <w:pStyle w:val="TableText"/>
            </w:pPr>
            <w:r w:rsidRPr="006F5DE1">
              <w:t>0.111</w:t>
            </w:r>
          </w:p>
        </w:tc>
      </w:tr>
      <w:tr w:rsidR="006F5DE1" w:rsidRPr="006F5DE1" w:rsidTr="006F5DE1">
        <w:tc>
          <w:tcPr>
            <w:tcW w:w="0" w:type="auto"/>
            <w:shd w:val="clear" w:color="auto" w:fill="auto"/>
          </w:tcPr>
          <w:p w:rsidR="006F5DE1" w:rsidRPr="006F5DE1" w:rsidRDefault="006F5DE1" w:rsidP="006F5DE1">
            <w:pPr>
              <w:pStyle w:val="TableText"/>
            </w:pPr>
            <w:r w:rsidRPr="006F5DE1">
              <w:t>Hearing impairments</w:t>
            </w:r>
          </w:p>
        </w:tc>
        <w:tc>
          <w:tcPr>
            <w:tcW w:w="0" w:type="auto"/>
          </w:tcPr>
          <w:p w:rsidR="006F5DE1" w:rsidRPr="006F5DE1" w:rsidRDefault="006F5DE1" w:rsidP="006F5DE1">
            <w:pPr>
              <w:pStyle w:val="TableText"/>
            </w:pPr>
            <w:r w:rsidRPr="006F5DE1">
              <w:t>600</w:t>
            </w:r>
          </w:p>
        </w:tc>
        <w:tc>
          <w:tcPr>
            <w:tcW w:w="0" w:type="auto"/>
            <w:shd w:val="clear" w:color="auto" w:fill="auto"/>
          </w:tcPr>
          <w:p w:rsidR="006F5DE1" w:rsidRPr="006F5DE1" w:rsidRDefault="006F5DE1" w:rsidP="006F5DE1">
            <w:pPr>
              <w:pStyle w:val="TableText"/>
            </w:pPr>
            <w:r w:rsidRPr="006F5DE1">
              <w:t>0.040</w:t>
            </w:r>
          </w:p>
        </w:tc>
        <w:tc>
          <w:tcPr>
            <w:tcW w:w="0" w:type="auto"/>
            <w:shd w:val="clear" w:color="auto" w:fill="auto"/>
          </w:tcPr>
          <w:p w:rsidR="006F5DE1" w:rsidRPr="006F5DE1" w:rsidRDefault="006F5DE1" w:rsidP="006F5DE1">
            <w:pPr>
              <w:pStyle w:val="TableText"/>
            </w:pPr>
            <w:r w:rsidRPr="006F5DE1">
              <w:t>0.024</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0.126</w:t>
            </w:r>
          </w:p>
        </w:tc>
        <w:tc>
          <w:tcPr>
            <w:tcW w:w="0" w:type="auto"/>
            <w:shd w:val="clear" w:color="auto" w:fill="auto"/>
          </w:tcPr>
          <w:p w:rsidR="006F5DE1" w:rsidRPr="006F5DE1" w:rsidRDefault="006F5DE1" w:rsidP="006F5DE1">
            <w:pPr>
              <w:pStyle w:val="TableText"/>
            </w:pPr>
            <w:r w:rsidRPr="006F5DE1">
              <w:t>0.129</w:t>
            </w:r>
          </w:p>
        </w:tc>
      </w:tr>
      <w:tr w:rsidR="006F5DE1" w:rsidRPr="006F5DE1" w:rsidTr="006F5DE1">
        <w:tc>
          <w:tcPr>
            <w:tcW w:w="0" w:type="auto"/>
            <w:shd w:val="clear" w:color="auto" w:fill="auto"/>
          </w:tcPr>
          <w:p w:rsidR="006F5DE1" w:rsidRPr="006F5DE1" w:rsidRDefault="006F5DE1" w:rsidP="006F5DE1">
            <w:pPr>
              <w:pStyle w:val="TableText"/>
            </w:pPr>
            <w:r w:rsidRPr="006F5DE1">
              <w:t>Orthopedic impairments</w:t>
            </w:r>
          </w:p>
        </w:tc>
        <w:tc>
          <w:tcPr>
            <w:tcW w:w="0" w:type="auto"/>
          </w:tcPr>
          <w:p w:rsidR="006F5DE1" w:rsidRPr="006F5DE1" w:rsidRDefault="006F5DE1" w:rsidP="006F5DE1">
            <w:pPr>
              <w:pStyle w:val="TableText"/>
            </w:pPr>
            <w:r w:rsidRPr="006F5DE1">
              <w:t>450</w:t>
            </w:r>
          </w:p>
        </w:tc>
        <w:tc>
          <w:tcPr>
            <w:tcW w:w="0" w:type="auto"/>
            <w:shd w:val="clear" w:color="auto" w:fill="auto"/>
          </w:tcPr>
          <w:p w:rsidR="006F5DE1" w:rsidRPr="006F5DE1" w:rsidRDefault="006F5DE1" w:rsidP="006F5DE1">
            <w:pPr>
              <w:pStyle w:val="TableText"/>
            </w:pPr>
            <w:r w:rsidRPr="006F5DE1">
              <w:t>0.046</w:t>
            </w:r>
          </w:p>
        </w:tc>
        <w:tc>
          <w:tcPr>
            <w:tcW w:w="0" w:type="auto"/>
            <w:shd w:val="clear" w:color="auto" w:fill="auto"/>
          </w:tcPr>
          <w:p w:rsidR="006F5DE1" w:rsidRPr="006F5DE1" w:rsidRDefault="006F5DE1" w:rsidP="006F5DE1">
            <w:pPr>
              <w:pStyle w:val="TableText"/>
            </w:pPr>
            <w:r w:rsidRPr="006F5DE1">
              <w:t>0.028</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0.142</w:t>
            </w:r>
          </w:p>
        </w:tc>
        <w:tc>
          <w:tcPr>
            <w:tcW w:w="0" w:type="auto"/>
            <w:shd w:val="clear" w:color="auto" w:fill="auto"/>
          </w:tcPr>
          <w:p w:rsidR="006F5DE1" w:rsidRPr="006F5DE1" w:rsidRDefault="006F5DE1" w:rsidP="006F5DE1">
            <w:pPr>
              <w:pStyle w:val="TableText"/>
            </w:pPr>
            <w:r w:rsidRPr="006F5DE1">
              <w:t>0.145</w:t>
            </w:r>
          </w:p>
        </w:tc>
      </w:tr>
      <w:tr w:rsidR="006F5DE1" w:rsidRPr="006F5DE1" w:rsidTr="006F5DE1">
        <w:tc>
          <w:tcPr>
            <w:tcW w:w="0" w:type="auto"/>
            <w:shd w:val="clear" w:color="auto" w:fill="auto"/>
            <w:vAlign w:val="center"/>
          </w:tcPr>
          <w:p w:rsidR="006F5DE1" w:rsidRPr="006F5DE1" w:rsidRDefault="006F5DE1" w:rsidP="006F5DE1">
            <w:pPr>
              <w:pStyle w:val="TableText"/>
            </w:pPr>
            <w:r w:rsidRPr="006F5DE1">
              <w:t>Traumatic brain injury (TBI), visual impairments, and deaf-blindness</w:t>
            </w:r>
          </w:p>
        </w:tc>
        <w:tc>
          <w:tcPr>
            <w:tcW w:w="0" w:type="auto"/>
          </w:tcPr>
          <w:p w:rsidR="006F5DE1" w:rsidRPr="006F5DE1" w:rsidRDefault="006F5DE1" w:rsidP="006F5DE1">
            <w:pPr>
              <w:pStyle w:val="TableText"/>
            </w:pPr>
            <w:r w:rsidRPr="006F5DE1">
              <w:t>450</w:t>
            </w:r>
          </w:p>
        </w:tc>
        <w:tc>
          <w:tcPr>
            <w:tcW w:w="0" w:type="auto"/>
            <w:shd w:val="clear" w:color="auto" w:fill="auto"/>
          </w:tcPr>
          <w:p w:rsidR="006F5DE1" w:rsidRPr="006F5DE1" w:rsidRDefault="006F5DE1" w:rsidP="006F5DE1">
            <w:pPr>
              <w:pStyle w:val="TableText"/>
            </w:pPr>
            <w:r w:rsidRPr="006F5DE1">
              <w:t>0.046</w:t>
            </w:r>
          </w:p>
        </w:tc>
        <w:tc>
          <w:tcPr>
            <w:tcW w:w="0" w:type="auto"/>
            <w:shd w:val="clear" w:color="auto" w:fill="auto"/>
          </w:tcPr>
          <w:p w:rsidR="006F5DE1" w:rsidRPr="006F5DE1" w:rsidRDefault="006F5DE1" w:rsidP="006F5DE1">
            <w:pPr>
              <w:pStyle w:val="TableText"/>
            </w:pPr>
            <w:r w:rsidRPr="006F5DE1">
              <w:t>0.028</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0.142</w:t>
            </w:r>
          </w:p>
        </w:tc>
        <w:tc>
          <w:tcPr>
            <w:tcW w:w="0" w:type="auto"/>
            <w:shd w:val="clear" w:color="auto" w:fill="auto"/>
          </w:tcPr>
          <w:p w:rsidR="006F5DE1" w:rsidRPr="006F5DE1" w:rsidRDefault="006F5DE1" w:rsidP="006F5DE1">
            <w:pPr>
              <w:pStyle w:val="TableText"/>
            </w:pPr>
            <w:r w:rsidRPr="006F5DE1">
              <w:t>0.145</w:t>
            </w:r>
          </w:p>
        </w:tc>
      </w:tr>
      <w:tr w:rsidR="006F5DE1" w:rsidRPr="006F5DE1" w:rsidTr="006F5DE1">
        <w:tc>
          <w:tcPr>
            <w:tcW w:w="0" w:type="auto"/>
            <w:shd w:val="clear" w:color="auto" w:fill="auto"/>
          </w:tcPr>
          <w:p w:rsidR="006F5DE1" w:rsidRPr="006F5DE1" w:rsidRDefault="006F5DE1" w:rsidP="006F5DE1">
            <w:pPr>
              <w:pStyle w:val="TableText"/>
            </w:pPr>
            <w:r w:rsidRPr="006F5DE1">
              <w:t>Disability Clusters</w:t>
            </w:r>
          </w:p>
        </w:tc>
        <w:tc>
          <w:tcPr>
            <w:tcW w:w="0" w:type="auto"/>
          </w:tcPr>
          <w:p w:rsidR="006F5DE1" w:rsidRPr="006F5DE1" w:rsidRDefault="006F5DE1" w:rsidP="006F5DE1">
            <w:pPr>
              <w:pStyle w:val="TableText"/>
            </w:pPr>
          </w:p>
        </w:tc>
        <w:tc>
          <w:tcPr>
            <w:tcW w:w="0" w:type="auto"/>
            <w:shd w:val="clear" w:color="auto" w:fill="auto"/>
            <w:vAlign w:val="center"/>
          </w:tcPr>
          <w:p w:rsidR="006F5DE1" w:rsidRPr="006F5DE1" w:rsidRDefault="006F5DE1" w:rsidP="006F5DE1">
            <w:pPr>
              <w:pStyle w:val="TableText"/>
            </w:pPr>
          </w:p>
        </w:tc>
        <w:tc>
          <w:tcPr>
            <w:tcW w:w="0" w:type="auto"/>
            <w:shd w:val="clear" w:color="auto" w:fill="auto"/>
            <w:vAlign w:val="center"/>
          </w:tcPr>
          <w:p w:rsidR="006F5DE1" w:rsidRPr="006F5DE1" w:rsidRDefault="006F5DE1" w:rsidP="006F5DE1">
            <w:pPr>
              <w:pStyle w:val="TableText"/>
            </w:pPr>
          </w:p>
        </w:tc>
        <w:tc>
          <w:tcPr>
            <w:tcW w:w="0" w:type="auto"/>
            <w:shd w:val="clear" w:color="auto" w:fill="auto"/>
            <w:vAlign w:val="center"/>
          </w:tcPr>
          <w:p w:rsidR="006F5DE1" w:rsidRPr="006F5DE1" w:rsidRDefault="006F5DE1" w:rsidP="006F5DE1">
            <w:pPr>
              <w:pStyle w:val="TableText"/>
            </w:pPr>
          </w:p>
        </w:tc>
        <w:tc>
          <w:tcPr>
            <w:tcW w:w="0" w:type="auto"/>
            <w:shd w:val="clear" w:color="auto" w:fill="auto"/>
            <w:vAlign w:val="center"/>
          </w:tcPr>
          <w:p w:rsidR="006F5DE1" w:rsidRPr="006F5DE1" w:rsidRDefault="006F5DE1" w:rsidP="006F5DE1">
            <w:pPr>
              <w:pStyle w:val="TableText"/>
            </w:pPr>
          </w:p>
        </w:tc>
        <w:tc>
          <w:tcPr>
            <w:tcW w:w="0" w:type="auto"/>
            <w:shd w:val="clear" w:color="auto" w:fill="auto"/>
            <w:vAlign w:val="center"/>
          </w:tcPr>
          <w:p w:rsidR="006F5DE1" w:rsidRPr="006F5DE1" w:rsidRDefault="006F5DE1" w:rsidP="006F5DE1">
            <w:pPr>
              <w:pStyle w:val="TableText"/>
            </w:pPr>
          </w:p>
        </w:tc>
      </w:tr>
      <w:tr w:rsidR="006F5DE1" w:rsidRPr="006F5DE1" w:rsidTr="006F5DE1">
        <w:tc>
          <w:tcPr>
            <w:tcW w:w="0" w:type="auto"/>
            <w:shd w:val="clear" w:color="auto" w:fill="auto"/>
          </w:tcPr>
          <w:p w:rsidR="006F5DE1" w:rsidRPr="006F5DE1" w:rsidRDefault="006F5DE1" w:rsidP="006F5DE1">
            <w:pPr>
              <w:pStyle w:val="TableText"/>
            </w:pPr>
            <w:r w:rsidRPr="006F5DE1">
              <w:t xml:space="preserve">Sensory impaired </w:t>
            </w:r>
            <w:r w:rsidRPr="006F5DE1">
              <w:rPr>
                <w:vertAlign w:val="superscript"/>
              </w:rPr>
              <w:t>a</w:t>
            </w:r>
          </w:p>
        </w:tc>
        <w:tc>
          <w:tcPr>
            <w:tcW w:w="0" w:type="auto"/>
          </w:tcPr>
          <w:p w:rsidR="006F5DE1" w:rsidRPr="006F5DE1" w:rsidRDefault="006F5DE1" w:rsidP="006F5DE1">
            <w:pPr>
              <w:pStyle w:val="TableText"/>
            </w:pPr>
            <w:r w:rsidRPr="006F5DE1">
              <w:t>818</w:t>
            </w:r>
          </w:p>
        </w:tc>
        <w:tc>
          <w:tcPr>
            <w:tcW w:w="0" w:type="auto"/>
            <w:shd w:val="clear" w:color="auto" w:fill="auto"/>
          </w:tcPr>
          <w:p w:rsidR="006F5DE1" w:rsidRPr="006F5DE1" w:rsidRDefault="006F5DE1" w:rsidP="006F5DE1">
            <w:pPr>
              <w:pStyle w:val="TableText"/>
            </w:pPr>
            <w:r w:rsidRPr="006F5DE1">
              <w:t>0.035</w:t>
            </w:r>
          </w:p>
        </w:tc>
        <w:tc>
          <w:tcPr>
            <w:tcW w:w="0" w:type="auto"/>
            <w:shd w:val="clear" w:color="auto" w:fill="auto"/>
          </w:tcPr>
          <w:p w:rsidR="006F5DE1" w:rsidRPr="006F5DE1" w:rsidRDefault="006F5DE1" w:rsidP="006F5DE1">
            <w:pPr>
              <w:pStyle w:val="TableText"/>
            </w:pPr>
            <w:r w:rsidRPr="006F5DE1">
              <w:t>0.021</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0.114</w:t>
            </w:r>
          </w:p>
        </w:tc>
        <w:tc>
          <w:tcPr>
            <w:tcW w:w="0" w:type="auto"/>
            <w:shd w:val="clear" w:color="auto" w:fill="auto"/>
          </w:tcPr>
          <w:p w:rsidR="006F5DE1" w:rsidRPr="006F5DE1" w:rsidRDefault="006F5DE1" w:rsidP="006F5DE1">
            <w:pPr>
              <w:pStyle w:val="TableText"/>
            </w:pPr>
            <w:r w:rsidRPr="006F5DE1">
              <w:t>0.116</w:t>
            </w:r>
          </w:p>
        </w:tc>
      </w:tr>
      <w:tr w:rsidR="006F5DE1" w:rsidRPr="006F5DE1" w:rsidTr="006F5DE1">
        <w:tc>
          <w:tcPr>
            <w:tcW w:w="0" w:type="auto"/>
            <w:shd w:val="clear" w:color="auto" w:fill="auto"/>
          </w:tcPr>
          <w:p w:rsidR="006F5DE1" w:rsidRPr="006F5DE1" w:rsidRDefault="006F5DE1" w:rsidP="006F5DE1">
            <w:pPr>
              <w:pStyle w:val="TableText"/>
            </w:pPr>
            <w:r w:rsidRPr="006F5DE1">
              <w:t xml:space="preserve">Other health, orthopedic, and TBI </w:t>
            </w:r>
            <w:r w:rsidRPr="006F5DE1">
              <w:rPr>
                <w:vertAlign w:val="superscript"/>
              </w:rPr>
              <w:t>b</w:t>
            </w:r>
          </w:p>
        </w:tc>
        <w:tc>
          <w:tcPr>
            <w:tcW w:w="0" w:type="auto"/>
          </w:tcPr>
          <w:p w:rsidR="006F5DE1" w:rsidRPr="006F5DE1" w:rsidRDefault="006F5DE1" w:rsidP="006F5DE1">
            <w:pPr>
              <w:pStyle w:val="TableText"/>
            </w:pPr>
            <w:r w:rsidRPr="006F5DE1">
              <w:t>2,100</w:t>
            </w:r>
          </w:p>
        </w:tc>
        <w:tc>
          <w:tcPr>
            <w:tcW w:w="0" w:type="auto"/>
            <w:shd w:val="clear" w:color="auto" w:fill="auto"/>
          </w:tcPr>
          <w:p w:rsidR="006F5DE1" w:rsidRPr="006F5DE1" w:rsidRDefault="006F5DE1" w:rsidP="006F5DE1">
            <w:pPr>
              <w:pStyle w:val="TableText"/>
            </w:pPr>
            <w:r w:rsidRPr="006F5DE1">
              <w:t>0.023</w:t>
            </w:r>
          </w:p>
        </w:tc>
        <w:tc>
          <w:tcPr>
            <w:tcW w:w="0" w:type="auto"/>
            <w:shd w:val="clear" w:color="auto" w:fill="auto"/>
          </w:tcPr>
          <w:p w:rsidR="006F5DE1" w:rsidRPr="006F5DE1" w:rsidRDefault="006F5DE1" w:rsidP="006F5DE1">
            <w:pPr>
              <w:pStyle w:val="TableText"/>
            </w:pPr>
            <w:r w:rsidRPr="006F5DE1">
              <w:t>0.014</w:t>
            </w:r>
          </w:p>
        </w:tc>
        <w:tc>
          <w:tcPr>
            <w:tcW w:w="0" w:type="auto"/>
            <w:shd w:val="clear" w:color="auto" w:fill="auto"/>
            <w:vAlign w:val="center"/>
          </w:tcPr>
          <w:p w:rsidR="006F5DE1" w:rsidRPr="006F5DE1" w:rsidRDefault="006F5DE1" w:rsidP="006F5DE1">
            <w:pPr>
              <w:pStyle w:val="TableText"/>
            </w:pPr>
          </w:p>
        </w:tc>
        <w:tc>
          <w:tcPr>
            <w:tcW w:w="0" w:type="auto"/>
            <w:shd w:val="clear" w:color="auto" w:fill="auto"/>
          </w:tcPr>
          <w:p w:rsidR="006F5DE1" w:rsidRPr="006F5DE1" w:rsidRDefault="006F5DE1" w:rsidP="006F5DE1">
            <w:pPr>
              <w:pStyle w:val="TableText"/>
            </w:pPr>
            <w:r w:rsidRPr="006F5DE1">
              <w:t>0.096</w:t>
            </w:r>
          </w:p>
        </w:tc>
        <w:tc>
          <w:tcPr>
            <w:tcW w:w="0" w:type="auto"/>
            <w:shd w:val="clear" w:color="auto" w:fill="auto"/>
          </w:tcPr>
          <w:p w:rsidR="006F5DE1" w:rsidRPr="006F5DE1" w:rsidRDefault="006F5DE1" w:rsidP="006F5DE1">
            <w:pPr>
              <w:pStyle w:val="TableText"/>
            </w:pPr>
            <w:r w:rsidRPr="006F5DE1">
              <w:t>0.088</w:t>
            </w:r>
          </w:p>
        </w:tc>
      </w:tr>
    </w:tbl>
    <w:p w:rsidR="0085223E" w:rsidRPr="0085223E" w:rsidRDefault="006F5DE1" w:rsidP="006F5DE1">
      <w:pPr>
        <w:pStyle w:val="TableSourceCaption"/>
      </w:pPr>
      <w:r>
        <w:t>Note:</w:t>
      </w:r>
      <w:r>
        <w:tab/>
      </w:r>
      <w:r w:rsidR="0085223E" w:rsidRPr="0085223E">
        <w:t>MDDs apply to comparisons between the row subpopulation and either all students with IEPs (excluding those students in the specific row subpopulation) or all students without IEPs. The MDDs are computed for detecting a difference in a proportion near 0.50 for a test with alpha of 0.05 and 80 percent power.</w:t>
      </w:r>
    </w:p>
    <w:p w:rsidR="0085223E" w:rsidRPr="0085223E" w:rsidRDefault="0085223E" w:rsidP="006F5DE1">
      <w:pPr>
        <w:pStyle w:val="TableFootnoteCaption"/>
      </w:pPr>
      <w:proofErr w:type="spellStart"/>
      <w:proofErr w:type="gramStart"/>
      <w:r w:rsidRPr="0085223E">
        <w:rPr>
          <w:vertAlign w:val="superscript"/>
        </w:rPr>
        <w:t>a</w:t>
      </w:r>
      <w:r w:rsidRPr="0085223E">
        <w:t>The</w:t>
      </w:r>
      <w:proofErr w:type="spellEnd"/>
      <w:proofErr w:type="gramEnd"/>
      <w:r w:rsidRPr="0085223E">
        <w:t xml:space="preserve"> disability cluster of “sensory impaired” includes students in the categories of hearing impaired, visual impairments, and deaf-blindness. The sample count shown includes the expected proportion of students with visual impairments or deaf-blindness in the sample for the combined disability category of TBI, visual impairments, and deaf-blindness.</w:t>
      </w:r>
    </w:p>
    <w:p w:rsidR="0085223E" w:rsidRPr="0085223E" w:rsidRDefault="006F5DE1" w:rsidP="006F5DE1">
      <w:pPr>
        <w:pStyle w:val="TableFootnoteCaption"/>
      </w:pPr>
      <w:proofErr w:type="spellStart"/>
      <w:proofErr w:type="gramStart"/>
      <w:r>
        <w:rPr>
          <w:vertAlign w:val="superscript"/>
        </w:rPr>
        <w:t>b</w:t>
      </w:r>
      <w:r w:rsidR="0085223E" w:rsidRPr="0085223E">
        <w:t>The</w:t>
      </w:r>
      <w:proofErr w:type="spellEnd"/>
      <w:proofErr w:type="gramEnd"/>
      <w:r w:rsidR="0085223E" w:rsidRPr="0085223E">
        <w:t xml:space="preserve"> disability cluster of “other health, orthopedic, and TBI” includes the categories of other health impairments.</w:t>
      </w:r>
    </w:p>
    <w:p w:rsidR="0085223E" w:rsidRPr="0085223E" w:rsidRDefault="0085223E" w:rsidP="00F66B2D">
      <w:pPr>
        <w:spacing w:line="240" w:lineRule="auto"/>
        <w:ind w:firstLine="0"/>
      </w:pPr>
    </w:p>
    <w:p w:rsidR="0085223E" w:rsidRPr="0085223E" w:rsidRDefault="0085223E" w:rsidP="006F5DE1">
      <w:pPr>
        <w:pStyle w:val="Heading3"/>
      </w:pPr>
      <w:bookmarkStart w:id="26" w:name="_Toc276391123"/>
      <w:bookmarkStart w:id="27" w:name="_Toc276988539"/>
      <w:bookmarkStart w:id="28" w:name="_Toc277080000"/>
      <w:r w:rsidRPr="0085223E">
        <w:t>3.</w:t>
      </w:r>
      <w:r w:rsidRPr="0085223E">
        <w:tab/>
        <w:t xml:space="preserve">Methods to Maximize Response Rates and Deal with </w:t>
      </w:r>
      <w:proofErr w:type="spellStart"/>
      <w:r w:rsidRPr="0085223E">
        <w:t>Nonresponse</w:t>
      </w:r>
      <w:bookmarkEnd w:id="26"/>
      <w:bookmarkEnd w:id="27"/>
      <w:bookmarkEnd w:id="28"/>
      <w:proofErr w:type="spellEnd"/>
    </w:p>
    <w:p w:rsidR="0085223E" w:rsidRPr="0085223E" w:rsidRDefault="0085223E" w:rsidP="006F5DE1">
      <w:pPr>
        <w:pStyle w:val="NormalSS"/>
      </w:pPr>
      <w:r w:rsidRPr="0085223E">
        <w:t xml:space="preserve">Immediately after receiving OMB clearance, the study team will begin the process of recruiting district participants. Districts will receive a recruitment package that includes </w:t>
      </w:r>
      <w:r w:rsidR="005456C3">
        <w:t xml:space="preserve">an introductory letter from ED </w:t>
      </w:r>
      <w:r w:rsidRPr="0085223E">
        <w:t xml:space="preserve">and a study summary. The study team will begin calling district contacts </w:t>
      </w:r>
      <w:r w:rsidR="00153A20">
        <w:t xml:space="preserve">within one week </w:t>
      </w:r>
      <w:r w:rsidRPr="0085223E">
        <w:t>after they receive the recruitment package. The goals of the initial calls will be the following:</w:t>
      </w:r>
    </w:p>
    <w:p w:rsidR="0085223E" w:rsidRPr="0085223E" w:rsidRDefault="0085223E" w:rsidP="006F5DE1">
      <w:pPr>
        <w:pStyle w:val="BulletBlack"/>
      </w:pPr>
      <w:r w:rsidRPr="0085223E">
        <w:t>Describe briefly the study and all participation requirements.</w:t>
      </w:r>
    </w:p>
    <w:p w:rsidR="0085223E" w:rsidRPr="0085223E" w:rsidRDefault="0085223E" w:rsidP="006F5DE1">
      <w:pPr>
        <w:pStyle w:val="BulletBlack"/>
      </w:pPr>
      <w:r w:rsidRPr="0085223E">
        <w:t>Answer any immediate questions.</w:t>
      </w:r>
    </w:p>
    <w:p w:rsidR="0085223E" w:rsidRPr="0085223E" w:rsidRDefault="0085223E" w:rsidP="006F5DE1">
      <w:pPr>
        <w:pStyle w:val="BulletBlack"/>
      </w:pPr>
      <w:r w:rsidRPr="0085223E">
        <w:t>Elicit the district’s agreement to participate.</w:t>
      </w:r>
    </w:p>
    <w:p w:rsidR="0085223E" w:rsidRPr="0085223E" w:rsidRDefault="0085223E" w:rsidP="006F5DE1">
      <w:pPr>
        <w:pStyle w:val="BulletBlack"/>
      </w:pPr>
      <w:r w:rsidRPr="0085223E">
        <w:t>Arrange for the provision of student sampling variables for all students ages 13 to 21.</w:t>
      </w:r>
    </w:p>
    <w:p w:rsidR="0085223E" w:rsidRPr="0085223E" w:rsidRDefault="0085223E" w:rsidP="006F5DE1">
      <w:pPr>
        <w:pStyle w:val="BulletBlackLastSS"/>
      </w:pPr>
      <w:r w:rsidRPr="0085223E">
        <w:t>Discuss the logistics of providing the following information for the 65 selected students: contact information for the student and parent, the student’s general and special education teacher, and the principal of the student’s school.</w:t>
      </w:r>
    </w:p>
    <w:p w:rsidR="0085223E" w:rsidRPr="0085223E" w:rsidRDefault="0085223E" w:rsidP="006F5DE1">
      <w:pPr>
        <w:pStyle w:val="NormalSS"/>
      </w:pPr>
      <w:r w:rsidRPr="0085223E">
        <w:t>Subsequently, the study team will</w:t>
      </w:r>
    </w:p>
    <w:p w:rsidR="0085223E" w:rsidRPr="0085223E" w:rsidRDefault="0085223E" w:rsidP="006F5DE1">
      <w:pPr>
        <w:pStyle w:val="BulletBlack"/>
      </w:pPr>
      <w:r w:rsidRPr="0085223E">
        <w:t>Follow up with appropriate personnel to discuss data needs and data collection activities.</w:t>
      </w:r>
    </w:p>
    <w:p w:rsidR="0085223E" w:rsidRPr="0085223E" w:rsidRDefault="0085223E" w:rsidP="006F5DE1">
      <w:pPr>
        <w:pStyle w:val="BulletBlackLastSS"/>
      </w:pPr>
      <w:r w:rsidRPr="0085223E">
        <w:t>Secure participation agreement with a signed Memorandum of Understanding (MOU).</w:t>
      </w:r>
    </w:p>
    <w:p w:rsidR="0085223E" w:rsidRPr="0085223E" w:rsidRDefault="0085223E" w:rsidP="006F5DE1">
      <w:pPr>
        <w:pStyle w:val="NormalSS"/>
      </w:pPr>
      <w:r w:rsidRPr="0085223E">
        <w:t xml:space="preserve">After that, </w:t>
      </w:r>
    </w:p>
    <w:p w:rsidR="0085223E" w:rsidRPr="0085223E" w:rsidRDefault="0085223E" w:rsidP="006F5DE1">
      <w:pPr>
        <w:pStyle w:val="BulletBlack"/>
      </w:pPr>
      <w:r w:rsidRPr="0085223E">
        <w:t>The district provides de-identified sample frame data (via electronic upload).</w:t>
      </w:r>
    </w:p>
    <w:p w:rsidR="0085223E" w:rsidRPr="0085223E" w:rsidRDefault="0085223E" w:rsidP="006F5DE1">
      <w:pPr>
        <w:pStyle w:val="BulletBlackLastSS"/>
      </w:pPr>
      <w:r w:rsidRPr="0085223E">
        <w:t>The study team will share ID numbers of 65 sampled students with the districts and arrange to obtain contact information for student, parent/guardian, teacher(s), and principals (providing a sample informed consent document if a district requires it).</w:t>
      </w:r>
    </w:p>
    <w:p w:rsidR="0085223E" w:rsidRPr="0085223E" w:rsidRDefault="0085223E" w:rsidP="006F5DE1">
      <w:pPr>
        <w:pStyle w:val="NormalSS"/>
      </w:pPr>
      <w:proofErr w:type="spellStart"/>
      <w:r w:rsidRPr="0085223E">
        <w:t>Mathematica</w:t>
      </w:r>
      <w:proofErr w:type="spellEnd"/>
      <w:r w:rsidRPr="0085223E">
        <w:t xml:space="preserve">, our contractor, has developed effective methods to maximize response rates. This section focuses on the strategy for maximizing district participation. (Subsequent clearance requests will describe the approach for maximizing survey response rates of youth, parents, and school staff.) The approach for maximizing district participation includes enlisting the support and endorsement of key influential stakeholders; using experienced senior staff and a flexible approach to recruit districts; and identifying potential concerns and addressing them (including concerns about student privacy and confidentiality, the benefits and costs of participation, and staff burden). By securing OMB approval to initiate district recruitment this spring, the team will have sufficient time to take the following steps designed to achieve high rates of district participation: </w:t>
      </w:r>
    </w:p>
    <w:p w:rsidR="0085223E" w:rsidRPr="0085223E" w:rsidRDefault="0085223E" w:rsidP="006F5DE1">
      <w:pPr>
        <w:pStyle w:val="BulletBlack"/>
      </w:pPr>
      <w:proofErr w:type="spellStart"/>
      <w:r w:rsidRPr="0085223E">
        <w:t>Mathematica</w:t>
      </w:r>
      <w:proofErr w:type="spellEnd"/>
      <w:r w:rsidRPr="0085223E">
        <w:t xml:space="preserve"> and IES plan to </w:t>
      </w:r>
      <w:r w:rsidR="008A30C7">
        <w:t xml:space="preserve">work with OSERS and OSEP to </w:t>
      </w:r>
      <w:r w:rsidRPr="0085223E">
        <w:t>engage stakeholder groups to ensure that the study represents their perspective and has their endorsement. The study team will send materials describing the study, make personal contacts with organization leaders to discuss the study, and request opportunities to make stakeholders aware of the study. Examples of groups whose support may be sought include Council for Exceptional Children; National Association of State Directors of Special Education; Council of Chief State School Officers; National Association of Secondary School Principals; Parents Alliance, Inc.; National Down Syndrome Society; and other condition-specific groups.</w:t>
      </w:r>
    </w:p>
    <w:p w:rsidR="0085223E" w:rsidRPr="0085223E" w:rsidRDefault="0085223E" w:rsidP="006F5DE1">
      <w:pPr>
        <w:pStyle w:val="BulletBlack"/>
      </w:pPr>
      <w:r w:rsidRPr="0085223E">
        <w:t>We will follow a structured recruiting process that will allow flexibility in developing solutions with hesitant districts. Recruiting will be carried out by staff with the knowledge, experience, and authority to develop flexible solutions to meet districts’ participation requirements. The study team will develop written protocols for contacts and materials describing the study; delineating the roles of participating district and school staff, parents, and students; and answering frequently asked questions (FAQs). Study team members have contacts in nearly every state and in many large districts that will be sampled with certainty. If recruiters encounter resistance or difficulty getting access to decision makers, the team will use these contacts to identify staff in each district who have authority and who may facilitate district participation. The study team will execute an MOU and follow district research review requirements as necessary. As mentioned earlier, this information about contacts with district offices will be entered into an electronic tracking database. The study team will use the database to generate progress reports, detect and solve problems promptly, and ensure that no superfluous contacts with districts occur.</w:t>
      </w:r>
    </w:p>
    <w:p w:rsidR="0085223E" w:rsidRPr="0085223E" w:rsidRDefault="0085223E" w:rsidP="006F5DE1">
      <w:pPr>
        <w:pStyle w:val="BulletBlackLastSS"/>
      </w:pPr>
      <w:r w:rsidRPr="0085223E">
        <w:rPr>
          <w:b/>
          <w:bCs/>
        </w:rPr>
        <w:t xml:space="preserve">Addressing Potential Obstacles to Participation. </w:t>
      </w:r>
      <w:r w:rsidRPr="0085223E">
        <w:t xml:space="preserve">Achieving high participation rates hinges on having clear strategies to address familiar potential obstacles to district participation. </w:t>
      </w:r>
      <w:proofErr w:type="spellStart"/>
      <w:r w:rsidRPr="0085223E">
        <w:t>Mathematica’s</w:t>
      </w:r>
      <w:proofErr w:type="spellEnd"/>
      <w:r w:rsidRPr="0085223E">
        <w:t xml:space="preserve"> experience recruiting school districts for participation in various studies provides an understanding of the concerns often expressed by district staff. </w:t>
      </w:r>
    </w:p>
    <w:p w:rsidR="0085223E" w:rsidRPr="0085223E" w:rsidRDefault="0085223E" w:rsidP="00960B1B">
      <w:pPr>
        <w:pStyle w:val="MarkforTableHeading"/>
      </w:pPr>
      <w:r w:rsidRPr="0085223E">
        <w:t xml:space="preserve">District Concerns and </w:t>
      </w:r>
      <w:proofErr w:type="spellStart"/>
      <w:r w:rsidRPr="0085223E">
        <w:t>Mathematica’s</w:t>
      </w:r>
      <w:proofErr w:type="spellEnd"/>
      <w:r w:rsidRPr="0085223E">
        <w:t xml:space="preserve"> Approach to Addressing Them</w:t>
      </w:r>
    </w:p>
    <w:tbl>
      <w:tblPr>
        <w:tblStyle w:val="TableGrid"/>
        <w:tblW w:w="5000" w:type="pct"/>
        <w:tblLook w:val="04A0"/>
      </w:tblPr>
      <w:tblGrid>
        <w:gridCol w:w="1580"/>
        <w:gridCol w:w="7996"/>
      </w:tblGrid>
      <w:tr w:rsidR="0085223E" w:rsidRPr="0085223E" w:rsidTr="00960B1B">
        <w:trPr>
          <w:trHeight w:val="1421"/>
        </w:trPr>
        <w:tc>
          <w:tcPr>
            <w:tcW w:w="825" w:type="pct"/>
          </w:tcPr>
          <w:p w:rsidR="0085223E" w:rsidRPr="0085223E" w:rsidRDefault="0085223E" w:rsidP="00960B1B">
            <w:pPr>
              <w:pStyle w:val="TableText"/>
            </w:pPr>
            <w:r w:rsidRPr="0085223E">
              <w:t>Privacy of student body</w:t>
            </w:r>
          </w:p>
        </w:tc>
        <w:tc>
          <w:tcPr>
            <w:tcW w:w="4175" w:type="pct"/>
          </w:tcPr>
          <w:p w:rsidR="0085223E" w:rsidRPr="0085223E" w:rsidRDefault="0085223E" w:rsidP="00960B1B">
            <w:pPr>
              <w:pStyle w:val="TableText"/>
            </w:pPr>
            <w:r w:rsidRPr="0085223E">
              <w:t xml:space="preserve">For districts with privacy concerns, </w:t>
            </w:r>
            <w:proofErr w:type="spellStart"/>
            <w:r w:rsidRPr="0085223E">
              <w:t>Mathematica</w:t>
            </w:r>
            <w:proofErr w:type="spellEnd"/>
            <w:r w:rsidRPr="0085223E">
              <w:t xml:space="preserve"> will select the study sample from lists of eligible students without identifiers attached.</w:t>
            </w:r>
            <w:r w:rsidRPr="0085223E">
              <w:rPr>
                <w:b/>
              </w:rPr>
              <w:t xml:space="preserve"> </w:t>
            </w:r>
            <w:r w:rsidRPr="0085223E">
              <w:t>The districts will provide only sample stratification variables with a unique identifier than can be linked to the student after</w:t>
            </w:r>
            <w:r w:rsidRPr="0085223E">
              <w:rPr>
                <w:b/>
              </w:rPr>
              <w:t xml:space="preserve"> </w:t>
            </w:r>
            <w:r w:rsidRPr="0085223E">
              <w:t>sample selection. Thus, only students selected for the sample need to be identified. IES will issue a letter to</w:t>
            </w:r>
            <w:r w:rsidRPr="0085223E">
              <w:rPr>
                <w:b/>
              </w:rPr>
              <w:t xml:space="preserve"> </w:t>
            </w:r>
            <w:r w:rsidRPr="0085223E">
              <w:t>districts reiterating that the study is covered by the Family Educational Rights and Privacy Act (FERPA).</w:t>
            </w:r>
          </w:p>
        </w:tc>
      </w:tr>
      <w:tr w:rsidR="0085223E" w:rsidRPr="0085223E" w:rsidTr="00960B1B">
        <w:tc>
          <w:tcPr>
            <w:tcW w:w="825" w:type="pct"/>
          </w:tcPr>
          <w:p w:rsidR="0085223E" w:rsidRPr="0085223E" w:rsidRDefault="0085223E" w:rsidP="00960B1B">
            <w:pPr>
              <w:pStyle w:val="TableText"/>
            </w:pPr>
            <w:r w:rsidRPr="0085223E">
              <w:t>Security of data</w:t>
            </w:r>
          </w:p>
          <w:p w:rsidR="0085223E" w:rsidRPr="0085223E" w:rsidRDefault="0085223E" w:rsidP="00960B1B">
            <w:pPr>
              <w:pStyle w:val="TableText"/>
              <w:rPr>
                <w:b/>
              </w:rPr>
            </w:pPr>
          </w:p>
        </w:tc>
        <w:tc>
          <w:tcPr>
            <w:tcW w:w="4175" w:type="pct"/>
          </w:tcPr>
          <w:p w:rsidR="0085223E" w:rsidRPr="0085223E" w:rsidRDefault="0085223E" w:rsidP="00960B1B">
            <w:pPr>
              <w:pStyle w:val="TableText"/>
            </w:pPr>
            <w:proofErr w:type="spellStart"/>
            <w:r w:rsidRPr="0085223E">
              <w:t>Mathematica</w:t>
            </w:r>
            <w:proofErr w:type="spellEnd"/>
            <w:r w:rsidRPr="0085223E">
              <w:t xml:space="preserve"> will provide a secure (https) website for each school district to upload and view only its own data.</w:t>
            </w:r>
          </w:p>
        </w:tc>
      </w:tr>
      <w:tr w:rsidR="0085223E" w:rsidRPr="0085223E" w:rsidTr="00960B1B">
        <w:tc>
          <w:tcPr>
            <w:tcW w:w="825" w:type="pct"/>
          </w:tcPr>
          <w:p w:rsidR="0085223E" w:rsidRPr="0085223E" w:rsidRDefault="0085223E" w:rsidP="00960B1B">
            <w:pPr>
              <w:pStyle w:val="TableText"/>
            </w:pPr>
            <w:r w:rsidRPr="0085223E">
              <w:t>IRB approval and parent consent</w:t>
            </w:r>
          </w:p>
          <w:p w:rsidR="0085223E" w:rsidRPr="0085223E" w:rsidRDefault="0085223E" w:rsidP="00960B1B">
            <w:pPr>
              <w:pStyle w:val="TableText"/>
            </w:pPr>
          </w:p>
        </w:tc>
        <w:tc>
          <w:tcPr>
            <w:tcW w:w="4175" w:type="pct"/>
          </w:tcPr>
          <w:p w:rsidR="0085223E" w:rsidRPr="0085223E" w:rsidRDefault="0085223E" w:rsidP="00960B1B">
            <w:pPr>
              <w:pStyle w:val="TableText"/>
            </w:pPr>
            <w:r w:rsidRPr="0085223E">
              <w:t xml:space="preserve">A preliminary discussion with </w:t>
            </w:r>
            <w:proofErr w:type="spellStart"/>
            <w:r w:rsidRPr="0085223E">
              <w:t>Mathematica’s</w:t>
            </w:r>
            <w:proofErr w:type="spellEnd"/>
            <w:r w:rsidRPr="0085223E">
              <w:t xml:space="preserve"> IRB at Public/Private Ventures indicates that it will provide a waiver of written consent to be replaced by web-based consent or oral consent via telephone (digitally recorded). The study team will document these methods and mail a written copy of consent forms to those who consent. </w:t>
            </w:r>
            <w:proofErr w:type="spellStart"/>
            <w:r w:rsidRPr="0085223E">
              <w:t>Mathematica</w:t>
            </w:r>
            <w:proofErr w:type="spellEnd"/>
            <w:r w:rsidRPr="0085223E">
              <w:t xml:space="preserve"> will prepare separate IRB or research requests for districts when required. </w:t>
            </w:r>
          </w:p>
        </w:tc>
      </w:tr>
    </w:tbl>
    <w:p w:rsidR="0085223E" w:rsidRPr="0085223E" w:rsidRDefault="0085223E" w:rsidP="0085223E">
      <w:pPr>
        <w:rPr>
          <w:b/>
          <w:bCs/>
        </w:rPr>
      </w:pPr>
    </w:p>
    <w:p w:rsidR="0085223E" w:rsidRPr="0085223E" w:rsidRDefault="0085223E" w:rsidP="00960B1B">
      <w:pPr>
        <w:pStyle w:val="NormalSS"/>
      </w:pPr>
      <w:r w:rsidRPr="0085223E">
        <w:t xml:space="preserve">Subsequent OMB packages will address the methods to encourage participation of survey respondents including school staff, youth, and parents. Proven methods, to be described in detail in subsequent submissions, include the following: </w:t>
      </w:r>
    </w:p>
    <w:p w:rsidR="00153A20" w:rsidRDefault="00153A20" w:rsidP="00153A20">
      <w:pPr>
        <w:pStyle w:val="BulletBlack"/>
      </w:pPr>
      <w:r w:rsidRPr="0085223E">
        <w:t>Well-designed questionnaires, with cognitively test</w:t>
      </w:r>
      <w:r>
        <w:t>ed and easy-to-answer questions</w:t>
      </w:r>
    </w:p>
    <w:p w:rsidR="0085223E" w:rsidRPr="0085223E" w:rsidRDefault="0085223E" w:rsidP="00960B1B">
      <w:pPr>
        <w:pStyle w:val="BulletBlack"/>
      </w:pPr>
      <w:r w:rsidRPr="0085223E">
        <w:t>Compelling advance materials</w:t>
      </w:r>
    </w:p>
    <w:p w:rsidR="0085223E" w:rsidRPr="0085223E" w:rsidRDefault="0085223E" w:rsidP="00960B1B">
      <w:pPr>
        <w:pStyle w:val="BulletBlack"/>
      </w:pPr>
      <w:r w:rsidRPr="0085223E">
        <w:t>Assurances to sample members that the information they provide will be secure, treated confidentially, and used only for research purposes</w:t>
      </w:r>
    </w:p>
    <w:p w:rsidR="0085223E" w:rsidRPr="0085223E" w:rsidRDefault="0085223E" w:rsidP="00960B1B">
      <w:pPr>
        <w:pStyle w:val="BulletBlack"/>
      </w:pPr>
      <w:r w:rsidRPr="0085223E">
        <w:t>A toll-free help line for sample members to call with concerns or to schedule an appointment and well-trained interviewers able to address sample members’ concerns</w:t>
      </w:r>
    </w:p>
    <w:p w:rsidR="0085223E" w:rsidRPr="0085223E" w:rsidRDefault="0085223E" w:rsidP="00960B1B">
      <w:pPr>
        <w:pStyle w:val="BulletBlack"/>
      </w:pPr>
      <w:r w:rsidRPr="0085223E">
        <w:t>Multiple modes of responding (web/telephone/fax for school staff)</w:t>
      </w:r>
    </w:p>
    <w:p w:rsidR="0085223E" w:rsidRDefault="0085223E" w:rsidP="00960B1B">
      <w:pPr>
        <w:pStyle w:val="BulletBlack"/>
      </w:pPr>
      <w:r w:rsidRPr="0085223E">
        <w:t>Reminder letters and emails, which will contain identification numbers and passwords so web respondents can “click through” to the web questionnaire</w:t>
      </w:r>
    </w:p>
    <w:p w:rsidR="006E1DDB" w:rsidRDefault="006E1DDB" w:rsidP="006E1DDB">
      <w:pPr>
        <w:pStyle w:val="BulletBlack"/>
      </w:pPr>
      <w:r w:rsidRPr="0085223E">
        <w:t>Modest payments to compensate princip</w:t>
      </w:r>
      <w:r>
        <w:t>als and teachers for their time</w:t>
      </w:r>
    </w:p>
    <w:p w:rsidR="00153A20" w:rsidRPr="0085223E" w:rsidRDefault="00153A20" w:rsidP="006E1DDB">
      <w:pPr>
        <w:pStyle w:val="BulletBlack"/>
      </w:pPr>
      <w:r w:rsidRPr="0085223E">
        <w:t>Multiple attempts to reach respondents at various times of the day and week</w:t>
      </w:r>
    </w:p>
    <w:p w:rsidR="0051310F" w:rsidRDefault="006E1DDB" w:rsidP="0051310F">
      <w:pPr>
        <w:pStyle w:val="BulletBlackLastSS"/>
      </w:pPr>
      <w:r w:rsidRPr="0085223E">
        <w:t>A small monetary thank you to show appreciation for parent’s and student’s time and effort</w:t>
      </w:r>
    </w:p>
    <w:p w:rsidR="006E1DDB" w:rsidRDefault="0085223E" w:rsidP="006E1DDB">
      <w:pPr>
        <w:pStyle w:val="BulletBlack"/>
      </w:pPr>
      <w:r w:rsidRPr="0085223E">
        <w:t>Specialized refusal conversion and tracing as needed</w:t>
      </w:r>
      <w:r w:rsidR="006E1DDB" w:rsidRPr="006E1DDB">
        <w:t xml:space="preserve"> </w:t>
      </w:r>
    </w:p>
    <w:p w:rsidR="0085223E" w:rsidRPr="0085223E" w:rsidRDefault="006E1DDB" w:rsidP="006E1DDB">
      <w:pPr>
        <w:pStyle w:val="BulletBlack"/>
      </w:pPr>
      <w:r w:rsidRPr="0085223E">
        <w:t>Focus on obtaining accurate contact information to facilitate locating for follow-up interviews</w:t>
      </w:r>
    </w:p>
    <w:p w:rsidR="0085223E" w:rsidRPr="0085223E" w:rsidRDefault="0085223E" w:rsidP="00960B1B">
      <w:pPr>
        <w:pStyle w:val="Heading3"/>
      </w:pPr>
      <w:bookmarkStart w:id="29" w:name="_Toc63827196"/>
      <w:bookmarkStart w:id="30" w:name="_Toc70752945"/>
      <w:bookmarkStart w:id="31" w:name="_Toc276391124"/>
      <w:bookmarkStart w:id="32" w:name="_Toc276988540"/>
      <w:bookmarkStart w:id="33" w:name="_Toc277080001"/>
      <w:r w:rsidRPr="0085223E">
        <w:t>4.</w:t>
      </w:r>
      <w:r w:rsidRPr="0085223E">
        <w:tab/>
        <w:t>Tests of Procedures and Methods to Be Undertaken</w:t>
      </w:r>
      <w:bookmarkEnd w:id="29"/>
      <w:bookmarkEnd w:id="30"/>
      <w:bookmarkEnd w:id="31"/>
      <w:bookmarkEnd w:id="32"/>
      <w:bookmarkEnd w:id="33"/>
    </w:p>
    <w:p w:rsidR="0085223E" w:rsidRPr="0085223E" w:rsidRDefault="0085223E" w:rsidP="00960B1B">
      <w:pPr>
        <w:pStyle w:val="NormalSS"/>
      </w:pPr>
      <w:proofErr w:type="spellStart"/>
      <w:r w:rsidRPr="0085223E">
        <w:t>Mathematica</w:t>
      </w:r>
      <w:proofErr w:type="spellEnd"/>
      <w:r w:rsidRPr="0085223E">
        <w:t xml:space="preserve"> has worked with </w:t>
      </w:r>
      <w:r w:rsidR="006E1DDB">
        <w:t xml:space="preserve">numerous </w:t>
      </w:r>
      <w:r w:rsidRPr="0085223E">
        <w:t>school districts in 31 states and with charter schools in 15 states for different research projects</w:t>
      </w:r>
      <w:r w:rsidR="006E1DDB">
        <w:t xml:space="preserve"> in developing the methods to be used here</w:t>
      </w:r>
      <w:r w:rsidRPr="0085223E">
        <w:t>. This experience has allowed us to hone our district recruiting procedures and methods. Individual instruments for school staff, parents, and teachers will be pretested before ED describes them in subsequent OMB submissions.</w:t>
      </w:r>
    </w:p>
    <w:p w:rsidR="0085223E" w:rsidRPr="0085223E" w:rsidRDefault="0085223E" w:rsidP="00960B1B">
      <w:pPr>
        <w:pStyle w:val="Heading3"/>
      </w:pPr>
      <w:bookmarkStart w:id="34" w:name="_Toc276391125"/>
      <w:bookmarkStart w:id="35" w:name="_Toc276988541"/>
      <w:bookmarkStart w:id="36" w:name="_Toc277080002"/>
      <w:r w:rsidRPr="0085223E">
        <w:t>5.</w:t>
      </w:r>
      <w:r w:rsidRPr="0085223E">
        <w:tab/>
        <w:t>Individuals Consulted on Statistical Aspects of the Design</w:t>
      </w:r>
      <w:bookmarkEnd w:id="34"/>
      <w:bookmarkEnd w:id="35"/>
      <w:bookmarkEnd w:id="36"/>
    </w:p>
    <w:p w:rsidR="0085223E" w:rsidRPr="0085223E" w:rsidRDefault="0085223E" w:rsidP="00960B1B">
      <w:pPr>
        <w:pStyle w:val="NormalSS"/>
      </w:pPr>
      <w:r w:rsidRPr="0085223E">
        <w:t>The following people were consulted on the statistical aspects of the design:</w:t>
      </w:r>
    </w:p>
    <w:tbl>
      <w:tblPr>
        <w:tblStyle w:val="TableGrid"/>
        <w:tblW w:w="0" w:type="auto"/>
        <w:tblInd w:w="468" w:type="dxa"/>
        <w:tblLook w:val="04A0"/>
      </w:tblPr>
      <w:tblGrid>
        <w:gridCol w:w="4320"/>
        <w:gridCol w:w="4788"/>
      </w:tblGrid>
      <w:tr w:rsidR="0085223E" w:rsidRPr="0085223E" w:rsidTr="00960B1B">
        <w:tc>
          <w:tcPr>
            <w:tcW w:w="4320" w:type="dxa"/>
          </w:tcPr>
          <w:p w:rsidR="0085223E" w:rsidRPr="0085223E" w:rsidRDefault="00960B1B" w:rsidP="00960B1B">
            <w:pPr>
              <w:pStyle w:val="TableText"/>
            </w:pPr>
            <w:r>
              <w:t>John Burghardt, Ph.D.</w:t>
            </w:r>
          </w:p>
          <w:p w:rsidR="0085223E" w:rsidRPr="0085223E" w:rsidRDefault="0085223E" w:rsidP="00960B1B">
            <w:pPr>
              <w:pStyle w:val="TableText"/>
            </w:pPr>
            <w:r w:rsidRPr="0085223E">
              <w:t>Project director and co-principal investigator</w:t>
            </w:r>
          </w:p>
          <w:p w:rsidR="0085223E" w:rsidRPr="0085223E" w:rsidRDefault="00911A90" w:rsidP="00960B1B">
            <w:pPr>
              <w:pStyle w:val="TableText"/>
            </w:pPr>
            <w:hyperlink r:id="rId17" w:history="1">
              <w:r w:rsidR="0085223E" w:rsidRPr="0085223E">
                <w:rPr>
                  <w:rStyle w:val="Hyperlink"/>
                </w:rPr>
                <w:t>JBurghardt@mathematica-mpr.com</w:t>
              </w:r>
            </w:hyperlink>
          </w:p>
          <w:p w:rsidR="0085223E" w:rsidRPr="0085223E" w:rsidRDefault="0085223E" w:rsidP="00960B1B">
            <w:pPr>
              <w:pStyle w:val="TableText"/>
            </w:pPr>
            <w:r w:rsidRPr="0085223E">
              <w:t>609-275-2395</w:t>
            </w:r>
          </w:p>
        </w:tc>
        <w:tc>
          <w:tcPr>
            <w:tcW w:w="4788" w:type="dxa"/>
          </w:tcPr>
          <w:p w:rsidR="0085223E" w:rsidRPr="0085223E" w:rsidRDefault="0085223E" w:rsidP="00960B1B">
            <w:pPr>
              <w:pStyle w:val="TableText"/>
              <w:rPr>
                <w:bCs/>
              </w:rPr>
            </w:pPr>
            <w:r w:rsidRPr="0085223E">
              <w:t>Francis Potter, Ph.D.</w:t>
            </w:r>
          </w:p>
          <w:p w:rsidR="0085223E" w:rsidRPr="0085223E" w:rsidRDefault="0085223E" w:rsidP="00960B1B">
            <w:pPr>
              <w:pStyle w:val="TableText"/>
            </w:pPr>
            <w:r w:rsidRPr="0085223E">
              <w:t xml:space="preserve">Task leader, sample selection </w:t>
            </w:r>
          </w:p>
          <w:p w:rsidR="0085223E" w:rsidRPr="0085223E" w:rsidRDefault="00911A90" w:rsidP="00960B1B">
            <w:pPr>
              <w:pStyle w:val="TableText"/>
            </w:pPr>
            <w:hyperlink r:id="rId18" w:history="1">
              <w:r w:rsidR="0085223E" w:rsidRPr="0085223E">
                <w:rPr>
                  <w:rStyle w:val="Hyperlink"/>
                </w:rPr>
                <w:t>FPotter@mathematica-mpr.com</w:t>
              </w:r>
            </w:hyperlink>
          </w:p>
          <w:p w:rsidR="0085223E" w:rsidRPr="0085223E" w:rsidRDefault="0085223E" w:rsidP="00264E74">
            <w:pPr>
              <w:pStyle w:val="TableText"/>
            </w:pPr>
            <w:r w:rsidRPr="0085223E">
              <w:t>609-936-2799</w:t>
            </w:r>
          </w:p>
        </w:tc>
      </w:tr>
      <w:tr w:rsidR="0085223E" w:rsidRPr="0085223E" w:rsidTr="00960B1B">
        <w:tc>
          <w:tcPr>
            <w:tcW w:w="4320" w:type="dxa"/>
          </w:tcPr>
          <w:p w:rsidR="0085223E" w:rsidRPr="0085223E" w:rsidRDefault="0085223E" w:rsidP="00960B1B">
            <w:pPr>
              <w:pStyle w:val="TableText"/>
            </w:pPr>
            <w:r w:rsidRPr="0085223E">
              <w:t>Joshua Haimson, Ph.D.</w:t>
            </w:r>
          </w:p>
          <w:p w:rsidR="0085223E" w:rsidRPr="0085223E" w:rsidRDefault="0085223E" w:rsidP="00960B1B">
            <w:pPr>
              <w:pStyle w:val="TableText"/>
            </w:pPr>
            <w:r w:rsidRPr="0085223E">
              <w:t>Deputy project director and task leader, data analysis</w:t>
            </w:r>
          </w:p>
          <w:p w:rsidR="0085223E" w:rsidRPr="0085223E" w:rsidRDefault="00911A90" w:rsidP="00960B1B">
            <w:pPr>
              <w:pStyle w:val="TableText"/>
            </w:pPr>
            <w:hyperlink r:id="rId19" w:history="1">
              <w:r w:rsidR="0085223E" w:rsidRPr="0085223E">
                <w:rPr>
                  <w:rStyle w:val="Hyperlink"/>
                </w:rPr>
                <w:t>JHaimson@mathematica-mpr.com</w:t>
              </w:r>
            </w:hyperlink>
          </w:p>
          <w:p w:rsidR="0085223E" w:rsidRPr="0085223E" w:rsidRDefault="0085223E" w:rsidP="00960B1B">
            <w:pPr>
              <w:pStyle w:val="TableText"/>
            </w:pPr>
            <w:r w:rsidRPr="0085223E">
              <w:t>609-275-2208</w:t>
            </w:r>
          </w:p>
        </w:tc>
        <w:tc>
          <w:tcPr>
            <w:tcW w:w="4788" w:type="dxa"/>
          </w:tcPr>
          <w:p w:rsidR="0085223E" w:rsidRPr="0085223E" w:rsidRDefault="0085223E" w:rsidP="00960B1B">
            <w:pPr>
              <w:pStyle w:val="TableText"/>
            </w:pPr>
            <w:r w:rsidRPr="0085223E">
              <w:t>David Johnson, Ph.D.</w:t>
            </w:r>
          </w:p>
          <w:p w:rsidR="0085223E" w:rsidRPr="0085223E" w:rsidRDefault="006E1DDB" w:rsidP="00960B1B">
            <w:pPr>
              <w:pStyle w:val="TableText"/>
            </w:pPr>
            <w:r>
              <w:t xml:space="preserve">Co-PI and </w:t>
            </w:r>
            <w:r w:rsidR="0085223E" w:rsidRPr="0085223E">
              <w:t>Task leader, analysis plan and reports</w:t>
            </w:r>
          </w:p>
          <w:p w:rsidR="0085223E" w:rsidRPr="0085223E" w:rsidRDefault="00911A90" w:rsidP="00960B1B">
            <w:pPr>
              <w:pStyle w:val="TableText"/>
            </w:pPr>
            <w:hyperlink r:id="rId20" w:history="1">
              <w:r w:rsidR="0085223E" w:rsidRPr="0085223E">
                <w:rPr>
                  <w:rStyle w:val="Hyperlink"/>
                </w:rPr>
                <w:t>johns006@umn.edu</w:t>
              </w:r>
            </w:hyperlink>
          </w:p>
          <w:p w:rsidR="0085223E" w:rsidRPr="0085223E" w:rsidRDefault="0085223E" w:rsidP="00960B1B">
            <w:pPr>
              <w:pStyle w:val="TableText"/>
            </w:pPr>
            <w:r w:rsidRPr="0085223E">
              <w:t>612-624-1062</w:t>
            </w:r>
          </w:p>
        </w:tc>
      </w:tr>
    </w:tbl>
    <w:p w:rsidR="0085223E" w:rsidRPr="0085223E" w:rsidRDefault="0085223E" w:rsidP="0085223E"/>
    <w:p w:rsidR="0085223E" w:rsidRPr="0085223E" w:rsidRDefault="0085223E" w:rsidP="00960B1B">
      <w:pPr>
        <w:pStyle w:val="NormalSS"/>
      </w:pPr>
      <w:r w:rsidRPr="0085223E">
        <w:t>In addition, the following people will be responsible for the data collection and analysis:</w:t>
      </w:r>
    </w:p>
    <w:tbl>
      <w:tblPr>
        <w:tblStyle w:val="TableGrid"/>
        <w:tblW w:w="0" w:type="auto"/>
        <w:tblInd w:w="468" w:type="dxa"/>
        <w:tblLook w:val="04A0"/>
      </w:tblPr>
      <w:tblGrid>
        <w:gridCol w:w="4320"/>
        <w:gridCol w:w="4788"/>
      </w:tblGrid>
      <w:tr w:rsidR="0085223E" w:rsidRPr="0085223E" w:rsidTr="00960B1B">
        <w:tc>
          <w:tcPr>
            <w:tcW w:w="4320" w:type="dxa"/>
          </w:tcPr>
          <w:p w:rsidR="0085223E" w:rsidRPr="0085223E" w:rsidRDefault="0085223E" w:rsidP="00960B1B">
            <w:pPr>
              <w:pStyle w:val="TableText"/>
            </w:pPr>
            <w:r w:rsidRPr="0085223E">
              <w:t>Jo</w:t>
            </w:r>
            <w:r w:rsidR="00960B1B">
              <w:t>hn Burghardt, Ph.D.</w:t>
            </w:r>
          </w:p>
          <w:p w:rsidR="0085223E" w:rsidRPr="0085223E" w:rsidRDefault="0085223E" w:rsidP="00960B1B">
            <w:pPr>
              <w:pStyle w:val="TableText"/>
            </w:pPr>
            <w:r w:rsidRPr="0085223E">
              <w:t>Project director and co-principal investigator</w:t>
            </w:r>
          </w:p>
          <w:p w:rsidR="0085223E" w:rsidRPr="0085223E" w:rsidRDefault="00911A90" w:rsidP="00960B1B">
            <w:pPr>
              <w:pStyle w:val="TableText"/>
            </w:pPr>
            <w:hyperlink r:id="rId21" w:history="1">
              <w:r w:rsidR="0085223E" w:rsidRPr="0085223E">
                <w:rPr>
                  <w:rStyle w:val="Hyperlink"/>
                </w:rPr>
                <w:t>JBurghardt@mathematica-mpr.com</w:t>
              </w:r>
            </w:hyperlink>
          </w:p>
          <w:p w:rsidR="0085223E" w:rsidRPr="0085223E" w:rsidRDefault="0085223E" w:rsidP="00960B1B">
            <w:pPr>
              <w:pStyle w:val="TableText"/>
            </w:pPr>
            <w:r w:rsidRPr="0085223E">
              <w:t>609-275-2395</w:t>
            </w:r>
          </w:p>
        </w:tc>
        <w:tc>
          <w:tcPr>
            <w:tcW w:w="4788" w:type="dxa"/>
          </w:tcPr>
          <w:p w:rsidR="0085223E" w:rsidRPr="0085223E" w:rsidRDefault="0085223E" w:rsidP="00960B1B">
            <w:pPr>
              <w:pStyle w:val="TableText"/>
            </w:pPr>
            <w:r w:rsidRPr="0085223E">
              <w:t>Joshua Haimson, Ph.D.</w:t>
            </w:r>
          </w:p>
          <w:p w:rsidR="0085223E" w:rsidRPr="0085223E" w:rsidRDefault="0085223E" w:rsidP="00960B1B">
            <w:pPr>
              <w:pStyle w:val="TableText"/>
            </w:pPr>
            <w:r w:rsidRPr="0085223E">
              <w:t>Deputy pro</w:t>
            </w:r>
            <w:r w:rsidR="00960B1B">
              <w:t xml:space="preserve">ject director and task leader, </w:t>
            </w:r>
            <w:r w:rsidRPr="0085223E">
              <w:t>data a</w:t>
            </w:r>
            <w:bookmarkStart w:id="37" w:name="_GoBack"/>
            <w:bookmarkEnd w:id="37"/>
            <w:r w:rsidRPr="0085223E">
              <w:t>nalysis</w:t>
            </w:r>
          </w:p>
          <w:p w:rsidR="0085223E" w:rsidRPr="0085223E" w:rsidRDefault="00911A90" w:rsidP="00960B1B">
            <w:pPr>
              <w:pStyle w:val="TableText"/>
            </w:pPr>
            <w:hyperlink r:id="rId22" w:history="1">
              <w:r w:rsidR="0085223E" w:rsidRPr="0085223E">
                <w:rPr>
                  <w:rStyle w:val="Hyperlink"/>
                </w:rPr>
                <w:t>JHaimson@mathematica-mpr.com</w:t>
              </w:r>
            </w:hyperlink>
          </w:p>
          <w:p w:rsidR="0085223E" w:rsidRPr="0085223E" w:rsidRDefault="0085223E" w:rsidP="00960B1B">
            <w:pPr>
              <w:pStyle w:val="TableText"/>
            </w:pPr>
            <w:r w:rsidRPr="0085223E">
              <w:t>609-275-2208</w:t>
            </w:r>
          </w:p>
        </w:tc>
      </w:tr>
      <w:tr w:rsidR="0085223E" w:rsidRPr="0085223E" w:rsidTr="00960B1B">
        <w:tc>
          <w:tcPr>
            <w:tcW w:w="4320" w:type="dxa"/>
          </w:tcPr>
          <w:p w:rsidR="0085223E" w:rsidRPr="0085223E" w:rsidRDefault="0085223E" w:rsidP="00960B1B">
            <w:pPr>
              <w:pStyle w:val="TableText"/>
            </w:pPr>
            <w:r w:rsidRPr="0085223E">
              <w:t>Anne B. Ciemnecki, MA</w:t>
            </w:r>
          </w:p>
          <w:p w:rsidR="0085223E" w:rsidRPr="0085223E" w:rsidRDefault="0085223E" w:rsidP="00960B1B">
            <w:pPr>
              <w:pStyle w:val="TableText"/>
            </w:pPr>
            <w:r w:rsidRPr="0085223E">
              <w:t>Survey director</w:t>
            </w:r>
          </w:p>
          <w:p w:rsidR="0085223E" w:rsidRPr="0085223E" w:rsidRDefault="00911A90" w:rsidP="00960B1B">
            <w:pPr>
              <w:pStyle w:val="TableText"/>
            </w:pPr>
            <w:hyperlink r:id="rId23" w:history="1">
              <w:r w:rsidR="0085223E" w:rsidRPr="0085223E">
                <w:rPr>
                  <w:rStyle w:val="Hyperlink"/>
                </w:rPr>
                <w:t>ACiemnecki@mathematica-mpr.com</w:t>
              </w:r>
            </w:hyperlink>
          </w:p>
          <w:p w:rsidR="0085223E" w:rsidRPr="0085223E" w:rsidRDefault="0085223E" w:rsidP="00960B1B">
            <w:pPr>
              <w:pStyle w:val="TableText"/>
            </w:pPr>
            <w:r w:rsidRPr="0085223E">
              <w:t>609-275-2323</w:t>
            </w:r>
          </w:p>
        </w:tc>
        <w:tc>
          <w:tcPr>
            <w:tcW w:w="4788" w:type="dxa"/>
          </w:tcPr>
          <w:p w:rsidR="0085223E" w:rsidRPr="0085223E" w:rsidRDefault="0085223E" w:rsidP="00960B1B">
            <w:pPr>
              <w:pStyle w:val="TableText"/>
            </w:pPr>
            <w:r w:rsidRPr="0085223E">
              <w:t xml:space="preserve">Eric Zeidman, Ed.M., </w:t>
            </w:r>
          </w:p>
          <w:p w:rsidR="0085223E" w:rsidRPr="0085223E" w:rsidRDefault="0085223E" w:rsidP="00960B1B">
            <w:pPr>
              <w:pStyle w:val="TableText"/>
            </w:pPr>
            <w:r w:rsidRPr="0085223E">
              <w:t>Task leader, district recruitment</w:t>
            </w:r>
          </w:p>
          <w:p w:rsidR="0085223E" w:rsidRPr="0085223E" w:rsidRDefault="00911A90" w:rsidP="00960B1B">
            <w:pPr>
              <w:pStyle w:val="TableText"/>
            </w:pPr>
            <w:hyperlink r:id="rId24" w:history="1">
              <w:r w:rsidR="0085223E" w:rsidRPr="0085223E">
                <w:rPr>
                  <w:rStyle w:val="Hyperlink"/>
                </w:rPr>
                <w:t>EZeidman@mathematica-mpr.com</w:t>
              </w:r>
            </w:hyperlink>
          </w:p>
          <w:p w:rsidR="0085223E" w:rsidRPr="0085223E" w:rsidRDefault="0085223E" w:rsidP="00960B1B">
            <w:pPr>
              <w:pStyle w:val="TableText"/>
            </w:pPr>
            <w:r w:rsidRPr="0085223E">
              <w:t>609-936-2784</w:t>
            </w:r>
          </w:p>
        </w:tc>
      </w:tr>
      <w:tr w:rsidR="0085223E" w:rsidRPr="0085223E" w:rsidTr="00960B1B">
        <w:tc>
          <w:tcPr>
            <w:tcW w:w="4320" w:type="dxa"/>
          </w:tcPr>
          <w:p w:rsidR="0085223E" w:rsidRPr="0085223E" w:rsidRDefault="0085223E" w:rsidP="00960B1B">
            <w:pPr>
              <w:pStyle w:val="TableText"/>
            </w:pPr>
            <w:r w:rsidRPr="0085223E">
              <w:t>David Johnson, Ph.D.</w:t>
            </w:r>
          </w:p>
          <w:p w:rsidR="0085223E" w:rsidRPr="0085223E" w:rsidRDefault="006E1DDB" w:rsidP="00960B1B">
            <w:pPr>
              <w:pStyle w:val="TableText"/>
            </w:pPr>
            <w:r>
              <w:t xml:space="preserve">Co-PI and </w:t>
            </w:r>
            <w:r w:rsidR="0085223E" w:rsidRPr="0085223E">
              <w:t>Task leader, analysis plan and reports</w:t>
            </w:r>
          </w:p>
          <w:p w:rsidR="0085223E" w:rsidRPr="0085223E" w:rsidRDefault="00911A90" w:rsidP="00960B1B">
            <w:pPr>
              <w:pStyle w:val="TableText"/>
            </w:pPr>
            <w:hyperlink r:id="rId25" w:history="1">
              <w:r w:rsidR="0085223E" w:rsidRPr="0085223E">
                <w:rPr>
                  <w:rStyle w:val="Hyperlink"/>
                </w:rPr>
                <w:t>johns006@umn.edu</w:t>
              </w:r>
            </w:hyperlink>
          </w:p>
          <w:p w:rsidR="0085223E" w:rsidRPr="0085223E" w:rsidRDefault="0085223E" w:rsidP="00960B1B">
            <w:pPr>
              <w:pStyle w:val="TableText"/>
            </w:pPr>
            <w:r w:rsidRPr="0085223E">
              <w:t>612-624-1062</w:t>
            </w:r>
          </w:p>
        </w:tc>
        <w:tc>
          <w:tcPr>
            <w:tcW w:w="4788" w:type="dxa"/>
          </w:tcPr>
          <w:p w:rsidR="0085223E" w:rsidRPr="0085223E" w:rsidRDefault="0085223E" w:rsidP="00960B1B">
            <w:pPr>
              <w:pStyle w:val="TableText"/>
            </w:pPr>
            <w:r w:rsidRPr="0085223E">
              <w:t xml:space="preserve">Martha </w:t>
            </w:r>
            <w:proofErr w:type="spellStart"/>
            <w:r w:rsidRPr="0085223E">
              <w:t>Thurlow</w:t>
            </w:r>
            <w:proofErr w:type="spellEnd"/>
            <w:r w:rsidRPr="0085223E">
              <w:rPr>
                <w:b/>
              </w:rPr>
              <w:t xml:space="preserve"> </w:t>
            </w:r>
            <w:r w:rsidRPr="0085223E">
              <w:t>Ph.D.</w:t>
            </w:r>
          </w:p>
          <w:p w:rsidR="0085223E" w:rsidRPr="0085223E" w:rsidRDefault="0085223E" w:rsidP="00960B1B">
            <w:pPr>
              <w:pStyle w:val="TableText"/>
            </w:pPr>
            <w:r w:rsidRPr="0085223E">
              <w:t>Task lead</w:t>
            </w:r>
            <w:r w:rsidR="00960B1B">
              <w:t xml:space="preserve">er, youth assessment analysis </w:t>
            </w:r>
            <w:r w:rsidRPr="0085223E">
              <w:t>tasks</w:t>
            </w:r>
          </w:p>
          <w:p w:rsidR="0085223E" w:rsidRPr="0085223E" w:rsidRDefault="00911A90" w:rsidP="00960B1B">
            <w:pPr>
              <w:pStyle w:val="TableText"/>
            </w:pPr>
            <w:hyperlink r:id="rId26" w:history="1">
              <w:r w:rsidR="0085223E" w:rsidRPr="0085223E">
                <w:rPr>
                  <w:rStyle w:val="Hyperlink"/>
                </w:rPr>
                <w:t>thurl001@umn.edu</w:t>
              </w:r>
            </w:hyperlink>
          </w:p>
          <w:p w:rsidR="0085223E" w:rsidRPr="0085223E" w:rsidRDefault="0085223E" w:rsidP="00960B1B">
            <w:pPr>
              <w:pStyle w:val="TableText"/>
            </w:pPr>
            <w:r w:rsidRPr="0085223E">
              <w:t>612-624-4826</w:t>
            </w:r>
          </w:p>
        </w:tc>
      </w:tr>
    </w:tbl>
    <w:p w:rsidR="0085223E" w:rsidRDefault="0085223E" w:rsidP="0085223E"/>
    <w:p w:rsidR="00796A5D" w:rsidRDefault="00796A5D" w:rsidP="0085223E"/>
    <w:p w:rsidR="00796A5D" w:rsidRDefault="00796A5D" w:rsidP="0085223E">
      <w:pPr>
        <w:sectPr w:rsidR="00796A5D" w:rsidSect="00F66B2D">
          <w:headerReference w:type="default" r:id="rId27"/>
          <w:footerReference w:type="default" r:id="rId28"/>
          <w:endnotePr>
            <w:numFmt w:val="decimal"/>
          </w:endnotePr>
          <w:pgSz w:w="12240" w:h="15840" w:code="1"/>
          <w:pgMar w:top="1440" w:right="1440" w:bottom="576" w:left="1440" w:header="720" w:footer="576" w:gutter="0"/>
          <w:pgNumType w:start="1"/>
          <w:cols w:space="720"/>
          <w:docGrid w:linePitch="326"/>
        </w:sectPr>
      </w:pPr>
    </w:p>
    <w:p w:rsidR="00796A5D" w:rsidRPr="00F94D6B" w:rsidRDefault="00911A90" w:rsidP="00535E7F">
      <w:pPr>
        <w:spacing w:after="960" w:line="264" w:lineRule="auto"/>
        <w:ind w:firstLine="0"/>
      </w:pPr>
      <w:r w:rsidRPr="00911A90">
        <w:rPr>
          <w:rFonts w:ascii="Lucida Sans" w:hAnsi="Lucida Sans"/>
          <w:noProof/>
          <w:sz w:val="22"/>
          <w:szCs w:val="22"/>
        </w:rPr>
        <w:pict>
          <v:shapetype id="_x0000_t202" coordsize="21600,21600" o:spt="202" path="m,l,21600r21600,l21600,xe">
            <v:stroke joinstyle="miter"/>
            <v:path gradientshapeok="t" o:connecttype="rect"/>
          </v:shapetype>
          <v:shape id="_x0000_s1026" type="#_x0000_t202" alt="" style="position:absolute;left:0;text-align:left;margin-left:-56.95pt;margin-top:461.25pt;width:581.9pt;height:67.5pt;z-index:251665408" wrapcoords="0 0" filled="f" stroked="f" strokeweight="0">
            <v:textbox style="mso-next-textbox:#_x0000_s1026">
              <w:txbxContent>
                <w:p w:rsidR="0055431A" w:rsidRPr="000F53E2" w:rsidRDefault="0055431A" w:rsidP="00796A5D">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55431A" w:rsidRDefault="0055431A" w:rsidP="00796A5D">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55431A" w:rsidRDefault="0055431A" w:rsidP="00796A5D">
                  <w:pPr>
                    <w:tabs>
                      <w:tab w:val="clear" w:pos="432"/>
                    </w:tabs>
                    <w:spacing w:line="264" w:lineRule="auto"/>
                    <w:ind w:firstLine="0"/>
                    <w:jc w:val="center"/>
                    <w:rPr>
                      <w:rFonts w:ascii="Lucida Sans" w:hAnsi="Lucida Sans"/>
                      <w:sz w:val="17"/>
                      <w:szCs w:val="18"/>
                    </w:rPr>
                  </w:pPr>
                </w:p>
                <w:p w:rsidR="0055431A" w:rsidRPr="000F53E2" w:rsidRDefault="0055431A" w:rsidP="00796A5D">
                  <w:pPr>
                    <w:tabs>
                      <w:tab w:val="clear" w:pos="432"/>
                    </w:tabs>
                    <w:spacing w:line="264" w:lineRule="auto"/>
                    <w:ind w:firstLine="0"/>
                    <w:jc w:val="center"/>
                    <w:rPr>
                      <w:rFonts w:ascii="Lucida Sans" w:hAnsi="Lucida Sans"/>
                      <w:sz w:val="17"/>
                      <w:szCs w:val="18"/>
                    </w:rPr>
                  </w:pPr>
                  <w:proofErr w:type="spellStart"/>
                  <w:r w:rsidRPr="00D03435">
                    <w:rPr>
                      <w:rFonts w:ascii="Lucida Sans" w:hAnsi="Lucida Sans"/>
                      <w:sz w:val="17"/>
                      <w:szCs w:val="18"/>
                    </w:rPr>
                    <w:t>Mathematica</w:t>
                  </w:r>
                  <w:proofErr w:type="spellEnd"/>
                  <w:r w:rsidRPr="00D03435">
                    <w:rPr>
                      <w:rFonts w:ascii="Lucida Sans" w:hAnsi="Lucida Sans"/>
                      <w:sz w:val="17"/>
                      <w:szCs w:val="18"/>
                    </w:rPr>
                    <w:t xml:space="preserve">® is a registered trademark of </w:t>
                  </w:r>
                  <w:proofErr w:type="spellStart"/>
                  <w:r w:rsidRPr="00D03435">
                    <w:rPr>
                      <w:rFonts w:ascii="Lucida Sans" w:hAnsi="Lucida Sans"/>
                      <w:sz w:val="17"/>
                      <w:szCs w:val="18"/>
                    </w:rPr>
                    <w:t>Mathematica</w:t>
                  </w:r>
                  <w:proofErr w:type="spellEnd"/>
                  <w:r w:rsidRPr="00D03435">
                    <w:rPr>
                      <w:rFonts w:ascii="Lucida Sans" w:hAnsi="Lucida Sans"/>
                      <w:sz w:val="17"/>
                      <w:szCs w:val="18"/>
                    </w:rPr>
                    <w:t xml:space="preserve"> Policy Research</w:t>
                  </w:r>
                </w:p>
              </w:txbxContent>
            </v:textbox>
          </v:shape>
        </w:pict>
      </w:r>
      <w:r w:rsidRPr="00911A90">
        <w:rPr>
          <w:rFonts w:ascii="Lucida Sans" w:hAnsi="Lucida Sans"/>
          <w:noProof/>
          <w:sz w:val="22"/>
          <w:szCs w:val="22"/>
        </w:rPr>
        <w:pict>
          <v:shape id="_x0000_s1027" type="#_x0000_t202" alt="" style="position:absolute;left:0;text-align:left;margin-left:333.25pt;margin-top:412.55pt;width:154.45pt;height:27.9pt;z-index:-251649024;mso-height-percent:200;mso-position-horizontal-relative:page;mso-position-vertical-relative:page;mso-height-percent:200;mso-width-relative:margin;mso-height-relative:margin" wrapcoords="0 0" filled="f" stroked="f">
            <v:textbox style="mso-next-textbox:#_x0000_s1027;mso-fit-shape-to-text:t">
              <w:txbxContent>
                <w:p w:rsidR="0055431A" w:rsidRPr="00347DD8" w:rsidRDefault="0055431A" w:rsidP="00796A5D">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796A5D">
        <w:rPr>
          <w:rFonts w:ascii="Lucida Sans" w:hAnsi="Lucida Sans"/>
          <w:noProof/>
          <w:sz w:val="22"/>
          <w:szCs w:val="22"/>
        </w:rPr>
        <w:drawing>
          <wp:anchor distT="0" distB="0" distL="114300" distR="114300" simplePos="0" relativeHeight="251666432"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17"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r w:rsidR="00796A5D">
        <w:rPr>
          <w:rFonts w:ascii="Lucida Sans" w:hAnsi="Lucida Sans"/>
          <w:noProof/>
          <w:sz w:val="22"/>
          <w:szCs w:val="22"/>
        </w:rPr>
        <w:drawing>
          <wp:anchor distT="0" distB="0" distL="114300" distR="114300" simplePos="0" relativeHeight="251664384"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7879080" cy="2562225"/>
                    </a:xfrm>
                    <a:prstGeom prst="rect">
                      <a:avLst/>
                    </a:prstGeom>
                    <a:noFill/>
                  </pic:spPr>
                </pic:pic>
              </a:graphicData>
            </a:graphic>
          </wp:anchor>
        </w:drawing>
      </w:r>
    </w:p>
    <w:sectPr w:rsidR="00796A5D" w:rsidRPr="00F94D6B" w:rsidSect="003A1506">
      <w:headerReference w:type="even" r:id="rId30"/>
      <w:headerReference w:type="default" r:id="rId31"/>
      <w:footerReference w:type="even" r:id="rId32"/>
      <w:footerReference w:type="default" r:id="rId33"/>
      <w:headerReference w:type="first" r:id="rId34"/>
      <w:footerReference w:type="first" r:id="rId35"/>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860" w:rsidRDefault="00B31860">
      <w:pPr>
        <w:spacing w:line="240" w:lineRule="auto"/>
        <w:ind w:firstLine="0"/>
      </w:pPr>
    </w:p>
  </w:endnote>
  <w:endnote w:type="continuationSeparator" w:id="0">
    <w:p w:rsidR="00B31860" w:rsidRDefault="00B31860">
      <w:pPr>
        <w:spacing w:line="240" w:lineRule="auto"/>
        <w:ind w:firstLine="0"/>
      </w:pPr>
    </w:p>
  </w:endnote>
  <w:endnote w:type="continuationNotice" w:id="1">
    <w:p w:rsidR="00B31860" w:rsidRDefault="00B31860">
      <w:pPr>
        <w:spacing w:line="240" w:lineRule="auto"/>
        <w:ind w:firstLine="0"/>
      </w:pPr>
    </w:p>
    <w:p w:rsidR="00B31860" w:rsidRDefault="00B31860"/>
    <w:p w:rsidR="00B31860" w:rsidRDefault="00B31860">
      <w:r>
        <w:rPr>
          <w:b/>
          <w:snapToGrid w:val="0"/>
        </w:rPr>
        <w:t>DRAFT</w:t>
      </w:r>
      <w:r>
        <w:rPr>
          <w:snapToGrid w:val="0"/>
          <w:sz w:val="16"/>
        </w:rPr>
        <w:t xml:space="preserve"> </w:t>
      </w:r>
      <w:r w:rsidR="00911A90">
        <w:rPr>
          <w:snapToGrid w:val="0"/>
          <w:sz w:val="16"/>
        </w:rPr>
        <w:fldChar w:fldCharType="begin"/>
      </w:r>
      <w:r>
        <w:rPr>
          <w:snapToGrid w:val="0"/>
          <w:sz w:val="16"/>
        </w:rPr>
        <w:instrText xml:space="preserve"> FILENAME \p </w:instrText>
      </w:r>
      <w:r w:rsidR="00911A90">
        <w:rPr>
          <w:snapToGrid w:val="0"/>
          <w:sz w:val="16"/>
        </w:rPr>
        <w:fldChar w:fldCharType="separate"/>
      </w:r>
      <w:r>
        <w:rPr>
          <w:noProof/>
          <w:snapToGrid w:val="0"/>
          <w:sz w:val="16"/>
        </w:rPr>
        <w:t>N:\Shared-NJ1\Secretaries\STOYD.(jm)\STOYD-003_OMB\11-8-10 sendout\OMB-NEST-Recruiting-PartB 11-9-10.docx</w:t>
      </w:r>
      <w:r w:rsidR="00911A9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Sans Std">
    <w:panose1 w:val="00000000000000000000"/>
    <w:charset w:val="00"/>
    <w:family w:val="swiss"/>
    <w:notTrueType/>
    <w:pitch w:val="variable"/>
    <w:sig w:usb0="800000EF" w:usb1="5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1A" w:rsidRPr="008F1A3F" w:rsidRDefault="0055431A" w:rsidP="00CA5340">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1A" w:rsidRPr="00FA3649" w:rsidRDefault="0055431A"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1A" w:rsidRPr="00FA3649" w:rsidRDefault="0055431A"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1A" w:rsidRPr="00FA3649" w:rsidRDefault="0055431A"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1A" w:rsidRDefault="0055431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1A" w:rsidRPr="008F1A3F" w:rsidRDefault="0055431A" w:rsidP="00CA5340">
    <w:pPr>
      <w:pStyle w:val="Footer"/>
      <w:ind w:firstLine="0"/>
      <w:rPr>
        <w:rStyle w:val="PageNumbe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1A" w:rsidRDefault="00554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860" w:rsidRDefault="00B31860">
      <w:pPr>
        <w:spacing w:line="240" w:lineRule="auto"/>
        <w:ind w:firstLine="0"/>
      </w:pPr>
      <w:r>
        <w:separator/>
      </w:r>
    </w:p>
  </w:footnote>
  <w:footnote w:type="continuationSeparator" w:id="0">
    <w:p w:rsidR="00B31860" w:rsidRDefault="00B31860">
      <w:pPr>
        <w:spacing w:line="240" w:lineRule="auto"/>
        <w:ind w:firstLine="0"/>
      </w:pPr>
      <w:r>
        <w:separator/>
      </w:r>
    </w:p>
    <w:p w:rsidR="00B31860" w:rsidRDefault="00B31860">
      <w:pPr>
        <w:spacing w:line="240" w:lineRule="auto"/>
        <w:ind w:firstLine="0"/>
        <w:rPr>
          <w:i/>
        </w:rPr>
      </w:pPr>
      <w:r>
        <w:rPr>
          <w:i/>
        </w:rPr>
        <w:t>(</w:t>
      </w:r>
      <w:proofErr w:type="gramStart"/>
      <w:r>
        <w:rPr>
          <w:i/>
        </w:rPr>
        <w:t>continued</w:t>
      </w:r>
      <w:proofErr w:type="gramEnd"/>
      <w:r>
        <w:rPr>
          <w:i/>
        </w:rPr>
        <w:t>)</w:t>
      </w:r>
    </w:p>
  </w:footnote>
  <w:footnote w:type="continuationNotice" w:id="1">
    <w:p w:rsidR="00B31860" w:rsidRDefault="00B31860">
      <w:pPr>
        <w:pStyle w:val="Footer"/>
      </w:pPr>
    </w:p>
  </w:footnote>
  <w:footnote w:id="2">
    <w:p w:rsidR="0055431A" w:rsidRDefault="0055431A" w:rsidP="0085223E">
      <w:pPr>
        <w:pStyle w:val="FootnoteText"/>
      </w:pPr>
      <w:r>
        <w:rPr>
          <w:rStyle w:val="FootnoteReference"/>
        </w:rPr>
        <w:footnoteRef/>
      </w:r>
      <w:r>
        <w:t xml:space="preserve"> </w:t>
      </w:r>
      <w:r w:rsidRPr="0073521C">
        <w:t xml:space="preserve">U.S. Department of Education, National Center for Education Statistics, Common Core of Data (CCD), </w:t>
      </w:r>
      <w:r>
        <w:t>“</w:t>
      </w:r>
      <w:r w:rsidRPr="0073521C">
        <w:t xml:space="preserve">State </w:t>
      </w:r>
      <w:proofErr w:type="spellStart"/>
      <w:r w:rsidRPr="0073521C">
        <w:t>Nonfiscal</w:t>
      </w:r>
      <w:proofErr w:type="spellEnd"/>
      <w:r w:rsidRPr="0073521C">
        <w:t xml:space="preserve"> Survey of Public Elementary/Secondary Education,</w:t>
      </w:r>
      <w:r>
        <w:t>”</w:t>
      </w:r>
      <w:r w:rsidRPr="0073521C">
        <w:t xml:space="preserve"> 2008–</w:t>
      </w:r>
      <w:r>
        <w:t>20</w:t>
      </w:r>
      <w:r w:rsidRPr="0073521C">
        <w:t>09, Version 1a.</w:t>
      </w:r>
      <w:r>
        <w:t xml:space="preserve"> No information was available for the territories of American Samoa or Guam.</w:t>
      </w:r>
    </w:p>
  </w:footnote>
  <w:footnote w:id="3">
    <w:p w:rsidR="0055431A" w:rsidRPr="00FF6270" w:rsidRDefault="0055431A" w:rsidP="00FF6270">
      <w:pPr>
        <w:pStyle w:val="FootnoteText"/>
      </w:pPr>
      <w:r>
        <w:rPr>
          <w:rStyle w:val="FootnoteReference"/>
        </w:rPr>
        <w:footnoteRef/>
      </w:r>
      <w:r>
        <w:t xml:space="preserve"> </w:t>
      </w:r>
      <w:r w:rsidR="002B0B51">
        <w:t>Available</w:t>
      </w:r>
      <w:r>
        <w:t xml:space="preserve"> national data on the number of students with section 504 plans available from the US Department of Education Office of Civil Rights do not separately identify students by grade or age range that would support an estimate of students in this group who are between 13 and 21 years of age. The estimate of 2 percent is based on the findings of a survey reported in </w:t>
      </w:r>
      <w:r w:rsidRPr="00FF6270">
        <w:t xml:space="preserve">Rachel A. Holler and Perry A. </w:t>
      </w:r>
      <w:proofErr w:type="spellStart"/>
      <w:r w:rsidRPr="00FF6270">
        <w:t>Zirkel</w:t>
      </w:r>
      <w:proofErr w:type="spellEnd"/>
      <w:r w:rsidRPr="00FF6270">
        <w:t>, “</w:t>
      </w:r>
      <w:r w:rsidRPr="00FF6270">
        <w:rPr>
          <w:bCs/>
        </w:rPr>
        <w:t>Section 504 and Public Schools: A National Survey Concerning "Section 504-Only" Students”, National Association of Secondary School Principals Bulletin, Volume 92, number 19, 2008</w:t>
      </w:r>
      <w:r>
        <w:rPr>
          <w:bCs/>
        </w:rPr>
        <w:t xml:space="preserve">.  While this survey had a relatively low response rate, it is the only information we have identified.  The </w:t>
      </w:r>
      <w:proofErr w:type="gramStart"/>
      <w:r>
        <w:rPr>
          <w:bCs/>
        </w:rPr>
        <w:t>authors</w:t>
      </w:r>
      <w:proofErr w:type="gramEnd"/>
      <w:r>
        <w:rPr>
          <w:bCs/>
        </w:rPr>
        <w:t xml:space="preserve"> report that reported that 1.7 percent of middle school students and 1.6 percent of high school students had section 504 plans only. </w:t>
      </w:r>
    </w:p>
    <w:p w:rsidR="0055431A" w:rsidRPr="00FF6270" w:rsidRDefault="0055431A" w:rsidP="00FF6270">
      <w:pPr>
        <w:pStyle w:val="FootnoteText"/>
      </w:pPr>
    </w:p>
    <w:p w:rsidR="0055431A" w:rsidRDefault="0055431A">
      <w:pPr>
        <w:pStyle w:val="FootnoteText"/>
      </w:pPr>
    </w:p>
  </w:footnote>
  <w:footnote w:id="4">
    <w:p w:rsidR="0055431A" w:rsidRDefault="0055431A" w:rsidP="0085223E">
      <w:pPr>
        <w:pStyle w:val="FootnoteText"/>
      </w:pPr>
      <w:r>
        <w:rPr>
          <w:rStyle w:val="FootnoteReference"/>
        </w:rPr>
        <w:footnoteRef/>
      </w:r>
      <w:r>
        <w:t xml:space="preserve"> </w:t>
      </w:r>
      <w:proofErr w:type="gramStart"/>
      <w:r w:rsidRPr="00FE043C">
        <w:t>Folsom, Ralph E., Francis J. Potter, and Steven R. Williams.</w:t>
      </w:r>
      <w:proofErr w:type="gramEnd"/>
      <w:r w:rsidRPr="00FE043C">
        <w:t xml:space="preserve"> </w:t>
      </w:r>
      <w:proofErr w:type="gramStart"/>
      <w:r w:rsidRPr="00FE043C">
        <w:t>“Notes on a Composite Size Measure for Self-weighting Samples in Multiple Domains.”</w:t>
      </w:r>
      <w:proofErr w:type="gramEnd"/>
      <w:r w:rsidRPr="00FE043C">
        <w:t xml:space="preserve"> </w:t>
      </w:r>
      <w:proofErr w:type="gramStart"/>
      <w:r w:rsidRPr="00FE043C">
        <w:t xml:space="preserve">In </w:t>
      </w:r>
      <w:r w:rsidRPr="00FE043C">
        <w:rPr>
          <w:i/>
        </w:rPr>
        <w:t>Proceedings of the American Statistical Association, Section on Survey Research Methods.</w:t>
      </w:r>
      <w:proofErr w:type="gramEnd"/>
      <w:r w:rsidRPr="00FE043C">
        <w:t xml:space="preserve"> Alexandria, VA: American Statistical Association, 1987, pp. 792</w:t>
      </w:r>
      <w:r>
        <w:t>–</w:t>
      </w:r>
      <w:r w:rsidRPr="00FE043C">
        <w:t>796</w:t>
      </w:r>
      <w:r>
        <w:t>.</w:t>
      </w:r>
    </w:p>
  </w:footnote>
  <w:footnote w:id="5">
    <w:p w:rsidR="0055431A" w:rsidRDefault="0055431A" w:rsidP="0085223E">
      <w:pPr>
        <w:pStyle w:val="FootnoteText"/>
      </w:pPr>
      <w:r>
        <w:rPr>
          <w:rStyle w:val="FootnoteReference"/>
        </w:rPr>
        <w:footnoteRef/>
      </w:r>
      <w:r>
        <w:t xml:space="preserve"> </w:t>
      </w:r>
      <w:r w:rsidRPr="00B31E9B">
        <w:t xml:space="preserve">During the initial district recruiting phase, </w:t>
      </w:r>
      <w:r>
        <w:t>the study team</w:t>
      </w:r>
      <w:r w:rsidRPr="00B31E9B">
        <w:t xml:space="preserve"> will be able </w:t>
      </w:r>
      <w:r>
        <w:t xml:space="preserve">to </w:t>
      </w:r>
      <w:r w:rsidRPr="00B31E9B">
        <w:t xml:space="preserve">determine more clearly the number of such districts.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1A" w:rsidRPr="00D57EE7" w:rsidRDefault="0055431A" w:rsidP="00D57EE7">
    <w:pPr>
      <w:pStyle w:val="Header"/>
      <w:rPr>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1A" w:rsidRPr="00FA3649" w:rsidRDefault="0055431A" w:rsidP="006C5B99">
    <w:pPr>
      <w:pStyle w:val="Header"/>
      <w:rPr>
        <w:sz w:val="20"/>
        <w:szCs w:val="20"/>
      </w:rPr>
    </w:pPr>
    <w:r w:rsidRPr="00FA3649">
      <w:rPr>
        <w:sz w:val="20"/>
        <w:szCs w:val="20"/>
      </w:rPr>
      <w:tab/>
    </w:r>
    <w:r w:rsidRPr="00FA3649">
      <w:rPr>
        <w:sz w:val="20"/>
        <w:szCs w:val="20"/>
      </w:rPr>
      <w:tab/>
    </w:r>
    <w:proofErr w:type="spellStart"/>
    <w:r w:rsidRPr="00FA3649">
      <w:rPr>
        <w:sz w:val="20"/>
        <w:szCs w:val="20"/>
      </w:rPr>
      <w:t>Mathematica</w:t>
    </w:r>
    <w:proofErr w:type="spellEnd"/>
    <w:r w:rsidRPr="00FA3649">
      <w:rPr>
        <w:sz w:val="20"/>
        <w:szCs w:val="20"/>
      </w:rPr>
      <w:t xml:space="preserve">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1A" w:rsidRPr="00FA3649" w:rsidRDefault="0055431A" w:rsidP="006C5B99">
    <w:pPr>
      <w:pStyle w:val="Header"/>
      <w:rPr>
        <w:sz w:val="20"/>
        <w:szCs w:val="20"/>
      </w:rPr>
    </w:pPr>
    <w:r w:rsidRPr="00FA3649">
      <w:rPr>
        <w:sz w:val="20"/>
        <w:szCs w:val="20"/>
      </w:rPr>
      <w:tab/>
    </w:r>
    <w:r w:rsidRPr="00FA3649">
      <w:rPr>
        <w:sz w:val="20"/>
        <w:szCs w:val="20"/>
      </w:rPr>
      <w:tab/>
    </w:r>
    <w:proofErr w:type="spellStart"/>
    <w:r w:rsidRPr="00FA3649">
      <w:rPr>
        <w:sz w:val="20"/>
        <w:szCs w:val="20"/>
      </w:rPr>
      <w:t>Mathematica</w:t>
    </w:r>
    <w:proofErr w:type="spellEnd"/>
    <w:r w:rsidRPr="00FA3649">
      <w:rPr>
        <w:sz w:val="20"/>
        <w:szCs w:val="20"/>
      </w:rPr>
      <w:t xml:space="preserve"> Policy Research</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1A" w:rsidRDefault="0055431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1A" w:rsidRDefault="0055431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1A" w:rsidRDefault="005543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594"/>
    <w:multiLevelType w:val="hybridMultilevel"/>
    <w:tmpl w:val="9E7A3DA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5CA76D8"/>
    <w:multiLevelType w:val="hybridMultilevel"/>
    <w:tmpl w:val="A0CAF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2"/>
  </w:num>
  <w:num w:numId="5">
    <w:abstractNumId w:val="1"/>
  </w:num>
  <w:num w:numId="6">
    <w:abstractNumId w:val="17"/>
  </w:num>
  <w:num w:numId="7">
    <w:abstractNumId w:val="15"/>
  </w:num>
  <w:num w:numId="8">
    <w:abstractNumId w:val="5"/>
  </w:num>
  <w:num w:numId="9">
    <w:abstractNumId w:val="6"/>
  </w:num>
  <w:num w:numId="10">
    <w:abstractNumId w:val="8"/>
  </w:num>
  <w:num w:numId="11">
    <w:abstractNumId w:val="3"/>
  </w:num>
  <w:num w:numId="12">
    <w:abstractNumId w:val="13"/>
  </w:num>
  <w:num w:numId="13">
    <w:abstractNumId w:val="4"/>
  </w:num>
  <w:num w:numId="14">
    <w:abstractNumId w:val="11"/>
  </w:num>
  <w:num w:numId="15">
    <w:abstractNumId w:val="14"/>
  </w:num>
  <w:num w:numId="16">
    <w:abstractNumId w:val="7"/>
  </w:num>
  <w:num w:numId="17">
    <w:abstractNumId w:val="9"/>
  </w:num>
  <w:num w:numId="18">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oNotTrackMove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56033"/>
  </w:hdrShapeDefaults>
  <w:footnotePr>
    <w:footnote w:id="-1"/>
    <w:footnote w:id="0"/>
    <w:footnote w:id="1"/>
  </w:footnotePr>
  <w:endnotePr>
    <w:numFmt w:val="decimal"/>
    <w:endnote w:id="-1"/>
    <w:endnote w:id="0"/>
    <w:endnote w:id="1"/>
  </w:endnotePr>
  <w:compat>
    <w:doNotUseHTMLParagraphAutoSpacing/>
  </w:compat>
  <w:rsids>
    <w:rsidRoot w:val="00CF3843"/>
    <w:rsid w:val="000015FB"/>
    <w:rsid w:val="00007CA0"/>
    <w:rsid w:val="00012372"/>
    <w:rsid w:val="00012863"/>
    <w:rsid w:val="00017DD1"/>
    <w:rsid w:val="00021A62"/>
    <w:rsid w:val="00026D2F"/>
    <w:rsid w:val="000300AF"/>
    <w:rsid w:val="00037098"/>
    <w:rsid w:val="0004070F"/>
    <w:rsid w:val="00051D36"/>
    <w:rsid w:val="00052499"/>
    <w:rsid w:val="00053968"/>
    <w:rsid w:val="00063123"/>
    <w:rsid w:val="00063FEF"/>
    <w:rsid w:val="00066AB9"/>
    <w:rsid w:val="00074159"/>
    <w:rsid w:val="000769A1"/>
    <w:rsid w:val="00076CF0"/>
    <w:rsid w:val="00080DFA"/>
    <w:rsid w:val="000812AE"/>
    <w:rsid w:val="00081D47"/>
    <w:rsid w:val="00090529"/>
    <w:rsid w:val="000A4439"/>
    <w:rsid w:val="000A544F"/>
    <w:rsid w:val="000B2BD0"/>
    <w:rsid w:val="000B3A77"/>
    <w:rsid w:val="000B7E70"/>
    <w:rsid w:val="000C0118"/>
    <w:rsid w:val="000C4D4C"/>
    <w:rsid w:val="000C70DC"/>
    <w:rsid w:val="000C72F8"/>
    <w:rsid w:val="000E1D9E"/>
    <w:rsid w:val="000E6D11"/>
    <w:rsid w:val="000F79B9"/>
    <w:rsid w:val="00105D23"/>
    <w:rsid w:val="001073C9"/>
    <w:rsid w:val="00130424"/>
    <w:rsid w:val="0013282C"/>
    <w:rsid w:val="00132E2F"/>
    <w:rsid w:val="00135AF5"/>
    <w:rsid w:val="00141646"/>
    <w:rsid w:val="00141705"/>
    <w:rsid w:val="00141A0B"/>
    <w:rsid w:val="001425AF"/>
    <w:rsid w:val="00142AE3"/>
    <w:rsid w:val="00144DA7"/>
    <w:rsid w:val="00153A20"/>
    <w:rsid w:val="00160306"/>
    <w:rsid w:val="00160E09"/>
    <w:rsid w:val="00162191"/>
    <w:rsid w:val="00181F53"/>
    <w:rsid w:val="0018564C"/>
    <w:rsid w:val="001933B1"/>
    <w:rsid w:val="001A07D4"/>
    <w:rsid w:val="001B360E"/>
    <w:rsid w:val="001C0EF2"/>
    <w:rsid w:val="001C6D08"/>
    <w:rsid w:val="001D247C"/>
    <w:rsid w:val="001D3C41"/>
    <w:rsid w:val="001D634E"/>
    <w:rsid w:val="001E0AB2"/>
    <w:rsid w:val="001E466A"/>
    <w:rsid w:val="001F12BF"/>
    <w:rsid w:val="001F5410"/>
    <w:rsid w:val="00200B10"/>
    <w:rsid w:val="002029FE"/>
    <w:rsid w:val="002053F3"/>
    <w:rsid w:val="00211C4C"/>
    <w:rsid w:val="0022402B"/>
    <w:rsid w:val="0023409D"/>
    <w:rsid w:val="00236122"/>
    <w:rsid w:val="00243909"/>
    <w:rsid w:val="00243DEE"/>
    <w:rsid w:val="0025182E"/>
    <w:rsid w:val="002613D2"/>
    <w:rsid w:val="00264716"/>
    <w:rsid w:val="00264E74"/>
    <w:rsid w:val="00267F6C"/>
    <w:rsid w:val="00271B2B"/>
    <w:rsid w:val="00280AB2"/>
    <w:rsid w:val="00280F26"/>
    <w:rsid w:val="00282FD0"/>
    <w:rsid w:val="00284557"/>
    <w:rsid w:val="002849EE"/>
    <w:rsid w:val="00287FD7"/>
    <w:rsid w:val="002921C5"/>
    <w:rsid w:val="002942FB"/>
    <w:rsid w:val="002A1ADA"/>
    <w:rsid w:val="002A28C9"/>
    <w:rsid w:val="002A7359"/>
    <w:rsid w:val="002B0B51"/>
    <w:rsid w:val="002B1593"/>
    <w:rsid w:val="002B68A5"/>
    <w:rsid w:val="002C413C"/>
    <w:rsid w:val="002C7011"/>
    <w:rsid w:val="002C734A"/>
    <w:rsid w:val="002D0A34"/>
    <w:rsid w:val="002D279D"/>
    <w:rsid w:val="002D629C"/>
    <w:rsid w:val="002E272F"/>
    <w:rsid w:val="002F1E71"/>
    <w:rsid w:val="002F440B"/>
    <w:rsid w:val="002F71D4"/>
    <w:rsid w:val="002F7A09"/>
    <w:rsid w:val="002F7C83"/>
    <w:rsid w:val="00300CE3"/>
    <w:rsid w:val="00303CF8"/>
    <w:rsid w:val="00313671"/>
    <w:rsid w:val="00313E69"/>
    <w:rsid w:val="003142E6"/>
    <w:rsid w:val="00317EDA"/>
    <w:rsid w:val="00320EB3"/>
    <w:rsid w:val="00336A60"/>
    <w:rsid w:val="00342CD8"/>
    <w:rsid w:val="00343A0C"/>
    <w:rsid w:val="00350399"/>
    <w:rsid w:val="00350E63"/>
    <w:rsid w:val="0035111C"/>
    <w:rsid w:val="00353544"/>
    <w:rsid w:val="00353E51"/>
    <w:rsid w:val="00354942"/>
    <w:rsid w:val="00354C34"/>
    <w:rsid w:val="003607F3"/>
    <w:rsid w:val="00362133"/>
    <w:rsid w:val="00372AB1"/>
    <w:rsid w:val="00374549"/>
    <w:rsid w:val="00381A96"/>
    <w:rsid w:val="00381B5C"/>
    <w:rsid w:val="00386508"/>
    <w:rsid w:val="00386BD4"/>
    <w:rsid w:val="00394752"/>
    <w:rsid w:val="003A1506"/>
    <w:rsid w:val="003A1774"/>
    <w:rsid w:val="003A17E0"/>
    <w:rsid w:val="003A26BB"/>
    <w:rsid w:val="003A5929"/>
    <w:rsid w:val="003B1873"/>
    <w:rsid w:val="003B1FFC"/>
    <w:rsid w:val="003B303A"/>
    <w:rsid w:val="003C0A5F"/>
    <w:rsid w:val="003C57EB"/>
    <w:rsid w:val="003D77B2"/>
    <w:rsid w:val="003E0A97"/>
    <w:rsid w:val="003E0D48"/>
    <w:rsid w:val="003E4DE6"/>
    <w:rsid w:val="003E7329"/>
    <w:rsid w:val="00401627"/>
    <w:rsid w:val="0040780A"/>
    <w:rsid w:val="00410D8F"/>
    <w:rsid w:val="00410F60"/>
    <w:rsid w:val="004118E0"/>
    <w:rsid w:val="00412D08"/>
    <w:rsid w:val="004178CB"/>
    <w:rsid w:val="00417A09"/>
    <w:rsid w:val="00417B7A"/>
    <w:rsid w:val="0042391D"/>
    <w:rsid w:val="0042461E"/>
    <w:rsid w:val="004326C5"/>
    <w:rsid w:val="0044551C"/>
    <w:rsid w:val="00446472"/>
    <w:rsid w:val="00446CE2"/>
    <w:rsid w:val="00447C62"/>
    <w:rsid w:val="00455C7B"/>
    <w:rsid w:val="004571F9"/>
    <w:rsid w:val="00457AB7"/>
    <w:rsid w:val="00466A67"/>
    <w:rsid w:val="00474405"/>
    <w:rsid w:val="0047478B"/>
    <w:rsid w:val="00475483"/>
    <w:rsid w:val="00476CB1"/>
    <w:rsid w:val="00490847"/>
    <w:rsid w:val="0049220F"/>
    <w:rsid w:val="00492B73"/>
    <w:rsid w:val="004A0392"/>
    <w:rsid w:val="004A071B"/>
    <w:rsid w:val="004A46CC"/>
    <w:rsid w:val="004B0D54"/>
    <w:rsid w:val="004B62FF"/>
    <w:rsid w:val="004D62CD"/>
    <w:rsid w:val="004E14BF"/>
    <w:rsid w:val="004E2439"/>
    <w:rsid w:val="004F0B74"/>
    <w:rsid w:val="004F493C"/>
    <w:rsid w:val="0051310F"/>
    <w:rsid w:val="00514703"/>
    <w:rsid w:val="00516566"/>
    <w:rsid w:val="00520580"/>
    <w:rsid w:val="00525772"/>
    <w:rsid w:val="00531424"/>
    <w:rsid w:val="00535E7F"/>
    <w:rsid w:val="00537F22"/>
    <w:rsid w:val="00542523"/>
    <w:rsid w:val="005456C3"/>
    <w:rsid w:val="0055431A"/>
    <w:rsid w:val="00557FE1"/>
    <w:rsid w:val="005604DC"/>
    <w:rsid w:val="005637D0"/>
    <w:rsid w:val="0056487B"/>
    <w:rsid w:val="00571427"/>
    <w:rsid w:val="00581EE2"/>
    <w:rsid w:val="00582CD2"/>
    <w:rsid w:val="00583141"/>
    <w:rsid w:val="00584664"/>
    <w:rsid w:val="0058753C"/>
    <w:rsid w:val="00591AE6"/>
    <w:rsid w:val="005932E8"/>
    <w:rsid w:val="00597C9C"/>
    <w:rsid w:val="00597FEB"/>
    <w:rsid w:val="005A06E4"/>
    <w:rsid w:val="005A19C0"/>
    <w:rsid w:val="005A3631"/>
    <w:rsid w:val="005A3D02"/>
    <w:rsid w:val="005A4E2C"/>
    <w:rsid w:val="005A52EB"/>
    <w:rsid w:val="005A66CB"/>
    <w:rsid w:val="005B0472"/>
    <w:rsid w:val="005C228F"/>
    <w:rsid w:val="005C272F"/>
    <w:rsid w:val="005D01A8"/>
    <w:rsid w:val="005E0029"/>
    <w:rsid w:val="005E1375"/>
    <w:rsid w:val="005E7695"/>
    <w:rsid w:val="005F0FED"/>
    <w:rsid w:val="005F162C"/>
    <w:rsid w:val="005F430F"/>
    <w:rsid w:val="005F53E1"/>
    <w:rsid w:val="005F567C"/>
    <w:rsid w:val="005F580A"/>
    <w:rsid w:val="006150A8"/>
    <w:rsid w:val="0062522C"/>
    <w:rsid w:val="00626C58"/>
    <w:rsid w:val="00635281"/>
    <w:rsid w:val="00635EC3"/>
    <w:rsid w:val="00636860"/>
    <w:rsid w:val="00637A61"/>
    <w:rsid w:val="0064008B"/>
    <w:rsid w:val="00641AC0"/>
    <w:rsid w:val="00645FA6"/>
    <w:rsid w:val="00655127"/>
    <w:rsid w:val="00656171"/>
    <w:rsid w:val="00666769"/>
    <w:rsid w:val="00670448"/>
    <w:rsid w:val="006714AC"/>
    <w:rsid w:val="00671E2B"/>
    <w:rsid w:val="00672F90"/>
    <w:rsid w:val="0067684B"/>
    <w:rsid w:val="00677BF6"/>
    <w:rsid w:val="00682BCD"/>
    <w:rsid w:val="00690B57"/>
    <w:rsid w:val="006959AF"/>
    <w:rsid w:val="006A3DE8"/>
    <w:rsid w:val="006A7614"/>
    <w:rsid w:val="006B0652"/>
    <w:rsid w:val="006B2B5D"/>
    <w:rsid w:val="006B43E8"/>
    <w:rsid w:val="006B5B72"/>
    <w:rsid w:val="006C5B99"/>
    <w:rsid w:val="006C5F78"/>
    <w:rsid w:val="006D413F"/>
    <w:rsid w:val="006D44FA"/>
    <w:rsid w:val="006D67B8"/>
    <w:rsid w:val="006D6B4E"/>
    <w:rsid w:val="006E1DDB"/>
    <w:rsid w:val="006E2AEF"/>
    <w:rsid w:val="006E3DE1"/>
    <w:rsid w:val="006F053F"/>
    <w:rsid w:val="006F09D5"/>
    <w:rsid w:val="006F5DE1"/>
    <w:rsid w:val="00702D34"/>
    <w:rsid w:val="00705D22"/>
    <w:rsid w:val="00707664"/>
    <w:rsid w:val="00711CA6"/>
    <w:rsid w:val="00712A21"/>
    <w:rsid w:val="00717B10"/>
    <w:rsid w:val="00720A3E"/>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8127B"/>
    <w:rsid w:val="00784BA2"/>
    <w:rsid w:val="00786CBD"/>
    <w:rsid w:val="00792258"/>
    <w:rsid w:val="007959C1"/>
    <w:rsid w:val="00796A5D"/>
    <w:rsid w:val="007A5803"/>
    <w:rsid w:val="007B2015"/>
    <w:rsid w:val="007B5799"/>
    <w:rsid w:val="007B6D9E"/>
    <w:rsid w:val="007B705F"/>
    <w:rsid w:val="007C0CD8"/>
    <w:rsid w:val="007C1E2F"/>
    <w:rsid w:val="007C21D9"/>
    <w:rsid w:val="007C3668"/>
    <w:rsid w:val="007C4167"/>
    <w:rsid w:val="007C5524"/>
    <w:rsid w:val="007C57CD"/>
    <w:rsid w:val="007D4181"/>
    <w:rsid w:val="007D4918"/>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23DAB"/>
    <w:rsid w:val="00833128"/>
    <w:rsid w:val="00837DD0"/>
    <w:rsid w:val="00840E7C"/>
    <w:rsid w:val="008421A1"/>
    <w:rsid w:val="008432EE"/>
    <w:rsid w:val="0084736D"/>
    <w:rsid w:val="00850CF2"/>
    <w:rsid w:val="00851DFB"/>
    <w:rsid w:val="0085223E"/>
    <w:rsid w:val="0086314C"/>
    <w:rsid w:val="0086519F"/>
    <w:rsid w:val="00865D38"/>
    <w:rsid w:val="008776CB"/>
    <w:rsid w:val="008840EE"/>
    <w:rsid w:val="00893B1D"/>
    <w:rsid w:val="00894485"/>
    <w:rsid w:val="00895A2A"/>
    <w:rsid w:val="008A30C7"/>
    <w:rsid w:val="008A3B53"/>
    <w:rsid w:val="008B0141"/>
    <w:rsid w:val="008B032B"/>
    <w:rsid w:val="008B1F5A"/>
    <w:rsid w:val="008B43D6"/>
    <w:rsid w:val="008C0EA3"/>
    <w:rsid w:val="008C1E89"/>
    <w:rsid w:val="008C4666"/>
    <w:rsid w:val="008D0DC0"/>
    <w:rsid w:val="008D129A"/>
    <w:rsid w:val="008D4066"/>
    <w:rsid w:val="008D5B53"/>
    <w:rsid w:val="008E12AE"/>
    <w:rsid w:val="008E27F1"/>
    <w:rsid w:val="008E602B"/>
    <w:rsid w:val="008F312B"/>
    <w:rsid w:val="008F5A8F"/>
    <w:rsid w:val="008F5F83"/>
    <w:rsid w:val="009009D0"/>
    <w:rsid w:val="00902B68"/>
    <w:rsid w:val="00903CAA"/>
    <w:rsid w:val="00911A90"/>
    <w:rsid w:val="00912344"/>
    <w:rsid w:val="009156D2"/>
    <w:rsid w:val="0092134D"/>
    <w:rsid w:val="00931BDB"/>
    <w:rsid w:val="00936037"/>
    <w:rsid w:val="00937841"/>
    <w:rsid w:val="00944D67"/>
    <w:rsid w:val="009527CF"/>
    <w:rsid w:val="00952FE4"/>
    <w:rsid w:val="00955CD5"/>
    <w:rsid w:val="00956F27"/>
    <w:rsid w:val="0095754B"/>
    <w:rsid w:val="009603FE"/>
    <w:rsid w:val="00960B1B"/>
    <w:rsid w:val="0096291A"/>
    <w:rsid w:val="00972701"/>
    <w:rsid w:val="00972702"/>
    <w:rsid w:val="00975EF5"/>
    <w:rsid w:val="00980DB0"/>
    <w:rsid w:val="00994EDD"/>
    <w:rsid w:val="00997375"/>
    <w:rsid w:val="009B20BD"/>
    <w:rsid w:val="009B61A1"/>
    <w:rsid w:val="009C0EAF"/>
    <w:rsid w:val="009C1F87"/>
    <w:rsid w:val="009C4947"/>
    <w:rsid w:val="009C5E37"/>
    <w:rsid w:val="009C67C5"/>
    <w:rsid w:val="009E7EE8"/>
    <w:rsid w:val="009F10E0"/>
    <w:rsid w:val="009F3745"/>
    <w:rsid w:val="00A01202"/>
    <w:rsid w:val="00A10ACD"/>
    <w:rsid w:val="00A129F1"/>
    <w:rsid w:val="00A26CF0"/>
    <w:rsid w:val="00A31BC3"/>
    <w:rsid w:val="00A3304F"/>
    <w:rsid w:val="00A36752"/>
    <w:rsid w:val="00A37082"/>
    <w:rsid w:val="00A37976"/>
    <w:rsid w:val="00A43B1C"/>
    <w:rsid w:val="00A4457D"/>
    <w:rsid w:val="00A467CE"/>
    <w:rsid w:val="00A5366E"/>
    <w:rsid w:val="00A553D5"/>
    <w:rsid w:val="00A56BB5"/>
    <w:rsid w:val="00A56C6B"/>
    <w:rsid w:val="00A60806"/>
    <w:rsid w:val="00A60FFF"/>
    <w:rsid w:val="00A61A2C"/>
    <w:rsid w:val="00A6306A"/>
    <w:rsid w:val="00A63890"/>
    <w:rsid w:val="00A6467C"/>
    <w:rsid w:val="00A67631"/>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C792A"/>
    <w:rsid w:val="00AD40BC"/>
    <w:rsid w:val="00AD4163"/>
    <w:rsid w:val="00AE3A26"/>
    <w:rsid w:val="00AE79D1"/>
    <w:rsid w:val="00AF1B2F"/>
    <w:rsid w:val="00B00519"/>
    <w:rsid w:val="00B13000"/>
    <w:rsid w:val="00B21550"/>
    <w:rsid w:val="00B24137"/>
    <w:rsid w:val="00B31860"/>
    <w:rsid w:val="00B31FEF"/>
    <w:rsid w:val="00B325E1"/>
    <w:rsid w:val="00B3588C"/>
    <w:rsid w:val="00B43736"/>
    <w:rsid w:val="00B528FB"/>
    <w:rsid w:val="00B559AA"/>
    <w:rsid w:val="00B564BC"/>
    <w:rsid w:val="00B63270"/>
    <w:rsid w:val="00B64400"/>
    <w:rsid w:val="00B65228"/>
    <w:rsid w:val="00B664B4"/>
    <w:rsid w:val="00B70CD9"/>
    <w:rsid w:val="00B714B7"/>
    <w:rsid w:val="00B82E71"/>
    <w:rsid w:val="00B83493"/>
    <w:rsid w:val="00B92360"/>
    <w:rsid w:val="00B940DD"/>
    <w:rsid w:val="00B95847"/>
    <w:rsid w:val="00B966ED"/>
    <w:rsid w:val="00BA268A"/>
    <w:rsid w:val="00BA3D8F"/>
    <w:rsid w:val="00BA65A5"/>
    <w:rsid w:val="00BB6A0B"/>
    <w:rsid w:val="00BD1A05"/>
    <w:rsid w:val="00BD24FC"/>
    <w:rsid w:val="00BE335A"/>
    <w:rsid w:val="00BF187B"/>
    <w:rsid w:val="00C02961"/>
    <w:rsid w:val="00C02B5E"/>
    <w:rsid w:val="00C057EF"/>
    <w:rsid w:val="00C06F45"/>
    <w:rsid w:val="00C14296"/>
    <w:rsid w:val="00C16B6E"/>
    <w:rsid w:val="00C2333D"/>
    <w:rsid w:val="00C2452C"/>
    <w:rsid w:val="00C2695D"/>
    <w:rsid w:val="00C30542"/>
    <w:rsid w:val="00C32246"/>
    <w:rsid w:val="00C4260B"/>
    <w:rsid w:val="00C429FD"/>
    <w:rsid w:val="00C43792"/>
    <w:rsid w:val="00C450AE"/>
    <w:rsid w:val="00C53387"/>
    <w:rsid w:val="00C546B7"/>
    <w:rsid w:val="00C56ED2"/>
    <w:rsid w:val="00C6623A"/>
    <w:rsid w:val="00C673E2"/>
    <w:rsid w:val="00C70B6C"/>
    <w:rsid w:val="00C74089"/>
    <w:rsid w:val="00C758F5"/>
    <w:rsid w:val="00C90E85"/>
    <w:rsid w:val="00C92E5D"/>
    <w:rsid w:val="00C93509"/>
    <w:rsid w:val="00C96D31"/>
    <w:rsid w:val="00C9777C"/>
    <w:rsid w:val="00CA0455"/>
    <w:rsid w:val="00CA4A39"/>
    <w:rsid w:val="00CA4C69"/>
    <w:rsid w:val="00CA5340"/>
    <w:rsid w:val="00CA58CB"/>
    <w:rsid w:val="00CB137C"/>
    <w:rsid w:val="00CB4E54"/>
    <w:rsid w:val="00CB6AA7"/>
    <w:rsid w:val="00CC215D"/>
    <w:rsid w:val="00CC3F2F"/>
    <w:rsid w:val="00CC602E"/>
    <w:rsid w:val="00CC62E0"/>
    <w:rsid w:val="00CC6526"/>
    <w:rsid w:val="00CD0EB5"/>
    <w:rsid w:val="00CD6D27"/>
    <w:rsid w:val="00CD6F65"/>
    <w:rsid w:val="00CE16E0"/>
    <w:rsid w:val="00CF3843"/>
    <w:rsid w:val="00CF5581"/>
    <w:rsid w:val="00D07518"/>
    <w:rsid w:val="00D11C16"/>
    <w:rsid w:val="00D1214E"/>
    <w:rsid w:val="00D14FDB"/>
    <w:rsid w:val="00D150CA"/>
    <w:rsid w:val="00D15D3F"/>
    <w:rsid w:val="00D17482"/>
    <w:rsid w:val="00D20BD0"/>
    <w:rsid w:val="00D2311D"/>
    <w:rsid w:val="00D24EE8"/>
    <w:rsid w:val="00D27605"/>
    <w:rsid w:val="00D304FC"/>
    <w:rsid w:val="00D3638A"/>
    <w:rsid w:val="00D36521"/>
    <w:rsid w:val="00D42C39"/>
    <w:rsid w:val="00D451FE"/>
    <w:rsid w:val="00D57EE7"/>
    <w:rsid w:val="00D62AA3"/>
    <w:rsid w:val="00D62DF9"/>
    <w:rsid w:val="00D6497C"/>
    <w:rsid w:val="00D67274"/>
    <w:rsid w:val="00D77566"/>
    <w:rsid w:val="00D90DB4"/>
    <w:rsid w:val="00D94283"/>
    <w:rsid w:val="00DA1FDD"/>
    <w:rsid w:val="00DA371A"/>
    <w:rsid w:val="00DA39C5"/>
    <w:rsid w:val="00DA621C"/>
    <w:rsid w:val="00DA6EDF"/>
    <w:rsid w:val="00DB39E0"/>
    <w:rsid w:val="00DB4896"/>
    <w:rsid w:val="00DB5A55"/>
    <w:rsid w:val="00DB6227"/>
    <w:rsid w:val="00DB625D"/>
    <w:rsid w:val="00DB783D"/>
    <w:rsid w:val="00DC05C1"/>
    <w:rsid w:val="00DC7FBD"/>
    <w:rsid w:val="00DD2F58"/>
    <w:rsid w:val="00DE1DED"/>
    <w:rsid w:val="00DE264C"/>
    <w:rsid w:val="00DE5628"/>
    <w:rsid w:val="00DE6AD2"/>
    <w:rsid w:val="00E03491"/>
    <w:rsid w:val="00E04753"/>
    <w:rsid w:val="00E0544B"/>
    <w:rsid w:val="00E12C39"/>
    <w:rsid w:val="00E13871"/>
    <w:rsid w:val="00E16A37"/>
    <w:rsid w:val="00E33FB4"/>
    <w:rsid w:val="00E35802"/>
    <w:rsid w:val="00E36FE2"/>
    <w:rsid w:val="00E51F41"/>
    <w:rsid w:val="00E6158B"/>
    <w:rsid w:val="00E63ACD"/>
    <w:rsid w:val="00E673D2"/>
    <w:rsid w:val="00E701E0"/>
    <w:rsid w:val="00E72220"/>
    <w:rsid w:val="00E74213"/>
    <w:rsid w:val="00E76CD9"/>
    <w:rsid w:val="00E91E19"/>
    <w:rsid w:val="00E95106"/>
    <w:rsid w:val="00EA023E"/>
    <w:rsid w:val="00EA0EBF"/>
    <w:rsid w:val="00EB7088"/>
    <w:rsid w:val="00EC0B2E"/>
    <w:rsid w:val="00ED1CC5"/>
    <w:rsid w:val="00ED47C6"/>
    <w:rsid w:val="00ED79BB"/>
    <w:rsid w:val="00EE0957"/>
    <w:rsid w:val="00EE0E4E"/>
    <w:rsid w:val="00EF0715"/>
    <w:rsid w:val="00EF0B95"/>
    <w:rsid w:val="00EF1732"/>
    <w:rsid w:val="00EF3ABF"/>
    <w:rsid w:val="00EF4231"/>
    <w:rsid w:val="00EF6216"/>
    <w:rsid w:val="00EF636A"/>
    <w:rsid w:val="00EF6795"/>
    <w:rsid w:val="00EF776D"/>
    <w:rsid w:val="00F03412"/>
    <w:rsid w:val="00F11FE7"/>
    <w:rsid w:val="00F142BF"/>
    <w:rsid w:val="00F1508D"/>
    <w:rsid w:val="00F2144F"/>
    <w:rsid w:val="00F336F6"/>
    <w:rsid w:val="00F36C1D"/>
    <w:rsid w:val="00F40E54"/>
    <w:rsid w:val="00F42C01"/>
    <w:rsid w:val="00F45261"/>
    <w:rsid w:val="00F5243D"/>
    <w:rsid w:val="00F570F0"/>
    <w:rsid w:val="00F5755F"/>
    <w:rsid w:val="00F620F2"/>
    <w:rsid w:val="00F62807"/>
    <w:rsid w:val="00F647CA"/>
    <w:rsid w:val="00F66B2D"/>
    <w:rsid w:val="00F731D3"/>
    <w:rsid w:val="00F94D6B"/>
    <w:rsid w:val="00F9581C"/>
    <w:rsid w:val="00F96808"/>
    <w:rsid w:val="00F968DD"/>
    <w:rsid w:val="00FA2139"/>
    <w:rsid w:val="00FA3649"/>
    <w:rsid w:val="00FA63D5"/>
    <w:rsid w:val="00FA7F74"/>
    <w:rsid w:val="00FB0335"/>
    <w:rsid w:val="00FB3239"/>
    <w:rsid w:val="00FB3929"/>
    <w:rsid w:val="00FB6B35"/>
    <w:rsid w:val="00FB6B9E"/>
    <w:rsid w:val="00FC0EF5"/>
    <w:rsid w:val="00FC5611"/>
    <w:rsid w:val="00FC5F8C"/>
    <w:rsid w:val="00FC79B6"/>
    <w:rsid w:val="00FD0A90"/>
    <w:rsid w:val="00FD1CCB"/>
    <w:rsid w:val="00FE2767"/>
    <w:rsid w:val="00FF0DCF"/>
    <w:rsid w:val="00FF62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6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C6526"/>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B0141"/>
    <w:pPr>
      <w:tabs>
        <w:tab w:val="center" w:pos="432"/>
        <w:tab w:val="left" w:pos="1008"/>
        <w:tab w:val="right" w:leader="dot" w:pos="9360"/>
      </w:tabs>
      <w:spacing w:after="240"/>
      <w:ind w:left="1008" w:hanging="1008"/>
    </w:pPr>
    <w:rPr>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8B0141"/>
    <w:pPr>
      <w:spacing w:before="240" w:after="240" w:line="240" w:lineRule="auto"/>
      <w:ind w:firstLine="0"/>
      <w:jc w:val="center"/>
    </w:pPr>
    <w:rPr>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8B0141"/>
    <w:pPr>
      <w:tabs>
        <w:tab w:val="left" w:pos="1008"/>
        <w:tab w:val="left" w:pos="1440"/>
        <w:tab w:val="right" w:leader="dot" w:pos="9360"/>
      </w:tabs>
      <w:spacing w:after="240"/>
      <w:ind w:left="1440" w:right="475" w:hanging="432"/>
    </w:pPr>
    <w:rPr>
      <w:sz w:val="22"/>
    </w:rPr>
  </w:style>
  <w:style w:type="paragraph" w:styleId="TOC3">
    <w:name w:val="toc 3"/>
    <w:next w:val="Normal"/>
    <w:autoRedefine/>
    <w:uiPriority w:val="39"/>
    <w:qFormat/>
    <w:rsid w:val="008B0141"/>
    <w:pPr>
      <w:tabs>
        <w:tab w:val="left" w:pos="1915"/>
        <w:tab w:val="right" w:leader="dot" w:pos="9360"/>
      </w:tabs>
      <w:ind w:left="1915" w:right="475" w:hanging="475"/>
    </w:pPr>
    <w:rPr>
      <w:sz w:val="22"/>
    </w:r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8B0141"/>
    <w:pPr>
      <w:tabs>
        <w:tab w:val="clear" w:pos="432"/>
        <w:tab w:val="left" w:pos="1440"/>
        <w:tab w:val="right" w:leader="dot" w:pos="9346"/>
      </w:tabs>
      <w:spacing w:after="240" w:line="240" w:lineRule="auto"/>
      <w:ind w:left="1440" w:hanging="1440"/>
      <w:jc w:val="left"/>
    </w:pPr>
    <w:rPr>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8B0141"/>
    <w:pPr>
      <w:spacing w:before="240" w:after="240" w:line="240" w:lineRule="auto"/>
      <w:ind w:firstLine="0"/>
      <w:jc w:val="center"/>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8B0141"/>
    <w:pPr>
      <w:keepNext/>
      <w:spacing w:after="240" w:line="240" w:lineRule="auto"/>
      <w:ind w:left="432" w:hanging="432"/>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8B0141"/>
    <w:pPr>
      <w:ind w:firstLine="0"/>
      <w:jc w:val="center"/>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8B0141"/>
    <w:pPr>
      <w:ind w:firstLine="0"/>
      <w:jc w:val="center"/>
    </w:pPr>
    <w:rPr>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character" w:styleId="Hyperlink">
    <w:name w:val="Hyperlink"/>
    <w:basedOn w:val="DefaultParagraphFont"/>
    <w:uiPriority w:val="99"/>
    <w:unhideWhenUsed/>
    <w:rsid w:val="0085223E"/>
    <w:rPr>
      <w:color w:val="0000FF" w:themeColor="hyperlink"/>
      <w:u w:val="single"/>
    </w:rPr>
  </w:style>
  <w:style w:type="character" w:customStyle="1" w:styleId="FooterChar">
    <w:name w:val="Footer Char"/>
    <w:basedOn w:val="DefaultParagraphFont"/>
    <w:link w:val="Footer"/>
    <w:rsid w:val="00796A5D"/>
  </w:style>
  <w:style w:type="paragraph" w:customStyle="1" w:styleId="NormalSS12">
    <w:name w:val="NormalSS 12"/>
    <w:basedOn w:val="NormalSS"/>
    <w:qFormat/>
    <w:rsid w:val="007C57CD"/>
  </w:style>
  <w:style w:type="character" w:styleId="CommentReference">
    <w:name w:val="annotation reference"/>
    <w:basedOn w:val="DefaultParagraphFont"/>
    <w:uiPriority w:val="99"/>
    <w:semiHidden/>
    <w:unhideWhenUsed/>
    <w:rsid w:val="007C57CD"/>
    <w:rPr>
      <w:sz w:val="16"/>
      <w:szCs w:val="16"/>
    </w:rPr>
  </w:style>
  <w:style w:type="paragraph" w:styleId="CommentText">
    <w:name w:val="annotation text"/>
    <w:basedOn w:val="Normal"/>
    <w:link w:val="CommentTextChar"/>
    <w:uiPriority w:val="99"/>
    <w:semiHidden/>
    <w:unhideWhenUsed/>
    <w:rsid w:val="007C57CD"/>
    <w:pPr>
      <w:spacing w:line="240" w:lineRule="auto"/>
    </w:pPr>
    <w:rPr>
      <w:rFonts w:ascii="Garamond" w:hAnsi="Garamond"/>
      <w:sz w:val="20"/>
      <w:szCs w:val="20"/>
    </w:rPr>
  </w:style>
  <w:style w:type="character" w:customStyle="1" w:styleId="CommentTextChar">
    <w:name w:val="Comment Text Char"/>
    <w:basedOn w:val="DefaultParagraphFont"/>
    <w:link w:val="CommentText"/>
    <w:uiPriority w:val="99"/>
    <w:semiHidden/>
    <w:rsid w:val="007C57CD"/>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7C57CD"/>
    <w:rPr>
      <w:rFonts w:ascii="Times New Roman" w:hAnsi="Times New Roman"/>
      <w:b/>
      <w:bCs/>
    </w:rPr>
  </w:style>
  <w:style w:type="character" w:customStyle="1" w:styleId="CommentSubjectChar">
    <w:name w:val="Comment Subject Char"/>
    <w:basedOn w:val="CommentTextChar"/>
    <w:link w:val="CommentSubject"/>
    <w:uiPriority w:val="99"/>
    <w:semiHidden/>
    <w:rsid w:val="007C57C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FPotter@mathematica-mpr.com" TargetMode="External"/><Relationship Id="rId26" Type="http://schemas.openxmlformats.org/officeDocument/2006/relationships/hyperlink" Target="mailto:thurl001@umn.edu" TargetMode="External"/><Relationship Id="rId3" Type="http://schemas.openxmlformats.org/officeDocument/2006/relationships/styles" Target="styles.xml"/><Relationship Id="rId21" Type="http://schemas.openxmlformats.org/officeDocument/2006/relationships/hyperlink" Target="mailto:JBurghardt@mathematica-mpr.com"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JBurghardt@mathematica-mpr.com" TargetMode="External"/><Relationship Id="rId25" Type="http://schemas.openxmlformats.org/officeDocument/2006/relationships/hyperlink" Target="mailto:johns006@umn.edu"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johns006@umn.edu"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EZeidman@mathematica-mpr.com"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ACiemnecki@mathematica-mpr.com" TargetMode="Externa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JHaimson@mathematica-mpr.com"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mailto:JHaimson@mathematica-mpr.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7%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BC65A-F3E6-4783-9E36-D952160E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 TNR-Text</Template>
  <TotalTime>0</TotalTime>
  <Pages>14</Pages>
  <Words>4374</Words>
  <Characters>25550</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Authorised User</cp:lastModifiedBy>
  <cp:revision>2</cp:revision>
  <cp:lastPrinted>2010-11-09T20:32:00Z</cp:lastPrinted>
  <dcterms:created xsi:type="dcterms:W3CDTF">2011-01-26T12:53:00Z</dcterms:created>
  <dcterms:modified xsi:type="dcterms:W3CDTF">2011-01-26T12:53:00Z</dcterms:modified>
</cp:coreProperties>
</file>