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3A" w:rsidRDefault="002D133A">
      <w:pPr>
        <w:suppressAutoHyphens/>
        <w:rPr>
          <w:rFonts w:ascii="Times New Roman" w:hAnsi="Times New Roman"/>
        </w:rPr>
      </w:pPr>
      <w:r>
        <w:rPr>
          <w:rFonts w:ascii="Times New Roman" w:hAnsi="Times New Roman"/>
        </w:rPr>
        <w:t>SUPPORTING STATEMENT FOR NEW AND REVISED INFORMATION COLLECTIONS</w:t>
      </w:r>
      <w:r w:rsidR="00F633FB">
        <w:rPr>
          <w:rFonts w:ascii="Times New Roman" w:hAnsi="Times New Roman"/>
        </w:rPr>
        <w:fldChar w:fldCharType="begin"/>
      </w:r>
      <w:r>
        <w:rPr>
          <w:rFonts w:ascii="Times New Roman" w:hAnsi="Times New Roman"/>
        </w:rPr>
        <w:instrText xml:space="preserve">PRIVATE </w:instrText>
      </w:r>
      <w:r w:rsidR="00F633FB">
        <w:rPr>
          <w:rFonts w:ascii="Times New Roman" w:hAnsi="Times New Roman"/>
        </w:rPr>
        <w:fldChar w:fldCharType="end"/>
      </w:r>
    </w:p>
    <w:p w:rsidR="002D133A" w:rsidRDefault="002D133A">
      <w:pPr>
        <w:suppressAutoHyphens/>
        <w:rPr>
          <w:rFonts w:ascii="Times New Roman" w:hAnsi="Times New Roman"/>
        </w:rPr>
      </w:pPr>
    </w:p>
    <w:p w:rsidR="002D133A" w:rsidRDefault="002D133A">
      <w:pPr>
        <w:tabs>
          <w:tab w:val="center" w:pos="4680"/>
        </w:tabs>
        <w:suppressAutoHyphens/>
        <w:rPr>
          <w:rFonts w:ascii="Times New Roman" w:hAnsi="Times New Roman"/>
        </w:rPr>
      </w:pPr>
      <w:r>
        <w:rPr>
          <w:rFonts w:ascii="Times New Roman" w:hAnsi="Times New Roman"/>
        </w:rPr>
        <w:tab/>
        <w:t>OMB CONTROL NUMBER 3038-</w:t>
      </w:r>
      <w:r w:rsidR="002B75E8">
        <w:rPr>
          <w:rFonts w:ascii="Times New Roman" w:hAnsi="Times New Roman"/>
        </w:rPr>
        <w:t>NEW</w:t>
      </w:r>
    </w:p>
    <w:p w:rsidR="00E27FC2" w:rsidRDefault="00E27FC2" w:rsidP="00E27FC2">
      <w:pPr>
        <w:tabs>
          <w:tab w:val="center" w:pos="4680"/>
        </w:tabs>
        <w:suppressAutoHyphens/>
        <w:jc w:val="center"/>
        <w:rPr>
          <w:rFonts w:ascii="Times New Roman" w:hAnsi="Times New Roman"/>
        </w:rPr>
      </w:pPr>
    </w:p>
    <w:p w:rsidR="00E27FC2" w:rsidRPr="00E27FC2" w:rsidRDefault="00E27FC2" w:rsidP="00E27FC2">
      <w:pPr>
        <w:tabs>
          <w:tab w:val="center" w:pos="4680"/>
        </w:tabs>
        <w:suppressAutoHyphens/>
        <w:jc w:val="center"/>
        <w:rPr>
          <w:rFonts w:ascii="Times New Roman" w:hAnsi="Times New Roman"/>
          <w:u w:val="single"/>
        </w:rPr>
      </w:pPr>
      <w:r w:rsidRPr="00E27FC2">
        <w:rPr>
          <w:rFonts w:ascii="Times New Roman" w:hAnsi="Times New Roman"/>
          <w:u w:val="single"/>
        </w:rPr>
        <w:t>Part 44 Interim Final Rule for Reporting Pre-Enactment Swap Transactions</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rsidP="000718CC">
      <w:pPr>
        <w:numPr>
          <w:ilvl w:val="0"/>
          <w:numId w:val="1"/>
        </w:numPr>
        <w:tabs>
          <w:tab w:val="left" w:pos="-720"/>
          <w:tab w:val="left" w:pos="0"/>
        </w:tabs>
        <w:suppressAutoHyphens/>
        <w:rPr>
          <w:rFonts w:ascii="Times New Roman" w:hAnsi="Times New Roman"/>
        </w:rPr>
      </w:pPr>
      <w:r>
        <w:rPr>
          <w:rFonts w:ascii="Times New Roman" w:hAnsi="Times New Roman"/>
          <w:u w:val="single"/>
        </w:rPr>
        <w:t>Explain the circumstances that make the collection of information necessary</w:t>
      </w:r>
      <w:r w:rsidR="00214B78">
        <w:rPr>
          <w:rFonts w:ascii="Times New Roman" w:hAnsi="Times New Roman"/>
          <w:u w:val="single"/>
        </w:rPr>
        <w:t>.</w:t>
      </w:r>
      <w:r>
        <w:rPr>
          <w:rFonts w:ascii="Times New Roman" w:hAnsi="Times New Roman"/>
          <w:u w:val="single"/>
        </w:rPr>
        <w:t xml:space="preserve"> Identify any legal or administrative requirements that necessitate the collection.  </w:t>
      </w:r>
      <w:r w:rsidR="00214B78">
        <w:rPr>
          <w:rFonts w:ascii="Times New Roman" w:hAnsi="Times New Roman"/>
          <w:u w:val="single"/>
        </w:rPr>
        <w:t>Attach a copy of the appropriate section of each statute and regulation mandating or authorizing the collection of information.</w:t>
      </w:r>
    </w:p>
    <w:p w:rsidR="000718CC" w:rsidRDefault="000718CC" w:rsidP="000718CC">
      <w:pPr>
        <w:tabs>
          <w:tab w:val="left" w:pos="-720"/>
          <w:tab w:val="left" w:pos="0"/>
        </w:tabs>
        <w:suppressAutoHyphens/>
        <w:rPr>
          <w:rFonts w:ascii="Times New Roman" w:hAnsi="Times New Roman"/>
        </w:rPr>
      </w:pPr>
    </w:p>
    <w:p w:rsidR="00144904" w:rsidRDefault="000718CC" w:rsidP="000718CC">
      <w:pPr>
        <w:tabs>
          <w:tab w:val="left" w:pos="-720"/>
        </w:tabs>
        <w:suppressAutoHyphens/>
        <w:rPr>
          <w:rFonts w:ascii="Times New Roman" w:hAnsi="Times New Roman"/>
        </w:rPr>
      </w:pPr>
      <w:r>
        <w:rPr>
          <w:rFonts w:ascii="Times New Roman" w:hAnsi="Times New Roman"/>
        </w:rPr>
        <w:tab/>
      </w:r>
      <w:r w:rsidRPr="005A77F3">
        <w:rPr>
          <w:rFonts w:ascii="Times New Roman" w:hAnsi="Times New Roman"/>
        </w:rPr>
        <w:t>On July 21, 2010, the Dodd-Frank Wall Street Reform and Consumer Protection Act (</w:t>
      </w:r>
      <w:r>
        <w:rPr>
          <w:rFonts w:ascii="Times New Roman" w:hAnsi="Times New Roman"/>
        </w:rPr>
        <w:t>“</w:t>
      </w:r>
      <w:r w:rsidRPr="005A77F3">
        <w:rPr>
          <w:rFonts w:ascii="Times New Roman" w:hAnsi="Times New Roman"/>
        </w:rPr>
        <w:t>Dodd-Frank Act</w:t>
      </w:r>
      <w:r>
        <w:rPr>
          <w:rFonts w:ascii="Times New Roman" w:hAnsi="Times New Roman"/>
        </w:rPr>
        <w:t>”</w:t>
      </w:r>
      <w:r w:rsidRPr="005A77F3">
        <w:rPr>
          <w:rFonts w:ascii="Times New Roman" w:hAnsi="Times New Roman"/>
        </w:rPr>
        <w:t>)</w:t>
      </w:r>
      <w:r>
        <w:rPr>
          <w:rFonts w:ascii="Times New Roman" w:hAnsi="Times New Roman"/>
        </w:rPr>
        <w:t xml:space="preserve"> </w:t>
      </w:r>
      <w:r w:rsidR="008D43C2">
        <w:rPr>
          <w:rFonts w:ascii="Times New Roman" w:hAnsi="Times New Roman"/>
        </w:rPr>
        <w:t>was enacted</w:t>
      </w:r>
      <w:r>
        <w:rPr>
          <w:rFonts w:ascii="Times New Roman" w:hAnsi="Times New Roman"/>
        </w:rPr>
        <w:t>.</w:t>
      </w:r>
      <w:r>
        <w:rPr>
          <w:rStyle w:val="FootnoteReference"/>
          <w:rFonts w:ascii="Times New Roman" w:hAnsi="Times New Roman"/>
        </w:rPr>
        <w:footnoteReference w:id="1"/>
      </w:r>
      <w:r>
        <w:rPr>
          <w:rFonts w:ascii="Times New Roman" w:hAnsi="Times New Roman"/>
        </w:rPr>
        <w:t xml:space="preserve"> Title VII of the Dodd-Frank Act amends the Commodity Exchange Act (“CEA”)</w:t>
      </w:r>
      <w:r>
        <w:rPr>
          <w:rStyle w:val="FootnoteReference"/>
          <w:rFonts w:ascii="Times New Roman" w:hAnsi="Times New Roman"/>
        </w:rPr>
        <w:footnoteReference w:id="2"/>
      </w:r>
      <w:r>
        <w:rPr>
          <w:rFonts w:ascii="Times New Roman" w:hAnsi="Times New Roman"/>
        </w:rPr>
        <w:t xml:space="preserve"> to </w:t>
      </w:r>
      <w:r w:rsidRPr="005A77F3">
        <w:rPr>
          <w:rFonts w:ascii="Times New Roman" w:hAnsi="Times New Roman"/>
        </w:rPr>
        <w:t xml:space="preserve">establish a </w:t>
      </w:r>
      <w:r>
        <w:rPr>
          <w:rFonts w:ascii="Times New Roman" w:hAnsi="Times New Roman"/>
        </w:rPr>
        <w:t xml:space="preserve">comprehensive </w:t>
      </w:r>
      <w:r w:rsidRPr="005A77F3">
        <w:rPr>
          <w:rFonts w:ascii="Times New Roman" w:hAnsi="Times New Roman"/>
        </w:rPr>
        <w:t xml:space="preserve">new regulatory framework for swaps and security-based swaps.  </w:t>
      </w:r>
      <w:r w:rsidR="00643CF2">
        <w:rPr>
          <w:rFonts w:ascii="Times New Roman" w:hAnsi="Times New Roman"/>
        </w:rPr>
        <w:t>Section 72</w:t>
      </w:r>
      <w:r w:rsidR="00036C68">
        <w:rPr>
          <w:rFonts w:ascii="Times New Roman" w:hAnsi="Times New Roman"/>
        </w:rPr>
        <w:t>9</w:t>
      </w:r>
      <w:r>
        <w:rPr>
          <w:rFonts w:ascii="Times New Roman" w:hAnsi="Times New Roman"/>
        </w:rPr>
        <w:t xml:space="preserve"> of the Dodd-Frank Act require</w:t>
      </w:r>
      <w:r w:rsidR="00036C68">
        <w:rPr>
          <w:rFonts w:ascii="Times New Roman" w:hAnsi="Times New Roman"/>
        </w:rPr>
        <w:t>d</w:t>
      </w:r>
      <w:r>
        <w:rPr>
          <w:rFonts w:ascii="Times New Roman" w:hAnsi="Times New Roman"/>
        </w:rPr>
        <w:t xml:space="preserve"> the Commodity Futures Trading Commission (</w:t>
      </w:r>
      <w:r w:rsidR="00725580">
        <w:rPr>
          <w:rFonts w:ascii="Times New Roman" w:hAnsi="Times New Roman"/>
        </w:rPr>
        <w:t>“</w:t>
      </w:r>
      <w:r>
        <w:rPr>
          <w:rFonts w:ascii="Times New Roman" w:hAnsi="Times New Roman"/>
        </w:rPr>
        <w:t>CFTC</w:t>
      </w:r>
      <w:r w:rsidR="00725580">
        <w:rPr>
          <w:rFonts w:ascii="Times New Roman" w:hAnsi="Times New Roman"/>
        </w:rPr>
        <w:t>”</w:t>
      </w:r>
      <w:r w:rsidR="001C5637">
        <w:rPr>
          <w:rFonts w:ascii="Times New Roman" w:hAnsi="Times New Roman"/>
        </w:rPr>
        <w:t xml:space="preserve"> or “Commission”</w:t>
      </w:r>
      <w:r>
        <w:rPr>
          <w:rFonts w:ascii="Times New Roman" w:hAnsi="Times New Roman"/>
        </w:rPr>
        <w:t xml:space="preserve">) to </w:t>
      </w:r>
      <w:r w:rsidR="00036C68">
        <w:rPr>
          <w:rFonts w:ascii="Times New Roman" w:hAnsi="Times New Roman"/>
        </w:rPr>
        <w:t xml:space="preserve">adopt, within 90 days of enactment of the Dodd-Frank Act, an interim final rule for the reporting of swap transactions entered into before July 21, 2010 whose terms had not </w:t>
      </w:r>
      <w:r w:rsidR="00FD6ABE">
        <w:rPr>
          <w:rFonts w:ascii="Times New Roman" w:hAnsi="Times New Roman"/>
        </w:rPr>
        <w:t>expired</w:t>
      </w:r>
      <w:r w:rsidR="00036C68">
        <w:rPr>
          <w:rFonts w:ascii="Times New Roman" w:hAnsi="Times New Roman"/>
        </w:rPr>
        <w:t xml:space="preserve"> as of that date (“pre-enactment unexpired swaps”).  </w:t>
      </w:r>
      <w:r w:rsidR="00FD6ABE">
        <w:rPr>
          <w:rFonts w:ascii="Times New Roman" w:hAnsi="Times New Roman"/>
        </w:rPr>
        <w:t>Accordingly, the CFTC adopted an interim final rule</w:t>
      </w:r>
      <w:r w:rsidR="00E0525D">
        <w:rPr>
          <w:rFonts w:ascii="Times New Roman" w:hAnsi="Times New Roman"/>
        </w:rPr>
        <w:t xml:space="preserve">, 17 CFR part 44, </w:t>
      </w:r>
      <w:r w:rsidR="00FD6ABE">
        <w:rPr>
          <w:rFonts w:ascii="Times New Roman" w:hAnsi="Times New Roman"/>
        </w:rPr>
        <w:t>which requires specified counterparties to pre-enactment unexpired swap</w:t>
      </w:r>
      <w:r w:rsidR="000127E6">
        <w:rPr>
          <w:rFonts w:ascii="Times New Roman" w:hAnsi="Times New Roman"/>
        </w:rPr>
        <w:t>s</w:t>
      </w:r>
      <w:r w:rsidR="00FD6ABE">
        <w:rPr>
          <w:rFonts w:ascii="Times New Roman" w:hAnsi="Times New Roman"/>
        </w:rPr>
        <w:t xml:space="preserve"> to </w:t>
      </w:r>
      <w:r w:rsidR="00404BED">
        <w:rPr>
          <w:rFonts w:ascii="Times New Roman" w:hAnsi="Times New Roman"/>
        </w:rPr>
        <w:t>report certain</w:t>
      </w:r>
      <w:r w:rsidR="00FD6ABE">
        <w:rPr>
          <w:rFonts w:ascii="Times New Roman" w:hAnsi="Times New Roman"/>
        </w:rPr>
        <w:t xml:space="preserve"> information related to </w:t>
      </w:r>
      <w:r w:rsidR="00B91DD5">
        <w:rPr>
          <w:rFonts w:ascii="Times New Roman" w:hAnsi="Times New Roman"/>
        </w:rPr>
        <w:t xml:space="preserve">those transactions </w:t>
      </w:r>
      <w:r w:rsidR="00214B78">
        <w:rPr>
          <w:rFonts w:ascii="Times New Roman" w:hAnsi="Times New Roman"/>
        </w:rPr>
        <w:t>to a registered swap data repository (“SDR”) or t</w:t>
      </w:r>
      <w:r w:rsidR="00B02256">
        <w:rPr>
          <w:rFonts w:ascii="Times New Roman" w:hAnsi="Times New Roman"/>
        </w:rPr>
        <w:t>he Commission by a</w:t>
      </w:r>
      <w:r w:rsidR="00214B78">
        <w:rPr>
          <w:rFonts w:ascii="Times New Roman" w:hAnsi="Times New Roman"/>
        </w:rPr>
        <w:t xml:space="preserve"> compliance date </w:t>
      </w:r>
      <w:r w:rsidR="00B02256">
        <w:rPr>
          <w:rFonts w:ascii="Times New Roman" w:hAnsi="Times New Roman"/>
        </w:rPr>
        <w:t xml:space="preserve">to be </w:t>
      </w:r>
      <w:r w:rsidR="00214B78">
        <w:rPr>
          <w:rFonts w:ascii="Times New Roman" w:hAnsi="Times New Roman"/>
        </w:rPr>
        <w:t xml:space="preserve">established </w:t>
      </w:r>
      <w:r w:rsidR="00B02256">
        <w:rPr>
          <w:rFonts w:ascii="Times New Roman" w:hAnsi="Times New Roman"/>
        </w:rPr>
        <w:t xml:space="preserve">by rules promulgated </w:t>
      </w:r>
      <w:r w:rsidR="00214B78">
        <w:rPr>
          <w:rFonts w:ascii="Times New Roman" w:hAnsi="Times New Roman"/>
        </w:rPr>
        <w:t xml:space="preserve">under Section 2(h)(5) of the </w:t>
      </w:r>
      <w:r w:rsidR="00E0525D">
        <w:rPr>
          <w:rFonts w:ascii="Times New Roman" w:hAnsi="Times New Roman"/>
        </w:rPr>
        <w:t>Commodity Exchange Act (“</w:t>
      </w:r>
      <w:r w:rsidR="00214B78">
        <w:rPr>
          <w:rFonts w:ascii="Times New Roman" w:hAnsi="Times New Roman"/>
        </w:rPr>
        <w:t>CEA</w:t>
      </w:r>
      <w:r w:rsidR="00E0525D">
        <w:rPr>
          <w:rFonts w:ascii="Times New Roman" w:hAnsi="Times New Roman"/>
        </w:rPr>
        <w:t xml:space="preserve">”).  </w:t>
      </w:r>
      <w:r w:rsidR="00B02256">
        <w:rPr>
          <w:rFonts w:ascii="Times New Roman" w:hAnsi="Times New Roman"/>
        </w:rPr>
        <w:t xml:space="preserve"> The provisions of the interim final rule became effective on October 14, 2010, the date of publication in the </w:t>
      </w:r>
      <w:r w:rsidR="00B02256" w:rsidRPr="00B02256">
        <w:rPr>
          <w:rFonts w:ascii="Times New Roman" w:hAnsi="Times New Roman"/>
          <w:i/>
        </w:rPr>
        <w:t>Federal Register</w:t>
      </w:r>
      <w:r w:rsidR="00B02256">
        <w:rPr>
          <w:rFonts w:ascii="Times New Roman" w:hAnsi="Times New Roman"/>
        </w:rPr>
        <w:t>.</w:t>
      </w:r>
      <w:r w:rsidR="00B02256">
        <w:rPr>
          <w:rStyle w:val="FootnoteReference"/>
          <w:rFonts w:ascii="Times New Roman" w:hAnsi="Times New Roman"/>
        </w:rPr>
        <w:footnoteReference w:id="3"/>
      </w:r>
      <w:r w:rsidR="008B7285">
        <w:rPr>
          <w:rFonts w:ascii="Times New Roman" w:hAnsi="Times New Roman"/>
        </w:rPr>
        <w:t xml:space="preserve">  Pursuant to Section 729 of the Dodd-Frank Act, the reporting requirements set forth in the interim final rule will remain in effect </w:t>
      </w:r>
      <w:r w:rsidR="00E0525D">
        <w:rPr>
          <w:rFonts w:ascii="Times New Roman" w:hAnsi="Times New Roman"/>
        </w:rPr>
        <w:t>until the effective date of permanent recordkeeping and reporting rules to be adopted by the Commission pursuant to Section 2(h)(5) of the CEA.</w:t>
      </w:r>
    </w:p>
    <w:p w:rsidR="00A92658" w:rsidRDefault="00A92658" w:rsidP="000718CC">
      <w:pPr>
        <w:tabs>
          <w:tab w:val="left" w:pos="-720"/>
        </w:tabs>
        <w:suppressAutoHyphens/>
        <w:rPr>
          <w:rFonts w:ascii="Times New Roman" w:hAnsi="Times New Roman"/>
        </w:rPr>
      </w:pPr>
    </w:p>
    <w:p w:rsidR="000127E6" w:rsidRDefault="00144904" w:rsidP="000718CC">
      <w:pPr>
        <w:tabs>
          <w:tab w:val="left" w:pos="-720"/>
        </w:tabs>
        <w:suppressAutoHyphens/>
        <w:rPr>
          <w:rFonts w:ascii="Times New Roman" w:hAnsi="Times New Roman"/>
        </w:rPr>
      </w:pPr>
      <w:r>
        <w:rPr>
          <w:rFonts w:ascii="Times New Roman" w:hAnsi="Times New Roman"/>
        </w:rPr>
        <w:tab/>
        <w:t xml:space="preserve">The Commission has not yet adopted the substantive </w:t>
      </w:r>
      <w:r w:rsidR="00B91DD5">
        <w:rPr>
          <w:rFonts w:ascii="Times New Roman" w:hAnsi="Times New Roman"/>
        </w:rPr>
        <w:t xml:space="preserve">regulations under CEA section 2(h)(5) which will govern the reporting of </w:t>
      </w:r>
      <w:r>
        <w:rPr>
          <w:rFonts w:ascii="Times New Roman" w:hAnsi="Times New Roman"/>
        </w:rPr>
        <w:t xml:space="preserve"> pre-enactment unexpired swaps</w:t>
      </w:r>
      <w:r w:rsidR="00B91DD5">
        <w:rPr>
          <w:rFonts w:ascii="Times New Roman" w:hAnsi="Times New Roman"/>
        </w:rPr>
        <w:t>.</w:t>
      </w:r>
      <w:r w:rsidR="00B02256">
        <w:rPr>
          <w:rStyle w:val="FootnoteReference"/>
          <w:rFonts w:ascii="Times New Roman" w:hAnsi="Times New Roman"/>
        </w:rPr>
        <w:footnoteReference w:id="4"/>
      </w:r>
      <w:r>
        <w:rPr>
          <w:rFonts w:ascii="Times New Roman" w:hAnsi="Times New Roman"/>
        </w:rPr>
        <w:t xml:space="preserve"> </w:t>
      </w:r>
      <w:r w:rsidR="00B02256">
        <w:rPr>
          <w:rFonts w:ascii="Times New Roman" w:hAnsi="Times New Roman"/>
        </w:rPr>
        <w:t>T</w:t>
      </w:r>
      <w:r w:rsidR="00E0525D">
        <w:rPr>
          <w:rFonts w:ascii="Times New Roman" w:hAnsi="Times New Roman"/>
        </w:rPr>
        <w:t>hus, t</w:t>
      </w:r>
      <w:r w:rsidR="00B02256">
        <w:rPr>
          <w:rFonts w:ascii="Times New Roman" w:hAnsi="Times New Roman"/>
        </w:rPr>
        <w:t>he interim final rule merely puts counterparties</w:t>
      </w:r>
      <w:r w:rsidR="00E0525D">
        <w:rPr>
          <w:rFonts w:ascii="Times New Roman" w:hAnsi="Times New Roman"/>
        </w:rPr>
        <w:t xml:space="preserve"> to pre-enactment swap transactions</w:t>
      </w:r>
      <w:r w:rsidR="00B02256">
        <w:rPr>
          <w:rFonts w:ascii="Times New Roman" w:hAnsi="Times New Roman"/>
        </w:rPr>
        <w:t xml:space="preserve"> on notice </w:t>
      </w:r>
      <w:r w:rsidR="00E0525D">
        <w:rPr>
          <w:rFonts w:ascii="Times New Roman" w:hAnsi="Times New Roman"/>
        </w:rPr>
        <w:t xml:space="preserve">that they may be subject to reporting obligations </w:t>
      </w:r>
      <w:r w:rsidR="008B7285">
        <w:rPr>
          <w:rFonts w:ascii="Times New Roman" w:hAnsi="Times New Roman"/>
        </w:rPr>
        <w:t>to be promulgated by the Commission</w:t>
      </w:r>
      <w:r w:rsidR="00B02256">
        <w:rPr>
          <w:rFonts w:ascii="Times New Roman" w:hAnsi="Times New Roman"/>
        </w:rPr>
        <w:t xml:space="preserve">.  </w:t>
      </w:r>
      <w:r w:rsidR="00E0525D">
        <w:rPr>
          <w:rFonts w:ascii="Times New Roman" w:hAnsi="Times New Roman"/>
        </w:rPr>
        <w:t xml:space="preserve">Accordingly, </w:t>
      </w:r>
      <w:r w:rsidR="00214B78">
        <w:rPr>
          <w:rFonts w:ascii="Times New Roman" w:hAnsi="Times New Roman"/>
        </w:rPr>
        <w:t xml:space="preserve">the </w:t>
      </w:r>
      <w:r w:rsidR="00E0525D">
        <w:rPr>
          <w:rFonts w:ascii="Times New Roman" w:hAnsi="Times New Roman"/>
        </w:rPr>
        <w:t xml:space="preserve">Commission </w:t>
      </w:r>
      <w:r w:rsidR="00B91DD5">
        <w:rPr>
          <w:rFonts w:ascii="Times New Roman" w:hAnsi="Times New Roman"/>
        </w:rPr>
        <w:t xml:space="preserve">observed </w:t>
      </w:r>
      <w:r w:rsidR="008B7285">
        <w:rPr>
          <w:rFonts w:ascii="Times New Roman" w:hAnsi="Times New Roman"/>
        </w:rPr>
        <w:t xml:space="preserve">in an interpretative note to Regulation 44.02 </w:t>
      </w:r>
      <w:r w:rsidR="00214B78">
        <w:rPr>
          <w:rFonts w:ascii="Times New Roman" w:hAnsi="Times New Roman"/>
        </w:rPr>
        <w:t xml:space="preserve">that in order to comply with </w:t>
      </w:r>
      <w:r w:rsidR="007A5317">
        <w:rPr>
          <w:rFonts w:ascii="Times New Roman" w:hAnsi="Times New Roman"/>
        </w:rPr>
        <w:t xml:space="preserve">Regulation 44.02’s </w:t>
      </w:r>
      <w:r w:rsidR="008B7285">
        <w:rPr>
          <w:rFonts w:ascii="Times New Roman" w:hAnsi="Times New Roman"/>
        </w:rPr>
        <w:t xml:space="preserve">immediate </w:t>
      </w:r>
      <w:r w:rsidR="00214B78">
        <w:rPr>
          <w:rFonts w:ascii="Times New Roman" w:hAnsi="Times New Roman"/>
        </w:rPr>
        <w:t>reporting</w:t>
      </w:r>
      <w:r w:rsidR="00B02256">
        <w:rPr>
          <w:rFonts w:ascii="Times New Roman" w:hAnsi="Times New Roman"/>
        </w:rPr>
        <w:t xml:space="preserve"> mandate</w:t>
      </w:r>
      <w:r w:rsidR="00214B78">
        <w:rPr>
          <w:rFonts w:ascii="Times New Roman" w:hAnsi="Times New Roman"/>
        </w:rPr>
        <w:t xml:space="preserve">, counterparties to pre-enactment unexpired swaps </w:t>
      </w:r>
      <w:r w:rsidR="00E0525D">
        <w:rPr>
          <w:rFonts w:ascii="Times New Roman" w:hAnsi="Times New Roman"/>
        </w:rPr>
        <w:t>should</w:t>
      </w:r>
      <w:r>
        <w:rPr>
          <w:rFonts w:ascii="Times New Roman" w:hAnsi="Times New Roman"/>
        </w:rPr>
        <w:t xml:space="preserve"> </w:t>
      </w:r>
      <w:r w:rsidR="006050AC" w:rsidRPr="007020DB">
        <w:rPr>
          <w:rFonts w:ascii="Times New Roman" w:hAnsi="Times New Roman"/>
        </w:rPr>
        <w:t>retain</w:t>
      </w:r>
      <w:r w:rsidR="00214B78">
        <w:rPr>
          <w:rFonts w:ascii="Times New Roman" w:hAnsi="Times New Roman"/>
        </w:rPr>
        <w:t xml:space="preserve"> existing information related to such swaps</w:t>
      </w:r>
      <w:r w:rsidR="002856BC">
        <w:rPr>
          <w:rFonts w:ascii="Times New Roman" w:hAnsi="Times New Roman"/>
        </w:rPr>
        <w:t xml:space="preserve"> </w:t>
      </w:r>
      <w:r w:rsidR="002426C7">
        <w:rPr>
          <w:rFonts w:ascii="Times New Roman" w:hAnsi="Times New Roman"/>
        </w:rPr>
        <w:t xml:space="preserve">until such </w:t>
      </w:r>
      <w:r w:rsidR="00B02256">
        <w:rPr>
          <w:rFonts w:ascii="Times New Roman" w:hAnsi="Times New Roman"/>
        </w:rPr>
        <w:t xml:space="preserve">as the Commission adopts substantive reporting rules pursuant to Section 2(h)(5) of the CEA.  </w:t>
      </w:r>
      <w:r w:rsidR="007916FC">
        <w:rPr>
          <w:rFonts w:ascii="Times New Roman" w:hAnsi="Times New Roman"/>
        </w:rPr>
        <w:t xml:space="preserve">This </w:t>
      </w:r>
      <w:r w:rsidR="00B02256">
        <w:rPr>
          <w:rFonts w:ascii="Times New Roman" w:hAnsi="Times New Roman"/>
        </w:rPr>
        <w:t xml:space="preserve">implicit </w:t>
      </w:r>
      <w:r w:rsidR="007916FC">
        <w:rPr>
          <w:rFonts w:ascii="Times New Roman" w:hAnsi="Times New Roman"/>
        </w:rPr>
        <w:lastRenderedPageBreak/>
        <w:t>rete</w:t>
      </w:r>
      <w:r w:rsidR="008B7285">
        <w:rPr>
          <w:rFonts w:ascii="Times New Roman" w:hAnsi="Times New Roman"/>
        </w:rPr>
        <w:t>ntion requirement represents</w:t>
      </w:r>
      <w:r w:rsidR="007916FC">
        <w:rPr>
          <w:rFonts w:ascii="Times New Roman" w:hAnsi="Times New Roman"/>
        </w:rPr>
        <w:t xml:space="preserve"> </w:t>
      </w:r>
      <w:r w:rsidR="007A5317">
        <w:rPr>
          <w:rFonts w:ascii="Times New Roman" w:hAnsi="Times New Roman"/>
        </w:rPr>
        <w:t xml:space="preserve">a </w:t>
      </w:r>
      <w:r w:rsidR="007916FC">
        <w:rPr>
          <w:rFonts w:ascii="Times New Roman" w:hAnsi="Times New Roman"/>
        </w:rPr>
        <w:t>new collection of informatio</w:t>
      </w:r>
      <w:r w:rsidR="007A5317">
        <w:rPr>
          <w:rFonts w:ascii="Times New Roman" w:hAnsi="Times New Roman"/>
        </w:rPr>
        <w:t>n for which the Commission is now seeking an OMB control number.</w:t>
      </w:r>
    </w:p>
    <w:p w:rsidR="00794A45" w:rsidRDefault="00794A45" w:rsidP="00794A45">
      <w:pPr>
        <w:tabs>
          <w:tab w:val="left" w:pos="-720"/>
        </w:tabs>
        <w:suppressAutoHyphens/>
        <w:ind w:left="720"/>
        <w:rPr>
          <w:rFonts w:ascii="Times New Roman" w:hAnsi="Times New Roman"/>
        </w:rPr>
      </w:pPr>
    </w:p>
    <w:p w:rsidR="000718CC" w:rsidRPr="00E93E1C" w:rsidRDefault="001627B1" w:rsidP="000718CC">
      <w:pPr>
        <w:tabs>
          <w:tab w:val="left" w:pos="-720"/>
        </w:tabs>
        <w:suppressAutoHyphens/>
        <w:rPr>
          <w:rFonts w:ascii="Times New Roman" w:hAnsi="Times New Roman"/>
          <w:szCs w:val="24"/>
        </w:rPr>
      </w:pPr>
      <w:r w:rsidRPr="00E93E1C">
        <w:rPr>
          <w:rFonts w:ascii="Times New Roman" w:hAnsi="Times New Roman"/>
          <w:szCs w:val="24"/>
        </w:rPr>
        <w:tab/>
      </w:r>
      <w:r w:rsidR="000127E6">
        <w:rPr>
          <w:rFonts w:ascii="Times New Roman" w:hAnsi="Times New Roman"/>
          <w:szCs w:val="24"/>
        </w:rPr>
        <w:t>The e</w:t>
      </w:r>
      <w:r w:rsidR="000718CC" w:rsidRPr="00E93E1C">
        <w:rPr>
          <w:rFonts w:ascii="Times New Roman" w:hAnsi="Times New Roman"/>
          <w:szCs w:val="24"/>
        </w:rPr>
        <w:t xml:space="preserve">stimated numbers of respondents and projected total annual responses and average number of hours per response are provided in Attachment A.  </w:t>
      </w:r>
    </w:p>
    <w:p w:rsidR="002D133A" w:rsidRPr="00E93E1C" w:rsidRDefault="002D133A">
      <w:pPr>
        <w:tabs>
          <w:tab w:val="left" w:pos="-720"/>
        </w:tabs>
        <w:suppressAutoHyphens/>
        <w:rPr>
          <w:rFonts w:ascii="Times New Roman" w:hAnsi="Times New Roman"/>
          <w:szCs w:val="24"/>
        </w:rPr>
      </w:pPr>
      <w:r w:rsidRPr="00E93E1C">
        <w:rPr>
          <w:rFonts w:ascii="Times New Roman" w:hAnsi="Times New Roman"/>
          <w:szCs w:val="24"/>
        </w:rPr>
        <w:t xml:space="preserve"> </w:t>
      </w:r>
    </w:p>
    <w:p w:rsidR="002D133A" w:rsidRDefault="002D133A" w:rsidP="00032D9E">
      <w:pPr>
        <w:numPr>
          <w:ilvl w:val="0"/>
          <w:numId w:val="1"/>
        </w:numPr>
        <w:tabs>
          <w:tab w:val="left" w:pos="-720"/>
        </w:tabs>
        <w:suppressAutoHyphens/>
        <w:rPr>
          <w:rFonts w:ascii="Times New Roman" w:hAnsi="Times New Roman"/>
        </w:rPr>
      </w:pPr>
      <w:r w:rsidRPr="00E93E1C">
        <w:rPr>
          <w:rFonts w:ascii="Times New Roman" w:hAnsi="Times New Roman"/>
          <w:szCs w:val="24"/>
          <w:u w:val="single"/>
        </w:rPr>
        <w:t>Indicate how, by whom, and for what purpose the dat</w:t>
      </w:r>
      <w:r w:rsidR="00266B89" w:rsidRPr="00E93E1C">
        <w:rPr>
          <w:rFonts w:ascii="Times New Roman" w:hAnsi="Times New Roman"/>
          <w:szCs w:val="24"/>
          <w:u w:val="single"/>
        </w:rPr>
        <w:t>a</w:t>
      </w:r>
      <w:r w:rsidRPr="00E93E1C">
        <w:rPr>
          <w:rFonts w:ascii="Times New Roman" w:hAnsi="Times New Roman"/>
          <w:szCs w:val="24"/>
          <w:u w:val="single"/>
        </w:rPr>
        <w:t xml:space="preserve"> would be used.  Except for a new collection, indicate the actual us</w:t>
      </w:r>
      <w:r w:rsidRPr="00E93E1C">
        <w:rPr>
          <w:rFonts w:ascii="Times New Roman" w:hAnsi="Times New Roman"/>
          <w:u w:val="single"/>
        </w:rPr>
        <w:t>e</w:t>
      </w:r>
      <w:r>
        <w:rPr>
          <w:rFonts w:ascii="Times New Roman" w:hAnsi="Times New Roman"/>
          <w:u w:val="single"/>
        </w:rPr>
        <w:t xml:space="preserve"> the agency has made of the information received from the current collection</w:t>
      </w:r>
      <w:r>
        <w:rPr>
          <w:rFonts w:ascii="Times New Roman" w:hAnsi="Times New Roman"/>
        </w:rPr>
        <w:t>.</w:t>
      </w:r>
    </w:p>
    <w:p w:rsidR="00032D9E" w:rsidRDefault="00032D9E" w:rsidP="00032D9E">
      <w:pPr>
        <w:tabs>
          <w:tab w:val="left" w:pos="-720"/>
        </w:tabs>
        <w:suppressAutoHyphens/>
        <w:rPr>
          <w:rFonts w:ascii="Times New Roman" w:hAnsi="Times New Roman"/>
        </w:rPr>
      </w:pPr>
    </w:p>
    <w:p w:rsidR="00794A45" w:rsidRDefault="00E0525D" w:rsidP="00E0525D">
      <w:pPr>
        <w:tabs>
          <w:tab w:val="left" w:pos="-720"/>
        </w:tabs>
        <w:suppressAutoHyphens/>
        <w:ind w:left="720"/>
        <w:rPr>
          <w:rFonts w:ascii="Times New Roman" w:hAnsi="Times New Roman"/>
        </w:rPr>
      </w:pPr>
      <w:r>
        <w:rPr>
          <w:rFonts w:ascii="Times New Roman" w:hAnsi="Times New Roman"/>
        </w:rPr>
        <w:t>The Dodd-Frank Act was enacted to reduce risk, increase transparency and promote market integrity within the financial system by, among other things, creating robust recordkeeping and reporting regimes for derivatives products  Data relating to unexpired pre-enactment swaps specifically are captured by the legislation, which</w:t>
      </w:r>
      <w:r w:rsidR="00BA086A">
        <w:rPr>
          <w:rFonts w:ascii="Times New Roman" w:hAnsi="Times New Roman"/>
        </w:rPr>
        <w:t xml:space="preserve"> in Section 729 requires that the Commission, within 90 days of enactment of the Dodd-Frank Act, adopt an interim final rule making clear that thi</w:t>
      </w:r>
      <w:r w:rsidR="003D15EA">
        <w:rPr>
          <w:rFonts w:ascii="Times New Roman" w:hAnsi="Times New Roman"/>
        </w:rPr>
        <w:t>s category of swap transaction is subject to recordkeeping and reporting requirements to be subsequently adopted by the Commission. The Commission believes that data relating to such transactions will facilitate its ability to understand and evaluate the current market for swaps</w:t>
      </w:r>
      <w:r w:rsidR="007D183F">
        <w:rPr>
          <w:rFonts w:ascii="Times New Roman" w:hAnsi="Times New Roman"/>
        </w:rPr>
        <w:t>—including the size and scope of the market—which in turn will lead to a more robust and transparent environment for the swaps market.</w:t>
      </w:r>
      <w:r w:rsidR="003D15EA">
        <w:rPr>
          <w:rFonts w:ascii="Times New Roman" w:hAnsi="Times New Roman"/>
        </w:rPr>
        <w:t xml:space="preserve"> Along with other swap transaction data,</w:t>
      </w:r>
      <w:r w:rsidR="00794A45">
        <w:rPr>
          <w:rFonts w:ascii="Times New Roman" w:hAnsi="Times New Roman"/>
        </w:rPr>
        <w:t xml:space="preserve"> </w:t>
      </w:r>
      <w:r w:rsidR="003D15EA">
        <w:rPr>
          <w:rFonts w:ascii="Times New Roman" w:hAnsi="Times New Roman"/>
        </w:rPr>
        <w:t xml:space="preserve">pre-enactment swap transaction information </w:t>
      </w:r>
      <w:r w:rsidR="00794A45">
        <w:rPr>
          <w:rFonts w:ascii="Times New Roman" w:hAnsi="Times New Roman"/>
        </w:rPr>
        <w:t>will be used by the Commission and other regulators</w:t>
      </w:r>
      <w:r w:rsidR="000127E6">
        <w:rPr>
          <w:rFonts w:ascii="Times New Roman" w:hAnsi="Times New Roman"/>
        </w:rPr>
        <w:t xml:space="preserve"> to e</w:t>
      </w:r>
      <w:r w:rsidR="00794A45">
        <w:rPr>
          <w:rFonts w:ascii="Times New Roman" w:hAnsi="Times New Roman"/>
        </w:rPr>
        <w:t xml:space="preserve">valuate </w:t>
      </w:r>
      <w:r w:rsidR="000127E6">
        <w:rPr>
          <w:rFonts w:ascii="Times New Roman" w:hAnsi="Times New Roman"/>
        </w:rPr>
        <w:t>the current swaps marketplace and support various rulemaking efforts in connection with the Dodd-Frank Act</w:t>
      </w:r>
      <w:r w:rsidR="0087722F">
        <w:rPr>
          <w:rFonts w:ascii="Times New Roman" w:hAnsi="Times New Roman"/>
        </w:rPr>
        <w:t>.</w:t>
      </w:r>
    </w:p>
    <w:p w:rsidR="00DB3C65" w:rsidRDefault="00DB3C65" w:rsidP="00032D9E">
      <w:pPr>
        <w:tabs>
          <w:tab w:val="left" w:pos="-720"/>
        </w:tabs>
        <w:suppressAutoHyphens/>
        <w:rPr>
          <w:rFonts w:ascii="Times New Roman" w:hAnsi="Times New Roman"/>
        </w:rPr>
      </w:pPr>
    </w:p>
    <w:p w:rsidR="002D133A" w:rsidRDefault="002D133A" w:rsidP="00032D9E">
      <w:pPr>
        <w:numPr>
          <w:ilvl w:val="0"/>
          <w:numId w:val="1"/>
        </w:numPr>
        <w:tabs>
          <w:tab w:val="left" w:pos="-720"/>
          <w:tab w:val="left" w:pos="0"/>
        </w:tabs>
        <w:suppressAutoHyphens/>
        <w:rPr>
          <w:rFonts w:ascii="Times New Roman" w:hAnsi="Times New Roman"/>
          <w:u w:val="single"/>
        </w:rPr>
      </w:pPr>
      <w:r>
        <w:rPr>
          <w:rFonts w:ascii="Times New Roman" w:hAnsi="Times New Roman"/>
          <w:u w:val="single"/>
        </w:rPr>
        <w:t xml:space="preserve">Describe whether, and to what extent, the collection of information involves the use of automated, electronic, mechanical, or other technological collection techniques or other forms of information technology, </w:t>
      </w:r>
      <w:r w:rsidRPr="00ED3A7E">
        <w:rPr>
          <w:rFonts w:ascii="Times New Roman" w:hAnsi="Times New Roman"/>
          <w:i/>
          <w:u w:val="single"/>
        </w:rPr>
        <w:t>e.g.</w:t>
      </w:r>
      <w:r w:rsidR="00ED3A7E">
        <w:rPr>
          <w:rFonts w:ascii="Times New Roman" w:hAnsi="Times New Roman"/>
          <w:u w:val="single"/>
        </w:rPr>
        <w:t>,</w:t>
      </w:r>
      <w:r>
        <w:rPr>
          <w:rFonts w:ascii="Times New Roman" w:hAnsi="Times New Roman"/>
          <w:u w:val="single"/>
        </w:rPr>
        <w:t xml:space="preserve"> permitting electronic submission of responses, and the basis for the decision for adopting this means of collection.  Also describe any consideration of using information technology to reduce burden.</w:t>
      </w:r>
    </w:p>
    <w:p w:rsidR="00032D9E" w:rsidRDefault="00032D9E" w:rsidP="00032D9E">
      <w:pPr>
        <w:tabs>
          <w:tab w:val="left" w:pos="-720"/>
          <w:tab w:val="left" w:pos="0"/>
        </w:tabs>
        <w:suppressAutoHyphens/>
        <w:rPr>
          <w:rFonts w:ascii="Times New Roman" w:hAnsi="Times New Roman"/>
          <w:u w:val="single"/>
        </w:rPr>
      </w:pPr>
    </w:p>
    <w:p w:rsidR="0087722F" w:rsidRDefault="000339AB" w:rsidP="0087722F">
      <w:pPr>
        <w:tabs>
          <w:tab w:val="left" w:pos="-720"/>
          <w:tab w:val="left" w:pos="0"/>
        </w:tabs>
        <w:suppressAutoHyphens/>
        <w:ind w:left="720"/>
        <w:rPr>
          <w:rFonts w:ascii="Times New Roman" w:hAnsi="Times New Roman"/>
        </w:rPr>
      </w:pPr>
      <w:r>
        <w:rPr>
          <w:rFonts w:ascii="Times New Roman" w:hAnsi="Times New Roman"/>
        </w:rPr>
        <w:t>Th</w:t>
      </w:r>
      <w:r w:rsidR="0087722F">
        <w:rPr>
          <w:rFonts w:ascii="Times New Roman" w:hAnsi="Times New Roman"/>
        </w:rPr>
        <w:t xml:space="preserve">e interim final rule </w:t>
      </w:r>
      <w:r>
        <w:rPr>
          <w:rFonts w:ascii="Times New Roman" w:hAnsi="Times New Roman"/>
        </w:rPr>
        <w:t xml:space="preserve">contemplates the </w:t>
      </w:r>
      <w:r w:rsidR="00032D9E">
        <w:rPr>
          <w:rFonts w:ascii="Times New Roman" w:hAnsi="Times New Roman"/>
        </w:rPr>
        <w:t>use of</w:t>
      </w:r>
      <w:r w:rsidR="001C5637">
        <w:rPr>
          <w:rFonts w:ascii="Times New Roman" w:hAnsi="Times New Roman"/>
        </w:rPr>
        <w:t xml:space="preserve"> certain electronic collection protocols such</w:t>
      </w:r>
    </w:p>
    <w:p w:rsidR="00032D9E" w:rsidRPr="00032D9E" w:rsidRDefault="001C5637" w:rsidP="0087722F">
      <w:pPr>
        <w:tabs>
          <w:tab w:val="left" w:pos="-720"/>
          <w:tab w:val="left" w:pos="0"/>
        </w:tabs>
        <w:suppressAutoHyphens/>
        <w:rPr>
          <w:rFonts w:ascii="Times New Roman" w:hAnsi="Times New Roman"/>
        </w:rPr>
      </w:pPr>
      <w:r>
        <w:rPr>
          <w:rFonts w:ascii="Times New Roman" w:hAnsi="Times New Roman"/>
        </w:rPr>
        <w:t>as</w:t>
      </w:r>
      <w:r w:rsidR="00032D9E">
        <w:rPr>
          <w:rFonts w:ascii="Times New Roman" w:hAnsi="Times New Roman"/>
        </w:rPr>
        <w:t xml:space="preserve"> e</w:t>
      </w:r>
      <w:r w:rsidR="000339AB">
        <w:rPr>
          <w:rFonts w:ascii="Times New Roman" w:hAnsi="Times New Roman"/>
        </w:rPr>
        <w:t>-</w:t>
      </w:r>
      <w:r w:rsidR="00032D9E">
        <w:rPr>
          <w:rFonts w:ascii="Times New Roman" w:hAnsi="Times New Roman"/>
        </w:rPr>
        <w:t xml:space="preserve">mail and </w:t>
      </w:r>
      <w:r w:rsidR="000127E6">
        <w:rPr>
          <w:rFonts w:ascii="Times New Roman" w:hAnsi="Times New Roman"/>
        </w:rPr>
        <w:t>web-based systems</w:t>
      </w:r>
      <w:r w:rsidR="0087722F">
        <w:rPr>
          <w:rFonts w:ascii="Times New Roman" w:hAnsi="Times New Roman"/>
        </w:rPr>
        <w:t xml:space="preserve"> depending on the </w:t>
      </w:r>
      <w:r w:rsidR="000127E6">
        <w:rPr>
          <w:rFonts w:ascii="Times New Roman" w:hAnsi="Times New Roman"/>
        </w:rPr>
        <w:t>manner in which the current</w:t>
      </w:r>
      <w:r w:rsidR="0087722F">
        <w:rPr>
          <w:rFonts w:ascii="Times New Roman" w:hAnsi="Times New Roman"/>
        </w:rPr>
        <w:t xml:space="preserve"> </w:t>
      </w:r>
      <w:r w:rsidR="002C555C">
        <w:rPr>
          <w:rFonts w:ascii="Times New Roman" w:hAnsi="Times New Roman"/>
        </w:rPr>
        <w:t>pre-enactment unexpired swaps are maintained</w:t>
      </w:r>
      <w:r w:rsidR="0087722F">
        <w:rPr>
          <w:rFonts w:ascii="Times New Roman" w:hAnsi="Times New Roman"/>
        </w:rPr>
        <w:t xml:space="preserve">. </w:t>
      </w:r>
      <w:r w:rsidR="007D183F">
        <w:rPr>
          <w:rFonts w:ascii="Times New Roman" w:hAnsi="Times New Roman"/>
        </w:rPr>
        <w:t>Because the interim final rule eventually will be supplanted</w:t>
      </w:r>
      <w:r w:rsidR="0087722F">
        <w:rPr>
          <w:rFonts w:ascii="Times New Roman" w:hAnsi="Times New Roman"/>
        </w:rPr>
        <w:t xml:space="preserve"> </w:t>
      </w:r>
      <w:r w:rsidR="007D183F">
        <w:rPr>
          <w:rFonts w:ascii="Times New Roman" w:hAnsi="Times New Roman"/>
        </w:rPr>
        <w:t>by permanent recordkeeping and reporting requirements, the Commission has sought to limit the burden on reporting entities by advising these entities that they may preserve data that is already kept by swap counterparties in their normal course of business and may report it in the format in which it is traditionally kept.  Accordingly, t</w:t>
      </w:r>
      <w:r w:rsidR="0087722F">
        <w:rPr>
          <w:rFonts w:ascii="Times New Roman" w:hAnsi="Times New Roman"/>
        </w:rPr>
        <w:t xml:space="preserve">o the extent the pre-enactment unexpired swap data </w:t>
      </w:r>
      <w:r w:rsidR="00DA50C1">
        <w:rPr>
          <w:rFonts w:ascii="Times New Roman" w:hAnsi="Times New Roman"/>
        </w:rPr>
        <w:t>are</w:t>
      </w:r>
      <w:r w:rsidR="0087722F">
        <w:rPr>
          <w:rFonts w:ascii="Times New Roman" w:hAnsi="Times New Roman"/>
        </w:rPr>
        <w:t xml:space="preserve"> </w:t>
      </w:r>
      <w:r w:rsidR="002C555C">
        <w:rPr>
          <w:rFonts w:ascii="Times New Roman" w:hAnsi="Times New Roman"/>
        </w:rPr>
        <w:t>maintained in hard-copy form</w:t>
      </w:r>
      <w:r w:rsidR="0087722F">
        <w:rPr>
          <w:rFonts w:ascii="Times New Roman" w:hAnsi="Times New Roman"/>
        </w:rPr>
        <w:t xml:space="preserve">, the Commission contemplates accepting such </w:t>
      </w:r>
      <w:r w:rsidR="002C555C">
        <w:rPr>
          <w:rFonts w:ascii="Times New Roman" w:hAnsi="Times New Roman"/>
        </w:rPr>
        <w:t>hard copies</w:t>
      </w:r>
      <w:r w:rsidR="0087722F">
        <w:rPr>
          <w:rFonts w:ascii="Times New Roman" w:hAnsi="Times New Roman"/>
        </w:rPr>
        <w:t xml:space="preserve">.  </w:t>
      </w:r>
      <w:r w:rsidR="00ED3A7E">
        <w:rPr>
          <w:rFonts w:ascii="Times New Roman" w:hAnsi="Times New Roman"/>
        </w:rPr>
        <w:t xml:space="preserve"> </w:t>
      </w:r>
    </w:p>
    <w:p w:rsidR="002D133A" w:rsidRDefault="002D133A">
      <w:pPr>
        <w:tabs>
          <w:tab w:val="left" w:pos="-720"/>
        </w:tabs>
        <w:suppressAutoHyphens/>
        <w:rPr>
          <w:rFonts w:ascii="Times New Roman" w:hAnsi="Times New Roman"/>
        </w:rPr>
      </w:pPr>
    </w:p>
    <w:p w:rsidR="002D133A" w:rsidRDefault="002D133A" w:rsidP="00C0441B">
      <w:pPr>
        <w:numPr>
          <w:ilvl w:val="0"/>
          <w:numId w:val="1"/>
        </w:numPr>
        <w:tabs>
          <w:tab w:val="left" w:pos="-720"/>
          <w:tab w:val="left" w:pos="0"/>
        </w:tabs>
        <w:suppressAutoHyphens/>
        <w:rPr>
          <w:rFonts w:ascii="Times New Roman" w:hAnsi="Times New Roman"/>
        </w:rPr>
      </w:pP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C0441B" w:rsidRDefault="00C0441B" w:rsidP="00C0441B">
      <w:pPr>
        <w:tabs>
          <w:tab w:val="left" w:pos="-720"/>
          <w:tab w:val="left" w:pos="0"/>
        </w:tabs>
        <w:suppressAutoHyphens/>
        <w:rPr>
          <w:rFonts w:ascii="Times New Roman" w:hAnsi="Times New Roman"/>
        </w:rPr>
      </w:pPr>
    </w:p>
    <w:p w:rsidR="00ED3A7E" w:rsidRDefault="00A3597D" w:rsidP="00ED3A7E">
      <w:pPr>
        <w:tabs>
          <w:tab w:val="left" w:pos="-720"/>
        </w:tabs>
        <w:suppressAutoHyphens/>
        <w:rPr>
          <w:rFonts w:ascii="Times New Roman" w:hAnsi="Times New Roman"/>
        </w:rPr>
      </w:pPr>
      <w:r>
        <w:rPr>
          <w:rFonts w:ascii="Times New Roman" w:hAnsi="Times New Roman"/>
        </w:rPr>
        <w:tab/>
      </w:r>
      <w:r w:rsidR="00ED3A7E">
        <w:rPr>
          <w:rFonts w:ascii="Times New Roman" w:hAnsi="Times New Roman"/>
        </w:rPr>
        <w:t xml:space="preserve">The type of information required to be collected under the </w:t>
      </w:r>
      <w:r w:rsidR="00FF27D6">
        <w:rPr>
          <w:rFonts w:ascii="Times New Roman" w:hAnsi="Times New Roman"/>
        </w:rPr>
        <w:t xml:space="preserve">interim final rule </w:t>
      </w:r>
      <w:r w:rsidR="00ED3A7E">
        <w:rPr>
          <w:rFonts w:ascii="Times New Roman" w:hAnsi="Times New Roman"/>
        </w:rPr>
        <w:t xml:space="preserve">is not currently collected and is not available for public disclosure through any other source.  </w:t>
      </w:r>
      <w:r w:rsidR="001C5637">
        <w:rPr>
          <w:rFonts w:ascii="Times New Roman" w:hAnsi="Times New Roman"/>
        </w:rPr>
        <w:t xml:space="preserve">Prior to </w:t>
      </w:r>
      <w:r w:rsidR="007D183F">
        <w:rPr>
          <w:rFonts w:ascii="Times New Roman" w:hAnsi="Times New Roman"/>
        </w:rPr>
        <w:lastRenderedPageBreak/>
        <w:t xml:space="preserve">enactment </w:t>
      </w:r>
      <w:r w:rsidR="001C5637">
        <w:rPr>
          <w:rFonts w:ascii="Times New Roman" w:hAnsi="Times New Roman"/>
        </w:rPr>
        <w:t xml:space="preserve">of the Dodd-Frank Act, </w:t>
      </w:r>
      <w:r w:rsidR="007D183F">
        <w:rPr>
          <w:rFonts w:ascii="Times New Roman" w:hAnsi="Times New Roman"/>
        </w:rPr>
        <w:t xml:space="preserve">the Commission did not have statutory </w:t>
      </w:r>
      <w:r w:rsidR="001C5637">
        <w:rPr>
          <w:rFonts w:ascii="Times New Roman" w:hAnsi="Times New Roman"/>
        </w:rPr>
        <w:t xml:space="preserve">authority to require the </w:t>
      </w:r>
      <w:r w:rsidR="007D183F">
        <w:rPr>
          <w:rFonts w:ascii="Times New Roman" w:hAnsi="Times New Roman"/>
        </w:rPr>
        <w:t xml:space="preserve">reporting </w:t>
      </w:r>
      <w:r w:rsidR="00143F22">
        <w:rPr>
          <w:rFonts w:ascii="Times New Roman" w:hAnsi="Times New Roman"/>
        </w:rPr>
        <w:t xml:space="preserve">of </w:t>
      </w:r>
      <w:r w:rsidR="007D183F">
        <w:rPr>
          <w:rFonts w:ascii="Times New Roman" w:hAnsi="Times New Roman"/>
        </w:rPr>
        <w:t>swap data by</w:t>
      </w:r>
      <w:r w:rsidR="001C5637">
        <w:rPr>
          <w:rFonts w:ascii="Times New Roman" w:hAnsi="Times New Roman"/>
        </w:rPr>
        <w:t xml:space="preserve"> market participants.</w:t>
      </w:r>
      <w:r>
        <w:rPr>
          <w:rFonts w:ascii="Times New Roman" w:hAnsi="Times New Roman"/>
        </w:rPr>
        <w:t xml:space="preserve">  </w:t>
      </w:r>
      <w:r w:rsidR="00A775FC">
        <w:rPr>
          <w:rFonts w:ascii="Times New Roman" w:hAnsi="Times New Roman"/>
        </w:rPr>
        <w:t>T</w:t>
      </w:r>
      <w:r>
        <w:rPr>
          <w:rFonts w:ascii="Times New Roman" w:hAnsi="Times New Roman"/>
        </w:rPr>
        <w:t>here</w:t>
      </w:r>
      <w:r w:rsidR="00A775FC">
        <w:rPr>
          <w:rFonts w:ascii="Times New Roman" w:hAnsi="Times New Roman"/>
        </w:rPr>
        <w:t xml:space="preserve"> are no</w:t>
      </w:r>
      <w:r>
        <w:rPr>
          <w:rFonts w:ascii="Times New Roman" w:hAnsi="Times New Roman"/>
        </w:rPr>
        <w:t xml:space="preserve"> existing regulations that could be modified to serve a similar purpose.</w:t>
      </w:r>
      <w:r w:rsidR="00C0441B">
        <w:rPr>
          <w:rFonts w:ascii="Times New Roman" w:hAnsi="Times New Roman"/>
        </w:rPr>
        <w:t xml:space="preserve">  </w:t>
      </w:r>
    </w:p>
    <w:p w:rsidR="00C0441B" w:rsidRDefault="00C0441B" w:rsidP="00A3597D">
      <w:pPr>
        <w:tabs>
          <w:tab w:val="left" w:pos="-720"/>
          <w:tab w:val="left" w:pos="0"/>
        </w:tabs>
        <w:suppressAutoHyphens/>
        <w:rPr>
          <w:rFonts w:ascii="Times New Roman" w:hAnsi="Times New Roman"/>
        </w:rPr>
      </w:pPr>
    </w:p>
    <w:p w:rsidR="002D133A" w:rsidRDefault="002D133A">
      <w:pPr>
        <w:tabs>
          <w:tab w:val="left" w:pos="-720"/>
        </w:tabs>
        <w:suppressAutoHyphens/>
        <w:rPr>
          <w:rFonts w:ascii="Times New Roman" w:hAnsi="Times New Roman"/>
        </w:rPr>
      </w:pPr>
    </w:p>
    <w:p w:rsidR="00C0441B" w:rsidRDefault="002D133A" w:rsidP="00C0441B">
      <w:pPr>
        <w:numPr>
          <w:ilvl w:val="0"/>
          <w:numId w:val="1"/>
        </w:numPr>
        <w:tabs>
          <w:tab w:val="left" w:pos="-720"/>
          <w:tab w:val="left" w:pos="0"/>
        </w:tabs>
        <w:suppressAutoHyphens/>
        <w:rPr>
          <w:rFonts w:ascii="Times New Roman" w:hAnsi="Times New Roman"/>
        </w:rPr>
      </w:pP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r w:rsidR="00032D9E">
        <w:rPr>
          <w:rFonts w:ascii="Times New Roman" w:hAnsi="Times New Roman"/>
        </w:rPr>
        <w:t xml:space="preserve">  </w:t>
      </w:r>
    </w:p>
    <w:p w:rsidR="008A77A3" w:rsidRDefault="008A77A3" w:rsidP="008A77A3">
      <w:pPr>
        <w:tabs>
          <w:tab w:val="left" w:pos="-720"/>
          <w:tab w:val="left" w:pos="0"/>
        </w:tabs>
        <w:suppressAutoHyphens/>
        <w:rPr>
          <w:rFonts w:ascii="Times New Roman" w:hAnsi="Times New Roman"/>
        </w:rPr>
      </w:pPr>
    </w:p>
    <w:p w:rsidR="008B1201" w:rsidRDefault="008B1201" w:rsidP="0087722F">
      <w:pPr>
        <w:tabs>
          <w:tab w:val="left" w:pos="-720"/>
          <w:tab w:val="left" w:pos="0"/>
        </w:tabs>
        <w:suppressAutoHyphens/>
        <w:ind w:left="720"/>
        <w:rPr>
          <w:rFonts w:ascii="Times New Roman" w:hAnsi="Times New Roman"/>
        </w:rPr>
      </w:pPr>
      <w:r>
        <w:rPr>
          <w:rFonts w:ascii="Times New Roman" w:hAnsi="Times New Roman"/>
        </w:rPr>
        <w:t xml:space="preserve">Not applicable.  </w:t>
      </w:r>
      <w:r w:rsidR="002856BC">
        <w:rPr>
          <w:rFonts w:ascii="Times New Roman" w:hAnsi="Times New Roman"/>
        </w:rPr>
        <w:t>T</w:t>
      </w:r>
      <w:r w:rsidR="0087722F">
        <w:rPr>
          <w:rFonts w:ascii="Times New Roman" w:hAnsi="Times New Roman"/>
        </w:rPr>
        <w:t>he Commission determined</w:t>
      </w:r>
      <w:r>
        <w:rPr>
          <w:rFonts w:ascii="Times New Roman" w:hAnsi="Times New Roman"/>
        </w:rPr>
        <w:t xml:space="preserve"> “good cause” was established</w:t>
      </w:r>
    </w:p>
    <w:p w:rsidR="00032D9E" w:rsidRDefault="0087722F" w:rsidP="008B1201">
      <w:pPr>
        <w:tabs>
          <w:tab w:val="left" w:pos="-720"/>
          <w:tab w:val="left" w:pos="0"/>
        </w:tabs>
        <w:suppressAutoHyphens/>
        <w:rPr>
          <w:rFonts w:ascii="Times New Roman" w:hAnsi="Times New Roman"/>
        </w:rPr>
      </w:pPr>
      <w:r>
        <w:rPr>
          <w:rFonts w:ascii="Times New Roman" w:hAnsi="Times New Roman"/>
        </w:rPr>
        <w:t xml:space="preserve">under 5 U.S.C. 553(b) by special order of Congress in </w:t>
      </w:r>
      <w:r w:rsidR="008B1201">
        <w:rPr>
          <w:rFonts w:ascii="Times New Roman" w:hAnsi="Times New Roman"/>
        </w:rPr>
        <w:t xml:space="preserve">the </w:t>
      </w:r>
      <w:r>
        <w:rPr>
          <w:rFonts w:ascii="Times New Roman" w:hAnsi="Times New Roman"/>
        </w:rPr>
        <w:t xml:space="preserve">Dodd-Frank </w:t>
      </w:r>
      <w:r w:rsidR="008B1201">
        <w:rPr>
          <w:rFonts w:ascii="Times New Roman" w:hAnsi="Times New Roman"/>
        </w:rPr>
        <w:t xml:space="preserve">Act and, therefore, </w:t>
      </w:r>
      <w:r>
        <w:rPr>
          <w:rFonts w:ascii="Times New Roman" w:hAnsi="Times New Roman"/>
        </w:rPr>
        <w:t>a “small entity” analysis for purposes of the Regulatory Flexibility Act</w:t>
      </w:r>
      <w:r w:rsidR="002856BC">
        <w:rPr>
          <w:rFonts w:ascii="Times New Roman" w:hAnsi="Times New Roman"/>
        </w:rPr>
        <w:t xml:space="preserve"> was not required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BA5783" w:rsidRDefault="00BA5783">
      <w:pPr>
        <w:tabs>
          <w:tab w:val="left" w:pos="-720"/>
          <w:tab w:val="left" w:pos="0"/>
        </w:tabs>
        <w:suppressAutoHyphens/>
        <w:ind w:left="720" w:hanging="720"/>
        <w:rPr>
          <w:rFonts w:ascii="Times New Roman" w:hAnsi="Times New Roman"/>
        </w:rPr>
      </w:pPr>
    </w:p>
    <w:p w:rsidR="00BA5783" w:rsidRDefault="0072621F" w:rsidP="0072621F">
      <w:pPr>
        <w:tabs>
          <w:tab w:val="left" w:pos="-720"/>
          <w:tab w:val="left" w:pos="0"/>
        </w:tabs>
        <w:suppressAutoHyphens/>
        <w:rPr>
          <w:rFonts w:ascii="Times New Roman" w:hAnsi="Times New Roman"/>
        </w:rPr>
      </w:pPr>
      <w:r>
        <w:rPr>
          <w:rFonts w:ascii="Times New Roman" w:hAnsi="Times New Roman"/>
        </w:rPr>
        <w:tab/>
      </w:r>
      <w:r w:rsidR="001E3AD9">
        <w:rPr>
          <w:rFonts w:ascii="Times New Roman" w:hAnsi="Times New Roman"/>
        </w:rPr>
        <w:t xml:space="preserve">As noted, the interim final rule establishes that reporting requirements to be promulgated by the Commission under section 2(h)(5) of the CEA will apply to pre-enactment unexpired swaps; it thus serves as notice to counterparties of a present obligation to retain data relating to such swaps for reporting at a future time subject to regulations not yet adopted.  The </w:t>
      </w:r>
      <w:r w:rsidR="00BA5783">
        <w:rPr>
          <w:rFonts w:ascii="Times New Roman" w:hAnsi="Times New Roman"/>
        </w:rPr>
        <w:t xml:space="preserve">frequency of </w:t>
      </w:r>
      <w:r w:rsidR="0087722F">
        <w:rPr>
          <w:rFonts w:ascii="Times New Roman" w:hAnsi="Times New Roman"/>
        </w:rPr>
        <w:t xml:space="preserve">collection of information by way of recordkeeping </w:t>
      </w:r>
      <w:r w:rsidR="00BA5783">
        <w:rPr>
          <w:rFonts w:ascii="Times New Roman" w:hAnsi="Times New Roman"/>
        </w:rPr>
        <w:t xml:space="preserve">set forth in the </w:t>
      </w:r>
      <w:r w:rsidR="00FF27D6">
        <w:rPr>
          <w:rFonts w:ascii="Times New Roman" w:hAnsi="Times New Roman"/>
        </w:rPr>
        <w:t>interim final rule</w:t>
      </w:r>
      <w:r w:rsidR="001E3AD9">
        <w:rPr>
          <w:rFonts w:ascii="Times New Roman" w:hAnsi="Times New Roman"/>
        </w:rPr>
        <w:t>, which is ongoing, is essential to provide full and complete records of the swap transaction</w:t>
      </w:r>
    </w:p>
    <w:p w:rsidR="002D133A" w:rsidRDefault="002D133A" w:rsidP="0072621F">
      <w:pPr>
        <w:tabs>
          <w:tab w:val="left" w:pos="-720"/>
          <w:tab w:val="left" w:pos="0"/>
        </w:tabs>
        <w:suppressAutoHyphens/>
        <w:ind w:left="720" w:hanging="720"/>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FA0BB4" w:rsidRDefault="00FA0BB4">
      <w:pPr>
        <w:tabs>
          <w:tab w:val="left" w:pos="-720"/>
          <w:tab w:val="left" w:pos="0"/>
          <w:tab w:val="left" w:pos="720"/>
        </w:tabs>
        <w:suppressAutoHyphens/>
        <w:ind w:left="1440" w:hanging="1440"/>
        <w:rPr>
          <w:rFonts w:ascii="Times New Roman" w:hAnsi="Times New Roman"/>
          <w:u w:val="single"/>
        </w:rPr>
      </w:pPr>
    </w:p>
    <w:p w:rsidR="00D9422C" w:rsidRDefault="00143F22" w:rsidP="00143F22">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1E3789">
        <w:rPr>
          <w:rFonts w:ascii="Times New Roman" w:hAnsi="Times New Roman"/>
        </w:rPr>
        <w:t>This does not apply.</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 xml:space="preserve">requiring respondents to prepare a written response to a collection of information in fewer </w:t>
      </w:r>
      <w:r w:rsidR="001E3AD9">
        <w:rPr>
          <w:rFonts w:ascii="Times New Roman" w:hAnsi="Times New Roman"/>
          <w:u w:val="single"/>
        </w:rPr>
        <w:t>than 30 days after receipt</w:t>
      </w:r>
      <w:r w:rsidR="00FA0BB4">
        <w:rPr>
          <w:rFonts w:ascii="Times New Roman" w:hAnsi="Times New Roman"/>
          <w:u w:val="single"/>
        </w:rPr>
        <w:t>;</w:t>
      </w:r>
    </w:p>
    <w:p w:rsidR="00FA0BB4" w:rsidRDefault="00FA0BB4">
      <w:pPr>
        <w:tabs>
          <w:tab w:val="left" w:pos="-720"/>
          <w:tab w:val="left" w:pos="0"/>
          <w:tab w:val="left" w:pos="720"/>
        </w:tabs>
        <w:suppressAutoHyphens/>
        <w:ind w:left="1440" w:hanging="1440"/>
        <w:rPr>
          <w:rFonts w:ascii="Times New Roman" w:hAnsi="Times New Roman"/>
          <w:u w:val="single"/>
        </w:rPr>
      </w:pPr>
    </w:p>
    <w:p w:rsidR="00FA0BB4" w:rsidRPr="00FA0BB4" w:rsidRDefault="001E3789" w:rsidP="00E62AFC">
      <w:pPr>
        <w:tabs>
          <w:tab w:val="left" w:pos="-720"/>
        </w:tabs>
        <w:suppressAutoHyphens/>
        <w:rPr>
          <w:rFonts w:ascii="Times New Roman" w:hAnsi="Times New Roman"/>
        </w:rPr>
      </w:pPr>
      <w:r>
        <w:rPr>
          <w:rFonts w:ascii="Times New Roman" w:hAnsi="Times New Roman"/>
        </w:rPr>
        <w:tab/>
        <w:t>In the event that an SDR becomes registered and is able to accept the data for a particular pre-enactment unexpired swap, respondents may be required to respond to the Commission’s request to submit data to the SDR in fewer than 30 days.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w:t>
      </w:r>
      <w:r w:rsidR="007E38E4">
        <w:rPr>
          <w:rFonts w:ascii="Times New Roman" w:hAnsi="Times New Roman"/>
          <w:u w:val="single"/>
        </w:rPr>
        <w:t xml:space="preserve">n </w:t>
      </w:r>
      <w:r>
        <w:rPr>
          <w:rFonts w:ascii="Times New Roman" w:hAnsi="Times New Roman"/>
          <w:u w:val="single"/>
        </w:rPr>
        <w:t>an original and two copies of any document</w:t>
      </w:r>
      <w:r>
        <w:rPr>
          <w:rFonts w:ascii="Times New Roman" w:hAnsi="Times New Roman"/>
        </w:rPr>
        <w:t>;</w:t>
      </w:r>
    </w:p>
    <w:p w:rsidR="002D133A" w:rsidRDefault="002D133A">
      <w:pPr>
        <w:tabs>
          <w:tab w:val="left" w:pos="-720"/>
        </w:tabs>
        <w:suppressAutoHyphens/>
        <w:rPr>
          <w:rFonts w:ascii="Times New Roman" w:hAnsi="Times New Roman"/>
        </w:rPr>
      </w:pPr>
    </w:p>
    <w:p w:rsidR="00BB202A" w:rsidRDefault="008B1201">
      <w:pPr>
        <w:tabs>
          <w:tab w:val="left" w:pos="-720"/>
        </w:tabs>
        <w:suppressAutoHyphens/>
        <w:rPr>
          <w:rFonts w:ascii="Times New Roman" w:hAnsi="Times New Roman"/>
        </w:rPr>
      </w:pPr>
      <w:r>
        <w:rPr>
          <w:rFonts w:ascii="Times New Roman" w:hAnsi="Times New Roman"/>
        </w:rPr>
        <w:tab/>
      </w:r>
      <w:r w:rsidR="00E62AFC">
        <w:rPr>
          <w:rFonts w:ascii="Times New Roman" w:hAnsi="Times New Roman"/>
        </w:rPr>
        <w:t>This does not apply.</w:t>
      </w:r>
    </w:p>
    <w:p w:rsidR="00BB202A" w:rsidRDefault="00BB202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BB202A" w:rsidRDefault="00BB202A">
      <w:pPr>
        <w:tabs>
          <w:tab w:val="left" w:pos="-720"/>
          <w:tab w:val="left" w:pos="0"/>
          <w:tab w:val="left" w:pos="720"/>
        </w:tabs>
        <w:suppressAutoHyphens/>
        <w:ind w:left="1440" w:hanging="1440"/>
        <w:rPr>
          <w:rFonts w:ascii="Times New Roman" w:hAnsi="Times New Roman"/>
        </w:rPr>
      </w:pPr>
    </w:p>
    <w:p w:rsidR="00BB202A" w:rsidRDefault="00BB202A" w:rsidP="00BB202A">
      <w:pPr>
        <w:tabs>
          <w:tab w:val="left" w:pos="-720"/>
        </w:tabs>
        <w:suppressAutoHyphens/>
        <w:rPr>
          <w:rFonts w:ascii="Times New Roman" w:hAnsi="Times New Roman"/>
        </w:rPr>
      </w:pPr>
      <w:r>
        <w:rPr>
          <w:rFonts w:ascii="Times New Roman" w:hAnsi="Times New Roman"/>
        </w:rPr>
        <w:lastRenderedPageBreak/>
        <w:tab/>
      </w:r>
      <w:r w:rsidR="001E3789">
        <w:rPr>
          <w:rFonts w:ascii="Times New Roman" w:hAnsi="Times New Roman"/>
        </w:rPr>
        <w:t>This does not apply</w:t>
      </w:r>
      <w:r w:rsidR="00AB625A">
        <w:rPr>
          <w:rFonts w:ascii="Times New Roman" w:hAnsi="Times New Roman"/>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315019" w:rsidRDefault="008B1201">
      <w:pPr>
        <w:tabs>
          <w:tab w:val="left" w:pos="-720"/>
        </w:tabs>
        <w:suppressAutoHyphens/>
        <w:rPr>
          <w:rFonts w:ascii="Times New Roman" w:hAnsi="Times New Roman"/>
        </w:rPr>
      </w:pPr>
      <w:r>
        <w:rPr>
          <w:rFonts w:ascii="Times New Roman" w:hAnsi="Times New Roman"/>
        </w:rPr>
        <w:tab/>
      </w:r>
      <w:r w:rsidR="00E62AFC">
        <w:rPr>
          <w:rFonts w:ascii="Times New Roman" w:hAnsi="Times New Roman"/>
        </w:rPr>
        <w:t>This does not apply.</w:t>
      </w:r>
    </w:p>
    <w:p w:rsidR="00315019" w:rsidRDefault="00315019">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2D133A" w:rsidRDefault="002D133A">
      <w:pPr>
        <w:tabs>
          <w:tab w:val="left" w:pos="-720"/>
        </w:tabs>
        <w:suppressAutoHyphens/>
        <w:rPr>
          <w:rFonts w:ascii="Times New Roman" w:hAnsi="Times New Roman"/>
        </w:rPr>
      </w:pPr>
    </w:p>
    <w:p w:rsidR="00315019" w:rsidRDefault="00E62AFC" w:rsidP="008B1201">
      <w:pPr>
        <w:tabs>
          <w:tab w:val="left" w:pos="-720"/>
        </w:tabs>
        <w:suppressAutoHyphens/>
        <w:ind w:firstLine="720"/>
        <w:rPr>
          <w:rFonts w:ascii="Times New Roman" w:hAnsi="Times New Roman"/>
        </w:rPr>
      </w:pPr>
      <w:r>
        <w:rPr>
          <w:rFonts w:ascii="Times New Roman" w:hAnsi="Times New Roman"/>
        </w:rPr>
        <w:t>This does not apply.</w:t>
      </w:r>
    </w:p>
    <w:p w:rsidR="00315019" w:rsidRDefault="00315019">
      <w:pPr>
        <w:tabs>
          <w:tab w:val="left" w:pos="-720"/>
        </w:tabs>
        <w:suppressAutoHyphens/>
        <w:rPr>
          <w:rFonts w:ascii="Times New Roman" w:hAnsi="Times New Roman"/>
        </w:rPr>
      </w:pPr>
      <w:r>
        <w:rPr>
          <w:rFonts w:ascii="Times New Roman" w:hAnsi="Times New Roman"/>
        </w:rPr>
        <w:tab/>
      </w: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w:t>
      </w:r>
      <w:r w:rsidR="00EB0D2C">
        <w:rPr>
          <w:rFonts w:ascii="Times New Roman" w:hAnsi="Times New Roman"/>
          <w:u w:val="single"/>
        </w:rPr>
        <w:t>t</w:t>
      </w:r>
      <w:r>
        <w:rPr>
          <w:rFonts w:ascii="Times New Roman" w:hAnsi="Times New Roman"/>
          <w:u w:val="single"/>
        </w:rPr>
        <w:t>e or regulation, that is not supported by disclosure and data security policies that are consistent with the pledge, or which unnecessarily impedes sharing of data with other agencies for compatible confidential use; or</w:t>
      </w:r>
    </w:p>
    <w:p w:rsidR="00991FB3" w:rsidRDefault="00991FB3">
      <w:pPr>
        <w:tabs>
          <w:tab w:val="left" w:pos="-720"/>
          <w:tab w:val="left" w:pos="0"/>
          <w:tab w:val="left" w:pos="720"/>
        </w:tabs>
        <w:suppressAutoHyphens/>
        <w:ind w:left="1440" w:hanging="1440"/>
        <w:rPr>
          <w:rFonts w:ascii="Times New Roman" w:hAnsi="Times New Roman"/>
          <w:u w:val="single"/>
        </w:rPr>
      </w:pPr>
    </w:p>
    <w:p w:rsidR="00991FB3" w:rsidRDefault="00991FB3">
      <w:pPr>
        <w:tabs>
          <w:tab w:val="left" w:pos="-720"/>
          <w:tab w:val="left" w:pos="0"/>
          <w:tab w:val="left" w:pos="720"/>
        </w:tabs>
        <w:suppressAutoHyphens/>
        <w:ind w:left="1440" w:hanging="1440"/>
        <w:rPr>
          <w:rFonts w:ascii="Times New Roman" w:hAnsi="Times New Roman"/>
        </w:rPr>
      </w:pPr>
      <w:r>
        <w:rPr>
          <w:rFonts w:ascii="Times New Roman" w:hAnsi="Times New Roman"/>
        </w:rPr>
        <w:tab/>
        <w:t>Section 21(c)(6) of the CEA requires that SDRs protect the privacy of the information</w:t>
      </w:r>
    </w:p>
    <w:p w:rsidR="00991FB3" w:rsidRDefault="00991FB3">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that is reported to them.  In addition, </w:t>
      </w:r>
      <w:r w:rsidRPr="00EB0D2C">
        <w:rPr>
          <w:rFonts w:ascii="Times New Roman" w:hAnsi="Times New Roman"/>
        </w:rPr>
        <w:t xml:space="preserve">Section 8(a) of the CEA </w:t>
      </w:r>
      <w:r>
        <w:rPr>
          <w:rFonts w:ascii="Times New Roman" w:hAnsi="Times New Roman"/>
        </w:rPr>
        <w:t>generally prohibits the</w:t>
      </w:r>
    </w:p>
    <w:p w:rsidR="00991FB3" w:rsidRDefault="00991FB3">
      <w:pPr>
        <w:tabs>
          <w:tab w:val="left" w:pos="-720"/>
          <w:tab w:val="left" w:pos="0"/>
          <w:tab w:val="left" w:pos="720"/>
        </w:tabs>
        <w:suppressAutoHyphens/>
        <w:ind w:left="1440" w:hanging="1440"/>
        <w:rPr>
          <w:rFonts w:ascii="Times New Roman" w:hAnsi="Times New Roman"/>
        </w:rPr>
      </w:pPr>
      <w:r>
        <w:rPr>
          <w:rFonts w:ascii="Times New Roman" w:hAnsi="Times New Roman"/>
        </w:rPr>
        <w:t>Commission from separately disclosing the “</w:t>
      </w:r>
      <w:r w:rsidRPr="00EB0D2C">
        <w:rPr>
          <w:rFonts w:ascii="Times New Roman" w:hAnsi="Times New Roman"/>
        </w:rPr>
        <w:t xml:space="preserve">business transactions or market positions of any </w:t>
      </w:r>
    </w:p>
    <w:p w:rsidR="00991FB3" w:rsidRDefault="00991FB3" w:rsidP="00A9477C">
      <w:pPr>
        <w:tabs>
          <w:tab w:val="left" w:pos="-720"/>
          <w:tab w:val="left" w:pos="0"/>
          <w:tab w:val="left" w:pos="720"/>
        </w:tabs>
        <w:suppressAutoHyphens/>
        <w:rPr>
          <w:rFonts w:ascii="Times New Roman" w:hAnsi="Times New Roman"/>
        </w:rPr>
      </w:pPr>
      <w:r w:rsidRPr="00EB0D2C">
        <w:rPr>
          <w:rFonts w:ascii="Times New Roman" w:hAnsi="Times New Roman"/>
        </w:rPr>
        <w:t>perso</w:t>
      </w:r>
      <w:r>
        <w:rPr>
          <w:rFonts w:ascii="Times New Roman" w:hAnsi="Times New Roman"/>
        </w:rPr>
        <w:t xml:space="preserve">n and trade </w:t>
      </w:r>
      <w:r w:rsidRPr="00EB0D2C">
        <w:rPr>
          <w:rFonts w:ascii="Times New Roman" w:hAnsi="Times New Roman"/>
        </w:rPr>
        <w:t xml:space="preserve">secrets or names of customers.”  </w:t>
      </w:r>
      <w:r>
        <w:rPr>
          <w:rFonts w:ascii="Times New Roman" w:hAnsi="Times New Roman"/>
        </w:rPr>
        <w:t>The Commission also has adopted</w:t>
      </w:r>
      <w:r w:rsidR="00A9477C">
        <w:rPr>
          <w:rFonts w:ascii="Times New Roman" w:hAnsi="Times New Roman"/>
        </w:rPr>
        <w:t xml:space="preserve"> regulations under the </w:t>
      </w:r>
      <w:r>
        <w:rPr>
          <w:rFonts w:ascii="Times New Roman" w:hAnsi="Times New Roman"/>
        </w:rPr>
        <w:t xml:space="preserve"> Freedom of Information Act</w:t>
      </w:r>
      <w:r w:rsidR="00A9477C">
        <w:rPr>
          <w:rStyle w:val="FootnoteReference"/>
          <w:rFonts w:ascii="Times New Roman" w:hAnsi="Times New Roman"/>
        </w:rPr>
        <w:footnoteReference w:id="5"/>
      </w:r>
      <w:r>
        <w:rPr>
          <w:rFonts w:ascii="Times New Roman" w:hAnsi="Times New Roman"/>
        </w:rPr>
        <w:t xml:space="preserve"> whi</w:t>
      </w:r>
      <w:r w:rsidR="00A9477C">
        <w:rPr>
          <w:rFonts w:ascii="Times New Roman" w:hAnsi="Times New Roman"/>
        </w:rPr>
        <w:t>ch implement that statute.</w:t>
      </w:r>
      <w:r>
        <w:rPr>
          <w:rFonts w:ascii="Times New Roman" w:hAnsi="Times New Roman"/>
        </w:rPr>
        <w:t xml:space="preserve"> </w:t>
      </w:r>
      <w:r w:rsidR="00A9477C">
        <w:rPr>
          <w:rFonts w:ascii="Times New Roman" w:hAnsi="Times New Roman"/>
        </w:rPr>
        <w:t>See 17 C.F.R. §145</w:t>
      </w:r>
    </w:p>
    <w:p w:rsidR="007020DB" w:rsidRDefault="007020DB">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Both the Freedom of Information Act and the Commission’s Part 145 regulations </w:t>
      </w:r>
    </w:p>
    <w:p w:rsidR="00315019" w:rsidRDefault="007020DB" w:rsidP="001E3AD9">
      <w:pPr>
        <w:tabs>
          <w:tab w:val="left" w:pos="-720"/>
          <w:tab w:val="left" w:pos="0"/>
          <w:tab w:val="left" w:pos="720"/>
        </w:tabs>
        <w:suppressAutoHyphens/>
        <w:rPr>
          <w:rFonts w:ascii="Times New Roman" w:hAnsi="Times New Roman"/>
          <w:u w:val="single"/>
        </w:rPr>
      </w:pPr>
      <w:r>
        <w:rPr>
          <w:rFonts w:ascii="Times New Roman" w:hAnsi="Times New Roman"/>
        </w:rPr>
        <w:t xml:space="preserve">make nonpublic information </w:t>
      </w:r>
      <w:r w:rsidR="001E3AD9">
        <w:rPr>
          <w:rFonts w:ascii="Times New Roman" w:hAnsi="Times New Roman"/>
        </w:rPr>
        <w:t xml:space="preserve">that is </w:t>
      </w:r>
      <w:r>
        <w:rPr>
          <w:rFonts w:ascii="Times New Roman" w:hAnsi="Times New Roman"/>
        </w:rPr>
        <w:t>exempt from disclosure by ano</w:t>
      </w:r>
      <w:r w:rsidR="001E3AD9">
        <w:rPr>
          <w:rFonts w:ascii="Times New Roman" w:hAnsi="Times New Roman"/>
        </w:rPr>
        <w:t>ther federal</w:t>
      </w:r>
      <w:r w:rsidR="00A9477C">
        <w:rPr>
          <w:rFonts w:ascii="Times New Roman" w:hAnsi="Times New Roman"/>
        </w:rPr>
        <w:t xml:space="preserve"> </w:t>
      </w:r>
      <w:r w:rsidR="001E3AD9">
        <w:rPr>
          <w:rFonts w:ascii="Times New Roman" w:hAnsi="Times New Roman"/>
        </w:rPr>
        <w:t>statute, including</w:t>
      </w:r>
      <w:r w:rsidR="00A9477C">
        <w:rPr>
          <w:rFonts w:ascii="Times New Roman" w:hAnsi="Times New Roman"/>
        </w:rPr>
        <w:t xml:space="preserve"> </w:t>
      </w:r>
      <w:r>
        <w:rPr>
          <w:rFonts w:ascii="Times New Roman" w:hAnsi="Times New Roman"/>
        </w:rPr>
        <w:t xml:space="preserve">Section8(a) of the CEA.  </w:t>
      </w:r>
      <w:r w:rsidR="00991FB3" w:rsidRPr="00B05A72">
        <w:rPr>
          <w:rFonts w:ascii="Times New Roman" w:hAnsi="Times New Roman"/>
          <w:szCs w:val="24"/>
        </w:rPr>
        <w:t>See</w:t>
      </w:r>
      <w:r w:rsidR="00991FB3" w:rsidRPr="00D9422C">
        <w:rPr>
          <w:rFonts w:ascii="Times New Roman" w:hAnsi="Times New Roman"/>
          <w:szCs w:val="24"/>
        </w:rPr>
        <w:t xml:space="preserve"> 5 U.S.C. § 552(b)(3) and 17 C.F.R. §</w:t>
      </w:r>
      <w:r w:rsidR="005459A2">
        <w:rPr>
          <w:rFonts w:ascii="Times New Roman" w:hAnsi="Times New Roman"/>
          <w:szCs w:val="24"/>
        </w:rPr>
        <w:t xml:space="preserve"> </w:t>
      </w:r>
      <w:r w:rsidR="00991FB3" w:rsidRPr="00D9422C">
        <w:rPr>
          <w:rFonts w:ascii="Times New Roman" w:hAnsi="Times New Roman"/>
          <w:szCs w:val="24"/>
        </w:rPr>
        <w:t>145</w:t>
      </w:r>
      <w:r w:rsidR="00A9477C">
        <w:rPr>
          <w:rFonts w:ascii="Times New Roman" w:hAnsi="Times New Roman"/>
          <w:szCs w:val="24"/>
        </w:rPr>
        <w:t>.5</w:t>
      </w:r>
      <w:r w:rsidR="00991FB3" w:rsidRPr="00D9422C">
        <w:rPr>
          <w:rFonts w:ascii="Times New Roman" w:hAnsi="Times New Roman"/>
          <w:szCs w:val="24"/>
        </w:rPr>
        <w:t>(c)</w:t>
      </w:r>
      <w:r w:rsidR="00A9477C">
        <w:rPr>
          <w:rFonts w:ascii="Times New Roman" w:hAnsi="Times New Roman"/>
          <w:szCs w:val="24"/>
        </w:rPr>
        <w:t>.</w:t>
      </w:r>
      <w:r w:rsidR="00A9477C">
        <w:rPr>
          <w:rFonts w:ascii="Times New Roman" w:hAnsi="Times New Roman"/>
          <w:szCs w:val="24"/>
        </w:rPr>
        <w:tab/>
      </w:r>
      <w:r w:rsidR="00991FB3" w:rsidRPr="00D9422C">
        <w:rPr>
          <w:rFonts w:ascii="Times New Roman" w:hAnsi="Times New Roman"/>
          <w:szCs w:val="24"/>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315019" w:rsidRDefault="00315019">
      <w:pPr>
        <w:tabs>
          <w:tab w:val="left" w:pos="-720"/>
          <w:tab w:val="left" w:pos="0"/>
          <w:tab w:val="left" w:pos="720"/>
        </w:tabs>
        <w:suppressAutoHyphens/>
        <w:ind w:left="1440" w:hanging="1440"/>
        <w:rPr>
          <w:rFonts w:ascii="Times New Roman" w:hAnsi="Times New Roman"/>
        </w:rPr>
      </w:pPr>
    </w:p>
    <w:p w:rsidR="00337AAB" w:rsidRDefault="00315019" w:rsidP="00EB0D2C">
      <w:pPr>
        <w:rPr>
          <w:rFonts w:ascii="Times New Roman" w:hAnsi="Times New Roman"/>
        </w:rPr>
      </w:pPr>
      <w:r>
        <w:rPr>
          <w:rFonts w:ascii="Times New Roman" w:hAnsi="Times New Roman"/>
        </w:rPr>
        <w:tab/>
      </w:r>
      <w:r w:rsidR="00991FB3">
        <w:rPr>
          <w:rFonts w:ascii="Times New Roman" w:hAnsi="Times New Roman"/>
        </w:rPr>
        <w:t xml:space="preserve">Section 8 of the CEA requires the Commission to keep confidential information regarding market positions, business transactions, trade secrets and certain information subject to limited exceptions </w:t>
      </w:r>
      <w:r w:rsidR="008B1201">
        <w:rPr>
          <w:rFonts w:ascii="Times New Roman" w:hAnsi="Times New Roman"/>
        </w:rPr>
        <w:t>set forth in Section 8(b) and (e</w:t>
      </w:r>
      <w:r w:rsidR="00991FB3">
        <w:rPr>
          <w:rFonts w:ascii="Times New Roman" w:hAnsi="Times New Roman"/>
        </w:rPr>
        <w:t>) of the CEA.</w:t>
      </w:r>
    </w:p>
    <w:p w:rsidR="00D9422C" w:rsidRDefault="00D9422C" w:rsidP="00D9422C">
      <w:pPr>
        <w:tabs>
          <w:tab w:val="left" w:pos="8409"/>
        </w:tabs>
      </w:pPr>
      <w:r w:rsidRPr="00D9422C">
        <w:rPr>
          <w:rFonts w:ascii="Times New Roman" w:hAnsi="Times New Roman"/>
        </w:rPr>
        <w:tab/>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133A" w:rsidRDefault="002D133A">
      <w:pPr>
        <w:tabs>
          <w:tab w:val="left" w:pos="-720"/>
        </w:tabs>
        <w:suppressAutoHyphens/>
        <w:rPr>
          <w:rFonts w:ascii="Times New Roman" w:hAnsi="Times New Roman"/>
        </w:rPr>
      </w:pPr>
    </w:p>
    <w:p w:rsidR="00315019" w:rsidRDefault="00315019">
      <w:pPr>
        <w:tabs>
          <w:tab w:val="left" w:pos="-720"/>
        </w:tabs>
        <w:suppressAutoHyphens/>
        <w:rPr>
          <w:rFonts w:ascii="Times New Roman" w:hAnsi="Times New Roman"/>
        </w:rPr>
      </w:pPr>
      <w:r>
        <w:rPr>
          <w:rFonts w:ascii="Times New Roman" w:hAnsi="Times New Roman"/>
        </w:rPr>
        <w:tab/>
      </w:r>
      <w:r w:rsidR="00991FB3">
        <w:rPr>
          <w:rFonts w:ascii="Times New Roman" w:hAnsi="Times New Roman"/>
        </w:rPr>
        <w:t xml:space="preserve">The interim final rule specifically did not solicit comments </w:t>
      </w:r>
      <w:r w:rsidR="008B1201">
        <w:rPr>
          <w:rFonts w:ascii="Times New Roman" w:hAnsi="Times New Roman"/>
        </w:rPr>
        <w:t>on the information</w:t>
      </w:r>
      <w:r w:rsidR="00991FB3">
        <w:rPr>
          <w:rFonts w:ascii="Times New Roman" w:hAnsi="Times New Roman"/>
        </w:rPr>
        <w:t xml:space="preserve"> collection.</w:t>
      </w:r>
      <w:r w:rsidR="00A9477C">
        <w:rPr>
          <w:rFonts w:ascii="Times New Roman" w:hAnsi="Times New Roman"/>
        </w:rPr>
        <w:t xml:space="preserve">  The Commission subsequently published</w:t>
      </w:r>
      <w:r w:rsidR="001E5157">
        <w:rPr>
          <w:rFonts w:ascii="Times New Roman" w:hAnsi="Times New Roman"/>
        </w:rPr>
        <w:t xml:space="preserve"> in the Federal Register the notice required by 5 C.F.R. </w:t>
      </w:r>
      <w:r w:rsidR="001E5157">
        <w:rPr>
          <w:rFonts w:ascii="Times New Roman" w:hAnsi="Times New Roman"/>
        </w:rPr>
        <w:lastRenderedPageBreak/>
        <w:t>§ 1320.8(d)</w:t>
      </w:r>
      <w:r w:rsidR="001E5157">
        <w:rPr>
          <w:rStyle w:val="FootnoteReference"/>
          <w:rFonts w:ascii="Times New Roman" w:hAnsi="Times New Roman"/>
        </w:rPr>
        <w:footnoteReference w:id="6"/>
      </w:r>
      <w:r w:rsidR="001E5157">
        <w:rPr>
          <w:rFonts w:ascii="Times New Roman" w:hAnsi="Times New Roman"/>
        </w:rPr>
        <w:t xml:space="preserve"> and received one responsive comment.  </w:t>
      </w:r>
      <w:r w:rsidR="000D677F">
        <w:rPr>
          <w:rFonts w:ascii="Times New Roman" w:hAnsi="Times New Roman"/>
        </w:rPr>
        <w:t>Trade associations comprising the “Not-For-Profit End User Coalition” (the “Coalition”) challenged the CFTC’s estimates of the regulatory burdens imposed by the interim final rule.  Specifically, the Coalition disputed the Commission’s estimate of 1800 respondents/affected entities, noting that there are approximately 2900 Coalition member-end users, some or all of whom may engage in transactions that will be defined as swaps.  In response to this comment, the Commission has adjusted its estimate of the number of respondents/affected entities to include all potential end-user counterparties; the new estimate is 32,000.  The Coalition also challenged the Commission’s esti</w:t>
      </w:r>
      <w:r w:rsidR="00952DA5">
        <w:rPr>
          <w:rFonts w:ascii="Times New Roman" w:hAnsi="Times New Roman"/>
        </w:rPr>
        <w:t>mate that the burden per respondent is .5 hour.  The Coalition argued that each of its members must review and understand the Dodd-Frank Act and the CEA in order to understand why the Commission has jurisdiction over pre-enactment swaps.  Further, at some future date the Commission will require that retained data be submitted to an SDR, and additionally may require that the data be manipulated or interpreted—each of these activities would significantly increase the burden on respondents.  The Commission was not persuaded by this argument.  The interim final rule requires only that potential reporting entities be prepared to comply with recordkeeping and reporting requirements when they are adopted, which requires only that they retain records kept in the normal course of business; statutory analysis and interpretation may generally be required of entities subject to the CEA, but that activity is not specific to thi</w:t>
      </w:r>
      <w:r w:rsidR="00492BF5">
        <w:rPr>
          <w:rFonts w:ascii="Times New Roman" w:hAnsi="Times New Roman"/>
        </w:rPr>
        <w:t>s collection.  With respect to the perceived burdens that may be imposed in connection with other rulemakings, those burdens cannot, nor should they be, quantified in the instant collection.  Accordingly, the Commission has not amended its estimate of the hour and cost burden.</w:t>
      </w:r>
    </w:p>
    <w:p w:rsidR="000D677F" w:rsidRDefault="000D677F">
      <w:pPr>
        <w:tabs>
          <w:tab w:val="left" w:pos="-720"/>
        </w:tabs>
        <w:suppressAutoHyphens/>
        <w:rPr>
          <w:rFonts w:ascii="Times New Roman" w:hAnsi="Times New Roman"/>
        </w:rPr>
      </w:pPr>
    </w:p>
    <w:p w:rsidR="000D677F" w:rsidRDefault="000D677F">
      <w:pPr>
        <w:tabs>
          <w:tab w:val="left" w:pos="-720"/>
        </w:tabs>
        <w:suppressAutoHyphens/>
        <w:rPr>
          <w:rFonts w:ascii="Times New Roman" w:hAnsi="Times New Roman"/>
        </w:rPr>
      </w:pPr>
      <w:r>
        <w:rPr>
          <w:rFonts w:ascii="Times New Roman" w:hAnsi="Times New Roman"/>
        </w:rPr>
        <w:tab/>
      </w:r>
    </w:p>
    <w:p w:rsidR="00315019" w:rsidRDefault="0031501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133A" w:rsidRDefault="002D133A">
      <w:pPr>
        <w:tabs>
          <w:tab w:val="left" w:pos="-720"/>
        </w:tabs>
        <w:suppressAutoHyphens/>
        <w:rPr>
          <w:rFonts w:ascii="Times New Roman" w:hAnsi="Times New Roman"/>
          <w:u w:val="single"/>
        </w:rPr>
      </w:pPr>
    </w:p>
    <w:p w:rsidR="007B55D0" w:rsidRDefault="007B55D0">
      <w:pPr>
        <w:tabs>
          <w:tab w:val="left" w:pos="-720"/>
        </w:tabs>
        <w:suppressAutoHyphens/>
        <w:rPr>
          <w:rFonts w:ascii="Times New Roman" w:hAnsi="Times New Roman"/>
          <w:u w:val="single"/>
        </w:rPr>
      </w:pPr>
    </w:p>
    <w:p w:rsidR="00B05A72" w:rsidRPr="00A3539D" w:rsidRDefault="007B55D0" w:rsidP="00991FB3">
      <w:pPr>
        <w:tabs>
          <w:tab w:val="left" w:pos="-720"/>
        </w:tabs>
        <w:suppressAutoHyphens/>
        <w:rPr>
          <w:rFonts w:ascii="Times New Roman" w:hAnsi="Times New Roman"/>
        </w:rPr>
      </w:pPr>
      <w:r>
        <w:rPr>
          <w:rFonts w:ascii="Times New Roman" w:hAnsi="Times New Roman"/>
        </w:rPr>
        <w:tab/>
      </w:r>
      <w:r w:rsidR="005229A6">
        <w:rPr>
          <w:rFonts w:ascii="Times New Roman" w:hAnsi="Times New Roman"/>
        </w:rPr>
        <w:t xml:space="preserve">The Commission did not </w:t>
      </w:r>
      <w:r w:rsidR="001F1465">
        <w:rPr>
          <w:rFonts w:ascii="Times New Roman" w:hAnsi="Times New Roman"/>
        </w:rPr>
        <w:t xml:space="preserve">solicit general comments from the public regarding </w:t>
      </w:r>
      <w:r w:rsidR="005229A6">
        <w:rPr>
          <w:rFonts w:ascii="Times New Roman" w:hAnsi="Times New Roman"/>
        </w:rPr>
        <w:t xml:space="preserve">the </w:t>
      </w:r>
      <w:r w:rsidR="00FF27D6">
        <w:rPr>
          <w:rFonts w:ascii="Times New Roman" w:hAnsi="Times New Roman"/>
        </w:rPr>
        <w:t>interim final rule</w:t>
      </w:r>
      <w:r w:rsidR="005229A6">
        <w:rPr>
          <w:rFonts w:ascii="Times New Roman" w:hAnsi="Times New Roman"/>
        </w:rPr>
        <w:t xml:space="preserve"> prior to the publication of such regulations in</w:t>
      </w:r>
      <w:r w:rsidR="00991FB3">
        <w:rPr>
          <w:rFonts w:ascii="Times New Roman" w:hAnsi="Times New Roman"/>
        </w:rPr>
        <w:t xml:space="preserve"> 75 FR 63080</w:t>
      </w:r>
      <w:r w:rsidR="008B1201">
        <w:rPr>
          <w:rFonts w:ascii="Times New Roman" w:hAnsi="Times New Roman"/>
        </w:rPr>
        <w:t xml:space="preserve"> (Oct. 14, 2010)</w:t>
      </w:r>
      <w:r w:rsidR="005229A6">
        <w:rPr>
          <w:rFonts w:ascii="Times New Roman" w:hAnsi="Times New Roman"/>
        </w:rPr>
        <w:t xml:space="preserve">. </w:t>
      </w:r>
      <w:r w:rsidR="001F1465">
        <w:rPr>
          <w:rFonts w:ascii="Times New Roman" w:hAnsi="Times New Roman"/>
        </w:rPr>
        <w:t xml:space="preserve"> </w:t>
      </w:r>
      <w:r w:rsidR="00492BF5">
        <w:rPr>
          <w:rFonts w:ascii="Times New Roman" w:hAnsi="Times New Roman"/>
        </w:rPr>
        <w:t>N</w:t>
      </w:r>
      <w:r w:rsidR="008B1201">
        <w:rPr>
          <w:rFonts w:ascii="Times New Roman" w:hAnsi="Times New Roman"/>
        </w:rPr>
        <w:t>ine (9)</w:t>
      </w:r>
      <w:r w:rsidR="00991FB3">
        <w:rPr>
          <w:rFonts w:ascii="Times New Roman" w:hAnsi="Times New Roman"/>
        </w:rPr>
        <w:t xml:space="preserve"> comments</w:t>
      </w:r>
      <w:r w:rsidR="00492BF5">
        <w:rPr>
          <w:rFonts w:ascii="Times New Roman" w:hAnsi="Times New Roman"/>
        </w:rPr>
        <w:t xml:space="preserve"> were received</w:t>
      </w:r>
      <w:r w:rsidR="00991FB3">
        <w:rPr>
          <w:rFonts w:ascii="Times New Roman" w:hAnsi="Times New Roman"/>
        </w:rPr>
        <w:t xml:space="preserve"> in connection with the IFR.</w:t>
      </w:r>
      <w:r w:rsidR="00492BF5">
        <w:rPr>
          <w:rFonts w:ascii="Times New Roman" w:hAnsi="Times New Roman"/>
        </w:rPr>
        <w:t xml:space="preserve">  These comments addressed the merits of the rulemaking and did not focus on data or collection issues.</w:t>
      </w:r>
    </w:p>
    <w:p w:rsidR="00B05A72" w:rsidRPr="007B55D0" w:rsidRDefault="00B05A72">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D407D0" w:rsidRDefault="00D407D0">
      <w:pPr>
        <w:tabs>
          <w:tab w:val="left" w:pos="-720"/>
          <w:tab w:val="left" w:pos="0"/>
        </w:tabs>
        <w:suppressAutoHyphens/>
        <w:ind w:left="720" w:hanging="720"/>
        <w:rPr>
          <w:rFonts w:ascii="Times New Roman" w:hAnsi="Times New Roman"/>
        </w:rPr>
      </w:pPr>
    </w:p>
    <w:p w:rsidR="00D407D0" w:rsidRDefault="00B05A72">
      <w:pPr>
        <w:tabs>
          <w:tab w:val="left" w:pos="-720"/>
        </w:tabs>
        <w:suppressAutoHyphens/>
        <w:rPr>
          <w:rFonts w:ascii="Times New Roman" w:hAnsi="Times New Roman"/>
        </w:rPr>
      </w:pPr>
      <w:r>
        <w:rPr>
          <w:rFonts w:ascii="Times New Roman" w:hAnsi="Times New Roman"/>
        </w:rPr>
        <w:tab/>
      </w:r>
      <w:r w:rsidR="005229A6">
        <w:rPr>
          <w:rFonts w:ascii="Times New Roman" w:hAnsi="Times New Roman"/>
        </w:rPr>
        <w:t>This does not apply</w:t>
      </w:r>
      <w:r>
        <w:rPr>
          <w:rFonts w:ascii="Times New Roman" w:hAnsi="Times New Roman"/>
        </w:rPr>
        <w:t>.</w:t>
      </w:r>
      <w:r w:rsidR="005229A6">
        <w:rPr>
          <w:rFonts w:ascii="Times New Roman" w:hAnsi="Times New Roman"/>
        </w:rPr>
        <w:t xml:space="preserve">  The interim final rule</w:t>
      </w:r>
      <w:r w:rsidR="00492BF5">
        <w:rPr>
          <w:rFonts w:ascii="Times New Roman" w:hAnsi="Times New Roman"/>
        </w:rPr>
        <w:t xml:space="preserve"> advises counterparties to pre-enactment swaps that recordkeeping and reporting rules to be adopted by the Commission will apply to those transactions.  The rule does not separately impose a reporting obligation.  </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D407D0" w:rsidRDefault="00D407D0">
      <w:pPr>
        <w:tabs>
          <w:tab w:val="left" w:pos="-720"/>
          <w:tab w:val="left" w:pos="0"/>
        </w:tabs>
        <w:suppressAutoHyphens/>
        <w:ind w:left="720" w:hanging="720"/>
        <w:rPr>
          <w:rFonts w:ascii="Times New Roman" w:hAnsi="Times New Roman"/>
        </w:rPr>
      </w:pPr>
    </w:p>
    <w:p w:rsidR="00D407D0" w:rsidRDefault="00D407D0">
      <w:pPr>
        <w:tabs>
          <w:tab w:val="left" w:pos="-720"/>
          <w:tab w:val="left" w:pos="0"/>
        </w:tabs>
        <w:suppressAutoHyphens/>
        <w:ind w:left="720" w:hanging="720"/>
        <w:rPr>
          <w:rFonts w:ascii="Times New Roman" w:hAnsi="Times New Roman"/>
        </w:rPr>
      </w:pPr>
      <w:r>
        <w:rPr>
          <w:rFonts w:ascii="Times New Roman" w:hAnsi="Times New Roman"/>
        </w:rPr>
        <w:tab/>
        <w:t xml:space="preserve">This question does not apply.  </w:t>
      </w:r>
    </w:p>
    <w:p w:rsidR="002D133A" w:rsidRDefault="002D133A">
      <w:pPr>
        <w:tabs>
          <w:tab w:val="left" w:pos="-720"/>
        </w:tabs>
        <w:suppressAutoHyphens/>
        <w:rPr>
          <w:rFonts w:ascii="Times New Roman" w:hAnsi="Times New Roman"/>
        </w:rPr>
      </w:pPr>
      <w:r>
        <w:rPr>
          <w:rFonts w:ascii="Times New Roman" w:hAnsi="Times New Roman"/>
        </w:rPr>
        <w:t xml:space="preserve">  </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D407D0" w:rsidRDefault="00D407D0">
      <w:pPr>
        <w:tabs>
          <w:tab w:val="left" w:pos="-720"/>
          <w:tab w:val="left" w:pos="0"/>
        </w:tabs>
        <w:suppressAutoHyphens/>
        <w:ind w:left="720" w:hanging="720"/>
        <w:rPr>
          <w:rFonts w:ascii="Times New Roman" w:hAnsi="Times New Roman"/>
        </w:rPr>
      </w:pPr>
    </w:p>
    <w:p w:rsidR="007020DB" w:rsidRDefault="00D407D0" w:rsidP="007020DB">
      <w:pPr>
        <w:tabs>
          <w:tab w:val="left" w:pos="-720"/>
          <w:tab w:val="left" w:pos="0"/>
          <w:tab w:val="left" w:pos="720"/>
        </w:tabs>
        <w:suppressAutoHyphens/>
        <w:ind w:left="1440" w:hanging="1440"/>
        <w:rPr>
          <w:rFonts w:ascii="Times New Roman" w:hAnsi="Times New Roman"/>
        </w:rPr>
      </w:pPr>
      <w:r>
        <w:rPr>
          <w:rFonts w:ascii="Times New Roman" w:hAnsi="Times New Roman"/>
        </w:rPr>
        <w:tab/>
      </w:r>
      <w:r w:rsidR="006C14F1">
        <w:rPr>
          <w:rFonts w:ascii="Times New Roman" w:hAnsi="Times New Roman"/>
        </w:rPr>
        <w:t xml:space="preserve">See the response to </w:t>
      </w:r>
      <w:r w:rsidR="00852839">
        <w:rPr>
          <w:rFonts w:ascii="Times New Roman" w:hAnsi="Times New Roman"/>
        </w:rPr>
        <w:t>Question 7</w:t>
      </w:r>
      <w:r w:rsidR="006C14F1">
        <w:rPr>
          <w:rFonts w:ascii="Times New Roman" w:hAnsi="Times New Roman"/>
        </w:rPr>
        <w:t xml:space="preserve">.  </w:t>
      </w:r>
      <w:r w:rsidR="00852839" w:rsidRPr="00EB0D2C">
        <w:rPr>
          <w:rFonts w:ascii="Times New Roman" w:hAnsi="Times New Roman"/>
        </w:rPr>
        <w:t xml:space="preserve">Section 8(a) of the CEA </w:t>
      </w:r>
      <w:r w:rsidR="00852839">
        <w:rPr>
          <w:rFonts w:ascii="Times New Roman" w:hAnsi="Times New Roman"/>
        </w:rPr>
        <w:t>generally prohibits the</w:t>
      </w:r>
    </w:p>
    <w:p w:rsidR="007020DB" w:rsidRDefault="00852839" w:rsidP="007020DB">
      <w:pPr>
        <w:tabs>
          <w:tab w:val="left" w:pos="-720"/>
          <w:tab w:val="left" w:pos="0"/>
          <w:tab w:val="left" w:pos="720"/>
        </w:tabs>
        <w:suppressAutoHyphens/>
        <w:ind w:left="1440" w:hanging="1440"/>
        <w:rPr>
          <w:rFonts w:ascii="Times New Roman" w:hAnsi="Times New Roman"/>
        </w:rPr>
      </w:pPr>
      <w:r>
        <w:rPr>
          <w:rFonts w:ascii="Times New Roman" w:hAnsi="Times New Roman"/>
        </w:rPr>
        <w:t>Commission from separately disclosing the “</w:t>
      </w:r>
      <w:r w:rsidRPr="00EB0D2C">
        <w:rPr>
          <w:rFonts w:ascii="Times New Roman" w:hAnsi="Times New Roman"/>
        </w:rPr>
        <w:t xml:space="preserve">business transactions or market positions of any </w:t>
      </w:r>
    </w:p>
    <w:p w:rsidR="007020DB" w:rsidRDefault="00852839" w:rsidP="007020DB">
      <w:pPr>
        <w:tabs>
          <w:tab w:val="left" w:pos="-720"/>
          <w:tab w:val="left" w:pos="0"/>
          <w:tab w:val="left" w:pos="720"/>
        </w:tabs>
        <w:suppressAutoHyphens/>
        <w:ind w:left="1440" w:hanging="1440"/>
        <w:rPr>
          <w:rFonts w:ascii="Times New Roman" w:hAnsi="Times New Roman"/>
        </w:rPr>
      </w:pPr>
      <w:r w:rsidRPr="00EB0D2C">
        <w:rPr>
          <w:rFonts w:ascii="Times New Roman" w:hAnsi="Times New Roman"/>
        </w:rPr>
        <w:t xml:space="preserve">person and trade secrets or names of customers.”  </w:t>
      </w:r>
      <w:r w:rsidR="006C14F1">
        <w:rPr>
          <w:rFonts w:ascii="Times New Roman" w:hAnsi="Times New Roman"/>
        </w:rPr>
        <w:t xml:space="preserve">The Commission also has adopted </w:t>
      </w:r>
      <w:r w:rsidR="00D407D0">
        <w:rPr>
          <w:rFonts w:ascii="Times New Roman" w:hAnsi="Times New Roman"/>
        </w:rPr>
        <w:t xml:space="preserve">Freedom of </w:t>
      </w:r>
    </w:p>
    <w:p w:rsidR="007020DB" w:rsidRDefault="00D407D0" w:rsidP="007020DB">
      <w:pPr>
        <w:tabs>
          <w:tab w:val="left" w:pos="-720"/>
          <w:tab w:val="left" w:pos="0"/>
          <w:tab w:val="left" w:pos="720"/>
        </w:tabs>
        <w:suppressAutoHyphens/>
        <w:ind w:left="1440" w:hanging="1440"/>
        <w:rPr>
          <w:rFonts w:ascii="Times New Roman" w:hAnsi="Times New Roman"/>
        </w:rPr>
      </w:pPr>
      <w:r>
        <w:rPr>
          <w:rFonts w:ascii="Times New Roman" w:hAnsi="Times New Roman"/>
        </w:rPr>
        <w:t>Information Act regulations, 17 C.F.R. Part 145</w:t>
      </w:r>
      <w:r w:rsidR="00F05E74">
        <w:rPr>
          <w:rFonts w:ascii="Times New Roman" w:hAnsi="Times New Roman"/>
        </w:rPr>
        <w:t>,</w:t>
      </w:r>
      <w:r w:rsidR="006C14F1">
        <w:rPr>
          <w:rFonts w:ascii="Times New Roman" w:hAnsi="Times New Roman"/>
        </w:rPr>
        <w:t xml:space="preserve"> which implements the federal statute set forth in </w:t>
      </w:r>
    </w:p>
    <w:p w:rsidR="007020DB" w:rsidRDefault="006C14F1" w:rsidP="007020DB">
      <w:pPr>
        <w:tabs>
          <w:tab w:val="left" w:pos="-720"/>
          <w:tab w:val="left" w:pos="0"/>
          <w:tab w:val="left" w:pos="720"/>
        </w:tabs>
        <w:suppressAutoHyphens/>
        <w:ind w:left="1440" w:hanging="1440"/>
        <w:rPr>
          <w:rFonts w:ascii="Times New Roman" w:hAnsi="Times New Roman"/>
        </w:rPr>
      </w:pPr>
      <w:r>
        <w:rPr>
          <w:rFonts w:ascii="Times New Roman" w:hAnsi="Times New Roman"/>
        </w:rPr>
        <w:t>5 U.S.C. §552</w:t>
      </w:r>
      <w:r w:rsidR="007020DB">
        <w:rPr>
          <w:rFonts w:ascii="Times New Roman" w:hAnsi="Times New Roman"/>
        </w:rPr>
        <w:t xml:space="preserve">.  Both the Freedom of Information Act and the Commission’s Part 145 regulations </w:t>
      </w:r>
    </w:p>
    <w:p w:rsidR="007020DB" w:rsidRDefault="007020DB" w:rsidP="007020DB">
      <w:pPr>
        <w:tabs>
          <w:tab w:val="left" w:pos="-720"/>
          <w:tab w:val="left" w:pos="0"/>
          <w:tab w:val="left" w:pos="720"/>
        </w:tabs>
        <w:suppressAutoHyphens/>
        <w:ind w:left="1440" w:hanging="1440"/>
        <w:rPr>
          <w:rFonts w:ascii="Times New Roman" w:hAnsi="Times New Roman"/>
        </w:rPr>
      </w:pPr>
      <w:r>
        <w:rPr>
          <w:rFonts w:ascii="Times New Roman" w:hAnsi="Times New Roman"/>
        </w:rPr>
        <w:t xml:space="preserve">make nonpublic information </w:t>
      </w:r>
      <w:r w:rsidR="00492BF5">
        <w:rPr>
          <w:rFonts w:ascii="Times New Roman" w:hAnsi="Times New Roman"/>
        </w:rPr>
        <w:t xml:space="preserve">that is </w:t>
      </w:r>
      <w:r>
        <w:rPr>
          <w:rFonts w:ascii="Times New Roman" w:hAnsi="Times New Roman"/>
        </w:rPr>
        <w:t xml:space="preserve">exempt from disclosure by another federal statute, including Section </w:t>
      </w:r>
    </w:p>
    <w:p w:rsidR="006C14F1" w:rsidRDefault="007020DB" w:rsidP="007020DB">
      <w:pPr>
        <w:rPr>
          <w:rFonts w:ascii="Times New Roman" w:hAnsi="Times New Roman"/>
          <w:szCs w:val="24"/>
        </w:rPr>
      </w:pPr>
      <w:r>
        <w:rPr>
          <w:rFonts w:ascii="Times New Roman" w:hAnsi="Times New Roman"/>
        </w:rPr>
        <w:t xml:space="preserve">8(a) of the CEA.  </w:t>
      </w:r>
      <w:r w:rsidR="00D9422C" w:rsidRPr="00B05A72">
        <w:rPr>
          <w:rFonts w:ascii="Times New Roman" w:hAnsi="Times New Roman"/>
          <w:szCs w:val="24"/>
        </w:rPr>
        <w:t>See</w:t>
      </w:r>
      <w:r w:rsidR="00D9422C" w:rsidRPr="00D9422C">
        <w:rPr>
          <w:rFonts w:ascii="Times New Roman" w:hAnsi="Times New Roman"/>
          <w:szCs w:val="24"/>
        </w:rPr>
        <w:t xml:space="preserve"> 5 U.S.C. § 552(b)(3) and 17 C.F.R. § 145(c).  </w:t>
      </w:r>
    </w:p>
    <w:p w:rsidR="002D133A" w:rsidRDefault="002D133A">
      <w:pPr>
        <w:tabs>
          <w:tab w:val="left" w:pos="-720"/>
        </w:tabs>
        <w:suppressAutoHyphens/>
        <w:rPr>
          <w:rFonts w:ascii="Times New Roman" w:hAnsi="Times New Roman"/>
        </w:rPr>
      </w:pPr>
      <w:r>
        <w:rPr>
          <w:rFonts w:ascii="Times New Roman" w:hAnsi="Times New Roman"/>
        </w:rPr>
        <w:t xml:space="preserve"> </w:t>
      </w: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266B89" w:rsidRDefault="00266B89">
      <w:pPr>
        <w:tabs>
          <w:tab w:val="left" w:pos="-720"/>
        </w:tabs>
        <w:suppressAutoHyphens/>
        <w:ind w:left="720" w:hanging="720"/>
        <w:rPr>
          <w:rFonts w:ascii="Times New Roman" w:hAnsi="Times New Roman"/>
        </w:rPr>
      </w:pPr>
    </w:p>
    <w:p w:rsidR="00266B89" w:rsidRDefault="00266B89" w:rsidP="00266B89">
      <w:pPr>
        <w:tabs>
          <w:tab w:val="left" w:pos="-720"/>
        </w:tabs>
        <w:suppressAutoHyphens/>
        <w:rPr>
          <w:rFonts w:ascii="Times New Roman" w:hAnsi="Times New Roman"/>
        </w:rPr>
      </w:pPr>
      <w:r>
        <w:rPr>
          <w:rFonts w:ascii="Times New Roman" w:hAnsi="Times New Roman"/>
        </w:rPr>
        <w:tab/>
        <w:t xml:space="preserve">The regulations covered by the collections do not require the </w:t>
      </w:r>
      <w:r w:rsidR="00492BF5">
        <w:rPr>
          <w:rFonts w:ascii="Times New Roman" w:hAnsi="Times New Roman"/>
        </w:rPr>
        <w:t xml:space="preserve">reporting of sensitive information </w:t>
      </w:r>
      <w:r>
        <w:rPr>
          <w:rFonts w:ascii="Times New Roman" w:hAnsi="Times New Roman"/>
        </w:rPr>
        <w:t xml:space="preserve">as that term is used in Question 11.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w:t>
      </w:r>
      <w:r>
        <w:rPr>
          <w:rFonts w:ascii="Times New Roman" w:hAnsi="Times New Roman"/>
        </w:rPr>
        <w:lastRenderedPageBreak/>
        <w:t>The cost of contracting ou</w:t>
      </w:r>
      <w:r w:rsidR="008F1CF7">
        <w:rPr>
          <w:rFonts w:ascii="Times New Roman" w:hAnsi="Times New Roman"/>
        </w:rPr>
        <w:t>t</w:t>
      </w:r>
      <w:r>
        <w:rPr>
          <w:rFonts w:ascii="Times New Roman" w:hAnsi="Times New Roman"/>
        </w:rPr>
        <w:t xml:space="preserve"> or paying outside parties for information collection activities should not be included here.  Instead, this cost should be included in Item 13.</w:t>
      </w:r>
    </w:p>
    <w:p w:rsidR="002D133A" w:rsidRDefault="002D133A">
      <w:pPr>
        <w:tabs>
          <w:tab w:val="left" w:pos="-720"/>
        </w:tabs>
        <w:suppressAutoHyphens/>
        <w:rPr>
          <w:rFonts w:ascii="Times New Roman" w:hAnsi="Times New Roman"/>
        </w:rPr>
      </w:pPr>
    </w:p>
    <w:p w:rsidR="00266B89" w:rsidRDefault="00B05A72">
      <w:pPr>
        <w:tabs>
          <w:tab w:val="left" w:pos="-720"/>
        </w:tabs>
        <w:suppressAutoHyphens/>
        <w:rPr>
          <w:rFonts w:ascii="Times New Roman" w:hAnsi="Times New Roman"/>
        </w:rPr>
      </w:pPr>
      <w:r>
        <w:rPr>
          <w:rFonts w:ascii="Times New Roman" w:hAnsi="Times New Roman"/>
        </w:rPr>
        <w:tab/>
      </w:r>
      <w:r w:rsidR="00266B89">
        <w:rPr>
          <w:rFonts w:ascii="Times New Roman" w:hAnsi="Times New Roman"/>
        </w:rPr>
        <w:t xml:space="preserve">See Attachment A.  </w:t>
      </w:r>
      <w:r w:rsidR="004A40FC">
        <w:rPr>
          <w:rFonts w:ascii="Times New Roman" w:hAnsi="Times New Roman"/>
        </w:rPr>
        <w:t xml:space="preserve">In calculating the cost figures in Attachment A, the Commission based its calculations on an </w:t>
      </w:r>
      <w:r w:rsidR="004A40FC" w:rsidRPr="0005681C">
        <w:rPr>
          <w:rFonts w:ascii="Times New Roman" w:hAnsi="Times New Roman"/>
        </w:rPr>
        <w:t>hourly wage rate</w:t>
      </w:r>
      <w:r w:rsidR="004A40FC">
        <w:rPr>
          <w:rStyle w:val="FootnoteReference"/>
          <w:rFonts w:ascii="Times New Roman" w:hAnsi="Times New Roman"/>
        </w:rPr>
        <w:footnoteReference w:id="7"/>
      </w:r>
      <w:r w:rsidR="004A40FC" w:rsidRPr="0005681C">
        <w:rPr>
          <w:rFonts w:ascii="Times New Roman" w:hAnsi="Times New Roman"/>
        </w:rPr>
        <w:t xml:space="preserve"> of $</w:t>
      </w:r>
      <w:r w:rsidR="004676A6">
        <w:rPr>
          <w:rFonts w:ascii="Times New Roman" w:hAnsi="Times New Roman"/>
        </w:rPr>
        <w:t>42.05</w:t>
      </w:r>
      <w:r w:rsidR="004A40FC">
        <w:rPr>
          <w:rFonts w:ascii="Times New Roman" w:hAnsi="Times New Roman"/>
        </w:rPr>
        <w:t xml:space="preserve"> </w:t>
      </w:r>
      <w:r w:rsidR="004A40FC" w:rsidRPr="0005681C">
        <w:rPr>
          <w:rFonts w:ascii="Times New Roman" w:hAnsi="Times New Roman"/>
        </w:rPr>
        <w:t xml:space="preserve">to comply with the </w:t>
      </w:r>
      <w:r w:rsidR="00FF27D6">
        <w:rPr>
          <w:rFonts w:ascii="Times New Roman" w:hAnsi="Times New Roman"/>
        </w:rPr>
        <w:t>interim final rule</w:t>
      </w:r>
      <w:r w:rsidR="004A40FC" w:rsidRPr="0005681C">
        <w:rPr>
          <w:rFonts w:ascii="Times New Roman" w:hAnsi="Times New Roman"/>
        </w:rPr>
        <w:t>.</w:t>
      </w:r>
      <w:r w:rsidR="004A40FC">
        <w:rPr>
          <w:rFonts w:ascii="Times New Roman" w:hAnsi="Times New Roman"/>
        </w:rPr>
        <w:t xml:space="preserve">  </w:t>
      </w:r>
      <w:r w:rsidR="004A40FC">
        <w:rPr>
          <w:rFonts w:ascii="Times New Roman" w:hAnsi="Times New Roman"/>
        </w:rPr>
        <w:tab/>
      </w:r>
    </w:p>
    <w:p w:rsidR="00266B89" w:rsidRDefault="00266B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recordkeepers resulting </w:t>
      </w:r>
      <w:r w:rsidR="007E38E4">
        <w:rPr>
          <w:rFonts w:ascii="Times New Roman" w:hAnsi="Times New Roman"/>
          <w:u w:val="single"/>
        </w:rPr>
        <w:t>fro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D133A" w:rsidRDefault="002D133A">
      <w:pPr>
        <w:tabs>
          <w:tab w:val="left" w:pos="-720"/>
        </w:tabs>
        <w:suppressAutoHyphens/>
        <w:rPr>
          <w:rFonts w:ascii="Times New Roman" w:hAnsi="Times New Roman"/>
        </w:rPr>
      </w:pPr>
    </w:p>
    <w:p w:rsidR="00F77A44" w:rsidRDefault="00F77A44">
      <w:pPr>
        <w:tabs>
          <w:tab w:val="left" w:pos="-720"/>
        </w:tabs>
        <w:suppressAutoHyphens/>
        <w:rPr>
          <w:rFonts w:ascii="Times New Roman" w:hAnsi="Times New Roman"/>
        </w:rPr>
      </w:pPr>
      <w:r>
        <w:rPr>
          <w:rFonts w:ascii="Times New Roman" w:hAnsi="Times New Roman"/>
        </w:rPr>
        <w:tab/>
        <w:t xml:space="preserve">See Attachment </w:t>
      </w:r>
      <w:r w:rsidR="00AA60A8">
        <w:rPr>
          <w:rFonts w:ascii="Times New Roman" w:hAnsi="Times New Roman"/>
        </w:rPr>
        <w:t>A.</w:t>
      </w:r>
      <w:r>
        <w:rPr>
          <w:rFonts w:ascii="Times New Roman" w:hAnsi="Times New Roman"/>
        </w:rPr>
        <w:t xml:space="preserve"> </w:t>
      </w:r>
    </w:p>
    <w:p w:rsidR="00F77A44" w:rsidRDefault="00F77A44">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lastRenderedPageBreak/>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F97E3E" w:rsidRDefault="00F77A44" w:rsidP="00560466">
      <w:pPr>
        <w:tabs>
          <w:tab w:val="left" w:pos="-720"/>
        </w:tabs>
        <w:suppressAutoHyphens/>
        <w:ind w:left="720" w:hanging="720"/>
        <w:rPr>
          <w:rFonts w:ascii="Times New Roman" w:hAnsi="Times New Roman"/>
        </w:rPr>
      </w:pPr>
      <w:r>
        <w:rPr>
          <w:rFonts w:ascii="Times New Roman" w:hAnsi="Times New Roman"/>
        </w:rPr>
        <w:tab/>
      </w:r>
      <w:r w:rsidR="00666695">
        <w:rPr>
          <w:rFonts w:ascii="Times New Roman" w:hAnsi="Times New Roman"/>
        </w:rPr>
        <w:t xml:space="preserve">The Federal Government will expend no additional costs as a result of this collection of </w:t>
      </w:r>
    </w:p>
    <w:p w:rsidR="00195839" w:rsidRDefault="00666695" w:rsidP="00F97E3E">
      <w:pPr>
        <w:tabs>
          <w:tab w:val="left" w:pos="-720"/>
        </w:tabs>
        <w:suppressAutoHyphens/>
        <w:rPr>
          <w:rFonts w:ascii="Times New Roman" w:hAnsi="Times New Roman"/>
        </w:rPr>
      </w:pPr>
      <w:r>
        <w:rPr>
          <w:rFonts w:ascii="Times New Roman" w:hAnsi="Times New Roman"/>
        </w:rPr>
        <w:t>information.</w:t>
      </w:r>
    </w:p>
    <w:p w:rsidR="00F77A44" w:rsidRDefault="00F77A4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2D133A" w:rsidRDefault="002D133A">
      <w:pPr>
        <w:tabs>
          <w:tab w:val="left" w:pos="-720"/>
        </w:tabs>
        <w:suppressAutoHyphens/>
        <w:rPr>
          <w:rFonts w:ascii="Times New Roman" w:hAnsi="Times New Roman"/>
        </w:rPr>
      </w:pPr>
    </w:p>
    <w:p w:rsidR="00F77A44" w:rsidRDefault="008B1201">
      <w:pPr>
        <w:tabs>
          <w:tab w:val="left" w:pos="-720"/>
        </w:tabs>
        <w:suppressAutoHyphens/>
        <w:rPr>
          <w:rFonts w:ascii="Times New Roman" w:hAnsi="Times New Roman"/>
        </w:rPr>
      </w:pPr>
      <w:r>
        <w:rPr>
          <w:rFonts w:ascii="Times New Roman" w:hAnsi="Times New Roman"/>
        </w:rPr>
        <w:tab/>
        <w:t>T</w:t>
      </w:r>
      <w:r w:rsidR="00B05A72">
        <w:rPr>
          <w:rFonts w:ascii="Times New Roman" w:hAnsi="Times New Roman"/>
        </w:rPr>
        <w:t xml:space="preserve">his question </w:t>
      </w:r>
      <w:r w:rsidR="00F77A44">
        <w:rPr>
          <w:rFonts w:ascii="Times New Roman" w:hAnsi="Times New Roman"/>
        </w:rPr>
        <w:t xml:space="preserve">does not apply.  </w:t>
      </w:r>
    </w:p>
    <w:p w:rsidR="00F77A44" w:rsidRDefault="00F77A44">
      <w:pPr>
        <w:tabs>
          <w:tab w:val="left" w:pos="-720"/>
        </w:tabs>
        <w:suppressAutoHyphens/>
        <w:rPr>
          <w:rFonts w:ascii="Times New Roman" w:hAnsi="Times New Roman"/>
        </w:rPr>
      </w:pPr>
    </w:p>
    <w:p w:rsidR="00F77A44" w:rsidRDefault="00F77A4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F77A44" w:rsidRDefault="00F77A44">
      <w:pPr>
        <w:tabs>
          <w:tab w:val="left" w:pos="-720"/>
          <w:tab w:val="left" w:pos="0"/>
        </w:tabs>
        <w:suppressAutoHyphens/>
        <w:ind w:left="720" w:hanging="720"/>
        <w:rPr>
          <w:rFonts w:ascii="Times New Roman" w:hAnsi="Times New Roman"/>
        </w:rPr>
      </w:pPr>
    </w:p>
    <w:p w:rsidR="00F77A44" w:rsidRDefault="008B1201">
      <w:pPr>
        <w:tabs>
          <w:tab w:val="left" w:pos="-720"/>
          <w:tab w:val="left" w:pos="0"/>
        </w:tabs>
        <w:suppressAutoHyphens/>
        <w:ind w:left="720" w:hanging="720"/>
        <w:rPr>
          <w:rFonts w:ascii="Times New Roman" w:hAnsi="Times New Roman"/>
        </w:rPr>
      </w:pPr>
      <w:r>
        <w:rPr>
          <w:rFonts w:ascii="Times New Roman" w:hAnsi="Times New Roman"/>
        </w:rPr>
        <w:tab/>
      </w:r>
      <w:r w:rsidR="00F77A44">
        <w:rPr>
          <w:rFonts w:ascii="Times New Roman" w:hAnsi="Times New Roman"/>
        </w:rPr>
        <w:t xml:space="preserve">This question does not apply.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2D133A" w:rsidRDefault="002D133A">
      <w:pPr>
        <w:tabs>
          <w:tab w:val="left" w:pos="-720"/>
        </w:tabs>
        <w:suppressAutoHyphens/>
        <w:rPr>
          <w:rFonts w:ascii="Times New Roman" w:hAnsi="Times New Roman"/>
        </w:rPr>
      </w:pPr>
    </w:p>
    <w:p w:rsidR="00F77A44" w:rsidRDefault="008B1201">
      <w:pPr>
        <w:tabs>
          <w:tab w:val="left" w:pos="-720"/>
        </w:tabs>
        <w:suppressAutoHyphens/>
        <w:rPr>
          <w:rFonts w:ascii="Times New Roman" w:hAnsi="Times New Roman"/>
        </w:rPr>
      </w:pPr>
      <w:r>
        <w:rPr>
          <w:rFonts w:ascii="Times New Roman" w:hAnsi="Times New Roman"/>
        </w:rPr>
        <w:tab/>
      </w:r>
      <w:r w:rsidR="00F77A44">
        <w:rPr>
          <w:rFonts w:ascii="Times New Roman" w:hAnsi="Times New Roman"/>
        </w:rPr>
        <w:t xml:space="preserve">This question does not apply.  </w:t>
      </w:r>
    </w:p>
    <w:p w:rsidR="00F77A44" w:rsidRDefault="00F77A4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F77A44" w:rsidRDefault="00F77A44">
      <w:pPr>
        <w:tabs>
          <w:tab w:val="left" w:pos="-720"/>
        </w:tabs>
        <w:suppressAutoHyphens/>
        <w:rPr>
          <w:rFonts w:ascii="Times New Roman" w:hAnsi="Times New Roman"/>
        </w:rPr>
      </w:pPr>
    </w:p>
    <w:p w:rsidR="00F77A44" w:rsidRDefault="008B1201">
      <w:pPr>
        <w:tabs>
          <w:tab w:val="left" w:pos="-720"/>
        </w:tabs>
        <w:suppressAutoHyphens/>
        <w:rPr>
          <w:rFonts w:ascii="Times New Roman" w:hAnsi="Times New Roman"/>
        </w:rPr>
      </w:pPr>
      <w:r>
        <w:rPr>
          <w:rFonts w:ascii="Times New Roman" w:hAnsi="Times New Roman"/>
        </w:rPr>
        <w:tab/>
      </w:r>
      <w:r w:rsidR="00F77A44">
        <w:rPr>
          <w:rFonts w:ascii="Times New Roman" w:hAnsi="Times New Roman"/>
        </w:rPr>
        <w:t xml:space="preserve">No exceptions exist.  </w:t>
      </w:r>
    </w:p>
    <w:p w:rsidR="00E0436A" w:rsidRDefault="002D133A">
      <w:pPr>
        <w:tabs>
          <w:tab w:val="left" w:pos="-720"/>
        </w:tabs>
        <w:suppressAutoHyphens/>
        <w:rPr>
          <w:rFonts w:ascii="Times New Roman" w:hAnsi="Times New Roman"/>
        </w:rPr>
      </w:pPr>
      <w:r>
        <w:rPr>
          <w:rFonts w:ascii="Times New Roman" w:hAnsi="Times New Roman"/>
        </w:rPr>
        <w:tab/>
      </w:r>
    </w:p>
    <w:p w:rsidR="00E0436A" w:rsidRPr="0085755E" w:rsidRDefault="00E0436A" w:rsidP="002426EB">
      <w:pPr>
        <w:tabs>
          <w:tab w:val="left" w:pos="-720"/>
        </w:tabs>
        <w:suppressAutoHyphens/>
        <w:jc w:val="center"/>
        <w:rPr>
          <w:rFonts w:ascii="Times New Roman" w:hAnsi="Times New Roman"/>
          <w:b/>
          <w:u w:val="single"/>
        </w:rPr>
      </w:pPr>
      <w:r>
        <w:rPr>
          <w:rFonts w:ascii="Times New Roman" w:hAnsi="Times New Roman"/>
        </w:rPr>
        <w:br w:type="page"/>
      </w:r>
      <w:r w:rsidR="00B05A72" w:rsidRPr="0085755E">
        <w:rPr>
          <w:rFonts w:ascii="Times New Roman" w:hAnsi="Times New Roman"/>
          <w:b/>
          <w:u w:val="single"/>
        </w:rPr>
        <w:lastRenderedPageBreak/>
        <w:t>Attachment A</w:t>
      </w:r>
    </w:p>
    <w:p w:rsidR="00B05A72" w:rsidRDefault="00B05A72">
      <w:pPr>
        <w:tabs>
          <w:tab w:val="left" w:pos="-720"/>
        </w:tabs>
        <w:suppressAutoHyphens/>
        <w:rPr>
          <w:rFonts w:ascii="Times New Roman" w:hAnsi="Times New Roman"/>
        </w:rPr>
      </w:pPr>
    </w:p>
    <w:p w:rsidR="00B05A72" w:rsidRDefault="00B05A72">
      <w:pPr>
        <w:tabs>
          <w:tab w:val="left" w:pos="-720"/>
        </w:tabs>
        <w:suppressAutoHyphens/>
        <w:rPr>
          <w:rFonts w:ascii="Times New Roman" w:hAnsi="Times New Roman"/>
        </w:rPr>
      </w:pPr>
    </w:p>
    <w:p w:rsidR="00B05A72" w:rsidRDefault="008727CB" w:rsidP="00B05A72">
      <w:pPr>
        <w:pStyle w:val="BodyTextIndent"/>
        <w:jc w:val="center"/>
        <w:rPr>
          <w:b/>
        </w:rPr>
      </w:pPr>
      <w:r>
        <w:rPr>
          <w:b/>
        </w:rPr>
        <w:t>Reporting (Recordkeeping) for Pre-Enactment Swap Transactions</w:t>
      </w:r>
      <w:r w:rsidR="00B05A72">
        <w:rPr>
          <w:b/>
        </w:rPr>
        <w:t xml:space="preserve"> under Section 72</w:t>
      </w:r>
      <w:r>
        <w:rPr>
          <w:b/>
        </w:rPr>
        <w:t>9</w:t>
      </w:r>
      <w:r w:rsidR="00B05A72">
        <w:rPr>
          <w:b/>
        </w:rPr>
        <w:t xml:space="preserve"> of the Dodd-Frank Act</w:t>
      </w:r>
    </w:p>
    <w:p w:rsidR="0085755E" w:rsidRPr="0085755E" w:rsidRDefault="0085755E" w:rsidP="00B05A72">
      <w:pPr>
        <w:pStyle w:val="BodyTextIndent"/>
        <w:jc w:val="center"/>
        <w:rPr>
          <w:b/>
        </w:rPr>
      </w:pPr>
      <w:r w:rsidRPr="0085755E">
        <w:rPr>
          <w:b/>
          <w:u w:val="single"/>
        </w:rPr>
        <w:t xml:space="preserve">Estimated </w:t>
      </w:r>
      <w:r>
        <w:rPr>
          <w:b/>
          <w:u w:val="single"/>
        </w:rPr>
        <w:t xml:space="preserve">Annual </w:t>
      </w:r>
      <w:r w:rsidRPr="0085755E">
        <w:rPr>
          <w:b/>
          <w:u w:val="single"/>
        </w:rPr>
        <w:t>Hour</w:t>
      </w:r>
      <w:r w:rsidR="00481E8A">
        <w:rPr>
          <w:b/>
          <w:u w:val="single"/>
        </w:rPr>
        <w:t xml:space="preserve"> and Cost</w:t>
      </w:r>
      <w:r w:rsidRPr="0085755E">
        <w:rPr>
          <w:b/>
          <w:u w:val="single"/>
        </w:rPr>
        <w:t xml:space="preserve"> Burden of the Collection of Information</w:t>
      </w:r>
    </w:p>
    <w:p w:rsidR="00B05A72" w:rsidRDefault="00B05A72" w:rsidP="00B05A72">
      <w:pPr>
        <w:pStyle w:val="BodyTextIndent"/>
      </w:pPr>
    </w:p>
    <w:tbl>
      <w:tblPr>
        <w:tblW w:w="0" w:type="auto"/>
        <w:jc w:val="center"/>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044"/>
        <w:gridCol w:w="1297"/>
        <w:gridCol w:w="1708"/>
        <w:gridCol w:w="970"/>
        <w:gridCol w:w="1075"/>
        <w:gridCol w:w="1462"/>
      </w:tblGrid>
      <w:tr w:rsidR="004518F6" w:rsidTr="008727CB">
        <w:trPr>
          <w:jc w:val="center"/>
        </w:trPr>
        <w:tc>
          <w:tcPr>
            <w:tcW w:w="946" w:type="dxa"/>
          </w:tcPr>
          <w:p w:rsidR="008727CB" w:rsidRDefault="008727CB" w:rsidP="00D57535">
            <w:pPr>
              <w:pStyle w:val="BodyTextIndent"/>
              <w:ind w:left="0" w:firstLine="0"/>
              <w:jc w:val="center"/>
            </w:pPr>
            <w:r>
              <w:t>Est’d # of Covered Entities</w:t>
            </w:r>
          </w:p>
          <w:p w:rsidR="008727CB" w:rsidRDefault="008727CB" w:rsidP="00D57535">
            <w:pPr>
              <w:pStyle w:val="BodyTextIndent"/>
              <w:ind w:left="0" w:firstLine="0"/>
              <w:jc w:val="center"/>
            </w:pPr>
            <w:r>
              <w:t>(a)</w:t>
            </w:r>
          </w:p>
        </w:tc>
        <w:tc>
          <w:tcPr>
            <w:tcW w:w="1297" w:type="dxa"/>
          </w:tcPr>
          <w:p w:rsidR="008727CB" w:rsidRDefault="008727CB" w:rsidP="008727CB">
            <w:pPr>
              <w:pStyle w:val="BodyTextIndent"/>
              <w:ind w:left="0" w:firstLine="0"/>
              <w:jc w:val="center"/>
            </w:pPr>
            <w:r>
              <w:t xml:space="preserve">Est’d Avg. # of Hrs. to Burden Hours Report </w:t>
            </w:r>
          </w:p>
        </w:tc>
        <w:tc>
          <w:tcPr>
            <w:tcW w:w="1708" w:type="dxa"/>
          </w:tcPr>
          <w:p w:rsidR="008727CB" w:rsidRDefault="008727CB" w:rsidP="00D57535">
            <w:pPr>
              <w:pStyle w:val="BodyTextIndent"/>
              <w:ind w:left="0" w:firstLine="0"/>
              <w:jc w:val="center"/>
            </w:pPr>
            <w:r>
              <w:t>Est’d Total</w:t>
            </w:r>
          </w:p>
          <w:p w:rsidR="008727CB" w:rsidRDefault="008727CB" w:rsidP="0085755E">
            <w:pPr>
              <w:pStyle w:val="BodyTextIndent"/>
              <w:ind w:left="0" w:firstLine="0"/>
              <w:jc w:val="center"/>
            </w:pPr>
            <w:r>
              <w:t xml:space="preserve">Annual Burden Hrs. </w:t>
            </w:r>
          </w:p>
          <w:p w:rsidR="008727CB" w:rsidRDefault="008727CB" w:rsidP="00D57535">
            <w:pPr>
              <w:pStyle w:val="BodyTextIndent"/>
              <w:ind w:left="0" w:firstLine="0"/>
              <w:jc w:val="center"/>
            </w:pPr>
          </w:p>
          <w:p w:rsidR="008727CB" w:rsidRDefault="008727CB" w:rsidP="00D57535">
            <w:pPr>
              <w:pStyle w:val="BodyTextIndent"/>
              <w:ind w:left="0" w:firstLine="0"/>
              <w:jc w:val="center"/>
            </w:pPr>
          </w:p>
        </w:tc>
        <w:tc>
          <w:tcPr>
            <w:tcW w:w="970" w:type="dxa"/>
          </w:tcPr>
          <w:p w:rsidR="008727CB" w:rsidRPr="00481E8A" w:rsidRDefault="008727CB" w:rsidP="00D57535">
            <w:pPr>
              <w:pStyle w:val="BodyTextIndent"/>
              <w:ind w:left="0" w:firstLine="0"/>
              <w:jc w:val="center"/>
              <w:rPr>
                <w:sz w:val="20"/>
                <w:szCs w:val="20"/>
              </w:rPr>
            </w:pPr>
            <w:r w:rsidRPr="00481E8A">
              <w:rPr>
                <w:sz w:val="20"/>
                <w:szCs w:val="20"/>
              </w:rPr>
              <w:t>Est’d Total Start-up Costs</w:t>
            </w:r>
          </w:p>
          <w:p w:rsidR="008727CB" w:rsidRPr="00F06E2C" w:rsidRDefault="008727CB" w:rsidP="00D57535">
            <w:pPr>
              <w:pStyle w:val="BodyTextIndent"/>
              <w:ind w:left="0" w:firstLine="0"/>
              <w:jc w:val="center"/>
              <w:rPr>
                <w:sz w:val="18"/>
                <w:szCs w:val="18"/>
              </w:rPr>
            </w:pPr>
            <w:r w:rsidRPr="00481E8A">
              <w:rPr>
                <w:sz w:val="20"/>
                <w:szCs w:val="20"/>
              </w:rPr>
              <w:t>($)</w:t>
            </w:r>
          </w:p>
        </w:tc>
        <w:tc>
          <w:tcPr>
            <w:tcW w:w="1075" w:type="dxa"/>
          </w:tcPr>
          <w:p w:rsidR="008727CB" w:rsidRPr="00F06E2C" w:rsidRDefault="008727CB" w:rsidP="00D57535">
            <w:pPr>
              <w:pStyle w:val="BodyTextIndent"/>
              <w:ind w:left="0" w:firstLine="0"/>
              <w:jc w:val="center"/>
              <w:rPr>
                <w:sz w:val="18"/>
                <w:szCs w:val="18"/>
              </w:rPr>
            </w:pPr>
            <w:r w:rsidRPr="00F06E2C">
              <w:rPr>
                <w:sz w:val="18"/>
                <w:szCs w:val="18"/>
              </w:rPr>
              <w:t>Est’d Avg. Total Operation</w:t>
            </w:r>
            <w:r>
              <w:rPr>
                <w:sz w:val="18"/>
                <w:szCs w:val="18"/>
              </w:rPr>
              <w:t>-</w:t>
            </w:r>
            <w:r w:rsidRPr="00F06E2C">
              <w:rPr>
                <w:sz w:val="18"/>
                <w:szCs w:val="18"/>
              </w:rPr>
              <w:t>al Cost per year</w:t>
            </w:r>
          </w:p>
          <w:p w:rsidR="008727CB" w:rsidRPr="00F06E2C" w:rsidRDefault="008727CB" w:rsidP="00D57535">
            <w:pPr>
              <w:pStyle w:val="BodyTextIndent"/>
              <w:ind w:left="0" w:firstLine="0"/>
              <w:jc w:val="center"/>
              <w:rPr>
                <w:sz w:val="18"/>
                <w:szCs w:val="18"/>
              </w:rPr>
            </w:pPr>
            <w:r w:rsidRPr="00F06E2C">
              <w:rPr>
                <w:sz w:val="18"/>
                <w:szCs w:val="18"/>
              </w:rPr>
              <w:t>($)</w:t>
            </w:r>
          </w:p>
        </w:tc>
        <w:tc>
          <w:tcPr>
            <w:tcW w:w="1462" w:type="dxa"/>
          </w:tcPr>
          <w:p w:rsidR="008727CB" w:rsidRPr="00481E8A" w:rsidRDefault="008727CB" w:rsidP="00D57535">
            <w:pPr>
              <w:pStyle w:val="BodyTextIndent"/>
              <w:ind w:left="0" w:firstLine="0"/>
              <w:jc w:val="center"/>
              <w:rPr>
                <w:sz w:val="20"/>
                <w:szCs w:val="20"/>
              </w:rPr>
            </w:pPr>
            <w:r w:rsidRPr="00481E8A">
              <w:rPr>
                <w:sz w:val="20"/>
                <w:szCs w:val="20"/>
              </w:rPr>
              <w:t>Est’d Annual Total</w:t>
            </w:r>
          </w:p>
          <w:p w:rsidR="008727CB" w:rsidRPr="00481E8A" w:rsidRDefault="008727CB" w:rsidP="00D57535">
            <w:pPr>
              <w:pStyle w:val="BodyTextIndent"/>
              <w:ind w:left="0" w:firstLine="0"/>
              <w:jc w:val="center"/>
              <w:rPr>
                <w:sz w:val="20"/>
                <w:szCs w:val="20"/>
              </w:rPr>
            </w:pPr>
            <w:r w:rsidRPr="00481E8A">
              <w:rPr>
                <w:sz w:val="20"/>
                <w:szCs w:val="20"/>
              </w:rPr>
              <w:t>Costs</w:t>
            </w:r>
          </w:p>
          <w:p w:rsidR="008727CB" w:rsidRPr="00F06E2C" w:rsidRDefault="008727CB" w:rsidP="00D57535">
            <w:pPr>
              <w:pStyle w:val="BodyTextIndent"/>
              <w:ind w:left="0" w:firstLine="0"/>
              <w:jc w:val="center"/>
              <w:rPr>
                <w:sz w:val="18"/>
                <w:szCs w:val="18"/>
              </w:rPr>
            </w:pPr>
            <w:r w:rsidRPr="00481E8A">
              <w:rPr>
                <w:sz w:val="20"/>
                <w:szCs w:val="20"/>
              </w:rPr>
              <w:t>($)</w:t>
            </w:r>
          </w:p>
        </w:tc>
      </w:tr>
      <w:tr w:rsidR="004518F6" w:rsidTr="008727CB">
        <w:trPr>
          <w:jc w:val="center"/>
        </w:trPr>
        <w:tc>
          <w:tcPr>
            <w:tcW w:w="946" w:type="dxa"/>
          </w:tcPr>
          <w:p w:rsidR="008727CB" w:rsidRDefault="00492BF5" w:rsidP="00F97E3E">
            <w:pPr>
              <w:pStyle w:val="BodyTextIndent"/>
              <w:ind w:left="0" w:firstLine="0"/>
              <w:jc w:val="center"/>
            </w:pPr>
            <w:r>
              <w:t>32,000</w:t>
            </w:r>
            <w:r w:rsidR="008727CB">
              <w:rPr>
                <w:rStyle w:val="FootnoteReference"/>
              </w:rPr>
              <w:footnoteReference w:id="8"/>
            </w:r>
          </w:p>
        </w:tc>
        <w:tc>
          <w:tcPr>
            <w:tcW w:w="1297" w:type="dxa"/>
          </w:tcPr>
          <w:p w:rsidR="008727CB" w:rsidRDefault="00450A19" w:rsidP="00D57535">
            <w:pPr>
              <w:pStyle w:val="BodyTextIndent"/>
              <w:ind w:left="0" w:firstLine="0"/>
              <w:jc w:val="center"/>
            </w:pPr>
            <w:r>
              <w:t>.5</w:t>
            </w:r>
            <w:r w:rsidR="00F97E3E">
              <w:rPr>
                <w:rStyle w:val="FootnoteReference"/>
              </w:rPr>
              <w:footnoteReference w:id="9"/>
            </w:r>
          </w:p>
        </w:tc>
        <w:tc>
          <w:tcPr>
            <w:tcW w:w="1708" w:type="dxa"/>
          </w:tcPr>
          <w:p w:rsidR="008727CB" w:rsidRDefault="00492BF5" w:rsidP="00450A19">
            <w:pPr>
              <w:pStyle w:val="BodyTextIndent"/>
              <w:ind w:left="0" w:firstLine="0"/>
              <w:jc w:val="center"/>
            </w:pPr>
            <w:r>
              <w:t>16,000</w:t>
            </w:r>
          </w:p>
        </w:tc>
        <w:tc>
          <w:tcPr>
            <w:tcW w:w="970" w:type="dxa"/>
          </w:tcPr>
          <w:p w:rsidR="008727CB" w:rsidRDefault="008727CB" w:rsidP="00F06E2C">
            <w:pPr>
              <w:pStyle w:val="BodyTextIndent"/>
              <w:ind w:left="0" w:firstLine="0"/>
              <w:jc w:val="center"/>
            </w:pPr>
            <w:r>
              <w:t>$0</w:t>
            </w:r>
          </w:p>
        </w:tc>
        <w:tc>
          <w:tcPr>
            <w:tcW w:w="1075" w:type="dxa"/>
          </w:tcPr>
          <w:p w:rsidR="008727CB" w:rsidRDefault="008727CB" w:rsidP="00D57535">
            <w:pPr>
              <w:pStyle w:val="BodyTextIndent"/>
              <w:ind w:left="0" w:firstLine="0"/>
              <w:jc w:val="center"/>
            </w:pPr>
            <w:r>
              <w:t>$0</w:t>
            </w:r>
          </w:p>
        </w:tc>
        <w:tc>
          <w:tcPr>
            <w:tcW w:w="1462" w:type="dxa"/>
          </w:tcPr>
          <w:p w:rsidR="008727CB" w:rsidRDefault="008727CB" w:rsidP="00450A19">
            <w:pPr>
              <w:pStyle w:val="BodyTextIndent"/>
              <w:ind w:left="0" w:firstLine="0"/>
              <w:jc w:val="center"/>
            </w:pPr>
            <w:r>
              <w:t>$</w:t>
            </w:r>
            <w:r w:rsidR="00826C30">
              <w:t>672,8</w:t>
            </w:r>
            <w:r w:rsidR="00450A19">
              <w:t>00</w:t>
            </w:r>
            <w:r>
              <w:rPr>
                <w:rStyle w:val="FootnoteReference"/>
              </w:rPr>
              <w:footnoteReference w:id="10"/>
            </w:r>
          </w:p>
        </w:tc>
      </w:tr>
    </w:tbl>
    <w:p w:rsidR="00B05A72" w:rsidRDefault="00B05A72" w:rsidP="00B05A72">
      <w:pPr>
        <w:pStyle w:val="BodyTextIndent"/>
      </w:pPr>
    </w:p>
    <w:p w:rsidR="00B05A72" w:rsidRDefault="00B05A72" w:rsidP="00B05A72">
      <w:pPr>
        <w:pStyle w:val="BodyTextIndent"/>
        <w:jc w:val="center"/>
      </w:pPr>
    </w:p>
    <w:p w:rsidR="00B05A72" w:rsidRDefault="00B05A72" w:rsidP="00B05A72">
      <w:pPr>
        <w:pStyle w:val="BodyTextIndent"/>
        <w:jc w:val="center"/>
      </w:pPr>
      <w:r w:rsidRPr="00C23B70">
        <w:rPr>
          <w:u w:val="single"/>
        </w:rPr>
        <w:t>Estimated Total Annual Burden Hours</w:t>
      </w:r>
      <w:r>
        <w:t>:</w:t>
      </w:r>
      <w:r>
        <w:tab/>
      </w:r>
      <w:r w:rsidR="00450A19">
        <w:t>900</w:t>
      </w:r>
      <w:r w:rsidR="004518F6">
        <w:t xml:space="preserve"> Annual Burden H</w:t>
      </w:r>
      <w:r w:rsidR="00EC6E81">
        <w:t>ours</w:t>
      </w:r>
    </w:p>
    <w:p w:rsidR="00B05A72" w:rsidRDefault="00B05A72" w:rsidP="00B05A72">
      <w:pPr>
        <w:pStyle w:val="BodyTextIndent"/>
        <w:jc w:val="center"/>
      </w:pPr>
    </w:p>
    <w:p w:rsidR="00B05A72" w:rsidRDefault="00B05A72" w:rsidP="00B05A72">
      <w:pPr>
        <w:pStyle w:val="BodyTextIndent"/>
      </w:pPr>
      <w:r>
        <w:tab/>
        <w:t xml:space="preserve">  </w:t>
      </w:r>
    </w:p>
    <w:p w:rsidR="00B05A72" w:rsidRDefault="00B05A72">
      <w:pPr>
        <w:tabs>
          <w:tab w:val="left" w:pos="-720"/>
        </w:tabs>
        <w:suppressAutoHyphens/>
        <w:rPr>
          <w:rFonts w:ascii="Times New Roman" w:hAnsi="Times New Roman"/>
        </w:rPr>
      </w:pPr>
    </w:p>
    <w:sectPr w:rsidR="00B05A72" w:rsidSect="001F397B">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B4B" w:rsidRDefault="00847B4B">
      <w:pPr>
        <w:spacing w:line="20" w:lineRule="exact"/>
      </w:pPr>
    </w:p>
  </w:endnote>
  <w:endnote w:type="continuationSeparator" w:id="0">
    <w:p w:rsidR="00847B4B" w:rsidRDefault="00847B4B">
      <w:r>
        <w:t xml:space="preserve"> </w:t>
      </w:r>
    </w:p>
  </w:endnote>
  <w:endnote w:type="continuationNotice" w:id="1">
    <w:p w:rsidR="00847B4B" w:rsidRDefault="00847B4B">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B4B" w:rsidRDefault="00847B4B">
      <w:r>
        <w:separator/>
      </w:r>
    </w:p>
  </w:footnote>
  <w:footnote w:type="continuationSeparator" w:id="0">
    <w:p w:rsidR="00847B4B" w:rsidRDefault="00847B4B">
      <w:r>
        <w:t>(..continued)</w:t>
      </w:r>
    </w:p>
  </w:footnote>
  <w:footnote w:id="1">
    <w:p w:rsidR="00492BF5" w:rsidRDefault="00492BF5" w:rsidP="000718CC">
      <w:pPr>
        <w:pStyle w:val="PlainText"/>
        <w:rPr>
          <w:rFonts w:ascii="Times New Roman" w:hAnsi="Times New Roman"/>
          <w:color w:val="auto"/>
          <w:sz w:val="20"/>
          <w:szCs w:val="20"/>
        </w:rPr>
      </w:pPr>
      <w:r w:rsidRPr="00614BEF">
        <w:rPr>
          <w:rStyle w:val="FootnoteReference"/>
          <w:color w:val="auto"/>
        </w:rPr>
        <w:footnoteRef/>
      </w:r>
      <w:r w:rsidRPr="00614BEF">
        <w:rPr>
          <w:color w:val="auto"/>
        </w:rPr>
        <w:t xml:space="preserve"> </w:t>
      </w:r>
      <w:r w:rsidRPr="00FF519D">
        <w:rPr>
          <w:rFonts w:ascii="Times New Roman" w:hAnsi="Times New Roman"/>
          <w:i/>
          <w:color w:val="auto"/>
          <w:sz w:val="20"/>
          <w:szCs w:val="20"/>
        </w:rPr>
        <w:t>See</w:t>
      </w:r>
      <w:r w:rsidRPr="00614BEF">
        <w:rPr>
          <w:rFonts w:ascii="Times New Roman" w:hAnsi="Times New Roman"/>
          <w:color w:val="auto"/>
          <w:sz w:val="20"/>
          <w:szCs w:val="20"/>
        </w:rPr>
        <w:t xml:space="preserve"> Dodd-Frank Wall Street Reform and Consumer Protection Act, Pub. L. No. 111-203, 124 Stat. 1376 (2010).</w:t>
      </w:r>
      <w:r>
        <w:rPr>
          <w:rFonts w:ascii="Times New Roman" w:hAnsi="Times New Roman"/>
          <w:color w:val="auto"/>
          <w:sz w:val="20"/>
          <w:szCs w:val="20"/>
        </w:rPr>
        <w:t xml:space="preserve">  </w:t>
      </w:r>
    </w:p>
    <w:p w:rsidR="00492BF5" w:rsidRDefault="00492BF5" w:rsidP="000718CC">
      <w:pPr>
        <w:pStyle w:val="FootnoteText"/>
      </w:pPr>
    </w:p>
  </w:footnote>
  <w:footnote w:id="2">
    <w:p w:rsidR="00492BF5" w:rsidRDefault="00492BF5" w:rsidP="000718CC">
      <w:pPr>
        <w:pStyle w:val="FootnoteText"/>
        <w:rPr>
          <w:i/>
        </w:rPr>
      </w:pPr>
      <w:r w:rsidRPr="00AF5E22">
        <w:rPr>
          <w:rStyle w:val="FootnoteReference"/>
        </w:rPr>
        <w:footnoteRef/>
      </w:r>
      <w:r w:rsidRPr="00AF5E22">
        <w:t xml:space="preserve"> 7 U.S.C. 1 </w:t>
      </w:r>
      <w:r w:rsidRPr="00AF5E22">
        <w:rPr>
          <w:i/>
        </w:rPr>
        <w:t>et seq.</w:t>
      </w:r>
    </w:p>
    <w:p w:rsidR="00492BF5" w:rsidRPr="00AF5E22" w:rsidRDefault="00492BF5" w:rsidP="000718CC">
      <w:pPr>
        <w:pStyle w:val="FootnoteText"/>
        <w:rPr>
          <w:i/>
        </w:rPr>
      </w:pPr>
    </w:p>
  </w:footnote>
  <w:footnote w:id="3">
    <w:p w:rsidR="00492BF5" w:rsidRDefault="00492BF5">
      <w:pPr>
        <w:pStyle w:val="FootnoteText"/>
      </w:pPr>
      <w:r>
        <w:rPr>
          <w:rStyle w:val="FootnoteReference"/>
        </w:rPr>
        <w:footnoteRef/>
      </w:r>
      <w:r>
        <w:t xml:space="preserve"> 75 FR 63080 (Oct. 14, 2010).</w:t>
      </w:r>
    </w:p>
    <w:p w:rsidR="00492BF5" w:rsidRDefault="00492BF5">
      <w:pPr>
        <w:pStyle w:val="FootnoteText"/>
      </w:pPr>
    </w:p>
  </w:footnote>
  <w:footnote w:id="4">
    <w:p w:rsidR="00492BF5" w:rsidRDefault="00492BF5">
      <w:pPr>
        <w:pStyle w:val="FootnoteText"/>
      </w:pPr>
      <w:r>
        <w:rPr>
          <w:rStyle w:val="FootnoteReference"/>
        </w:rPr>
        <w:footnoteRef/>
      </w:r>
      <w:r>
        <w:t xml:space="preserve"> The Commission will estimate the burdens of such requirements as part of its Notice of Proposed Rulemaking.</w:t>
      </w:r>
    </w:p>
  </w:footnote>
  <w:footnote w:id="5">
    <w:p w:rsidR="00492BF5" w:rsidRDefault="00492BF5">
      <w:pPr>
        <w:pStyle w:val="FootnoteText"/>
      </w:pPr>
      <w:r>
        <w:rPr>
          <w:rStyle w:val="FootnoteReference"/>
        </w:rPr>
        <w:footnoteRef/>
      </w:r>
      <w:r>
        <w:t xml:space="preserve"> 5 U.S.C. 552 et seq.</w:t>
      </w:r>
    </w:p>
  </w:footnote>
  <w:footnote w:id="6">
    <w:p w:rsidR="00492BF5" w:rsidRDefault="00492BF5">
      <w:pPr>
        <w:pStyle w:val="FootnoteText"/>
      </w:pPr>
      <w:r>
        <w:rPr>
          <w:rStyle w:val="FootnoteReference"/>
        </w:rPr>
        <w:footnoteRef/>
      </w:r>
      <w:r>
        <w:t xml:space="preserve"> 76 FR 1603 (Jan. 11, 2011).  The notice is attached to this Statement.</w:t>
      </w:r>
    </w:p>
  </w:footnote>
  <w:footnote w:id="7">
    <w:p w:rsidR="00492BF5" w:rsidRPr="00991FB3" w:rsidRDefault="00492BF5" w:rsidP="008B1201">
      <w:pPr>
        <w:pStyle w:val="FootnoteText"/>
      </w:pPr>
      <w:r>
        <w:rPr>
          <w:rStyle w:val="FootnoteReference"/>
        </w:rPr>
        <w:footnoteRef/>
      </w:r>
      <w:r>
        <w:t xml:space="preserve"> </w:t>
      </w:r>
      <w:r w:rsidRPr="008B1201">
        <w:t xml:space="preserve">In arriving at a wage rate for the hourly costs imposed, Commission </w:t>
      </w:r>
      <w:r w:rsidRPr="00F5636E">
        <w:t>staff used the Management &amp; Professional Earnings in the Securities Industry Report, published in 2010 by the Securities Industry and Financial Markets Associations  (2010 Report).  The wage rate used the median salary of a Programmer as published in</w:t>
      </w:r>
      <w:r w:rsidRPr="008B1201">
        <w:t xml:space="preserve"> the 2010 report and dividing that figure by 2000 annual working hours to arrive at the hourly rate of $42.05.  Because the interim final rule requires only that the existing data be maintained in current form, a programmer will be able to sufficiently perform this task.</w:t>
      </w:r>
      <w:r>
        <w:t xml:space="preserve"> </w:t>
      </w:r>
    </w:p>
  </w:footnote>
  <w:footnote w:id="8">
    <w:p w:rsidR="00492BF5" w:rsidRPr="00F97E3E" w:rsidRDefault="00492BF5" w:rsidP="00F5636E">
      <w:pPr>
        <w:pStyle w:val="Style1"/>
      </w:pPr>
      <w:r>
        <w:rPr>
          <w:rStyle w:val="FootnoteReference"/>
        </w:rPr>
        <w:footnoteRef/>
      </w:r>
      <w:r>
        <w:t xml:space="preserve"> </w:t>
      </w:r>
      <w:r w:rsidRPr="00560D2D">
        <w:t>The number of entities was estimated based on the curre</w:t>
      </w:r>
      <w:r>
        <w:t xml:space="preserve">nt estimate of the number of Swap Dealers (250), Major </w:t>
      </w:r>
      <w:r w:rsidRPr="00F97E3E">
        <w:t>Swap Participants</w:t>
      </w:r>
      <w:r w:rsidR="00826C30">
        <w:t xml:space="preserve"> (50), and other counterparties, including end-users (31,700</w:t>
      </w:r>
      <w:r w:rsidRPr="00F97E3E">
        <w:t>).  Because the Commission has not regulated the swap market, it has not collected data relevant to this estimate. Additionally, whi</w:t>
      </w:r>
      <w:r w:rsidR="00826C30">
        <w:t>le staff believes that there are likely</w:t>
      </w:r>
      <w:r w:rsidRPr="00F97E3E">
        <w:t xml:space="preserve"> approximately 200 swap dealers, we have taken a conservative approach in estimating that there will be 250 swap dealers for Paperwork Reduction Act purposes.  Therefore, the Commission requests comment on this estimate</w:t>
      </w:r>
      <w:r>
        <w:t>.</w:t>
      </w:r>
    </w:p>
  </w:footnote>
  <w:footnote w:id="9">
    <w:p w:rsidR="00492BF5" w:rsidRPr="00F97E3E" w:rsidRDefault="00492BF5">
      <w:pPr>
        <w:pStyle w:val="FootnoteText"/>
      </w:pPr>
      <w:r w:rsidRPr="00F97E3E">
        <w:rPr>
          <w:rStyle w:val="FootnoteReference"/>
        </w:rPr>
        <w:footnoteRef/>
      </w:r>
      <w:r w:rsidRPr="00F97E3E">
        <w:t xml:space="preserve"> The interim final rule requires only that the counterparties maintain data in its current form.  This will require a de minim</w:t>
      </w:r>
      <w:r>
        <w:t>i</w:t>
      </w:r>
      <w:r w:rsidRPr="00F97E3E">
        <w:t>s hourly burden.</w:t>
      </w:r>
    </w:p>
  </w:footnote>
  <w:footnote w:id="10">
    <w:p w:rsidR="00492BF5" w:rsidRDefault="00492BF5">
      <w:pPr>
        <w:pStyle w:val="FootnoteText"/>
      </w:pPr>
      <w:r w:rsidRPr="00F97E3E">
        <w:rPr>
          <w:rStyle w:val="FootnoteReference"/>
        </w:rPr>
        <w:footnoteRef/>
      </w:r>
      <w:r w:rsidRPr="00F97E3E">
        <w:t xml:space="preserve"> </w:t>
      </w:r>
      <w:r w:rsidR="00826C30">
        <w:t>$42.05 per hour x 16,000</w:t>
      </w:r>
      <w:r>
        <w:t xml:space="preserve"> hours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E507B"/>
    <w:multiLevelType w:val="hybridMultilevel"/>
    <w:tmpl w:val="DDCA2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0800B2"/>
    <w:multiLevelType w:val="hybridMultilevel"/>
    <w:tmpl w:val="A15A9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3E2E11"/>
    <w:multiLevelType w:val="hybridMultilevel"/>
    <w:tmpl w:val="04BC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A4D29"/>
    <w:multiLevelType w:val="hybridMultilevel"/>
    <w:tmpl w:val="6A28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removePersonalInformation/>
  <w:removeDateAndTime/>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rsids>
    <w:rsidRoot w:val="00ED6C64"/>
    <w:rsid w:val="0001274E"/>
    <w:rsid w:val="000127E6"/>
    <w:rsid w:val="000151FB"/>
    <w:rsid w:val="0002765C"/>
    <w:rsid w:val="00032D9E"/>
    <w:rsid w:val="000339AB"/>
    <w:rsid w:val="00036C68"/>
    <w:rsid w:val="00066087"/>
    <w:rsid w:val="000718CC"/>
    <w:rsid w:val="0007324A"/>
    <w:rsid w:val="00073FD1"/>
    <w:rsid w:val="0007547E"/>
    <w:rsid w:val="000904DC"/>
    <w:rsid w:val="000A52A8"/>
    <w:rsid w:val="000C630A"/>
    <w:rsid w:val="000C6FDE"/>
    <w:rsid w:val="000D677F"/>
    <w:rsid w:val="000F7DDE"/>
    <w:rsid w:val="00126A3B"/>
    <w:rsid w:val="00132785"/>
    <w:rsid w:val="00143F22"/>
    <w:rsid w:val="00144904"/>
    <w:rsid w:val="00161E35"/>
    <w:rsid w:val="001627B1"/>
    <w:rsid w:val="00166E7D"/>
    <w:rsid w:val="00175CF9"/>
    <w:rsid w:val="00177BE1"/>
    <w:rsid w:val="001867E8"/>
    <w:rsid w:val="00186F6B"/>
    <w:rsid w:val="00187A93"/>
    <w:rsid w:val="00194041"/>
    <w:rsid w:val="00195839"/>
    <w:rsid w:val="001B5420"/>
    <w:rsid w:val="001C5637"/>
    <w:rsid w:val="001C5979"/>
    <w:rsid w:val="001E3789"/>
    <w:rsid w:val="001E3AD9"/>
    <w:rsid w:val="001E5157"/>
    <w:rsid w:val="001E5CB8"/>
    <w:rsid w:val="001E60B0"/>
    <w:rsid w:val="001F1465"/>
    <w:rsid w:val="001F2733"/>
    <w:rsid w:val="001F36F1"/>
    <w:rsid w:val="001F397B"/>
    <w:rsid w:val="001F64BB"/>
    <w:rsid w:val="00210F10"/>
    <w:rsid w:val="00214B78"/>
    <w:rsid w:val="00221038"/>
    <w:rsid w:val="002426C7"/>
    <w:rsid w:val="002426EB"/>
    <w:rsid w:val="002651BD"/>
    <w:rsid w:val="00266B89"/>
    <w:rsid w:val="00284E6F"/>
    <w:rsid w:val="002856BC"/>
    <w:rsid w:val="002864CD"/>
    <w:rsid w:val="002973A6"/>
    <w:rsid w:val="002B75E8"/>
    <w:rsid w:val="002C1BC0"/>
    <w:rsid w:val="002C555C"/>
    <w:rsid w:val="002D133A"/>
    <w:rsid w:val="002E178D"/>
    <w:rsid w:val="00303FAC"/>
    <w:rsid w:val="0030737A"/>
    <w:rsid w:val="003073B1"/>
    <w:rsid w:val="00314D5F"/>
    <w:rsid w:val="00315019"/>
    <w:rsid w:val="00337AAB"/>
    <w:rsid w:val="003418C5"/>
    <w:rsid w:val="00375A05"/>
    <w:rsid w:val="00386B91"/>
    <w:rsid w:val="0039108F"/>
    <w:rsid w:val="003A232A"/>
    <w:rsid w:val="003B51C9"/>
    <w:rsid w:val="003D15EA"/>
    <w:rsid w:val="003E04C0"/>
    <w:rsid w:val="003F082E"/>
    <w:rsid w:val="00404BED"/>
    <w:rsid w:val="00405AF3"/>
    <w:rsid w:val="00406241"/>
    <w:rsid w:val="004165C8"/>
    <w:rsid w:val="00422C78"/>
    <w:rsid w:val="00450A19"/>
    <w:rsid w:val="004518F6"/>
    <w:rsid w:val="0045708C"/>
    <w:rsid w:val="004676A6"/>
    <w:rsid w:val="00481E8A"/>
    <w:rsid w:val="00492321"/>
    <w:rsid w:val="00492BF5"/>
    <w:rsid w:val="004A2135"/>
    <w:rsid w:val="004A28BE"/>
    <w:rsid w:val="004A40FC"/>
    <w:rsid w:val="004D63F1"/>
    <w:rsid w:val="004F33BA"/>
    <w:rsid w:val="005151A5"/>
    <w:rsid w:val="005229A6"/>
    <w:rsid w:val="0053678B"/>
    <w:rsid w:val="005459A2"/>
    <w:rsid w:val="00554C90"/>
    <w:rsid w:val="00560466"/>
    <w:rsid w:val="00560D2D"/>
    <w:rsid w:val="00572B44"/>
    <w:rsid w:val="00582F36"/>
    <w:rsid w:val="005A3EF7"/>
    <w:rsid w:val="005C053B"/>
    <w:rsid w:val="005C6C0D"/>
    <w:rsid w:val="0060223B"/>
    <w:rsid w:val="006050AC"/>
    <w:rsid w:val="00621CDC"/>
    <w:rsid w:val="00627555"/>
    <w:rsid w:val="00630458"/>
    <w:rsid w:val="00635235"/>
    <w:rsid w:val="006355C2"/>
    <w:rsid w:val="00643CF2"/>
    <w:rsid w:val="00660A96"/>
    <w:rsid w:val="00666695"/>
    <w:rsid w:val="00696AB2"/>
    <w:rsid w:val="006C14F1"/>
    <w:rsid w:val="006C65C2"/>
    <w:rsid w:val="006E3672"/>
    <w:rsid w:val="007020DB"/>
    <w:rsid w:val="007042E2"/>
    <w:rsid w:val="00725580"/>
    <w:rsid w:val="0072621F"/>
    <w:rsid w:val="00751AFA"/>
    <w:rsid w:val="00774E6F"/>
    <w:rsid w:val="007916FC"/>
    <w:rsid w:val="00794A45"/>
    <w:rsid w:val="00796A36"/>
    <w:rsid w:val="007A5317"/>
    <w:rsid w:val="007B55D0"/>
    <w:rsid w:val="007C6AC0"/>
    <w:rsid w:val="007D183F"/>
    <w:rsid w:val="007D3206"/>
    <w:rsid w:val="007E38E4"/>
    <w:rsid w:val="007F154A"/>
    <w:rsid w:val="007F38D8"/>
    <w:rsid w:val="0081315D"/>
    <w:rsid w:val="00820D4F"/>
    <w:rsid w:val="00826C30"/>
    <w:rsid w:val="00832F9C"/>
    <w:rsid w:val="00837D69"/>
    <w:rsid w:val="00847B4B"/>
    <w:rsid w:val="00852839"/>
    <w:rsid w:val="0085755E"/>
    <w:rsid w:val="008727CB"/>
    <w:rsid w:val="0087722F"/>
    <w:rsid w:val="00890E31"/>
    <w:rsid w:val="008928D7"/>
    <w:rsid w:val="008A77A3"/>
    <w:rsid w:val="008B1201"/>
    <w:rsid w:val="008B5955"/>
    <w:rsid w:val="008B7285"/>
    <w:rsid w:val="008D43C2"/>
    <w:rsid w:val="008D4596"/>
    <w:rsid w:val="008F010A"/>
    <w:rsid w:val="008F1CF7"/>
    <w:rsid w:val="009114EF"/>
    <w:rsid w:val="009272BD"/>
    <w:rsid w:val="00932545"/>
    <w:rsid w:val="00933614"/>
    <w:rsid w:val="00947AAC"/>
    <w:rsid w:val="0095222C"/>
    <w:rsid w:val="00952DA5"/>
    <w:rsid w:val="00953D28"/>
    <w:rsid w:val="00973F59"/>
    <w:rsid w:val="00991FB3"/>
    <w:rsid w:val="00993574"/>
    <w:rsid w:val="0099720F"/>
    <w:rsid w:val="009E3D70"/>
    <w:rsid w:val="009E5BA3"/>
    <w:rsid w:val="00A3597D"/>
    <w:rsid w:val="00A456A7"/>
    <w:rsid w:val="00A54A0D"/>
    <w:rsid w:val="00A607F3"/>
    <w:rsid w:val="00A66A17"/>
    <w:rsid w:val="00A775FC"/>
    <w:rsid w:val="00A92658"/>
    <w:rsid w:val="00A9477C"/>
    <w:rsid w:val="00AA60A8"/>
    <w:rsid w:val="00AB148E"/>
    <w:rsid w:val="00AB625A"/>
    <w:rsid w:val="00AD7531"/>
    <w:rsid w:val="00B02256"/>
    <w:rsid w:val="00B05A72"/>
    <w:rsid w:val="00B3723D"/>
    <w:rsid w:val="00B4789B"/>
    <w:rsid w:val="00B551D1"/>
    <w:rsid w:val="00B57247"/>
    <w:rsid w:val="00B84230"/>
    <w:rsid w:val="00B86481"/>
    <w:rsid w:val="00B91DD5"/>
    <w:rsid w:val="00BA086A"/>
    <w:rsid w:val="00BA5783"/>
    <w:rsid w:val="00BB202A"/>
    <w:rsid w:val="00BC34A5"/>
    <w:rsid w:val="00BE2CFC"/>
    <w:rsid w:val="00C0441B"/>
    <w:rsid w:val="00C20A2D"/>
    <w:rsid w:val="00C4288B"/>
    <w:rsid w:val="00C4765C"/>
    <w:rsid w:val="00C73BA4"/>
    <w:rsid w:val="00C97E1A"/>
    <w:rsid w:val="00CB46AA"/>
    <w:rsid w:val="00CB5C27"/>
    <w:rsid w:val="00CD53E3"/>
    <w:rsid w:val="00CD7165"/>
    <w:rsid w:val="00CE20E7"/>
    <w:rsid w:val="00D07F58"/>
    <w:rsid w:val="00D25803"/>
    <w:rsid w:val="00D2779B"/>
    <w:rsid w:val="00D407D0"/>
    <w:rsid w:val="00D41DED"/>
    <w:rsid w:val="00D432A9"/>
    <w:rsid w:val="00D513B1"/>
    <w:rsid w:val="00D57535"/>
    <w:rsid w:val="00D6263D"/>
    <w:rsid w:val="00D85A01"/>
    <w:rsid w:val="00D9422C"/>
    <w:rsid w:val="00D97C10"/>
    <w:rsid w:val="00DA3B6E"/>
    <w:rsid w:val="00DA50C1"/>
    <w:rsid w:val="00DA73B2"/>
    <w:rsid w:val="00DB0876"/>
    <w:rsid w:val="00DB3C65"/>
    <w:rsid w:val="00DC40D1"/>
    <w:rsid w:val="00DD0CAB"/>
    <w:rsid w:val="00DD6F22"/>
    <w:rsid w:val="00DE3E7D"/>
    <w:rsid w:val="00DE4BC3"/>
    <w:rsid w:val="00DF1AA0"/>
    <w:rsid w:val="00E0436A"/>
    <w:rsid w:val="00E0525D"/>
    <w:rsid w:val="00E068A1"/>
    <w:rsid w:val="00E06D2E"/>
    <w:rsid w:val="00E1644A"/>
    <w:rsid w:val="00E26223"/>
    <w:rsid w:val="00E27FC2"/>
    <w:rsid w:val="00E42BBE"/>
    <w:rsid w:val="00E533BC"/>
    <w:rsid w:val="00E62AFC"/>
    <w:rsid w:val="00E73525"/>
    <w:rsid w:val="00E737ED"/>
    <w:rsid w:val="00E77585"/>
    <w:rsid w:val="00E93E1C"/>
    <w:rsid w:val="00EB0D2C"/>
    <w:rsid w:val="00EC3CD5"/>
    <w:rsid w:val="00EC6E81"/>
    <w:rsid w:val="00ED3A7E"/>
    <w:rsid w:val="00ED48A5"/>
    <w:rsid w:val="00ED6C64"/>
    <w:rsid w:val="00EE654F"/>
    <w:rsid w:val="00F037C6"/>
    <w:rsid w:val="00F044A4"/>
    <w:rsid w:val="00F05E74"/>
    <w:rsid w:val="00F06E2C"/>
    <w:rsid w:val="00F07F57"/>
    <w:rsid w:val="00F11978"/>
    <w:rsid w:val="00F15E3D"/>
    <w:rsid w:val="00F37236"/>
    <w:rsid w:val="00F47ABE"/>
    <w:rsid w:val="00F5636E"/>
    <w:rsid w:val="00F633FB"/>
    <w:rsid w:val="00F77A44"/>
    <w:rsid w:val="00F92157"/>
    <w:rsid w:val="00F97E3E"/>
    <w:rsid w:val="00F97F7B"/>
    <w:rsid w:val="00FA0BB4"/>
    <w:rsid w:val="00FA45D2"/>
    <w:rsid w:val="00FB23E6"/>
    <w:rsid w:val="00FB4BFB"/>
    <w:rsid w:val="00FC0F41"/>
    <w:rsid w:val="00FC5EBE"/>
    <w:rsid w:val="00FD6ABE"/>
    <w:rsid w:val="00FF00C7"/>
    <w:rsid w:val="00FF2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97B"/>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F397B"/>
  </w:style>
  <w:style w:type="character" w:styleId="EndnoteReference">
    <w:name w:val="endnote reference"/>
    <w:basedOn w:val="DefaultParagraphFont"/>
    <w:semiHidden/>
    <w:rsid w:val="001F397B"/>
    <w:rPr>
      <w:vertAlign w:val="superscript"/>
    </w:rPr>
  </w:style>
  <w:style w:type="paragraph" w:styleId="FootnoteText">
    <w:name w:val="footnote text"/>
    <w:basedOn w:val="Normal"/>
    <w:link w:val="FootnoteTextChar"/>
    <w:semiHidden/>
    <w:rsid w:val="00F5636E"/>
    <w:rPr>
      <w:rFonts w:ascii="Times New Roman" w:hAnsi="Times New Roman"/>
      <w:sz w:val="20"/>
    </w:rPr>
  </w:style>
  <w:style w:type="character" w:styleId="FootnoteReference">
    <w:name w:val="footnote reference"/>
    <w:basedOn w:val="DefaultParagraphFont"/>
    <w:uiPriority w:val="99"/>
    <w:semiHidden/>
    <w:rsid w:val="001F397B"/>
    <w:rPr>
      <w:vertAlign w:val="superscript"/>
    </w:rPr>
  </w:style>
  <w:style w:type="character" w:customStyle="1" w:styleId="Document8">
    <w:name w:val="Document 8"/>
    <w:basedOn w:val="DefaultParagraphFont"/>
    <w:rsid w:val="001F397B"/>
  </w:style>
  <w:style w:type="character" w:customStyle="1" w:styleId="Document4">
    <w:name w:val="Document 4"/>
    <w:basedOn w:val="DefaultParagraphFont"/>
    <w:rsid w:val="001F397B"/>
    <w:rPr>
      <w:b/>
      <w:i/>
      <w:sz w:val="24"/>
    </w:rPr>
  </w:style>
  <w:style w:type="character" w:customStyle="1" w:styleId="Document6">
    <w:name w:val="Document 6"/>
    <w:basedOn w:val="DefaultParagraphFont"/>
    <w:rsid w:val="001F397B"/>
  </w:style>
  <w:style w:type="character" w:customStyle="1" w:styleId="Document5">
    <w:name w:val="Document 5"/>
    <w:basedOn w:val="DefaultParagraphFont"/>
    <w:rsid w:val="001F397B"/>
  </w:style>
  <w:style w:type="character" w:customStyle="1" w:styleId="Document2">
    <w:name w:val="Document 2"/>
    <w:basedOn w:val="DefaultParagraphFont"/>
    <w:rsid w:val="001F397B"/>
    <w:rPr>
      <w:rFonts w:ascii="Courier" w:hAnsi="Courier"/>
      <w:noProof w:val="0"/>
      <w:sz w:val="24"/>
      <w:lang w:val="en-US"/>
    </w:rPr>
  </w:style>
  <w:style w:type="character" w:customStyle="1" w:styleId="Document7">
    <w:name w:val="Document 7"/>
    <w:basedOn w:val="DefaultParagraphFont"/>
    <w:rsid w:val="001F397B"/>
  </w:style>
  <w:style w:type="character" w:customStyle="1" w:styleId="Bibliogrphy">
    <w:name w:val="Bibliogrphy"/>
    <w:basedOn w:val="DefaultParagraphFont"/>
    <w:rsid w:val="001F397B"/>
  </w:style>
  <w:style w:type="paragraph" w:customStyle="1" w:styleId="RightPar1">
    <w:name w:val="Right Par 1"/>
    <w:rsid w:val="001F397B"/>
    <w:pPr>
      <w:tabs>
        <w:tab w:val="left" w:pos="-720"/>
        <w:tab w:val="left" w:pos="0"/>
        <w:tab w:val="decimal" w:pos="720"/>
      </w:tabs>
      <w:suppressAutoHyphens/>
      <w:ind w:left="720"/>
    </w:pPr>
    <w:rPr>
      <w:rFonts w:ascii="Courier" w:hAnsi="Courier"/>
      <w:sz w:val="24"/>
    </w:rPr>
  </w:style>
  <w:style w:type="paragraph" w:customStyle="1" w:styleId="RightPar2">
    <w:name w:val="Right Par 2"/>
    <w:rsid w:val="001F397B"/>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1F397B"/>
    <w:rPr>
      <w:rFonts w:ascii="Courier" w:hAnsi="Courier"/>
      <w:noProof w:val="0"/>
      <w:sz w:val="24"/>
      <w:lang w:val="en-US"/>
    </w:rPr>
  </w:style>
  <w:style w:type="paragraph" w:customStyle="1" w:styleId="RightPar3">
    <w:name w:val="Right Par 3"/>
    <w:rsid w:val="001F397B"/>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1F397B"/>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1F397B"/>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1F397B"/>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1F397B"/>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1F397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1F397B"/>
    <w:pPr>
      <w:keepNext/>
      <w:keepLines/>
      <w:tabs>
        <w:tab w:val="left" w:pos="-720"/>
      </w:tabs>
      <w:suppressAutoHyphens/>
    </w:pPr>
    <w:rPr>
      <w:rFonts w:ascii="Courier" w:hAnsi="Courier"/>
      <w:sz w:val="24"/>
    </w:rPr>
  </w:style>
  <w:style w:type="character" w:customStyle="1" w:styleId="DocInit">
    <w:name w:val="Doc Init"/>
    <w:basedOn w:val="DefaultParagraphFont"/>
    <w:rsid w:val="001F397B"/>
  </w:style>
  <w:style w:type="character" w:customStyle="1" w:styleId="TechInit">
    <w:name w:val="Tech Init"/>
    <w:basedOn w:val="DefaultParagraphFont"/>
    <w:rsid w:val="001F397B"/>
    <w:rPr>
      <w:rFonts w:ascii="Courier" w:hAnsi="Courier"/>
      <w:noProof w:val="0"/>
      <w:sz w:val="24"/>
      <w:lang w:val="en-US"/>
    </w:rPr>
  </w:style>
  <w:style w:type="paragraph" w:customStyle="1" w:styleId="Technical5">
    <w:name w:val="Technical 5"/>
    <w:rsid w:val="001F397B"/>
    <w:pPr>
      <w:tabs>
        <w:tab w:val="left" w:pos="-720"/>
      </w:tabs>
      <w:suppressAutoHyphens/>
      <w:ind w:firstLine="720"/>
    </w:pPr>
    <w:rPr>
      <w:rFonts w:ascii="Courier" w:hAnsi="Courier"/>
      <w:b/>
      <w:sz w:val="24"/>
    </w:rPr>
  </w:style>
  <w:style w:type="paragraph" w:customStyle="1" w:styleId="Technical6">
    <w:name w:val="Technical 6"/>
    <w:rsid w:val="001F397B"/>
    <w:pPr>
      <w:tabs>
        <w:tab w:val="left" w:pos="-720"/>
      </w:tabs>
      <w:suppressAutoHyphens/>
      <w:ind w:firstLine="720"/>
    </w:pPr>
    <w:rPr>
      <w:rFonts w:ascii="Courier" w:hAnsi="Courier"/>
      <w:b/>
      <w:sz w:val="24"/>
    </w:rPr>
  </w:style>
  <w:style w:type="character" w:customStyle="1" w:styleId="Technical2">
    <w:name w:val="Technical 2"/>
    <w:basedOn w:val="DefaultParagraphFont"/>
    <w:rsid w:val="001F397B"/>
    <w:rPr>
      <w:rFonts w:ascii="Courier" w:hAnsi="Courier"/>
      <w:noProof w:val="0"/>
      <w:sz w:val="24"/>
      <w:lang w:val="en-US"/>
    </w:rPr>
  </w:style>
  <w:style w:type="character" w:customStyle="1" w:styleId="Technical3">
    <w:name w:val="Technical 3"/>
    <w:basedOn w:val="DefaultParagraphFont"/>
    <w:rsid w:val="001F397B"/>
    <w:rPr>
      <w:rFonts w:ascii="Courier" w:hAnsi="Courier"/>
      <w:noProof w:val="0"/>
      <w:sz w:val="24"/>
      <w:lang w:val="en-US"/>
    </w:rPr>
  </w:style>
  <w:style w:type="paragraph" w:customStyle="1" w:styleId="Technical4">
    <w:name w:val="Technical 4"/>
    <w:rsid w:val="001F397B"/>
    <w:pPr>
      <w:tabs>
        <w:tab w:val="left" w:pos="-720"/>
      </w:tabs>
      <w:suppressAutoHyphens/>
    </w:pPr>
    <w:rPr>
      <w:rFonts w:ascii="Courier" w:hAnsi="Courier"/>
      <w:b/>
      <w:sz w:val="24"/>
    </w:rPr>
  </w:style>
  <w:style w:type="character" w:customStyle="1" w:styleId="Technical1">
    <w:name w:val="Technical 1"/>
    <w:basedOn w:val="DefaultParagraphFont"/>
    <w:rsid w:val="001F397B"/>
    <w:rPr>
      <w:rFonts w:ascii="Courier" w:hAnsi="Courier"/>
      <w:noProof w:val="0"/>
      <w:sz w:val="24"/>
      <w:lang w:val="en-US"/>
    </w:rPr>
  </w:style>
  <w:style w:type="paragraph" w:customStyle="1" w:styleId="Technical7">
    <w:name w:val="Technical 7"/>
    <w:rsid w:val="001F397B"/>
    <w:pPr>
      <w:tabs>
        <w:tab w:val="left" w:pos="-720"/>
      </w:tabs>
      <w:suppressAutoHyphens/>
      <w:ind w:firstLine="720"/>
    </w:pPr>
    <w:rPr>
      <w:rFonts w:ascii="Courier" w:hAnsi="Courier"/>
      <w:b/>
      <w:sz w:val="24"/>
    </w:rPr>
  </w:style>
  <w:style w:type="paragraph" w:customStyle="1" w:styleId="Technical8">
    <w:name w:val="Technical 8"/>
    <w:rsid w:val="001F397B"/>
    <w:pPr>
      <w:tabs>
        <w:tab w:val="left" w:pos="-720"/>
      </w:tabs>
      <w:suppressAutoHyphens/>
      <w:ind w:firstLine="720"/>
    </w:pPr>
    <w:rPr>
      <w:rFonts w:ascii="Courier" w:hAnsi="Courier"/>
      <w:b/>
      <w:sz w:val="24"/>
    </w:rPr>
  </w:style>
  <w:style w:type="paragraph" w:styleId="TOC1">
    <w:name w:val="toc 1"/>
    <w:basedOn w:val="Normal"/>
    <w:next w:val="Normal"/>
    <w:semiHidden/>
    <w:rsid w:val="001F397B"/>
    <w:pPr>
      <w:tabs>
        <w:tab w:val="right" w:leader="dot" w:pos="9360"/>
      </w:tabs>
      <w:suppressAutoHyphens/>
      <w:spacing w:before="480"/>
      <w:ind w:left="720" w:right="720" w:hanging="720"/>
    </w:pPr>
  </w:style>
  <w:style w:type="paragraph" w:styleId="TOC2">
    <w:name w:val="toc 2"/>
    <w:basedOn w:val="Normal"/>
    <w:next w:val="Normal"/>
    <w:semiHidden/>
    <w:rsid w:val="001F397B"/>
    <w:pPr>
      <w:tabs>
        <w:tab w:val="right" w:leader="dot" w:pos="9360"/>
      </w:tabs>
      <w:suppressAutoHyphens/>
      <w:ind w:left="1440" w:right="720" w:hanging="720"/>
    </w:pPr>
  </w:style>
  <w:style w:type="paragraph" w:styleId="TOC3">
    <w:name w:val="toc 3"/>
    <w:basedOn w:val="Normal"/>
    <w:next w:val="Normal"/>
    <w:semiHidden/>
    <w:rsid w:val="001F397B"/>
    <w:pPr>
      <w:tabs>
        <w:tab w:val="right" w:leader="dot" w:pos="9360"/>
      </w:tabs>
      <w:suppressAutoHyphens/>
      <w:ind w:left="2160" w:right="720" w:hanging="720"/>
    </w:pPr>
  </w:style>
  <w:style w:type="paragraph" w:styleId="TOC4">
    <w:name w:val="toc 4"/>
    <w:basedOn w:val="Normal"/>
    <w:next w:val="Normal"/>
    <w:semiHidden/>
    <w:rsid w:val="001F397B"/>
    <w:pPr>
      <w:tabs>
        <w:tab w:val="right" w:leader="dot" w:pos="9360"/>
      </w:tabs>
      <w:suppressAutoHyphens/>
      <w:ind w:left="2880" w:right="720" w:hanging="720"/>
    </w:pPr>
  </w:style>
  <w:style w:type="paragraph" w:styleId="TOC5">
    <w:name w:val="toc 5"/>
    <w:basedOn w:val="Normal"/>
    <w:next w:val="Normal"/>
    <w:semiHidden/>
    <w:rsid w:val="001F397B"/>
    <w:pPr>
      <w:tabs>
        <w:tab w:val="right" w:leader="dot" w:pos="9360"/>
      </w:tabs>
      <w:suppressAutoHyphens/>
      <w:ind w:left="3600" w:right="720" w:hanging="720"/>
    </w:pPr>
  </w:style>
  <w:style w:type="paragraph" w:styleId="TOC6">
    <w:name w:val="toc 6"/>
    <w:basedOn w:val="Normal"/>
    <w:next w:val="Normal"/>
    <w:semiHidden/>
    <w:rsid w:val="001F397B"/>
    <w:pPr>
      <w:tabs>
        <w:tab w:val="right" w:pos="9360"/>
      </w:tabs>
      <w:suppressAutoHyphens/>
      <w:ind w:left="720" w:hanging="720"/>
    </w:pPr>
  </w:style>
  <w:style w:type="paragraph" w:styleId="TOC7">
    <w:name w:val="toc 7"/>
    <w:basedOn w:val="Normal"/>
    <w:next w:val="Normal"/>
    <w:semiHidden/>
    <w:rsid w:val="001F397B"/>
    <w:pPr>
      <w:suppressAutoHyphens/>
      <w:ind w:left="720" w:hanging="720"/>
    </w:pPr>
  </w:style>
  <w:style w:type="paragraph" w:styleId="TOC8">
    <w:name w:val="toc 8"/>
    <w:basedOn w:val="Normal"/>
    <w:next w:val="Normal"/>
    <w:semiHidden/>
    <w:rsid w:val="001F397B"/>
    <w:pPr>
      <w:tabs>
        <w:tab w:val="right" w:pos="9360"/>
      </w:tabs>
      <w:suppressAutoHyphens/>
      <w:ind w:left="720" w:hanging="720"/>
    </w:pPr>
  </w:style>
  <w:style w:type="paragraph" w:styleId="TOC9">
    <w:name w:val="toc 9"/>
    <w:basedOn w:val="Normal"/>
    <w:next w:val="Normal"/>
    <w:semiHidden/>
    <w:rsid w:val="001F397B"/>
    <w:pPr>
      <w:tabs>
        <w:tab w:val="right" w:leader="dot" w:pos="9360"/>
      </w:tabs>
      <w:suppressAutoHyphens/>
      <w:ind w:left="720" w:hanging="720"/>
    </w:pPr>
  </w:style>
  <w:style w:type="paragraph" w:styleId="Index1">
    <w:name w:val="index 1"/>
    <w:basedOn w:val="Normal"/>
    <w:next w:val="Normal"/>
    <w:semiHidden/>
    <w:rsid w:val="001F397B"/>
    <w:pPr>
      <w:tabs>
        <w:tab w:val="right" w:leader="dot" w:pos="9360"/>
      </w:tabs>
      <w:suppressAutoHyphens/>
      <w:ind w:left="1440" w:right="720" w:hanging="1440"/>
    </w:pPr>
  </w:style>
  <w:style w:type="paragraph" w:styleId="Index2">
    <w:name w:val="index 2"/>
    <w:basedOn w:val="Normal"/>
    <w:next w:val="Normal"/>
    <w:semiHidden/>
    <w:rsid w:val="001F397B"/>
    <w:pPr>
      <w:tabs>
        <w:tab w:val="right" w:leader="dot" w:pos="9360"/>
      </w:tabs>
      <w:suppressAutoHyphens/>
      <w:ind w:left="1440" w:right="720" w:hanging="720"/>
    </w:pPr>
  </w:style>
  <w:style w:type="paragraph" w:styleId="TOAHeading">
    <w:name w:val="toa heading"/>
    <w:basedOn w:val="Normal"/>
    <w:next w:val="Normal"/>
    <w:semiHidden/>
    <w:rsid w:val="001F397B"/>
    <w:pPr>
      <w:tabs>
        <w:tab w:val="right" w:pos="9360"/>
      </w:tabs>
      <w:suppressAutoHyphens/>
    </w:pPr>
  </w:style>
  <w:style w:type="paragraph" w:styleId="Caption">
    <w:name w:val="caption"/>
    <w:basedOn w:val="Normal"/>
    <w:next w:val="Normal"/>
    <w:qFormat/>
    <w:rsid w:val="001F397B"/>
  </w:style>
  <w:style w:type="character" w:customStyle="1" w:styleId="EquationCaption">
    <w:name w:val="_Equation Caption"/>
    <w:rsid w:val="001F397B"/>
  </w:style>
  <w:style w:type="character" w:customStyle="1" w:styleId="FootnoteTextChar">
    <w:name w:val="Footnote Text Char"/>
    <w:basedOn w:val="DefaultParagraphFont"/>
    <w:link w:val="FootnoteText"/>
    <w:semiHidden/>
    <w:rsid w:val="00F5636E"/>
  </w:style>
  <w:style w:type="paragraph" w:styleId="PlainText">
    <w:name w:val="Plain Text"/>
    <w:basedOn w:val="Normal"/>
    <w:link w:val="PlainTextChar"/>
    <w:uiPriority w:val="99"/>
    <w:unhideWhenUsed/>
    <w:rsid w:val="000718CC"/>
    <w:rPr>
      <w:rFonts w:ascii="Calibri" w:hAnsi="Calibri"/>
      <w:color w:val="1F497D"/>
      <w:sz w:val="22"/>
      <w:szCs w:val="21"/>
    </w:rPr>
  </w:style>
  <w:style w:type="character" w:customStyle="1" w:styleId="PlainTextChar">
    <w:name w:val="Plain Text Char"/>
    <w:basedOn w:val="DefaultParagraphFont"/>
    <w:link w:val="PlainText"/>
    <w:uiPriority w:val="99"/>
    <w:rsid w:val="000718CC"/>
    <w:rPr>
      <w:rFonts w:ascii="Calibri" w:hAnsi="Calibri"/>
      <w:color w:val="1F497D"/>
      <w:sz w:val="22"/>
      <w:szCs w:val="21"/>
    </w:rPr>
  </w:style>
  <w:style w:type="table" w:styleId="TableGrid">
    <w:name w:val="Table Grid"/>
    <w:basedOn w:val="TableNormal"/>
    <w:uiPriority w:val="59"/>
    <w:rsid w:val="00E043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1DED"/>
    <w:pPr>
      <w:tabs>
        <w:tab w:val="center" w:pos="4680"/>
        <w:tab w:val="right" w:pos="9360"/>
      </w:tabs>
    </w:pPr>
  </w:style>
  <w:style w:type="character" w:customStyle="1" w:styleId="HeaderChar">
    <w:name w:val="Header Char"/>
    <w:basedOn w:val="DefaultParagraphFont"/>
    <w:link w:val="Header"/>
    <w:uiPriority w:val="99"/>
    <w:rsid w:val="00D41DED"/>
    <w:rPr>
      <w:rFonts w:ascii="Courier" w:hAnsi="Courier"/>
      <w:sz w:val="24"/>
    </w:rPr>
  </w:style>
  <w:style w:type="paragraph" w:styleId="Footer">
    <w:name w:val="footer"/>
    <w:basedOn w:val="Normal"/>
    <w:link w:val="FooterChar"/>
    <w:uiPriority w:val="99"/>
    <w:semiHidden/>
    <w:unhideWhenUsed/>
    <w:rsid w:val="00D41DED"/>
    <w:pPr>
      <w:tabs>
        <w:tab w:val="center" w:pos="4680"/>
        <w:tab w:val="right" w:pos="9360"/>
      </w:tabs>
    </w:pPr>
  </w:style>
  <w:style w:type="character" w:customStyle="1" w:styleId="FooterChar">
    <w:name w:val="Footer Char"/>
    <w:basedOn w:val="DefaultParagraphFont"/>
    <w:link w:val="Footer"/>
    <w:uiPriority w:val="99"/>
    <w:semiHidden/>
    <w:rsid w:val="00D41DED"/>
    <w:rPr>
      <w:rFonts w:ascii="Courier" w:hAnsi="Courier"/>
      <w:sz w:val="24"/>
    </w:rPr>
  </w:style>
  <w:style w:type="character" w:styleId="Hyperlink">
    <w:name w:val="Hyperlink"/>
    <w:basedOn w:val="DefaultParagraphFont"/>
    <w:uiPriority w:val="99"/>
    <w:unhideWhenUsed/>
    <w:rsid w:val="00933614"/>
    <w:rPr>
      <w:color w:val="0000FF"/>
      <w:u w:val="single"/>
    </w:rPr>
  </w:style>
  <w:style w:type="paragraph" w:styleId="BalloonText">
    <w:name w:val="Balloon Text"/>
    <w:basedOn w:val="Normal"/>
    <w:link w:val="BalloonTextChar"/>
    <w:uiPriority w:val="99"/>
    <w:semiHidden/>
    <w:unhideWhenUsed/>
    <w:rsid w:val="00D85A01"/>
    <w:rPr>
      <w:rFonts w:ascii="Tahoma" w:hAnsi="Tahoma" w:cs="Tahoma"/>
      <w:sz w:val="16"/>
      <w:szCs w:val="16"/>
    </w:rPr>
  </w:style>
  <w:style w:type="character" w:customStyle="1" w:styleId="BalloonTextChar">
    <w:name w:val="Balloon Text Char"/>
    <w:basedOn w:val="DefaultParagraphFont"/>
    <w:link w:val="BalloonText"/>
    <w:uiPriority w:val="99"/>
    <w:semiHidden/>
    <w:rsid w:val="00D85A01"/>
    <w:rPr>
      <w:rFonts w:ascii="Tahoma" w:hAnsi="Tahoma" w:cs="Tahoma"/>
      <w:sz w:val="16"/>
      <w:szCs w:val="16"/>
    </w:rPr>
  </w:style>
  <w:style w:type="character" w:styleId="CommentReference">
    <w:name w:val="annotation reference"/>
    <w:basedOn w:val="DefaultParagraphFont"/>
    <w:uiPriority w:val="99"/>
    <w:semiHidden/>
    <w:unhideWhenUsed/>
    <w:rsid w:val="00187A93"/>
    <w:rPr>
      <w:sz w:val="16"/>
      <w:szCs w:val="16"/>
    </w:rPr>
  </w:style>
  <w:style w:type="paragraph" w:styleId="CommentText">
    <w:name w:val="annotation text"/>
    <w:basedOn w:val="Normal"/>
    <w:link w:val="CommentTextChar"/>
    <w:uiPriority w:val="99"/>
    <w:semiHidden/>
    <w:unhideWhenUsed/>
    <w:rsid w:val="00187A93"/>
    <w:rPr>
      <w:sz w:val="20"/>
    </w:rPr>
  </w:style>
  <w:style w:type="character" w:customStyle="1" w:styleId="CommentTextChar">
    <w:name w:val="Comment Text Char"/>
    <w:basedOn w:val="DefaultParagraphFont"/>
    <w:link w:val="CommentText"/>
    <w:uiPriority w:val="99"/>
    <w:semiHidden/>
    <w:rsid w:val="00187A93"/>
    <w:rPr>
      <w:rFonts w:ascii="Courier" w:hAnsi="Courier"/>
    </w:rPr>
  </w:style>
  <w:style w:type="paragraph" w:styleId="CommentSubject">
    <w:name w:val="annotation subject"/>
    <w:basedOn w:val="CommentText"/>
    <w:next w:val="CommentText"/>
    <w:link w:val="CommentSubjectChar"/>
    <w:uiPriority w:val="99"/>
    <w:semiHidden/>
    <w:unhideWhenUsed/>
    <w:rsid w:val="00187A93"/>
    <w:rPr>
      <w:b/>
      <w:bCs/>
    </w:rPr>
  </w:style>
  <w:style w:type="character" w:customStyle="1" w:styleId="CommentSubjectChar">
    <w:name w:val="Comment Subject Char"/>
    <w:basedOn w:val="CommentTextChar"/>
    <w:link w:val="CommentSubject"/>
    <w:uiPriority w:val="99"/>
    <w:semiHidden/>
    <w:rsid w:val="00187A93"/>
    <w:rPr>
      <w:b/>
      <w:bCs/>
    </w:rPr>
  </w:style>
  <w:style w:type="paragraph" w:styleId="ListParagraph">
    <w:name w:val="List Paragraph"/>
    <w:basedOn w:val="Normal"/>
    <w:uiPriority w:val="34"/>
    <w:qFormat/>
    <w:rsid w:val="00AB625A"/>
    <w:pPr>
      <w:ind w:left="720"/>
    </w:pPr>
  </w:style>
  <w:style w:type="paragraph" w:styleId="BodyTextIndent">
    <w:name w:val="Body Text Indent"/>
    <w:basedOn w:val="Normal"/>
    <w:link w:val="BodyTextIndentChar"/>
    <w:rsid w:val="00B05A72"/>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B05A72"/>
    <w:rPr>
      <w:sz w:val="24"/>
      <w:szCs w:val="24"/>
    </w:rPr>
  </w:style>
  <w:style w:type="paragraph" w:styleId="Revision">
    <w:name w:val="Revision"/>
    <w:hidden/>
    <w:uiPriority w:val="99"/>
    <w:semiHidden/>
    <w:rsid w:val="00560466"/>
    <w:rPr>
      <w:rFonts w:ascii="Courier" w:hAnsi="Courier"/>
      <w:sz w:val="24"/>
    </w:rPr>
  </w:style>
  <w:style w:type="paragraph" w:customStyle="1" w:styleId="Style1">
    <w:name w:val="Style1"/>
    <w:basedOn w:val="FootnoteText"/>
    <w:qFormat/>
    <w:rsid w:val="00F5636E"/>
    <w:pPr>
      <w:keepLines/>
      <w:contextualSpacing/>
    </w:pPr>
  </w:style>
</w:styles>
</file>

<file path=word/webSettings.xml><?xml version="1.0" encoding="utf-8"?>
<w:webSettings xmlns:r="http://schemas.openxmlformats.org/officeDocument/2006/relationships" xmlns:w="http://schemas.openxmlformats.org/wordprocessingml/2006/main">
  <w:divs>
    <w:div w:id="19368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43DE5-9681-455B-B956-32790596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3127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2011-04-06T21:16:00Z</dcterms:created>
  <dcterms:modified xsi:type="dcterms:W3CDTF">2011-04-06T21:16:00Z</dcterms:modified>
</cp:coreProperties>
</file>