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89" w:rsidRPr="00E36043" w:rsidRDefault="00E77889" w:rsidP="00E77889">
      <w:pPr>
        <w:spacing w:line="360" w:lineRule="atLeast"/>
        <w:jc w:val="center"/>
        <w:rPr>
          <w:b/>
        </w:rPr>
      </w:pPr>
      <w:r w:rsidRPr="00E36043">
        <w:rPr>
          <w:b/>
        </w:rPr>
        <w:t>Request for OMB Clearance</w:t>
      </w:r>
    </w:p>
    <w:p w:rsidR="00AF4A42" w:rsidRPr="00E36043" w:rsidRDefault="00AF4A42" w:rsidP="00AF4A42">
      <w:pPr>
        <w:spacing w:line="360" w:lineRule="atLeast"/>
        <w:jc w:val="center"/>
        <w:rPr>
          <w:b/>
        </w:rPr>
      </w:pPr>
      <w:r w:rsidRPr="00E36043">
        <w:rPr>
          <w:b/>
        </w:rPr>
        <w:t xml:space="preserve">Evaluating Student Need for Developmental or Remedial Courses </w:t>
      </w:r>
    </w:p>
    <w:p w:rsidR="00AF4A42" w:rsidRPr="00E36043" w:rsidRDefault="00AF4A42" w:rsidP="00AF4A42">
      <w:pPr>
        <w:spacing w:line="360" w:lineRule="atLeast"/>
        <w:jc w:val="center"/>
        <w:rPr>
          <w:b/>
        </w:rPr>
      </w:pPr>
      <w:r w:rsidRPr="00E36043">
        <w:rPr>
          <w:b/>
        </w:rPr>
        <w:t xml:space="preserve">at Postsecondary Education Institutions </w:t>
      </w:r>
    </w:p>
    <w:p w:rsidR="00AF4A42" w:rsidRPr="00E36043" w:rsidRDefault="00AF4A42" w:rsidP="00AF4A42">
      <w:pPr>
        <w:spacing w:line="360" w:lineRule="atLeast"/>
        <w:jc w:val="center"/>
      </w:pPr>
      <w:r w:rsidRPr="00E36043">
        <w:t>(</w:t>
      </w:r>
      <w:r w:rsidR="005E7AE9" w:rsidRPr="00E36043">
        <w:t>Formerly</w:t>
      </w:r>
      <w:r w:rsidRPr="00E36043">
        <w:t xml:space="preserve"> titled Survey of Placement Tests and Cut-Scores in Higher Education Institutions).</w:t>
      </w:r>
    </w:p>
    <w:p w:rsidR="00EE32E1" w:rsidRPr="00E36043" w:rsidRDefault="00EE32E1" w:rsidP="00B56A83">
      <w:pPr>
        <w:spacing w:line="100" w:lineRule="exact"/>
        <w:jc w:val="center"/>
        <w:rPr>
          <w:b/>
        </w:rPr>
      </w:pPr>
    </w:p>
    <w:p w:rsidR="00AF4A42" w:rsidRPr="00E36043" w:rsidRDefault="00AF4A42" w:rsidP="00B51401">
      <w:pPr>
        <w:spacing w:line="120" w:lineRule="exact"/>
        <w:jc w:val="center"/>
        <w:rPr>
          <w:b/>
        </w:rPr>
      </w:pPr>
    </w:p>
    <w:p w:rsidR="00E77889" w:rsidRPr="00E36043" w:rsidRDefault="00E77889" w:rsidP="00E77889">
      <w:pPr>
        <w:spacing w:line="360" w:lineRule="atLeast"/>
        <w:jc w:val="center"/>
        <w:rPr>
          <w:b/>
        </w:rPr>
      </w:pPr>
      <w:r w:rsidRPr="00E36043">
        <w:rPr>
          <w:b/>
        </w:rPr>
        <w:t>Supporting Statement for Paperwork Reduction Act Submissions</w:t>
      </w:r>
    </w:p>
    <w:p w:rsidR="00E77889" w:rsidRDefault="00E77889" w:rsidP="00E60379">
      <w:pPr>
        <w:jc w:val="center"/>
        <w:rPr>
          <w:b/>
        </w:rPr>
      </w:pPr>
    </w:p>
    <w:p w:rsidR="00E60379" w:rsidRDefault="00E60379" w:rsidP="00E60379">
      <w:pPr>
        <w:jc w:val="center"/>
        <w:rPr>
          <w:b/>
        </w:rPr>
      </w:pPr>
      <w:r>
        <w:rPr>
          <w:b/>
        </w:rPr>
        <w:t>REVISED 1-</w:t>
      </w:r>
      <w:r w:rsidR="00E62992">
        <w:rPr>
          <w:b/>
        </w:rPr>
        <w:t>10</w:t>
      </w:r>
      <w:r>
        <w:rPr>
          <w:b/>
        </w:rPr>
        <w:t>-11</w:t>
      </w:r>
    </w:p>
    <w:p w:rsidR="00E60379" w:rsidRDefault="00E60379">
      <w:pPr>
        <w:rPr>
          <w:b/>
        </w:rPr>
      </w:pPr>
    </w:p>
    <w:p w:rsidR="00E77889" w:rsidRPr="008B5D32" w:rsidRDefault="00E77889">
      <w:pPr>
        <w:rPr>
          <w:b/>
        </w:rPr>
      </w:pPr>
    </w:p>
    <w:p w:rsidR="00D842C7" w:rsidRPr="008C250B" w:rsidRDefault="00EE32E1" w:rsidP="00D842C7">
      <w:pPr>
        <w:rPr>
          <w:b/>
        </w:rPr>
      </w:pPr>
      <w:r>
        <w:rPr>
          <w:b/>
        </w:rPr>
        <w:t xml:space="preserve"> </w:t>
      </w:r>
      <w:r w:rsidR="008B5D32" w:rsidRPr="008C250B">
        <w:rPr>
          <w:b/>
        </w:rPr>
        <w:t xml:space="preserve">Supporting </w:t>
      </w:r>
      <w:r w:rsidR="00A90799" w:rsidRPr="008C250B">
        <w:rPr>
          <w:b/>
        </w:rPr>
        <w:t>Statement A</w:t>
      </w:r>
      <w:r w:rsidR="008B5D32" w:rsidRPr="008C250B">
        <w:rPr>
          <w:b/>
        </w:rPr>
        <w:t>:</w:t>
      </w:r>
      <w:r w:rsidR="00D842C7" w:rsidRPr="008C250B">
        <w:rPr>
          <w:b/>
        </w:rPr>
        <w:t xml:space="preserve">  Justification</w:t>
      </w:r>
    </w:p>
    <w:p w:rsidR="00E77889" w:rsidRDefault="00E77889" w:rsidP="00D842C7"/>
    <w:p w:rsidR="00A11A9E" w:rsidRPr="008C250B" w:rsidRDefault="00A11A9E" w:rsidP="00D842C7"/>
    <w:p w:rsidR="00D842C7" w:rsidRPr="008C250B" w:rsidRDefault="00E77889" w:rsidP="00E77889">
      <w:pPr>
        <w:rPr>
          <w:b/>
        </w:rPr>
      </w:pPr>
      <w:r w:rsidRPr="008C250B">
        <w:rPr>
          <w:b/>
        </w:rPr>
        <w:t>A.1.</w:t>
      </w:r>
      <w:r w:rsidRPr="008C250B">
        <w:rPr>
          <w:b/>
        </w:rPr>
        <w:tab/>
      </w:r>
      <w:r w:rsidR="00D842C7" w:rsidRPr="008C250B">
        <w:rPr>
          <w:b/>
        </w:rPr>
        <w:t xml:space="preserve">Circumstances </w:t>
      </w:r>
      <w:r w:rsidR="001C3983" w:rsidRPr="008C250B">
        <w:rPr>
          <w:b/>
        </w:rPr>
        <w:t>N</w:t>
      </w:r>
      <w:r w:rsidR="00D842C7" w:rsidRPr="008C250B">
        <w:rPr>
          <w:b/>
        </w:rPr>
        <w:t xml:space="preserve">ecessitating the </w:t>
      </w:r>
      <w:r w:rsidR="001C3983" w:rsidRPr="008C250B">
        <w:rPr>
          <w:b/>
        </w:rPr>
        <w:t>I</w:t>
      </w:r>
      <w:r w:rsidR="00D842C7" w:rsidRPr="008C250B">
        <w:rPr>
          <w:b/>
        </w:rPr>
        <w:t xml:space="preserve">nformation </w:t>
      </w:r>
      <w:r w:rsidR="001C3983" w:rsidRPr="008C250B">
        <w:rPr>
          <w:b/>
        </w:rPr>
        <w:t>C</w:t>
      </w:r>
      <w:r w:rsidR="00D842C7" w:rsidRPr="008C250B">
        <w:rPr>
          <w:b/>
        </w:rPr>
        <w:t>ollection</w:t>
      </w:r>
    </w:p>
    <w:p w:rsidR="00D842C7" w:rsidRPr="008C250B" w:rsidRDefault="00D842C7" w:rsidP="00D842C7"/>
    <w:p w:rsidR="00D842C7" w:rsidRPr="00CE5E32" w:rsidRDefault="00D842C7" w:rsidP="00D842C7">
      <w:pPr>
        <w:rPr>
          <w:sz w:val="22"/>
          <w:szCs w:val="22"/>
        </w:rPr>
      </w:pPr>
      <w:r w:rsidRPr="00CE5E32">
        <w:rPr>
          <w:sz w:val="22"/>
          <w:szCs w:val="22"/>
        </w:rPr>
        <w:t xml:space="preserve">The congressionally authorized National Assessment of Educational Progress (NAEP) </w:t>
      </w:r>
      <w:r w:rsidR="00383F99" w:rsidRPr="00CE5E32">
        <w:rPr>
          <w:sz w:val="22"/>
          <w:szCs w:val="22"/>
        </w:rPr>
        <w:t>is the only continuing source of comparable national and state data</w:t>
      </w:r>
      <w:r w:rsidRPr="00CE5E32">
        <w:rPr>
          <w:sz w:val="22"/>
          <w:szCs w:val="22"/>
        </w:rPr>
        <w:t xml:space="preserve"> </w:t>
      </w:r>
      <w:r w:rsidR="001A2E2D" w:rsidRPr="00CE5E32">
        <w:rPr>
          <w:sz w:val="22"/>
          <w:szCs w:val="22"/>
        </w:rPr>
        <w:t xml:space="preserve">available </w:t>
      </w:r>
      <w:r w:rsidRPr="00CE5E32">
        <w:rPr>
          <w:sz w:val="22"/>
          <w:szCs w:val="22"/>
        </w:rPr>
        <w:t xml:space="preserve">to the public on the achievement of students at grades 4, 8, and 12 in core subjects.  The National Assessment Governing Board oversees and sets policy for NAEP.  NAEP and the Governing Board are authorized under the National Assessment of Educational Progress Authorization Act (P.L.107-279).  </w:t>
      </w:r>
      <w:r w:rsidR="00510232">
        <w:rPr>
          <w:sz w:val="22"/>
          <w:szCs w:val="22"/>
        </w:rPr>
        <w:t xml:space="preserve">    </w:t>
      </w:r>
    </w:p>
    <w:p w:rsidR="00D842C7" w:rsidRPr="00CE5E32" w:rsidRDefault="00D842C7" w:rsidP="00D842C7">
      <w:pPr>
        <w:rPr>
          <w:sz w:val="22"/>
          <w:szCs w:val="22"/>
        </w:rPr>
      </w:pPr>
    </w:p>
    <w:p w:rsidR="00383F99" w:rsidRPr="00CE5E32" w:rsidRDefault="000A67FB" w:rsidP="00D842C7">
      <w:pPr>
        <w:rPr>
          <w:sz w:val="22"/>
          <w:szCs w:val="22"/>
        </w:rPr>
      </w:pPr>
      <w:r w:rsidRPr="00CE5E32">
        <w:rPr>
          <w:sz w:val="22"/>
          <w:szCs w:val="22"/>
        </w:rPr>
        <w:t xml:space="preserve">Among the Board’s responsibilities is “to improve the form, content, use, and reporting of [NAEP results].”  Toward this end, the Governing Board established a national commission to make recommendations to improve the assessment and reporting of NAEP at the 12th grade.  </w:t>
      </w:r>
      <w:r w:rsidR="006C3A42">
        <w:rPr>
          <w:sz w:val="22"/>
          <w:szCs w:val="22"/>
        </w:rPr>
        <w:t>In its March 2004 report, t</w:t>
      </w:r>
      <w:r w:rsidRPr="00CE5E32">
        <w:rPr>
          <w:sz w:val="22"/>
          <w:szCs w:val="22"/>
        </w:rPr>
        <w:t>he commission noted the importance of maintaining NAEP at the 12</w:t>
      </w:r>
      <w:r w:rsidRPr="00CE5E32">
        <w:rPr>
          <w:sz w:val="22"/>
          <w:szCs w:val="22"/>
          <w:vertAlign w:val="superscript"/>
        </w:rPr>
        <w:t>th</w:t>
      </w:r>
      <w:r w:rsidRPr="00CE5E32">
        <w:rPr>
          <w:sz w:val="22"/>
          <w:szCs w:val="22"/>
        </w:rPr>
        <w:t xml:space="preserve"> grade as a measure of the “output” of K-12 education in the United States and as an indicator of the nation’s human capital potential. The commission recommended that 12</w:t>
      </w:r>
      <w:r w:rsidRPr="00CE5E32">
        <w:rPr>
          <w:sz w:val="22"/>
          <w:szCs w:val="22"/>
          <w:vertAlign w:val="superscript"/>
        </w:rPr>
        <w:t>th</w:t>
      </w:r>
      <w:r w:rsidRPr="00CE5E32">
        <w:rPr>
          <w:sz w:val="22"/>
          <w:szCs w:val="22"/>
        </w:rPr>
        <w:t xml:space="preserve"> grade NAEP be redesigned to report on the academic preparedness of 12th grade students in reading and mathematics for entry level college credit coursework.  The commission concluded that having such information is essential for the economic well being and security of the United States and that NAEP is uniquely positioned to provide such information</w:t>
      </w:r>
      <w:r w:rsidR="00D842C7" w:rsidRPr="00CE5E32">
        <w:rPr>
          <w:sz w:val="22"/>
          <w:szCs w:val="22"/>
        </w:rPr>
        <w:t>.</w:t>
      </w:r>
      <w:r w:rsidR="001A2E2D" w:rsidRPr="00CE5E32">
        <w:rPr>
          <w:sz w:val="22"/>
          <w:szCs w:val="22"/>
        </w:rPr>
        <w:t xml:space="preserve">  </w:t>
      </w:r>
    </w:p>
    <w:p w:rsidR="00383F99" w:rsidRDefault="00383F99" w:rsidP="00D842C7">
      <w:pPr>
        <w:rPr>
          <w:sz w:val="22"/>
          <w:szCs w:val="22"/>
        </w:rPr>
      </w:pPr>
    </w:p>
    <w:p w:rsidR="000A67FB" w:rsidRDefault="000A67FB" w:rsidP="00D842C7">
      <w:pPr>
        <w:rPr>
          <w:sz w:val="22"/>
          <w:szCs w:val="22"/>
        </w:rPr>
      </w:pPr>
      <w:r w:rsidRPr="00CE5E32">
        <w:rPr>
          <w:sz w:val="22"/>
          <w:szCs w:val="22"/>
        </w:rPr>
        <w:t>As the Governing Board has been developing ways to implement the commission’s recommendations, there has been a wider recognition—among federal and state policymakers, educators, and the business community—of the importance of a rigorous high school program that results in meaningful high school diplomas and prepares students for college and for training for good jobs.</w:t>
      </w:r>
    </w:p>
    <w:p w:rsidR="000A67FB" w:rsidRPr="00CE5E32" w:rsidRDefault="000A67FB" w:rsidP="00D842C7">
      <w:pPr>
        <w:rPr>
          <w:sz w:val="22"/>
          <w:szCs w:val="22"/>
        </w:rPr>
      </w:pPr>
    </w:p>
    <w:p w:rsidR="008F7DB7" w:rsidRDefault="00383F99" w:rsidP="00D842C7">
      <w:pPr>
        <w:rPr>
          <w:sz w:val="22"/>
          <w:szCs w:val="22"/>
        </w:rPr>
      </w:pPr>
      <w:r w:rsidRPr="00CE5E32">
        <w:rPr>
          <w:sz w:val="22"/>
          <w:szCs w:val="22"/>
        </w:rPr>
        <w:t xml:space="preserve">As </w:t>
      </w:r>
      <w:r w:rsidR="00424BF6">
        <w:rPr>
          <w:sz w:val="22"/>
          <w:szCs w:val="22"/>
        </w:rPr>
        <w:t xml:space="preserve">part of </w:t>
      </w:r>
      <w:r w:rsidRPr="00CE5E32">
        <w:rPr>
          <w:sz w:val="22"/>
          <w:szCs w:val="22"/>
        </w:rPr>
        <w:t>implement</w:t>
      </w:r>
      <w:r w:rsidR="00424BF6">
        <w:rPr>
          <w:sz w:val="22"/>
          <w:szCs w:val="22"/>
        </w:rPr>
        <w:t>ing</w:t>
      </w:r>
      <w:r w:rsidRPr="00CE5E32">
        <w:rPr>
          <w:sz w:val="22"/>
          <w:szCs w:val="22"/>
        </w:rPr>
        <w:t xml:space="preserve"> the commission’s recommendations, </w:t>
      </w:r>
      <w:r w:rsidR="00424BF6">
        <w:rPr>
          <w:sz w:val="22"/>
          <w:szCs w:val="22"/>
        </w:rPr>
        <w:t>t</w:t>
      </w:r>
      <w:r w:rsidR="00D842C7" w:rsidRPr="00CE5E32">
        <w:rPr>
          <w:sz w:val="22"/>
          <w:szCs w:val="22"/>
        </w:rPr>
        <w:t xml:space="preserve">he Governing Board has planned a program of research studies to support the validity of statements about 12th grade student preparedness </w:t>
      </w:r>
      <w:r w:rsidR="003C6702">
        <w:rPr>
          <w:sz w:val="22"/>
          <w:szCs w:val="22"/>
        </w:rPr>
        <w:t xml:space="preserve">in </w:t>
      </w:r>
      <w:r w:rsidR="00D842C7" w:rsidRPr="00CE5E32">
        <w:rPr>
          <w:sz w:val="22"/>
          <w:szCs w:val="22"/>
        </w:rPr>
        <w:t xml:space="preserve">reading and mathematics.  Among the studies planned is a </w:t>
      </w:r>
      <w:r w:rsidR="00EE32E1">
        <w:rPr>
          <w:sz w:val="22"/>
          <w:szCs w:val="22"/>
        </w:rPr>
        <w:t xml:space="preserve">proposed </w:t>
      </w:r>
      <w:r w:rsidR="00D842C7" w:rsidRPr="00CE5E32">
        <w:rPr>
          <w:sz w:val="22"/>
          <w:szCs w:val="22"/>
        </w:rPr>
        <w:t xml:space="preserve">survey of </w:t>
      </w:r>
      <w:r w:rsidR="00C76E71">
        <w:rPr>
          <w:sz w:val="22"/>
          <w:szCs w:val="22"/>
        </w:rPr>
        <w:t>two-year</w:t>
      </w:r>
      <w:r w:rsidR="001C5B63">
        <w:rPr>
          <w:sz w:val="22"/>
          <w:szCs w:val="22"/>
        </w:rPr>
        <w:t xml:space="preserve"> </w:t>
      </w:r>
      <w:r w:rsidR="00D842C7" w:rsidRPr="00CE5E32">
        <w:rPr>
          <w:sz w:val="22"/>
          <w:szCs w:val="22"/>
        </w:rPr>
        <w:t xml:space="preserve">and </w:t>
      </w:r>
      <w:r w:rsidR="00C76E71">
        <w:rPr>
          <w:sz w:val="22"/>
          <w:szCs w:val="22"/>
        </w:rPr>
        <w:t>four-year</w:t>
      </w:r>
      <w:r w:rsidR="001C5B63">
        <w:rPr>
          <w:sz w:val="22"/>
          <w:szCs w:val="22"/>
        </w:rPr>
        <w:t xml:space="preserve"> </w:t>
      </w:r>
      <w:r w:rsidR="00424BF6">
        <w:rPr>
          <w:sz w:val="22"/>
          <w:szCs w:val="22"/>
        </w:rPr>
        <w:t xml:space="preserve">postsecondary institutions </w:t>
      </w:r>
      <w:r w:rsidR="00D842C7" w:rsidRPr="00CE5E32">
        <w:rPr>
          <w:sz w:val="22"/>
          <w:szCs w:val="22"/>
        </w:rPr>
        <w:t xml:space="preserve">about the </w:t>
      </w:r>
      <w:r w:rsidR="00EE32E1">
        <w:rPr>
          <w:sz w:val="22"/>
          <w:szCs w:val="22"/>
        </w:rPr>
        <w:t>use of test</w:t>
      </w:r>
      <w:r w:rsidR="001C5B63">
        <w:rPr>
          <w:sz w:val="22"/>
          <w:szCs w:val="22"/>
        </w:rPr>
        <w:t xml:space="preserve">s and test </w:t>
      </w:r>
      <w:r w:rsidR="00EE32E1">
        <w:rPr>
          <w:sz w:val="22"/>
          <w:szCs w:val="22"/>
        </w:rPr>
        <w:t xml:space="preserve">scores </w:t>
      </w:r>
      <w:r w:rsidR="001C5B63">
        <w:rPr>
          <w:sz w:val="22"/>
          <w:szCs w:val="22"/>
        </w:rPr>
        <w:t xml:space="preserve">for placing first-year students into entry-level credit bearing courses </w:t>
      </w:r>
      <w:r w:rsidR="006C3A42">
        <w:rPr>
          <w:sz w:val="22"/>
          <w:szCs w:val="22"/>
        </w:rPr>
        <w:t xml:space="preserve">and </w:t>
      </w:r>
      <w:r w:rsidR="001C5B63">
        <w:rPr>
          <w:sz w:val="22"/>
          <w:szCs w:val="22"/>
        </w:rPr>
        <w:t xml:space="preserve">into remedial/developmental courses in </w:t>
      </w:r>
      <w:r w:rsidR="00EE32E1">
        <w:rPr>
          <w:sz w:val="22"/>
          <w:szCs w:val="22"/>
        </w:rPr>
        <w:t xml:space="preserve">mathematics and reading.  </w:t>
      </w:r>
      <w:r w:rsidR="001C5B63">
        <w:rPr>
          <w:sz w:val="22"/>
          <w:szCs w:val="22"/>
        </w:rPr>
        <w:t>T</w:t>
      </w:r>
      <w:r w:rsidR="000A67FB" w:rsidRPr="00CE5E32">
        <w:rPr>
          <w:sz w:val="22"/>
          <w:szCs w:val="22"/>
        </w:rPr>
        <w:t>he data resulting from this survey will be used</w:t>
      </w:r>
      <w:r w:rsidR="001C5B63">
        <w:rPr>
          <w:sz w:val="22"/>
          <w:szCs w:val="22"/>
        </w:rPr>
        <w:t>, along with the results of the other planned studies,</w:t>
      </w:r>
      <w:r w:rsidR="000A67FB" w:rsidRPr="00CE5E32">
        <w:rPr>
          <w:sz w:val="22"/>
          <w:szCs w:val="22"/>
        </w:rPr>
        <w:t xml:space="preserve"> to help develop valid statements that can be made about the preparedness of 12th grade students in NAEP reports.</w:t>
      </w:r>
    </w:p>
    <w:p w:rsidR="000A67FB" w:rsidRDefault="000A67FB" w:rsidP="000A67FB">
      <w:pPr>
        <w:rPr>
          <w:sz w:val="22"/>
          <w:szCs w:val="22"/>
        </w:rPr>
      </w:pPr>
    </w:p>
    <w:p w:rsidR="00102F08" w:rsidRDefault="000A67FB" w:rsidP="00102F08">
      <w:pPr>
        <w:rPr>
          <w:sz w:val="22"/>
          <w:szCs w:val="22"/>
        </w:rPr>
      </w:pPr>
      <w:r>
        <w:rPr>
          <w:sz w:val="22"/>
          <w:szCs w:val="22"/>
        </w:rPr>
        <w:t xml:space="preserve">Exploratory survey development work with expert panels and the results from a pretest of the survey instrument indicate that approaches used by postsecondary institutions to evaluate student preparedness are complex and varied, especially with regards to the use of various tests in combination with other </w:t>
      </w:r>
      <w:r>
        <w:rPr>
          <w:sz w:val="22"/>
          <w:szCs w:val="22"/>
        </w:rPr>
        <w:lastRenderedPageBreak/>
        <w:t xml:space="preserve">evaluation criteria.  Thus, the Governing Board </w:t>
      </w:r>
      <w:r w:rsidR="00E60379">
        <w:rPr>
          <w:sz w:val="22"/>
          <w:szCs w:val="22"/>
        </w:rPr>
        <w:t xml:space="preserve">requested and obtained </w:t>
      </w:r>
      <w:r w:rsidR="001B3867">
        <w:rPr>
          <w:sz w:val="22"/>
          <w:szCs w:val="22"/>
        </w:rPr>
        <w:t xml:space="preserve">OMB </w:t>
      </w:r>
      <w:r w:rsidRPr="000A67FB">
        <w:rPr>
          <w:sz w:val="22"/>
          <w:szCs w:val="22"/>
        </w:rPr>
        <w:t>clearance f</w:t>
      </w:r>
      <w:r>
        <w:rPr>
          <w:sz w:val="22"/>
          <w:szCs w:val="22"/>
        </w:rPr>
        <w:t xml:space="preserve">or a pilot test consisting of a survey to 120 sampled </w:t>
      </w:r>
      <w:r w:rsidR="00C76E71">
        <w:rPr>
          <w:sz w:val="22"/>
          <w:szCs w:val="22"/>
        </w:rPr>
        <w:t>two-year</w:t>
      </w:r>
      <w:r w:rsidR="00C76E71" w:rsidRPr="00CE5E32">
        <w:rPr>
          <w:sz w:val="22"/>
          <w:szCs w:val="22"/>
        </w:rPr>
        <w:t xml:space="preserve"> and</w:t>
      </w:r>
      <w:r w:rsidRPr="00CE5E32">
        <w:rPr>
          <w:sz w:val="22"/>
          <w:szCs w:val="22"/>
        </w:rPr>
        <w:t xml:space="preserve"> </w:t>
      </w:r>
      <w:r w:rsidR="00C76E71">
        <w:rPr>
          <w:sz w:val="22"/>
          <w:szCs w:val="22"/>
        </w:rPr>
        <w:t>four-year postsecondary</w:t>
      </w:r>
      <w:r>
        <w:rPr>
          <w:sz w:val="22"/>
          <w:szCs w:val="22"/>
        </w:rPr>
        <w:t xml:space="preserve"> institutions</w:t>
      </w:r>
      <w:r w:rsidR="00E60379">
        <w:rPr>
          <w:sz w:val="22"/>
          <w:szCs w:val="22"/>
        </w:rPr>
        <w:t>.  The pilot test was conducted in fall 2010 and a report of findings is attached (A</w:t>
      </w:r>
      <w:r w:rsidR="007A53CA">
        <w:rPr>
          <w:sz w:val="22"/>
          <w:szCs w:val="22"/>
        </w:rPr>
        <w:t xml:space="preserve">ttachment </w:t>
      </w:r>
      <w:r w:rsidR="001B3867">
        <w:rPr>
          <w:sz w:val="22"/>
          <w:szCs w:val="22"/>
        </w:rPr>
        <w:t>A</w:t>
      </w:r>
      <w:r w:rsidR="00E60379">
        <w:rPr>
          <w:sz w:val="22"/>
          <w:szCs w:val="22"/>
        </w:rPr>
        <w:t xml:space="preserve">).   </w:t>
      </w:r>
      <w:r>
        <w:rPr>
          <w:sz w:val="22"/>
          <w:szCs w:val="22"/>
        </w:rPr>
        <w:t>The</w:t>
      </w:r>
      <w:r w:rsidR="00405849">
        <w:rPr>
          <w:sz w:val="22"/>
          <w:szCs w:val="22"/>
        </w:rPr>
        <w:t xml:space="preserve"> </w:t>
      </w:r>
      <w:r>
        <w:rPr>
          <w:sz w:val="22"/>
          <w:szCs w:val="22"/>
        </w:rPr>
        <w:t xml:space="preserve">purpose of the pilot test </w:t>
      </w:r>
      <w:r w:rsidR="00E53379">
        <w:rPr>
          <w:sz w:val="22"/>
          <w:szCs w:val="22"/>
        </w:rPr>
        <w:t>w</w:t>
      </w:r>
      <w:r w:rsidR="00E60379">
        <w:rPr>
          <w:sz w:val="22"/>
          <w:szCs w:val="22"/>
        </w:rPr>
        <w:t>as</w:t>
      </w:r>
      <w:r w:rsidR="00E53379">
        <w:rPr>
          <w:sz w:val="22"/>
          <w:szCs w:val="22"/>
        </w:rPr>
        <w:t xml:space="preserve"> </w:t>
      </w:r>
      <w:r w:rsidR="00405849">
        <w:rPr>
          <w:sz w:val="22"/>
          <w:szCs w:val="22"/>
        </w:rPr>
        <w:t xml:space="preserve">to identify potential </w:t>
      </w:r>
      <w:r w:rsidR="00405849" w:rsidRPr="00911D35">
        <w:rPr>
          <w:sz w:val="22"/>
          <w:szCs w:val="22"/>
        </w:rPr>
        <w:t xml:space="preserve">problems that may emerge from data collection </w:t>
      </w:r>
      <w:r w:rsidR="00AF4A42">
        <w:rPr>
          <w:sz w:val="22"/>
          <w:szCs w:val="22"/>
        </w:rPr>
        <w:t xml:space="preserve">during </w:t>
      </w:r>
      <w:r w:rsidR="00405849" w:rsidRPr="00911D35">
        <w:rPr>
          <w:sz w:val="22"/>
          <w:szCs w:val="22"/>
        </w:rPr>
        <w:t>the full</w:t>
      </w:r>
      <w:r w:rsidR="00E53379">
        <w:rPr>
          <w:sz w:val="22"/>
          <w:szCs w:val="22"/>
        </w:rPr>
        <w:t>-scale</w:t>
      </w:r>
      <w:r w:rsidR="00405849" w:rsidRPr="00911D35">
        <w:rPr>
          <w:sz w:val="22"/>
          <w:szCs w:val="22"/>
        </w:rPr>
        <w:t xml:space="preserve"> s</w:t>
      </w:r>
      <w:r w:rsidR="00116B03">
        <w:rPr>
          <w:sz w:val="22"/>
          <w:szCs w:val="22"/>
        </w:rPr>
        <w:t>urvey</w:t>
      </w:r>
      <w:r w:rsidR="00405849">
        <w:rPr>
          <w:sz w:val="22"/>
          <w:szCs w:val="22"/>
        </w:rPr>
        <w:t xml:space="preserve">.  </w:t>
      </w:r>
      <w:r w:rsidR="00116B03">
        <w:rPr>
          <w:sz w:val="22"/>
          <w:szCs w:val="22"/>
        </w:rPr>
        <w:t xml:space="preserve">In addition, </w:t>
      </w:r>
      <w:r w:rsidR="00405849">
        <w:rPr>
          <w:sz w:val="22"/>
          <w:szCs w:val="22"/>
        </w:rPr>
        <w:t>the pilot test</w:t>
      </w:r>
      <w:r w:rsidR="00116B03">
        <w:rPr>
          <w:sz w:val="22"/>
          <w:szCs w:val="22"/>
        </w:rPr>
        <w:t xml:space="preserve"> provide</w:t>
      </w:r>
      <w:r w:rsidR="00E60379">
        <w:rPr>
          <w:sz w:val="22"/>
          <w:szCs w:val="22"/>
        </w:rPr>
        <w:t>d</w:t>
      </w:r>
      <w:r w:rsidR="00405849" w:rsidRPr="00B852B0">
        <w:rPr>
          <w:sz w:val="22"/>
          <w:szCs w:val="22"/>
        </w:rPr>
        <w:t xml:space="preserve"> insights into the extent to which institutions use various tests to identify student need for remediation in mathematics and reading.</w:t>
      </w:r>
      <w:r w:rsidR="00405849">
        <w:rPr>
          <w:sz w:val="22"/>
          <w:szCs w:val="22"/>
        </w:rPr>
        <w:t xml:space="preserve">  Two slightly different versions of the questionnaire w</w:t>
      </w:r>
      <w:r w:rsidR="00E60379">
        <w:rPr>
          <w:sz w:val="22"/>
          <w:szCs w:val="22"/>
        </w:rPr>
        <w:t>as</w:t>
      </w:r>
      <w:r w:rsidR="00405849">
        <w:rPr>
          <w:sz w:val="22"/>
          <w:szCs w:val="22"/>
        </w:rPr>
        <w:t xml:space="preserve"> tested, one for two-year institutions and the other </w:t>
      </w:r>
      <w:r w:rsidR="00C76E71">
        <w:rPr>
          <w:sz w:val="22"/>
          <w:szCs w:val="22"/>
        </w:rPr>
        <w:t>for four</w:t>
      </w:r>
      <w:r w:rsidR="00405849">
        <w:rPr>
          <w:sz w:val="22"/>
          <w:szCs w:val="22"/>
        </w:rPr>
        <w:t>-year institutions.   The only difference between the two versions of the survey</w:t>
      </w:r>
      <w:r w:rsidR="001B3867">
        <w:rPr>
          <w:sz w:val="22"/>
          <w:szCs w:val="22"/>
        </w:rPr>
        <w:t xml:space="preserve"> was</w:t>
      </w:r>
      <w:r w:rsidR="00405849">
        <w:rPr>
          <w:sz w:val="22"/>
          <w:szCs w:val="22"/>
        </w:rPr>
        <w:t xml:space="preserve"> that </w:t>
      </w:r>
      <w:r w:rsidR="00C76E71">
        <w:rPr>
          <w:sz w:val="22"/>
          <w:szCs w:val="22"/>
        </w:rPr>
        <w:t>two-year institutions</w:t>
      </w:r>
      <w:r w:rsidR="00405849">
        <w:rPr>
          <w:sz w:val="22"/>
          <w:szCs w:val="22"/>
        </w:rPr>
        <w:t xml:space="preserve"> </w:t>
      </w:r>
      <w:r w:rsidR="00116B03">
        <w:rPr>
          <w:sz w:val="22"/>
          <w:szCs w:val="22"/>
        </w:rPr>
        <w:t>w</w:t>
      </w:r>
      <w:r w:rsidR="00E60379">
        <w:rPr>
          <w:sz w:val="22"/>
          <w:szCs w:val="22"/>
        </w:rPr>
        <w:t>as</w:t>
      </w:r>
      <w:r w:rsidR="00116B03">
        <w:rPr>
          <w:sz w:val="22"/>
          <w:szCs w:val="22"/>
        </w:rPr>
        <w:t xml:space="preserve"> </w:t>
      </w:r>
      <w:r w:rsidR="00405849">
        <w:rPr>
          <w:sz w:val="22"/>
          <w:szCs w:val="22"/>
        </w:rPr>
        <w:t xml:space="preserve">asked to consider </w:t>
      </w:r>
      <w:r w:rsidR="001C5B63">
        <w:rPr>
          <w:sz w:val="22"/>
          <w:szCs w:val="22"/>
        </w:rPr>
        <w:t xml:space="preserve">placement polities affecting </w:t>
      </w:r>
      <w:r w:rsidR="00405849">
        <w:rPr>
          <w:sz w:val="22"/>
          <w:szCs w:val="22"/>
        </w:rPr>
        <w:t xml:space="preserve">entering students in programs that </w:t>
      </w:r>
      <w:r w:rsidR="001B3867">
        <w:rPr>
          <w:sz w:val="22"/>
          <w:szCs w:val="22"/>
        </w:rPr>
        <w:t>were</w:t>
      </w:r>
      <w:r w:rsidR="00405849">
        <w:rPr>
          <w:sz w:val="22"/>
          <w:szCs w:val="22"/>
        </w:rPr>
        <w:t xml:space="preserve"> designed to transfer to a </w:t>
      </w:r>
      <w:r w:rsidR="00C76E71">
        <w:rPr>
          <w:sz w:val="22"/>
          <w:szCs w:val="22"/>
        </w:rPr>
        <w:t>four-year institution</w:t>
      </w:r>
      <w:r w:rsidR="006C3A42">
        <w:rPr>
          <w:sz w:val="22"/>
          <w:szCs w:val="22"/>
        </w:rPr>
        <w:t>,</w:t>
      </w:r>
      <w:r w:rsidR="00405849">
        <w:rPr>
          <w:sz w:val="22"/>
          <w:szCs w:val="22"/>
        </w:rPr>
        <w:t xml:space="preserve"> while </w:t>
      </w:r>
      <w:r w:rsidR="00C76E71">
        <w:rPr>
          <w:sz w:val="22"/>
          <w:szCs w:val="22"/>
        </w:rPr>
        <w:t>four-year institutions</w:t>
      </w:r>
      <w:r w:rsidR="00405849">
        <w:rPr>
          <w:sz w:val="22"/>
          <w:szCs w:val="22"/>
        </w:rPr>
        <w:t xml:space="preserve"> </w:t>
      </w:r>
      <w:r w:rsidR="00116B03">
        <w:rPr>
          <w:sz w:val="22"/>
          <w:szCs w:val="22"/>
        </w:rPr>
        <w:t>w</w:t>
      </w:r>
      <w:r w:rsidR="00E60379">
        <w:rPr>
          <w:sz w:val="22"/>
          <w:szCs w:val="22"/>
        </w:rPr>
        <w:t>as</w:t>
      </w:r>
      <w:r w:rsidR="00405849">
        <w:rPr>
          <w:sz w:val="22"/>
          <w:szCs w:val="22"/>
        </w:rPr>
        <w:t xml:space="preserve"> asked to consider entering students who </w:t>
      </w:r>
      <w:r w:rsidR="001B3867">
        <w:rPr>
          <w:sz w:val="22"/>
          <w:szCs w:val="22"/>
        </w:rPr>
        <w:t>were</w:t>
      </w:r>
      <w:r w:rsidR="00405849">
        <w:rPr>
          <w:sz w:val="22"/>
          <w:szCs w:val="22"/>
        </w:rPr>
        <w:t xml:space="preserve"> enrolled </w:t>
      </w:r>
      <w:r w:rsidR="006C3A42">
        <w:rPr>
          <w:sz w:val="22"/>
          <w:szCs w:val="22"/>
        </w:rPr>
        <w:t xml:space="preserve">in </w:t>
      </w:r>
      <w:r w:rsidR="00405849" w:rsidRPr="00870FF9">
        <w:rPr>
          <w:sz w:val="22"/>
          <w:szCs w:val="22"/>
        </w:rPr>
        <w:t>an undergraduate degree program in the liberal arts and sciences</w:t>
      </w:r>
      <w:r w:rsidR="00405849">
        <w:rPr>
          <w:sz w:val="22"/>
          <w:szCs w:val="22"/>
        </w:rPr>
        <w:t>.</w:t>
      </w:r>
      <w:r w:rsidR="00DF72BA">
        <w:rPr>
          <w:sz w:val="22"/>
          <w:szCs w:val="22"/>
        </w:rPr>
        <w:t xml:space="preserve">  The survey </w:t>
      </w:r>
      <w:r w:rsidR="00116B03">
        <w:rPr>
          <w:sz w:val="22"/>
          <w:szCs w:val="22"/>
        </w:rPr>
        <w:t>w</w:t>
      </w:r>
      <w:r w:rsidR="00E60379">
        <w:rPr>
          <w:sz w:val="22"/>
          <w:szCs w:val="22"/>
        </w:rPr>
        <w:t>as</w:t>
      </w:r>
      <w:r w:rsidR="00116B03">
        <w:rPr>
          <w:sz w:val="22"/>
          <w:szCs w:val="22"/>
        </w:rPr>
        <w:t xml:space="preserve"> </w:t>
      </w:r>
      <w:r w:rsidR="00DF72BA" w:rsidRPr="00CE5E32">
        <w:rPr>
          <w:sz w:val="22"/>
          <w:szCs w:val="22"/>
        </w:rPr>
        <w:t>limited to</w:t>
      </w:r>
      <w:r w:rsidR="00DF72BA">
        <w:rPr>
          <w:sz w:val="22"/>
          <w:szCs w:val="22"/>
        </w:rPr>
        <w:t xml:space="preserve"> four</w:t>
      </w:r>
      <w:r w:rsidR="00DF72BA" w:rsidRPr="00CE5E32">
        <w:rPr>
          <w:sz w:val="22"/>
          <w:szCs w:val="22"/>
        </w:rPr>
        <w:t xml:space="preserve"> pages of questions</w:t>
      </w:r>
      <w:r w:rsidR="008424CD">
        <w:rPr>
          <w:sz w:val="22"/>
          <w:szCs w:val="22"/>
        </w:rPr>
        <w:t>.  It w</w:t>
      </w:r>
      <w:r w:rsidR="00E60379">
        <w:rPr>
          <w:sz w:val="22"/>
          <w:szCs w:val="22"/>
        </w:rPr>
        <w:t>as</w:t>
      </w:r>
      <w:r w:rsidR="008424CD">
        <w:rPr>
          <w:sz w:val="22"/>
          <w:szCs w:val="22"/>
        </w:rPr>
        <w:t xml:space="preserve"> b</w:t>
      </w:r>
      <w:r w:rsidR="00DF72BA" w:rsidRPr="00CE5E32">
        <w:rPr>
          <w:sz w:val="22"/>
          <w:szCs w:val="22"/>
        </w:rPr>
        <w:t>ased on information readily available to respondents and c</w:t>
      </w:r>
      <w:r w:rsidR="001B3867">
        <w:rPr>
          <w:sz w:val="22"/>
          <w:szCs w:val="22"/>
        </w:rPr>
        <w:t xml:space="preserve">ould </w:t>
      </w:r>
      <w:r w:rsidR="00DF72BA" w:rsidRPr="00CE5E32">
        <w:rPr>
          <w:sz w:val="22"/>
          <w:szCs w:val="22"/>
        </w:rPr>
        <w:t xml:space="preserve">be completed by most </w:t>
      </w:r>
      <w:r w:rsidR="00DF72BA" w:rsidRPr="00911D35">
        <w:rPr>
          <w:sz w:val="22"/>
          <w:szCs w:val="22"/>
        </w:rPr>
        <w:t>individuals in about 45 minutes.  The cover letter include</w:t>
      </w:r>
      <w:r w:rsidR="00E60379">
        <w:rPr>
          <w:sz w:val="22"/>
          <w:szCs w:val="22"/>
        </w:rPr>
        <w:t>d</w:t>
      </w:r>
      <w:r w:rsidR="00DF72BA" w:rsidRPr="00911D35">
        <w:rPr>
          <w:sz w:val="22"/>
          <w:szCs w:val="22"/>
        </w:rPr>
        <w:t xml:space="preserve"> information about the option to complete a web version of the survey.  The pilot test survey w</w:t>
      </w:r>
      <w:r w:rsidR="00E60379">
        <w:rPr>
          <w:sz w:val="22"/>
          <w:szCs w:val="22"/>
        </w:rPr>
        <w:t xml:space="preserve">as </w:t>
      </w:r>
      <w:r w:rsidR="001B3867">
        <w:rPr>
          <w:sz w:val="22"/>
          <w:szCs w:val="22"/>
        </w:rPr>
        <w:t xml:space="preserve">mailed </w:t>
      </w:r>
      <w:r w:rsidR="00E60379">
        <w:rPr>
          <w:sz w:val="22"/>
          <w:szCs w:val="22"/>
        </w:rPr>
        <w:t>t</w:t>
      </w:r>
      <w:r w:rsidR="00DF72BA" w:rsidRPr="00911D35">
        <w:rPr>
          <w:sz w:val="22"/>
          <w:szCs w:val="22"/>
        </w:rPr>
        <w:t xml:space="preserve">o institutions </w:t>
      </w:r>
      <w:r w:rsidR="00DF72BA" w:rsidRPr="00116B03">
        <w:rPr>
          <w:sz w:val="22"/>
          <w:szCs w:val="22"/>
        </w:rPr>
        <w:t xml:space="preserve">in </w:t>
      </w:r>
      <w:r w:rsidR="001B3867">
        <w:rPr>
          <w:sz w:val="22"/>
          <w:szCs w:val="22"/>
        </w:rPr>
        <w:t>October</w:t>
      </w:r>
      <w:r w:rsidR="00DF72BA" w:rsidRPr="00116B03">
        <w:rPr>
          <w:sz w:val="22"/>
          <w:szCs w:val="22"/>
        </w:rPr>
        <w:t xml:space="preserve"> 2010.</w:t>
      </w:r>
      <w:r w:rsidR="001C5B63">
        <w:rPr>
          <w:sz w:val="22"/>
          <w:szCs w:val="22"/>
        </w:rPr>
        <w:t xml:space="preserve">  </w:t>
      </w:r>
    </w:p>
    <w:p w:rsidR="00DF72BA" w:rsidRDefault="00DF72BA" w:rsidP="000A67FB">
      <w:pPr>
        <w:rPr>
          <w:sz w:val="22"/>
          <w:szCs w:val="22"/>
        </w:rPr>
      </w:pPr>
    </w:p>
    <w:p w:rsidR="00E60379" w:rsidRDefault="00E60379" w:rsidP="000A67FB">
      <w:pPr>
        <w:rPr>
          <w:sz w:val="22"/>
          <w:szCs w:val="22"/>
        </w:rPr>
      </w:pPr>
    </w:p>
    <w:p w:rsidR="001B3867" w:rsidRDefault="00E60379" w:rsidP="00E60379">
      <w:pPr>
        <w:rPr>
          <w:sz w:val="22"/>
          <w:szCs w:val="22"/>
        </w:rPr>
      </w:pPr>
      <w:r>
        <w:rPr>
          <w:sz w:val="22"/>
          <w:szCs w:val="22"/>
        </w:rPr>
        <w:t xml:space="preserve">The Governing Board is now requesting clearance for the full-scale data collection with about </w:t>
      </w:r>
      <w:r w:rsidRPr="00C76E71">
        <w:rPr>
          <w:sz w:val="22"/>
          <w:szCs w:val="22"/>
        </w:rPr>
        <w:t>1,700</w:t>
      </w:r>
      <w:r>
        <w:rPr>
          <w:sz w:val="22"/>
          <w:szCs w:val="22"/>
        </w:rPr>
        <w:t xml:space="preserve"> sampled two-year</w:t>
      </w:r>
      <w:r w:rsidRPr="00CE5E32">
        <w:rPr>
          <w:sz w:val="22"/>
          <w:szCs w:val="22"/>
        </w:rPr>
        <w:t xml:space="preserve"> and </w:t>
      </w:r>
      <w:r>
        <w:rPr>
          <w:sz w:val="22"/>
          <w:szCs w:val="22"/>
        </w:rPr>
        <w:t xml:space="preserve">four-year postsecondary institutions.   As with the pilot test, the </w:t>
      </w:r>
      <w:r w:rsidR="00102F08">
        <w:rPr>
          <w:sz w:val="22"/>
          <w:szCs w:val="22"/>
        </w:rPr>
        <w:t>full-scale s</w:t>
      </w:r>
      <w:r>
        <w:rPr>
          <w:sz w:val="22"/>
          <w:szCs w:val="22"/>
        </w:rPr>
        <w:t>tudy</w:t>
      </w:r>
      <w:r w:rsidR="00102F08">
        <w:rPr>
          <w:sz w:val="22"/>
          <w:szCs w:val="22"/>
        </w:rPr>
        <w:t xml:space="preserve"> </w:t>
      </w:r>
      <w:r w:rsidR="00DF72BA" w:rsidRPr="00CE5E32">
        <w:rPr>
          <w:sz w:val="22"/>
          <w:szCs w:val="22"/>
        </w:rPr>
        <w:t xml:space="preserve">will be a self-administered survey addressed to the President of the institution with a cover letter requesting that the survey be completed by the appropriate individual or office.  </w:t>
      </w:r>
      <w:r w:rsidR="00A40418">
        <w:rPr>
          <w:sz w:val="22"/>
          <w:szCs w:val="22"/>
        </w:rPr>
        <w:t>The package will also contain a page of information about the Governing Board and how this survey fits into its program of study on the preparedness of 12</w:t>
      </w:r>
      <w:r w:rsidR="00A40418" w:rsidRPr="00A40418">
        <w:rPr>
          <w:sz w:val="22"/>
          <w:szCs w:val="22"/>
          <w:vertAlign w:val="superscript"/>
        </w:rPr>
        <w:t>th</w:t>
      </w:r>
      <w:r w:rsidR="00A40418">
        <w:rPr>
          <w:sz w:val="22"/>
          <w:szCs w:val="22"/>
        </w:rPr>
        <w:t xml:space="preserve"> graders.  </w:t>
      </w:r>
    </w:p>
    <w:p w:rsidR="001B3867" w:rsidRDefault="001B3867" w:rsidP="00E60379">
      <w:pPr>
        <w:rPr>
          <w:sz w:val="22"/>
          <w:szCs w:val="22"/>
        </w:rPr>
      </w:pPr>
    </w:p>
    <w:p w:rsidR="00E60379" w:rsidRDefault="00DF72BA" w:rsidP="00E60379">
      <w:pPr>
        <w:rPr>
          <w:sz w:val="22"/>
          <w:szCs w:val="22"/>
        </w:rPr>
      </w:pPr>
      <w:r w:rsidRPr="00CE5E32">
        <w:rPr>
          <w:sz w:val="22"/>
          <w:szCs w:val="22"/>
        </w:rPr>
        <w:t xml:space="preserve">Respondents will have the option of completing </w:t>
      </w:r>
      <w:r w:rsidR="008424CD">
        <w:rPr>
          <w:sz w:val="22"/>
          <w:szCs w:val="22"/>
        </w:rPr>
        <w:t xml:space="preserve">a </w:t>
      </w:r>
      <w:r w:rsidR="008424CD" w:rsidRPr="00CE5E32">
        <w:rPr>
          <w:sz w:val="22"/>
          <w:szCs w:val="22"/>
        </w:rPr>
        <w:t xml:space="preserve">web version that will be accessed through the Internet </w:t>
      </w:r>
      <w:r w:rsidR="008424CD">
        <w:rPr>
          <w:sz w:val="22"/>
          <w:szCs w:val="22"/>
        </w:rPr>
        <w:t>or</w:t>
      </w:r>
      <w:r w:rsidRPr="00CE5E32">
        <w:rPr>
          <w:sz w:val="22"/>
          <w:szCs w:val="22"/>
        </w:rPr>
        <w:t xml:space="preserve"> a traditional paper and pencil questionnaire.  </w:t>
      </w:r>
      <w:r w:rsidR="00E60379">
        <w:rPr>
          <w:sz w:val="22"/>
          <w:szCs w:val="22"/>
        </w:rPr>
        <w:t>Two slightly different versions of the questionnaire w</w:t>
      </w:r>
      <w:r w:rsidR="001B3867">
        <w:rPr>
          <w:sz w:val="22"/>
          <w:szCs w:val="22"/>
        </w:rPr>
        <w:t>ill be mailed to institutions</w:t>
      </w:r>
      <w:r w:rsidR="00E60379">
        <w:rPr>
          <w:sz w:val="22"/>
          <w:szCs w:val="22"/>
        </w:rPr>
        <w:t xml:space="preserve">, one for two-year institutions (see </w:t>
      </w:r>
      <w:r w:rsidR="007A53CA">
        <w:rPr>
          <w:sz w:val="22"/>
          <w:szCs w:val="22"/>
        </w:rPr>
        <w:t>Attachment</w:t>
      </w:r>
      <w:r w:rsidR="00E60379">
        <w:rPr>
          <w:sz w:val="22"/>
          <w:szCs w:val="22"/>
        </w:rPr>
        <w:t xml:space="preserve"> </w:t>
      </w:r>
      <w:r w:rsidR="001B3867">
        <w:rPr>
          <w:sz w:val="22"/>
          <w:szCs w:val="22"/>
        </w:rPr>
        <w:t>B</w:t>
      </w:r>
      <w:r w:rsidR="00E60379">
        <w:rPr>
          <w:sz w:val="22"/>
          <w:szCs w:val="22"/>
        </w:rPr>
        <w:t xml:space="preserve">-1) and the other for four-year institutions (see </w:t>
      </w:r>
      <w:r w:rsidR="007A53CA">
        <w:rPr>
          <w:sz w:val="22"/>
          <w:szCs w:val="22"/>
        </w:rPr>
        <w:t>Attachment</w:t>
      </w:r>
      <w:r w:rsidR="00E60379">
        <w:rPr>
          <w:sz w:val="22"/>
          <w:szCs w:val="22"/>
        </w:rPr>
        <w:t xml:space="preserve"> </w:t>
      </w:r>
      <w:r w:rsidR="001B3867">
        <w:rPr>
          <w:sz w:val="22"/>
          <w:szCs w:val="22"/>
        </w:rPr>
        <w:t>B</w:t>
      </w:r>
      <w:r w:rsidR="00E60379">
        <w:rPr>
          <w:sz w:val="22"/>
          <w:szCs w:val="22"/>
        </w:rPr>
        <w:t xml:space="preserve">-2).   The only difference between the two versions of the survey is that two-year institutions will be asked to consider placement polities affecting entering students in programs that are designed to transfer to a four-year institution, while four-year institutions will be asked to consider entering students who are enrolled in </w:t>
      </w:r>
      <w:r w:rsidR="00E60379" w:rsidRPr="00870FF9">
        <w:rPr>
          <w:sz w:val="22"/>
          <w:szCs w:val="22"/>
        </w:rPr>
        <w:t>an undergraduate degree program in the liberal arts and sciences</w:t>
      </w:r>
      <w:r w:rsidR="00E60379">
        <w:rPr>
          <w:sz w:val="22"/>
          <w:szCs w:val="22"/>
        </w:rPr>
        <w:t xml:space="preserve">.  The survey will be </w:t>
      </w:r>
      <w:r w:rsidR="00E60379" w:rsidRPr="00CE5E32">
        <w:rPr>
          <w:sz w:val="22"/>
          <w:szCs w:val="22"/>
        </w:rPr>
        <w:t>limited to</w:t>
      </w:r>
      <w:r w:rsidR="00E60379">
        <w:rPr>
          <w:sz w:val="22"/>
          <w:szCs w:val="22"/>
        </w:rPr>
        <w:t xml:space="preserve"> four</w:t>
      </w:r>
      <w:r w:rsidR="00E60379" w:rsidRPr="00CE5E32">
        <w:rPr>
          <w:sz w:val="22"/>
          <w:szCs w:val="22"/>
        </w:rPr>
        <w:t xml:space="preserve"> pages of questions</w:t>
      </w:r>
      <w:r w:rsidR="00E60379">
        <w:rPr>
          <w:sz w:val="22"/>
          <w:szCs w:val="22"/>
        </w:rPr>
        <w:t>.  It will be b</w:t>
      </w:r>
      <w:r w:rsidR="00E60379" w:rsidRPr="00CE5E32">
        <w:rPr>
          <w:sz w:val="22"/>
          <w:szCs w:val="22"/>
        </w:rPr>
        <w:t xml:space="preserve">ased on information readily available to respondents and can be completed by most </w:t>
      </w:r>
      <w:r w:rsidR="00E60379" w:rsidRPr="00911D35">
        <w:rPr>
          <w:sz w:val="22"/>
          <w:szCs w:val="22"/>
        </w:rPr>
        <w:t xml:space="preserve">individuals in about </w:t>
      </w:r>
      <w:r w:rsidR="00A40418">
        <w:rPr>
          <w:sz w:val="22"/>
          <w:szCs w:val="22"/>
        </w:rPr>
        <w:t>30</w:t>
      </w:r>
      <w:r w:rsidR="00E60379" w:rsidRPr="00911D35">
        <w:rPr>
          <w:sz w:val="22"/>
          <w:szCs w:val="22"/>
        </w:rPr>
        <w:t xml:space="preserve"> minutes.  The cover letter (see </w:t>
      </w:r>
      <w:r w:rsidR="007A53CA">
        <w:rPr>
          <w:sz w:val="22"/>
          <w:szCs w:val="22"/>
        </w:rPr>
        <w:t>Attachment</w:t>
      </w:r>
      <w:r w:rsidR="00E60379" w:rsidRPr="00911D35">
        <w:rPr>
          <w:sz w:val="22"/>
          <w:szCs w:val="22"/>
        </w:rPr>
        <w:t xml:space="preserve"> </w:t>
      </w:r>
      <w:r w:rsidR="001B3867">
        <w:rPr>
          <w:sz w:val="22"/>
          <w:szCs w:val="22"/>
        </w:rPr>
        <w:t>C</w:t>
      </w:r>
      <w:r w:rsidR="00E60379" w:rsidRPr="00911D35">
        <w:rPr>
          <w:sz w:val="22"/>
          <w:szCs w:val="22"/>
        </w:rPr>
        <w:t xml:space="preserve">) will include information about the option to complete a web version of the survey.  </w:t>
      </w:r>
      <w:r w:rsidR="00E60379">
        <w:rPr>
          <w:sz w:val="22"/>
          <w:szCs w:val="22"/>
        </w:rPr>
        <w:t xml:space="preserve">The full-scale survey </w:t>
      </w:r>
      <w:r w:rsidR="00E60379" w:rsidRPr="00911D35">
        <w:rPr>
          <w:sz w:val="22"/>
          <w:szCs w:val="22"/>
        </w:rPr>
        <w:t xml:space="preserve">will be mailed to institutions </w:t>
      </w:r>
      <w:r w:rsidR="00E60379" w:rsidRPr="00116B03">
        <w:rPr>
          <w:sz w:val="22"/>
          <w:szCs w:val="22"/>
        </w:rPr>
        <w:t xml:space="preserve">in </w:t>
      </w:r>
      <w:r w:rsidR="00A40418">
        <w:rPr>
          <w:sz w:val="22"/>
          <w:szCs w:val="22"/>
        </w:rPr>
        <w:t>late February or early March 2011</w:t>
      </w:r>
      <w:r w:rsidR="00E60379" w:rsidRPr="00116B03">
        <w:rPr>
          <w:sz w:val="22"/>
          <w:szCs w:val="22"/>
        </w:rPr>
        <w:t>.</w:t>
      </w:r>
    </w:p>
    <w:p w:rsidR="00E60379" w:rsidRDefault="00E60379" w:rsidP="00DF72BA">
      <w:pPr>
        <w:rPr>
          <w:sz w:val="22"/>
          <w:szCs w:val="22"/>
        </w:rPr>
      </w:pPr>
    </w:p>
    <w:p w:rsidR="00A11A9E" w:rsidRDefault="00A11A9E" w:rsidP="00E77889">
      <w:pPr>
        <w:rPr>
          <w:b/>
        </w:rPr>
      </w:pPr>
    </w:p>
    <w:p w:rsidR="00D842C7" w:rsidRPr="008C250B" w:rsidRDefault="00E77889" w:rsidP="00E77889">
      <w:pPr>
        <w:rPr>
          <w:b/>
        </w:rPr>
      </w:pPr>
      <w:r w:rsidRPr="008C250B">
        <w:rPr>
          <w:b/>
        </w:rPr>
        <w:t>A.2.</w:t>
      </w:r>
      <w:r w:rsidRPr="008C250B">
        <w:rPr>
          <w:b/>
        </w:rPr>
        <w:tab/>
      </w:r>
      <w:r w:rsidR="001A2E2D" w:rsidRPr="008C250B">
        <w:rPr>
          <w:b/>
        </w:rPr>
        <w:t xml:space="preserve">Purpose of the </w:t>
      </w:r>
      <w:r w:rsidR="001C3983" w:rsidRPr="008C250B">
        <w:rPr>
          <w:b/>
        </w:rPr>
        <w:t>I</w:t>
      </w:r>
      <w:r w:rsidR="001A2E2D" w:rsidRPr="008C250B">
        <w:rPr>
          <w:b/>
        </w:rPr>
        <w:t>nformation</w:t>
      </w:r>
    </w:p>
    <w:p w:rsidR="00341432" w:rsidRPr="008C250B" w:rsidRDefault="00341432" w:rsidP="00341432"/>
    <w:p w:rsidR="00102F08" w:rsidRDefault="003B574E" w:rsidP="00AB1A74">
      <w:pPr>
        <w:rPr>
          <w:sz w:val="22"/>
          <w:szCs w:val="22"/>
        </w:rPr>
      </w:pPr>
      <w:r>
        <w:rPr>
          <w:sz w:val="22"/>
          <w:szCs w:val="22"/>
        </w:rPr>
        <w:t>I</w:t>
      </w:r>
      <w:r w:rsidR="00341432" w:rsidRPr="00CE5E32">
        <w:rPr>
          <w:sz w:val="22"/>
          <w:szCs w:val="22"/>
        </w:rPr>
        <w:t xml:space="preserve">nformation from the </w:t>
      </w:r>
      <w:r w:rsidR="00D4679B">
        <w:rPr>
          <w:sz w:val="22"/>
          <w:szCs w:val="22"/>
        </w:rPr>
        <w:t>pilot test</w:t>
      </w:r>
      <w:r w:rsidR="00244408">
        <w:rPr>
          <w:sz w:val="22"/>
          <w:szCs w:val="22"/>
        </w:rPr>
        <w:t xml:space="preserve"> </w:t>
      </w:r>
      <w:r>
        <w:rPr>
          <w:sz w:val="22"/>
          <w:szCs w:val="22"/>
        </w:rPr>
        <w:t>w</w:t>
      </w:r>
      <w:r w:rsidR="00A40418">
        <w:rPr>
          <w:sz w:val="22"/>
          <w:szCs w:val="22"/>
        </w:rPr>
        <w:t>as</w:t>
      </w:r>
      <w:r>
        <w:rPr>
          <w:sz w:val="22"/>
          <w:szCs w:val="22"/>
        </w:rPr>
        <w:t xml:space="preserve"> used </w:t>
      </w:r>
      <w:r w:rsidR="00244408">
        <w:rPr>
          <w:sz w:val="22"/>
          <w:szCs w:val="22"/>
        </w:rPr>
        <w:t xml:space="preserve">to </w:t>
      </w:r>
      <w:r w:rsidR="007831C4">
        <w:rPr>
          <w:sz w:val="22"/>
          <w:szCs w:val="22"/>
        </w:rPr>
        <w:t xml:space="preserve">refine the </w:t>
      </w:r>
      <w:r w:rsidR="00185479" w:rsidRPr="00E94412">
        <w:rPr>
          <w:sz w:val="22"/>
          <w:szCs w:val="22"/>
        </w:rPr>
        <w:t>questionnaire</w:t>
      </w:r>
      <w:r w:rsidR="007831C4">
        <w:rPr>
          <w:sz w:val="22"/>
          <w:szCs w:val="22"/>
        </w:rPr>
        <w:t xml:space="preserve">s to ensure that they are </w:t>
      </w:r>
      <w:r w:rsidR="00532AFE">
        <w:rPr>
          <w:sz w:val="22"/>
          <w:szCs w:val="22"/>
        </w:rPr>
        <w:t>clearly worded, minimize respondent burden, and provide</w:t>
      </w:r>
      <w:r w:rsidR="00185479" w:rsidRPr="00E94412">
        <w:rPr>
          <w:sz w:val="22"/>
          <w:szCs w:val="22"/>
        </w:rPr>
        <w:t xml:space="preserve"> adequate coverage of vari</w:t>
      </w:r>
      <w:r w:rsidR="008424CD">
        <w:rPr>
          <w:sz w:val="22"/>
          <w:szCs w:val="22"/>
        </w:rPr>
        <w:t>ous types of</w:t>
      </w:r>
      <w:r w:rsidR="00185479" w:rsidRPr="00E94412">
        <w:rPr>
          <w:sz w:val="22"/>
          <w:szCs w:val="22"/>
        </w:rPr>
        <w:t xml:space="preserve"> </w:t>
      </w:r>
      <w:r w:rsidR="00185479">
        <w:rPr>
          <w:sz w:val="22"/>
          <w:szCs w:val="22"/>
        </w:rPr>
        <w:t xml:space="preserve">tests and test scores </w:t>
      </w:r>
      <w:r w:rsidR="00185479" w:rsidRPr="00E94412">
        <w:rPr>
          <w:sz w:val="22"/>
          <w:szCs w:val="22"/>
        </w:rPr>
        <w:t xml:space="preserve">used by institutions </w:t>
      </w:r>
      <w:r w:rsidR="00185479">
        <w:rPr>
          <w:sz w:val="22"/>
          <w:szCs w:val="22"/>
        </w:rPr>
        <w:t xml:space="preserve">to determine </w:t>
      </w:r>
      <w:r w:rsidR="00185479" w:rsidRPr="00E94412">
        <w:rPr>
          <w:sz w:val="22"/>
          <w:szCs w:val="22"/>
        </w:rPr>
        <w:t xml:space="preserve">student </w:t>
      </w:r>
      <w:r w:rsidR="008424CD">
        <w:rPr>
          <w:sz w:val="22"/>
          <w:szCs w:val="22"/>
        </w:rPr>
        <w:t>need for remediation in mathematics and reading</w:t>
      </w:r>
      <w:r w:rsidR="00185479">
        <w:rPr>
          <w:sz w:val="22"/>
          <w:szCs w:val="22"/>
        </w:rPr>
        <w:t xml:space="preserve"> (see details in section </w:t>
      </w:r>
      <w:r w:rsidR="00137A98">
        <w:rPr>
          <w:sz w:val="22"/>
          <w:szCs w:val="22"/>
        </w:rPr>
        <w:t>A.1)</w:t>
      </w:r>
      <w:r w:rsidR="00185479" w:rsidRPr="00E94412">
        <w:rPr>
          <w:sz w:val="22"/>
          <w:szCs w:val="22"/>
        </w:rPr>
        <w:t>.</w:t>
      </w:r>
      <w:r w:rsidR="00185479">
        <w:rPr>
          <w:sz w:val="22"/>
          <w:szCs w:val="22"/>
        </w:rPr>
        <w:t xml:space="preserve">  </w:t>
      </w:r>
      <w:r w:rsidR="00137A98">
        <w:rPr>
          <w:sz w:val="22"/>
          <w:szCs w:val="22"/>
        </w:rPr>
        <w:t xml:space="preserve"> The pilot test allow</w:t>
      </w:r>
      <w:r w:rsidR="00A40418">
        <w:rPr>
          <w:sz w:val="22"/>
          <w:szCs w:val="22"/>
        </w:rPr>
        <w:t>ed</w:t>
      </w:r>
      <w:r w:rsidR="00137A98">
        <w:rPr>
          <w:sz w:val="22"/>
          <w:szCs w:val="22"/>
        </w:rPr>
        <w:t xml:space="preserve"> for rigorous testing of questionnaire issue</w:t>
      </w:r>
      <w:r w:rsidR="009877CC">
        <w:rPr>
          <w:sz w:val="22"/>
          <w:szCs w:val="22"/>
        </w:rPr>
        <w:t>s</w:t>
      </w:r>
      <w:r w:rsidR="00137A98">
        <w:rPr>
          <w:sz w:val="22"/>
          <w:szCs w:val="22"/>
        </w:rPr>
        <w:t xml:space="preserve"> </w:t>
      </w:r>
      <w:r w:rsidR="001B3867">
        <w:rPr>
          <w:sz w:val="22"/>
          <w:szCs w:val="22"/>
        </w:rPr>
        <w:t xml:space="preserve">and survey administration </w:t>
      </w:r>
      <w:r w:rsidR="00137A98">
        <w:rPr>
          <w:sz w:val="22"/>
          <w:szCs w:val="22"/>
        </w:rPr>
        <w:t>because it mirror</w:t>
      </w:r>
      <w:r w:rsidR="00A40418">
        <w:rPr>
          <w:sz w:val="22"/>
          <w:szCs w:val="22"/>
        </w:rPr>
        <w:t>ed</w:t>
      </w:r>
      <w:r w:rsidR="00137A98">
        <w:rPr>
          <w:sz w:val="22"/>
          <w:szCs w:val="22"/>
        </w:rPr>
        <w:t xml:space="preserve"> the data collection procedures for the main study.  </w:t>
      </w:r>
      <w:r w:rsidR="007831C4">
        <w:rPr>
          <w:sz w:val="22"/>
          <w:szCs w:val="22"/>
        </w:rPr>
        <w:t xml:space="preserve">This will </w:t>
      </w:r>
      <w:r w:rsidR="00137A98">
        <w:rPr>
          <w:sz w:val="22"/>
          <w:szCs w:val="22"/>
        </w:rPr>
        <w:t>help to avoid potential problems in the main data collection.</w:t>
      </w:r>
      <w:r w:rsidR="00102F08">
        <w:rPr>
          <w:sz w:val="22"/>
          <w:szCs w:val="22"/>
        </w:rPr>
        <w:t xml:space="preserve">   The pilot study also provide</w:t>
      </w:r>
      <w:r w:rsidR="00A40418">
        <w:rPr>
          <w:sz w:val="22"/>
          <w:szCs w:val="22"/>
        </w:rPr>
        <w:t>d</w:t>
      </w:r>
      <w:r w:rsidR="00102F08" w:rsidRPr="00B852B0">
        <w:rPr>
          <w:sz w:val="22"/>
          <w:szCs w:val="22"/>
        </w:rPr>
        <w:t xml:space="preserve"> insights into the extent to which institutions use various tests, either independently or in combination with other evaluation criteria to identify student need for remediation in mathematics and reading.</w:t>
      </w:r>
      <w:r w:rsidR="00102F08">
        <w:rPr>
          <w:sz w:val="22"/>
          <w:szCs w:val="22"/>
        </w:rPr>
        <w:t xml:space="preserve">   </w:t>
      </w:r>
    </w:p>
    <w:p w:rsidR="003B574E" w:rsidRDefault="003B574E" w:rsidP="00AB1A74">
      <w:pPr>
        <w:rPr>
          <w:sz w:val="22"/>
          <w:szCs w:val="22"/>
        </w:rPr>
      </w:pPr>
    </w:p>
    <w:p w:rsidR="003B574E" w:rsidRDefault="003B574E" w:rsidP="003B574E">
      <w:pPr>
        <w:rPr>
          <w:sz w:val="22"/>
          <w:szCs w:val="22"/>
        </w:rPr>
      </w:pPr>
      <w:r w:rsidRPr="00CE5E32">
        <w:rPr>
          <w:sz w:val="22"/>
          <w:szCs w:val="22"/>
        </w:rPr>
        <w:t xml:space="preserve">The Governing Board will use the information from the </w:t>
      </w:r>
      <w:r>
        <w:rPr>
          <w:sz w:val="22"/>
          <w:szCs w:val="22"/>
        </w:rPr>
        <w:t xml:space="preserve">full-scale </w:t>
      </w:r>
      <w:r w:rsidRPr="00CE5E32">
        <w:rPr>
          <w:sz w:val="22"/>
          <w:szCs w:val="22"/>
        </w:rPr>
        <w:t>survey of higher education institutions, along with the results of other planned research, to serve as validity evidence to develop and support statements to be made in NAEP reports about 12</w:t>
      </w:r>
      <w:r w:rsidRPr="00CE5E32">
        <w:rPr>
          <w:sz w:val="22"/>
          <w:szCs w:val="22"/>
          <w:vertAlign w:val="superscript"/>
        </w:rPr>
        <w:t>th</w:t>
      </w:r>
      <w:r w:rsidRPr="00CE5E32">
        <w:rPr>
          <w:sz w:val="22"/>
          <w:szCs w:val="22"/>
        </w:rPr>
        <w:t xml:space="preserve"> grade student preparedness.  To this end, the survey </w:t>
      </w:r>
      <w:r w:rsidRPr="00CE5E32">
        <w:rPr>
          <w:sz w:val="22"/>
          <w:szCs w:val="22"/>
        </w:rPr>
        <w:lastRenderedPageBreak/>
        <w:t xml:space="preserve">will collect information on </w:t>
      </w:r>
      <w:r>
        <w:rPr>
          <w:sz w:val="22"/>
          <w:szCs w:val="22"/>
        </w:rPr>
        <w:t>tests and test scores used by two-</w:t>
      </w:r>
      <w:r w:rsidRPr="00CE5E32">
        <w:rPr>
          <w:sz w:val="22"/>
          <w:szCs w:val="22"/>
        </w:rPr>
        <w:t xml:space="preserve">year and </w:t>
      </w:r>
      <w:r>
        <w:rPr>
          <w:sz w:val="22"/>
          <w:szCs w:val="22"/>
        </w:rPr>
        <w:t>four</w:t>
      </w:r>
      <w:r w:rsidRPr="00CE5E32">
        <w:rPr>
          <w:sz w:val="22"/>
          <w:szCs w:val="22"/>
        </w:rPr>
        <w:t>-year postsecondary institutions</w:t>
      </w:r>
      <w:r>
        <w:rPr>
          <w:sz w:val="22"/>
          <w:szCs w:val="22"/>
        </w:rPr>
        <w:t xml:space="preserve"> to identify student need </w:t>
      </w:r>
      <w:r w:rsidR="006C3A42">
        <w:rPr>
          <w:sz w:val="22"/>
          <w:szCs w:val="22"/>
        </w:rPr>
        <w:t>for</w:t>
      </w:r>
      <w:r>
        <w:rPr>
          <w:sz w:val="22"/>
          <w:szCs w:val="22"/>
        </w:rPr>
        <w:t xml:space="preserve"> remediation in mathematics </w:t>
      </w:r>
      <w:r w:rsidR="009A5327">
        <w:rPr>
          <w:sz w:val="22"/>
          <w:szCs w:val="22"/>
        </w:rPr>
        <w:t>and</w:t>
      </w:r>
      <w:r>
        <w:rPr>
          <w:sz w:val="22"/>
          <w:szCs w:val="22"/>
        </w:rPr>
        <w:t xml:space="preserve"> reading.</w:t>
      </w:r>
    </w:p>
    <w:p w:rsidR="003B574E" w:rsidRDefault="003B574E" w:rsidP="003B574E">
      <w:pPr>
        <w:rPr>
          <w:sz w:val="22"/>
          <w:szCs w:val="22"/>
        </w:rPr>
      </w:pPr>
    </w:p>
    <w:p w:rsidR="00A11A9E" w:rsidRPr="008C250B" w:rsidRDefault="00A11A9E" w:rsidP="00341432"/>
    <w:p w:rsidR="00341432" w:rsidRPr="008C250B" w:rsidRDefault="00C57A2A" w:rsidP="00C57A2A">
      <w:r w:rsidRPr="008C250B">
        <w:rPr>
          <w:b/>
        </w:rPr>
        <w:t>A.3.</w:t>
      </w:r>
      <w:r w:rsidRPr="008C250B">
        <w:rPr>
          <w:b/>
        </w:rPr>
        <w:tab/>
      </w:r>
      <w:r w:rsidR="00341432" w:rsidRPr="008C250B">
        <w:rPr>
          <w:b/>
        </w:rPr>
        <w:t xml:space="preserve">Use of </w:t>
      </w:r>
      <w:r w:rsidR="001C3983" w:rsidRPr="008C250B">
        <w:rPr>
          <w:b/>
        </w:rPr>
        <w:t>I</w:t>
      </w:r>
      <w:r w:rsidR="00341432" w:rsidRPr="008C250B">
        <w:rPr>
          <w:b/>
        </w:rPr>
        <w:t xml:space="preserve">nformation </w:t>
      </w:r>
      <w:r w:rsidR="001C3983" w:rsidRPr="008C250B">
        <w:rPr>
          <w:b/>
        </w:rPr>
        <w:t>T</w:t>
      </w:r>
      <w:r w:rsidR="00341432" w:rsidRPr="008C250B">
        <w:rPr>
          <w:b/>
        </w:rPr>
        <w:t>echnology</w:t>
      </w:r>
    </w:p>
    <w:p w:rsidR="00341432" w:rsidRPr="008C250B" w:rsidRDefault="00341432" w:rsidP="00341432"/>
    <w:p w:rsidR="001C3983" w:rsidRPr="00CE5E32" w:rsidRDefault="00A40418" w:rsidP="001C3983">
      <w:pPr>
        <w:rPr>
          <w:sz w:val="22"/>
          <w:szCs w:val="22"/>
        </w:rPr>
      </w:pPr>
      <w:r>
        <w:rPr>
          <w:sz w:val="22"/>
          <w:szCs w:val="22"/>
        </w:rPr>
        <w:t>As in the pilot test, s</w:t>
      </w:r>
      <w:r w:rsidR="003B574E">
        <w:rPr>
          <w:sz w:val="22"/>
          <w:szCs w:val="22"/>
        </w:rPr>
        <w:t>ampled i</w:t>
      </w:r>
      <w:r w:rsidR="003B574E" w:rsidRPr="00CE5E32">
        <w:rPr>
          <w:sz w:val="22"/>
          <w:szCs w:val="22"/>
        </w:rPr>
        <w:t xml:space="preserve">nstitutions </w:t>
      </w:r>
      <w:r>
        <w:rPr>
          <w:sz w:val="22"/>
          <w:szCs w:val="22"/>
        </w:rPr>
        <w:t xml:space="preserve">in the full-scale survey </w:t>
      </w:r>
      <w:r w:rsidR="001C3983" w:rsidRPr="00CE5E32">
        <w:rPr>
          <w:sz w:val="22"/>
          <w:szCs w:val="22"/>
        </w:rPr>
        <w:t xml:space="preserve">will be </w:t>
      </w:r>
      <w:r w:rsidR="0010727C">
        <w:rPr>
          <w:sz w:val="22"/>
          <w:szCs w:val="22"/>
        </w:rPr>
        <w:t xml:space="preserve">encouraged to complete </w:t>
      </w:r>
      <w:r w:rsidR="0010727C" w:rsidRPr="00CE5E32">
        <w:rPr>
          <w:sz w:val="22"/>
          <w:szCs w:val="22"/>
        </w:rPr>
        <w:t>a web version of the questionnaire accessed through the Internet</w:t>
      </w:r>
      <w:r w:rsidR="003B574E">
        <w:rPr>
          <w:sz w:val="22"/>
          <w:szCs w:val="22"/>
        </w:rPr>
        <w:t xml:space="preserve">.  Institutions </w:t>
      </w:r>
      <w:r w:rsidR="0010727C">
        <w:rPr>
          <w:sz w:val="22"/>
          <w:szCs w:val="22"/>
        </w:rPr>
        <w:t xml:space="preserve">will be also </w:t>
      </w:r>
      <w:r w:rsidR="001C3983" w:rsidRPr="00CE5E32">
        <w:rPr>
          <w:sz w:val="22"/>
          <w:szCs w:val="22"/>
        </w:rPr>
        <w:t>given the option of completing the survey using a traditional pencil and paper questionnaire. When paper versions of the questionnaire are used, they will be transmitted to and from respondents by fax</w:t>
      </w:r>
      <w:r w:rsidR="009A5327">
        <w:rPr>
          <w:sz w:val="22"/>
          <w:szCs w:val="22"/>
        </w:rPr>
        <w:t xml:space="preserve"> and postal mail</w:t>
      </w:r>
      <w:r w:rsidR="00367E46">
        <w:rPr>
          <w:sz w:val="22"/>
          <w:szCs w:val="22"/>
        </w:rPr>
        <w:t>, based on respondents’ preferences</w:t>
      </w:r>
      <w:r w:rsidR="001C3983" w:rsidRPr="00CE5E32">
        <w:rPr>
          <w:sz w:val="22"/>
          <w:szCs w:val="22"/>
        </w:rPr>
        <w:t xml:space="preserve">. </w:t>
      </w:r>
      <w:r w:rsidR="00367E46">
        <w:rPr>
          <w:sz w:val="22"/>
          <w:szCs w:val="22"/>
        </w:rPr>
        <w:t xml:space="preserve">  </w:t>
      </w:r>
      <w:r w:rsidR="001C3983" w:rsidRPr="00CE5E32">
        <w:rPr>
          <w:sz w:val="22"/>
          <w:szCs w:val="22"/>
        </w:rPr>
        <w:t xml:space="preserve">In addition, the email address for the contractor (Westat) responsible for answering respondent questions will be included on the front of the questionnaire. </w:t>
      </w:r>
      <w:r w:rsidR="001B3867">
        <w:rPr>
          <w:sz w:val="22"/>
          <w:szCs w:val="22"/>
        </w:rPr>
        <w:t xml:space="preserve"> Westat will also use mass email reminders to prompt nonrespondents to complete the survey.  </w:t>
      </w:r>
      <w:r w:rsidR="001C3983" w:rsidRPr="00CE5E32">
        <w:rPr>
          <w:sz w:val="22"/>
          <w:szCs w:val="22"/>
        </w:rPr>
        <w:t>These procedures are all designed to minimize the burden on respondents.</w:t>
      </w:r>
      <w:r w:rsidR="006C3A42">
        <w:rPr>
          <w:sz w:val="22"/>
          <w:szCs w:val="22"/>
        </w:rPr>
        <w:t xml:space="preserve">  For example, the use of various modes of communication will allow respondents flexibility in completing the survey and obtaining clarification on any data collection issues that may arise.</w:t>
      </w:r>
    </w:p>
    <w:p w:rsidR="00451022" w:rsidRDefault="00451022" w:rsidP="00341432"/>
    <w:p w:rsidR="00792585" w:rsidRPr="008C250B" w:rsidRDefault="00792585" w:rsidP="00341432"/>
    <w:p w:rsidR="00341432" w:rsidRPr="008C250B" w:rsidRDefault="001C3983" w:rsidP="001C3983">
      <w:pPr>
        <w:rPr>
          <w:b/>
        </w:rPr>
      </w:pPr>
      <w:r w:rsidRPr="008C250B">
        <w:rPr>
          <w:b/>
        </w:rPr>
        <w:t>A.4.</w:t>
      </w:r>
      <w:r w:rsidRPr="008C250B">
        <w:rPr>
          <w:b/>
        </w:rPr>
        <w:tab/>
      </w:r>
      <w:r w:rsidR="00341432" w:rsidRPr="008C250B">
        <w:rPr>
          <w:b/>
        </w:rPr>
        <w:t>Duplication</w:t>
      </w:r>
    </w:p>
    <w:p w:rsidR="00341432" w:rsidRPr="008C250B" w:rsidRDefault="00341432" w:rsidP="00341432"/>
    <w:p w:rsidR="00513D84" w:rsidRPr="00CE5E32" w:rsidRDefault="00513D84" w:rsidP="00513D84">
      <w:pPr>
        <w:autoSpaceDE w:val="0"/>
        <w:autoSpaceDN w:val="0"/>
        <w:adjustRightInd w:val="0"/>
        <w:rPr>
          <w:color w:val="000000"/>
          <w:sz w:val="22"/>
          <w:szCs w:val="22"/>
        </w:rPr>
      </w:pPr>
      <w:r w:rsidRPr="00CE5E32">
        <w:rPr>
          <w:color w:val="000000"/>
          <w:sz w:val="22"/>
          <w:szCs w:val="22"/>
        </w:rPr>
        <w:t xml:space="preserve">An extensive review of pertinent literature and on-line resources found no documentation of nationwide studies or other data collection activities to identify the assessments/tests and scores </w:t>
      </w:r>
      <w:r w:rsidR="00116B03">
        <w:rPr>
          <w:color w:val="000000"/>
          <w:sz w:val="22"/>
          <w:szCs w:val="22"/>
        </w:rPr>
        <w:t xml:space="preserve">used for determining student need for </w:t>
      </w:r>
      <w:r w:rsidRPr="00CE5E32">
        <w:rPr>
          <w:color w:val="000000"/>
          <w:sz w:val="22"/>
          <w:szCs w:val="22"/>
        </w:rPr>
        <w:t>remedial/developmental mathematics and reading classes</w:t>
      </w:r>
      <w:r w:rsidR="001C5B63">
        <w:rPr>
          <w:color w:val="000000"/>
          <w:sz w:val="22"/>
          <w:szCs w:val="22"/>
        </w:rPr>
        <w:t xml:space="preserve"> in postsecondary institutions</w:t>
      </w:r>
      <w:r w:rsidR="00116B03">
        <w:rPr>
          <w:color w:val="000000"/>
          <w:sz w:val="22"/>
          <w:szCs w:val="22"/>
        </w:rPr>
        <w:t>.</w:t>
      </w:r>
      <w:r w:rsidRPr="00CE5E32">
        <w:rPr>
          <w:color w:val="000000"/>
          <w:sz w:val="22"/>
          <w:szCs w:val="22"/>
        </w:rPr>
        <w:t xml:space="preserve"> </w:t>
      </w:r>
    </w:p>
    <w:p w:rsidR="00513D84" w:rsidRPr="00CE5E32" w:rsidRDefault="00513D84" w:rsidP="00513D84">
      <w:pPr>
        <w:autoSpaceDE w:val="0"/>
        <w:autoSpaceDN w:val="0"/>
        <w:adjustRightInd w:val="0"/>
        <w:rPr>
          <w:color w:val="000000"/>
          <w:sz w:val="22"/>
          <w:szCs w:val="22"/>
        </w:rPr>
      </w:pPr>
    </w:p>
    <w:p w:rsidR="00513D84" w:rsidRPr="00CE5E32" w:rsidRDefault="00513D84" w:rsidP="00513D84">
      <w:pPr>
        <w:autoSpaceDE w:val="0"/>
        <w:autoSpaceDN w:val="0"/>
        <w:adjustRightInd w:val="0"/>
        <w:rPr>
          <w:color w:val="000000"/>
          <w:sz w:val="22"/>
          <w:szCs w:val="22"/>
        </w:rPr>
      </w:pPr>
      <w:r w:rsidRPr="00CE5E32">
        <w:rPr>
          <w:color w:val="000000"/>
          <w:sz w:val="22"/>
          <w:szCs w:val="22"/>
        </w:rPr>
        <w:t>The review consisted of the following activities</w:t>
      </w:r>
      <w:r w:rsidR="001C5B63">
        <w:rPr>
          <w:color w:val="000000"/>
          <w:sz w:val="22"/>
          <w:szCs w:val="22"/>
        </w:rPr>
        <w:t xml:space="preserve"> under a previous contract with ACT</w:t>
      </w:r>
      <w:r w:rsidRPr="00CE5E32">
        <w:rPr>
          <w:color w:val="000000"/>
          <w:sz w:val="22"/>
          <w:szCs w:val="22"/>
        </w:rPr>
        <w:t>.  The Director of ACT’s Information Resource Center conducted a broad, on-line review to identify any source of nationally representative studies or sources that might already collect the information of relevance to this study; she found no such source.  ACT uses the Institutional Data Questionnaire (IDQ) to annually collect a wide variety of information about almost all two-year, four-year, and other postsecondary institutions in the United States and in some foreign countries; this information base is routinely updated. The IDQ contains data on the tests/assessments, but not the scores, used by postsecondary institutions for placement in the general subject areas of English, mathematics, reading, and science and the ACT scores used for placement in selected English, mathematics, reading, and science courses</w:t>
      </w:r>
      <w:r w:rsidR="009C7AA6">
        <w:rPr>
          <w:color w:val="000000"/>
          <w:sz w:val="22"/>
          <w:szCs w:val="22"/>
        </w:rPr>
        <w:t xml:space="preserve">.  The IDQ </w:t>
      </w:r>
      <w:r w:rsidR="00792585">
        <w:rPr>
          <w:color w:val="000000"/>
          <w:sz w:val="22"/>
          <w:szCs w:val="22"/>
        </w:rPr>
        <w:t xml:space="preserve">data </w:t>
      </w:r>
      <w:r w:rsidR="009C7AA6">
        <w:rPr>
          <w:color w:val="000000"/>
          <w:sz w:val="22"/>
          <w:szCs w:val="22"/>
        </w:rPr>
        <w:t xml:space="preserve">do not </w:t>
      </w:r>
      <w:r w:rsidR="00792585">
        <w:rPr>
          <w:color w:val="000000"/>
          <w:sz w:val="22"/>
          <w:szCs w:val="22"/>
        </w:rPr>
        <w:t xml:space="preserve">include </w:t>
      </w:r>
      <w:r w:rsidR="009C7AA6">
        <w:rPr>
          <w:color w:val="000000"/>
          <w:sz w:val="22"/>
          <w:szCs w:val="22"/>
        </w:rPr>
        <w:t xml:space="preserve">information about placement into remedial courses </w:t>
      </w:r>
      <w:r w:rsidR="00792585">
        <w:rPr>
          <w:color w:val="000000"/>
          <w:sz w:val="22"/>
          <w:szCs w:val="22"/>
        </w:rPr>
        <w:t>and the data are not necessarily nationally representative.  Th</w:t>
      </w:r>
      <w:r w:rsidRPr="00CE5E32">
        <w:rPr>
          <w:color w:val="000000"/>
          <w:sz w:val="22"/>
          <w:szCs w:val="22"/>
        </w:rPr>
        <w:t>erefore, the IDQ is not a source of the comprehensive data needed for this study.  Based on these findings, the proposed study will not collect data that duplicates information from any existing source.</w:t>
      </w:r>
    </w:p>
    <w:p w:rsidR="00341432" w:rsidRPr="008C250B" w:rsidRDefault="00341432" w:rsidP="00341432"/>
    <w:p w:rsidR="007C268F" w:rsidRPr="008C250B" w:rsidRDefault="007C268F" w:rsidP="00341432"/>
    <w:p w:rsidR="00341432" w:rsidRPr="008C250B" w:rsidRDefault="001C3983" w:rsidP="001C3983">
      <w:pPr>
        <w:rPr>
          <w:b/>
        </w:rPr>
      </w:pPr>
      <w:r w:rsidRPr="008C250B">
        <w:rPr>
          <w:b/>
        </w:rPr>
        <w:t>A.5.</w:t>
      </w:r>
      <w:r w:rsidRPr="008C250B">
        <w:rPr>
          <w:b/>
        </w:rPr>
        <w:tab/>
      </w:r>
      <w:r w:rsidR="00513D84" w:rsidRPr="008C250B">
        <w:rPr>
          <w:b/>
        </w:rPr>
        <w:t xml:space="preserve">Impact on </w:t>
      </w:r>
      <w:r w:rsidRPr="008C250B">
        <w:rPr>
          <w:b/>
        </w:rPr>
        <w:t>S</w:t>
      </w:r>
      <w:r w:rsidR="00513D84" w:rsidRPr="008C250B">
        <w:rPr>
          <w:b/>
        </w:rPr>
        <w:t xml:space="preserve">mall </w:t>
      </w:r>
      <w:r w:rsidRPr="008C250B">
        <w:rPr>
          <w:b/>
        </w:rPr>
        <w:t>B</w:t>
      </w:r>
      <w:r w:rsidR="00513D84" w:rsidRPr="008C250B">
        <w:rPr>
          <w:b/>
        </w:rPr>
        <w:t>usiness</w:t>
      </w:r>
    </w:p>
    <w:p w:rsidR="00513D84" w:rsidRPr="008C250B" w:rsidRDefault="00513D84" w:rsidP="00513D84"/>
    <w:p w:rsidR="00513D84" w:rsidRPr="00CE5E32" w:rsidRDefault="00513D84" w:rsidP="00513D84">
      <w:pPr>
        <w:rPr>
          <w:sz w:val="22"/>
          <w:szCs w:val="22"/>
        </w:rPr>
      </w:pPr>
      <w:r w:rsidRPr="00CE5E32">
        <w:rPr>
          <w:sz w:val="22"/>
          <w:szCs w:val="22"/>
        </w:rPr>
        <w:t xml:space="preserve">The information collection </w:t>
      </w:r>
      <w:r w:rsidR="003B574E">
        <w:rPr>
          <w:sz w:val="22"/>
          <w:szCs w:val="22"/>
        </w:rPr>
        <w:t xml:space="preserve">in the pilot test and full-scale survey </w:t>
      </w:r>
      <w:r w:rsidRPr="00CE5E32">
        <w:rPr>
          <w:sz w:val="22"/>
          <w:szCs w:val="22"/>
        </w:rPr>
        <w:t>does not affect small businesses or other small entities.</w:t>
      </w:r>
    </w:p>
    <w:p w:rsidR="00513D84" w:rsidRPr="00CE5E32" w:rsidRDefault="00513D84" w:rsidP="00513D84">
      <w:pPr>
        <w:rPr>
          <w:sz w:val="22"/>
          <w:szCs w:val="22"/>
        </w:rPr>
      </w:pPr>
    </w:p>
    <w:p w:rsidR="007C268F" w:rsidRPr="008C250B" w:rsidRDefault="007C268F" w:rsidP="00513D84"/>
    <w:p w:rsidR="00513D84" w:rsidRPr="008C250B" w:rsidRDefault="001C3983" w:rsidP="001C3983">
      <w:pPr>
        <w:rPr>
          <w:b/>
        </w:rPr>
      </w:pPr>
      <w:r w:rsidRPr="008C250B">
        <w:rPr>
          <w:b/>
        </w:rPr>
        <w:t>A.6.</w:t>
      </w:r>
      <w:r w:rsidRPr="008C250B">
        <w:rPr>
          <w:b/>
        </w:rPr>
        <w:tab/>
      </w:r>
      <w:r w:rsidR="00513D84" w:rsidRPr="008C250B">
        <w:rPr>
          <w:b/>
        </w:rPr>
        <w:t xml:space="preserve">Consequence if </w:t>
      </w:r>
      <w:r w:rsidRPr="008C250B">
        <w:rPr>
          <w:b/>
        </w:rPr>
        <w:t>C</w:t>
      </w:r>
      <w:r w:rsidR="00513D84" w:rsidRPr="008C250B">
        <w:rPr>
          <w:b/>
        </w:rPr>
        <w:t xml:space="preserve">ollection </w:t>
      </w:r>
      <w:r w:rsidRPr="008C250B">
        <w:rPr>
          <w:b/>
        </w:rPr>
        <w:t>N</w:t>
      </w:r>
      <w:r w:rsidR="00513D84" w:rsidRPr="008C250B">
        <w:rPr>
          <w:b/>
        </w:rPr>
        <w:t xml:space="preserve">ot </w:t>
      </w:r>
      <w:r w:rsidRPr="008C250B">
        <w:rPr>
          <w:b/>
        </w:rPr>
        <w:t>C</w:t>
      </w:r>
      <w:r w:rsidR="00513D84" w:rsidRPr="008C250B">
        <w:rPr>
          <w:b/>
        </w:rPr>
        <w:t>onducted</w:t>
      </w:r>
    </w:p>
    <w:p w:rsidR="00513D84" w:rsidRPr="008C250B" w:rsidRDefault="00513D84" w:rsidP="00513D84"/>
    <w:p w:rsidR="00513D84" w:rsidRPr="00CE5E32" w:rsidRDefault="001605CD" w:rsidP="00513D84">
      <w:pPr>
        <w:rPr>
          <w:sz w:val="22"/>
          <w:szCs w:val="22"/>
        </w:rPr>
      </w:pPr>
      <w:r>
        <w:rPr>
          <w:sz w:val="22"/>
          <w:szCs w:val="22"/>
        </w:rPr>
        <w:t xml:space="preserve">Information from the </w:t>
      </w:r>
      <w:r w:rsidR="00E53379">
        <w:rPr>
          <w:sz w:val="22"/>
          <w:szCs w:val="22"/>
        </w:rPr>
        <w:t xml:space="preserve">full-scale survey </w:t>
      </w:r>
      <w:r w:rsidR="00DE2185" w:rsidRPr="00CE5E32">
        <w:rPr>
          <w:sz w:val="22"/>
          <w:szCs w:val="22"/>
        </w:rPr>
        <w:t>is a key component in</w:t>
      </w:r>
      <w:r w:rsidR="00513D84" w:rsidRPr="00CE5E32">
        <w:rPr>
          <w:sz w:val="22"/>
          <w:szCs w:val="22"/>
        </w:rPr>
        <w:t xml:space="preserve"> determining </w:t>
      </w:r>
      <w:r w:rsidR="00DE2185" w:rsidRPr="00CE5E32">
        <w:rPr>
          <w:sz w:val="22"/>
          <w:szCs w:val="22"/>
        </w:rPr>
        <w:t xml:space="preserve">what knowledge, skills, and ability in reading and mathematics constitute preparedness for entry into college credit course work.  </w:t>
      </w:r>
      <w:r w:rsidR="00312AEC" w:rsidRPr="00CE5E32">
        <w:rPr>
          <w:sz w:val="22"/>
          <w:szCs w:val="22"/>
        </w:rPr>
        <w:t xml:space="preserve">The </w:t>
      </w:r>
      <w:r w:rsidR="00312AEC" w:rsidRPr="00CE5E32">
        <w:rPr>
          <w:sz w:val="22"/>
          <w:szCs w:val="22"/>
        </w:rPr>
        <w:lastRenderedPageBreak/>
        <w:t>information to be collected will help validate statements about the preparedness of 12th grade students for postsecondary education and training.</w:t>
      </w:r>
      <w:r w:rsidR="00312AEC">
        <w:rPr>
          <w:sz w:val="22"/>
          <w:szCs w:val="22"/>
        </w:rPr>
        <w:t xml:space="preserve">  </w:t>
      </w:r>
      <w:r w:rsidR="00DE2185" w:rsidRPr="00CE5E32">
        <w:rPr>
          <w:sz w:val="22"/>
          <w:szCs w:val="22"/>
        </w:rPr>
        <w:t xml:space="preserve">As such, it is essential to </w:t>
      </w:r>
      <w:r w:rsidR="006666FB" w:rsidRPr="00CE5E32">
        <w:rPr>
          <w:sz w:val="22"/>
          <w:szCs w:val="22"/>
        </w:rPr>
        <w:t>collect these data.</w:t>
      </w:r>
    </w:p>
    <w:p w:rsidR="00312AEC" w:rsidRDefault="00312AEC" w:rsidP="001C3983">
      <w:pPr>
        <w:rPr>
          <w:b/>
        </w:rPr>
      </w:pPr>
    </w:p>
    <w:p w:rsidR="006C3A42" w:rsidRDefault="006C3A42" w:rsidP="001C3983">
      <w:pPr>
        <w:rPr>
          <w:b/>
        </w:rPr>
      </w:pPr>
    </w:p>
    <w:p w:rsidR="00A46FDA" w:rsidRPr="008C250B" w:rsidRDefault="001C3983" w:rsidP="001C3983">
      <w:pPr>
        <w:rPr>
          <w:b/>
        </w:rPr>
      </w:pPr>
      <w:r w:rsidRPr="008C250B">
        <w:rPr>
          <w:b/>
        </w:rPr>
        <w:t>A.7.</w:t>
      </w:r>
      <w:r w:rsidRPr="008C250B">
        <w:rPr>
          <w:b/>
        </w:rPr>
        <w:tab/>
      </w:r>
      <w:r w:rsidR="00A46FDA" w:rsidRPr="008C250B">
        <w:rPr>
          <w:b/>
        </w:rPr>
        <w:t xml:space="preserve">Special Circumstances  </w:t>
      </w:r>
    </w:p>
    <w:p w:rsidR="00A46FDA" w:rsidRPr="008C250B" w:rsidRDefault="00A46FDA" w:rsidP="00A46FDA"/>
    <w:p w:rsidR="00A46FDA" w:rsidRDefault="00A46FDA" w:rsidP="00A46FDA">
      <w:pPr>
        <w:rPr>
          <w:sz w:val="22"/>
          <w:szCs w:val="22"/>
        </w:rPr>
      </w:pPr>
      <w:r w:rsidRPr="00CE5E32">
        <w:rPr>
          <w:sz w:val="22"/>
          <w:szCs w:val="22"/>
        </w:rPr>
        <w:t xml:space="preserve">There are no special circumstances that would cause the information collection </w:t>
      </w:r>
      <w:r w:rsidR="003B574E">
        <w:rPr>
          <w:sz w:val="22"/>
          <w:szCs w:val="22"/>
        </w:rPr>
        <w:t xml:space="preserve">in the pilot test or full-scale survey </w:t>
      </w:r>
      <w:r w:rsidRPr="00CE5E32">
        <w:rPr>
          <w:sz w:val="22"/>
          <w:szCs w:val="22"/>
        </w:rPr>
        <w:t>to be conducted in a manner consistent with a</w:t>
      </w:r>
      <w:r w:rsidR="001B2887" w:rsidRPr="00CE5E32">
        <w:rPr>
          <w:sz w:val="22"/>
          <w:szCs w:val="22"/>
        </w:rPr>
        <w:t>ny of the instances cited.</w:t>
      </w:r>
    </w:p>
    <w:p w:rsidR="006C3A42" w:rsidRDefault="006C3A42" w:rsidP="00A46FDA">
      <w:pPr>
        <w:rPr>
          <w:sz w:val="22"/>
          <w:szCs w:val="22"/>
        </w:rPr>
      </w:pPr>
    </w:p>
    <w:p w:rsidR="006C3A42" w:rsidRPr="00CE5E32" w:rsidRDefault="006C3A42" w:rsidP="00A46FDA">
      <w:pPr>
        <w:rPr>
          <w:sz w:val="22"/>
          <w:szCs w:val="22"/>
        </w:rPr>
      </w:pPr>
    </w:p>
    <w:p w:rsidR="00513D84" w:rsidRPr="008C250B" w:rsidRDefault="00A90799" w:rsidP="001C3983">
      <w:pPr>
        <w:rPr>
          <w:b/>
        </w:rPr>
      </w:pPr>
      <w:r w:rsidRPr="008C250B">
        <w:rPr>
          <w:b/>
        </w:rPr>
        <w:t>A.8.</w:t>
      </w:r>
      <w:r w:rsidRPr="008C250B">
        <w:rPr>
          <w:b/>
        </w:rPr>
        <w:tab/>
        <w:t xml:space="preserve">Federal Register Notice and Comments; Efforts to Consult with Persons Outside the Agency </w:t>
      </w:r>
    </w:p>
    <w:p w:rsidR="00EB6A87" w:rsidRPr="008C250B" w:rsidRDefault="00EB6A87" w:rsidP="001B2887"/>
    <w:p w:rsidR="001B2887" w:rsidRDefault="001B2887" w:rsidP="001B2887">
      <w:pPr>
        <w:rPr>
          <w:sz w:val="22"/>
          <w:szCs w:val="22"/>
        </w:rPr>
      </w:pPr>
      <w:r w:rsidRPr="00792585">
        <w:rPr>
          <w:sz w:val="22"/>
          <w:szCs w:val="22"/>
        </w:rPr>
        <w:t>The agency</w:t>
      </w:r>
      <w:r w:rsidR="003B574E" w:rsidRPr="00792585">
        <w:rPr>
          <w:sz w:val="22"/>
          <w:szCs w:val="22"/>
        </w:rPr>
        <w:t xml:space="preserve">’s original </w:t>
      </w:r>
      <w:r w:rsidR="00792585" w:rsidRPr="00792585">
        <w:rPr>
          <w:sz w:val="22"/>
          <w:szCs w:val="22"/>
        </w:rPr>
        <w:t xml:space="preserve">60-day </w:t>
      </w:r>
      <w:r w:rsidRPr="00792585">
        <w:rPr>
          <w:sz w:val="22"/>
          <w:szCs w:val="22"/>
        </w:rPr>
        <w:t xml:space="preserve">Federal Register notice seeking public comment on the information collection </w:t>
      </w:r>
      <w:r w:rsidR="00911D35" w:rsidRPr="00792585">
        <w:rPr>
          <w:sz w:val="22"/>
          <w:szCs w:val="22"/>
        </w:rPr>
        <w:t xml:space="preserve">for the </w:t>
      </w:r>
      <w:r w:rsidR="00E53379" w:rsidRPr="00792585">
        <w:rPr>
          <w:sz w:val="22"/>
          <w:szCs w:val="22"/>
        </w:rPr>
        <w:t xml:space="preserve">full-scale survey </w:t>
      </w:r>
      <w:r w:rsidRPr="00792585">
        <w:rPr>
          <w:sz w:val="22"/>
          <w:szCs w:val="22"/>
        </w:rPr>
        <w:t xml:space="preserve">was published on December 16, 2008 on Page 76350. </w:t>
      </w:r>
      <w:r w:rsidR="00792585" w:rsidRPr="00792585">
        <w:rPr>
          <w:sz w:val="22"/>
          <w:szCs w:val="22"/>
        </w:rPr>
        <w:t xml:space="preserve"> Two individuals</w:t>
      </w:r>
      <w:r w:rsidR="00792585">
        <w:rPr>
          <w:sz w:val="22"/>
          <w:szCs w:val="22"/>
        </w:rPr>
        <w:t xml:space="preserve"> responded.  There were no comments received about burden hours.</w:t>
      </w:r>
    </w:p>
    <w:p w:rsidR="00792585" w:rsidRDefault="00792585" w:rsidP="001B2887">
      <w:pPr>
        <w:rPr>
          <w:sz w:val="22"/>
          <w:szCs w:val="22"/>
        </w:rPr>
      </w:pPr>
    </w:p>
    <w:p w:rsidR="00792585" w:rsidRDefault="00792585" w:rsidP="001B2887">
      <w:pPr>
        <w:rPr>
          <w:sz w:val="22"/>
          <w:szCs w:val="22"/>
        </w:rPr>
      </w:pPr>
      <w:r>
        <w:rPr>
          <w:sz w:val="22"/>
          <w:szCs w:val="22"/>
        </w:rPr>
        <w:t>One commenter wrote as follows: “</w:t>
      </w:r>
      <w:r w:rsidR="006C3A42">
        <w:rPr>
          <w:sz w:val="22"/>
          <w:szCs w:val="22"/>
        </w:rPr>
        <w:t>i</w:t>
      </w:r>
      <w:r>
        <w:rPr>
          <w:sz w:val="22"/>
          <w:szCs w:val="22"/>
        </w:rPr>
        <w:t xml:space="preserve"> [sic] do not think the information for the public is worth this collection effort.  </w:t>
      </w:r>
      <w:r w:rsidR="006C3A42">
        <w:rPr>
          <w:sz w:val="22"/>
          <w:szCs w:val="22"/>
        </w:rPr>
        <w:t>i</w:t>
      </w:r>
      <w:r>
        <w:rPr>
          <w:sz w:val="22"/>
          <w:szCs w:val="22"/>
        </w:rPr>
        <w:t>t [sic] costs too many tax dollars for non productive information.”  No changes were made as a result of this comment.</w:t>
      </w:r>
      <w:r w:rsidR="0093144A">
        <w:rPr>
          <w:sz w:val="22"/>
          <w:szCs w:val="22"/>
        </w:rPr>
        <w:t xml:space="preserve">   </w:t>
      </w:r>
      <w:r>
        <w:rPr>
          <w:sz w:val="22"/>
          <w:szCs w:val="22"/>
        </w:rPr>
        <w:t>A second commenter made suggestions for minor edits on the proposed survey in its form at that time, which resulted in changes to those items.</w:t>
      </w:r>
    </w:p>
    <w:p w:rsidR="001605CD" w:rsidRPr="00711BCD" w:rsidRDefault="001605CD" w:rsidP="001B2887">
      <w:pPr>
        <w:rPr>
          <w:sz w:val="22"/>
          <w:szCs w:val="22"/>
        </w:rPr>
      </w:pPr>
    </w:p>
    <w:p w:rsidR="00FB236F" w:rsidRPr="00711BCD" w:rsidRDefault="003E5E59" w:rsidP="00B852B0">
      <w:pPr>
        <w:rPr>
          <w:sz w:val="22"/>
          <w:szCs w:val="22"/>
        </w:rPr>
      </w:pPr>
      <w:r w:rsidRPr="00792585">
        <w:rPr>
          <w:sz w:val="22"/>
          <w:szCs w:val="22"/>
        </w:rPr>
        <w:t>In addition to seeking public comment via the Federal Register notice, there</w:t>
      </w:r>
      <w:r w:rsidRPr="00711BCD">
        <w:rPr>
          <w:sz w:val="22"/>
          <w:szCs w:val="22"/>
        </w:rPr>
        <w:t xml:space="preserve"> are several measures to obtain comments from individuals outside the Agency.  </w:t>
      </w:r>
      <w:r w:rsidR="00B852B0" w:rsidRPr="00711BCD">
        <w:rPr>
          <w:sz w:val="22"/>
          <w:szCs w:val="22"/>
        </w:rPr>
        <w:t xml:space="preserve">To date, survey development on the study has </w:t>
      </w:r>
      <w:r w:rsidR="00FB236F" w:rsidRPr="00711BCD">
        <w:rPr>
          <w:sz w:val="22"/>
          <w:szCs w:val="22"/>
        </w:rPr>
        <w:t>benefited from feedback from potential respondents at postsecondary institutions</w:t>
      </w:r>
      <w:r w:rsidR="001B3867">
        <w:rPr>
          <w:sz w:val="22"/>
          <w:szCs w:val="22"/>
        </w:rPr>
        <w:t xml:space="preserve">, input from </w:t>
      </w:r>
      <w:r w:rsidR="00FB236F" w:rsidRPr="00711BCD">
        <w:rPr>
          <w:sz w:val="22"/>
          <w:szCs w:val="22"/>
        </w:rPr>
        <w:t>expert panels</w:t>
      </w:r>
      <w:r w:rsidR="001B3867">
        <w:rPr>
          <w:sz w:val="22"/>
          <w:szCs w:val="22"/>
        </w:rPr>
        <w:t>, and feedback from a pilot test of 120 postsecondary institutions.</w:t>
      </w:r>
      <w:r w:rsidR="00B852B0" w:rsidRPr="00711BCD">
        <w:rPr>
          <w:sz w:val="22"/>
          <w:szCs w:val="22"/>
        </w:rPr>
        <w:t xml:space="preserve">  </w:t>
      </w:r>
    </w:p>
    <w:p w:rsidR="00FB236F" w:rsidRPr="00711BCD" w:rsidRDefault="00FB236F" w:rsidP="00B852B0">
      <w:pPr>
        <w:rPr>
          <w:sz w:val="22"/>
          <w:szCs w:val="22"/>
        </w:rPr>
      </w:pPr>
    </w:p>
    <w:p w:rsidR="00C50DF2" w:rsidRPr="00711BCD" w:rsidRDefault="00367E46" w:rsidP="00C50DF2">
      <w:pPr>
        <w:rPr>
          <w:color w:val="000000"/>
          <w:sz w:val="22"/>
          <w:szCs w:val="22"/>
        </w:rPr>
      </w:pPr>
      <w:r>
        <w:rPr>
          <w:b/>
          <w:color w:val="000000"/>
          <w:sz w:val="22"/>
          <w:szCs w:val="22"/>
        </w:rPr>
        <w:t>Pretest</w:t>
      </w:r>
      <w:r w:rsidR="00C50DF2" w:rsidRPr="00711BCD">
        <w:rPr>
          <w:b/>
          <w:color w:val="000000"/>
          <w:sz w:val="22"/>
          <w:szCs w:val="22"/>
        </w:rPr>
        <w:t xml:space="preserve"> of Questionnaire: </w:t>
      </w:r>
      <w:r w:rsidR="00711BCD" w:rsidRPr="00711BCD">
        <w:rPr>
          <w:b/>
          <w:color w:val="000000"/>
          <w:sz w:val="22"/>
          <w:szCs w:val="22"/>
        </w:rPr>
        <w:t xml:space="preserve"> </w:t>
      </w:r>
      <w:r w:rsidR="00711BCD" w:rsidRPr="00711BCD">
        <w:rPr>
          <w:color w:val="000000"/>
          <w:sz w:val="22"/>
          <w:szCs w:val="22"/>
        </w:rPr>
        <w:t xml:space="preserve">To obtain feedback from potential respondents, a draft questionnaire was </w:t>
      </w:r>
      <w:r>
        <w:rPr>
          <w:color w:val="000000"/>
          <w:sz w:val="22"/>
          <w:szCs w:val="22"/>
        </w:rPr>
        <w:t>pretest</w:t>
      </w:r>
      <w:r w:rsidR="00711BCD" w:rsidRPr="00711BCD">
        <w:rPr>
          <w:color w:val="000000"/>
          <w:sz w:val="22"/>
          <w:szCs w:val="22"/>
        </w:rPr>
        <w:t xml:space="preserve">ed with </w:t>
      </w:r>
      <w:r w:rsidR="00C50DF2" w:rsidRPr="00711BCD">
        <w:rPr>
          <w:sz w:val="22"/>
          <w:szCs w:val="22"/>
        </w:rPr>
        <w:t xml:space="preserve">a total of seven institutions.  </w:t>
      </w:r>
      <w:r w:rsidR="00C50DF2" w:rsidRPr="00711BCD">
        <w:rPr>
          <w:color w:val="000000"/>
          <w:sz w:val="22"/>
          <w:szCs w:val="22"/>
        </w:rPr>
        <w:t xml:space="preserve">The </w:t>
      </w:r>
      <w:r>
        <w:rPr>
          <w:color w:val="000000"/>
          <w:sz w:val="22"/>
          <w:szCs w:val="22"/>
        </w:rPr>
        <w:t>pretest</w:t>
      </w:r>
      <w:r w:rsidR="00C50DF2" w:rsidRPr="00711BCD">
        <w:rPr>
          <w:color w:val="000000"/>
          <w:sz w:val="22"/>
          <w:szCs w:val="22"/>
        </w:rPr>
        <w:t xml:space="preserve"> respondents were asked to review </w:t>
      </w:r>
      <w:r w:rsidR="009877CC">
        <w:rPr>
          <w:color w:val="000000"/>
          <w:sz w:val="22"/>
          <w:szCs w:val="22"/>
        </w:rPr>
        <w:t xml:space="preserve">the questionnaire </w:t>
      </w:r>
      <w:r w:rsidR="00C50DF2" w:rsidRPr="00711BCD">
        <w:rPr>
          <w:color w:val="000000"/>
          <w:sz w:val="22"/>
          <w:szCs w:val="22"/>
        </w:rPr>
        <w:t>and provide feedback about 1) the clarity of the project’s purpose as described on the instrument; 2) the clarity of instructions; 3) the clarity, quality, and appropriateness of the items to collect the information necessary for the study; 4) an estimation of the time necessary for completing the instrument; and 5) any suggestions for determining the entry-level programs for which respondents will be asked to provide course placement information.  In addition, those participating in this review phase were asked to provide any knowledge of other existing sources of the data needed for this study, including the name of the source and, if known, the frequency of collection, reporting format, and data elements recorded.</w:t>
      </w:r>
      <w:r w:rsidR="00C50DF2" w:rsidRPr="00711BCD">
        <w:rPr>
          <w:b/>
          <w:color w:val="000000"/>
          <w:sz w:val="22"/>
          <w:szCs w:val="22"/>
        </w:rPr>
        <w:t xml:space="preserve">  </w:t>
      </w:r>
      <w:r w:rsidR="00C50DF2" w:rsidRPr="00711BCD">
        <w:rPr>
          <w:color w:val="000000"/>
          <w:sz w:val="22"/>
          <w:szCs w:val="22"/>
        </w:rPr>
        <w:t xml:space="preserve">The </w:t>
      </w:r>
      <w:r>
        <w:rPr>
          <w:color w:val="000000"/>
          <w:sz w:val="22"/>
          <w:szCs w:val="22"/>
        </w:rPr>
        <w:t>pretest</w:t>
      </w:r>
      <w:r w:rsidR="00C50DF2" w:rsidRPr="00711BCD">
        <w:rPr>
          <w:color w:val="000000"/>
          <w:sz w:val="22"/>
          <w:szCs w:val="22"/>
        </w:rPr>
        <w:t xml:space="preserve"> findings pointed to problems with</w:t>
      </w:r>
      <w:r w:rsidR="00C50DF2" w:rsidRPr="00711BCD">
        <w:rPr>
          <w:sz w:val="22"/>
          <w:szCs w:val="22"/>
        </w:rPr>
        <w:t xml:space="preserve"> respondents’ interpretation of </w:t>
      </w:r>
      <w:r w:rsidR="009877CC">
        <w:rPr>
          <w:sz w:val="22"/>
          <w:szCs w:val="22"/>
        </w:rPr>
        <w:t xml:space="preserve">some </w:t>
      </w:r>
      <w:r w:rsidR="00C50DF2" w:rsidRPr="00711BCD">
        <w:rPr>
          <w:sz w:val="22"/>
          <w:szCs w:val="22"/>
        </w:rPr>
        <w:t>questionnaire items</w:t>
      </w:r>
      <w:r w:rsidR="009877CC">
        <w:rPr>
          <w:sz w:val="22"/>
          <w:szCs w:val="22"/>
        </w:rPr>
        <w:t xml:space="preserve"> and definitions</w:t>
      </w:r>
      <w:r w:rsidR="00C50DF2" w:rsidRPr="00711BCD">
        <w:rPr>
          <w:sz w:val="22"/>
          <w:szCs w:val="22"/>
        </w:rPr>
        <w:t xml:space="preserve">.  Another major finding was that </w:t>
      </w:r>
      <w:r w:rsidR="009877CC">
        <w:rPr>
          <w:sz w:val="22"/>
          <w:szCs w:val="22"/>
        </w:rPr>
        <w:t xml:space="preserve">the survey did not provide adequate coverage of the various approaches used by institutions to </w:t>
      </w:r>
      <w:r w:rsidR="00C50DF2" w:rsidRPr="00711BCD">
        <w:rPr>
          <w:color w:val="000000"/>
          <w:sz w:val="22"/>
          <w:szCs w:val="22"/>
        </w:rPr>
        <w:t>evaluat</w:t>
      </w:r>
      <w:r w:rsidR="009877CC">
        <w:rPr>
          <w:color w:val="000000"/>
          <w:sz w:val="22"/>
          <w:szCs w:val="22"/>
        </w:rPr>
        <w:t>e</w:t>
      </w:r>
      <w:r w:rsidR="00C50DF2" w:rsidRPr="00711BCD">
        <w:rPr>
          <w:color w:val="000000"/>
          <w:sz w:val="22"/>
          <w:szCs w:val="22"/>
        </w:rPr>
        <w:t xml:space="preserve"> student need for remediation. </w:t>
      </w:r>
      <w:r w:rsidR="00C50DF2" w:rsidRPr="00711BCD">
        <w:rPr>
          <w:sz w:val="22"/>
          <w:szCs w:val="22"/>
        </w:rPr>
        <w:t xml:space="preserve"> </w:t>
      </w:r>
    </w:p>
    <w:p w:rsidR="00C50DF2" w:rsidRPr="00711BCD" w:rsidRDefault="00C50DF2" w:rsidP="00C50DF2">
      <w:pPr>
        <w:rPr>
          <w:color w:val="000000"/>
          <w:sz w:val="22"/>
          <w:szCs w:val="22"/>
        </w:rPr>
      </w:pPr>
    </w:p>
    <w:p w:rsidR="007C268F" w:rsidRDefault="003E5E59" w:rsidP="007C268F">
      <w:pPr>
        <w:rPr>
          <w:color w:val="000000"/>
          <w:sz w:val="22"/>
          <w:szCs w:val="22"/>
        </w:rPr>
      </w:pPr>
      <w:r w:rsidRPr="00711BCD">
        <w:rPr>
          <w:b/>
          <w:color w:val="000000"/>
          <w:sz w:val="22"/>
          <w:szCs w:val="22"/>
        </w:rPr>
        <w:t xml:space="preserve">Feedback from the </w:t>
      </w:r>
      <w:r w:rsidR="00C50DF2" w:rsidRPr="00711BCD">
        <w:rPr>
          <w:b/>
          <w:color w:val="000000"/>
          <w:sz w:val="22"/>
          <w:szCs w:val="22"/>
        </w:rPr>
        <w:t>expert panels</w:t>
      </w:r>
      <w:r w:rsidRPr="00711BCD">
        <w:rPr>
          <w:b/>
          <w:color w:val="000000"/>
          <w:sz w:val="22"/>
          <w:szCs w:val="22"/>
        </w:rPr>
        <w:t xml:space="preserve">: </w:t>
      </w:r>
      <w:r w:rsidR="00911D35">
        <w:rPr>
          <w:b/>
          <w:color w:val="000000"/>
          <w:sz w:val="22"/>
          <w:szCs w:val="22"/>
        </w:rPr>
        <w:t xml:space="preserve"> </w:t>
      </w:r>
      <w:r w:rsidR="00911D35" w:rsidRPr="00911D35">
        <w:rPr>
          <w:color w:val="000000"/>
          <w:sz w:val="22"/>
          <w:szCs w:val="22"/>
        </w:rPr>
        <w:t>S</w:t>
      </w:r>
      <w:r w:rsidRPr="00711BCD">
        <w:rPr>
          <w:color w:val="000000"/>
          <w:sz w:val="22"/>
          <w:szCs w:val="22"/>
        </w:rPr>
        <w:t xml:space="preserve">urvey </w:t>
      </w:r>
      <w:r w:rsidR="00911D35">
        <w:rPr>
          <w:color w:val="000000"/>
          <w:sz w:val="22"/>
          <w:szCs w:val="22"/>
        </w:rPr>
        <w:t xml:space="preserve">development also </w:t>
      </w:r>
      <w:r w:rsidRPr="00711BCD">
        <w:rPr>
          <w:color w:val="000000"/>
          <w:sz w:val="22"/>
          <w:szCs w:val="22"/>
        </w:rPr>
        <w:t xml:space="preserve">benefited from the input of subject-matter experts in </w:t>
      </w:r>
      <w:r w:rsidR="00711BCD" w:rsidRPr="00711BCD">
        <w:rPr>
          <w:color w:val="000000"/>
          <w:sz w:val="22"/>
          <w:szCs w:val="22"/>
        </w:rPr>
        <w:t>two stages</w:t>
      </w:r>
      <w:r w:rsidRPr="00711BCD">
        <w:rPr>
          <w:color w:val="000000"/>
          <w:sz w:val="22"/>
          <w:szCs w:val="22"/>
        </w:rPr>
        <w:t xml:space="preserve">.  </w:t>
      </w:r>
      <w:r w:rsidR="00C50DF2" w:rsidRPr="00711BCD">
        <w:rPr>
          <w:color w:val="000000"/>
          <w:sz w:val="22"/>
          <w:szCs w:val="22"/>
        </w:rPr>
        <w:t xml:space="preserve">Prior to the </w:t>
      </w:r>
      <w:r w:rsidR="00367E46">
        <w:rPr>
          <w:color w:val="000000"/>
          <w:sz w:val="22"/>
          <w:szCs w:val="22"/>
        </w:rPr>
        <w:t>pretest</w:t>
      </w:r>
      <w:r w:rsidR="00C50DF2" w:rsidRPr="00711BCD">
        <w:rPr>
          <w:color w:val="000000"/>
          <w:sz w:val="22"/>
          <w:szCs w:val="22"/>
        </w:rPr>
        <w:t xml:space="preserve">, the Governing Board and Westat convened a 1-day meeting with a Technical </w:t>
      </w:r>
      <w:r w:rsidR="007576B7" w:rsidRPr="00711BCD">
        <w:rPr>
          <w:color w:val="000000"/>
          <w:sz w:val="22"/>
          <w:szCs w:val="22"/>
        </w:rPr>
        <w:t>Review</w:t>
      </w:r>
      <w:r w:rsidR="00C50DF2" w:rsidRPr="00711BCD">
        <w:rPr>
          <w:color w:val="000000"/>
          <w:sz w:val="22"/>
          <w:szCs w:val="22"/>
        </w:rPr>
        <w:t xml:space="preserve"> Panel </w:t>
      </w:r>
      <w:r w:rsidR="007C268F" w:rsidRPr="00711BCD">
        <w:rPr>
          <w:color w:val="000000"/>
          <w:sz w:val="22"/>
          <w:szCs w:val="22"/>
        </w:rPr>
        <w:t>to discuss questionnaire and sampling issues.</w:t>
      </w:r>
      <w:r w:rsidR="007C268F" w:rsidRPr="00711BCD">
        <w:rPr>
          <w:b/>
          <w:color w:val="000000"/>
          <w:sz w:val="22"/>
          <w:szCs w:val="22"/>
        </w:rPr>
        <w:t xml:space="preserve"> </w:t>
      </w:r>
      <w:r w:rsidR="00C50DF2" w:rsidRPr="00711BCD">
        <w:rPr>
          <w:b/>
          <w:color w:val="000000"/>
          <w:sz w:val="22"/>
          <w:szCs w:val="22"/>
        </w:rPr>
        <w:t xml:space="preserve">  </w:t>
      </w:r>
      <w:r w:rsidR="00C50DF2" w:rsidRPr="00711BCD">
        <w:rPr>
          <w:color w:val="000000"/>
          <w:sz w:val="22"/>
          <w:szCs w:val="22"/>
        </w:rPr>
        <w:t xml:space="preserve">To further explore questionnaire issues that were revealed </w:t>
      </w:r>
      <w:r w:rsidR="009877CC">
        <w:rPr>
          <w:color w:val="000000"/>
          <w:sz w:val="22"/>
          <w:szCs w:val="22"/>
        </w:rPr>
        <w:t xml:space="preserve">during </w:t>
      </w:r>
      <w:r w:rsidR="00C50DF2" w:rsidRPr="00711BCD">
        <w:rPr>
          <w:color w:val="000000"/>
          <w:sz w:val="22"/>
          <w:szCs w:val="22"/>
        </w:rPr>
        <w:t xml:space="preserve">the </w:t>
      </w:r>
      <w:r w:rsidR="00367E46">
        <w:rPr>
          <w:color w:val="000000"/>
          <w:sz w:val="22"/>
          <w:szCs w:val="22"/>
        </w:rPr>
        <w:t>pretest</w:t>
      </w:r>
      <w:r w:rsidR="00C50DF2" w:rsidRPr="00711BCD">
        <w:rPr>
          <w:color w:val="000000"/>
          <w:sz w:val="22"/>
          <w:szCs w:val="22"/>
        </w:rPr>
        <w:t>,</w:t>
      </w:r>
      <w:r w:rsidR="00C50DF2" w:rsidRPr="00711BCD">
        <w:rPr>
          <w:b/>
          <w:color w:val="000000"/>
          <w:sz w:val="22"/>
          <w:szCs w:val="22"/>
        </w:rPr>
        <w:t xml:space="preserve"> </w:t>
      </w:r>
      <w:r w:rsidR="008A74D3" w:rsidRPr="00711BCD">
        <w:rPr>
          <w:color w:val="000000"/>
          <w:sz w:val="22"/>
          <w:szCs w:val="22"/>
        </w:rPr>
        <w:t xml:space="preserve">feedback was </w:t>
      </w:r>
      <w:r w:rsidR="00711BCD" w:rsidRPr="00711BCD">
        <w:rPr>
          <w:color w:val="000000"/>
          <w:sz w:val="22"/>
          <w:szCs w:val="22"/>
        </w:rPr>
        <w:t xml:space="preserve">also </w:t>
      </w:r>
      <w:r w:rsidR="008A74D3" w:rsidRPr="00711BCD">
        <w:rPr>
          <w:color w:val="000000"/>
          <w:sz w:val="22"/>
          <w:szCs w:val="22"/>
        </w:rPr>
        <w:t xml:space="preserve">sought from a </w:t>
      </w:r>
      <w:r w:rsidR="00711BCD" w:rsidRPr="00711BCD">
        <w:rPr>
          <w:color w:val="000000"/>
          <w:sz w:val="22"/>
          <w:szCs w:val="22"/>
        </w:rPr>
        <w:t>panel o</w:t>
      </w:r>
      <w:r w:rsidR="008A74D3" w:rsidRPr="00711BCD">
        <w:rPr>
          <w:color w:val="000000"/>
          <w:sz w:val="22"/>
          <w:szCs w:val="22"/>
        </w:rPr>
        <w:t xml:space="preserve">f content experts on the topic.  A total of </w:t>
      </w:r>
      <w:r w:rsidR="00116B03">
        <w:rPr>
          <w:color w:val="000000"/>
          <w:sz w:val="22"/>
          <w:szCs w:val="22"/>
        </w:rPr>
        <w:t>seven</w:t>
      </w:r>
      <w:r w:rsidR="008A74D3" w:rsidRPr="00711BCD">
        <w:rPr>
          <w:color w:val="000000"/>
          <w:sz w:val="22"/>
          <w:szCs w:val="22"/>
        </w:rPr>
        <w:t xml:space="preserve"> content experts participated in a conference call to provide feedback on two versions of a draft questionnaire.  Findings from the discussion confirmed the use of </w:t>
      </w:r>
      <w:r w:rsidR="00116B03">
        <w:rPr>
          <w:color w:val="000000"/>
          <w:sz w:val="22"/>
          <w:szCs w:val="22"/>
        </w:rPr>
        <w:t xml:space="preserve">varied and complex approaches </w:t>
      </w:r>
      <w:r w:rsidR="008A74D3" w:rsidRPr="00711BCD">
        <w:rPr>
          <w:color w:val="000000"/>
          <w:sz w:val="22"/>
          <w:szCs w:val="22"/>
        </w:rPr>
        <w:t xml:space="preserve">to evaluate student preparedness and the </w:t>
      </w:r>
      <w:r w:rsidR="009A6162">
        <w:rPr>
          <w:color w:val="000000"/>
          <w:sz w:val="22"/>
          <w:szCs w:val="22"/>
        </w:rPr>
        <w:t xml:space="preserve">potential </w:t>
      </w:r>
      <w:r w:rsidR="008A74D3" w:rsidRPr="00711BCD">
        <w:rPr>
          <w:color w:val="000000"/>
          <w:sz w:val="22"/>
          <w:szCs w:val="22"/>
        </w:rPr>
        <w:t xml:space="preserve">for further </w:t>
      </w:r>
      <w:r w:rsidR="009A6162">
        <w:rPr>
          <w:color w:val="000000"/>
          <w:sz w:val="22"/>
          <w:szCs w:val="22"/>
        </w:rPr>
        <w:t>refinement of the questionnaire</w:t>
      </w:r>
      <w:r w:rsidR="00CA5166" w:rsidRPr="00711BCD">
        <w:rPr>
          <w:color w:val="000000"/>
          <w:sz w:val="22"/>
          <w:szCs w:val="22"/>
        </w:rPr>
        <w:t xml:space="preserve">.  </w:t>
      </w:r>
    </w:p>
    <w:p w:rsidR="001B3867" w:rsidRDefault="001B3867" w:rsidP="007C268F">
      <w:pPr>
        <w:rPr>
          <w:color w:val="000000"/>
          <w:sz w:val="22"/>
          <w:szCs w:val="22"/>
        </w:rPr>
      </w:pPr>
    </w:p>
    <w:p w:rsidR="001B3867" w:rsidRPr="001B3867" w:rsidRDefault="001B3867" w:rsidP="007C268F">
      <w:pPr>
        <w:rPr>
          <w:sz w:val="22"/>
          <w:szCs w:val="22"/>
        </w:rPr>
      </w:pPr>
      <w:r>
        <w:rPr>
          <w:b/>
          <w:color w:val="000000"/>
          <w:sz w:val="22"/>
          <w:szCs w:val="22"/>
        </w:rPr>
        <w:lastRenderedPageBreak/>
        <w:t>P</w:t>
      </w:r>
      <w:r w:rsidR="007831C4">
        <w:rPr>
          <w:b/>
          <w:color w:val="000000"/>
          <w:sz w:val="22"/>
          <w:szCs w:val="22"/>
        </w:rPr>
        <w:t>ilot test</w:t>
      </w:r>
      <w:r w:rsidRPr="00711BCD">
        <w:rPr>
          <w:b/>
          <w:color w:val="000000"/>
          <w:sz w:val="22"/>
          <w:szCs w:val="22"/>
        </w:rPr>
        <w:t xml:space="preserve"> of Questionnaire:  </w:t>
      </w:r>
      <w:r w:rsidRPr="001B3867">
        <w:rPr>
          <w:color w:val="000000"/>
          <w:sz w:val="22"/>
          <w:szCs w:val="22"/>
        </w:rPr>
        <w:t xml:space="preserve">A </w:t>
      </w:r>
      <w:r>
        <w:rPr>
          <w:color w:val="000000"/>
          <w:sz w:val="22"/>
          <w:szCs w:val="22"/>
        </w:rPr>
        <w:t>pilot test was conducted with 120 postsecondary institutions to explore questionnaire issues and potential hurdles to full-scale data collection.  The findings, summarized in the attached report (</w:t>
      </w:r>
      <w:r w:rsidR="007A53CA">
        <w:rPr>
          <w:sz w:val="22"/>
          <w:szCs w:val="22"/>
        </w:rPr>
        <w:t>Attachment</w:t>
      </w:r>
      <w:r>
        <w:rPr>
          <w:color w:val="000000"/>
          <w:sz w:val="22"/>
          <w:szCs w:val="22"/>
        </w:rPr>
        <w:t xml:space="preserve"> A)</w:t>
      </w:r>
      <w:r w:rsidR="00C02B01">
        <w:rPr>
          <w:color w:val="000000"/>
          <w:sz w:val="22"/>
          <w:szCs w:val="22"/>
        </w:rPr>
        <w:t>,</w:t>
      </w:r>
      <w:r>
        <w:rPr>
          <w:color w:val="000000"/>
          <w:sz w:val="22"/>
          <w:szCs w:val="22"/>
        </w:rPr>
        <w:t xml:space="preserve"> w</w:t>
      </w:r>
      <w:r w:rsidR="00C02B01">
        <w:rPr>
          <w:color w:val="000000"/>
          <w:sz w:val="22"/>
          <w:szCs w:val="22"/>
        </w:rPr>
        <w:t>ere</w:t>
      </w:r>
      <w:r>
        <w:rPr>
          <w:color w:val="000000"/>
          <w:sz w:val="22"/>
          <w:szCs w:val="22"/>
        </w:rPr>
        <w:t xml:space="preserve"> used to inform </w:t>
      </w:r>
      <w:r w:rsidR="00C02B01">
        <w:rPr>
          <w:color w:val="000000"/>
          <w:sz w:val="22"/>
          <w:szCs w:val="22"/>
        </w:rPr>
        <w:t>changes to the survey instrument and data collection approaches.</w:t>
      </w:r>
    </w:p>
    <w:p w:rsidR="007C268F" w:rsidRPr="00CE5E32" w:rsidRDefault="007C268F" w:rsidP="001B2887">
      <w:pPr>
        <w:rPr>
          <w:sz w:val="22"/>
          <w:szCs w:val="22"/>
        </w:rPr>
      </w:pPr>
    </w:p>
    <w:p w:rsidR="0093144A" w:rsidRPr="008C250B" w:rsidRDefault="0093144A" w:rsidP="001B2887"/>
    <w:p w:rsidR="001B2887" w:rsidRPr="008C250B" w:rsidRDefault="007C268F" w:rsidP="007C268F">
      <w:pPr>
        <w:rPr>
          <w:b/>
        </w:rPr>
      </w:pPr>
      <w:r w:rsidRPr="008C250B">
        <w:rPr>
          <w:b/>
        </w:rPr>
        <w:t>A.9.</w:t>
      </w:r>
      <w:r w:rsidRPr="008C250B">
        <w:rPr>
          <w:b/>
        </w:rPr>
        <w:tab/>
      </w:r>
      <w:r w:rsidR="00B03C09" w:rsidRPr="008C250B">
        <w:rPr>
          <w:b/>
        </w:rPr>
        <w:t>Payments or Gifts to Respondents</w:t>
      </w:r>
    </w:p>
    <w:p w:rsidR="00B03C09" w:rsidRPr="008C250B" w:rsidRDefault="00B03C09" w:rsidP="00B03C09"/>
    <w:p w:rsidR="00B03C09" w:rsidRPr="00CE5E32" w:rsidRDefault="00B03C09" w:rsidP="00B03C09">
      <w:pPr>
        <w:autoSpaceDE w:val="0"/>
        <w:autoSpaceDN w:val="0"/>
        <w:adjustRightInd w:val="0"/>
        <w:rPr>
          <w:color w:val="000000"/>
          <w:sz w:val="22"/>
          <w:szCs w:val="22"/>
        </w:rPr>
      </w:pPr>
      <w:r w:rsidRPr="00CE5E32">
        <w:rPr>
          <w:color w:val="000000"/>
          <w:sz w:val="22"/>
          <w:szCs w:val="22"/>
        </w:rPr>
        <w:t>No payment or gift will be provided</w:t>
      </w:r>
      <w:r w:rsidR="003B574E">
        <w:rPr>
          <w:color w:val="000000"/>
          <w:sz w:val="22"/>
          <w:szCs w:val="22"/>
        </w:rPr>
        <w:t xml:space="preserve"> </w:t>
      </w:r>
      <w:r w:rsidR="00792585">
        <w:rPr>
          <w:color w:val="000000"/>
          <w:sz w:val="22"/>
          <w:szCs w:val="22"/>
        </w:rPr>
        <w:t xml:space="preserve">as incentive to respond to </w:t>
      </w:r>
      <w:r w:rsidR="003B574E">
        <w:rPr>
          <w:sz w:val="22"/>
          <w:szCs w:val="22"/>
        </w:rPr>
        <w:t>the pilot test or full-scale survey</w:t>
      </w:r>
      <w:r w:rsidRPr="00CE5E32">
        <w:rPr>
          <w:color w:val="000000"/>
          <w:sz w:val="22"/>
          <w:szCs w:val="22"/>
        </w:rPr>
        <w:t>.</w:t>
      </w:r>
    </w:p>
    <w:p w:rsidR="0093144A" w:rsidRDefault="0093144A" w:rsidP="007C268F">
      <w:pPr>
        <w:rPr>
          <w:b/>
        </w:rPr>
      </w:pPr>
    </w:p>
    <w:p w:rsidR="0093144A" w:rsidRDefault="0093144A" w:rsidP="007C268F">
      <w:pPr>
        <w:rPr>
          <w:b/>
        </w:rPr>
      </w:pPr>
    </w:p>
    <w:p w:rsidR="00B03C09" w:rsidRPr="008C250B" w:rsidRDefault="007C268F" w:rsidP="007C268F">
      <w:pPr>
        <w:rPr>
          <w:b/>
        </w:rPr>
      </w:pPr>
      <w:r w:rsidRPr="008C250B">
        <w:rPr>
          <w:b/>
        </w:rPr>
        <w:t>A.10.</w:t>
      </w:r>
      <w:r w:rsidRPr="008C250B">
        <w:rPr>
          <w:b/>
        </w:rPr>
        <w:tab/>
      </w:r>
      <w:r w:rsidR="00B03C09" w:rsidRPr="008C250B">
        <w:rPr>
          <w:b/>
        </w:rPr>
        <w:t>Assurance of Confidentiality to Respondents</w:t>
      </w:r>
    </w:p>
    <w:p w:rsidR="00B03C09" w:rsidRPr="008C250B" w:rsidRDefault="00B03C09" w:rsidP="00B03C09"/>
    <w:p w:rsidR="00D666C4" w:rsidRDefault="00A40418" w:rsidP="00B03C09">
      <w:pPr>
        <w:autoSpaceDE w:val="0"/>
        <w:autoSpaceDN w:val="0"/>
        <w:adjustRightInd w:val="0"/>
        <w:rPr>
          <w:color w:val="000000"/>
          <w:sz w:val="22"/>
          <w:szCs w:val="22"/>
        </w:rPr>
      </w:pPr>
      <w:r>
        <w:rPr>
          <w:color w:val="000000"/>
          <w:sz w:val="22"/>
          <w:szCs w:val="22"/>
        </w:rPr>
        <w:t>As in the pilot test, t</w:t>
      </w:r>
      <w:r w:rsidR="003649C4">
        <w:rPr>
          <w:color w:val="000000"/>
          <w:sz w:val="22"/>
          <w:szCs w:val="22"/>
        </w:rPr>
        <w:t>he following statement of</w:t>
      </w:r>
      <w:r w:rsidR="00D666C4">
        <w:rPr>
          <w:color w:val="000000"/>
          <w:sz w:val="22"/>
          <w:szCs w:val="22"/>
        </w:rPr>
        <w:t xml:space="preserve"> data</w:t>
      </w:r>
      <w:r w:rsidR="00B03C09" w:rsidRPr="00CE5E32">
        <w:rPr>
          <w:color w:val="000000"/>
          <w:sz w:val="22"/>
          <w:szCs w:val="22"/>
        </w:rPr>
        <w:t xml:space="preserve"> confidentiality will be contained in the cover </w:t>
      </w:r>
      <w:r w:rsidR="00D666C4" w:rsidRPr="00CE5E32">
        <w:rPr>
          <w:color w:val="000000"/>
          <w:sz w:val="22"/>
          <w:szCs w:val="22"/>
        </w:rPr>
        <w:t>letter and</w:t>
      </w:r>
      <w:r w:rsidR="00B03C09" w:rsidRPr="00CE5E32">
        <w:rPr>
          <w:color w:val="000000"/>
          <w:sz w:val="22"/>
          <w:szCs w:val="22"/>
        </w:rPr>
        <w:t xml:space="preserve"> survey instrument</w:t>
      </w:r>
      <w:r w:rsidR="00D666C4">
        <w:rPr>
          <w:color w:val="000000"/>
          <w:sz w:val="22"/>
          <w:szCs w:val="22"/>
        </w:rPr>
        <w:t>s</w:t>
      </w:r>
      <w:r w:rsidR="003B574E">
        <w:rPr>
          <w:color w:val="000000"/>
          <w:sz w:val="22"/>
          <w:szCs w:val="22"/>
        </w:rPr>
        <w:t xml:space="preserve"> for the </w:t>
      </w:r>
      <w:r w:rsidR="003B574E">
        <w:rPr>
          <w:sz w:val="22"/>
          <w:szCs w:val="22"/>
        </w:rPr>
        <w:t>full-scale s</w:t>
      </w:r>
      <w:r>
        <w:rPr>
          <w:sz w:val="22"/>
          <w:szCs w:val="22"/>
        </w:rPr>
        <w:t>tudy</w:t>
      </w:r>
      <w:r w:rsidR="00D666C4">
        <w:rPr>
          <w:color w:val="000000"/>
          <w:sz w:val="22"/>
          <w:szCs w:val="22"/>
        </w:rPr>
        <w:t>:</w:t>
      </w:r>
    </w:p>
    <w:p w:rsidR="00D666C4" w:rsidRDefault="00D666C4" w:rsidP="00B03C09">
      <w:pPr>
        <w:autoSpaceDE w:val="0"/>
        <w:autoSpaceDN w:val="0"/>
        <w:adjustRightInd w:val="0"/>
        <w:rPr>
          <w:color w:val="000000"/>
          <w:sz w:val="22"/>
          <w:szCs w:val="22"/>
        </w:rPr>
      </w:pPr>
    </w:p>
    <w:p w:rsidR="003649C4" w:rsidRPr="003649C4" w:rsidRDefault="003649C4" w:rsidP="003649C4">
      <w:pPr>
        <w:ind w:left="720"/>
        <w:jc w:val="both"/>
        <w:rPr>
          <w:sz w:val="22"/>
          <w:szCs w:val="22"/>
        </w:rPr>
      </w:pPr>
      <w:r w:rsidRPr="003649C4">
        <w:rPr>
          <w:bCs/>
          <w:sz w:val="22"/>
          <w:szCs w:val="22"/>
        </w:rPr>
        <w:t xml:space="preserve">The information provided by your institution will be kept </w:t>
      </w:r>
      <w:r w:rsidR="005C6174">
        <w:rPr>
          <w:bCs/>
          <w:sz w:val="22"/>
          <w:szCs w:val="22"/>
        </w:rPr>
        <w:t>private</w:t>
      </w:r>
      <w:r w:rsidRPr="003649C4">
        <w:rPr>
          <w:bCs/>
          <w:sz w:val="22"/>
          <w:szCs w:val="22"/>
        </w:rPr>
        <w:t xml:space="preserve"> to the extent p</w:t>
      </w:r>
      <w:r w:rsidR="00700CEE">
        <w:rPr>
          <w:bCs/>
          <w:sz w:val="22"/>
          <w:szCs w:val="22"/>
        </w:rPr>
        <w:t>ermitt</w:t>
      </w:r>
      <w:r w:rsidRPr="003649C4">
        <w:rPr>
          <w:bCs/>
          <w:sz w:val="22"/>
          <w:szCs w:val="22"/>
        </w:rPr>
        <w:t>ed by law.</w:t>
      </w:r>
      <w:r w:rsidRPr="003649C4">
        <w:rPr>
          <w:sz w:val="22"/>
          <w:szCs w:val="22"/>
        </w:rPr>
        <w:t xml:space="preserve">  </w:t>
      </w:r>
      <w:r w:rsidRPr="003649C4">
        <w:rPr>
          <w:bCs/>
          <w:sz w:val="22"/>
          <w:szCs w:val="22"/>
        </w:rPr>
        <w:t xml:space="preserve">Data for this study will be reported in aggregate form; the information provided by your institution will be combined with other participating institutions to produce statistical summaries and reports.  </w:t>
      </w:r>
    </w:p>
    <w:p w:rsidR="00D666C4" w:rsidRDefault="00D666C4" w:rsidP="00B03C09">
      <w:pPr>
        <w:autoSpaceDE w:val="0"/>
        <w:autoSpaceDN w:val="0"/>
        <w:adjustRightInd w:val="0"/>
        <w:rPr>
          <w:color w:val="000000"/>
          <w:sz w:val="22"/>
          <w:szCs w:val="22"/>
        </w:rPr>
      </w:pPr>
    </w:p>
    <w:p w:rsidR="0093144A" w:rsidRDefault="00A30C51" w:rsidP="00B03C09">
      <w:pPr>
        <w:autoSpaceDE w:val="0"/>
        <w:autoSpaceDN w:val="0"/>
        <w:adjustRightInd w:val="0"/>
        <w:rPr>
          <w:color w:val="000000"/>
          <w:sz w:val="22"/>
          <w:szCs w:val="22"/>
        </w:rPr>
      </w:pPr>
      <w:r w:rsidRPr="00CE5E32">
        <w:rPr>
          <w:color w:val="000000"/>
          <w:sz w:val="22"/>
          <w:szCs w:val="22"/>
        </w:rPr>
        <w:t xml:space="preserve">Westat </w:t>
      </w:r>
      <w:r w:rsidR="00A90799" w:rsidRPr="00CE5E32">
        <w:rPr>
          <w:color w:val="000000"/>
          <w:sz w:val="22"/>
          <w:szCs w:val="22"/>
        </w:rPr>
        <w:t xml:space="preserve">is an outside agency bringing to the study its recognized reputation as an organization that maintains strict confidentiality of data.   </w:t>
      </w:r>
      <w:r w:rsidR="00B03C09" w:rsidRPr="00CE5E32">
        <w:rPr>
          <w:color w:val="000000"/>
          <w:sz w:val="22"/>
          <w:szCs w:val="22"/>
        </w:rPr>
        <w:t xml:space="preserve">The confidentiality </w:t>
      </w:r>
      <w:r w:rsidR="00D666C4">
        <w:rPr>
          <w:color w:val="000000"/>
          <w:sz w:val="22"/>
          <w:szCs w:val="22"/>
        </w:rPr>
        <w:t xml:space="preserve">statement </w:t>
      </w:r>
      <w:r w:rsidR="00B03C09" w:rsidRPr="00CE5E32">
        <w:rPr>
          <w:color w:val="000000"/>
          <w:sz w:val="22"/>
          <w:szCs w:val="22"/>
        </w:rPr>
        <w:t>will be an incentive to participate on the part of potential respondents; there is no agency regulation or policy that requires confidentiality of the</w:t>
      </w:r>
      <w:r w:rsidR="006C3A42">
        <w:rPr>
          <w:color w:val="000000"/>
          <w:sz w:val="22"/>
          <w:szCs w:val="22"/>
        </w:rPr>
        <w:t xml:space="preserve"> test </w:t>
      </w:r>
      <w:r w:rsidR="00B03C09" w:rsidRPr="00CE5E32">
        <w:rPr>
          <w:color w:val="000000"/>
          <w:sz w:val="22"/>
          <w:szCs w:val="22"/>
        </w:rPr>
        <w:t>scores used for placement of students in postsecondary education and, in many cases, this information is publicly available.</w:t>
      </w:r>
      <w:r w:rsidR="0093144A">
        <w:rPr>
          <w:color w:val="000000"/>
          <w:sz w:val="22"/>
          <w:szCs w:val="22"/>
        </w:rPr>
        <w:t xml:space="preserve">  </w:t>
      </w:r>
    </w:p>
    <w:p w:rsidR="0093144A" w:rsidRDefault="0093144A" w:rsidP="00B03C09">
      <w:pPr>
        <w:autoSpaceDE w:val="0"/>
        <w:autoSpaceDN w:val="0"/>
        <w:adjustRightInd w:val="0"/>
        <w:rPr>
          <w:color w:val="000000"/>
          <w:sz w:val="22"/>
          <w:szCs w:val="22"/>
        </w:rPr>
      </w:pPr>
    </w:p>
    <w:p w:rsidR="00101F9B" w:rsidRPr="00CE5E32" w:rsidRDefault="00101F9B" w:rsidP="00B03C09">
      <w:pPr>
        <w:autoSpaceDE w:val="0"/>
        <w:autoSpaceDN w:val="0"/>
        <w:adjustRightInd w:val="0"/>
        <w:rPr>
          <w:color w:val="000000"/>
          <w:sz w:val="22"/>
          <w:szCs w:val="22"/>
        </w:rPr>
      </w:pPr>
      <w:r w:rsidRPr="00CE5E32">
        <w:rPr>
          <w:color w:val="000000"/>
          <w:sz w:val="22"/>
          <w:szCs w:val="22"/>
        </w:rPr>
        <w:t>All Westat staff members working on the study are required to sign Westat’s confidentiality pledge, which appears as Exhibit 1.</w:t>
      </w:r>
    </w:p>
    <w:p w:rsidR="0093144A" w:rsidRDefault="0093144A" w:rsidP="00CE5E32"/>
    <w:p w:rsidR="0093144A" w:rsidRDefault="0093144A" w:rsidP="00CE5E32">
      <w:pPr>
        <w:rPr>
          <w:b/>
        </w:rPr>
      </w:pPr>
    </w:p>
    <w:p w:rsidR="0085359D" w:rsidRPr="0093144A" w:rsidRDefault="0093144A" w:rsidP="00CE5E32">
      <w:pPr>
        <w:rPr>
          <w:b/>
        </w:rPr>
      </w:pPr>
      <w:r>
        <w:rPr>
          <w:b/>
        </w:rPr>
        <w:br w:type="page"/>
      </w:r>
      <w:r w:rsidR="0085359D" w:rsidRPr="0093144A">
        <w:rPr>
          <w:b/>
        </w:rPr>
        <w:lastRenderedPageBreak/>
        <w:t>Exhibit 1. Westat confidentiality statement</w:t>
      </w:r>
    </w:p>
    <w:p w:rsidR="0093144A" w:rsidRDefault="0093144A" w:rsidP="0085359D">
      <w:pPr>
        <w:keepLines/>
        <w:jc w:val="center"/>
        <w:rPr>
          <w:b/>
          <w:sz w:val="20"/>
        </w:rPr>
      </w:pPr>
    </w:p>
    <w:p w:rsidR="0085359D" w:rsidRPr="0093144A" w:rsidRDefault="0085359D" w:rsidP="0085359D">
      <w:pPr>
        <w:keepLines/>
        <w:jc w:val="center"/>
        <w:rPr>
          <w:b/>
          <w:sz w:val="16"/>
          <w:szCs w:val="16"/>
        </w:rPr>
      </w:pPr>
      <w:r w:rsidRPr="0093144A">
        <w:rPr>
          <w:b/>
          <w:sz w:val="16"/>
          <w:szCs w:val="16"/>
        </w:rPr>
        <w:t>WESTAT, INC.</w:t>
      </w:r>
    </w:p>
    <w:p w:rsidR="0085359D" w:rsidRPr="0093144A" w:rsidRDefault="0085359D" w:rsidP="0085359D">
      <w:pPr>
        <w:pStyle w:val="C2-CtrSp12"/>
        <w:rPr>
          <w:b/>
          <w:sz w:val="16"/>
          <w:szCs w:val="16"/>
        </w:rPr>
      </w:pPr>
      <w:r w:rsidRPr="0093144A">
        <w:rPr>
          <w:b/>
          <w:sz w:val="16"/>
          <w:szCs w:val="16"/>
        </w:rPr>
        <w:t xml:space="preserve">EMPLOYEE OR CONTRACTOR'S ASSURANCE OF CONFIDENTIALITY OF SURVEY </w:t>
      </w:r>
      <w:smartTag w:uri="urn:schemas-microsoft-com:office:smarttags" w:element="stockticker">
        <w:r w:rsidRPr="0093144A">
          <w:rPr>
            <w:b/>
            <w:sz w:val="16"/>
            <w:szCs w:val="16"/>
          </w:rPr>
          <w:t>DATA</w:t>
        </w:r>
      </w:smartTag>
    </w:p>
    <w:p w:rsidR="0085359D" w:rsidRDefault="0085359D" w:rsidP="0085359D">
      <w:pPr>
        <w:spacing w:line="120" w:lineRule="exact"/>
        <w:rPr>
          <w:sz w:val="16"/>
        </w:rPr>
      </w:pPr>
    </w:p>
    <w:p w:rsidR="0085359D" w:rsidRDefault="0085359D" w:rsidP="0085359D">
      <w:pPr>
        <w:pStyle w:val="SL-FlLftSgl"/>
        <w:spacing w:line="200" w:lineRule="exact"/>
        <w:rPr>
          <w:b/>
          <w:sz w:val="20"/>
        </w:rPr>
      </w:pPr>
      <w:r>
        <w:rPr>
          <w:b/>
          <w:sz w:val="20"/>
        </w:rPr>
        <w:t>Statement of Policy</w:t>
      </w:r>
    </w:p>
    <w:p w:rsidR="0085359D" w:rsidRDefault="0085359D" w:rsidP="0085359D">
      <w:pPr>
        <w:spacing w:line="120" w:lineRule="exact"/>
        <w:rPr>
          <w:sz w:val="16"/>
        </w:rPr>
      </w:pPr>
    </w:p>
    <w:p w:rsidR="0085359D" w:rsidRDefault="0085359D" w:rsidP="0085359D">
      <w:pPr>
        <w:tabs>
          <w:tab w:val="left" w:pos="600"/>
        </w:tabs>
        <w:spacing w:line="180" w:lineRule="exact"/>
        <w:ind w:firstLine="605"/>
        <w:rPr>
          <w:sz w:val="16"/>
        </w:rPr>
      </w:pPr>
      <w:r>
        <w:rPr>
          <w:sz w:val="16"/>
        </w:rPr>
        <w:t xml:space="preserve">Westat is firmly committed to the principle that the confidentiality of individual data obtained through Westat surveys must be protected. This principle holds whether or not any specific guarantee of confidentiality was given at time of interview (or self-response), or whether or not there are specific contractual obligations to the client. When guarantees have been given or contractual obligations regarding confidentiality have been entered into, they may impose additional requirements which are to be adhered to strictly. </w:t>
      </w:r>
    </w:p>
    <w:p w:rsidR="0085359D" w:rsidRDefault="0085359D" w:rsidP="0085359D">
      <w:pPr>
        <w:tabs>
          <w:tab w:val="left" w:pos="600"/>
        </w:tabs>
        <w:spacing w:line="120" w:lineRule="exact"/>
        <w:ind w:firstLine="605"/>
        <w:rPr>
          <w:sz w:val="16"/>
        </w:rPr>
      </w:pPr>
    </w:p>
    <w:p w:rsidR="0085359D" w:rsidRDefault="0085359D" w:rsidP="0085359D">
      <w:pPr>
        <w:pStyle w:val="SL-FlLftSgl"/>
        <w:spacing w:line="200" w:lineRule="exact"/>
        <w:rPr>
          <w:b/>
          <w:sz w:val="20"/>
        </w:rPr>
      </w:pPr>
      <w:r>
        <w:rPr>
          <w:b/>
          <w:sz w:val="20"/>
        </w:rPr>
        <w:t>Procedures for Maintaining Confidentiality</w:t>
      </w:r>
    </w:p>
    <w:p w:rsidR="0085359D" w:rsidRDefault="0085359D" w:rsidP="0085359D">
      <w:pPr>
        <w:spacing w:line="120" w:lineRule="exact"/>
        <w:rPr>
          <w:sz w:val="16"/>
        </w:rPr>
      </w:pPr>
    </w:p>
    <w:p w:rsidR="0085359D" w:rsidRDefault="0085359D" w:rsidP="0085359D">
      <w:pPr>
        <w:tabs>
          <w:tab w:val="left" w:pos="1200"/>
        </w:tabs>
        <w:spacing w:line="180" w:lineRule="exact"/>
        <w:ind w:left="1200" w:hanging="600"/>
        <w:rPr>
          <w:sz w:val="16"/>
        </w:rPr>
      </w:pPr>
      <w:r>
        <w:rPr>
          <w:sz w:val="16"/>
        </w:rPr>
        <w:t>1</w:t>
      </w:r>
      <w:r>
        <w:rPr>
          <w:sz w:val="16"/>
        </w:rPr>
        <w:tab/>
        <w:t xml:space="preserve">All Westat employees and field workers shall sign this assurance of confidentiality. This assurance may be superseded by another assurance for a particular project.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2.</w:t>
      </w:r>
      <w:r>
        <w:rPr>
          <w:sz w:val="16"/>
        </w:rPr>
        <w:tab/>
        <w:t xml:space="preserve">Field workers shall keep completely confidential the names of respondents, all information or opinions collected in the course of interviews, and any information about respondents learned incidentally during field work. Field workers shall exercise reasonable caution to prevent access by others to survey data in their possession.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3.</w:t>
      </w:r>
      <w:r>
        <w:rPr>
          <w:sz w:val="16"/>
        </w:rPr>
        <w:tab/>
        <w:t xml:space="preserve">Unless specifically instructed otherwise for a particular project, an employee or field worker, upon encountering a respondent or information pertaining to a respondent that s/he knows personally, shall immediately terminate the activity and contact her/his supervisor for instructions.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4.</w:t>
      </w:r>
      <w:r>
        <w:rPr>
          <w:sz w:val="16"/>
        </w:rPr>
        <w:tab/>
        <w:t xml:space="preserve">Survey data containing personal identifiers in Westat offices shall be kept in a locked container or a locked room when not being used each working day in routine survey activities. Reasonable caution shall be exercised in limiting access to survey data to only those persons who are working on the specific project and who have been instructed in the applicable confidentiality requirements for that project.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ab/>
        <w:t xml:space="preserve">Where survey data have been determined to be particularly sensitive by the Corporate Officer in charge of the project or the President of Westat, such survey data shall be kept in locked containers or in a locked room except when actually being used and attended by a staff member who has signed this pledge.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5.</w:t>
      </w:r>
      <w:r>
        <w:rPr>
          <w:sz w:val="16"/>
        </w:rPr>
        <w:tab/>
        <w:t xml:space="preserve">Ordinarily, serial numbers shall be assigned to respondents prior to creating a machine-processible record and identifiers such as name, address, and Social Security number shall not, ordinarily, be a part of the machine record. When identifiers are part of the machine data record, Westat's Manager of Data Processing shall be responsible for determining adequate confidentiality me assures in consultation with the project director. When a separate file is set up containing identifiers or linkage information which could be used to identify data records, this separate file shall be kept locked up when not actually being used each day in routine survey activities.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6.</w:t>
      </w:r>
      <w:r>
        <w:rPr>
          <w:sz w:val="16"/>
        </w:rPr>
        <w:tab/>
        <w:t xml:space="preserve">When records with identifiers are to be transmitted to another party, such as for keypunching or key taping, the other party shall be informed of these procedures and shall sign an Assurance of Confidentiality form.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7.</w:t>
      </w:r>
      <w:r>
        <w:rPr>
          <w:sz w:val="16"/>
        </w:rPr>
        <w:tab/>
        <w:t xml:space="preserve">Each project director shall be responsible for ensuring that all personnel and contractors involved in handling survey data on a project are instructed in these procedures throughout the period of survey performance. When there are specific contractual obligations to the client regarding confidentiality, the project director shall develop additional procedures to comply with these obligations and shall instruct field staff, clerical staff, consultants, and any other persons who work on the project in these additional procedures. At the end of the period of survey performance, the project director shall arrange for proper storage or disposition of survey data including any particular contractual requirements for storage or disposition. When required to turn over survey data to our clients, we must provide proper safeguards to ensure confidentiality up to the time of delivery. </w:t>
      </w:r>
    </w:p>
    <w:p w:rsidR="0085359D" w:rsidRDefault="0085359D" w:rsidP="0085359D">
      <w:pPr>
        <w:tabs>
          <w:tab w:val="left" w:pos="1200"/>
        </w:tabs>
        <w:spacing w:line="180" w:lineRule="exact"/>
        <w:ind w:left="1195" w:hanging="605"/>
        <w:rPr>
          <w:sz w:val="16"/>
        </w:rPr>
      </w:pPr>
    </w:p>
    <w:p w:rsidR="0085359D" w:rsidRDefault="0085359D" w:rsidP="0085359D">
      <w:pPr>
        <w:tabs>
          <w:tab w:val="left" w:pos="1200"/>
        </w:tabs>
        <w:spacing w:line="180" w:lineRule="exact"/>
        <w:ind w:left="1200" w:hanging="600"/>
        <w:rPr>
          <w:sz w:val="16"/>
        </w:rPr>
      </w:pPr>
      <w:r>
        <w:rPr>
          <w:sz w:val="16"/>
        </w:rPr>
        <w:t>8.</w:t>
      </w:r>
      <w:r>
        <w:rPr>
          <w:sz w:val="16"/>
        </w:rPr>
        <w:tab/>
        <w:t xml:space="preserve">Project directors shall ensure that survey practices adhere to the provisions of the U.S. Privacy Act of 1974 with regard to surveys of individuals for the Federal Government. Project directors must ensure that procedures are established in each survey to inform each respondent of the authority for the survey, the purpose and use of the survey, the voluntary nature of the survey (where applicable) and the effects on the respondents, if any, of not responding. </w:t>
      </w:r>
    </w:p>
    <w:p w:rsidR="0085359D" w:rsidRDefault="0085359D" w:rsidP="0085359D">
      <w:pPr>
        <w:rPr>
          <w:sz w:val="16"/>
        </w:rPr>
      </w:pPr>
    </w:p>
    <w:p w:rsidR="0085359D" w:rsidRDefault="0085359D" w:rsidP="0085359D">
      <w:pPr>
        <w:keepLines/>
        <w:jc w:val="center"/>
        <w:rPr>
          <w:sz w:val="16"/>
        </w:rPr>
      </w:pPr>
      <w:r>
        <w:rPr>
          <w:sz w:val="16"/>
          <w:u w:val="single"/>
        </w:rPr>
        <w:t>PLEDGE</w:t>
      </w:r>
    </w:p>
    <w:p w:rsidR="0085359D" w:rsidRDefault="0085359D" w:rsidP="0085359D">
      <w:pPr>
        <w:tabs>
          <w:tab w:val="left" w:pos="600"/>
        </w:tabs>
        <w:spacing w:line="180" w:lineRule="exact"/>
        <w:ind w:firstLine="600"/>
        <w:rPr>
          <w:sz w:val="16"/>
        </w:rPr>
      </w:pPr>
      <w:r>
        <w:rPr>
          <w:sz w:val="16"/>
        </w:rPr>
        <w:t xml:space="preserve">I hereby certify that I have carefully read and will cooperate fully with the above procedures. I will keep completely confidential all information arising from surveys concerning individual respondents to which I gain access. I will not discuss, disclose, disseminate, or provide access to survey data and identifiers except as authorized by Westat. In addition, I will comply with any additional procedures established by Westat for a particular contract. I will devote my best efforts to ensure that there is compliance with the required procedures by personnel whom I supervise. I understand that violation of this pledge is sufficient grounds for disciplinary action, including dismissal. I also understand that violation of the privacy rights of individuals through such unauthorized discussion, disclosure, dissemination, or access may make me subject to criminal or civil penalties. I give my personal pledge that I shall abide by this assurance of confidentiality. </w:t>
      </w:r>
    </w:p>
    <w:p w:rsidR="0085359D" w:rsidRDefault="0085359D" w:rsidP="0085359D">
      <w:pPr>
        <w:rPr>
          <w:sz w:val="16"/>
        </w:rPr>
      </w:pPr>
    </w:p>
    <w:p w:rsidR="0085359D" w:rsidRDefault="0085359D" w:rsidP="0085359D">
      <w:pPr>
        <w:tabs>
          <w:tab w:val="center" w:pos="7920"/>
        </w:tabs>
        <w:spacing w:line="240" w:lineRule="exact"/>
        <w:ind w:right="-1080"/>
        <w:rPr>
          <w:sz w:val="16"/>
        </w:rPr>
      </w:pPr>
      <w:r>
        <w:rPr>
          <w:sz w:val="16"/>
        </w:rPr>
        <w:tab/>
        <w:t>Signature</w:t>
      </w:r>
    </w:p>
    <w:p w:rsidR="00CE5E32" w:rsidRDefault="00CE5E32" w:rsidP="007C268F">
      <w:pPr>
        <w:rPr>
          <w:b/>
        </w:rPr>
      </w:pPr>
    </w:p>
    <w:p w:rsidR="00172640" w:rsidRPr="008C250B" w:rsidRDefault="00AD3523" w:rsidP="00172640">
      <w:pPr>
        <w:rPr>
          <w:b/>
        </w:rPr>
      </w:pPr>
      <w:r>
        <w:rPr>
          <w:b/>
        </w:rPr>
        <w:br w:type="page"/>
      </w:r>
      <w:r w:rsidR="00172640" w:rsidRPr="008C250B">
        <w:rPr>
          <w:b/>
        </w:rPr>
        <w:lastRenderedPageBreak/>
        <w:t>A.11.</w:t>
      </w:r>
      <w:r w:rsidR="00172640" w:rsidRPr="008C250B">
        <w:rPr>
          <w:b/>
        </w:rPr>
        <w:tab/>
        <w:t>Questions of a Sensitive Nature</w:t>
      </w:r>
    </w:p>
    <w:p w:rsidR="00172640" w:rsidRPr="008C250B" w:rsidRDefault="00172640" w:rsidP="00172640"/>
    <w:p w:rsidR="00172640" w:rsidRPr="00CE5E32" w:rsidRDefault="00172640" w:rsidP="00172640">
      <w:pPr>
        <w:rPr>
          <w:sz w:val="22"/>
          <w:szCs w:val="22"/>
        </w:rPr>
      </w:pPr>
      <w:r w:rsidRPr="00CE5E32">
        <w:rPr>
          <w:sz w:val="22"/>
          <w:szCs w:val="22"/>
        </w:rPr>
        <w:t>There are no questions on sexual behavior and attitudes, religious beliefs, and other matters that are commonly considered private.</w:t>
      </w:r>
    </w:p>
    <w:p w:rsidR="00172640" w:rsidRDefault="00172640" w:rsidP="00CE5E32">
      <w:pPr>
        <w:rPr>
          <w:b/>
        </w:rPr>
      </w:pPr>
    </w:p>
    <w:p w:rsidR="00172640" w:rsidRDefault="00172640" w:rsidP="00CE5E32">
      <w:pPr>
        <w:rPr>
          <w:b/>
        </w:rPr>
      </w:pPr>
    </w:p>
    <w:p w:rsidR="00CE5E32" w:rsidRPr="008C250B" w:rsidRDefault="00CE5E32" w:rsidP="00CE5E32">
      <w:pPr>
        <w:rPr>
          <w:b/>
        </w:rPr>
      </w:pPr>
      <w:r w:rsidRPr="008C250B">
        <w:rPr>
          <w:b/>
        </w:rPr>
        <w:t>A.12.</w:t>
      </w:r>
      <w:r w:rsidRPr="008C250B">
        <w:rPr>
          <w:b/>
        </w:rPr>
        <w:tab/>
        <w:t>Estimates of the Hour Burden</w:t>
      </w:r>
    </w:p>
    <w:p w:rsidR="00CE5E32" w:rsidRPr="008C250B" w:rsidRDefault="00CE5E32" w:rsidP="00CE5E32">
      <w:pPr>
        <w:ind w:left="360"/>
      </w:pPr>
    </w:p>
    <w:p w:rsidR="00272093" w:rsidRDefault="00C02B01" w:rsidP="00CE5E32">
      <w:pPr>
        <w:tabs>
          <w:tab w:val="left" w:pos="360"/>
        </w:tabs>
        <w:autoSpaceDE w:val="0"/>
        <w:autoSpaceDN w:val="0"/>
        <w:adjustRightInd w:val="0"/>
        <w:rPr>
          <w:bCs/>
          <w:sz w:val="22"/>
          <w:szCs w:val="22"/>
        </w:rPr>
      </w:pPr>
      <w:r w:rsidRPr="00C02B01">
        <w:rPr>
          <w:b/>
          <w:color w:val="000000"/>
          <w:sz w:val="22"/>
          <w:szCs w:val="22"/>
        </w:rPr>
        <w:t>Pilot Test</w:t>
      </w:r>
      <w:r>
        <w:rPr>
          <w:color w:val="000000"/>
          <w:sz w:val="22"/>
          <w:szCs w:val="22"/>
        </w:rPr>
        <w:t xml:space="preserve">: </w:t>
      </w:r>
      <w:r w:rsidR="00A11A9E" w:rsidRPr="00272093">
        <w:rPr>
          <w:color w:val="000000"/>
          <w:sz w:val="22"/>
          <w:szCs w:val="22"/>
        </w:rPr>
        <w:t xml:space="preserve">For the pilot test, </w:t>
      </w:r>
      <w:r w:rsidR="00CA5166" w:rsidRPr="00272093">
        <w:rPr>
          <w:color w:val="000000"/>
          <w:sz w:val="22"/>
          <w:szCs w:val="22"/>
        </w:rPr>
        <w:t xml:space="preserve">120 </w:t>
      </w:r>
      <w:r w:rsidR="00CE5E32" w:rsidRPr="00272093">
        <w:rPr>
          <w:color w:val="000000"/>
          <w:sz w:val="22"/>
          <w:szCs w:val="22"/>
        </w:rPr>
        <w:t>postsecondary institutions w</w:t>
      </w:r>
      <w:r w:rsidR="00A40418">
        <w:rPr>
          <w:color w:val="000000"/>
          <w:sz w:val="22"/>
          <w:szCs w:val="22"/>
        </w:rPr>
        <w:t>ere</w:t>
      </w:r>
      <w:r w:rsidR="00CE5E32" w:rsidRPr="00272093">
        <w:rPr>
          <w:color w:val="000000"/>
          <w:sz w:val="22"/>
          <w:szCs w:val="22"/>
        </w:rPr>
        <w:t xml:space="preserve"> contacted and asked to respond to the survey </w:t>
      </w:r>
      <w:r w:rsidR="00CA5166" w:rsidRPr="00272093">
        <w:rPr>
          <w:color w:val="000000"/>
          <w:sz w:val="22"/>
          <w:szCs w:val="22"/>
        </w:rPr>
        <w:t xml:space="preserve">in the </w:t>
      </w:r>
      <w:r w:rsidR="00D4679B" w:rsidRPr="00272093">
        <w:rPr>
          <w:color w:val="000000"/>
          <w:sz w:val="22"/>
          <w:szCs w:val="22"/>
        </w:rPr>
        <w:t>pilot test</w:t>
      </w:r>
      <w:r w:rsidR="00CA5166" w:rsidRPr="00272093">
        <w:rPr>
          <w:color w:val="000000"/>
          <w:sz w:val="22"/>
          <w:szCs w:val="22"/>
        </w:rPr>
        <w:t xml:space="preserve"> </w:t>
      </w:r>
      <w:r w:rsidR="00CE5E32" w:rsidRPr="00272093">
        <w:rPr>
          <w:color w:val="000000"/>
          <w:sz w:val="22"/>
          <w:szCs w:val="22"/>
        </w:rPr>
        <w:t>only one time</w:t>
      </w:r>
      <w:r w:rsidR="0093144A">
        <w:rPr>
          <w:color w:val="000000"/>
          <w:sz w:val="22"/>
          <w:szCs w:val="22"/>
        </w:rPr>
        <w:t xml:space="preserve"> (table A-1)</w:t>
      </w:r>
      <w:r w:rsidR="00CE5E32" w:rsidRPr="00272093">
        <w:rPr>
          <w:color w:val="000000"/>
          <w:sz w:val="22"/>
          <w:szCs w:val="22"/>
        </w:rPr>
        <w:t xml:space="preserve">. </w:t>
      </w:r>
      <w:r w:rsidR="00272093" w:rsidRPr="00272093">
        <w:rPr>
          <w:color w:val="000000"/>
          <w:sz w:val="22"/>
          <w:szCs w:val="22"/>
        </w:rPr>
        <w:t xml:space="preserve">  </w:t>
      </w:r>
      <w:r w:rsidR="00272093" w:rsidRPr="00272093">
        <w:rPr>
          <w:bCs/>
          <w:sz w:val="22"/>
          <w:szCs w:val="22"/>
        </w:rPr>
        <w:t xml:space="preserve">At a response rate of </w:t>
      </w:r>
      <w:r w:rsidR="00272093">
        <w:rPr>
          <w:bCs/>
          <w:sz w:val="22"/>
          <w:szCs w:val="22"/>
        </w:rPr>
        <w:t>85</w:t>
      </w:r>
      <w:r w:rsidR="00272093" w:rsidRPr="00272093">
        <w:rPr>
          <w:bCs/>
          <w:sz w:val="22"/>
          <w:szCs w:val="22"/>
        </w:rPr>
        <w:t xml:space="preserve"> percent, the </w:t>
      </w:r>
      <w:r w:rsidR="00272093" w:rsidRPr="00272093">
        <w:rPr>
          <w:sz w:val="22"/>
          <w:szCs w:val="22"/>
        </w:rPr>
        <w:t xml:space="preserve">initial </w:t>
      </w:r>
      <w:r w:rsidR="005E7AE9" w:rsidRPr="00272093">
        <w:rPr>
          <w:sz w:val="22"/>
          <w:szCs w:val="22"/>
        </w:rPr>
        <w:t xml:space="preserve">sample </w:t>
      </w:r>
      <w:r>
        <w:rPr>
          <w:sz w:val="22"/>
          <w:szCs w:val="22"/>
        </w:rPr>
        <w:t>was expected to yield about 100</w:t>
      </w:r>
      <w:r w:rsidR="00272093" w:rsidRPr="00272093">
        <w:rPr>
          <w:sz w:val="22"/>
          <w:szCs w:val="22"/>
        </w:rPr>
        <w:t xml:space="preserve"> completed questionnaires. </w:t>
      </w:r>
      <w:r w:rsidR="00272093" w:rsidRPr="00272093">
        <w:rPr>
          <w:bCs/>
          <w:sz w:val="22"/>
          <w:szCs w:val="22"/>
        </w:rPr>
        <w:t xml:space="preserve"> </w:t>
      </w:r>
      <w:r w:rsidR="00272093" w:rsidRPr="00272093">
        <w:rPr>
          <w:sz w:val="22"/>
          <w:szCs w:val="22"/>
        </w:rPr>
        <w:t xml:space="preserve">Based on a response burden of approximately </w:t>
      </w:r>
      <w:r w:rsidR="00272093">
        <w:rPr>
          <w:sz w:val="22"/>
          <w:szCs w:val="22"/>
        </w:rPr>
        <w:t>45</w:t>
      </w:r>
      <w:r w:rsidR="00272093" w:rsidRPr="00272093">
        <w:rPr>
          <w:sz w:val="22"/>
          <w:szCs w:val="22"/>
        </w:rPr>
        <w:t xml:space="preserve"> minutes per completed questionnaire, the estimated response burden to complete the questionnaire </w:t>
      </w:r>
      <w:r w:rsidR="00A40418">
        <w:rPr>
          <w:sz w:val="22"/>
          <w:szCs w:val="22"/>
        </w:rPr>
        <w:t>was</w:t>
      </w:r>
      <w:r w:rsidR="00272093" w:rsidRPr="00272093">
        <w:rPr>
          <w:sz w:val="22"/>
          <w:szCs w:val="22"/>
        </w:rPr>
        <w:t xml:space="preserve"> about </w:t>
      </w:r>
      <w:r w:rsidR="00272093">
        <w:rPr>
          <w:sz w:val="22"/>
          <w:szCs w:val="22"/>
        </w:rPr>
        <w:t>75</w:t>
      </w:r>
      <w:r w:rsidR="0093144A">
        <w:rPr>
          <w:sz w:val="22"/>
          <w:szCs w:val="22"/>
        </w:rPr>
        <w:t xml:space="preserve"> hours</w:t>
      </w:r>
      <w:r w:rsidR="00272093" w:rsidRPr="00272093">
        <w:rPr>
          <w:sz w:val="22"/>
          <w:szCs w:val="22"/>
        </w:rPr>
        <w:t>.</w:t>
      </w:r>
      <w:r w:rsidR="00272093" w:rsidRPr="00272093">
        <w:rPr>
          <w:bCs/>
          <w:sz w:val="22"/>
          <w:szCs w:val="22"/>
        </w:rPr>
        <w:t xml:space="preserve">  It </w:t>
      </w:r>
      <w:r w:rsidR="00A40418">
        <w:rPr>
          <w:bCs/>
          <w:sz w:val="22"/>
          <w:szCs w:val="22"/>
        </w:rPr>
        <w:t>was</w:t>
      </w:r>
      <w:r w:rsidR="00272093" w:rsidRPr="00272093">
        <w:rPr>
          <w:bCs/>
          <w:sz w:val="22"/>
          <w:szCs w:val="22"/>
        </w:rPr>
        <w:t xml:space="preserve"> anticipated that about 25 percent of the sample will have returned the completed survey before nonresponse follow up begins and about 75 percent of the sample (i.e., 90 respondents) will </w:t>
      </w:r>
      <w:r w:rsidR="00A40418">
        <w:rPr>
          <w:bCs/>
          <w:sz w:val="22"/>
          <w:szCs w:val="22"/>
        </w:rPr>
        <w:t xml:space="preserve">have </w:t>
      </w:r>
      <w:r w:rsidR="00272093" w:rsidRPr="00272093">
        <w:rPr>
          <w:bCs/>
          <w:sz w:val="22"/>
          <w:szCs w:val="22"/>
        </w:rPr>
        <w:t>receive</w:t>
      </w:r>
      <w:r w:rsidR="00A40418">
        <w:rPr>
          <w:bCs/>
          <w:sz w:val="22"/>
          <w:szCs w:val="22"/>
        </w:rPr>
        <w:t>d</w:t>
      </w:r>
      <w:r w:rsidR="00272093" w:rsidRPr="00272093">
        <w:rPr>
          <w:bCs/>
          <w:sz w:val="22"/>
          <w:szCs w:val="22"/>
        </w:rPr>
        <w:t xml:space="preserve"> a nonresponse followup call that takes about 5 minutes.  The total estimated burden time for nonresponse follow up </w:t>
      </w:r>
      <w:r w:rsidR="00A40418">
        <w:rPr>
          <w:bCs/>
          <w:sz w:val="22"/>
          <w:szCs w:val="22"/>
        </w:rPr>
        <w:t>was</w:t>
      </w:r>
      <w:r w:rsidR="00272093" w:rsidRPr="00272093">
        <w:rPr>
          <w:bCs/>
          <w:sz w:val="22"/>
          <w:szCs w:val="22"/>
        </w:rPr>
        <w:t xml:space="preserve"> about </w:t>
      </w:r>
      <w:r w:rsidR="002B45C3" w:rsidRPr="009A5327">
        <w:rPr>
          <w:bCs/>
          <w:sz w:val="22"/>
          <w:szCs w:val="22"/>
        </w:rPr>
        <w:t>8</w:t>
      </w:r>
      <w:r w:rsidR="00272093" w:rsidRPr="009A5327">
        <w:rPr>
          <w:bCs/>
          <w:sz w:val="22"/>
          <w:szCs w:val="22"/>
        </w:rPr>
        <w:t xml:space="preserve"> hours.  The total number of </w:t>
      </w:r>
      <w:r w:rsidR="007831C4">
        <w:rPr>
          <w:bCs/>
          <w:sz w:val="22"/>
          <w:szCs w:val="22"/>
        </w:rPr>
        <w:t xml:space="preserve">estimated </w:t>
      </w:r>
      <w:r w:rsidR="00272093" w:rsidRPr="009A5327">
        <w:rPr>
          <w:bCs/>
          <w:sz w:val="22"/>
          <w:szCs w:val="22"/>
        </w:rPr>
        <w:t xml:space="preserve">burden hours for data collection and nonresponse follow up </w:t>
      </w:r>
      <w:r w:rsidR="00A40418">
        <w:rPr>
          <w:bCs/>
          <w:sz w:val="22"/>
          <w:szCs w:val="22"/>
        </w:rPr>
        <w:t>was</w:t>
      </w:r>
      <w:r w:rsidR="00272093" w:rsidRPr="009A5327">
        <w:rPr>
          <w:bCs/>
          <w:sz w:val="22"/>
          <w:szCs w:val="22"/>
        </w:rPr>
        <w:t xml:space="preserve"> </w:t>
      </w:r>
      <w:r w:rsidR="002B45C3" w:rsidRPr="009A5327">
        <w:rPr>
          <w:bCs/>
          <w:sz w:val="22"/>
          <w:szCs w:val="22"/>
        </w:rPr>
        <w:t>estimated at ab</w:t>
      </w:r>
      <w:r w:rsidR="00272093" w:rsidRPr="009A5327">
        <w:rPr>
          <w:bCs/>
          <w:sz w:val="22"/>
          <w:szCs w:val="22"/>
        </w:rPr>
        <w:t xml:space="preserve">out </w:t>
      </w:r>
      <w:r w:rsidR="002B45C3" w:rsidRPr="009A5327">
        <w:rPr>
          <w:bCs/>
          <w:sz w:val="22"/>
          <w:szCs w:val="22"/>
        </w:rPr>
        <w:t>83</w:t>
      </w:r>
      <w:r w:rsidR="00272093" w:rsidRPr="009A5327">
        <w:rPr>
          <w:bCs/>
          <w:sz w:val="22"/>
          <w:szCs w:val="22"/>
        </w:rPr>
        <w:t xml:space="preserve"> hours.</w:t>
      </w:r>
      <w:r w:rsidR="00272093">
        <w:rPr>
          <w:bCs/>
          <w:sz w:val="22"/>
          <w:szCs w:val="22"/>
        </w:rPr>
        <w:t xml:space="preserve">  </w:t>
      </w:r>
      <w:r w:rsidR="007831C4">
        <w:rPr>
          <w:bCs/>
          <w:sz w:val="22"/>
          <w:szCs w:val="22"/>
        </w:rPr>
        <w:t>However, data from the pilot test indicate that the actual average response time was 20 minutes.</w:t>
      </w:r>
    </w:p>
    <w:p w:rsidR="00272093" w:rsidRDefault="00272093" w:rsidP="00CE5E32">
      <w:pPr>
        <w:tabs>
          <w:tab w:val="left" w:pos="360"/>
        </w:tabs>
        <w:autoSpaceDE w:val="0"/>
        <w:autoSpaceDN w:val="0"/>
        <w:adjustRightInd w:val="0"/>
        <w:rPr>
          <w:bCs/>
          <w:sz w:val="22"/>
          <w:szCs w:val="22"/>
        </w:rPr>
      </w:pPr>
    </w:p>
    <w:p w:rsidR="00272093" w:rsidRPr="006C3A42" w:rsidRDefault="0093144A" w:rsidP="00272093">
      <w:pPr>
        <w:rPr>
          <w:b/>
          <w:bCs/>
          <w:sz w:val="20"/>
          <w:szCs w:val="20"/>
        </w:rPr>
      </w:pPr>
      <w:r w:rsidRPr="006C3A42">
        <w:rPr>
          <w:b/>
          <w:sz w:val="20"/>
          <w:szCs w:val="20"/>
        </w:rPr>
        <w:t>Table A-1</w:t>
      </w:r>
      <w:r w:rsidR="00272093" w:rsidRPr="006C3A42">
        <w:rPr>
          <w:b/>
          <w:sz w:val="20"/>
          <w:szCs w:val="20"/>
        </w:rPr>
        <w:t>.</w:t>
      </w:r>
      <w:r w:rsidRPr="006C3A42">
        <w:rPr>
          <w:b/>
          <w:sz w:val="20"/>
          <w:szCs w:val="20"/>
        </w:rPr>
        <w:tab/>
      </w:r>
      <w:r w:rsidR="00272093" w:rsidRPr="006C3A42">
        <w:rPr>
          <w:b/>
          <w:sz w:val="20"/>
          <w:szCs w:val="20"/>
        </w:rPr>
        <w:t>Estimated burden for data collection and nonresponse follow up for the pilot test</w:t>
      </w:r>
    </w:p>
    <w:p w:rsidR="00272093" w:rsidRPr="006C3A42" w:rsidRDefault="00272093" w:rsidP="0093144A">
      <w:pPr>
        <w:spacing w:line="120" w:lineRule="exact"/>
        <w:rPr>
          <w:sz w:val="20"/>
          <w:szCs w:val="20"/>
        </w:rPr>
      </w:pPr>
    </w:p>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9"/>
        <w:gridCol w:w="992"/>
        <w:gridCol w:w="1441"/>
        <w:gridCol w:w="1169"/>
        <w:gridCol w:w="1259"/>
        <w:gridCol w:w="1349"/>
      </w:tblGrid>
      <w:tr w:rsidR="002B45C3" w:rsidRPr="006C3A42" w:rsidTr="00C02B01">
        <w:trPr>
          <w:trHeight w:val="548"/>
        </w:trPr>
        <w:tc>
          <w:tcPr>
            <w:tcW w:w="1690" w:type="pct"/>
            <w:tcBorders>
              <w:left w:val="nil"/>
              <w:bottom w:val="single" w:sz="4" w:space="0" w:color="auto"/>
            </w:tcBorders>
            <w:vAlign w:val="center"/>
          </w:tcPr>
          <w:p w:rsidR="00272093" w:rsidRPr="006C3A42" w:rsidRDefault="00272093" w:rsidP="00272093">
            <w:pPr>
              <w:rPr>
                <w:b/>
                <w:sz w:val="20"/>
                <w:szCs w:val="20"/>
              </w:rPr>
            </w:pPr>
            <w:r w:rsidRPr="006C3A42">
              <w:rPr>
                <w:b/>
                <w:sz w:val="20"/>
                <w:szCs w:val="20"/>
              </w:rPr>
              <w:t>Type of Collection</w:t>
            </w:r>
          </w:p>
        </w:tc>
        <w:tc>
          <w:tcPr>
            <w:tcW w:w="529" w:type="pct"/>
            <w:tcBorders>
              <w:bottom w:val="single" w:sz="4" w:space="0" w:color="auto"/>
            </w:tcBorders>
            <w:vAlign w:val="center"/>
          </w:tcPr>
          <w:p w:rsidR="00272093" w:rsidRPr="006C3A42" w:rsidRDefault="00272093" w:rsidP="00272093">
            <w:pPr>
              <w:jc w:val="center"/>
              <w:rPr>
                <w:b/>
                <w:sz w:val="20"/>
                <w:szCs w:val="20"/>
              </w:rPr>
            </w:pPr>
            <w:r w:rsidRPr="006C3A42">
              <w:rPr>
                <w:b/>
                <w:sz w:val="20"/>
                <w:szCs w:val="20"/>
              </w:rPr>
              <w:t>Sample size</w:t>
            </w:r>
          </w:p>
        </w:tc>
        <w:tc>
          <w:tcPr>
            <w:tcW w:w="768" w:type="pct"/>
            <w:tcBorders>
              <w:bottom w:val="single" w:sz="4" w:space="0" w:color="auto"/>
            </w:tcBorders>
            <w:vAlign w:val="center"/>
          </w:tcPr>
          <w:p w:rsidR="00272093" w:rsidRPr="006C3A42" w:rsidRDefault="00A6283A" w:rsidP="00272093">
            <w:pPr>
              <w:jc w:val="center"/>
              <w:rPr>
                <w:b/>
                <w:sz w:val="20"/>
                <w:szCs w:val="20"/>
              </w:rPr>
            </w:pPr>
            <w:r w:rsidRPr="006C3A42">
              <w:rPr>
                <w:b/>
                <w:sz w:val="20"/>
                <w:szCs w:val="20"/>
              </w:rPr>
              <w:t>Estimated response rate</w:t>
            </w:r>
            <w:r>
              <w:rPr>
                <w:b/>
                <w:sz w:val="20"/>
                <w:szCs w:val="20"/>
              </w:rPr>
              <w:t>/follow</w:t>
            </w:r>
            <w:r w:rsidR="0065219D">
              <w:rPr>
                <w:b/>
                <w:sz w:val="20"/>
                <w:szCs w:val="20"/>
              </w:rPr>
              <w:t>up</w:t>
            </w:r>
            <w:r>
              <w:rPr>
                <w:b/>
                <w:sz w:val="20"/>
                <w:szCs w:val="20"/>
              </w:rPr>
              <w:t xml:space="preserve"> required</w:t>
            </w:r>
            <w:r w:rsidRPr="006C3A42">
              <w:rPr>
                <w:b/>
                <w:sz w:val="20"/>
                <w:szCs w:val="20"/>
              </w:rPr>
              <w:t xml:space="preserve"> (percent) </w:t>
            </w:r>
            <w:r w:rsidR="00272093" w:rsidRPr="006C3A42">
              <w:rPr>
                <w:b/>
                <w:sz w:val="20"/>
                <w:szCs w:val="20"/>
              </w:rPr>
              <w:t>(percent)</w:t>
            </w:r>
          </w:p>
        </w:tc>
        <w:tc>
          <w:tcPr>
            <w:tcW w:w="623" w:type="pct"/>
            <w:tcBorders>
              <w:bottom w:val="single" w:sz="4" w:space="0" w:color="auto"/>
            </w:tcBorders>
            <w:vAlign w:val="center"/>
          </w:tcPr>
          <w:p w:rsidR="00272093" w:rsidRPr="006C3A42" w:rsidRDefault="00272093" w:rsidP="00272093">
            <w:pPr>
              <w:jc w:val="center"/>
              <w:rPr>
                <w:b/>
                <w:sz w:val="20"/>
                <w:szCs w:val="20"/>
              </w:rPr>
            </w:pPr>
            <w:r w:rsidRPr="006C3A42">
              <w:rPr>
                <w:b/>
                <w:sz w:val="20"/>
                <w:szCs w:val="20"/>
              </w:rPr>
              <w:t>Estimated number of responses</w:t>
            </w:r>
          </w:p>
        </w:tc>
        <w:tc>
          <w:tcPr>
            <w:tcW w:w="671" w:type="pct"/>
            <w:tcBorders>
              <w:bottom w:val="single" w:sz="4" w:space="0" w:color="auto"/>
            </w:tcBorders>
            <w:vAlign w:val="center"/>
          </w:tcPr>
          <w:p w:rsidR="00272093" w:rsidRPr="006C3A42" w:rsidRDefault="00272093" w:rsidP="00272093">
            <w:pPr>
              <w:jc w:val="center"/>
              <w:rPr>
                <w:b/>
                <w:sz w:val="20"/>
                <w:szCs w:val="20"/>
              </w:rPr>
            </w:pPr>
            <w:r w:rsidRPr="006C3A42">
              <w:rPr>
                <w:b/>
                <w:sz w:val="20"/>
                <w:szCs w:val="20"/>
              </w:rPr>
              <w:t>Total burden hours per respondent</w:t>
            </w:r>
          </w:p>
        </w:tc>
        <w:tc>
          <w:tcPr>
            <w:tcW w:w="719" w:type="pct"/>
            <w:tcBorders>
              <w:bottom w:val="single" w:sz="4" w:space="0" w:color="auto"/>
              <w:right w:val="nil"/>
            </w:tcBorders>
            <w:vAlign w:val="center"/>
          </w:tcPr>
          <w:p w:rsidR="00272093" w:rsidRPr="006C3A42" w:rsidRDefault="00272093" w:rsidP="00C02B01">
            <w:pPr>
              <w:jc w:val="center"/>
              <w:rPr>
                <w:b/>
                <w:sz w:val="20"/>
                <w:szCs w:val="20"/>
              </w:rPr>
            </w:pPr>
            <w:r w:rsidRPr="006C3A42">
              <w:rPr>
                <w:b/>
                <w:sz w:val="20"/>
                <w:szCs w:val="20"/>
              </w:rPr>
              <w:t xml:space="preserve">Respondent </w:t>
            </w:r>
            <w:r w:rsidR="00C02B01">
              <w:rPr>
                <w:b/>
                <w:sz w:val="20"/>
                <w:szCs w:val="20"/>
              </w:rPr>
              <w:t>b</w:t>
            </w:r>
            <w:r w:rsidRPr="006C3A42">
              <w:rPr>
                <w:b/>
                <w:sz w:val="20"/>
                <w:szCs w:val="20"/>
              </w:rPr>
              <w:t xml:space="preserve">urden </w:t>
            </w:r>
            <w:r w:rsidR="00C02B01">
              <w:rPr>
                <w:b/>
                <w:sz w:val="20"/>
                <w:szCs w:val="20"/>
              </w:rPr>
              <w:t>h</w:t>
            </w:r>
            <w:r w:rsidRPr="006C3A42">
              <w:rPr>
                <w:b/>
                <w:sz w:val="20"/>
                <w:szCs w:val="20"/>
              </w:rPr>
              <w:t>ours</w:t>
            </w:r>
          </w:p>
        </w:tc>
      </w:tr>
      <w:tr w:rsidR="002B45C3" w:rsidRPr="006C3A42" w:rsidTr="00C02B01">
        <w:trPr>
          <w:trHeight w:val="288"/>
        </w:trPr>
        <w:tc>
          <w:tcPr>
            <w:tcW w:w="1690" w:type="pct"/>
            <w:tcBorders>
              <w:top w:val="single" w:sz="4" w:space="0" w:color="auto"/>
              <w:left w:val="nil"/>
              <w:bottom w:val="nil"/>
              <w:right w:val="nil"/>
            </w:tcBorders>
            <w:vAlign w:val="bottom"/>
          </w:tcPr>
          <w:p w:rsidR="002B45C3" w:rsidRPr="006C3A42" w:rsidRDefault="002B45C3" w:rsidP="00A1449F">
            <w:pPr>
              <w:tabs>
                <w:tab w:val="left" w:leader="dot" w:pos="2880"/>
              </w:tabs>
              <w:ind w:left="274"/>
              <w:rPr>
                <w:sz w:val="20"/>
                <w:szCs w:val="20"/>
              </w:rPr>
            </w:pPr>
          </w:p>
          <w:p w:rsidR="002B45C3" w:rsidRPr="006C3A42" w:rsidRDefault="002B45C3" w:rsidP="00A1449F">
            <w:pPr>
              <w:tabs>
                <w:tab w:val="left" w:leader="dot" w:pos="2880"/>
              </w:tabs>
              <w:ind w:left="274"/>
              <w:rPr>
                <w:sz w:val="20"/>
                <w:szCs w:val="20"/>
              </w:rPr>
            </w:pPr>
            <w:r w:rsidRPr="006C3A42">
              <w:rPr>
                <w:sz w:val="20"/>
                <w:szCs w:val="20"/>
              </w:rPr>
              <w:t>Questionnaire</w:t>
            </w:r>
            <w:r w:rsidRPr="006C3A42">
              <w:rPr>
                <w:sz w:val="20"/>
                <w:szCs w:val="20"/>
              </w:rPr>
              <w:tab/>
            </w:r>
          </w:p>
        </w:tc>
        <w:tc>
          <w:tcPr>
            <w:tcW w:w="529"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120</w:t>
            </w:r>
          </w:p>
        </w:tc>
        <w:tc>
          <w:tcPr>
            <w:tcW w:w="768"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85</w:t>
            </w:r>
          </w:p>
        </w:tc>
        <w:tc>
          <w:tcPr>
            <w:tcW w:w="623"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100</w:t>
            </w:r>
          </w:p>
        </w:tc>
        <w:tc>
          <w:tcPr>
            <w:tcW w:w="671"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.75</w:t>
            </w:r>
          </w:p>
        </w:tc>
        <w:tc>
          <w:tcPr>
            <w:tcW w:w="719"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75</w:t>
            </w:r>
          </w:p>
        </w:tc>
      </w:tr>
      <w:tr w:rsidR="002B45C3" w:rsidRPr="006C3A42" w:rsidTr="00C02B01">
        <w:trPr>
          <w:trHeight w:val="288"/>
        </w:trPr>
        <w:tc>
          <w:tcPr>
            <w:tcW w:w="1690" w:type="pct"/>
            <w:tcBorders>
              <w:top w:val="nil"/>
              <w:left w:val="nil"/>
              <w:bottom w:val="nil"/>
              <w:right w:val="nil"/>
            </w:tcBorders>
            <w:vAlign w:val="bottom"/>
          </w:tcPr>
          <w:p w:rsidR="002B45C3" w:rsidRPr="006C3A42" w:rsidRDefault="002B45C3" w:rsidP="00A1449F">
            <w:pPr>
              <w:tabs>
                <w:tab w:val="left" w:leader="dot" w:pos="2880"/>
              </w:tabs>
              <w:ind w:left="274"/>
              <w:rPr>
                <w:sz w:val="20"/>
                <w:szCs w:val="20"/>
              </w:rPr>
            </w:pPr>
            <w:r w:rsidRPr="006C3A42">
              <w:rPr>
                <w:sz w:val="20"/>
                <w:szCs w:val="20"/>
              </w:rPr>
              <w:t>Nonresponse follow-up call</w:t>
            </w:r>
            <w:r w:rsidRPr="006C3A42">
              <w:rPr>
                <w:sz w:val="20"/>
                <w:szCs w:val="20"/>
              </w:rPr>
              <w:tab/>
            </w:r>
          </w:p>
        </w:tc>
        <w:tc>
          <w:tcPr>
            <w:tcW w:w="529" w:type="pct"/>
            <w:tcBorders>
              <w:top w:val="nil"/>
              <w:left w:val="nil"/>
              <w:bottom w:val="nil"/>
              <w:right w:val="nil"/>
            </w:tcBorders>
            <w:vAlign w:val="bottom"/>
          </w:tcPr>
          <w:p w:rsidR="002B45C3" w:rsidRPr="006C3A42" w:rsidRDefault="002B45C3" w:rsidP="00A1449F">
            <w:pPr>
              <w:jc w:val="center"/>
              <w:rPr>
                <w:sz w:val="20"/>
                <w:szCs w:val="20"/>
              </w:rPr>
            </w:pPr>
            <w:r w:rsidRPr="006C3A42">
              <w:rPr>
                <w:sz w:val="20"/>
                <w:szCs w:val="20"/>
              </w:rPr>
              <w:t>120</w:t>
            </w:r>
          </w:p>
        </w:tc>
        <w:tc>
          <w:tcPr>
            <w:tcW w:w="768" w:type="pct"/>
            <w:tcBorders>
              <w:top w:val="nil"/>
              <w:left w:val="nil"/>
              <w:bottom w:val="nil"/>
              <w:right w:val="nil"/>
            </w:tcBorders>
            <w:vAlign w:val="bottom"/>
          </w:tcPr>
          <w:p w:rsidR="002B45C3" w:rsidRPr="006C3A42" w:rsidRDefault="002B45C3" w:rsidP="00A1449F">
            <w:pPr>
              <w:jc w:val="center"/>
              <w:rPr>
                <w:sz w:val="20"/>
                <w:szCs w:val="20"/>
              </w:rPr>
            </w:pPr>
            <w:r w:rsidRPr="006C3A42">
              <w:rPr>
                <w:sz w:val="20"/>
                <w:szCs w:val="20"/>
              </w:rPr>
              <w:t>75</w:t>
            </w:r>
          </w:p>
        </w:tc>
        <w:tc>
          <w:tcPr>
            <w:tcW w:w="623" w:type="pct"/>
            <w:tcBorders>
              <w:top w:val="nil"/>
              <w:left w:val="nil"/>
              <w:bottom w:val="nil"/>
              <w:right w:val="nil"/>
            </w:tcBorders>
            <w:vAlign w:val="bottom"/>
          </w:tcPr>
          <w:p w:rsidR="002B45C3" w:rsidRPr="006C3A42" w:rsidRDefault="002B45C3" w:rsidP="00A1449F">
            <w:pPr>
              <w:jc w:val="center"/>
              <w:rPr>
                <w:sz w:val="20"/>
                <w:szCs w:val="20"/>
              </w:rPr>
            </w:pPr>
            <w:r w:rsidRPr="006C3A42">
              <w:rPr>
                <w:sz w:val="20"/>
                <w:szCs w:val="20"/>
              </w:rPr>
              <w:t>90</w:t>
            </w:r>
          </w:p>
        </w:tc>
        <w:tc>
          <w:tcPr>
            <w:tcW w:w="671" w:type="pct"/>
            <w:tcBorders>
              <w:top w:val="nil"/>
              <w:left w:val="nil"/>
              <w:bottom w:val="nil"/>
              <w:right w:val="nil"/>
            </w:tcBorders>
            <w:vAlign w:val="bottom"/>
          </w:tcPr>
          <w:p w:rsidR="002B45C3" w:rsidRPr="006C3A42" w:rsidRDefault="002B45C3" w:rsidP="00A1449F">
            <w:pPr>
              <w:jc w:val="center"/>
              <w:rPr>
                <w:sz w:val="20"/>
                <w:szCs w:val="20"/>
              </w:rPr>
            </w:pPr>
            <w:r w:rsidRPr="006C3A42">
              <w:rPr>
                <w:sz w:val="20"/>
                <w:szCs w:val="20"/>
              </w:rPr>
              <w:t>.083</w:t>
            </w:r>
          </w:p>
        </w:tc>
        <w:tc>
          <w:tcPr>
            <w:tcW w:w="719" w:type="pct"/>
            <w:tcBorders>
              <w:top w:val="nil"/>
              <w:left w:val="nil"/>
              <w:bottom w:val="nil"/>
              <w:right w:val="nil"/>
            </w:tcBorders>
            <w:vAlign w:val="bottom"/>
          </w:tcPr>
          <w:p w:rsidR="002B45C3" w:rsidRPr="006C3A42" w:rsidRDefault="002B45C3" w:rsidP="00A1449F">
            <w:pPr>
              <w:jc w:val="center"/>
              <w:rPr>
                <w:sz w:val="20"/>
                <w:szCs w:val="20"/>
              </w:rPr>
            </w:pPr>
            <w:r w:rsidRPr="006C3A42">
              <w:rPr>
                <w:sz w:val="20"/>
                <w:szCs w:val="20"/>
              </w:rPr>
              <w:t>8</w:t>
            </w:r>
          </w:p>
        </w:tc>
      </w:tr>
      <w:tr w:rsidR="002B45C3" w:rsidRPr="006C3A42" w:rsidTr="00C02B01">
        <w:trPr>
          <w:trHeight w:val="288"/>
        </w:trPr>
        <w:tc>
          <w:tcPr>
            <w:tcW w:w="1690" w:type="pct"/>
            <w:tcBorders>
              <w:top w:val="nil"/>
              <w:left w:val="nil"/>
              <w:bottom w:val="single" w:sz="4" w:space="0" w:color="auto"/>
              <w:right w:val="nil"/>
            </w:tcBorders>
            <w:vAlign w:val="bottom"/>
          </w:tcPr>
          <w:p w:rsidR="002B45C3" w:rsidRPr="006C3A42" w:rsidRDefault="002B45C3" w:rsidP="00A1449F">
            <w:pPr>
              <w:tabs>
                <w:tab w:val="left" w:leader="dot" w:pos="2880"/>
              </w:tabs>
              <w:ind w:left="274"/>
              <w:rPr>
                <w:sz w:val="20"/>
                <w:szCs w:val="20"/>
              </w:rPr>
            </w:pPr>
          </w:p>
          <w:p w:rsidR="002B45C3" w:rsidRPr="006C3A42" w:rsidRDefault="002B45C3" w:rsidP="002B45C3">
            <w:pPr>
              <w:tabs>
                <w:tab w:val="left" w:leader="dot" w:pos="2880"/>
              </w:tabs>
              <w:ind w:left="274"/>
              <w:rPr>
                <w:b/>
                <w:sz w:val="20"/>
                <w:szCs w:val="20"/>
              </w:rPr>
            </w:pPr>
            <w:r w:rsidRPr="006C3A42">
              <w:rPr>
                <w:b/>
                <w:sz w:val="20"/>
                <w:szCs w:val="20"/>
              </w:rPr>
              <w:t>Total burden = 83 hours</w:t>
            </w:r>
          </w:p>
        </w:tc>
        <w:tc>
          <w:tcPr>
            <w:tcW w:w="529"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768"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623"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671"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719"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r>
    </w:tbl>
    <w:p w:rsidR="00272093" w:rsidRDefault="00272093" w:rsidP="00CE5E32">
      <w:pPr>
        <w:rPr>
          <w:sz w:val="22"/>
          <w:szCs w:val="22"/>
        </w:rPr>
      </w:pPr>
    </w:p>
    <w:p w:rsidR="0065219D" w:rsidRDefault="0065219D" w:rsidP="00D27704">
      <w:pPr>
        <w:tabs>
          <w:tab w:val="left" w:pos="360"/>
        </w:tabs>
        <w:autoSpaceDE w:val="0"/>
        <w:autoSpaceDN w:val="0"/>
        <w:adjustRightInd w:val="0"/>
        <w:rPr>
          <w:color w:val="000000"/>
          <w:sz w:val="22"/>
          <w:szCs w:val="22"/>
        </w:rPr>
      </w:pPr>
    </w:p>
    <w:p w:rsidR="0065219D" w:rsidRDefault="0065219D" w:rsidP="00D27704">
      <w:pPr>
        <w:tabs>
          <w:tab w:val="left" w:pos="360"/>
        </w:tabs>
        <w:autoSpaceDE w:val="0"/>
        <w:autoSpaceDN w:val="0"/>
        <w:adjustRightInd w:val="0"/>
        <w:rPr>
          <w:color w:val="000000"/>
          <w:sz w:val="22"/>
          <w:szCs w:val="22"/>
        </w:rPr>
      </w:pPr>
    </w:p>
    <w:p w:rsidR="00D27704" w:rsidRDefault="00C02B01" w:rsidP="00D27704">
      <w:pPr>
        <w:tabs>
          <w:tab w:val="left" w:pos="360"/>
        </w:tabs>
        <w:autoSpaceDE w:val="0"/>
        <w:autoSpaceDN w:val="0"/>
        <w:adjustRightInd w:val="0"/>
        <w:rPr>
          <w:bCs/>
          <w:sz w:val="22"/>
          <w:szCs w:val="22"/>
        </w:rPr>
      </w:pPr>
      <w:r w:rsidRPr="00C02B01">
        <w:rPr>
          <w:b/>
          <w:color w:val="000000"/>
          <w:sz w:val="22"/>
          <w:szCs w:val="22"/>
        </w:rPr>
        <w:t>Full-scale data collection</w:t>
      </w:r>
      <w:r>
        <w:rPr>
          <w:color w:val="000000"/>
          <w:sz w:val="22"/>
          <w:szCs w:val="22"/>
        </w:rPr>
        <w:t xml:space="preserve">:  </w:t>
      </w:r>
      <w:r w:rsidR="00D27704">
        <w:rPr>
          <w:color w:val="000000"/>
          <w:sz w:val="22"/>
          <w:szCs w:val="22"/>
        </w:rPr>
        <w:t xml:space="preserve">For the full-scale survey, </w:t>
      </w:r>
      <w:r w:rsidR="00D27704" w:rsidRPr="00D27704">
        <w:rPr>
          <w:color w:val="000000"/>
          <w:sz w:val="22"/>
          <w:szCs w:val="22"/>
        </w:rPr>
        <w:t>approximately 1,670 postsecondary</w:t>
      </w:r>
      <w:r w:rsidR="00D27704" w:rsidRPr="00CE5E32">
        <w:rPr>
          <w:color w:val="000000"/>
          <w:sz w:val="22"/>
          <w:szCs w:val="22"/>
        </w:rPr>
        <w:t xml:space="preserve"> institutions will be contacted and asked to respond to the survey only one time</w:t>
      </w:r>
      <w:r w:rsidR="0093144A">
        <w:rPr>
          <w:color w:val="000000"/>
          <w:sz w:val="22"/>
          <w:szCs w:val="22"/>
        </w:rPr>
        <w:t xml:space="preserve"> (table A-2)</w:t>
      </w:r>
      <w:r w:rsidR="00D27704" w:rsidRPr="00CE5E32">
        <w:rPr>
          <w:color w:val="000000"/>
          <w:sz w:val="22"/>
          <w:szCs w:val="22"/>
        </w:rPr>
        <w:t>.</w:t>
      </w:r>
      <w:r w:rsidR="00D27704" w:rsidRPr="00272093">
        <w:rPr>
          <w:color w:val="000000"/>
          <w:sz w:val="22"/>
          <w:szCs w:val="22"/>
        </w:rPr>
        <w:t xml:space="preserve">   </w:t>
      </w:r>
      <w:r w:rsidR="00A6283A">
        <w:rPr>
          <w:color w:val="000000"/>
          <w:sz w:val="22"/>
          <w:szCs w:val="22"/>
        </w:rPr>
        <w:t>Based on findings from the pilot test and changes to the questionnaire</w:t>
      </w:r>
      <w:r w:rsidR="007831C4">
        <w:rPr>
          <w:color w:val="000000"/>
          <w:sz w:val="22"/>
          <w:szCs w:val="22"/>
        </w:rPr>
        <w:t xml:space="preserve"> to encourage respondents to provide comments in the comment boxes</w:t>
      </w:r>
      <w:r w:rsidR="00A6283A">
        <w:rPr>
          <w:color w:val="000000"/>
          <w:sz w:val="22"/>
          <w:szCs w:val="22"/>
        </w:rPr>
        <w:t xml:space="preserve">, the estimated time to complete the survey is 30 minutes.  </w:t>
      </w:r>
      <w:r w:rsidR="00D27704" w:rsidRPr="00272093">
        <w:rPr>
          <w:bCs/>
          <w:sz w:val="22"/>
          <w:szCs w:val="22"/>
        </w:rPr>
        <w:t xml:space="preserve">At a response rate of </w:t>
      </w:r>
      <w:r w:rsidR="00D27704">
        <w:rPr>
          <w:bCs/>
          <w:sz w:val="22"/>
          <w:szCs w:val="22"/>
        </w:rPr>
        <w:t>85</w:t>
      </w:r>
      <w:r w:rsidR="00D27704" w:rsidRPr="00272093">
        <w:rPr>
          <w:bCs/>
          <w:sz w:val="22"/>
          <w:szCs w:val="22"/>
        </w:rPr>
        <w:t xml:space="preserve"> percent, the </w:t>
      </w:r>
      <w:r w:rsidR="00D27704" w:rsidRPr="00272093">
        <w:rPr>
          <w:sz w:val="22"/>
          <w:szCs w:val="22"/>
        </w:rPr>
        <w:t xml:space="preserve">initial sample will yield about </w:t>
      </w:r>
      <w:r w:rsidR="00D27704">
        <w:rPr>
          <w:sz w:val="22"/>
          <w:szCs w:val="22"/>
        </w:rPr>
        <w:t>1,420</w:t>
      </w:r>
      <w:r w:rsidR="00D27704" w:rsidRPr="00272093">
        <w:rPr>
          <w:sz w:val="22"/>
          <w:szCs w:val="22"/>
        </w:rPr>
        <w:t xml:space="preserve"> completed questionnaires. </w:t>
      </w:r>
      <w:r w:rsidR="00D27704" w:rsidRPr="00272093">
        <w:rPr>
          <w:bCs/>
          <w:sz w:val="22"/>
          <w:szCs w:val="22"/>
        </w:rPr>
        <w:t xml:space="preserve"> </w:t>
      </w:r>
      <w:r w:rsidR="00D27704" w:rsidRPr="00272093">
        <w:rPr>
          <w:sz w:val="22"/>
          <w:szCs w:val="22"/>
        </w:rPr>
        <w:t xml:space="preserve">Based on a response burden of approximately </w:t>
      </w:r>
      <w:r w:rsidR="00A40418">
        <w:rPr>
          <w:sz w:val="22"/>
          <w:szCs w:val="22"/>
        </w:rPr>
        <w:t>30</w:t>
      </w:r>
      <w:r w:rsidR="00D27704" w:rsidRPr="00272093">
        <w:rPr>
          <w:sz w:val="22"/>
          <w:szCs w:val="22"/>
        </w:rPr>
        <w:t xml:space="preserve"> minutes per completed questionnaire, the estimated response burden to complete the questionnaire is about </w:t>
      </w:r>
      <w:r w:rsidR="00A6283A">
        <w:rPr>
          <w:sz w:val="22"/>
          <w:szCs w:val="22"/>
        </w:rPr>
        <w:t>710</w:t>
      </w:r>
      <w:r w:rsidR="00D27704" w:rsidRPr="00272093">
        <w:rPr>
          <w:sz w:val="22"/>
          <w:szCs w:val="22"/>
        </w:rPr>
        <w:t xml:space="preserve"> hours.</w:t>
      </w:r>
      <w:r w:rsidR="00D27704" w:rsidRPr="00272093">
        <w:rPr>
          <w:bCs/>
          <w:sz w:val="22"/>
          <w:szCs w:val="22"/>
        </w:rPr>
        <w:t xml:space="preserve">  It is anticipated that about </w:t>
      </w:r>
      <w:r w:rsidR="00A6283A">
        <w:rPr>
          <w:bCs/>
          <w:sz w:val="22"/>
          <w:szCs w:val="22"/>
        </w:rPr>
        <w:t>5</w:t>
      </w:r>
      <w:r w:rsidR="00D27704" w:rsidRPr="00272093">
        <w:rPr>
          <w:bCs/>
          <w:sz w:val="22"/>
          <w:szCs w:val="22"/>
        </w:rPr>
        <w:t xml:space="preserve"> percent of the sample will have returned the completed survey before nonresponse follow up begins and about </w:t>
      </w:r>
      <w:r w:rsidR="00A6283A">
        <w:rPr>
          <w:bCs/>
          <w:sz w:val="22"/>
          <w:szCs w:val="22"/>
        </w:rPr>
        <w:t xml:space="preserve">95 </w:t>
      </w:r>
      <w:r w:rsidR="00D27704" w:rsidRPr="00272093">
        <w:rPr>
          <w:bCs/>
          <w:sz w:val="22"/>
          <w:szCs w:val="22"/>
        </w:rPr>
        <w:t xml:space="preserve">percent of the sample (i.e., </w:t>
      </w:r>
      <w:r w:rsidR="002B45C3">
        <w:rPr>
          <w:bCs/>
          <w:sz w:val="22"/>
          <w:szCs w:val="22"/>
        </w:rPr>
        <w:t>1,</w:t>
      </w:r>
      <w:r w:rsidR="00A6283A">
        <w:rPr>
          <w:bCs/>
          <w:sz w:val="22"/>
          <w:szCs w:val="22"/>
        </w:rPr>
        <w:t>586</w:t>
      </w:r>
      <w:r w:rsidR="002B45C3">
        <w:rPr>
          <w:bCs/>
          <w:sz w:val="22"/>
          <w:szCs w:val="22"/>
        </w:rPr>
        <w:t xml:space="preserve"> </w:t>
      </w:r>
      <w:r w:rsidR="00D27704" w:rsidRPr="00272093">
        <w:rPr>
          <w:bCs/>
          <w:sz w:val="22"/>
          <w:szCs w:val="22"/>
        </w:rPr>
        <w:t xml:space="preserve">respondents) will receive </w:t>
      </w:r>
      <w:r w:rsidR="00A6283A">
        <w:rPr>
          <w:bCs/>
          <w:sz w:val="22"/>
          <w:szCs w:val="22"/>
        </w:rPr>
        <w:t xml:space="preserve">one to four </w:t>
      </w:r>
      <w:r w:rsidR="00D27704" w:rsidRPr="00272093">
        <w:rPr>
          <w:bCs/>
          <w:sz w:val="22"/>
          <w:szCs w:val="22"/>
        </w:rPr>
        <w:t>nonresponse follow up call</w:t>
      </w:r>
      <w:r w:rsidR="00A6283A">
        <w:rPr>
          <w:bCs/>
          <w:sz w:val="22"/>
          <w:szCs w:val="22"/>
        </w:rPr>
        <w:t>s</w:t>
      </w:r>
      <w:r w:rsidR="00D27704" w:rsidRPr="00272093">
        <w:rPr>
          <w:bCs/>
          <w:sz w:val="22"/>
          <w:szCs w:val="22"/>
        </w:rPr>
        <w:t xml:space="preserve"> </w:t>
      </w:r>
      <w:r>
        <w:rPr>
          <w:bCs/>
          <w:sz w:val="22"/>
          <w:szCs w:val="22"/>
        </w:rPr>
        <w:t xml:space="preserve">for </w:t>
      </w:r>
      <w:r w:rsidR="00D27704" w:rsidRPr="00272093">
        <w:rPr>
          <w:bCs/>
          <w:sz w:val="22"/>
          <w:szCs w:val="22"/>
        </w:rPr>
        <w:t>a</w:t>
      </w:r>
      <w:r w:rsidR="00A6283A">
        <w:rPr>
          <w:bCs/>
          <w:sz w:val="22"/>
          <w:szCs w:val="22"/>
        </w:rPr>
        <w:t>n average of 10</w:t>
      </w:r>
      <w:r w:rsidR="00D27704" w:rsidRPr="00272093">
        <w:rPr>
          <w:bCs/>
          <w:sz w:val="22"/>
          <w:szCs w:val="22"/>
        </w:rPr>
        <w:t xml:space="preserve"> minutes</w:t>
      </w:r>
      <w:r w:rsidR="00A6283A">
        <w:rPr>
          <w:bCs/>
          <w:sz w:val="22"/>
          <w:szCs w:val="22"/>
        </w:rPr>
        <w:t xml:space="preserve"> per </w:t>
      </w:r>
      <w:r>
        <w:rPr>
          <w:bCs/>
          <w:sz w:val="22"/>
          <w:szCs w:val="22"/>
        </w:rPr>
        <w:t>respondent</w:t>
      </w:r>
      <w:r w:rsidR="00D27704" w:rsidRPr="00272093">
        <w:rPr>
          <w:bCs/>
          <w:sz w:val="22"/>
          <w:szCs w:val="22"/>
        </w:rPr>
        <w:t xml:space="preserve">.  The total estimated burden time for nonresponse follow up </w:t>
      </w:r>
      <w:r>
        <w:rPr>
          <w:bCs/>
          <w:sz w:val="22"/>
          <w:szCs w:val="22"/>
        </w:rPr>
        <w:t xml:space="preserve">with respondents </w:t>
      </w:r>
      <w:r w:rsidR="00D27704" w:rsidRPr="00272093">
        <w:rPr>
          <w:bCs/>
          <w:sz w:val="22"/>
          <w:szCs w:val="22"/>
        </w:rPr>
        <w:t xml:space="preserve">is about </w:t>
      </w:r>
      <w:r w:rsidR="00A6283A">
        <w:rPr>
          <w:bCs/>
          <w:sz w:val="22"/>
          <w:szCs w:val="22"/>
        </w:rPr>
        <w:t>26</w:t>
      </w:r>
      <w:r w:rsidR="0065219D">
        <w:rPr>
          <w:bCs/>
          <w:sz w:val="22"/>
          <w:szCs w:val="22"/>
        </w:rPr>
        <w:t>5</w:t>
      </w:r>
      <w:r w:rsidR="00D27704" w:rsidRPr="006C3A42">
        <w:rPr>
          <w:bCs/>
          <w:sz w:val="22"/>
          <w:szCs w:val="22"/>
        </w:rPr>
        <w:t xml:space="preserve"> hours</w:t>
      </w:r>
      <w:r w:rsidR="00D27704" w:rsidRPr="009A5327">
        <w:rPr>
          <w:bCs/>
          <w:sz w:val="22"/>
          <w:szCs w:val="22"/>
        </w:rPr>
        <w:t>.</w:t>
      </w:r>
      <w:r w:rsidR="00D27704" w:rsidRPr="00272093">
        <w:rPr>
          <w:bCs/>
          <w:sz w:val="22"/>
          <w:szCs w:val="22"/>
        </w:rPr>
        <w:t xml:space="preserve">  The total number of burden hours for data collection and nonresponse follow up is about </w:t>
      </w:r>
      <w:r w:rsidR="00A6283A">
        <w:rPr>
          <w:bCs/>
          <w:sz w:val="22"/>
          <w:szCs w:val="22"/>
        </w:rPr>
        <w:t>97</w:t>
      </w:r>
      <w:r w:rsidR="007831C4">
        <w:rPr>
          <w:bCs/>
          <w:sz w:val="22"/>
          <w:szCs w:val="22"/>
        </w:rPr>
        <w:t>5</w:t>
      </w:r>
      <w:r w:rsidR="00D27704" w:rsidRPr="009A5327">
        <w:rPr>
          <w:bCs/>
          <w:sz w:val="22"/>
          <w:szCs w:val="22"/>
        </w:rPr>
        <w:t xml:space="preserve"> hours.</w:t>
      </w:r>
      <w:r w:rsidR="00D27704">
        <w:rPr>
          <w:bCs/>
          <w:sz w:val="22"/>
          <w:szCs w:val="22"/>
        </w:rPr>
        <w:t xml:space="preserve">  </w:t>
      </w:r>
    </w:p>
    <w:p w:rsidR="00D27704" w:rsidRDefault="00D27704" w:rsidP="00D27704">
      <w:pPr>
        <w:tabs>
          <w:tab w:val="left" w:pos="360"/>
        </w:tabs>
        <w:autoSpaceDE w:val="0"/>
        <w:autoSpaceDN w:val="0"/>
        <w:adjustRightInd w:val="0"/>
        <w:rPr>
          <w:sz w:val="22"/>
          <w:szCs w:val="22"/>
        </w:rPr>
      </w:pPr>
    </w:p>
    <w:p w:rsidR="0065219D" w:rsidRDefault="0065219D">
      <w:pPr>
        <w:rPr>
          <w:b/>
          <w:sz w:val="20"/>
          <w:szCs w:val="20"/>
        </w:rPr>
      </w:pPr>
      <w:r>
        <w:rPr>
          <w:b/>
          <w:sz w:val="20"/>
          <w:szCs w:val="20"/>
        </w:rPr>
        <w:br w:type="page"/>
      </w:r>
    </w:p>
    <w:p w:rsidR="0093144A" w:rsidRPr="006C3A42" w:rsidRDefault="0093144A" w:rsidP="0093144A">
      <w:pPr>
        <w:ind w:left="1440" w:hanging="1440"/>
        <w:rPr>
          <w:b/>
          <w:bCs/>
          <w:sz w:val="20"/>
          <w:szCs w:val="20"/>
        </w:rPr>
      </w:pPr>
      <w:r w:rsidRPr="006C3A42">
        <w:rPr>
          <w:b/>
          <w:sz w:val="20"/>
          <w:szCs w:val="20"/>
        </w:rPr>
        <w:lastRenderedPageBreak/>
        <w:t>Table A-2.</w:t>
      </w:r>
      <w:r w:rsidRPr="006C3A42">
        <w:rPr>
          <w:b/>
          <w:sz w:val="20"/>
          <w:szCs w:val="20"/>
        </w:rPr>
        <w:tab/>
        <w:t>Estimated burden for data collection and nonresponse follow up for the full-scale survey</w:t>
      </w:r>
    </w:p>
    <w:p w:rsidR="0093144A" w:rsidRPr="006C3A42" w:rsidRDefault="0093144A" w:rsidP="0093144A">
      <w:pPr>
        <w:spacing w:line="120" w:lineRule="exact"/>
        <w:rPr>
          <w:sz w:val="20"/>
          <w:szCs w:val="20"/>
        </w:rPr>
      </w:pPr>
    </w:p>
    <w:tbl>
      <w:tblPr>
        <w:tblW w:w="48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9"/>
        <w:gridCol w:w="993"/>
        <w:gridCol w:w="1441"/>
        <w:gridCol w:w="1168"/>
        <w:gridCol w:w="1258"/>
        <w:gridCol w:w="1170"/>
      </w:tblGrid>
      <w:tr w:rsidR="002B45C3" w:rsidRPr="006C3A42" w:rsidTr="0065219D">
        <w:trPr>
          <w:trHeight w:val="548"/>
        </w:trPr>
        <w:tc>
          <w:tcPr>
            <w:tcW w:w="1722" w:type="pct"/>
            <w:tcBorders>
              <w:left w:val="nil"/>
              <w:bottom w:val="single" w:sz="4" w:space="0" w:color="auto"/>
            </w:tcBorders>
            <w:vAlign w:val="center"/>
          </w:tcPr>
          <w:p w:rsidR="002B45C3" w:rsidRPr="006C3A42" w:rsidRDefault="002B45C3" w:rsidP="00A1449F">
            <w:pPr>
              <w:rPr>
                <w:b/>
                <w:sz w:val="20"/>
                <w:szCs w:val="20"/>
              </w:rPr>
            </w:pPr>
            <w:r w:rsidRPr="006C3A42">
              <w:rPr>
                <w:b/>
                <w:sz w:val="20"/>
                <w:szCs w:val="20"/>
              </w:rPr>
              <w:t>Type of Collection</w:t>
            </w:r>
          </w:p>
        </w:tc>
        <w:tc>
          <w:tcPr>
            <w:tcW w:w="539" w:type="pct"/>
            <w:tcBorders>
              <w:bottom w:val="single" w:sz="4" w:space="0" w:color="auto"/>
            </w:tcBorders>
            <w:vAlign w:val="center"/>
          </w:tcPr>
          <w:p w:rsidR="002B45C3" w:rsidRPr="006C3A42" w:rsidRDefault="002B45C3" w:rsidP="00A1449F">
            <w:pPr>
              <w:jc w:val="center"/>
              <w:rPr>
                <w:b/>
                <w:sz w:val="20"/>
                <w:szCs w:val="20"/>
              </w:rPr>
            </w:pPr>
            <w:r w:rsidRPr="006C3A42">
              <w:rPr>
                <w:b/>
                <w:sz w:val="20"/>
                <w:szCs w:val="20"/>
              </w:rPr>
              <w:t>Sample size</w:t>
            </w:r>
          </w:p>
        </w:tc>
        <w:tc>
          <w:tcPr>
            <w:tcW w:w="783" w:type="pct"/>
            <w:tcBorders>
              <w:bottom w:val="single" w:sz="4" w:space="0" w:color="auto"/>
            </w:tcBorders>
            <w:vAlign w:val="center"/>
          </w:tcPr>
          <w:p w:rsidR="002B45C3" w:rsidRPr="006C3A42" w:rsidRDefault="002B45C3" w:rsidP="00A1449F">
            <w:pPr>
              <w:jc w:val="center"/>
              <w:rPr>
                <w:b/>
                <w:sz w:val="20"/>
                <w:szCs w:val="20"/>
              </w:rPr>
            </w:pPr>
            <w:r w:rsidRPr="006C3A42">
              <w:rPr>
                <w:b/>
                <w:sz w:val="20"/>
                <w:szCs w:val="20"/>
              </w:rPr>
              <w:t>Estimated response rate</w:t>
            </w:r>
            <w:r w:rsidR="00A6283A">
              <w:rPr>
                <w:b/>
                <w:sz w:val="20"/>
                <w:szCs w:val="20"/>
              </w:rPr>
              <w:t>/follow</w:t>
            </w:r>
            <w:r w:rsidR="0065219D">
              <w:rPr>
                <w:b/>
                <w:sz w:val="20"/>
                <w:szCs w:val="20"/>
              </w:rPr>
              <w:t>up</w:t>
            </w:r>
            <w:r w:rsidR="00A6283A">
              <w:rPr>
                <w:b/>
                <w:sz w:val="20"/>
                <w:szCs w:val="20"/>
              </w:rPr>
              <w:t xml:space="preserve"> required</w:t>
            </w:r>
            <w:r w:rsidRPr="006C3A42">
              <w:rPr>
                <w:b/>
                <w:sz w:val="20"/>
                <w:szCs w:val="20"/>
              </w:rPr>
              <w:t xml:space="preserve"> (percent)</w:t>
            </w:r>
          </w:p>
        </w:tc>
        <w:tc>
          <w:tcPr>
            <w:tcW w:w="635" w:type="pct"/>
            <w:tcBorders>
              <w:bottom w:val="single" w:sz="4" w:space="0" w:color="auto"/>
            </w:tcBorders>
            <w:vAlign w:val="center"/>
          </w:tcPr>
          <w:p w:rsidR="002B45C3" w:rsidRPr="006C3A42" w:rsidRDefault="002B45C3" w:rsidP="00A1449F">
            <w:pPr>
              <w:jc w:val="center"/>
              <w:rPr>
                <w:b/>
                <w:sz w:val="20"/>
                <w:szCs w:val="20"/>
              </w:rPr>
            </w:pPr>
            <w:r w:rsidRPr="006C3A42">
              <w:rPr>
                <w:b/>
                <w:sz w:val="20"/>
                <w:szCs w:val="20"/>
              </w:rPr>
              <w:t>Estimated number of responses</w:t>
            </w:r>
          </w:p>
        </w:tc>
        <w:tc>
          <w:tcPr>
            <w:tcW w:w="684" w:type="pct"/>
            <w:tcBorders>
              <w:bottom w:val="single" w:sz="4" w:space="0" w:color="auto"/>
            </w:tcBorders>
            <w:vAlign w:val="center"/>
          </w:tcPr>
          <w:p w:rsidR="002B45C3" w:rsidRPr="006C3A42" w:rsidRDefault="002B45C3" w:rsidP="00A1449F">
            <w:pPr>
              <w:jc w:val="center"/>
              <w:rPr>
                <w:b/>
                <w:sz w:val="20"/>
                <w:szCs w:val="20"/>
              </w:rPr>
            </w:pPr>
            <w:r w:rsidRPr="006C3A42">
              <w:rPr>
                <w:b/>
                <w:sz w:val="20"/>
                <w:szCs w:val="20"/>
              </w:rPr>
              <w:t>Total burden hours per respondent</w:t>
            </w:r>
          </w:p>
        </w:tc>
        <w:tc>
          <w:tcPr>
            <w:tcW w:w="636" w:type="pct"/>
            <w:tcBorders>
              <w:bottom w:val="single" w:sz="4" w:space="0" w:color="auto"/>
              <w:right w:val="nil"/>
            </w:tcBorders>
            <w:vAlign w:val="center"/>
          </w:tcPr>
          <w:p w:rsidR="002B45C3" w:rsidRPr="006C3A42" w:rsidRDefault="002B45C3" w:rsidP="00A1449F">
            <w:pPr>
              <w:jc w:val="center"/>
              <w:rPr>
                <w:b/>
                <w:sz w:val="20"/>
                <w:szCs w:val="20"/>
              </w:rPr>
            </w:pPr>
            <w:r w:rsidRPr="006C3A42">
              <w:rPr>
                <w:b/>
                <w:sz w:val="20"/>
                <w:szCs w:val="20"/>
              </w:rPr>
              <w:t>Respondent Burden Hours</w:t>
            </w:r>
          </w:p>
        </w:tc>
      </w:tr>
      <w:tr w:rsidR="002B45C3" w:rsidRPr="006C3A42" w:rsidTr="0065219D">
        <w:trPr>
          <w:trHeight w:val="288"/>
        </w:trPr>
        <w:tc>
          <w:tcPr>
            <w:tcW w:w="1722" w:type="pct"/>
            <w:tcBorders>
              <w:top w:val="single" w:sz="4" w:space="0" w:color="auto"/>
              <w:left w:val="nil"/>
              <w:bottom w:val="nil"/>
              <w:right w:val="nil"/>
            </w:tcBorders>
            <w:vAlign w:val="bottom"/>
          </w:tcPr>
          <w:p w:rsidR="002B45C3" w:rsidRPr="006C3A42" w:rsidRDefault="002B45C3" w:rsidP="00A1449F">
            <w:pPr>
              <w:tabs>
                <w:tab w:val="left" w:leader="dot" w:pos="2880"/>
              </w:tabs>
              <w:ind w:left="274"/>
              <w:rPr>
                <w:sz w:val="20"/>
                <w:szCs w:val="20"/>
              </w:rPr>
            </w:pPr>
          </w:p>
          <w:p w:rsidR="002B45C3" w:rsidRPr="006C3A42" w:rsidRDefault="002B45C3" w:rsidP="00A1449F">
            <w:pPr>
              <w:tabs>
                <w:tab w:val="left" w:leader="dot" w:pos="2880"/>
              </w:tabs>
              <w:ind w:left="274"/>
              <w:rPr>
                <w:sz w:val="20"/>
                <w:szCs w:val="20"/>
              </w:rPr>
            </w:pPr>
            <w:r w:rsidRPr="006C3A42">
              <w:rPr>
                <w:sz w:val="20"/>
                <w:szCs w:val="20"/>
              </w:rPr>
              <w:t>Questionnaire</w:t>
            </w:r>
            <w:r w:rsidRPr="006C3A42">
              <w:rPr>
                <w:sz w:val="20"/>
                <w:szCs w:val="20"/>
              </w:rPr>
              <w:tab/>
            </w:r>
          </w:p>
        </w:tc>
        <w:tc>
          <w:tcPr>
            <w:tcW w:w="539"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1,670</w:t>
            </w:r>
          </w:p>
        </w:tc>
        <w:tc>
          <w:tcPr>
            <w:tcW w:w="783"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85</w:t>
            </w:r>
          </w:p>
        </w:tc>
        <w:tc>
          <w:tcPr>
            <w:tcW w:w="635" w:type="pct"/>
            <w:tcBorders>
              <w:top w:val="single" w:sz="4" w:space="0" w:color="auto"/>
              <w:left w:val="nil"/>
              <w:bottom w:val="nil"/>
              <w:right w:val="nil"/>
            </w:tcBorders>
            <w:vAlign w:val="bottom"/>
          </w:tcPr>
          <w:p w:rsidR="002B45C3" w:rsidRPr="006C3A42" w:rsidRDefault="002B45C3" w:rsidP="00A1449F">
            <w:pPr>
              <w:jc w:val="center"/>
              <w:rPr>
                <w:sz w:val="20"/>
                <w:szCs w:val="20"/>
              </w:rPr>
            </w:pPr>
            <w:r w:rsidRPr="006C3A42">
              <w:rPr>
                <w:sz w:val="20"/>
                <w:szCs w:val="20"/>
              </w:rPr>
              <w:t>1,420</w:t>
            </w:r>
          </w:p>
        </w:tc>
        <w:tc>
          <w:tcPr>
            <w:tcW w:w="684" w:type="pct"/>
            <w:tcBorders>
              <w:top w:val="single" w:sz="4" w:space="0" w:color="auto"/>
              <w:left w:val="nil"/>
              <w:bottom w:val="nil"/>
              <w:right w:val="nil"/>
            </w:tcBorders>
            <w:vAlign w:val="bottom"/>
          </w:tcPr>
          <w:p w:rsidR="002B45C3" w:rsidRPr="006C3A42" w:rsidRDefault="002B45C3" w:rsidP="0065219D">
            <w:pPr>
              <w:jc w:val="center"/>
              <w:rPr>
                <w:sz w:val="20"/>
                <w:szCs w:val="20"/>
              </w:rPr>
            </w:pPr>
            <w:r w:rsidRPr="006C3A42">
              <w:rPr>
                <w:sz w:val="20"/>
                <w:szCs w:val="20"/>
              </w:rPr>
              <w:t>.</w:t>
            </w:r>
            <w:r w:rsidR="0065219D">
              <w:rPr>
                <w:sz w:val="20"/>
                <w:szCs w:val="20"/>
              </w:rPr>
              <w:t>50</w:t>
            </w:r>
          </w:p>
        </w:tc>
        <w:tc>
          <w:tcPr>
            <w:tcW w:w="636" w:type="pct"/>
            <w:tcBorders>
              <w:top w:val="single" w:sz="4" w:space="0" w:color="auto"/>
              <w:left w:val="nil"/>
              <w:bottom w:val="nil"/>
              <w:right w:val="nil"/>
            </w:tcBorders>
            <w:vAlign w:val="bottom"/>
          </w:tcPr>
          <w:p w:rsidR="002B45C3" w:rsidRPr="006C3A42" w:rsidRDefault="0065219D" w:rsidP="0065219D">
            <w:pPr>
              <w:jc w:val="center"/>
              <w:rPr>
                <w:sz w:val="20"/>
                <w:szCs w:val="20"/>
              </w:rPr>
            </w:pPr>
            <w:r>
              <w:rPr>
                <w:sz w:val="20"/>
                <w:szCs w:val="20"/>
              </w:rPr>
              <w:t>710</w:t>
            </w:r>
          </w:p>
        </w:tc>
      </w:tr>
      <w:tr w:rsidR="002B45C3" w:rsidRPr="006C3A42" w:rsidTr="0065219D">
        <w:trPr>
          <w:trHeight w:val="288"/>
        </w:trPr>
        <w:tc>
          <w:tcPr>
            <w:tcW w:w="1722" w:type="pct"/>
            <w:tcBorders>
              <w:top w:val="nil"/>
              <w:left w:val="nil"/>
              <w:bottom w:val="nil"/>
              <w:right w:val="nil"/>
            </w:tcBorders>
            <w:vAlign w:val="bottom"/>
          </w:tcPr>
          <w:p w:rsidR="002B45C3" w:rsidRPr="006C3A42" w:rsidRDefault="002B45C3" w:rsidP="00A1449F">
            <w:pPr>
              <w:tabs>
                <w:tab w:val="left" w:leader="dot" w:pos="2880"/>
              </w:tabs>
              <w:ind w:left="274"/>
              <w:rPr>
                <w:sz w:val="20"/>
                <w:szCs w:val="20"/>
              </w:rPr>
            </w:pPr>
            <w:r w:rsidRPr="006C3A42">
              <w:rPr>
                <w:sz w:val="20"/>
                <w:szCs w:val="20"/>
              </w:rPr>
              <w:t>Nonresponse follow-up call</w:t>
            </w:r>
            <w:r w:rsidRPr="006C3A42">
              <w:rPr>
                <w:sz w:val="20"/>
                <w:szCs w:val="20"/>
              </w:rPr>
              <w:tab/>
            </w:r>
          </w:p>
        </w:tc>
        <w:tc>
          <w:tcPr>
            <w:tcW w:w="539" w:type="pct"/>
            <w:tcBorders>
              <w:top w:val="nil"/>
              <w:left w:val="nil"/>
              <w:bottom w:val="nil"/>
              <w:right w:val="nil"/>
            </w:tcBorders>
            <w:vAlign w:val="bottom"/>
          </w:tcPr>
          <w:p w:rsidR="002B45C3" w:rsidRPr="006C3A42" w:rsidRDefault="002B45C3" w:rsidP="00A1449F">
            <w:pPr>
              <w:jc w:val="center"/>
              <w:rPr>
                <w:sz w:val="20"/>
                <w:szCs w:val="20"/>
              </w:rPr>
            </w:pPr>
            <w:r w:rsidRPr="006C3A42">
              <w:rPr>
                <w:sz w:val="20"/>
                <w:szCs w:val="20"/>
              </w:rPr>
              <w:t>1,670</w:t>
            </w:r>
          </w:p>
        </w:tc>
        <w:tc>
          <w:tcPr>
            <w:tcW w:w="783" w:type="pct"/>
            <w:tcBorders>
              <w:top w:val="nil"/>
              <w:left w:val="nil"/>
              <w:bottom w:val="nil"/>
              <w:right w:val="nil"/>
            </w:tcBorders>
            <w:vAlign w:val="bottom"/>
          </w:tcPr>
          <w:p w:rsidR="002B45C3" w:rsidRPr="006C3A42" w:rsidRDefault="0065219D" w:rsidP="0065219D">
            <w:pPr>
              <w:jc w:val="center"/>
              <w:rPr>
                <w:sz w:val="20"/>
                <w:szCs w:val="20"/>
              </w:rPr>
            </w:pPr>
            <w:r>
              <w:rPr>
                <w:sz w:val="20"/>
                <w:szCs w:val="20"/>
              </w:rPr>
              <w:t>95</w:t>
            </w:r>
          </w:p>
        </w:tc>
        <w:tc>
          <w:tcPr>
            <w:tcW w:w="635" w:type="pct"/>
            <w:tcBorders>
              <w:top w:val="nil"/>
              <w:left w:val="nil"/>
              <w:bottom w:val="nil"/>
              <w:right w:val="nil"/>
            </w:tcBorders>
            <w:vAlign w:val="bottom"/>
          </w:tcPr>
          <w:p w:rsidR="002B45C3" w:rsidRPr="006C3A42" w:rsidRDefault="002B45C3" w:rsidP="0065219D">
            <w:pPr>
              <w:jc w:val="center"/>
              <w:rPr>
                <w:sz w:val="20"/>
                <w:szCs w:val="20"/>
              </w:rPr>
            </w:pPr>
            <w:r w:rsidRPr="006C3A42">
              <w:rPr>
                <w:sz w:val="20"/>
                <w:szCs w:val="20"/>
              </w:rPr>
              <w:t>1,</w:t>
            </w:r>
            <w:r w:rsidR="0065219D">
              <w:rPr>
                <w:sz w:val="20"/>
                <w:szCs w:val="20"/>
              </w:rPr>
              <w:t>586</w:t>
            </w:r>
          </w:p>
        </w:tc>
        <w:tc>
          <w:tcPr>
            <w:tcW w:w="684" w:type="pct"/>
            <w:tcBorders>
              <w:top w:val="nil"/>
              <w:left w:val="nil"/>
              <w:bottom w:val="nil"/>
              <w:right w:val="nil"/>
            </w:tcBorders>
            <w:vAlign w:val="bottom"/>
          </w:tcPr>
          <w:p w:rsidR="002B45C3" w:rsidRPr="006C3A42" w:rsidRDefault="002B45C3" w:rsidP="0065219D">
            <w:pPr>
              <w:jc w:val="center"/>
              <w:rPr>
                <w:sz w:val="20"/>
                <w:szCs w:val="20"/>
              </w:rPr>
            </w:pPr>
            <w:r w:rsidRPr="006C3A42">
              <w:rPr>
                <w:sz w:val="20"/>
                <w:szCs w:val="20"/>
              </w:rPr>
              <w:t>.</w:t>
            </w:r>
            <w:r w:rsidR="0065219D">
              <w:rPr>
                <w:sz w:val="20"/>
                <w:szCs w:val="20"/>
              </w:rPr>
              <w:t>167</w:t>
            </w:r>
          </w:p>
        </w:tc>
        <w:tc>
          <w:tcPr>
            <w:tcW w:w="636" w:type="pct"/>
            <w:tcBorders>
              <w:top w:val="nil"/>
              <w:left w:val="nil"/>
              <w:bottom w:val="nil"/>
              <w:right w:val="nil"/>
            </w:tcBorders>
            <w:vAlign w:val="bottom"/>
          </w:tcPr>
          <w:p w:rsidR="002B45C3" w:rsidRPr="006C3A42" w:rsidRDefault="0065219D" w:rsidP="0065219D">
            <w:pPr>
              <w:jc w:val="center"/>
              <w:rPr>
                <w:sz w:val="20"/>
                <w:szCs w:val="20"/>
              </w:rPr>
            </w:pPr>
            <w:r>
              <w:rPr>
                <w:sz w:val="20"/>
                <w:szCs w:val="20"/>
              </w:rPr>
              <w:t>265</w:t>
            </w:r>
          </w:p>
        </w:tc>
      </w:tr>
      <w:tr w:rsidR="002B45C3" w:rsidRPr="006C3A42" w:rsidTr="0065219D">
        <w:trPr>
          <w:trHeight w:val="288"/>
        </w:trPr>
        <w:tc>
          <w:tcPr>
            <w:tcW w:w="1722" w:type="pct"/>
            <w:tcBorders>
              <w:top w:val="nil"/>
              <w:left w:val="nil"/>
              <w:bottom w:val="single" w:sz="4" w:space="0" w:color="auto"/>
              <w:right w:val="nil"/>
            </w:tcBorders>
            <w:vAlign w:val="bottom"/>
          </w:tcPr>
          <w:p w:rsidR="002B45C3" w:rsidRPr="006C3A42" w:rsidRDefault="002B45C3" w:rsidP="00A1449F">
            <w:pPr>
              <w:tabs>
                <w:tab w:val="left" w:leader="dot" w:pos="2880"/>
              </w:tabs>
              <w:ind w:left="274"/>
              <w:rPr>
                <w:sz w:val="20"/>
                <w:szCs w:val="20"/>
              </w:rPr>
            </w:pPr>
          </w:p>
          <w:p w:rsidR="002B45C3" w:rsidRPr="006C3A42" w:rsidRDefault="002B45C3" w:rsidP="007831C4">
            <w:pPr>
              <w:tabs>
                <w:tab w:val="left" w:leader="dot" w:pos="2880"/>
              </w:tabs>
              <w:ind w:left="274"/>
              <w:rPr>
                <w:b/>
                <w:sz w:val="20"/>
                <w:szCs w:val="20"/>
              </w:rPr>
            </w:pPr>
            <w:r w:rsidRPr="006C3A42">
              <w:rPr>
                <w:b/>
                <w:sz w:val="20"/>
                <w:szCs w:val="20"/>
              </w:rPr>
              <w:t xml:space="preserve">Total burden = </w:t>
            </w:r>
            <w:r w:rsidR="0065219D">
              <w:rPr>
                <w:b/>
                <w:sz w:val="20"/>
                <w:szCs w:val="20"/>
              </w:rPr>
              <w:t>97</w:t>
            </w:r>
            <w:r w:rsidR="007831C4">
              <w:rPr>
                <w:b/>
                <w:sz w:val="20"/>
                <w:szCs w:val="20"/>
              </w:rPr>
              <w:t>5</w:t>
            </w:r>
            <w:r w:rsidRPr="006C3A42">
              <w:rPr>
                <w:b/>
                <w:sz w:val="20"/>
                <w:szCs w:val="20"/>
              </w:rPr>
              <w:t xml:space="preserve"> hours</w:t>
            </w:r>
          </w:p>
        </w:tc>
        <w:tc>
          <w:tcPr>
            <w:tcW w:w="539"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783"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635"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684"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c>
          <w:tcPr>
            <w:tcW w:w="636" w:type="pct"/>
            <w:tcBorders>
              <w:top w:val="nil"/>
              <w:left w:val="nil"/>
              <w:bottom w:val="single" w:sz="4" w:space="0" w:color="auto"/>
              <w:right w:val="nil"/>
            </w:tcBorders>
            <w:vAlign w:val="bottom"/>
          </w:tcPr>
          <w:p w:rsidR="002B45C3" w:rsidRPr="006C3A42" w:rsidRDefault="002B45C3" w:rsidP="00A1449F">
            <w:pPr>
              <w:jc w:val="center"/>
              <w:rPr>
                <w:sz w:val="20"/>
                <w:szCs w:val="20"/>
              </w:rPr>
            </w:pPr>
          </w:p>
        </w:tc>
      </w:tr>
    </w:tbl>
    <w:p w:rsidR="00312AEC" w:rsidRDefault="00312AEC" w:rsidP="00CE5E32">
      <w:pPr>
        <w:rPr>
          <w:b/>
        </w:rPr>
      </w:pPr>
    </w:p>
    <w:p w:rsidR="00312AEC" w:rsidRDefault="00312AEC" w:rsidP="00CE5E32">
      <w:pPr>
        <w:rPr>
          <w:b/>
        </w:rPr>
      </w:pPr>
    </w:p>
    <w:p w:rsidR="00056E52" w:rsidRPr="008C250B" w:rsidRDefault="007C268F" w:rsidP="00CE5E32">
      <w:pPr>
        <w:rPr>
          <w:b/>
        </w:rPr>
      </w:pPr>
      <w:r w:rsidRPr="008C250B">
        <w:rPr>
          <w:b/>
        </w:rPr>
        <w:t>A.13.</w:t>
      </w:r>
      <w:r w:rsidRPr="008C250B">
        <w:rPr>
          <w:b/>
        </w:rPr>
        <w:tab/>
      </w:r>
      <w:r w:rsidR="00056E52" w:rsidRPr="008C250B">
        <w:rPr>
          <w:b/>
        </w:rPr>
        <w:t>Total Annual Cost Burden to Respondents</w:t>
      </w:r>
    </w:p>
    <w:p w:rsidR="00056E52" w:rsidRPr="008C250B" w:rsidRDefault="00056E52" w:rsidP="00056E52"/>
    <w:p w:rsidR="00056E52" w:rsidRPr="00CE5E32" w:rsidRDefault="00056E52" w:rsidP="00056E52">
      <w:pPr>
        <w:autoSpaceDE w:val="0"/>
        <w:autoSpaceDN w:val="0"/>
        <w:adjustRightInd w:val="0"/>
        <w:rPr>
          <w:color w:val="000000"/>
          <w:sz w:val="22"/>
          <w:szCs w:val="22"/>
        </w:rPr>
      </w:pPr>
      <w:r w:rsidRPr="00CE5E32">
        <w:rPr>
          <w:color w:val="000000"/>
          <w:sz w:val="22"/>
          <w:szCs w:val="22"/>
        </w:rPr>
        <w:t xml:space="preserve">There will be no total annual cost burden to respondents resulting from the collection of information.  </w:t>
      </w:r>
    </w:p>
    <w:p w:rsidR="00056E52" w:rsidRPr="008C250B" w:rsidRDefault="00056E52" w:rsidP="00056E52"/>
    <w:p w:rsidR="0085359D" w:rsidRPr="008C250B" w:rsidRDefault="0085359D" w:rsidP="00056E52"/>
    <w:p w:rsidR="00056E52" w:rsidRPr="008C250B" w:rsidRDefault="007C268F" w:rsidP="007C268F">
      <w:pPr>
        <w:rPr>
          <w:b/>
        </w:rPr>
      </w:pPr>
      <w:r w:rsidRPr="008C250B">
        <w:rPr>
          <w:b/>
        </w:rPr>
        <w:t>A.14.</w:t>
      </w:r>
      <w:r w:rsidRPr="008C250B">
        <w:rPr>
          <w:b/>
        </w:rPr>
        <w:tab/>
      </w:r>
      <w:r w:rsidR="00056E52" w:rsidRPr="008C250B">
        <w:rPr>
          <w:b/>
        </w:rPr>
        <w:t>Annualized Costs to the Federal Government</w:t>
      </w:r>
    </w:p>
    <w:p w:rsidR="00056E52" w:rsidRPr="008C250B" w:rsidRDefault="00056E52" w:rsidP="00056E52"/>
    <w:p w:rsidR="00505DBB" w:rsidRPr="00CE5E32" w:rsidRDefault="00505DBB" w:rsidP="00505DBB">
      <w:pPr>
        <w:rPr>
          <w:sz w:val="22"/>
          <w:szCs w:val="22"/>
        </w:rPr>
      </w:pPr>
      <w:r w:rsidRPr="00CE5E32">
        <w:rPr>
          <w:sz w:val="22"/>
          <w:szCs w:val="22"/>
        </w:rPr>
        <w:t>The survey will be conducted under a contract that has already been awarded.  The total estimated cost of this project is $</w:t>
      </w:r>
      <w:r w:rsidR="00CF75A3">
        <w:rPr>
          <w:sz w:val="22"/>
          <w:szCs w:val="22"/>
        </w:rPr>
        <w:t xml:space="preserve">562,625. </w:t>
      </w:r>
      <w:r w:rsidR="009A15BC">
        <w:rPr>
          <w:sz w:val="22"/>
          <w:szCs w:val="22"/>
        </w:rPr>
        <w:t xml:space="preserve"> </w:t>
      </w:r>
      <w:r w:rsidRPr="00CE5E32">
        <w:rPr>
          <w:sz w:val="22"/>
          <w:szCs w:val="22"/>
        </w:rPr>
        <w:t>The contract budget is based on personnel hours, printing, mailing expenses, and computer support and analysis.</w:t>
      </w:r>
    </w:p>
    <w:p w:rsidR="00505DBB" w:rsidRDefault="00505DBB" w:rsidP="00056E52">
      <w:pPr>
        <w:rPr>
          <w:sz w:val="22"/>
          <w:szCs w:val="22"/>
        </w:rPr>
      </w:pPr>
    </w:p>
    <w:p w:rsidR="00E4216B" w:rsidRPr="008C250B" w:rsidRDefault="00E4216B" w:rsidP="00056E52"/>
    <w:p w:rsidR="00056E52" w:rsidRPr="008C250B" w:rsidRDefault="007C268F" w:rsidP="007C268F">
      <w:pPr>
        <w:rPr>
          <w:b/>
        </w:rPr>
      </w:pPr>
      <w:r w:rsidRPr="008C250B">
        <w:rPr>
          <w:b/>
        </w:rPr>
        <w:t>A.15.</w:t>
      </w:r>
      <w:r w:rsidRPr="008C250B">
        <w:rPr>
          <w:b/>
        </w:rPr>
        <w:tab/>
      </w:r>
      <w:r w:rsidR="00CF7FF3" w:rsidRPr="008C250B">
        <w:rPr>
          <w:b/>
        </w:rPr>
        <w:t>Reasons for Program Changes</w:t>
      </w:r>
    </w:p>
    <w:p w:rsidR="00CF7FF3" w:rsidRPr="008C250B" w:rsidRDefault="00CF7FF3" w:rsidP="00CF7FF3"/>
    <w:p w:rsidR="00CF7FF3" w:rsidRPr="00CE5E32" w:rsidRDefault="00CF7FF3" w:rsidP="00CF7FF3">
      <w:pPr>
        <w:rPr>
          <w:sz w:val="22"/>
          <w:szCs w:val="22"/>
        </w:rPr>
      </w:pPr>
      <w:r w:rsidRPr="00CE5E32">
        <w:rPr>
          <w:sz w:val="22"/>
          <w:szCs w:val="22"/>
        </w:rPr>
        <w:t xml:space="preserve">The increase in burden is due to a need for information, otherwise unavailable, that is associated with the agency mission of improving the form, content, use, and reporting of results reported to the public by the National Assessment of Educational Progress.  The information to be collected will help validate statements </w:t>
      </w:r>
      <w:r w:rsidR="007831C4">
        <w:rPr>
          <w:sz w:val="22"/>
          <w:szCs w:val="22"/>
        </w:rPr>
        <w:t xml:space="preserve">in NAEP reports </w:t>
      </w:r>
      <w:r w:rsidRPr="00CE5E32">
        <w:rPr>
          <w:sz w:val="22"/>
          <w:szCs w:val="22"/>
        </w:rPr>
        <w:t>about the preparedness of 12th grade students for postsecondary education and training.</w:t>
      </w:r>
    </w:p>
    <w:p w:rsidR="008B5D32" w:rsidRPr="008C250B" w:rsidRDefault="008B5D32" w:rsidP="00CF7FF3"/>
    <w:p w:rsidR="0085359D" w:rsidRPr="008C250B" w:rsidRDefault="0085359D" w:rsidP="00CF7FF3"/>
    <w:p w:rsidR="00CF7FF3" w:rsidRPr="008C250B" w:rsidRDefault="007C268F" w:rsidP="007C268F">
      <w:pPr>
        <w:rPr>
          <w:b/>
        </w:rPr>
      </w:pPr>
      <w:r w:rsidRPr="008C250B">
        <w:rPr>
          <w:b/>
        </w:rPr>
        <w:t>A.16.</w:t>
      </w:r>
      <w:r w:rsidRPr="008C250B">
        <w:rPr>
          <w:b/>
        </w:rPr>
        <w:tab/>
      </w:r>
      <w:r w:rsidR="00CF7FF3" w:rsidRPr="008C250B">
        <w:rPr>
          <w:b/>
        </w:rPr>
        <w:t>Plans for Publication</w:t>
      </w:r>
    </w:p>
    <w:p w:rsidR="00CF7FF3" w:rsidRPr="008C250B" w:rsidRDefault="00CF7FF3" w:rsidP="00CF7FF3"/>
    <w:p w:rsidR="00A11A9E" w:rsidRDefault="00CF7FF3" w:rsidP="0085359D">
      <w:pPr>
        <w:rPr>
          <w:sz w:val="22"/>
          <w:szCs w:val="22"/>
        </w:rPr>
      </w:pPr>
      <w:r w:rsidRPr="00CE5E32">
        <w:rPr>
          <w:sz w:val="22"/>
          <w:szCs w:val="22"/>
        </w:rPr>
        <w:t>The</w:t>
      </w:r>
      <w:r w:rsidR="00DC3632">
        <w:rPr>
          <w:sz w:val="22"/>
          <w:szCs w:val="22"/>
        </w:rPr>
        <w:t xml:space="preserve"> results </w:t>
      </w:r>
      <w:r w:rsidR="00A11A9E">
        <w:rPr>
          <w:sz w:val="22"/>
          <w:szCs w:val="22"/>
        </w:rPr>
        <w:t xml:space="preserve">from the pilot test </w:t>
      </w:r>
      <w:r w:rsidR="00DC3632">
        <w:rPr>
          <w:sz w:val="22"/>
          <w:szCs w:val="22"/>
        </w:rPr>
        <w:t>w</w:t>
      </w:r>
      <w:r w:rsidR="00312AEC">
        <w:rPr>
          <w:sz w:val="22"/>
          <w:szCs w:val="22"/>
        </w:rPr>
        <w:t>ere</w:t>
      </w:r>
      <w:r w:rsidR="00DC3632">
        <w:rPr>
          <w:sz w:val="22"/>
          <w:szCs w:val="22"/>
        </w:rPr>
        <w:t xml:space="preserve"> used to </w:t>
      </w:r>
      <w:r w:rsidR="005E42E3">
        <w:rPr>
          <w:sz w:val="22"/>
          <w:szCs w:val="22"/>
        </w:rPr>
        <w:t xml:space="preserve">refine the </w:t>
      </w:r>
      <w:r w:rsidR="00DC3632">
        <w:rPr>
          <w:sz w:val="22"/>
          <w:szCs w:val="22"/>
        </w:rPr>
        <w:t>questionnaire for the full</w:t>
      </w:r>
      <w:r w:rsidR="00911D35">
        <w:rPr>
          <w:sz w:val="22"/>
          <w:szCs w:val="22"/>
        </w:rPr>
        <w:t>-</w:t>
      </w:r>
      <w:r w:rsidR="00A62E00">
        <w:rPr>
          <w:sz w:val="22"/>
          <w:szCs w:val="22"/>
        </w:rPr>
        <w:t xml:space="preserve">scale </w:t>
      </w:r>
      <w:r w:rsidR="005E42E3">
        <w:rPr>
          <w:sz w:val="22"/>
          <w:szCs w:val="22"/>
        </w:rPr>
        <w:t>survey</w:t>
      </w:r>
      <w:r w:rsidR="00DC3632">
        <w:rPr>
          <w:sz w:val="22"/>
          <w:szCs w:val="22"/>
        </w:rPr>
        <w:t xml:space="preserve">. </w:t>
      </w:r>
    </w:p>
    <w:p w:rsidR="00A11A9E" w:rsidRDefault="00A11A9E" w:rsidP="0085359D">
      <w:pPr>
        <w:rPr>
          <w:sz w:val="22"/>
          <w:szCs w:val="22"/>
        </w:rPr>
      </w:pPr>
    </w:p>
    <w:p w:rsidR="00A11A9E" w:rsidRPr="00CE5E32" w:rsidRDefault="00A11A9E" w:rsidP="00A11A9E">
      <w:pPr>
        <w:rPr>
          <w:sz w:val="22"/>
          <w:szCs w:val="22"/>
        </w:rPr>
      </w:pPr>
      <w:r>
        <w:rPr>
          <w:sz w:val="22"/>
          <w:szCs w:val="22"/>
        </w:rPr>
        <w:t xml:space="preserve">The results from the </w:t>
      </w:r>
      <w:r w:rsidR="00E53379">
        <w:rPr>
          <w:sz w:val="22"/>
          <w:szCs w:val="22"/>
        </w:rPr>
        <w:t xml:space="preserve">full-scale survey </w:t>
      </w:r>
      <w:r>
        <w:rPr>
          <w:sz w:val="22"/>
          <w:szCs w:val="22"/>
        </w:rPr>
        <w:t xml:space="preserve">will be used </w:t>
      </w:r>
      <w:r w:rsidRPr="00CE5E32">
        <w:rPr>
          <w:sz w:val="22"/>
          <w:szCs w:val="22"/>
        </w:rPr>
        <w:t>along with other research to serve as validity evidence to support statements about 12</w:t>
      </w:r>
      <w:r w:rsidRPr="00CE5E32">
        <w:rPr>
          <w:sz w:val="22"/>
          <w:szCs w:val="22"/>
          <w:vertAlign w:val="superscript"/>
        </w:rPr>
        <w:t>th</w:t>
      </w:r>
      <w:r w:rsidRPr="00CE5E32">
        <w:rPr>
          <w:sz w:val="22"/>
          <w:szCs w:val="22"/>
        </w:rPr>
        <w:t xml:space="preserve"> grade student preparedness for postsecondary education and training to be made in NAEP reports.  Survey responses will be weighted to produce national estimates.  Most of the analyses of the questionnaire data will be descriptive in nature, providing the Governing Board with estimate and standard error tables.  Tabulations will be produced for each data item. Crosstabulations of data items will be made with selected classification variables. These include institutional characteristics, such as the following.</w:t>
      </w:r>
    </w:p>
    <w:p w:rsidR="00A11A9E" w:rsidRPr="00CE5E32" w:rsidRDefault="00A11A9E" w:rsidP="00A11A9E">
      <w:pPr>
        <w:numPr>
          <w:ilvl w:val="0"/>
          <w:numId w:val="11"/>
        </w:numPr>
        <w:rPr>
          <w:sz w:val="22"/>
          <w:szCs w:val="22"/>
        </w:rPr>
      </w:pPr>
      <w:r w:rsidRPr="00CE5E32">
        <w:rPr>
          <w:sz w:val="22"/>
          <w:szCs w:val="22"/>
        </w:rPr>
        <w:t>Institution level;</w:t>
      </w:r>
    </w:p>
    <w:p w:rsidR="007831C4" w:rsidRDefault="00A11A9E" w:rsidP="00A11A9E">
      <w:pPr>
        <w:numPr>
          <w:ilvl w:val="0"/>
          <w:numId w:val="11"/>
        </w:numPr>
        <w:rPr>
          <w:sz w:val="22"/>
          <w:szCs w:val="22"/>
        </w:rPr>
      </w:pPr>
      <w:r w:rsidRPr="00CE5E32">
        <w:rPr>
          <w:sz w:val="22"/>
          <w:szCs w:val="22"/>
        </w:rPr>
        <w:t>Institution control;</w:t>
      </w:r>
      <w:r w:rsidR="00312AEC">
        <w:rPr>
          <w:sz w:val="22"/>
          <w:szCs w:val="22"/>
        </w:rPr>
        <w:t xml:space="preserve"> </w:t>
      </w:r>
    </w:p>
    <w:p w:rsidR="00A11A9E" w:rsidRPr="00CE5E32" w:rsidRDefault="007831C4" w:rsidP="00A11A9E">
      <w:pPr>
        <w:numPr>
          <w:ilvl w:val="0"/>
          <w:numId w:val="11"/>
        </w:numPr>
        <w:rPr>
          <w:sz w:val="22"/>
          <w:szCs w:val="22"/>
        </w:rPr>
      </w:pPr>
      <w:r>
        <w:rPr>
          <w:sz w:val="22"/>
          <w:szCs w:val="22"/>
        </w:rPr>
        <w:t xml:space="preserve">Selectivity; </w:t>
      </w:r>
      <w:r w:rsidR="00312AEC">
        <w:rPr>
          <w:sz w:val="22"/>
          <w:szCs w:val="22"/>
        </w:rPr>
        <w:t>and</w:t>
      </w:r>
    </w:p>
    <w:p w:rsidR="00A11A9E" w:rsidRPr="00312AEC" w:rsidRDefault="00A11A9E" w:rsidP="00A11A9E">
      <w:pPr>
        <w:numPr>
          <w:ilvl w:val="0"/>
          <w:numId w:val="11"/>
        </w:numPr>
        <w:rPr>
          <w:sz w:val="22"/>
          <w:szCs w:val="22"/>
        </w:rPr>
      </w:pPr>
      <w:r w:rsidRPr="00312AEC">
        <w:rPr>
          <w:sz w:val="22"/>
          <w:szCs w:val="22"/>
        </w:rPr>
        <w:t xml:space="preserve">Enrollment size. </w:t>
      </w:r>
    </w:p>
    <w:p w:rsidR="00A11A9E" w:rsidRDefault="00A11A9E" w:rsidP="0085359D">
      <w:pPr>
        <w:rPr>
          <w:sz w:val="22"/>
          <w:szCs w:val="22"/>
        </w:rPr>
      </w:pPr>
    </w:p>
    <w:p w:rsidR="00DC3632" w:rsidRDefault="00DC3632" w:rsidP="0085359D">
      <w:pPr>
        <w:rPr>
          <w:sz w:val="22"/>
          <w:szCs w:val="22"/>
        </w:rPr>
      </w:pPr>
    </w:p>
    <w:p w:rsidR="00CF7FF3" w:rsidRPr="008C250B" w:rsidRDefault="007C268F" w:rsidP="007C268F">
      <w:pPr>
        <w:rPr>
          <w:b/>
        </w:rPr>
      </w:pPr>
      <w:r w:rsidRPr="008C250B">
        <w:rPr>
          <w:b/>
        </w:rPr>
        <w:t>A.17.</w:t>
      </w:r>
      <w:r w:rsidRPr="008C250B">
        <w:rPr>
          <w:b/>
        </w:rPr>
        <w:tab/>
      </w:r>
      <w:r w:rsidR="00CF7FF3" w:rsidRPr="008C250B">
        <w:rPr>
          <w:b/>
        </w:rPr>
        <w:t>Approval to Not Display the Expiration date of OMB Approval</w:t>
      </w:r>
    </w:p>
    <w:p w:rsidR="00CF7FF3" w:rsidRPr="008C250B" w:rsidRDefault="00CF7FF3" w:rsidP="00CF7FF3">
      <w:pPr>
        <w:rPr>
          <w:b/>
        </w:rPr>
      </w:pPr>
    </w:p>
    <w:p w:rsidR="00CF7FF3" w:rsidRPr="00CE5E32" w:rsidRDefault="00CF7FF3" w:rsidP="00CF7FF3">
      <w:pPr>
        <w:rPr>
          <w:sz w:val="22"/>
          <w:szCs w:val="22"/>
        </w:rPr>
      </w:pPr>
      <w:r w:rsidRPr="00CE5E32">
        <w:rPr>
          <w:sz w:val="22"/>
          <w:szCs w:val="22"/>
        </w:rPr>
        <w:t>Such approval is not being sought.</w:t>
      </w:r>
    </w:p>
    <w:p w:rsidR="00CF7FF3" w:rsidRPr="008C250B" w:rsidRDefault="00CF7FF3" w:rsidP="00CF7FF3"/>
    <w:p w:rsidR="0085359D" w:rsidRPr="008C250B" w:rsidRDefault="0085359D" w:rsidP="00CF7FF3"/>
    <w:p w:rsidR="00CF7FF3" w:rsidRPr="008C250B" w:rsidRDefault="007C268F" w:rsidP="007C268F">
      <w:pPr>
        <w:rPr>
          <w:b/>
        </w:rPr>
      </w:pPr>
      <w:r w:rsidRPr="008C250B">
        <w:rPr>
          <w:b/>
        </w:rPr>
        <w:t>A.18.</w:t>
      </w:r>
      <w:r w:rsidRPr="008C250B">
        <w:rPr>
          <w:b/>
        </w:rPr>
        <w:tab/>
      </w:r>
      <w:r w:rsidR="00CF7FF3" w:rsidRPr="008C250B">
        <w:rPr>
          <w:b/>
        </w:rPr>
        <w:t>Exceptions to the Certification Statement</w:t>
      </w:r>
    </w:p>
    <w:p w:rsidR="00CF7FF3" w:rsidRPr="008C250B" w:rsidRDefault="00CF7FF3" w:rsidP="00CF7FF3"/>
    <w:p w:rsidR="00513D84" w:rsidRDefault="00CF7FF3" w:rsidP="0085359D">
      <w:pPr>
        <w:rPr>
          <w:sz w:val="22"/>
          <w:szCs w:val="22"/>
        </w:rPr>
      </w:pPr>
      <w:r w:rsidRPr="00CE5E32">
        <w:rPr>
          <w:sz w:val="22"/>
          <w:szCs w:val="22"/>
        </w:rPr>
        <w:t>There are no exceptions to the certification statement.</w:t>
      </w:r>
    </w:p>
    <w:p w:rsidR="00E91C63" w:rsidRDefault="00E91C63" w:rsidP="0085359D">
      <w:pPr>
        <w:rPr>
          <w:sz w:val="22"/>
          <w:szCs w:val="22"/>
        </w:rPr>
      </w:pPr>
    </w:p>
    <w:p w:rsidR="00E91C63" w:rsidRPr="00CE5E32" w:rsidRDefault="003130A3" w:rsidP="0085359D">
      <w:pPr>
        <w:rPr>
          <w:sz w:val="22"/>
          <w:szCs w:val="22"/>
        </w:rPr>
      </w:pPr>
      <w:r>
        <w:rPr>
          <w:sz w:val="22"/>
          <w:szCs w:val="22"/>
        </w:rPr>
        <w:t xml:space="preserve"> </w:t>
      </w:r>
    </w:p>
    <w:sectPr w:rsidR="00E91C63" w:rsidRPr="00CE5E32" w:rsidSect="00B56A8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953" w:rsidRDefault="00986953">
      <w:r>
        <w:separator/>
      </w:r>
    </w:p>
  </w:endnote>
  <w:endnote w:type="continuationSeparator" w:id="0">
    <w:p w:rsidR="00986953" w:rsidRDefault="00986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67" w:rsidRDefault="00C92B06" w:rsidP="008D7AD6">
    <w:pPr>
      <w:pStyle w:val="Footer"/>
      <w:framePr w:wrap="around" w:vAnchor="text" w:hAnchor="margin" w:xAlign="center" w:y="1"/>
      <w:rPr>
        <w:rStyle w:val="PageNumber"/>
      </w:rPr>
    </w:pPr>
    <w:r>
      <w:rPr>
        <w:rStyle w:val="PageNumber"/>
      </w:rPr>
      <w:fldChar w:fldCharType="begin"/>
    </w:r>
    <w:r w:rsidR="001B3867">
      <w:rPr>
        <w:rStyle w:val="PageNumber"/>
      </w:rPr>
      <w:instrText xml:space="preserve">PAGE  </w:instrText>
    </w:r>
    <w:r>
      <w:rPr>
        <w:rStyle w:val="PageNumber"/>
      </w:rPr>
      <w:fldChar w:fldCharType="end"/>
    </w:r>
  </w:p>
  <w:p w:rsidR="001B3867" w:rsidRDefault="001B38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67" w:rsidRDefault="00C92B06" w:rsidP="008D7AD6">
    <w:pPr>
      <w:pStyle w:val="Footer"/>
      <w:framePr w:wrap="around" w:vAnchor="text" w:hAnchor="margin" w:xAlign="center" w:y="1"/>
      <w:rPr>
        <w:rStyle w:val="PageNumber"/>
      </w:rPr>
    </w:pPr>
    <w:r>
      <w:rPr>
        <w:rStyle w:val="PageNumber"/>
      </w:rPr>
      <w:fldChar w:fldCharType="begin"/>
    </w:r>
    <w:r w:rsidR="001B3867">
      <w:rPr>
        <w:rStyle w:val="PageNumber"/>
      </w:rPr>
      <w:instrText xml:space="preserve">PAGE  </w:instrText>
    </w:r>
    <w:r>
      <w:rPr>
        <w:rStyle w:val="PageNumber"/>
      </w:rPr>
      <w:fldChar w:fldCharType="separate"/>
    </w:r>
    <w:r w:rsidR="00532AFE">
      <w:rPr>
        <w:rStyle w:val="PageNumber"/>
        <w:noProof/>
      </w:rPr>
      <w:t>5</w:t>
    </w:r>
    <w:r>
      <w:rPr>
        <w:rStyle w:val="PageNumber"/>
      </w:rPr>
      <w:fldChar w:fldCharType="end"/>
    </w:r>
  </w:p>
  <w:p w:rsidR="001B3867" w:rsidRDefault="001B3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953" w:rsidRDefault="00986953">
      <w:r>
        <w:separator/>
      </w:r>
    </w:p>
  </w:footnote>
  <w:footnote w:type="continuationSeparator" w:id="0">
    <w:p w:rsidR="00986953" w:rsidRDefault="00986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629"/>
    <w:multiLevelType w:val="hybridMultilevel"/>
    <w:tmpl w:val="EBAE38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5269CC"/>
    <w:multiLevelType w:val="hybridMultilevel"/>
    <w:tmpl w:val="ED46503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255B467D"/>
    <w:multiLevelType w:val="hybridMultilevel"/>
    <w:tmpl w:val="8F52AD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C3A67F9"/>
    <w:multiLevelType w:val="hybridMultilevel"/>
    <w:tmpl w:val="920C597A"/>
    <w:lvl w:ilvl="0" w:tplc="2A008D1A">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32814D37"/>
    <w:multiLevelType w:val="hybridMultilevel"/>
    <w:tmpl w:val="342015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83219D"/>
    <w:multiLevelType w:val="hybridMultilevel"/>
    <w:tmpl w:val="62FA6AE6"/>
    <w:lvl w:ilvl="0" w:tplc="FFFFFFFF">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591B09"/>
    <w:multiLevelType w:val="hybridMultilevel"/>
    <w:tmpl w:val="B53EBE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A723C72"/>
    <w:multiLevelType w:val="hybridMultilevel"/>
    <w:tmpl w:val="41EC8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93231A"/>
    <w:multiLevelType w:val="hybridMultilevel"/>
    <w:tmpl w:val="A0EC18BA"/>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9">
    <w:nsid w:val="5BDA0BD3"/>
    <w:multiLevelType w:val="hybridMultilevel"/>
    <w:tmpl w:val="A42E17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9C08D9"/>
    <w:multiLevelType w:val="hybridMultilevel"/>
    <w:tmpl w:val="367EF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8"/>
  </w:num>
  <w:num w:numId="10">
    <w:abstractNumId w:val="5"/>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842C7"/>
    <w:rsid w:val="00002C09"/>
    <w:rsid w:val="000518E3"/>
    <w:rsid w:val="00056E52"/>
    <w:rsid w:val="000A67FB"/>
    <w:rsid w:val="000F59EF"/>
    <w:rsid w:val="00101F9B"/>
    <w:rsid w:val="00102F08"/>
    <w:rsid w:val="0010727C"/>
    <w:rsid w:val="00114205"/>
    <w:rsid w:val="00116B03"/>
    <w:rsid w:val="00137A98"/>
    <w:rsid w:val="00154033"/>
    <w:rsid w:val="001605CD"/>
    <w:rsid w:val="00166DC5"/>
    <w:rsid w:val="00172640"/>
    <w:rsid w:val="00185479"/>
    <w:rsid w:val="00185BD5"/>
    <w:rsid w:val="001A2E2D"/>
    <w:rsid w:val="001A65BD"/>
    <w:rsid w:val="001A7A67"/>
    <w:rsid w:val="001B2887"/>
    <w:rsid w:val="001B3867"/>
    <w:rsid w:val="001C3185"/>
    <w:rsid w:val="001C3983"/>
    <w:rsid w:val="001C5B63"/>
    <w:rsid w:val="00237E0F"/>
    <w:rsid w:val="00244408"/>
    <w:rsid w:val="00272093"/>
    <w:rsid w:val="002B45C3"/>
    <w:rsid w:val="002E1F84"/>
    <w:rsid w:val="002F0C3B"/>
    <w:rsid w:val="00312AEC"/>
    <w:rsid w:val="003130A3"/>
    <w:rsid w:val="003321A6"/>
    <w:rsid w:val="00341432"/>
    <w:rsid w:val="003649C4"/>
    <w:rsid w:val="00367E46"/>
    <w:rsid w:val="00383F99"/>
    <w:rsid w:val="00385BCA"/>
    <w:rsid w:val="003A5C32"/>
    <w:rsid w:val="003A6E4E"/>
    <w:rsid w:val="003B574E"/>
    <w:rsid w:val="003C2ED5"/>
    <w:rsid w:val="003C6702"/>
    <w:rsid w:val="003D78F8"/>
    <w:rsid w:val="003E34FF"/>
    <w:rsid w:val="003E5E59"/>
    <w:rsid w:val="00405849"/>
    <w:rsid w:val="00424BF6"/>
    <w:rsid w:val="00431BEC"/>
    <w:rsid w:val="00451022"/>
    <w:rsid w:val="0046632D"/>
    <w:rsid w:val="00480025"/>
    <w:rsid w:val="00493699"/>
    <w:rsid w:val="004B2633"/>
    <w:rsid w:val="004B54E7"/>
    <w:rsid w:val="004F12C5"/>
    <w:rsid w:val="00500021"/>
    <w:rsid w:val="00505DBB"/>
    <w:rsid w:val="00510232"/>
    <w:rsid w:val="00513D84"/>
    <w:rsid w:val="00532AFE"/>
    <w:rsid w:val="00535781"/>
    <w:rsid w:val="00540D29"/>
    <w:rsid w:val="005B7F4F"/>
    <w:rsid w:val="005C6174"/>
    <w:rsid w:val="005E42E3"/>
    <w:rsid w:val="005E7AE9"/>
    <w:rsid w:val="005F55A7"/>
    <w:rsid w:val="00612E6C"/>
    <w:rsid w:val="006169B3"/>
    <w:rsid w:val="006473A5"/>
    <w:rsid w:val="0065219D"/>
    <w:rsid w:val="006666FB"/>
    <w:rsid w:val="006974C0"/>
    <w:rsid w:val="006A3615"/>
    <w:rsid w:val="006C3A42"/>
    <w:rsid w:val="006F61A3"/>
    <w:rsid w:val="00700CEE"/>
    <w:rsid w:val="00711BCD"/>
    <w:rsid w:val="007576B7"/>
    <w:rsid w:val="007659FC"/>
    <w:rsid w:val="007831C4"/>
    <w:rsid w:val="00792585"/>
    <w:rsid w:val="007A4997"/>
    <w:rsid w:val="007A53CA"/>
    <w:rsid w:val="007C268F"/>
    <w:rsid w:val="007F4EDB"/>
    <w:rsid w:val="0080643A"/>
    <w:rsid w:val="00815AE5"/>
    <w:rsid w:val="00841BD8"/>
    <w:rsid w:val="008424CD"/>
    <w:rsid w:val="0085359D"/>
    <w:rsid w:val="00870FF9"/>
    <w:rsid w:val="008A74D3"/>
    <w:rsid w:val="008B1D90"/>
    <w:rsid w:val="008B5D32"/>
    <w:rsid w:val="008C2002"/>
    <w:rsid w:val="008C250B"/>
    <w:rsid w:val="008D7AD6"/>
    <w:rsid w:val="008F7DB7"/>
    <w:rsid w:val="00911D35"/>
    <w:rsid w:val="0092338E"/>
    <w:rsid w:val="0093144A"/>
    <w:rsid w:val="00940C57"/>
    <w:rsid w:val="00956976"/>
    <w:rsid w:val="00986953"/>
    <w:rsid w:val="009877CC"/>
    <w:rsid w:val="00991156"/>
    <w:rsid w:val="009A0527"/>
    <w:rsid w:val="009A1183"/>
    <w:rsid w:val="009A15BC"/>
    <w:rsid w:val="009A5327"/>
    <w:rsid w:val="009A6162"/>
    <w:rsid w:val="009A6366"/>
    <w:rsid w:val="009C7A3F"/>
    <w:rsid w:val="009C7AA6"/>
    <w:rsid w:val="009D2E0D"/>
    <w:rsid w:val="009D52AF"/>
    <w:rsid w:val="00A11A9E"/>
    <w:rsid w:val="00A1449F"/>
    <w:rsid w:val="00A30C51"/>
    <w:rsid w:val="00A40418"/>
    <w:rsid w:val="00A46FDA"/>
    <w:rsid w:val="00A6283A"/>
    <w:rsid w:val="00A62E00"/>
    <w:rsid w:val="00A6379A"/>
    <w:rsid w:val="00A70579"/>
    <w:rsid w:val="00A72F1E"/>
    <w:rsid w:val="00A90799"/>
    <w:rsid w:val="00AB1A74"/>
    <w:rsid w:val="00AB3960"/>
    <w:rsid w:val="00AD3523"/>
    <w:rsid w:val="00AE2FBB"/>
    <w:rsid w:val="00AE585B"/>
    <w:rsid w:val="00AF4A42"/>
    <w:rsid w:val="00B03C09"/>
    <w:rsid w:val="00B15A4B"/>
    <w:rsid w:val="00B51401"/>
    <w:rsid w:val="00B56A83"/>
    <w:rsid w:val="00B71051"/>
    <w:rsid w:val="00B75235"/>
    <w:rsid w:val="00B852B0"/>
    <w:rsid w:val="00BF6982"/>
    <w:rsid w:val="00C02B01"/>
    <w:rsid w:val="00C14B65"/>
    <w:rsid w:val="00C50DF2"/>
    <w:rsid w:val="00C57A2A"/>
    <w:rsid w:val="00C65136"/>
    <w:rsid w:val="00C76E71"/>
    <w:rsid w:val="00C901ED"/>
    <w:rsid w:val="00C92B06"/>
    <w:rsid w:val="00CA5166"/>
    <w:rsid w:val="00CD1CA8"/>
    <w:rsid w:val="00CE5E32"/>
    <w:rsid w:val="00CF136E"/>
    <w:rsid w:val="00CF75A3"/>
    <w:rsid w:val="00CF7FF3"/>
    <w:rsid w:val="00D14194"/>
    <w:rsid w:val="00D27704"/>
    <w:rsid w:val="00D27D72"/>
    <w:rsid w:val="00D33249"/>
    <w:rsid w:val="00D4679B"/>
    <w:rsid w:val="00D666C4"/>
    <w:rsid w:val="00D842C7"/>
    <w:rsid w:val="00D85790"/>
    <w:rsid w:val="00D87B4A"/>
    <w:rsid w:val="00DC3632"/>
    <w:rsid w:val="00DE2185"/>
    <w:rsid w:val="00DF72BA"/>
    <w:rsid w:val="00E07A8D"/>
    <w:rsid w:val="00E11FB0"/>
    <w:rsid w:val="00E36043"/>
    <w:rsid w:val="00E4216B"/>
    <w:rsid w:val="00E53351"/>
    <w:rsid w:val="00E53379"/>
    <w:rsid w:val="00E56F55"/>
    <w:rsid w:val="00E60379"/>
    <w:rsid w:val="00E625D0"/>
    <w:rsid w:val="00E62992"/>
    <w:rsid w:val="00E77889"/>
    <w:rsid w:val="00E86413"/>
    <w:rsid w:val="00E91C63"/>
    <w:rsid w:val="00E94412"/>
    <w:rsid w:val="00EB6A87"/>
    <w:rsid w:val="00ED07E5"/>
    <w:rsid w:val="00EE32E1"/>
    <w:rsid w:val="00F2226F"/>
    <w:rsid w:val="00F33B75"/>
    <w:rsid w:val="00F37DE1"/>
    <w:rsid w:val="00F40C48"/>
    <w:rsid w:val="00F90872"/>
    <w:rsid w:val="00F92165"/>
    <w:rsid w:val="00FB2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5D32"/>
    <w:pPr>
      <w:tabs>
        <w:tab w:val="center" w:pos="4320"/>
        <w:tab w:val="right" w:pos="8640"/>
      </w:tabs>
    </w:pPr>
  </w:style>
  <w:style w:type="character" w:styleId="PageNumber">
    <w:name w:val="page number"/>
    <w:basedOn w:val="DefaultParagraphFont"/>
    <w:rsid w:val="008B5D32"/>
  </w:style>
  <w:style w:type="paragraph" w:styleId="BalloonText">
    <w:name w:val="Balloon Text"/>
    <w:basedOn w:val="Normal"/>
    <w:semiHidden/>
    <w:rsid w:val="00451022"/>
    <w:rPr>
      <w:rFonts w:ascii="Tahoma" w:hAnsi="Tahoma" w:cs="Tahoma"/>
      <w:sz w:val="16"/>
      <w:szCs w:val="16"/>
    </w:rPr>
  </w:style>
  <w:style w:type="paragraph" w:customStyle="1" w:styleId="L1-FlLfSp12">
    <w:name w:val="L1-FlLfSp&amp;1/2"/>
    <w:rsid w:val="00451022"/>
    <w:pPr>
      <w:tabs>
        <w:tab w:val="left" w:pos="1200"/>
      </w:tabs>
      <w:spacing w:line="360" w:lineRule="atLeast"/>
      <w:jc w:val="both"/>
    </w:pPr>
    <w:rPr>
      <w:rFonts w:ascii="CG Times (WN)" w:hAnsi="CG Times (WN)"/>
      <w:sz w:val="22"/>
    </w:rPr>
  </w:style>
  <w:style w:type="paragraph" w:styleId="ListParagraph">
    <w:name w:val="List Paragraph"/>
    <w:basedOn w:val="Normal"/>
    <w:uiPriority w:val="34"/>
    <w:qFormat/>
    <w:rsid w:val="008F7DB7"/>
    <w:pPr>
      <w:ind w:left="720"/>
      <w:contextualSpacing/>
    </w:pPr>
    <w:rPr>
      <w:rFonts w:ascii="Calibri" w:hAnsi="Calibri" w:cs="Calibri"/>
      <w:sz w:val="22"/>
      <w:szCs w:val="22"/>
    </w:rPr>
  </w:style>
  <w:style w:type="paragraph" w:customStyle="1" w:styleId="SL-FlLftSgl">
    <w:name w:val="SL-Fl Lft Sgl"/>
    <w:rsid w:val="00D87B4A"/>
    <w:pPr>
      <w:overflowPunct w:val="0"/>
      <w:autoSpaceDE w:val="0"/>
      <w:autoSpaceDN w:val="0"/>
      <w:adjustRightInd w:val="0"/>
      <w:spacing w:line="240" w:lineRule="atLeast"/>
      <w:jc w:val="both"/>
      <w:textAlignment w:val="baseline"/>
    </w:pPr>
    <w:rPr>
      <w:sz w:val="22"/>
    </w:rPr>
  </w:style>
  <w:style w:type="paragraph" w:customStyle="1" w:styleId="P1-StandPara">
    <w:name w:val="P1-Stand Para"/>
    <w:link w:val="P1-StandParaChar"/>
    <w:rsid w:val="0085359D"/>
    <w:pPr>
      <w:spacing w:line="360" w:lineRule="atLeast"/>
      <w:ind w:firstLine="1195"/>
      <w:jc w:val="both"/>
    </w:pPr>
    <w:rPr>
      <w:sz w:val="22"/>
      <w:szCs w:val="24"/>
    </w:rPr>
  </w:style>
  <w:style w:type="character" w:customStyle="1" w:styleId="P1-StandParaChar">
    <w:name w:val="P1-Stand Para Char"/>
    <w:basedOn w:val="DefaultParagraphFont"/>
    <w:link w:val="P1-StandPara"/>
    <w:rsid w:val="0085359D"/>
    <w:rPr>
      <w:sz w:val="22"/>
      <w:szCs w:val="24"/>
      <w:lang w:val="en-US" w:eastAsia="en-US" w:bidi="ar-SA"/>
    </w:rPr>
  </w:style>
  <w:style w:type="paragraph" w:customStyle="1" w:styleId="N2-2ndBullet">
    <w:name w:val="N2-2nd Bullet"/>
    <w:basedOn w:val="Normal"/>
    <w:rsid w:val="0085359D"/>
    <w:pPr>
      <w:tabs>
        <w:tab w:val="left" w:pos="1728"/>
      </w:tabs>
      <w:spacing w:after="240" w:line="240" w:lineRule="atLeast"/>
      <w:ind w:left="1728" w:hanging="576"/>
      <w:jc w:val="both"/>
    </w:pPr>
    <w:rPr>
      <w:sz w:val="22"/>
      <w:szCs w:val="20"/>
    </w:rPr>
  </w:style>
  <w:style w:type="paragraph" w:customStyle="1" w:styleId="C1-CtrSglSp">
    <w:name w:val="C1-Ctr Sgl Sp"/>
    <w:rsid w:val="0085359D"/>
    <w:pPr>
      <w:keepLines/>
      <w:spacing w:line="240" w:lineRule="atLeast"/>
      <w:jc w:val="center"/>
    </w:pPr>
    <w:rPr>
      <w:rFonts w:ascii="CG Times (WN)" w:hAnsi="CG Times (WN)"/>
      <w:sz w:val="22"/>
    </w:rPr>
  </w:style>
  <w:style w:type="paragraph" w:customStyle="1" w:styleId="C2-CtrSp12">
    <w:name w:val="C2-Ctr Sp&amp;1/2"/>
    <w:rsid w:val="0085359D"/>
    <w:pPr>
      <w:keepLines/>
      <w:spacing w:line="360" w:lineRule="atLeast"/>
      <w:jc w:val="center"/>
    </w:pPr>
    <w:rPr>
      <w:rFonts w:ascii="CG Times (WN)" w:hAnsi="CG Times (WN)"/>
      <w:sz w:val="22"/>
    </w:rPr>
  </w:style>
  <w:style w:type="character" w:customStyle="1" w:styleId="ALT-uunderlining">
    <w:name w:val="ALT-u underlining"/>
    <w:rsid w:val="0085359D"/>
    <w:rPr>
      <w:rFonts w:ascii="Times" w:hAnsi="Times"/>
      <w:sz w:val="22"/>
      <w:u w:val="single"/>
    </w:rPr>
  </w:style>
  <w:style w:type="paragraph" w:customStyle="1" w:styleId="FLUSHLEFTSINGLESPACE">
    <w:name w:val="FLUSH LEFT SINGLE SPACE"/>
    <w:uiPriority w:val="99"/>
    <w:rsid w:val="00870FF9"/>
    <w:pPr>
      <w:jc w:val="both"/>
    </w:pPr>
    <w:rPr>
      <w:rFonts w:ascii="Times" w:hAnsi="Times" w:cs="Times"/>
    </w:rPr>
  </w:style>
  <w:style w:type="paragraph" w:customStyle="1" w:styleId="SP-SglSpPara">
    <w:name w:val="SP-Sgl Sp Para"/>
    <w:uiPriority w:val="99"/>
    <w:rsid w:val="00272093"/>
    <w:pPr>
      <w:tabs>
        <w:tab w:val="left" w:pos="576"/>
      </w:tabs>
      <w:overflowPunct w:val="0"/>
      <w:autoSpaceDE w:val="0"/>
      <w:autoSpaceDN w:val="0"/>
      <w:adjustRightInd w:val="0"/>
      <w:spacing w:line="240" w:lineRule="atLeast"/>
      <w:ind w:firstLine="576"/>
      <w:jc w:val="both"/>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Survey of Placement Tests and Cut-Scores in Higher Education Institutions</vt:lpstr>
    </vt:vector>
  </TitlesOfParts>
  <Company/>
  <LinksUpToDate>false</LinksUpToDate>
  <CharactersWithSpaces>26324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Survey of Placement Tests and Cut-Scores in Higher Education Institutions</dc:title>
  <dc:subject/>
  <dc:creator>Ray.Fields</dc:creator>
  <cp:keywords/>
  <dc:description/>
  <cp:lastModifiedBy>Authorised User</cp:lastModifiedBy>
  <cp:revision>5</cp:revision>
  <cp:lastPrinted>2010-06-14T19:48:00Z</cp:lastPrinted>
  <dcterms:created xsi:type="dcterms:W3CDTF">2011-01-10T16:53:00Z</dcterms:created>
  <dcterms:modified xsi:type="dcterms:W3CDTF">2011-01-10T21:35:00Z</dcterms:modified>
</cp:coreProperties>
</file>