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8E" w:rsidRDefault="0046458E" w:rsidP="0046458E">
      <w:pPr>
        <w:jc w:val="center"/>
        <w:rPr>
          <w:b/>
        </w:rPr>
      </w:pPr>
      <w:proofErr w:type="spellStart"/>
      <w:r w:rsidRPr="0046458E">
        <w:rPr>
          <w:b/>
        </w:rPr>
        <w:t>Nonsubstantive</w:t>
      </w:r>
      <w:proofErr w:type="spellEnd"/>
      <w:r w:rsidRPr="0046458E">
        <w:rPr>
          <w:b/>
        </w:rPr>
        <w:t xml:space="preserve"> Change Request</w:t>
      </w:r>
    </w:p>
    <w:p w:rsidR="00AE68D5" w:rsidRDefault="00AE68D5" w:rsidP="0046458E">
      <w:pPr>
        <w:jc w:val="center"/>
        <w:rPr>
          <w:b/>
        </w:rPr>
      </w:pPr>
      <w:proofErr w:type="gramStart"/>
      <w:r>
        <w:rPr>
          <w:b/>
        </w:rPr>
        <w:t>for</w:t>
      </w:r>
      <w:proofErr w:type="gramEnd"/>
    </w:p>
    <w:p w:rsidR="00082C44" w:rsidRDefault="00082C44" w:rsidP="00AE68D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10 CFR 50</w:t>
      </w:r>
      <w:r w:rsidR="00AE68D5">
        <w:rPr>
          <w:b/>
        </w:rPr>
        <w:t>, “Domestic Licensing of Production and Utilization Facilities”</w:t>
      </w:r>
    </w:p>
    <w:p w:rsidR="00082C44" w:rsidRPr="0046458E" w:rsidRDefault="00082C44" w:rsidP="0046458E">
      <w:pPr>
        <w:jc w:val="center"/>
        <w:rPr>
          <w:b/>
        </w:rPr>
      </w:pPr>
      <w:r>
        <w:rPr>
          <w:b/>
        </w:rPr>
        <w:t>3150-0011</w:t>
      </w:r>
    </w:p>
    <w:p w:rsidR="0046458E" w:rsidRDefault="0046458E" w:rsidP="0046458E">
      <w:pPr>
        <w:jc w:val="center"/>
      </w:pPr>
    </w:p>
    <w:p w:rsidR="00AE68D5" w:rsidRDefault="00AE68D5" w:rsidP="00AE68D5">
      <w:pPr>
        <w:jc w:val="center"/>
        <w:rPr>
          <w:b/>
        </w:rPr>
      </w:pPr>
      <w:r w:rsidRPr="00AE68D5">
        <w:rPr>
          <w:b/>
        </w:rPr>
        <w:t>Updates to Incorporation by Reference of Regulatory Guide, Final Rule</w:t>
      </w:r>
    </w:p>
    <w:p w:rsidR="00AE68D5" w:rsidRPr="00AE68D5" w:rsidRDefault="00AE68D5" w:rsidP="00AE68D5">
      <w:pPr>
        <w:jc w:val="center"/>
      </w:pPr>
      <w:r w:rsidRPr="003D6F46">
        <w:t>(Amendment</w:t>
      </w:r>
      <w:r w:rsidRPr="00AE68D5">
        <w:t xml:space="preserve"> to 10 CFR 50.55a, “Codes and Standards,” New Regulatory Guides 1.84, Rev 35; and Regulatory Guide 1.147, Rev 16, ASME BPV Codes)</w:t>
      </w:r>
    </w:p>
    <w:p w:rsidR="0046458E" w:rsidRPr="00AE68D5" w:rsidRDefault="0046458E" w:rsidP="00AE68D5">
      <w:pPr>
        <w:jc w:val="center"/>
        <w:rPr>
          <w:b/>
        </w:rPr>
      </w:pPr>
    </w:p>
    <w:p w:rsidR="0046458E" w:rsidRDefault="0046458E" w:rsidP="0046458E"/>
    <w:p w:rsidR="00AE68D5" w:rsidRDefault="00AE68D5" w:rsidP="00AE68D5">
      <w:r>
        <w:t xml:space="preserve">In June 2010, OMB approved an insignificant burden determination for the above rule and requested that NRC update the hours on record via a </w:t>
      </w:r>
      <w:proofErr w:type="spellStart"/>
      <w:r>
        <w:t>nonsubstantive</w:t>
      </w:r>
      <w:proofErr w:type="spellEnd"/>
      <w:r>
        <w:t xml:space="preserve"> change request after the final rule was effective.  The purpose of this </w:t>
      </w:r>
      <w:proofErr w:type="spellStart"/>
      <w:r>
        <w:t>nonsubstantive</w:t>
      </w:r>
      <w:proofErr w:type="spellEnd"/>
      <w:r>
        <w:t xml:space="preserve"> change request is to adjust the hours for 10 CFR 50 to reflect the insignifican</w:t>
      </w:r>
      <w:r w:rsidR="00D80903">
        <w:t>t burden change from the rule</w:t>
      </w:r>
      <w:r w:rsidR="003D6F46">
        <w:t>, which was published on October 5, 2010 and became effective November 4, 2010</w:t>
      </w:r>
      <w:r w:rsidR="00D80903">
        <w:t xml:space="preserve">.  </w:t>
      </w:r>
      <w:r>
        <w:t>Following is a summary of the rule and the burden changes:</w:t>
      </w:r>
    </w:p>
    <w:p w:rsidR="00AE68D5" w:rsidRDefault="00AE68D5" w:rsidP="0046458E"/>
    <w:p w:rsidR="00AE68D5" w:rsidRPr="00AE68D5" w:rsidRDefault="00AE68D5" w:rsidP="0046458E">
      <w:pPr>
        <w:rPr>
          <w:u w:val="single"/>
        </w:rPr>
      </w:pPr>
      <w:r w:rsidRPr="00AE68D5">
        <w:rPr>
          <w:u w:val="single"/>
        </w:rPr>
        <w:t>Summary of the final rule:</w:t>
      </w:r>
    </w:p>
    <w:p w:rsidR="0046458E" w:rsidRDefault="0046458E" w:rsidP="0046458E">
      <w:r>
        <w:t>It is NRC’s policy to review code cases developed by the American Society of Mechanical Engineers (ASME) and determine if they are acceptable for use.  The code cases are then listed in regulatory guides that are incorporated by reference into 10 CFR 50.55a by rulemaking.  This final rule incorporates new code cases by reference to updated regulatory guides.  The rule text is simply updated to reflect the new revision numbers of the regulatory guides.</w:t>
      </w:r>
    </w:p>
    <w:p w:rsidR="0046458E" w:rsidRDefault="0046458E" w:rsidP="0046458E"/>
    <w:p w:rsidR="00AE68D5" w:rsidRPr="00AE68D5" w:rsidRDefault="00AE68D5" w:rsidP="0046458E">
      <w:pPr>
        <w:rPr>
          <w:u w:val="single"/>
        </w:rPr>
      </w:pPr>
      <w:r w:rsidRPr="00AE68D5">
        <w:rPr>
          <w:u w:val="single"/>
        </w:rPr>
        <w:t>Summary of burden changes:</w:t>
      </w:r>
    </w:p>
    <w:p w:rsidR="0046458E" w:rsidRDefault="0046458E" w:rsidP="0046458E">
      <w:r>
        <w:t>There is an additional burden of 25 hours (5 hours each for 5 licensees) for licensees who apply a particular code case (N-730) to maintain records</w:t>
      </w:r>
      <w:r w:rsidR="00A56359">
        <w:t xml:space="preserve">. </w:t>
      </w:r>
      <w:r>
        <w:t xml:space="preserve"> </w:t>
      </w:r>
      <w:r w:rsidR="00A56359">
        <w:t xml:space="preserve">These licensees must maintain repair records of the control drive bottom head penetrations in Boiling Water Reactors (BWRs) for the life of the reactor vessel.  </w:t>
      </w:r>
      <w:r>
        <w:t xml:space="preserve">Of the 104 reactor licensees, this code case is applicable only to the 35 </w:t>
      </w:r>
      <w:r w:rsidR="00A56359">
        <w:t>BWRs</w:t>
      </w:r>
      <w:r>
        <w:t>.</w:t>
      </w:r>
    </w:p>
    <w:p w:rsidR="0046458E" w:rsidRDefault="0046458E" w:rsidP="0046458E"/>
    <w:p w:rsidR="0046458E" w:rsidRDefault="0046458E" w:rsidP="0046458E">
      <w:r>
        <w:t xml:space="preserve">In addition, 10 CFR </w:t>
      </w:r>
      <w:proofErr w:type="gramStart"/>
      <w:r>
        <w:t>50.55a(</w:t>
      </w:r>
      <w:proofErr w:type="gramEnd"/>
      <w:r>
        <w:t>f)(5) and 10 CFR 50.55a(g)(5) allow applicants to request relief from ASME Code requirements determined to be impractical.  NRC estimates that adoption of Code Cases listed in the Regulatory Guides will reduce burden on all 104 reactors by reducing the number of relief requests submitted.  The Code Cases will accommodate situations in which certain inspections or tests cannot be conducted, without requiring the licensee to submit a relief request to the NRC.  The NRC estimates that the incorporation of the Regulatory Guides included in this rule will reduce the number of relief requests by 88 requests annually (85% of licensees are estimated to avert the need for a request</w:t>
      </w:r>
      <w:r w:rsidR="00AE68D5">
        <w:t xml:space="preserve"> each year</w:t>
      </w:r>
      <w:r>
        <w:t>, 104 plants x .85 = 88 requests).  The currently approved NRC burden for relief requests is 4 annually for 104 reactors at 20 hours per relief request (4 requests x 104 reactors x 20 hrs per request = a total of 8,320 hours).  The adoption of the Code Cases in the Regulatory Guides will reduce this by 1,760 hours (reduction of 88 relief requests x 20 hours = -1,760 hours).</w:t>
      </w:r>
    </w:p>
    <w:p w:rsidR="0046458E" w:rsidRDefault="0046458E" w:rsidP="0046458E"/>
    <w:p w:rsidR="0046458E" w:rsidRDefault="00FD144D" w:rsidP="0046458E">
      <w:r>
        <w:lastRenderedPageBreak/>
        <w:t>This final rule</w:t>
      </w:r>
      <w:r w:rsidR="0046458E">
        <w:t xml:space="preserve"> changes the total annual burden per respondent minimally as compared to the current requirement (the Part 50 clearance 3150-0011 currently has </w:t>
      </w:r>
      <w:r>
        <w:t>4,367,160</w:t>
      </w:r>
      <w:r w:rsidR="0046458E">
        <w:t xml:space="preserve"> hours, and we currently have </w:t>
      </w:r>
      <w:r w:rsidR="00E723E6">
        <w:t>275,026</w:t>
      </w:r>
      <w:r w:rsidR="0046458E">
        <w:t xml:space="preserve"> hours for section 50.55a alone) and does not expand the universe of respondents.  </w:t>
      </w:r>
      <w:r>
        <w:t>The</w:t>
      </w:r>
      <w:r w:rsidR="0046458E">
        <w:t xml:space="preserve"> FRN </w:t>
      </w:r>
      <w:r>
        <w:t xml:space="preserve">for this rule was published </w:t>
      </w:r>
      <w:r w:rsidR="0046458E">
        <w:t>with a Paperwork Reduction Act statement indicating an insignificant burden for the final rule.  The total burden impact for the rule is:</w:t>
      </w:r>
    </w:p>
    <w:p w:rsidR="0046458E" w:rsidRDefault="0046458E" w:rsidP="0046458E"/>
    <w:p w:rsidR="0046458E" w:rsidRDefault="0046458E" w:rsidP="0046458E">
      <w:r>
        <w:t xml:space="preserve">                 +25 hours of recordkeeping for Code Case N-730</w:t>
      </w:r>
    </w:p>
    <w:p w:rsidR="0046458E" w:rsidRDefault="0046458E" w:rsidP="0046458E">
      <w:r>
        <w:t xml:space="preserve">            </w:t>
      </w:r>
      <w:r w:rsidRPr="0046458E">
        <w:rPr>
          <w:u w:val="single"/>
        </w:rPr>
        <w:t>-1,760</w:t>
      </w:r>
      <w:r>
        <w:t xml:space="preserve"> hours of reporting for reduction in relief requests</w:t>
      </w:r>
    </w:p>
    <w:p w:rsidR="0046458E" w:rsidRDefault="0046458E" w:rsidP="0046458E">
      <w:r>
        <w:t xml:space="preserve">            -1,735 hours</w:t>
      </w:r>
    </w:p>
    <w:p w:rsidR="004A3F84" w:rsidRDefault="004A3F84"/>
    <w:p w:rsidR="00082C44" w:rsidRDefault="00082C44">
      <w:r>
        <w:t xml:space="preserve">The rule decreases the number of responses for Part 50 by 88 responses, due to the decrease in the number of relief requests submitted to NRC.  The additional recordkeeping burden does not increase the number of responses, because the respondents have already been counted as </w:t>
      </w:r>
      <w:proofErr w:type="spellStart"/>
      <w:r>
        <w:t>recordkeepers</w:t>
      </w:r>
      <w:proofErr w:type="spellEnd"/>
      <w:r>
        <w:t xml:space="preserve"> for this collection, and their recordkeeping response is already included.</w:t>
      </w:r>
    </w:p>
    <w:p w:rsidR="00082C44" w:rsidRDefault="00082C44"/>
    <w:p w:rsidR="00082C44" w:rsidRDefault="00082C44">
      <w:r>
        <w:t>Following is a summary of the change in hours and responses for Part 50:</w:t>
      </w:r>
    </w:p>
    <w:p w:rsidR="00082C44" w:rsidRDefault="00082C44"/>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FEF"/>
        <w:tblCellMar>
          <w:top w:w="15" w:type="dxa"/>
          <w:left w:w="15" w:type="dxa"/>
          <w:bottom w:w="15" w:type="dxa"/>
          <w:right w:w="15" w:type="dxa"/>
        </w:tblCellMar>
        <w:tblLook w:val="04A0"/>
      </w:tblPr>
      <w:tblGrid>
        <w:gridCol w:w="1429"/>
        <w:gridCol w:w="1414"/>
        <w:gridCol w:w="1414"/>
        <w:gridCol w:w="1415"/>
        <w:gridCol w:w="1415"/>
        <w:gridCol w:w="953"/>
        <w:gridCol w:w="1430"/>
      </w:tblGrid>
      <w:tr w:rsidR="00082C44" w:rsidRPr="00082C44" w:rsidTr="00082C44">
        <w:trPr>
          <w:tblCellSpacing w:w="15" w:type="dxa"/>
        </w:trPr>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 </w:t>
            </w:r>
          </w:p>
        </w:tc>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Requested</w:t>
            </w:r>
          </w:p>
        </w:tc>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Program Change Due to New Statute</w:t>
            </w:r>
          </w:p>
        </w:tc>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Program Change Due to Agency Discretion</w:t>
            </w:r>
          </w:p>
        </w:tc>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Change Due to Adjustment in Agency Estimate</w:t>
            </w:r>
          </w:p>
        </w:tc>
        <w:tc>
          <w:tcPr>
            <w:tcW w:w="50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Change Due to Potential Violation of the PRA</w:t>
            </w:r>
          </w:p>
        </w:tc>
        <w:tc>
          <w:tcPr>
            <w:tcW w:w="750" w:type="pct"/>
            <w:shd w:val="clear" w:color="auto" w:fill="003399"/>
            <w:vAlign w:val="center"/>
            <w:hideMark/>
          </w:tcPr>
          <w:p w:rsidR="00082C44" w:rsidRPr="00082C44" w:rsidRDefault="00082C44" w:rsidP="00082C44">
            <w:pPr>
              <w:spacing w:line="240" w:lineRule="auto"/>
              <w:jc w:val="center"/>
              <w:rPr>
                <w:rFonts w:eastAsia="Times New Roman"/>
                <w:b/>
                <w:bCs/>
                <w:color w:val="FFFFFF"/>
                <w:sz w:val="18"/>
                <w:szCs w:val="18"/>
              </w:rPr>
            </w:pPr>
            <w:r w:rsidRPr="00082C44">
              <w:rPr>
                <w:rFonts w:eastAsia="Times New Roman"/>
                <w:b/>
                <w:bCs/>
                <w:color w:val="FFFFFF"/>
                <w:sz w:val="18"/>
                <w:szCs w:val="18"/>
              </w:rPr>
              <w:t>Previously Approved</w:t>
            </w:r>
          </w:p>
        </w:tc>
      </w:tr>
      <w:tr w:rsidR="00082C44" w:rsidRPr="00082C44" w:rsidTr="00082C44">
        <w:trPr>
          <w:tblCellSpacing w:w="15" w:type="dxa"/>
        </w:trPr>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rPr>
                <w:rFonts w:eastAsia="Times New Roman"/>
                <w:color w:val="000000"/>
                <w:sz w:val="18"/>
                <w:szCs w:val="18"/>
              </w:rPr>
            </w:pPr>
            <w:r w:rsidRPr="00082C44">
              <w:rPr>
                <w:rFonts w:eastAsia="Times New Roman"/>
                <w:color w:val="000000"/>
                <w:sz w:val="18"/>
                <w:szCs w:val="18"/>
              </w:rPr>
              <w:t>Annual Number of Responses for this IC</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45,274</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-88</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50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45,362</w:t>
            </w:r>
          </w:p>
        </w:tc>
      </w:tr>
      <w:tr w:rsidR="00082C44" w:rsidRPr="00082C44" w:rsidTr="00082C44">
        <w:trPr>
          <w:tblCellSpacing w:w="15" w:type="dxa"/>
        </w:trPr>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rPr>
                <w:rFonts w:eastAsia="Times New Roman"/>
                <w:color w:val="000000"/>
                <w:sz w:val="18"/>
                <w:szCs w:val="18"/>
              </w:rPr>
            </w:pPr>
            <w:r w:rsidRPr="00082C44">
              <w:rPr>
                <w:rFonts w:eastAsia="Times New Roman"/>
                <w:color w:val="000000"/>
                <w:sz w:val="18"/>
                <w:szCs w:val="18"/>
              </w:rPr>
              <w:t>Annual IC Time Burden (Hours)</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4,365,425</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-1,735</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50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4,367,160</w:t>
            </w:r>
          </w:p>
        </w:tc>
      </w:tr>
      <w:tr w:rsidR="00082C44" w:rsidRPr="00082C44" w:rsidTr="00082C44">
        <w:trPr>
          <w:tblCellSpacing w:w="15" w:type="dxa"/>
        </w:trPr>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rPr>
                <w:rFonts w:eastAsia="Times New Roman"/>
                <w:color w:val="000000"/>
                <w:sz w:val="18"/>
                <w:szCs w:val="18"/>
              </w:rPr>
            </w:pPr>
            <w:r w:rsidRPr="00082C44">
              <w:rPr>
                <w:rFonts w:eastAsia="Times New Roman"/>
                <w:color w:val="000000"/>
                <w:sz w:val="18"/>
                <w:szCs w:val="18"/>
              </w:rPr>
              <w:t>Annual IC Cost Burden (Dollars)</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1,810,380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50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0</w:t>
            </w:r>
          </w:p>
        </w:tc>
        <w:tc>
          <w:tcPr>
            <w:tcW w:w="750" w:type="pct"/>
            <w:shd w:val="clear" w:color="auto" w:fill="FFFFFF"/>
            <w:tcMar>
              <w:top w:w="30" w:type="dxa"/>
              <w:left w:w="30" w:type="dxa"/>
              <w:bottom w:w="30" w:type="dxa"/>
              <w:right w:w="30" w:type="dxa"/>
            </w:tcMar>
            <w:vAlign w:val="center"/>
            <w:hideMark/>
          </w:tcPr>
          <w:p w:rsidR="00082C44" w:rsidRPr="00082C44" w:rsidRDefault="00082C44" w:rsidP="00082C44">
            <w:pPr>
              <w:spacing w:line="240" w:lineRule="auto"/>
              <w:jc w:val="right"/>
              <w:rPr>
                <w:rFonts w:eastAsia="Times New Roman"/>
                <w:color w:val="000000"/>
                <w:sz w:val="18"/>
                <w:szCs w:val="18"/>
              </w:rPr>
            </w:pPr>
            <w:r w:rsidRPr="00082C44">
              <w:rPr>
                <w:rFonts w:eastAsia="Times New Roman"/>
                <w:color w:val="000000"/>
                <w:sz w:val="18"/>
                <w:szCs w:val="18"/>
              </w:rPr>
              <w:t>1,810,380</w:t>
            </w:r>
          </w:p>
        </w:tc>
      </w:tr>
    </w:tbl>
    <w:p w:rsidR="00082C44" w:rsidRDefault="00082C44"/>
    <w:p w:rsidR="00D80903" w:rsidRPr="00D80903" w:rsidRDefault="00D80903">
      <w:pPr>
        <w:rPr>
          <w:u w:val="single"/>
        </w:rPr>
      </w:pPr>
      <w:r w:rsidRPr="00D80903">
        <w:rPr>
          <w:u w:val="single"/>
        </w:rPr>
        <w:t>Dates:</w:t>
      </w:r>
    </w:p>
    <w:p w:rsidR="00D80903" w:rsidRDefault="00D80903" w:rsidP="00D80903">
      <w:pPr>
        <w:pStyle w:val="ListBullet"/>
      </w:pPr>
      <w:r>
        <w:t>Publication of proposed rule</w:t>
      </w:r>
      <w:r>
        <w:tab/>
        <w:t>06/02/2009</w:t>
      </w:r>
    </w:p>
    <w:p w:rsidR="00D80903" w:rsidRDefault="00D80903" w:rsidP="00D80903">
      <w:pPr>
        <w:pStyle w:val="ListBullet"/>
      </w:pPr>
      <w:r>
        <w:t>Publication of final rule</w:t>
      </w:r>
      <w:r>
        <w:tab/>
      </w:r>
      <w:r>
        <w:tab/>
        <w:t>10/05/2010</w:t>
      </w:r>
    </w:p>
    <w:p w:rsidR="00D80903" w:rsidRPr="003F3462" w:rsidRDefault="00D80903" w:rsidP="00D80903">
      <w:pPr>
        <w:pStyle w:val="ListBullet"/>
      </w:pPr>
      <w:r>
        <w:t>Effective date of final rule:</w:t>
      </w:r>
      <w:r>
        <w:tab/>
        <w:t>11/04/2010</w:t>
      </w:r>
    </w:p>
    <w:sectPr w:rsidR="00D80903" w:rsidRPr="003F3462" w:rsidSect="004A3F8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44" w:rsidRDefault="00082C44" w:rsidP="00082C44">
      <w:pPr>
        <w:spacing w:line="240" w:lineRule="auto"/>
      </w:pPr>
      <w:r>
        <w:separator/>
      </w:r>
    </w:p>
  </w:endnote>
  <w:endnote w:type="continuationSeparator" w:id="0">
    <w:p w:rsidR="00082C44" w:rsidRDefault="00082C44" w:rsidP="00082C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2672"/>
      <w:docPartObj>
        <w:docPartGallery w:val="Page Numbers (Bottom of Page)"/>
        <w:docPartUnique/>
      </w:docPartObj>
    </w:sdtPr>
    <w:sdtContent>
      <w:p w:rsidR="00082C44" w:rsidRDefault="00DE7354">
        <w:pPr>
          <w:pStyle w:val="Footer"/>
          <w:jc w:val="center"/>
        </w:pPr>
        <w:fldSimple w:instr=" PAGE   \* MERGEFORMAT ">
          <w:r w:rsidR="003D6F46">
            <w:rPr>
              <w:noProof/>
            </w:rPr>
            <w:t>2</w:t>
          </w:r>
        </w:fldSimple>
      </w:p>
    </w:sdtContent>
  </w:sdt>
  <w:p w:rsidR="00082C44" w:rsidRDefault="00082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44" w:rsidRDefault="00082C44" w:rsidP="00082C44">
      <w:pPr>
        <w:spacing w:line="240" w:lineRule="auto"/>
      </w:pPr>
      <w:r>
        <w:separator/>
      </w:r>
    </w:p>
  </w:footnote>
  <w:footnote w:type="continuationSeparator" w:id="0">
    <w:p w:rsidR="00082C44" w:rsidRDefault="00082C44" w:rsidP="00082C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D8A574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58E"/>
    <w:rsid w:val="00000639"/>
    <w:rsid w:val="00002240"/>
    <w:rsid w:val="00003286"/>
    <w:rsid w:val="00004164"/>
    <w:rsid w:val="00004B59"/>
    <w:rsid w:val="00010B28"/>
    <w:rsid w:val="000133DF"/>
    <w:rsid w:val="000145F7"/>
    <w:rsid w:val="00025A48"/>
    <w:rsid w:val="00033A7D"/>
    <w:rsid w:val="00043048"/>
    <w:rsid w:val="0005097C"/>
    <w:rsid w:val="00060034"/>
    <w:rsid w:val="00060B30"/>
    <w:rsid w:val="00061E69"/>
    <w:rsid w:val="000628BB"/>
    <w:rsid w:val="00063464"/>
    <w:rsid w:val="000705AC"/>
    <w:rsid w:val="000761E2"/>
    <w:rsid w:val="00082C44"/>
    <w:rsid w:val="00082FCA"/>
    <w:rsid w:val="00090B4F"/>
    <w:rsid w:val="00091184"/>
    <w:rsid w:val="000920AD"/>
    <w:rsid w:val="00092CE4"/>
    <w:rsid w:val="00093E50"/>
    <w:rsid w:val="0009624D"/>
    <w:rsid w:val="00096C3F"/>
    <w:rsid w:val="000A54DC"/>
    <w:rsid w:val="000A5AB3"/>
    <w:rsid w:val="000B56DA"/>
    <w:rsid w:val="000C1E5F"/>
    <w:rsid w:val="000C6F8E"/>
    <w:rsid w:val="000D1FD2"/>
    <w:rsid w:val="000D31A4"/>
    <w:rsid w:val="000D3337"/>
    <w:rsid w:val="000D36F8"/>
    <w:rsid w:val="000E1B12"/>
    <w:rsid w:val="000E55B8"/>
    <w:rsid w:val="000F142B"/>
    <w:rsid w:val="000F62D6"/>
    <w:rsid w:val="000F6B64"/>
    <w:rsid w:val="001056C5"/>
    <w:rsid w:val="00107EF5"/>
    <w:rsid w:val="00112180"/>
    <w:rsid w:val="001127AD"/>
    <w:rsid w:val="00120CEE"/>
    <w:rsid w:val="0012190A"/>
    <w:rsid w:val="001374A2"/>
    <w:rsid w:val="00137E2B"/>
    <w:rsid w:val="00140F3D"/>
    <w:rsid w:val="00141664"/>
    <w:rsid w:val="00141DCF"/>
    <w:rsid w:val="00145753"/>
    <w:rsid w:val="0014638C"/>
    <w:rsid w:val="00155893"/>
    <w:rsid w:val="00156DE0"/>
    <w:rsid w:val="0016371D"/>
    <w:rsid w:val="00170099"/>
    <w:rsid w:val="00174F12"/>
    <w:rsid w:val="00185EFA"/>
    <w:rsid w:val="001904D3"/>
    <w:rsid w:val="0019171D"/>
    <w:rsid w:val="0019356A"/>
    <w:rsid w:val="001A2DB5"/>
    <w:rsid w:val="001A7EC8"/>
    <w:rsid w:val="001B3E04"/>
    <w:rsid w:val="001B59B6"/>
    <w:rsid w:val="001C0E69"/>
    <w:rsid w:val="001C265A"/>
    <w:rsid w:val="001C5CA1"/>
    <w:rsid w:val="001C5DC6"/>
    <w:rsid w:val="001C649E"/>
    <w:rsid w:val="001C772B"/>
    <w:rsid w:val="001C7D8A"/>
    <w:rsid w:val="001D35BA"/>
    <w:rsid w:val="001D3F3E"/>
    <w:rsid w:val="001D683F"/>
    <w:rsid w:val="001E1372"/>
    <w:rsid w:val="001E24AF"/>
    <w:rsid w:val="001E39C2"/>
    <w:rsid w:val="001E4700"/>
    <w:rsid w:val="001E4FB8"/>
    <w:rsid w:val="001F03A8"/>
    <w:rsid w:val="001F3EEE"/>
    <w:rsid w:val="001F78AF"/>
    <w:rsid w:val="00200E89"/>
    <w:rsid w:val="002016DA"/>
    <w:rsid w:val="00206E63"/>
    <w:rsid w:val="002070D3"/>
    <w:rsid w:val="00213488"/>
    <w:rsid w:val="00215ADD"/>
    <w:rsid w:val="00217D11"/>
    <w:rsid w:val="0023521A"/>
    <w:rsid w:val="00240E53"/>
    <w:rsid w:val="00252711"/>
    <w:rsid w:val="00254412"/>
    <w:rsid w:val="00255CF4"/>
    <w:rsid w:val="002660D9"/>
    <w:rsid w:val="00280E2E"/>
    <w:rsid w:val="00281170"/>
    <w:rsid w:val="00283181"/>
    <w:rsid w:val="00297899"/>
    <w:rsid w:val="002978D8"/>
    <w:rsid w:val="00297EA8"/>
    <w:rsid w:val="002A0C3D"/>
    <w:rsid w:val="002A2FE6"/>
    <w:rsid w:val="002A4E2B"/>
    <w:rsid w:val="002A5734"/>
    <w:rsid w:val="002A5A4D"/>
    <w:rsid w:val="002B45CC"/>
    <w:rsid w:val="002B55F1"/>
    <w:rsid w:val="002B7122"/>
    <w:rsid w:val="002B71E6"/>
    <w:rsid w:val="002B7226"/>
    <w:rsid w:val="002C5257"/>
    <w:rsid w:val="002C6882"/>
    <w:rsid w:val="002C6DE1"/>
    <w:rsid w:val="002E0BE3"/>
    <w:rsid w:val="002E3B20"/>
    <w:rsid w:val="002E5ED2"/>
    <w:rsid w:val="002E7923"/>
    <w:rsid w:val="002F33B5"/>
    <w:rsid w:val="002F3D9C"/>
    <w:rsid w:val="0030162A"/>
    <w:rsid w:val="00307519"/>
    <w:rsid w:val="00312A3A"/>
    <w:rsid w:val="00317E85"/>
    <w:rsid w:val="003231BA"/>
    <w:rsid w:val="003241A4"/>
    <w:rsid w:val="00324567"/>
    <w:rsid w:val="003252A6"/>
    <w:rsid w:val="00330008"/>
    <w:rsid w:val="003300D6"/>
    <w:rsid w:val="003301C0"/>
    <w:rsid w:val="00330B60"/>
    <w:rsid w:val="0033755B"/>
    <w:rsid w:val="00341B17"/>
    <w:rsid w:val="00345C66"/>
    <w:rsid w:val="00353C30"/>
    <w:rsid w:val="00356C09"/>
    <w:rsid w:val="003613B7"/>
    <w:rsid w:val="00363544"/>
    <w:rsid w:val="00370449"/>
    <w:rsid w:val="00372E4C"/>
    <w:rsid w:val="00380B40"/>
    <w:rsid w:val="0038157C"/>
    <w:rsid w:val="00381792"/>
    <w:rsid w:val="00384D9D"/>
    <w:rsid w:val="00390AC2"/>
    <w:rsid w:val="00392BBB"/>
    <w:rsid w:val="00395EF2"/>
    <w:rsid w:val="003970C1"/>
    <w:rsid w:val="003A0803"/>
    <w:rsid w:val="003A308F"/>
    <w:rsid w:val="003A6E11"/>
    <w:rsid w:val="003B45F6"/>
    <w:rsid w:val="003B5DB0"/>
    <w:rsid w:val="003D6C97"/>
    <w:rsid w:val="003D6F46"/>
    <w:rsid w:val="003E2019"/>
    <w:rsid w:val="003E46D5"/>
    <w:rsid w:val="003F0341"/>
    <w:rsid w:val="003F1E4C"/>
    <w:rsid w:val="003F318F"/>
    <w:rsid w:val="003F3462"/>
    <w:rsid w:val="003F3717"/>
    <w:rsid w:val="003F38D0"/>
    <w:rsid w:val="003F59D8"/>
    <w:rsid w:val="003F6B5F"/>
    <w:rsid w:val="0040232A"/>
    <w:rsid w:val="00404382"/>
    <w:rsid w:val="00406AFD"/>
    <w:rsid w:val="00407F62"/>
    <w:rsid w:val="0041586E"/>
    <w:rsid w:val="00417907"/>
    <w:rsid w:val="00425F76"/>
    <w:rsid w:val="004264D3"/>
    <w:rsid w:val="00426792"/>
    <w:rsid w:val="004315FD"/>
    <w:rsid w:val="00432132"/>
    <w:rsid w:val="00437CE2"/>
    <w:rsid w:val="00446544"/>
    <w:rsid w:val="004521BB"/>
    <w:rsid w:val="00452764"/>
    <w:rsid w:val="0045458D"/>
    <w:rsid w:val="00456A21"/>
    <w:rsid w:val="00456A85"/>
    <w:rsid w:val="004577C6"/>
    <w:rsid w:val="0046458E"/>
    <w:rsid w:val="00467785"/>
    <w:rsid w:val="004700D9"/>
    <w:rsid w:val="004707F4"/>
    <w:rsid w:val="004723D0"/>
    <w:rsid w:val="00473B58"/>
    <w:rsid w:val="004746F5"/>
    <w:rsid w:val="0048092A"/>
    <w:rsid w:val="00483753"/>
    <w:rsid w:val="004910BB"/>
    <w:rsid w:val="00492EDD"/>
    <w:rsid w:val="0049743B"/>
    <w:rsid w:val="004A0C73"/>
    <w:rsid w:val="004A3300"/>
    <w:rsid w:val="004A3F84"/>
    <w:rsid w:val="004A460D"/>
    <w:rsid w:val="004B635F"/>
    <w:rsid w:val="004B6721"/>
    <w:rsid w:val="004C03B1"/>
    <w:rsid w:val="004C4DD4"/>
    <w:rsid w:val="004C593D"/>
    <w:rsid w:val="004D2873"/>
    <w:rsid w:val="004D439A"/>
    <w:rsid w:val="004D5A1D"/>
    <w:rsid w:val="004D746D"/>
    <w:rsid w:val="004D79C0"/>
    <w:rsid w:val="004E279B"/>
    <w:rsid w:val="004E2ADF"/>
    <w:rsid w:val="004E6915"/>
    <w:rsid w:val="004E7620"/>
    <w:rsid w:val="004E7823"/>
    <w:rsid w:val="004F0777"/>
    <w:rsid w:val="004F5785"/>
    <w:rsid w:val="004F6B33"/>
    <w:rsid w:val="00501DBB"/>
    <w:rsid w:val="00505DAD"/>
    <w:rsid w:val="00506687"/>
    <w:rsid w:val="00507DC7"/>
    <w:rsid w:val="005158D8"/>
    <w:rsid w:val="0051590A"/>
    <w:rsid w:val="005218AF"/>
    <w:rsid w:val="00530927"/>
    <w:rsid w:val="00530BE9"/>
    <w:rsid w:val="005412F2"/>
    <w:rsid w:val="00541A80"/>
    <w:rsid w:val="00543E37"/>
    <w:rsid w:val="005520D8"/>
    <w:rsid w:val="00556865"/>
    <w:rsid w:val="005576C9"/>
    <w:rsid w:val="00565DC4"/>
    <w:rsid w:val="00566A90"/>
    <w:rsid w:val="00567C90"/>
    <w:rsid w:val="00570B95"/>
    <w:rsid w:val="0057355B"/>
    <w:rsid w:val="00581D7F"/>
    <w:rsid w:val="00582623"/>
    <w:rsid w:val="00596C43"/>
    <w:rsid w:val="005A3781"/>
    <w:rsid w:val="005A40AC"/>
    <w:rsid w:val="005A788D"/>
    <w:rsid w:val="005B0617"/>
    <w:rsid w:val="005B0CFE"/>
    <w:rsid w:val="005B200A"/>
    <w:rsid w:val="005C7FC8"/>
    <w:rsid w:val="005D6FCD"/>
    <w:rsid w:val="005E35F9"/>
    <w:rsid w:val="005E66C1"/>
    <w:rsid w:val="005F4724"/>
    <w:rsid w:val="005F69EC"/>
    <w:rsid w:val="00601725"/>
    <w:rsid w:val="006055B1"/>
    <w:rsid w:val="006175D8"/>
    <w:rsid w:val="00620F63"/>
    <w:rsid w:val="00622446"/>
    <w:rsid w:val="006250E3"/>
    <w:rsid w:val="00630B17"/>
    <w:rsid w:val="006358BA"/>
    <w:rsid w:val="00644629"/>
    <w:rsid w:val="00650AFA"/>
    <w:rsid w:val="00657397"/>
    <w:rsid w:val="00666E8C"/>
    <w:rsid w:val="00670A87"/>
    <w:rsid w:val="00674654"/>
    <w:rsid w:val="006827A9"/>
    <w:rsid w:val="00683BC1"/>
    <w:rsid w:val="00686259"/>
    <w:rsid w:val="00691F3B"/>
    <w:rsid w:val="00696A15"/>
    <w:rsid w:val="0069738D"/>
    <w:rsid w:val="00697CB7"/>
    <w:rsid w:val="006A4040"/>
    <w:rsid w:val="006A4B5F"/>
    <w:rsid w:val="006A6805"/>
    <w:rsid w:val="006A6A65"/>
    <w:rsid w:val="006C007F"/>
    <w:rsid w:val="006C033D"/>
    <w:rsid w:val="006C164C"/>
    <w:rsid w:val="006C529E"/>
    <w:rsid w:val="006C5BC6"/>
    <w:rsid w:val="006C7D6C"/>
    <w:rsid w:val="006D1B6C"/>
    <w:rsid w:val="006D2A74"/>
    <w:rsid w:val="006D6DE4"/>
    <w:rsid w:val="006E1043"/>
    <w:rsid w:val="006F4131"/>
    <w:rsid w:val="006F6585"/>
    <w:rsid w:val="006F68EA"/>
    <w:rsid w:val="006F7185"/>
    <w:rsid w:val="006F7A0B"/>
    <w:rsid w:val="007003A7"/>
    <w:rsid w:val="007038E3"/>
    <w:rsid w:val="00722AE0"/>
    <w:rsid w:val="00722F24"/>
    <w:rsid w:val="00723B4F"/>
    <w:rsid w:val="007244FE"/>
    <w:rsid w:val="00724AB0"/>
    <w:rsid w:val="00726B9D"/>
    <w:rsid w:val="007323C0"/>
    <w:rsid w:val="007326A6"/>
    <w:rsid w:val="00734965"/>
    <w:rsid w:val="00741B6A"/>
    <w:rsid w:val="00743703"/>
    <w:rsid w:val="00743776"/>
    <w:rsid w:val="00743A28"/>
    <w:rsid w:val="00743E9B"/>
    <w:rsid w:val="00751AE6"/>
    <w:rsid w:val="007557A3"/>
    <w:rsid w:val="0076146F"/>
    <w:rsid w:val="00763BD2"/>
    <w:rsid w:val="007657D3"/>
    <w:rsid w:val="007663D7"/>
    <w:rsid w:val="007668CD"/>
    <w:rsid w:val="00770F17"/>
    <w:rsid w:val="00775418"/>
    <w:rsid w:val="00775D01"/>
    <w:rsid w:val="007768A0"/>
    <w:rsid w:val="007779E2"/>
    <w:rsid w:val="00787D2C"/>
    <w:rsid w:val="0079713C"/>
    <w:rsid w:val="007A1CDD"/>
    <w:rsid w:val="007A4D2A"/>
    <w:rsid w:val="007B1F38"/>
    <w:rsid w:val="007B337C"/>
    <w:rsid w:val="007B598F"/>
    <w:rsid w:val="007C3D61"/>
    <w:rsid w:val="007C3E81"/>
    <w:rsid w:val="007C7256"/>
    <w:rsid w:val="007D0099"/>
    <w:rsid w:val="007D066F"/>
    <w:rsid w:val="007D0DB7"/>
    <w:rsid w:val="007D60B8"/>
    <w:rsid w:val="007E1A80"/>
    <w:rsid w:val="007E63A1"/>
    <w:rsid w:val="007F23F5"/>
    <w:rsid w:val="007F5D6F"/>
    <w:rsid w:val="00800903"/>
    <w:rsid w:val="00801F14"/>
    <w:rsid w:val="0080383F"/>
    <w:rsid w:val="008040EA"/>
    <w:rsid w:val="008078AA"/>
    <w:rsid w:val="008220FD"/>
    <w:rsid w:val="00836BDB"/>
    <w:rsid w:val="00856004"/>
    <w:rsid w:val="00864C12"/>
    <w:rsid w:val="00875456"/>
    <w:rsid w:val="0088680E"/>
    <w:rsid w:val="00893B74"/>
    <w:rsid w:val="00896CDF"/>
    <w:rsid w:val="008B15D9"/>
    <w:rsid w:val="008B2D0F"/>
    <w:rsid w:val="008B33FF"/>
    <w:rsid w:val="008B3EA6"/>
    <w:rsid w:val="008B5191"/>
    <w:rsid w:val="008B6AC8"/>
    <w:rsid w:val="008C0A86"/>
    <w:rsid w:val="008C3DD2"/>
    <w:rsid w:val="008C738B"/>
    <w:rsid w:val="008D0A6D"/>
    <w:rsid w:val="008D0B32"/>
    <w:rsid w:val="008D499E"/>
    <w:rsid w:val="008D7DD4"/>
    <w:rsid w:val="008E34CC"/>
    <w:rsid w:val="008E7842"/>
    <w:rsid w:val="008F199D"/>
    <w:rsid w:val="00902EA3"/>
    <w:rsid w:val="009235E1"/>
    <w:rsid w:val="0092390B"/>
    <w:rsid w:val="009272F1"/>
    <w:rsid w:val="009277E1"/>
    <w:rsid w:val="00931FB0"/>
    <w:rsid w:val="00934910"/>
    <w:rsid w:val="00937BBE"/>
    <w:rsid w:val="009473FC"/>
    <w:rsid w:val="00947D0C"/>
    <w:rsid w:val="009529FA"/>
    <w:rsid w:val="0095326F"/>
    <w:rsid w:val="0095533D"/>
    <w:rsid w:val="00956FD2"/>
    <w:rsid w:val="009645A9"/>
    <w:rsid w:val="00970B60"/>
    <w:rsid w:val="009763EB"/>
    <w:rsid w:val="00977659"/>
    <w:rsid w:val="00977CFE"/>
    <w:rsid w:val="009804EA"/>
    <w:rsid w:val="009838D4"/>
    <w:rsid w:val="0098514C"/>
    <w:rsid w:val="009855AD"/>
    <w:rsid w:val="009922D1"/>
    <w:rsid w:val="009971FD"/>
    <w:rsid w:val="009A0DE2"/>
    <w:rsid w:val="009A5879"/>
    <w:rsid w:val="009A6703"/>
    <w:rsid w:val="009B335A"/>
    <w:rsid w:val="009B61BB"/>
    <w:rsid w:val="009C29DF"/>
    <w:rsid w:val="009C48AD"/>
    <w:rsid w:val="009C5119"/>
    <w:rsid w:val="009C5B38"/>
    <w:rsid w:val="009C5E3A"/>
    <w:rsid w:val="009C637D"/>
    <w:rsid w:val="009C7878"/>
    <w:rsid w:val="009D1D23"/>
    <w:rsid w:val="009D7119"/>
    <w:rsid w:val="009E241B"/>
    <w:rsid w:val="009E4997"/>
    <w:rsid w:val="009E5401"/>
    <w:rsid w:val="009F4E86"/>
    <w:rsid w:val="009F4F16"/>
    <w:rsid w:val="009F68F6"/>
    <w:rsid w:val="009F6FE8"/>
    <w:rsid w:val="009F7E15"/>
    <w:rsid w:val="00A14658"/>
    <w:rsid w:val="00A14848"/>
    <w:rsid w:val="00A1519C"/>
    <w:rsid w:val="00A155DB"/>
    <w:rsid w:val="00A22B98"/>
    <w:rsid w:val="00A26166"/>
    <w:rsid w:val="00A31C25"/>
    <w:rsid w:val="00A32099"/>
    <w:rsid w:val="00A33CA7"/>
    <w:rsid w:val="00A352AE"/>
    <w:rsid w:val="00A35E74"/>
    <w:rsid w:val="00A3742A"/>
    <w:rsid w:val="00A415BE"/>
    <w:rsid w:val="00A43E44"/>
    <w:rsid w:val="00A45EAF"/>
    <w:rsid w:val="00A50270"/>
    <w:rsid w:val="00A51DC0"/>
    <w:rsid w:val="00A54FD7"/>
    <w:rsid w:val="00A55003"/>
    <w:rsid w:val="00A55BD4"/>
    <w:rsid w:val="00A56359"/>
    <w:rsid w:val="00A625A8"/>
    <w:rsid w:val="00A626D4"/>
    <w:rsid w:val="00A67EA3"/>
    <w:rsid w:val="00A70C6B"/>
    <w:rsid w:val="00A7248D"/>
    <w:rsid w:val="00A729D5"/>
    <w:rsid w:val="00A73490"/>
    <w:rsid w:val="00A7484C"/>
    <w:rsid w:val="00A77F44"/>
    <w:rsid w:val="00A82A93"/>
    <w:rsid w:val="00A83EC8"/>
    <w:rsid w:val="00A84E3A"/>
    <w:rsid w:val="00A95C66"/>
    <w:rsid w:val="00AA035A"/>
    <w:rsid w:val="00AA3A95"/>
    <w:rsid w:val="00AB0C28"/>
    <w:rsid w:val="00AB719F"/>
    <w:rsid w:val="00AC306B"/>
    <w:rsid w:val="00AC62C6"/>
    <w:rsid w:val="00AD46BA"/>
    <w:rsid w:val="00AD591A"/>
    <w:rsid w:val="00AD5A29"/>
    <w:rsid w:val="00AD6A21"/>
    <w:rsid w:val="00AE07FD"/>
    <w:rsid w:val="00AE5FB3"/>
    <w:rsid w:val="00AE68D5"/>
    <w:rsid w:val="00AE7F5D"/>
    <w:rsid w:val="00AF0AE7"/>
    <w:rsid w:val="00AF0C20"/>
    <w:rsid w:val="00AF37D1"/>
    <w:rsid w:val="00B00FDE"/>
    <w:rsid w:val="00B01247"/>
    <w:rsid w:val="00B03284"/>
    <w:rsid w:val="00B05324"/>
    <w:rsid w:val="00B0539B"/>
    <w:rsid w:val="00B07047"/>
    <w:rsid w:val="00B12716"/>
    <w:rsid w:val="00B13997"/>
    <w:rsid w:val="00B16552"/>
    <w:rsid w:val="00B16EB8"/>
    <w:rsid w:val="00B1732C"/>
    <w:rsid w:val="00B220F8"/>
    <w:rsid w:val="00B22B58"/>
    <w:rsid w:val="00B24EF5"/>
    <w:rsid w:val="00B2752C"/>
    <w:rsid w:val="00B42804"/>
    <w:rsid w:val="00B473A4"/>
    <w:rsid w:val="00B529F5"/>
    <w:rsid w:val="00B5656C"/>
    <w:rsid w:val="00B624AD"/>
    <w:rsid w:val="00B63419"/>
    <w:rsid w:val="00B643C3"/>
    <w:rsid w:val="00B70FB3"/>
    <w:rsid w:val="00B748F0"/>
    <w:rsid w:val="00B76CE0"/>
    <w:rsid w:val="00B81858"/>
    <w:rsid w:val="00B91093"/>
    <w:rsid w:val="00B91636"/>
    <w:rsid w:val="00B96B1A"/>
    <w:rsid w:val="00B97457"/>
    <w:rsid w:val="00BA0583"/>
    <w:rsid w:val="00BB14E9"/>
    <w:rsid w:val="00BB67FA"/>
    <w:rsid w:val="00BC0C20"/>
    <w:rsid w:val="00BC3678"/>
    <w:rsid w:val="00BC6486"/>
    <w:rsid w:val="00BD03B9"/>
    <w:rsid w:val="00BD7A5F"/>
    <w:rsid w:val="00BE29AA"/>
    <w:rsid w:val="00BE5739"/>
    <w:rsid w:val="00BF3B2E"/>
    <w:rsid w:val="00BF5144"/>
    <w:rsid w:val="00BF5478"/>
    <w:rsid w:val="00BF7BBE"/>
    <w:rsid w:val="00C13CC5"/>
    <w:rsid w:val="00C14EBA"/>
    <w:rsid w:val="00C16934"/>
    <w:rsid w:val="00C2229B"/>
    <w:rsid w:val="00C24B2A"/>
    <w:rsid w:val="00C24D9B"/>
    <w:rsid w:val="00C26B4D"/>
    <w:rsid w:val="00C3382A"/>
    <w:rsid w:val="00C379E9"/>
    <w:rsid w:val="00C4007B"/>
    <w:rsid w:val="00C42F15"/>
    <w:rsid w:val="00C433B6"/>
    <w:rsid w:val="00C43E58"/>
    <w:rsid w:val="00C46B82"/>
    <w:rsid w:val="00C52035"/>
    <w:rsid w:val="00C54910"/>
    <w:rsid w:val="00C566F4"/>
    <w:rsid w:val="00C6180F"/>
    <w:rsid w:val="00C639E7"/>
    <w:rsid w:val="00C65640"/>
    <w:rsid w:val="00C65B6E"/>
    <w:rsid w:val="00C66D2B"/>
    <w:rsid w:val="00C70668"/>
    <w:rsid w:val="00C716E4"/>
    <w:rsid w:val="00C73BFC"/>
    <w:rsid w:val="00C774F8"/>
    <w:rsid w:val="00C8109E"/>
    <w:rsid w:val="00C90527"/>
    <w:rsid w:val="00C90E86"/>
    <w:rsid w:val="00C91CD5"/>
    <w:rsid w:val="00C9322F"/>
    <w:rsid w:val="00C95523"/>
    <w:rsid w:val="00C95BC7"/>
    <w:rsid w:val="00C96B2D"/>
    <w:rsid w:val="00C97E7A"/>
    <w:rsid w:val="00CA02BB"/>
    <w:rsid w:val="00CA3FC0"/>
    <w:rsid w:val="00CA614B"/>
    <w:rsid w:val="00CA6310"/>
    <w:rsid w:val="00CB0F5B"/>
    <w:rsid w:val="00CB3469"/>
    <w:rsid w:val="00CC2180"/>
    <w:rsid w:val="00CC48DE"/>
    <w:rsid w:val="00CC7BC5"/>
    <w:rsid w:val="00CE0C2A"/>
    <w:rsid w:val="00CE5453"/>
    <w:rsid w:val="00CF6D29"/>
    <w:rsid w:val="00D049FD"/>
    <w:rsid w:val="00D068F3"/>
    <w:rsid w:val="00D1667A"/>
    <w:rsid w:val="00D215EE"/>
    <w:rsid w:val="00D32887"/>
    <w:rsid w:val="00D36041"/>
    <w:rsid w:val="00D427BD"/>
    <w:rsid w:val="00D44DA6"/>
    <w:rsid w:val="00D478FD"/>
    <w:rsid w:val="00D47CB1"/>
    <w:rsid w:val="00D51877"/>
    <w:rsid w:val="00D52B0E"/>
    <w:rsid w:val="00D54117"/>
    <w:rsid w:val="00D60DB3"/>
    <w:rsid w:val="00D649D9"/>
    <w:rsid w:val="00D6518A"/>
    <w:rsid w:val="00D65ED0"/>
    <w:rsid w:val="00D67534"/>
    <w:rsid w:val="00D67633"/>
    <w:rsid w:val="00D7154F"/>
    <w:rsid w:val="00D73240"/>
    <w:rsid w:val="00D73B92"/>
    <w:rsid w:val="00D77B33"/>
    <w:rsid w:val="00D80903"/>
    <w:rsid w:val="00D80B31"/>
    <w:rsid w:val="00D82BD0"/>
    <w:rsid w:val="00D83707"/>
    <w:rsid w:val="00D85466"/>
    <w:rsid w:val="00D86693"/>
    <w:rsid w:val="00D86D71"/>
    <w:rsid w:val="00D91014"/>
    <w:rsid w:val="00DA05EB"/>
    <w:rsid w:val="00DA32A6"/>
    <w:rsid w:val="00DB3A78"/>
    <w:rsid w:val="00DB40EB"/>
    <w:rsid w:val="00DB440A"/>
    <w:rsid w:val="00DB44BA"/>
    <w:rsid w:val="00DC6765"/>
    <w:rsid w:val="00DC6D8A"/>
    <w:rsid w:val="00DD11D0"/>
    <w:rsid w:val="00DD4DF8"/>
    <w:rsid w:val="00DD50D4"/>
    <w:rsid w:val="00DD64FB"/>
    <w:rsid w:val="00DE24A6"/>
    <w:rsid w:val="00DE2D06"/>
    <w:rsid w:val="00DE3A10"/>
    <w:rsid w:val="00DE4AB7"/>
    <w:rsid w:val="00DE52BD"/>
    <w:rsid w:val="00DE7354"/>
    <w:rsid w:val="00DF0DB4"/>
    <w:rsid w:val="00DF4F2F"/>
    <w:rsid w:val="00DF5261"/>
    <w:rsid w:val="00E01BE9"/>
    <w:rsid w:val="00E020F7"/>
    <w:rsid w:val="00E0565D"/>
    <w:rsid w:val="00E10CBE"/>
    <w:rsid w:val="00E128F6"/>
    <w:rsid w:val="00E15A7B"/>
    <w:rsid w:val="00E2018B"/>
    <w:rsid w:val="00E209FB"/>
    <w:rsid w:val="00E2510D"/>
    <w:rsid w:val="00E33DE2"/>
    <w:rsid w:val="00E45E68"/>
    <w:rsid w:val="00E50CB2"/>
    <w:rsid w:val="00E535E9"/>
    <w:rsid w:val="00E5406B"/>
    <w:rsid w:val="00E619F0"/>
    <w:rsid w:val="00E61AA4"/>
    <w:rsid w:val="00E66661"/>
    <w:rsid w:val="00E7046B"/>
    <w:rsid w:val="00E723E6"/>
    <w:rsid w:val="00E7359A"/>
    <w:rsid w:val="00E76483"/>
    <w:rsid w:val="00E86132"/>
    <w:rsid w:val="00E91A3D"/>
    <w:rsid w:val="00E9771A"/>
    <w:rsid w:val="00E97E30"/>
    <w:rsid w:val="00EA12E9"/>
    <w:rsid w:val="00EA5484"/>
    <w:rsid w:val="00EA68DE"/>
    <w:rsid w:val="00EA733A"/>
    <w:rsid w:val="00EB3CC6"/>
    <w:rsid w:val="00EC18F1"/>
    <w:rsid w:val="00ED009D"/>
    <w:rsid w:val="00ED186D"/>
    <w:rsid w:val="00ED1E19"/>
    <w:rsid w:val="00ED1E93"/>
    <w:rsid w:val="00ED2EA6"/>
    <w:rsid w:val="00ED4BFD"/>
    <w:rsid w:val="00ED6A36"/>
    <w:rsid w:val="00EE157D"/>
    <w:rsid w:val="00EE4E41"/>
    <w:rsid w:val="00EF3273"/>
    <w:rsid w:val="00EF5178"/>
    <w:rsid w:val="00EF774D"/>
    <w:rsid w:val="00F02105"/>
    <w:rsid w:val="00F03200"/>
    <w:rsid w:val="00F03F90"/>
    <w:rsid w:val="00F06B13"/>
    <w:rsid w:val="00F077BD"/>
    <w:rsid w:val="00F160E2"/>
    <w:rsid w:val="00F210BC"/>
    <w:rsid w:val="00F2224B"/>
    <w:rsid w:val="00F25CF0"/>
    <w:rsid w:val="00F27E6F"/>
    <w:rsid w:val="00F314F3"/>
    <w:rsid w:val="00F37D09"/>
    <w:rsid w:val="00F40AFD"/>
    <w:rsid w:val="00F455C8"/>
    <w:rsid w:val="00F4593B"/>
    <w:rsid w:val="00F45C30"/>
    <w:rsid w:val="00F45D4D"/>
    <w:rsid w:val="00F45F58"/>
    <w:rsid w:val="00F4625D"/>
    <w:rsid w:val="00F53460"/>
    <w:rsid w:val="00F55B41"/>
    <w:rsid w:val="00F61B9C"/>
    <w:rsid w:val="00F66017"/>
    <w:rsid w:val="00F66934"/>
    <w:rsid w:val="00F72A15"/>
    <w:rsid w:val="00F74BF7"/>
    <w:rsid w:val="00F771E7"/>
    <w:rsid w:val="00F803D3"/>
    <w:rsid w:val="00F80750"/>
    <w:rsid w:val="00F861AB"/>
    <w:rsid w:val="00F871DF"/>
    <w:rsid w:val="00F87A38"/>
    <w:rsid w:val="00F9532B"/>
    <w:rsid w:val="00F978C5"/>
    <w:rsid w:val="00FA6739"/>
    <w:rsid w:val="00FA674D"/>
    <w:rsid w:val="00FB2454"/>
    <w:rsid w:val="00FB4022"/>
    <w:rsid w:val="00FB5FE6"/>
    <w:rsid w:val="00FB718B"/>
    <w:rsid w:val="00FC04A4"/>
    <w:rsid w:val="00FC289A"/>
    <w:rsid w:val="00FC2A32"/>
    <w:rsid w:val="00FD144D"/>
    <w:rsid w:val="00FD5945"/>
    <w:rsid w:val="00FD76AC"/>
    <w:rsid w:val="00FE3336"/>
    <w:rsid w:val="00FE7F4D"/>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C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82C44"/>
  </w:style>
  <w:style w:type="paragraph" w:styleId="Footer">
    <w:name w:val="footer"/>
    <w:basedOn w:val="Normal"/>
    <w:link w:val="FooterChar"/>
    <w:uiPriority w:val="99"/>
    <w:unhideWhenUsed/>
    <w:rsid w:val="00082C44"/>
    <w:pPr>
      <w:tabs>
        <w:tab w:val="center" w:pos="4680"/>
        <w:tab w:val="right" w:pos="9360"/>
      </w:tabs>
      <w:spacing w:line="240" w:lineRule="auto"/>
    </w:pPr>
  </w:style>
  <w:style w:type="character" w:customStyle="1" w:styleId="FooterChar">
    <w:name w:val="Footer Char"/>
    <w:basedOn w:val="DefaultParagraphFont"/>
    <w:link w:val="Footer"/>
    <w:uiPriority w:val="99"/>
    <w:rsid w:val="00082C44"/>
  </w:style>
  <w:style w:type="paragraph" w:styleId="ListBullet">
    <w:name w:val="List Bullet"/>
    <w:basedOn w:val="Normal"/>
    <w:uiPriority w:val="99"/>
    <w:unhideWhenUsed/>
    <w:rsid w:val="00D80903"/>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7</cp:revision>
  <dcterms:created xsi:type="dcterms:W3CDTF">2011-01-13T16:20:00Z</dcterms:created>
  <dcterms:modified xsi:type="dcterms:W3CDTF">2011-01-24T16:23:00Z</dcterms:modified>
</cp:coreProperties>
</file>